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Default Extension="jpeg" ContentType="image/jpeg"/>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11387" w:val="left" w:leader="none"/>
          <w:tab w:pos="13193" w:val="left" w:leader="none"/>
        </w:tabs>
        <w:spacing w:line="240" w:lineRule="auto"/>
        <w:ind w:left="0" w:right="0" w:firstLine="0"/>
        <w:rPr>
          <w:rFonts w:ascii="Times New Roman"/>
          <w:sz w:val="20"/>
        </w:rPr>
      </w:pPr>
      <w:r>
        <w:rPr>
          <w:rFonts w:ascii="Times New Roman"/>
          <w:sz w:val="20"/>
        </w:rPr>
        <w:pict>
          <v:group style="width:86.8pt;height:63.7pt;mso-position-horizontal-relative:char;mso-position-vertical-relative:line" coordorigin="0,0" coordsize="1736,1274">
            <v:shape style="position:absolute;left:0;top:390;width:1345;height:442" coordorigin="0,391" coordsize="1345,442" path="m1345,391l463,391,904,832,1345,391xm1345,391l0,391,0,811,21,832,463,391,1345,391,1345,391xe" filled="true" fillcolor="#aebd37" stroked="false">
              <v:path arrowok="t"/>
              <v:fill type="solid"/>
            </v:shape>
            <v:shape style="position:absolute;left:1344;top:0;width:392;height:391" coordorigin="1345,0" coordsize="392,391" path="m1736,0l1345,0,1345,391,1736,0xe" filled="true" fillcolor="#6f2770" stroked="false">
              <v:path arrowok="t"/>
              <v:fill type="solid"/>
            </v:shape>
            <v:rect style="position:absolute;left:0;top:0;width:463;height:391" filled="true" fillcolor="#7aa142" stroked="false">
              <v:fill type="solid"/>
            </v:rect>
            <v:shape style="position:absolute;left:462;top:0;width:883;height:391" coordorigin="463,0" coordsize="883,391" path="m954,0l463,0,463,391,1345,391,954,0xe" filled="true" fillcolor="#5b2e31" stroked="false">
              <v:path arrowok="t"/>
              <v:fill type="solid"/>
            </v:shape>
            <v:shape style="position:absolute;left:953;top:0;width:391;height:391" coordorigin="954,0" coordsize="391,391" path="m1345,0l954,0,1345,391,1345,0xe" filled="true" fillcolor="#42285e" stroked="false">
              <v:path arrowok="t"/>
              <v:fill type="solid"/>
            </v:shape>
            <v:shape style="position:absolute;left:21;top:832;width:442;height:442" coordorigin="21,832" coordsize="442,442" path="m21,832l463,1273,21,832xe" filled="true" fillcolor="#bbbcbb" stroked="false">
              <v:path arrowok="t"/>
              <v:fill type="solid"/>
            </v:shape>
            <v:shape style="position:absolute;left:21;top:391;width:883;height:883" coordorigin="21,391" coordsize="883,883" path="m463,391l21,832,463,1273,904,832,463,391xe" filled="true" fillcolor="#89993e" stroked="false">
              <v:path arrowok="t"/>
              <v:fill type="solid"/>
            </v:shape>
            <v:shape style="position:absolute;left:0;top:0;width:1295;height:833" coordorigin="0,0" coordsize="1295,833" path="m1295,0l0,0,0,370,463,832,1295,0xe" filled="true" fillcolor="#ffffff" stroked="false">
              <v:path arrowok="t"/>
              <v:fill type="solid"/>
            </v:shape>
          </v:group>
        </w:pict>
      </w:r>
      <w:r>
        <w:rPr>
          <w:rFonts w:ascii="Times New Roman"/>
          <w:sz w:val="20"/>
        </w:rPr>
      </w:r>
      <w:r>
        <w:rPr>
          <w:rFonts w:ascii="Times New Roman"/>
          <w:sz w:val="20"/>
        </w:rPr>
        <w:tab/>
      </w:r>
      <w:r>
        <w:rPr>
          <w:rFonts w:ascii="Times New Roman"/>
          <w:position w:val="39"/>
          <w:sz w:val="20"/>
        </w:rPr>
        <w:pict>
          <v:group style="width:66.7pt;height:44.1pt;mso-position-horizontal-relative:char;mso-position-vertical-relative:line" coordorigin="0,0" coordsize="1334,882">
            <v:shape style="position:absolute;left:430;top:0;width:904;height:882" coordorigin="430,0" coordsize="904,882" path="m903,0l861,0,430,430,882,882,1333,430,903,0xe" filled="true" fillcolor="#efeeed" stroked="false">
              <v:path arrowok="t"/>
              <v:fill type="solid"/>
            </v:shape>
            <v:shape style="position:absolute;left:0;top:0;width:861;height:431" coordorigin="0,0" coordsize="861,431" path="m861,0l0,0,430,430,861,0xe" filled="true" fillcolor="#dfe2b4" stroked="false">
              <v:path arrowok="t"/>
              <v:fill type="solid"/>
            </v:shape>
            <v:shape style="position:absolute;left:430;top:0;width:431;height:431" coordorigin="430,0" coordsize="431,431" path="m861,0l430,430,861,0xe" filled="true" fillcolor="#dbdfb1" stroked="false">
              <v:path arrowok="t"/>
              <v:fill type="solid"/>
            </v:shape>
          </v:group>
        </w:pict>
      </w:r>
      <w:r>
        <w:rPr>
          <w:rFonts w:ascii="Times New Roman"/>
          <w:position w:val="39"/>
          <w:sz w:val="20"/>
        </w:rPr>
      </w:r>
      <w:r>
        <w:rPr>
          <w:rFonts w:ascii="Times New Roman"/>
          <w:position w:val="39"/>
          <w:sz w:val="20"/>
        </w:rPr>
        <w:tab/>
      </w:r>
      <w:r>
        <w:rPr>
          <w:rFonts w:ascii="Times New Roman"/>
          <w:position w:val="84"/>
          <w:sz w:val="20"/>
        </w:rPr>
        <w:pict>
          <v:group style="width:43.05pt;height:21.55pt;mso-position-horizontal-relative:char;mso-position-vertical-relative:line" coordorigin="0,0" coordsize="861,431">
            <v:shape style="position:absolute;left:0;top:0;width:861;height:431" coordorigin="0,0" coordsize="861,431" path="m861,0l0,0,430,430,861,0xe" filled="true" fillcolor="#a899ab" stroked="false">
              <v:path arrowok="t"/>
              <v:fill type="solid"/>
            </v:shape>
          </v:group>
        </w:pict>
      </w:r>
      <w:r>
        <w:rPr>
          <w:rFonts w:ascii="Times New Roman"/>
          <w:position w:val="84"/>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6"/>
        </w:rPr>
      </w:pPr>
    </w:p>
    <w:p>
      <w:pPr>
        <w:spacing w:before="90"/>
        <w:ind w:left="765" w:right="0" w:firstLine="0"/>
        <w:jc w:val="left"/>
        <w:rPr>
          <w:sz w:val="96"/>
        </w:rPr>
      </w:pPr>
      <w:r>
        <w:rPr/>
        <w:pict>
          <v:group style="position:absolute;margin-left:270.66449pt;margin-top:17.368546pt;width:571.25pt;height:434.15pt;mso-position-horizontal-relative:page;mso-position-vertical-relative:paragraph;z-index:-812488" coordorigin="5413,347" coordsize="11425,8683">
            <v:shape style="position:absolute;left:5413;top:8400;width:630;height:630" coordorigin="5413,8400" coordsize="630,630" path="m6043,8400l5413,9030,5855,9030,6043,8842,6043,8400xe" filled="true" fillcolor="#aebd37" stroked="false">
              <v:path arrowok="t"/>
              <v:fill type="solid"/>
            </v:shape>
            <v:shape style="position:absolute;left:6042;top:6982;width:2836;height:1418" coordorigin="6043,6982" coordsize="2836,1418" path="m6752,7691l6043,8400,6043,8400,6484,8400,6973,7912,6752,7691xm7461,6982l8170,7691,7949,7912,8437,8400,8879,8400,7461,6982xe" filled="true" fillcolor="#6f2770" stroked="false">
              <v:path arrowok="t"/>
              <v:fill type="solid"/>
            </v:shape>
            <v:shape style="position:absolute;left:8878;top:8400;width:630;height:630" coordorigin="8879,8400" coordsize="630,630" path="m8879,8400l8879,8842,9066,9030,9508,9030,8879,8400xe" filled="true" fillcolor="#360e3f" stroked="false">
              <v:path arrowok="t"/>
              <v:fill type="solid"/>
            </v:shape>
            <v:shape style="position:absolute;left:6042;top:8400;width:221;height:221" coordorigin="6043,8400" coordsize="221,221" path="m6043,8400l6264,8621,6043,8400xe" filled="true" fillcolor="#6f2770" stroked="false">
              <v:path arrowok="t"/>
              <v:fill type="solid"/>
            </v:shape>
            <v:shape style="position:absolute;left:6042;top:8400;width:221;height:442" coordorigin="6043,8401" coordsize="221,442" path="m6043,8401l6043,8842,6264,8621,6043,8401xe" filled="true" fillcolor="#5b2e31" stroked="false">
              <v:path arrowok="t"/>
              <v:fill type="solid"/>
            </v:shape>
            <v:shape style="position:absolute;left:6042;top:8400;width:442;height:221" coordorigin="6043,8400" coordsize="442,221" path="m6484,8400l6043,8400,6264,8621,6484,8400xe" filled="true" fillcolor="#42285e" stroked="false">
              <v:path arrowok="t"/>
              <v:fill type="solid"/>
            </v:shape>
            <v:shape style="position:absolute;left:8657;top:8400;width:221;height:221" coordorigin="8658,8400" coordsize="221,221" path="m8879,8400l8658,8621,8879,8400xe" filled="true" fillcolor="#360e3f" stroked="false">
              <v:path arrowok="t"/>
              <v:fill type="solid"/>
            </v:shape>
            <v:shape style="position:absolute;left:8436;top:8400;width:442;height:221" coordorigin="8437,8400" coordsize="442,221" path="m8879,8400l8437,8400,8658,8621,8879,8400xe" filled="true" fillcolor="#200d34" stroked="false">
              <v:path arrowok="t"/>
              <v:fill type="solid"/>
            </v:shape>
            <v:shape style="position:absolute;left:8657;top:8400;width:221;height:442" coordorigin="8658,8400" coordsize="221,442" path="m8879,8400l8658,8621,8879,8842,8879,8400xe" filled="true" fillcolor="#050019" stroked="false">
              <v:path arrowok="t"/>
              <v:fill type="solid"/>
            </v:shape>
            <v:shape style="position:absolute;left:6751;top:6982;width:1418;height:930" coordorigin="6752,6982" coordsize="1418,930" path="m7461,6982l6752,7691,6973,7912,7461,7424,7902,7424,7461,6982xm7902,7424l7461,7424,7949,7912,8170,7691,7902,7424xe" filled="true" fillcolor="#602a63" stroked="false">
              <v:path arrowok="t"/>
              <v:fill type="solid"/>
            </v:shape>
            <v:shape style="position:absolute;left:5855;top:8842;width:188;height:188" coordorigin="5855,8842" coordsize="188,188" path="m6043,8842l5855,9030,6043,9030,6043,8842xe" filled="true" fillcolor="#f8f7f0" stroked="false">
              <v:path arrowok="t"/>
              <v:fill type="solid"/>
            </v:shape>
            <v:shape style="position:absolute;left:6484;top:7912;width:1953;height:1118" coordorigin="6484,7912" coordsize="1953,1118" path="m7461,8400l7461,8400,7461,9030,7461,9030,7461,8400xm7949,7912l7461,8400,6484,8400,6484,8400,8437,8400,8437,8400,7461,8400,6973,7912,7949,7912,7949,7912xe" filled="true" fillcolor="#f1edf3" stroked="false">
              <v:path arrowok="t"/>
              <v:fill type="solid"/>
            </v:shape>
            <v:shape style="position:absolute;left:8878;top:8842;width:188;height:188" coordorigin="8879,8842" coordsize="188,188" path="m8879,8842l8879,9030,9066,9030,8879,8842xe" filled="true" fillcolor="#ebe7ea" stroked="false">
              <v:path arrowok="t"/>
              <v:fill type="solid"/>
            </v:shape>
            <v:shape style="position:absolute;left:6263;top:8621;width:409;height:409" coordorigin="6264,8621" coordsize="409,409" path="m6264,8621l6672,9030,6264,8621xe" filled="true" fillcolor="#f1edf3" stroked="false">
              <v:path arrowok="t"/>
              <v:fill type="solid"/>
            </v:shape>
            <v:shape style="position:absolute;left:6042;top:8621;width:630;height:409" coordorigin="6043,8621" coordsize="630,409" path="m6264,8621l6043,8842,6043,9030,6672,9030,6264,8621xe" filled="true" fillcolor="#f1edea" stroked="false">
              <v:path arrowok="t"/>
              <v:fill type="solid"/>
            </v:shape>
            <v:shape style="position:absolute;left:6263;top:8400;width:1198;height:630" coordorigin="6264,8400" coordsize="1198,630" path="m7461,8400l6484,8400,6264,8621,6672,9030,7461,9030,7461,8400xe" filled="true" fillcolor="#ebe9ed" stroked="false">
              <v:path arrowok="t"/>
              <v:fill type="solid"/>
            </v:shape>
            <v:shape style="position:absolute;left:8249;top:8621;width:409;height:409" coordorigin="8249,8621" coordsize="409,409" path="m8658,8621l8249,9030,8658,8621xe" filled="true" fillcolor="#ebe7ea" stroked="false">
              <v:path arrowok="t"/>
              <v:fill type="solid"/>
            </v:shape>
            <v:shape style="position:absolute;left:7460;top:8400;width:1198;height:630" coordorigin="7461,8400" coordsize="1198,630" path="m8437,8400l7461,8400,7461,9030,8249,9030,8658,8621,8437,8400xe" filled="true" fillcolor="#e6e4e6" stroked="false">
              <v:path arrowok="t"/>
              <v:fill type="solid"/>
            </v:shape>
            <v:shape style="position:absolute;left:8249;top:8621;width:630;height:409" coordorigin="8249,8621" coordsize="630,409" path="m8658,8621l8249,9030,8879,9030,8879,8842,8658,8621xe" filled="true" fillcolor="#e4e2e4" stroked="false">
              <v:path arrowok="t"/>
              <v:fill type="solid"/>
            </v:shape>
            <v:shape style="position:absolute;left:6972;top:7424;width:977;height:977" coordorigin="6973,7424" coordsize="977,977" path="m7461,7424l6973,7912,7461,8400,7949,7912,7461,7424xe" filled="true" fillcolor="#f1edf0" stroked="false">
              <v:path arrowok="t"/>
              <v:fill type="solid"/>
            </v:shape>
            <v:shape style="position:absolute;left:9987;top:3306;width:4566;height:1142" coordorigin="9988,3306" coordsize="4566,1142" path="m11109,3773l10993,3773,10997,3777,10196,4239,9988,4447,9988,4448,9989,4448,11043,3839,11109,3773xm11029,3853l9999,4448,10153,4448,10819,4063,11029,3853xm10805,4077l10163,4448,10317,4448,10595,4287,10805,4077xm10581,4301l10327,4448,10434,4448,10581,4301xm11169,3713l10933,3713,10937,3717,10420,4016,10209,4226,10993,3773,11109,3773,11169,3713xm11229,3653l10873,3653,10877,3657,10643,3792,10433,4002,10933,3713,11169,3713,11229,3653xm11129,3306l10657,3778,10873,3653,11229,3653,11353,3529,11129,3306xm13412,3306l13188,3529,14106,4448,14553,4448,14553,4447,13412,3306xe" filled="true" fillcolor="#aebd37" stroked="false">
              <v:path arrowok="t"/>
              <v:fill type="solid"/>
            </v:shape>
            <v:shape style="position:absolute;left:14553;top:4447;width:2283;height:4566" coordorigin="14553,4447" coordsize="2283,4566" path="m15471,7648l14553,8566,14553,9013,15695,7872,15471,7648xm15695,5589l15695,5589,16836,6730,15695,5589xm14553,4447l14553,4894,15471,5812,15695,5589,15695,5589,14553,4447xe" filled="true" fillcolor="#6f2770" stroked="false">
              <v:path arrowok="t"/>
              <v:fill type="solid"/>
            </v:shape>
            <v:shape style="position:absolute;left:8846;top:4447;width:1142;height:4566" coordorigin="8846,4447" coordsize="1142,4566" path="m9299,5583l9008,5751,9059,5802,9109,5773,9299,5583xm9523,5359l8948,5691,8999,5742,9333,5549,9523,5359xm9747,5135l8888,5631,8939,5682,9557,5325,9747,5135xm9971,4911l8914,5521,8846,5589,8879,5622,9781,5101,9971,4911xm9988,4807l9138,5298,8948,5487,9988,4887,9988,4807xm9988,4712l9362,5074,9172,5263,9988,4792,9988,4712xm9988,4617l9585,4850,9396,5039,9988,4698,9988,4617xm9988,4523l9809,4626,9620,4816,9988,4603,9988,4523xm9988,4447l9843,4592,9988,4508,9988,4447xm9075,5807l9068,5811,9070,5812,9075,5807xm9988,9013l9988,9013,9988,9013,9988,9013xm9070,7648l8846,7872,9988,9013,9988,9013,9988,8566,9944,8523,9944,8523,9935,8514,9935,8514,9884,8463,9884,8463,9875,8454,9875,8454,9824,8403,9824,8403,9815,8394,9815,8394,9764,8343,9764,8343,9755,8334,9755,8334,9704,8283,9704,8283,9695,8274,9695,8274,9644,8223,9644,8223,9635,8214,9635,8214,9584,8163,9584,8163,9575,8154,9575,8154,9524,8103,9524,8103,9515,8094,9515,8094,9464,8043,9464,8043,9455,8034,9455,8034,9404,7983,9404,7983,9395,7974,9395,7974,9344,7923,9344,7923,9335,7914,9335,7914,9284,7863,9284,7863,9275,7854,9275,7854,9224,7803,9224,7803,9215,7794,9215,7794,9164,7743,9164,7743,9155,7734,9155,7734,9104,7683,9104,7683,9095,7674,9095,7674,9070,7648xm9944,8523l9944,8523,9944,8523,9944,8523xm9884,8463l9884,8463,9884,8463,9884,8463xm9824,8403l9824,8403,9824,8403,9824,8403xm9764,8343l9764,8343,9764,8343,9764,8343xm9704,8283l9704,8283,9704,8283,9704,8283xm9644,8223l9644,8223,9644,8223,9644,8223xm9584,8163l9584,8163,9584,8163,9584,8163xm9524,8103l9524,8103,9524,8103,9524,8103xm9464,8043l9464,8043,9464,8043,9464,8043xm9404,7983l9404,7983,9404,7983,9404,7983xm9344,7923l9344,7923,9344,7923,9344,7923xm9284,7863l9284,7863,9284,7863,9284,7863xm9224,7803l9224,7803,9224,7803,9224,7803xm9164,7743l9164,7743,9164,7743,9164,7743xm9104,7683l9104,7683,9104,7683,9104,7683xe" filled="true" fillcolor="#5d883c" stroked="false">
              <v:path arrowok="t"/>
              <v:fill type="solid"/>
            </v:shape>
            <v:shape style="position:absolute;left:9987;top:9012;width:4566;height:17" coordorigin="9988,9013" coordsize="4566,17" path="m10434,9013l9988,9013,9988,9013,10004,9030,10451,9030,10434,9013xm14553,9013l14107,9013,14090,9030,14537,9030,14553,9013,14553,9013xe" filled="true" fillcolor="#360e3f" stroked="false">
              <v:path arrowok="t"/>
              <v:fill type="solid"/>
            </v:shape>
            <v:shape style="position:absolute;left:9987;top:4447;width:224;height:224" type="#_x0000_t75" stroked="false">
              <v:imagedata r:id="rId5" o:title=""/>
            </v:shape>
            <v:shape style="position:absolute;left:9987;top:4447;width:447;height:224" coordorigin="9988,4448" coordsize="447,224" path="m10357,4525l10172,4632,10211,4671,10357,4525xm10434,4448l10327,4448,10112,4572,10168,4628,10371,4511,10434,4448xm10317,4448l10163,4448,10052,4512,10108,4568,10317,4448xm10153,4448l9999,4448,9992,4452,10048,4508,10153,4448xm9989,4448l9988,4448,9988,4448,9988,4448,9989,4448xe" filled="true" fillcolor="#7aa142" stroked="false">
              <v:path arrowok="t"/>
              <v:fill type="solid"/>
            </v:shape>
            <v:shape style="position:absolute;left:9987;top:4447;width:224;height:447" coordorigin="9988,4447" coordsize="224,447" path="m9995,4887l9988,4887,9988,4894,9995,4887xm10048,4792l9988,4792,9988,4806,9988,4807,9988,4887,9988,4887,9995,4887,10050,4832,9988,4832,9988,4826,10048,4792xm10133,4749l9988,4832,10050,4832,10133,4749xm10048,4697l9988,4697,9988,4712,9988,4712,9988,4792,9988,4792,10048,4792,10142,4738,9988,4738,9988,4732,10048,4697xm10172,4632l9988,4738,10142,4738,10147,4735,10211,4671,10172,4632xm10048,4603l9988,4603,9988,4617,9988,4617,9988,4698,9988,4697,10048,4697,10142,4643,9988,4643,9988,4637,10048,4603xm10112,4572l9988,4643,10142,4643,10168,4628,10112,4572xm10048,4508l9988,4508,9988,4522,9988,4523,9988,4603,9988,4603,10048,4603,10108,4568,10089,4548,9988,4548,9988,4543,10048,4508,10048,4508xm10052,4512l9988,4548,10089,4548,10052,4512xm9988,4447l9988,4508,9988,4508,10048,4508,9994,4454,9988,4454,9988,4448,9988,4447xm9992,4452l9988,4454,9994,4454,9992,4452xe" filled="true" fillcolor="#41793d" stroked="false">
              <v:path arrowok="t"/>
              <v:fill type="solid"/>
            </v:shape>
            <v:shape style="position:absolute;left:14329;top:4447;width:224;height:224" coordorigin="14330,4448" coordsize="224,224" path="m14553,4448l14330,4671,14553,4448xe" filled="true" fillcolor="#6f2770" stroked="false">
              <v:path arrowok="t"/>
              <v:fill type="solid"/>
            </v:shape>
            <v:shape style="position:absolute;left:14106;top:4447;width:447;height:224" coordorigin="14106,4448" coordsize="447,224" path="m14553,4448l14106,4448,14330,4671,14553,4448xe" filled="true" fillcolor="#5b2e31" stroked="false">
              <v:path arrowok="t"/>
              <v:fill type="solid"/>
            </v:shape>
            <v:shape style="position:absolute;left:14329;top:4447;width:224;height:447" coordorigin="14330,4448" coordsize="224,447" path="m14553,4448l14330,4671,14553,4894,14553,4448xe" filled="true" fillcolor="#42285e" stroked="false">
              <v:path arrowok="t"/>
              <v:fill type="solid"/>
            </v:shape>
            <v:shape style="position:absolute;left:9987;top:8789;width:224;height:224" coordorigin="9988,8790" coordsize="224,224" path="m10211,8790l9988,9013,10211,8790xe" filled="true" fillcolor="#5d883c" stroked="false">
              <v:path arrowok="t"/>
              <v:fill type="solid"/>
            </v:shape>
            <v:shape style="position:absolute;left:9987;top:8566;width:224;height:447" coordorigin="9988,8566" coordsize="224,447" path="m9988,8566l9988,9013,10211,8790,9988,8566xe" filled="true" fillcolor="#226237" stroked="false">
              <v:path arrowok="t"/>
              <v:fill type="solid"/>
            </v:shape>
            <v:shape style="position:absolute;left:9987;top:8789;width:447;height:224" coordorigin="9988,8790" coordsize="447,224" path="m10211,8790l9988,9013,10434,9013,10211,8790xe" filled="true" fillcolor="#1e0f13" stroked="false">
              <v:path arrowok="t"/>
              <v:fill type="solid"/>
            </v:shape>
            <v:shape style="position:absolute;left:14329;top:8789;width:224;height:224" coordorigin="14330,8790" coordsize="224,224" path="m14330,8790l14553,9013,14330,8790xe" filled="true" fillcolor="#360e3f" stroked="false">
              <v:path arrowok="t"/>
              <v:fill type="solid"/>
            </v:shape>
            <v:shape style="position:absolute;left:14329;top:8566;width:224;height:447" coordorigin="14330,8566" coordsize="224,447" path="m14553,8566l14330,8790,14553,9013,14553,8566xe" filled="true" fillcolor="#200d34" stroked="false">
              <v:path arrowok="t"/>
              <v:fill type="solid"/>
            </v:shape>
            <v:shape style="position:absolute;left:14106;top:8789;width:447;height:224" coordorigin="14107,8790" coordsize="447,224" path="m14330,8790l14107,9013,14553,9013,14330,8790xe" filled="true" fillcolor="#050019" stroked="false">
              <v:path arrowok="t"/>
              <v:fill type="solid"/>
            </v:shape>
            <v:shape style="position:absolute;left:12270;top:2164;width:1142;height:1142" coordorigin="12270,2165" coordsize="1142,1142" path="m12270,2165l13412,3306,12270,2165xe" filled="true" fillcolor="#bbbcbb" stroked="false">
              <v:path arrowok="t"/>
              <v:fill type="solid"/>
            </v:shape>
            <v:shape style="position:absolute;left:11129;top:2164;width:2283;height:1365" coordorigin="11129,2165" coordsize="2283,1365" path="m12717,2612l12270,2612,13188,3529,13412,3306,12717,2612xm12270,2165l11129,3306,11353,3529,12270,2612,12717,2612,12270,2165xe" filled="true" fillcolor="#89993e" stroked="false">
              <v:path arrowok="t"/>
              <v:fill type="solid"/>
            </v:shape>
            <v:shape style="position:absolute;left:8723;top:5588;width:156;height:123" type="#_x0000_t75" stroked="false">
              <v:imagedata r:id="rId6" o:title=""/>
            </v:shape>
            <v:shape style="position:absolute;left:8499;top:5745;width:190;height:190" coordorigin="8500,5745" coordsize="190,190" path="m8690,5745l8500,5935,8690,5745xe" filled="true" fillcolor="#bbbcbb" stroked="false">
              <v:path arrowok="t"/>
              <v:fill type="solid"/>
            </v:shape>
            <v:shape style="position:absolute;left:8276;top:5630;width:723;height:529" coordorigin="8276,5631" coordsize="723,529" path="m8939,5682l8888,5631,8690,5745,8500,5935,8939,5682m8999,5742l8948,5691,8466,5969,8276,6159,8999,5742e" filled="true" fillcolor="#4f743b" stroked="false">
              <v:path arrowok="t"/>
              <v:fill type="solid"/>
            </v:shape>
            <v:shape style="position:absolute;left:8052;top:6193;width:190;height:190" coordorigin="8052,6193" coordsize="190,190" path="m8242,6193l8052,6383,8242,6193xe" filled="true" fillcolor="#bbbcbb" stroked="false">
              <v:path arrowok="t"/>
              <v:fill type="solid"/>
            </v:shape>
            <v:shape style="position:absolute;left:7704;top:5750;width:1365;height:2121" coordorigin="7705,5751" coordsize="1365,2121" path="m9059,5802l9008,5751,8242,6193,8052,6383,9059,5802m9070,5812l9068,5811,8018,6417,7705,6730,8846,7872,9070,7648,9044,7623,9044,7623,9044,7623,9035,7614,9035,7614,8984,7563,8984,7563,8984,7563,8975,7554,8975,7554,8924,7503,8924,7503,8924,7503,8915,7494,8915,7494,8864,7443,8864,7443,8864,7443,8855,7434,8855,7434,8804,7383,8804,7383,8804,7383,8795,7374,8795,7374,8744,7323,8744,7323,8744,7323,8735,7314,8735,7314,8684,7263,8684,7263,8684,7263,8675,7254,8675,7254,8624,7203,8624,7203,8624,7203,8615,7194,8615,7194,8564,7143,8564,7143,8564,7143,8555,7134,8555,7134,8504,7083,8504,7083,8504,7083,8495,7074,8495,7074,8444,7023,8444,7023,8444,7023,8435,7014,8435,7014,8384,6963,8384,6963,8384,6963,8375,6954,8375,6954,8324,6903,8324,6903,8324,6903,8315,6894,8315,6894,8264,6843,8264,6843,8264,6843,8255,6834,8255,6834,8204,6783,8204,6783,8204,6783,8195,6774,8195,6774,8152,6730,8159,6723,8180,6702,8144,6723,8135,6714,8214,6668,8219,6663,8403,6479,8084,6663,8075,6654,8163,6603,8438,6444,8627,6255,8024,6603,8015,6594,8103,6543,8662,6220,8851,6031,7964,6543,7955,6534,8885,5997,9070,5812e" filled="true" fillcolor="#4f743b" stroked="false">
              <v:path arrowok="t"/>
              <v:fill type="solid"/>
            </v:shape>
            <v:shape style="position:absolute;left:15471;top:5588;width:1365;height:2283" coordorigin="15471,5589" coordsize="1365,2283" path="m15695,5589l15471,5812,16389,6730,15471,7648,15695,7872,16836,6730,15695,5589xe" filled="true" fillcolor="#602a63" stroked="false">
              <v:path arrowok="t"/>
              <v:fill type="solid"/>
            </v:shape>
            <v:shape style="position:absolute;left:8151;top:2611;width:8238;height:6419" coordorigin="8152,2612" coordsize="8238,6419" path="m12270,2612l8152,6730,10451,9030,14090,9030,16389,6730,12270,2612xe" filled="true" fillcolor="#ffffff" stroked="false">
              <v:path arrowok="t"/>
              <v:fill type="solid"/>
            </v:shape>
            <v:shape style="position:absolute;left:7114;top:2804;width:5743;height:5719" type="#_x0000_t75" stroked="false">
              <v:imagedata r:id="rId7" o:title=""/>
            </v:shape>
            <v:shape style="position:absolute;left:15030;top:347;width:904;height:904" coordorigin="15030,347" coordsize="904,904" path="m15482,347l15030,799,15482,1251,15934,799,15482,347xe" filled="true" fillcolor="#c0b5c1" stroked="false">
              <v:path arrowok="t"/>
              <v:fill type="solid"/>
            </v:shape>
            <v:shape style="position:absolute;left:15030;top:1250;width:904;height:904" coordorigin="15030,1251" coordsize="904,904" path="m15482,1251l15030,1702,15482,2154,15934,1702,15482,1251xe" filled="true" fillcolor="#eaeae8" stroked="false">
              <v:path arrowok="t"/>
              <v:fill type="solid"/>
            </v:shape>
            <v:shape style="position:absolute;left:15933;top:347;width:904;height:904" coordorigin="15934,347" coordsize="904,904" path="m16385,347l15934,799,16385,1251,16837,799,16385,347xe" filled="true" fillcolor="#e8e7e5" stroked="false">
              <v:path arrowok="t"/>
              <v:fill type="solid"/>
            </v:shape>
            <v:shape style="position:absolute;left:14127;top:1250;width:904;height:904" coordorigin="14127,1251" coordsize="904,904" path="m14579,1251l14127,1702,14579,2154,15030,1702,14579,1251xe" filled="true" fillcolor="#bca1bc" stroked="false">
              <v:path arrowok="t"/>
              <v:fill type="solid"/>
            </v:shape>
            <v:shape style="position:absolute;left:16385;top:799;width:453;height:904" coordorigin="16385,799" coordsize="453,904" path="m16837,799l16385,1251,16837,1702,16838,1701,16838,800,16837,799xe" filled="true" fillcolor="#ad8cad" stroked="false">
              <v:path arrowok="t"/>
              <v:fill type="solid"/>
            </v:shape>
            <v:shape style="position:absolute;left:15030;top:2153;width:904;height:904" coordorigin="15030,2154" coordsize="904,904" path="m15482,2154l15030,2605,15482,3057,15934,2605,15482,2154xe" filled="true" fillcolor="#dfe2b4" stroked="false">
              <v:path arrowok="t"/>
              <v:fill type="solid"/>
            </v:shape>
            <w10:wrap type="none"/>
          </v:group>
        </w:pict>
      </w:r>
      <w:r>
        <w:rPr/>
        <w:pict>
          <v:group style="position:absolute;margin-left:107.526001pt;margin-top:-56.639652pt;width:197.1pt;height:24.7pt;mso-position-horizontal-relative:page;mso-position-vertical-relative:paragraph;z-index:1168" coordorigin="2151,-1133" coordsize="3942,494">
            <v:shape style="position:absolute;left:2150;top:-1133;width:3654;height:494" type="#_x0000_t75" stroked="false">
              <v:imagedata r:id="rId8" o:title=""/>
            </v:shape>
            <v:line style="position:absolute" from="5849,-1130" to="5849,-945" stroked="true" strokeweight="1.773pt" strokecolor="#6f2770">
              <v:stroke dashstyle="solid"/>
            </v:line>
            <v:shape style="position:absolute;left:5903;top:-1130;width:189;height:188" type="#_x0000_t75" stroked="false">
              <v:imagedata r:id="rId9" o:title=""/>
            </v:shape>
            <w10:wrap type="none"/>
          </v:group>
        </w:pict>
      </w:r>
      <w:r>
        <w:rPr/>
        <w:drawing>
          <wp:anchor distT="0" distB="0" distL="0" distR="0" allowOverlap="1" layoutInCell="1" locked="0" behindDoc="0" simplePos="0" relativeHeight="1192">
            <wp:simplePos x="0" y="0"/>
            <wp:positionH relativeFrom="page">
              <wp:posOffset>485632</wp:posOffset>
            </wp:positionH>
            <wp:positionV relativeFrom="paragraph">
              <wp:posOffset>-811714</wp:posOffset>
            </wp:positionV>
            <wp:extent cx="812924" cy="590550"/>
            <wp:effectExtent l="0" t="0" r="0" b="0"/>
            <wp:wrapNone/>
            <wp:docPr id="1" name="image6.png" descr=""/>
            <wp:cNvGraphicFramePr>
              <a:graphicFrameLocks noChangeAspect="1"/>
            </wp:cNvGraphicFramePr>
            <a:graphic>
              <a:graphicData uri="http://schemas.openxmlformats.org/drawingml/2006/picture">
                <pic:pic>
                  <pic:nvPicPr>
                    <pic:cNvPr id="2" name="image6.png"/>
                    <pic:cNvPicPr/>
                  </pic:nvPicPr>
                  <pic:blipFill>
                    <a:blip r:embed="rId10" cstate="print"/>
                    <a:stretch>
                      <a:fillRect/>
                    </a:stretch>
                  </pic:blipFill>
                  <pic:spPr>
                    <a:xfrm>
                      <a:off x="0" y="0"/>
                      <a:ext cx="812924" cy="590550"/>
                    </a:xfrm>
                    <a:prstGeom prst="rect">
                      <a:avLst/>
                    </a:prstGeom>
                  </pic:spPr>
                </pic:pic>
              </a:graphicData>
            </a:graphic>
          </wp:anchor>
        </w:drawing>
      </w:r>
      <w:r>
        <w:rPr/>
        <w:pict>
          <v:group style="position:absolute;margin-left:771.209717pt;margin-top:-90.006256pt;width:53.05pt;height:45.2pt;mso-position-horizontal-relative:page;mso-position-vertical-relative:paragraph;z-index:1240" coordorigin="15424,-1800" coordsize="1061,904">
            <v:shape style="position:absolute;left:15424;top:-1801;width:900;height:904" coordorigin="15424,-1800" coordsize="900,904" path="m15874,-1800l15424,-1350,15424,-1347,15874,-897,16324,-1347,16324,-1350,15874,-1800xe" filled="true" fillcolor="#c4cd71" stroked="false">
              <v:path arrowok="t"/>
              <v:fill type="solid"/>
            </v:shape>
            <v:shape style="position:absolute;left:16324;top:-1510;width:161;height:322" type="#_x0000_t75" stroked="false">
              <v:imagedata r:id="rId11" o:title=""/>
            </v:shape>
            <v:shapetype id="_x0000_t202" o:spt="202" coordsize="21600,21600" path="m,l,21600r21600,l21600,xe">
              <v:stroke joinstyle="miter"/>
              <v:path gradientshapeok="t" o:connecttype="rect"/>
            </v:shapetype>
            <v:shape style="position:absolute;left:15424;top:-1801;width:1061;height:904" type="#_x0000_t202" filled="false" stroked="false">
              <v:textbox inset="0,0,0,0">
                <w:txbxContent>
                  <w:p>
                    <w:pPr>
                      <w:spacing w:line="240" w:lineRule="auto" w:before="0"/>
                      <w:rPr>
                        <w:sz w:val="18"/>
                      </w:rPr>
                    </w:pPr>
                  </w:p>
                  <w:p>
                    <w:pPr>
                      <w:spacing w:before="146"/>
                      <w:ind w:left="107" w:right="0" w:firstLine="0"/>
                      <w:jc w:val="left"/>
                      <w:rPr>
                        <w:sz w:val="16"/>
                      </w:rPr>
                    </w:pPr>
                    <w:r>
                      <w:rPr>
                        <w:color w:val="FFFFFF"/>
                        <w:sz w:val="16"/>
                      </w:rPr>
                      <w:t>next page</w:t>
                    </w:r>
                  </w:p>
                </w:txbxContent>
              </v:textbox>
              <w10:wrap type="none"/>
            </v:shape>
            <w10:wrap type="none"/>
          </v:group>
        </w:pict>
      </w:r>
      <w:r>
        <w:rPr>
          <w:color w:val="6F2770"/>
          <w:sz w:val="96"/>
        </w:rPr>
        <w:t>Department of Finance</w:t>
      </w:r>
    </w:p>
    <w:p>
      <w:pPr>
        <w:spacing w:before="105"/>
        <w:ind w:left="765" w:right="0" w:firstLine="0"/>
        <w:jc w:val="left"/>
        <w:rPr>
          <w:sz w:val="56"/>
        </w:rPr>
      </w:pPr>
      <w:r>
        <w:rPr>
          <w:color w:val="A7BE39"/>
          <w:sz w:val="56"/>
        </w:rPr>
        <w:t>Annual Report 2016-17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r>
        <w:rPr/>
        <w:pict>
          <v:shape style="position:absolute;margin-left:0pt;margin-top:16.305088pt;width:22.15pt;height:44.3pt;mso-position-horizontal-relative:page;mso-position-vertical-relative:paragraph;z-index:-952;mso-wrap-distance-left:0;mso-wrap-distance-right:0" coordorigin="0,326" coordsize="443,886" path="m0,326l0,1212,443,769,0,326xe" filled="true" fillcolor="#ad8cad" stroked="false">
            <v:path arrowok="t"/>
            <v:fill type="solid"/>
            <w10:wrap type="topAndBottom"/>
          </v:shape>
        </w:pict>
      </w:r>
      <w:r>
        <w:rPr/>
        <w:pict>
          <v:group style="position:absolute;margin-left:44.730099pt;margin-top:38.453789pt;width:90.35pt;height:90.35pt;mso-position-horizontal-relative:page;mso-position-vertical-relative:paragraph;z-index:-928;mso-wrap-distance-left:0;mso-wrap-distance-right:0" coordorigin="895,769" coordsize="1807,1807">
            <v:shape style="position:absolute;left:1797;top:769;width:904;height:904" coordorigin="1798,769" coordsize="904,904" path="m2249,769l1798,1221,2249,1672,2701,1221,2249,769xe" filled="true" fillcolor="#c6cfb3" stroked="false">
              <v:path arrowok="t"/>
              <v:fill type="solid"/>
            </v:shape>
            <v:shape style="position:absolute;left:894;top:1672;width:904;height:904" coordorigin="895,1672" coordsize="904,904" path="m1346,1672l895,2124,1346,2575,1798,2124,1346,1672xe" filled="true" fillcolor="#e8e7e5" stroked="false">
              <v:path arrowok="t"/>
              <v:fill type="solid"/>
            </v:shape>
            <v:shape style="position:absolute;left:1797;top:1672;width:904;height:904" coordorigin="1798,1672" coordsize="904,904" path="m2249,1672l1798,2124,2249,2575,2701,2124,2249,1672xe" filled="true" fillcolor="#dfe2b4" stroked="false">
              <v:path arrowok="t"/>
              <v:fill type="solid"/>
            </v:shape>
            <w10:wrap type="topAndBottom"/>
          </v:group>
        </w:pict>
      </w:r>
    </w:p>
    <w:p>
      <w:pPr>
        <w:spacing w:after="0"/>
        <w:rPr>
          <w:sz w:val="24"/>
        </w:rPr>
        <w:sectPr>
          <w:type w:val="continuous"/>
          <w:pgSz w:w="16840" w:h="11910" w:orient="landscape"/>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spacing w:after="0"/>
        <w:rPr>
          <w:sz w:val="23"/>
        </w:rPr>
        <w:sectPr>
          <w:pgSz w:w="16840" w:h="11910" w:orient="landscape"/>
          <w:pgMar w:top="0" w:bottom="0" w:left="0" w:right="0"/>
        </w:sectPr>
      </w:pPr>
    </w:p>
    <w:p>
      <w:pPr>
        <w:pStyle w:val="Heading4"/>
        <w:spacing w:before="111"/>
      </w:pPr>
      <w:r>
        <w:rPr/>
        <w:pict>
          <v:line style="position:absolute;mso-position-horizontal-relative:page;mso-position-vertical-relative:paragraph;z-index:1336" from="841.890015pt,-59.616932pt" to="841.890015pt,-17.096932pt" stroked="true" strokeweight="0pt" strokecolor="#e6e7e8">
            <v:stroke dashstyle="solid"/>
            <w10:wrap type="none"/>
          </v:line>
        </w:pict>
      </w:r>
      <w:r>
        <w:rPr>
          <w:color w:val="6F2770"/>
        </w:rPr>
        <w:t>Statement</w:t>
      </w:r>
      <w:r>
        <w:rPr>
          <w:color w:val="6F2770"/>
          <w:spacing w:val="-42"/>
        </w:rPr>
        <w:t> </w:t>
      </w:r>
      <w:r>
        <w:rPr>
          <w:color w:val="6F2770"/>
        </w:rPr>
        <w:t>of</w:t>
      </w:r>
      <w:r>
        <w:rPr>
          <w:color w:val="6F2770"/>
          <w:spacing w:val="-42"/>
        </w:rPr>
        <w:t> </w:t>
      </w:r>
      <w:r>
        <w:rPr>
          <w:color w:val="6F2770"/>
        </w:rPr>
        <w:t>Compliance</w:t>
      </w:r>
    </w:p>
    <w:p>
      <w:pPr>
        <w:spacing w:before="111"/>
        <w:ind w:left="765" w:right="0" w:firstLine="0"/>
        <w:jc w:val="left"/>
        <w:rPr>
          <w:sz w:val="36"/>
        </w:rPr>
      </w:pPr>
      <w:r>
        <w:rPr/>
        <w:br w:type="column"/>
      </w:r>
      <w:r>
        <w:rPr>
          <w:color w:val="6F2770"/>
          <w:sz w:val="36"/>
        </w:rPr>
        <w:t>About This Report</w:t>
      </w:r>
    </w:p>
    <w:p>
      <w:pPr>
        <w:pStyle w:val="BodyText"/>
        <w:spacing w:line="249" w:lineRule="auto" w:before="245"/>
        <w:ind w:left="765" w:right="59"/>
      </w:pPr>
      <w:r>
        <w:rPr/>
        <w:pict>
          <v:group style="position:absolute;margin-left:38.518002pt;margin-top:13.997158pt;width:239.95pt;height:433.05pt;mso-position-horizontal-relative:page;mso-position-vertical-relative:paragraph;z-index:1312" coordorigin="770,280" coordsize="4799,8661">
            <v:rect style="position:absolute;left:770;top:279;width:4799;height:8661" filled="true" fillcolor="#c4cd71" stroked="false">
              <v:fill opacity="13107f" type="solid"/>
            </v:rect>
            <v:shape style="position:absolute;left:1084;top:6099;width:933;height:941" coordorigin="1084,6099" coordsize="933,941" path="m1974,6840l1958,6835,1940,6840,1924,6852,1919,6863,1935,6868,1953,6863,1969,6852,1974,6840m2016,6753l2009,6753,1999,6754,1992,6756,1923,6791,1855,6808,1787,6811,1720,6801,1653,6782,1618,6770,1585,6758,1562,6753,1539,6752,1516,6757,1494,6765,1439,6775,1412,6744,1406,6689,1412,6629,1420,6579,1437,6502,1461,6427,1489,6353,1517,6280,1519,6274,1516,6274,1524,6258,1544,6221,1562,6185,1575,6147,1581,6107,1581,6106,1581,6105,1581,6099,1554,6106,1552,6111,1525,6181,1496,6249,1464,6316,1430,6382,1395,6447,1359,6512,1292,6632,1261,6687,1230,6742,1200,6797,1167,6853,1133,6911,1103,6971,1085,7032,1084,7040,1113,7035,1114,7027,1129,6973,1154,6922,1183,6873,1212,6824,1242,6769,1272,6713,1302,6659,1333,6604,1374,6534,1347,6603,1321,6679,1317,6693,1309,6710,1297,6736,1297,6752,1296,6757,1270,6833,1297,6752,1297,6736,1278,6776,1250,6844,1226,6913,1210,6984,1209,6992,1236,6985,1239,6979,1268,6910,1295,6840,1320,6769,1351,6677,1354,6670,1396,6573,1389,6605,1379,6687,1379,6710,1379,6730,1388,6775,1411,6806,1454,6804,1462,6801,1472,6799,1479,6793,1514,6775,1521,6771,1559,6770,1595,6783,1633,6801,1668,6813,1704,6819,1740,6822,1777,6823,1840,6820,1890,6811,1901,6809,1959,6788,2014,6758,2016,6753e" filled="true" fillcolor="#000101" stroked="false">
              <v:path arrowok="t"/>
              <v:fill type="solid"/>
            </v:shape>
            <v:shape style="position:absolute;left:770;top:279;width:4799;height:8661" type="#_x0000_t202" filled="false" stroked="false">
              <v:textbox inset="0,0,0,0">
                <w:txbxContent>
                  <w:p>
                    <w:pPr>
                      <w:spacing w:line="240" w:lineRule="auto" w:before="0"/>
                      <w:rPr>
                        <w:sz w:val="26"/>
                      </w:rPr>
                    </w:pPr>
                  </w:p>
                  <w:p>
                    <w:pPr>
                      <w:spacing w:line="501" w:lineRule="auto" w:before="194"/>
                      <w:ind w:left="278" w:right="1101" w:firstLine="0"/>
                      <w:jc w:val="left"/>
                      <w:rPr>
                        <w:b/>
                        <w:sz w:val="22"/>
                      </w:rPr>
                    </w:pPr>
                    <w:r>
                      <w:rPr>
                        <w:b/>
                        <w:sz w:val="22"/>
                      </w:rPr>
                      <w:t>For the year ended 30 June 2017 HON BEN WYATT MLA</w:t>
                    </w:r>
                  </w:p>
                  <w:p>
                    <w:pPr>
                      <w:spacing w:line="249" w:lineRule="auto" w:before="0"/>
                      <w:ind w:left="278" w:right="0" w:firstLine="0"/>
                      <w:jc w:val="left"/>
                      <w:rPr>
                        <w:b/>
                        <w:sz w:val="22"/>
                      </w:rPr>
                    </w:pPr>
                    <w:r>
                      <w:rPr>
                        <w:b/>
                        <w:sz w:val="22"/>
                      </w:rPr>
                      <w:t>TREASURER; MINISTER FOR FINANCE; ENERGY; ABORIGINAL AFFAIRS</w:t>
                    </w:r>
                  </w:p>
                  <w:p>
                    <w:pPr>
                      <w:spacing w:line="240" w:lineRule="auto" w:before="11"/>
                      <w:rPr>
                        <w:sz w:val="22"/>
                      </w:rPr>
                    </w:pPr>
                  </w:p>
                  <w:p>
                    <w:pPr>
                      <w:spacing w:line="249" w:lineRule="auto" w:before="0"/>
                      <w:ind w:left="278" w:right="327" w:firstLine="0"/>
                      <w:jc w:val="left"/>
                      <w:rPr>
                        <w:sz w:val="22"/>
                      </w:rPr>
                    </w:pPr>
                    <w:r>
                      <w:rPr>
                        <w:sz w:val="22"/>
                      </w:rPr>
                      <w:t>In accordance with section 63 of the </w:t>
                    </w:r>
                    <w:r>
                      <w:rPr>
                        <w:i/>
                        <w:sz w:val="22"/>
                      </w:rPr>
                      <w:t>Financial Management Act 2006</w:t>
                    </w:r>
                    <w:r>
                      <w:rPr>
                        <w:sz w:val="22"/>
                      </w:rPr>
                      <w:t>, I hereby submit</w:t>
                    </w:r>
                    <w:r>
                      <w:rPr>
                        <w:spacing w:val="-19"/>
                        <w:sz w:val="22"/>
                      </w:rPr>
                      <w:t> </w:t>
                    </w:r>
                    <w:r>
                      <w:rPr>
                        <w:sz w:val="22"/>
                      </w:rPr>
                      <w:t>for</w:t>
                    </w:r>
                    <w:r>
                      <w:rPr>
                        <w:spacing w:val="-19"/>
                        <w:sz w:val="22"/>
                      </w:rPr>
                      <w:t> </w:t>
                    </w:r>
                    <w:r>
                      <w:rPr>
                        <w:sz w:val="22"/>
                      </w:rPr>
                      <w:t>your</w:t>
                    </w:r>
                    <w:r>
                      <w:rPr>
                        <w:spacing w:val="-19"/>
                        <w:sz w:val="22"/>
                      </w:rPr>
                      <w:t> </w:t>
                    </w:r>
                    <w:r>
                      <w:rPr>
                        <w:sz w:val="22"/>
                      </w:rPr>
                      <w:t>information</w:t>
                    </w:r>
                    <w:r>
                      <w:rPr>
                        <w:spacing w:val="-19"/>
                        <w:sz w:val="22"/>
                      </w:rPr>
                      <w:t> </w:t>
                    </w:r>
                    <w:r>
                      <w:rPr>
                        <w:sz w:val="22"/>
                      </w:rPr>
                      <w:t>and</w:t>
                    </w:r>
                    <w:r>
                      <w:rPr>
                        <w:spacing w:val="-19"/>
                        <w:sz w:val="22"/>
                      </w:rPr>
                      <w:t> </w:t>
                    </w:r>
                    <w:r>
                      <w:rPr>
                        <w:spacing w:val="-3"/>
                        <w:sz w:val="22"/>
                      </w:rPr>
                      <w:t>presentation </w:t>
                    </w:r>
                    <w:r>
                      <w:rPr>
                        <w:sz w:val="22"/>
                      </w:rPr>
                      <w:t>to Parliament, the Annual Report of the Department</w:t>
                    </w:r>
                    <w:r>
                      <w:rPr>
                        <w:spacing w:val="-24"/>
                        <w:sz w:val="22"/>
                      </w:rPr>
                      <w:t> </w:t>
                    </w:r>
                    <w:r>
                      <w:rPr>
                        <w:sz w:val="22"/>
                      </w:rPr>
                      <w:t>of</w:t>
                    </w:r>
                    <w:r>
                      <w:rPr>
                        <w:spacing w:val="-24"/>
                        <w:sz w:val="22"/>
                      </w:rPr>
                      <w:t> </w:t>
                    </w:r>
                    <w:r>
                      <w:rPr>
                        <w:sz w:val="22"/>
                      </w:rPr>
                      <w:t>Finance</w:t>
                    </w:r>
                    <w:r>
                      <w:rPr>
                        <w:spacing w:val="-23"/>
                        <w:sz w:val="22"/>
                      </w:rPr>
                      <w:t> </w:t>
                    </w:r>
                    <w:r>
                      <w:rPr>
                        <w:sz w:val="22"/>
                      </w:rPr>
                      <w:t>for</w:t>
                    </w:r>
                    <w:r>
                      <w:rPr>
                        <w:spacing w:val="-24"/>
                        <w:sz w:val="22"/>
                      </w:rPr>
                      <w:t> </w:t>
                    </w:r>
                    <w:r>
                      <w:rPr>
                        <w:sz w:val="22"/>
                      </w:rPr>
                      <w:t>the</w:t>
                    </w:r>
                    <w:r>
                      <w:rPr>
                        <w:spacing w:val="-23"/>
                        <w:sz w:val="22"/>
                      </w:rPr>
                      <w:t> </w:t>
                    </w:r>
                    <w:r>
                      <w:rPr>
                        <w:sz w:val="22"/>
                      </w:rPr>
                      <w:t>financial</w:t>
                    </w:r>
                    <w:r>
                      <w:rPr>
                        <w:spacing w:val="-24"/>
                        <w:sz w:val="22"/>
                      </w:rPr>
                      <w:t> </w:t>
                    </w:r>
                    <w:r>
                      <w:rPr>
                        <w:sz w:val="22"/>
                      </w:rPr>
                      <w:t>year ended 30 June</w:t>
                    </w:r>
                    <w:r>
                      <w:rPr>
                        <w:spacing w:val="-3"/>
                        <w:sz w:val="22"/>
                      </w:rPr>
                      <w:t> </w:t>
                    </w:r>
                    <w:r>
                      <w:rPr>
                        <w:sz w:val="22"/>
                      </w:rPr>
                      <w:t>2017.</w:t>
                    </w:r>
                  </w:p>
                  <w:p>
                    <w:pPr>
                      <w:spacing w:line="240" w:lineRule="auto" w:before="5"/>
                      <w:rPr>
                        <w:sz w:val="23"/>
                      </w:rPr>
                    </w:pPr>
                  </w:p>
                  <w:p>
                    <w:pPr>
                      <w:spacing w:line="249" w:lineRule="auto" w:before="0"/>
                      <w:ind w:left="278" w:right="760" w:firstLine="0"/>
                      <w:jc w:val="left"/>
                      <w:rPr>
                        <w:sz w:val="22"/>
                      </w:rPr>
                    </w:pPr>
                    <w:r>
                      <w:rPr>
                        <w:sz w:val="22"/>
                      </w:rPr>
                      <w:t>The</w:t>
                    </w:r>
                    <w:r>
                      <w:rPr>
                        <w:spacing w:val="-20"/>
                        <w:sz w:val="22"/>
                      </w:rPr>
                      <w:t> </w:t>
                    </w:r>
                    <w:r>
                      <w:rPr>
                        <w:sz w:val="22"/>
                      </w:rPr>
                      <w:t>Annual</w:t>
                    </w:r>
                    <w:r>
                      <w:rPr>
                        <w:spacing w:val="-19"/>
                        <w:sz w:val="22"/>
                      </w:rPr>
                      <w:t> </w:t>
                    </w:r>
                    <w:r>
                      <w:rPr>
                        <w:sz w:val="22"/>
                      </w:rPr>
                      <w:t>Report</w:t>
                    </w:r>
                    <w:r>
                      <w:rPr>
                        <w:spacing w:val="-19"/>
                        <w:sz w:val="22"/>
                      </w:rPr>
                      <w:t> </w:t>
                    </w:r>
                    <w:r>
                      <w:rPr>
                        <w:sz w:val="22"/>
                      </w:rPr>
                      <w:t>has</w:t>
                    </w:r>
                    <w:r>
                      <w:rPr>
                        <w:spacing w:val="-19"/>
                        <w:sz w:val="22"/>
                      </w:rPr>
                      <w:t> </w:t>
                    </w:r>
                    <w:r>
                      <w:rPr>
                        <w:sz w:val="22"/>
                      </w:rPr>
                      <w:t>been</w:t>
                    </w:r>
                    <w:r>
                      <w:rPr>
                        <w:spacing w:val="-19"/>
                        <w:sz w:val="22"/>
                      </w:rPr>
                      <w:t> </w:t>
                    </w:r>
                    <w:r>
                      <w:rPr>
                        <w:sz w:val="22"/>
                      </w:rPr>
                      <w:t>prepared in</w:t>
                    </w:r>
                    <w:r>
                      <w:rPr>
                        <w:spacing w:val="-16"/>
                        <w:sz w:val="22"/>
                      </w:rPr>
                      <w:t> </w:t>
                    </w:r>
                    <w:r>
                      <w:rPr>
                        <w:sz w:val="22"/>
                      </w:rPr>
                      <w:t>accordance</w:t>
                    </w:r>
                    <w:r>
                      <w:rPr>
                        <w:spacing w:val="-16"/>
                        <w:sz w:val="22"/>
                      </w:rPr>
                      <w:t> </w:t>
                    </w:r>
                    <w:r>
                      <w:rPr>
                        <w:sz w:val="22"/>
                      </w:rPr>
                      <w:t>with</w:t>
                    </w:r>
                    <w:r>
                      <w:rPr>
                        <w:spacing w:val="-15"/>
                        <w:sz w:val="22"/>
                      </w:rPr>
                      <w:t> </w:t>
                    </w:r>
                    <w:r>
                      <w:rPr>
                        <w:sz w:val="22"/>
                      </w:rPr>
                      <w:t>the</w:t>
                    </w:r>
                    <w:r>
                      <w:rPr>
                        <w:spacing w:val="-16"/>
                        <w:sz w:val="22"/>
                      </w:rPr>
                      <w:t> </w:t>
                    </w:r>
                    <w:r>
                      <w:rPr>
                        <w:sz w:val="22"/>
                      </w:rPr>
                      <w:t>provisions</w:t>
                    </w:r>
                    <w:r>
                      <w:rPr>
                        <w:spacing w:val="-15"/>
                        <w:sz w:val="22"/>
                      </w:rPr>
                      <w:t> </w:t>
                    </w:r>
                    <w:r>
                      <w:rPr>
                        <w:sz w:val="22"/>
                      </w:rPr>
                      <w:t>of</w:t>
                    </w:r>
                    <w:r>
                      <w:rPr>
                        <w:spacing w:val="-16"/>
                        <w:sz w:val="22"/>
                      </w:rPr>
                      <w:t> </w:t>
                    </w:r>
                    <w:r>
                      <w:rPr>
                        <w:spacing w:val="-6"/>
                        <w:sz w:val="22"/>
                      </w:rPr>
                      <w:t>the </w:t>
                    </w:r>
                    <w:r>
                      <w:rPr>
                        <w:i/>
                        <w:sz w:val="22"/>
                      </w:rPr>
                      <w:t>Financial Management Act</w:t>
                    </w:r>
                    <w:r>
                      <w:rPr>
                        <w:i/>
                        <w:spacing w:val="-22"/>
                        <w:sz w:val="22"/>
                      </w:rPr>
                      <w:t> </w:t>
                    </w:r>
                    <w:r>
                      <w:rPr>
                        <w:i/>
                        <w:sz w:val="22"/>
                      </w:rPr>
                      <w:t>2006</w:t>
                    </w:r>
                    <w:r>
                      <w:rPr>
                        <w:sz w:val="22"/>
                      </w:rPr>
                      <w:t>.</w: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11"/>
                      <w:rPr>
                        <w:sz w:val="30"/>
                      </w:rPr>
                    </w:pPr>
                  </w:p>
                  <w:p>
                    <w:pPr>
                      <w:spacing w:line="249" w:lineRule="auto" w:before="0"/>
                      <w:ind w:left="278" w:right="2763" w:firstLine="0"/>
                      <w:jc w:val="left"/>
                      <w:rPr>
                        <w:sz w:val="22"/>
                      </w:rPr>
                    </w:pPr>
                    <w:r>
                      <w:rPr>
                        <w:sz w:val="22"/>
                      </w:rPr>
                      <w:t>Anne Nolan </w:t>
                    </w:r>
                    <w:r>
                      <w:rPr>
                        <w:w w:val="95"/>
                        <w:sz w:val="22"/>
                      </w:rPr>
                      <w:t>Director General </w:t>
                    </w:r>
                    <w:r>
                      <w:rPr>
                        <w:sz w:val="22"/>
                      </w:rPr>
                      <w:t>23 August 2017</w:t>
                    </w:r>
                  </w:p>
                </w:txbxContent>
              </v:textbox>
              <w10:wrap type="none"/>
            </v:shape>
            <w10:wrap type="none"/>
          </v:group>
        </w:pict>
      </w:r>
      <w:r>
        <w:rPr/>
        <w:t>Every</w:t>
      </w:r>
      <w:r>
        <w:rPr>
          <w:spacing w:val="-24"/>
        </w:rPr>
        <w:t> </w:t>
      </w:r>
      <w:r>
        <w:rPr/>
        <w:t>effort</w:t>
      </w:r>
      <w:r>
        <w:rPr>
          <w:spacing w:val="-24"/>
        </w:rPr>
        <w:t> </w:t>
      </w:r>
      <w:r>
        <w:rPr/>
        <w:t>has</w:t>
      </w:r>
      <w:r>
        <w:rPr>
          <w:spacing w:val="-23"/>
        </w:rPr>
        <w:t> </w:t>
      </w:r>
      <w:r>
        <w:rPr/>
        <w:t>been</w:t>
      </w:r>
      <w:r>
        <w:rPr>
          <w:spacing w:val="-24"/>
        </w:rPr>
        <w:t> </w:t>
      </w:r>
      <w:r>
        <w:rPr/>
        <w:t>made</w:t>
      </w:r>
      <w:r>
        <w:rPr>
          <w:spacing w:val="-23"/>
        </w:rPr>
        <w:t> </w:t>
      </w:r>
      <w:r>
        <w:rPr/>
        <w:t>to</w:t>
      </w:r>
      <w:r>
        <w:rPr>
          <w:spacing w:val="-24"/>
        </w:rPr>
        <w:t> </w:t>
      </w:r>
      <w:r>
        <w:rPr/>
        <w:t>improve</w:t>
      </w:r>
      <w:r>
        <w:rPr>
          <w:spacing w:val="-24"/>
        </w:rPr>
        <w:t> </w:t>
      </w:r>
      <w:r>
        <w:rPr>
          <w:spacing w:val="-3"/>
        </w:rPr>
        <w:t>readability </w:t>
      </w:r>
      <w:r>
        <w:rPr/>
        <w:t>and</w:t>
      </w:r>
      <w:r>
        <w:rPr>
          <w:spacing w:val="-17"/>
        </w:rPr>
        <w:t> </w:t>
      </w:r>
      <w:r>
        <w:rPr/>
        <w:t>accessibility</w:t>
      </w:r>
      <w:r>
        <w:rPr>
          <w:spacing w:val="-16"/>
        </w:rPr>
        <w:t> </w:t>
      </w:r>
      <w:r>
        <w:rPr/>
        <w:t>of</w:t>
      </w:r>
      <w:r>
        <w:rPr>
          <w:spacing w:val="-16"/>
        </w:rPr>
        <w:t> </w:t>
      </w:r>
      <w:r>
        <w:rPr/>
        <w:t>this</w:t>
      </w:r>
      <w:r>
        <w:rPr>
          <w:spacing w:val="-16"/>
        </w:rPr>
        <w:t> </w:t>
      </w:r>
      <w:r>
        <w:rPr/>
        <w:t>report</w:t>
      </w:r>
      <w:r>
        <w:rPr>
          <w:spacing w:val="-16"/>
        </w:rPr>
        <w:t> </w:t>
      </w:r>
      <w:r>
        <w:rPr/>
        <w:t>in</w:t>
      </w:r>
      <w:r>
        <w:rPr>
          <w:spacing w:val="-17"/>
        </w:rPr>
        <w:t> </w:t>
      </w:r>
      <w:r>
        <w:rPr/>
        <w:t>print</w:t>
      </w:r>
      <w:r>
        <w:rPr>
          <w:spacing w:val="-16"/>
        </w:rPr>
        <w:t> </w:t>
      </w:r>
      <w:r>
        <w:rPr/>
        <w:t>and</w:t>
      </w:r>
      <w:r>
        <w:rPr>
          <w:spacing w:val="-16"/>
        </w:rPr>
        <w:t> </w:t>
      </w:r>
      <w:r>
        <w:rPr/>
        <w:t>online.</w:t>
      </w:r>
    </w:p>
    <w:p>
      <w:pPr>
        <w:pStyle w:val="BodyText"/>
        <w:spacing w:before="2"/>
        <w:rPr>
          <w:sz w:val="23"/>
        </w:rPr>
      </w:pPr>
    </w:p>
    <w:p>
      <w:pPr>
        <w:pStyle w:val="BodyText"/>
        <w:spacing w:line="249" w:lineRule="auto"/>
        <w:ind w:left="765" w:right="-11"/>
      </w:pPr>
      <w:r>
        <w:rPr/>
        <w:t>The</w:t>
      </w:r>
      <w:r>
        <w:rPr>
          <w:spacing w:val="-36"/>
        </w:rPr>
        <w:t> </w:t>
      </w:r>
      <w:r>
        <w:rPr/>
        <w:t>Department</w:t>
      </w:r>
      <w:r>
        <w:rPr>
          <w:spacing w:val="-35"/>
        </w:rPr>
        <w:t> </w:t>
      </w:r>
      <w:r>
        <w:rPr/>
        <w:t>of</w:t>
      </w:r>
      <w:r>
        <w:rPr>
          <w:spacing w:val="-36"/>
        </w:rPr>
        <w:t> </w:t>
      </w:r>
      <w:r>
        <w:rPr/>
        <w:t>Finance</w:t>
      </w:r>
      <w:r>
        <w:rPr>
          <w:spacing w:val="-35"/>
        </w:rPr>
        <w:t> </w:t>
      </w:r>
      <w:r>
        <w:rPr/>
        <w:t>supports</w:t>
      </w:r>
      <w:r>
        <w:rPr>
          <w:spacing w:val="-36"/>
        </w:rPr>
        <w:t> </w:t>
      </w:r>
      <w:r>
        <w:rPr/>
        <w:t>sustainability and</w:t>
      </w:r>
      <w:r>
        <w:rPr>
          <w:spacing w:val="-15"/>
        </w:rPr>
        <w:t> </w:t>
      </w:r>
      <w:r>
        <w:rPr/>
        <w:t>encourages</w:t>
      </w:r>
      <w:r>
        <w:rPr>
          <w:spacing w:val="-15"/>
        </w:rPr>
        <w:t> </w:t>
      </w:r>
      <w:r>
        <w:rPr/>
        <w:t>readers</w:t>
      </w:r>
      <w:r>
        <w:rPr>
          <w:spacing w:val="-14"/>
        </w:rPr>
        <w:t> </w:t>
      </w:r>
      <w:r>
        <w:rPr/>
        <w:t>to</w:t>
      </w:r>
      <w:r>
        <w:rPr>
          <w:spacing w:val="-15"/>
        </w:rPr>
        <w:t> </w:t>
      </w:r>
      <w:r>
        <w:rPr/>
        <w:t>view</w:t>
      </w:r>
      <w:r>
        <w:rPr>
          <w:spacing w:val="-15"/>
        </w:rPr>
        <w:t> </w:t>
      </w:r>
      <w:r>
        <w:rPr/>
        <w:t>the</w:t>
      </w:r>
      <w:r>
        <w:rPr>
          <w:spacing w:val="-14"/>
        </w:rPr>
        <w:t> </w:t>
      </w:r>
      <w:r>
        <w:rPr/>
        <w:t>report</w:t>
      </w:r>
      <w:r>
        <w:rPr>
          <w:spacing w:val="-15"/>
        </w:rPr>
        <w:t> </w:t>
      </w:r>
      <w:r>
        <w:rPr/>
        <w:t>on</w:t>
      </w:r>
      <w:r>
        <w:rPr>
          <w:spacing w:val="-15"/>
        </w:rPr>
        <w:t> </w:t>
      </w:r>
      <w:r>
        <w:rPr/>
        <w:t>the </w:t>
      </w:r>
      <w:r>
        <w:rPr>
          <w:spacing w:val="-3"/>
        </w:rPr>
        <w:t>Department’s </w:t>
      </w:r>
      <w:r>
        <w:rPr/>
        <w:t>website. Only limited professional printed copies have been</w:t>
      </w:r>
      <w:r>
        <w:rPr>
          <w:spacing w:val="-12"/>
        </w:rPr>
        <w:t> </w:t>
      </w:r>
      <w:r>
        <w:rPr/>
        <w:t>produced.</w:t>
      </w:r>
    </w:p>
    <w:p>
      <w:pPr>
        <w:pStyle w:val="BodyText"/>
        <w:spacing w:before="3"/>
        <w:rPr>
          <w:sz w:val="23"/>
        </w:rPr>
      </w:pPr>
    </w:p>
    <w:p>
      <w:pPr>
        <w:pStyle w:val="BodyText"/>
        <w:spacing w:line="249" w:lineRule="auto"/>
        <w:ind w:left="765" w:right="6"/>
      </w:pPr>
      <w:r>
        <w:rPr/>
        <w:t>As part of the </w:t>
      </w:r>
      <w:r>
        <w:rPr>
          <w:spacing w:val="-3"/>
        </w:rPr>
        <w:t>Department’s </w:t>
      </w:r>
      <w:r>
        <w:rPr/>
        <w:t>focus on continuous improvement,</w:t>
      </w:r>
      <w:r>
        <w:rPr>
          <w:spacing w:val="-21"/>
        </w:rPr>
        <w:t> </w:t>
      </w:r>
      <w:r>
        <w:rPr/>
        <w:t>we</w:t>
      </w:r>
      <w:r>
        <w:rPr>
          <w:spacing w:val="-20"/>
        </w:rPr>
        <w:t> </w:t>
      </w:r>
      <w:r>
        <w:rPr/>
        <w:t>encourage</w:t>
      </w:r>
      <w:r>
        <w:rPr>
          <w:spacing w:val="-20"/>
        </w:rPr>
        <w:t> </w:t>
      </w:r>
      <w:r>
        <w:rPr/>
        <w:t>your</w:t>
      </w:r>
      <w:r>
        <w:rPr>
          <w:spacing w:val="-20"/>
        </w:rPr>
        <w:t> </w:t>
      </w:r>
      <w:r>
        <w:rPr/>
        <w:t>feedback</w:t>
      </w:r>
      <w:r>
        <w:rPr>
          <w:spacing w:val="-21"/>
        </w:rPr>
        <w:t> </w:t>
      </w:r>
      <w:r>
        <w:rPr>
          <w:spacing w:val="-4"/>
        </w:rPr>
        <w:t>about </w:t>
      </w:r>
      <w:r>
        <w:rPr/>
        <w:t>this</w:t>
      </w:r>
      <w:r>
        <w:rPr>
          <w:spacing w:val="-1"/>
        </w:rPr>
        <w:t> </w:t>
      </w:r>
      <w:r>
        <w:rPr/>
        <w:t>document.</w:t>
      </w:r>
    </w:p>
    <w:p>
      <w:pPr>
        <w:pStyle w:val="BodyText"/>
        <w:spacing w:before="2"/>
        <w:rPr>
          <w:sz w:val="23"/>
        </w:rPr>
      </w:pPr>
    </w:p>
    <w:p>
      <w:pPr>
        <w:pStyle w:val="BodyText"/>
        <w:spacing w:line="249" w:lineRule="auto"/>
        <w:ind w:left="765"/>
      </w:pPr>
      <w:r>
        <w:rPr/>
        <w:pict>
          <v:group style="position:absolute;margin-left:400.283813pt;margin-top:15.954865pt;width:441.6pt;height:322.8pt;mso-position-horizontal-relative:page;mso-position-vertical-relative:paragraph;z-index:-812368" coordorigin="8006,319" coordsize="8832,6456">
            <v:shape style="position:absolute;left:10532;top:319;width:6306;height:5445" type="#_x0000_t75" stroked="false">
              <v:imagedata r:id="rId12" o:title=""/>
            </v:shape>
            <v:shape style="position:absolute;left:9360;top:4477;width:904;height:904" coordorigin="9360,4478" coordsize="904,904" path="m9812,4478l9360,4929,9812,5381,10264,4929,9812,4478xe" filled="true" fillcolor="#938096" stroked="false">
              <v:path arrowok="t"/>
              <v:fill opacity="42598f" type="solid"/>
            </v:shape>
            <v:shape style="position:absolute;left:9360;top:5380;width:904;height:904" coordorigin="9360,5381" coordsize="904,904" path="m9812,5381l9360,5832,9812,6284,10264,5832,9812,5381xe" filled="true" fillcolor="#d8dad9" stroked="false">
              <v:path arrowok="t"/>
              <v:fill opacity="42598f" type="solid"/>
            </v:shape>
            <v:shape style="position:absolute;left:8457;top:4477;width:904;height:904" coordorigin="8457,4478" coordsize="904,904" path="m8909,4478l8457,4929,8909,5381,9360,4929,8909,4478xe" filled="true" fillcolor="#d4d4d3" stroked="false">
              <v:path arrowok="t"/>
              <v:fill opacity="42598f" type="solid"/>
            </v:shape>
            <v:shape style="position:absolute;left:10263;top:5380;width:904;height:904" coordorigin="10264,5381" coordsize="904,904" path="m10715,5381l10264,5832,10715,6284,11167,5832,10715,5381xe" filled="true" fillcolor="#8d5f8e" stroked="false">
              <v:path arrowok="t"/>
              <v:fill opacity="42598f" type="solid"/>
            </v:shape>
            <v:shape style="position:absolute;left:8005;top:4929;width:904;height:904" coordorigin="8006,4929" coordsize="904,904" path="m8457,4929l8006,5381,8457,5832,8909,5381,8457,4929xe" filled="true" fillcolor="#783a79" stroked="false">
              <v:path arrowok="t"/>
              <v:fill opacity="42598f" type="solid"/>
            </v:shape>
            <v:shape style="position:absolute;left:9360;top:6284;width:904;height:491" coordorigin="9360,6284" coordsize="904,491" path="m9812,6284l9360,6736,9400,6775,10224,6775,10264,6736,9812,6284xe" filled="true" fillcolor="#c4cd71" stroked="false">
              <v:path arrowok="t"/>
              <v:fill opacity="42598f" type="solid"/>
            </v:shape>
            <w10:wrap type="none"/>
          </v:group>
        </w:pict>
      </w:r>
      <w:r>
        <w:rPr/>
        <w:t>Email feedback to: </w:t>
      </w:r>
      <w:hyperlink r:id="rId13">
        <w:r>
          <w:rPr>
            <w:color w:val="A7BE39"/>
            <w:w w:val="95"/>
            <w:u w:val="single" w:color="A7BE39"/>
          </w:rPr>
          <w:t>Corporate.Communications@finance.wa.gov.au</w:t>
        </w:r>
      </w:hyperlink>
    </w:p>
    <w:p>
      <w:pPr>
        <w:pStyle w:val="BodyText"/>
        <w:spacing w:before="1"/>
        <w:rPr>
          <w:sz w:val="23"/>
        </w:rPr>
      </w:pPr>
    </w:p>
    <w:p>
      <w:pPr>
        <w:pStyle w:val="BodyText"/>
        <w:spacing w:line="249" w:lineRule="auto"/>
        <w:ind w:left="765" w:right="243"/>
      </w:pPr>
      <w:r>
        <w:rPr/>
        <w:t>Contact</w:t>
      </w:r>
      <w:r>
        <w:rPr>
          <w:spacing w:val="-18"/>
        </w:rPr>
        <w:t> </w:t>
      </w:r>
      <w:r>
        <w:rPr/>
        <w:t>details</w:t>
      </w:r>
      <w:r>
        <w:rPr>
          <w:spacing w:val="-17"/>
        </w:rPr>
        <w:t> </w:t>
      </w:r>
      <w:r>
        <w:rPr/>
        <w:t>for</w:t>
      </w:r>
      <w:r>
        <w:rPr>
          <w:spacing w:val="-17"/>
        </w:rPr>
        <w:t> </w:t>
      </w:r>
      <w:r>
        <w:rPr/>
        <w:t>the</w:t>
      </w:r>
      <w:r>
        <w:rPr>
          <w:spacing w:val="-17"/>
        </w:rPr>
        <w:t> </w:t>
      </w:r>
      <w:r>
        <w:rPr/>
        <w:t>Department</w:t>
      </w:r>
      <w:r>
        <w:rPr>
          <w:spacing w:val="-18"/>
        </w:rPr>
        <w:t> </w:t>
      </w:r>
      <w:r>
        <w:rPr/>
        <w:t>are</w:t>
      </w:r>
      <w:r>
        <w:rPr>
          <w:spacing w:val="-17"/>
        </w:rPr>
        <w:t> </w:t>
      </w:r>
      <w:r>
        <w:rPr/>
        <w:t>listed</w:t>
      </w:r>
      <w:r>
        <w:rPr>
          <w:spacing w:val="-17"/>
        </w:rPr>
        <w:t> </w:t>
      </w:r>
      <w:r>
        <w:rPr>
          <w:spacing w:val="-9"/>
        </w:rPr>
        <w:t>on </w:t>
      </w:r>
      <w:r>
        <w:rPr/>
        <w:t>the last page of this</w:t>
      </w:r>
      <w:r>
        <w:rPr>
          <w:spacing w:val="-9"/>
        </w:rPr>
        <w:t> </w:t>
      </w:r>
      <w:r>
        <w:rPr/>
        <w:t>report.</w:t>
      </w:r>
    </w:p>
    <w:p>
      <w:pPr>
        <w:pStyle w:val="BodyText"/>
        <w:spacing w:before="2"/>
        <w:rPr>
          <w:sz w:val="23"/>
        </w:rPr>
      </w:pPr>
    </w:p>
    <w:p>
      <w:pPr>
        <w:pStyle w:val="BodyText"/>
        <w:ind w:left="765"/>
      </w:pPr>
      <w:r>
        <w:rPr/>
        <w:t>Department of Finance Annual Report 2016-17</w:t>
      </w:r>
    </w:p>
    <w:p>
      <w:pPr>
        <w:pStyle w:val="BodyText"/>
        <w:spacing w:line="249" w:lineRule="auto" w:before="11"/>
        <w:ind w:left="765" w:right="1703"/>
      </w:pPr>
      <w:r>
        <w:rPr/>
        <w:t>© Department of Finance 2017 ISSN 2203-594X (Print)</w:t>
      </w:r>
    </w:p>
    <w:p>
      <w:pPr>
        <w:pStyle w:val="BodyText"/>
        <w:spacing w:before="2"/>
        <w:ind w:left="765"/>
      </w:pPr>
      <w:r>
        <w:rPr/>
        <w:t>ISSN 2203-5958 (Online)</w:t>
      </w:r>
    </w:p>
    <w:p>
      <w:pPr>
        <w:pStyle w:val="Heading4"/>
        <w:spacing w:before="111"/>
        <w:ind w:left="469"/>
      </w:pPr>
      <w:r>
        <w:rPr/>
        <w:br w:type="column"/>
      </w:r>
      <w:r>
        <w:rPr>
          <w:color w:val="6F2770"/>
        </w:rPr>
        <w:t>Key Legislation</w:t>
      </w:r>
    </w:p>
    <w:p>
      <w:pPr>
        <w:pStyle w:val="BodyText"/>
        <w:spacing w:before="245"/>
        <w:ind w:left="469"/>
      </w:pPr>
      <w:r>
        <w:rPr/>
        <w:pict>
          <v:group style="position:absolute;margin-left:763.172119pt;margin-top:-32.10284pt;width:61.1pt;height:45.2pt;mso-position-horizontal-relative:page;mso-position-vertical-relative:paragraph;z-index:1384" coordorigin="15263,-642" coordsize="1222,904">
            <v:shape style="position:absolute;left:15424;top:-643;width:900;height:904" coordorigin="15424,-642" coordsize="900,904" path="m15874,-642l15424,-192,15424,-189,15874,261,16324,-189,16324,-192,15874,-642xe" filled="true" fillcolor="#c4cd71" stroked="false">
              <v:path arrowok="t"/>
              <v:fill type="solid"/>
            </v:shape>
            <v:shape style="position:absolute;left:15422;top:-193;width:2;height:4" coordorigin="15423,-192" coordsize="2,4" path="m15424,-192l15423,-190,15424,-189,15424,-192xe" filled="true" fillcolor="#b9c369" stroked="false">
              <v:path arrowok="t"/>
              <v:fill type="solid"/>
            </v:shape>
            <v:shape style="position:absolute;left:16324;top:-193;width:2;height:4" coordorigin="16324,-192" coordsize="2,4" path="m16324,-192l16324,-189,16326,-190,16324,-192xe" filled="true" fillcolor="#bec29e" stroked="false">
              <v:path arrowok="t"/>
              <v:fill type="solid"/>
            </v:shape>
            <v:shape style="position:absolute;left:15263;top:-352;width:1222;height:322" coordorigin="15263,-351" coordsize="1222,322" path="m15424,-351l15263,-190,15424,-30,15424,-189,15423,-190,15424,-192,15424,-351m16485,-190l16324,-351,16324,-192,16326,-190,16324,-189,16324,-30,16485,-190e" filled="true" fillcolor="#acacad" stroked="false">
              <v:path arrowok="t"/>
              <v:fill type="solid"/>
            </v:shape>
            <v:shape style="position:absolute;left:15263;top:-643;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t>The Department of Finance complies</w:t>
      </w:r>
    </w:p>
    <w:p>
      <w:pPr>
        <w:pStyle w:val="BodyText"/>
        <w:spacing w:line="249" w:lineRule="auto" w:before="11"/>
        <w:ind w:left="469" w:right="1635"/>
      </w:pPr>
      <w:r>
        <w:rPr/>
        <w:t>with</w:t>
      </w:r>
      <w:r>
        <w:rPr>
          <w:spacing w:val="-27"/>
        </w:rPr>
        <w:t> </w:t>
      </w:r>
      <w:r>
        <w:rPr/>
        <w:t>all</w:t>
      </w:r>
      <w:r>
        <w:rPr>
          <w:spacing w:val="-26"/>
        </w:rPr>
        <w:t> </w:t>
      </w:r>
      <w:r>
        <w:rPr/>
        <w:t>relevant</w:t>
      </w:r>
      <w:r>
        <w:rPr>
          <w:spacing w:val="-27"/>
        </w:rPr>
        <w:t> </w:t>
      </w:r>
      <w:r>
        <w:rPr/>
        <w:t>legislation</w:t>
      </w:r>
      <w:r>
        <w:rPr>
          <w:spacing w:val="-26"/>
        </w:rPr>
        <w:t> </w:t>
      </w:r>
      <w:r>
        <w:rPr/>
        <w:t>that</w:t>
      </w:r>
      <w:r>
        <w:rPr>
          <w:spacing w:val="-26"/>
        </w:rPr>
        <w:t> </w:t>
      </w:r>
      <w:r>
        <w:rPr/>
        <w:t>governs</w:t>
      </w:r>
      <w:r>
        <w:rPr>
          <w:spacing w:val="-27"/>
        </w:rPr>
        <w:t> </w:t>
      </w:r>
      <w:r>
        <w:rPr>
          <w:spacing w:val="-6"/>
        </w:rPr>
        <w:t>its </w:t>
      </w:r>
      <w:r>
        <w:rPr/>
        <w:t>functions.</w:t>
      </w:r>
    </w:p>
    <w:p>
      <w:pPr>
        <w:pStyle w:val="BodyText"/>
        <w:spacing w:before="2"/>
        <w:rPr>
          <w:sz w:val="23"/>
        </w:rPr>
      </w:pPr>
    </w:p>
    <w:p>
      <w:pPr>
        <w:pStyle w:val="BodyText"/>
        <w:spacing w:line="249" w:lineRule="auto"/>
        <w:ind w:left="469" w:right="1104"/>
      </w:pPr>
      <w:r>
        <w:rPr/>
        <w:t>The</w:t>
      </w:r>
      <w:r>
        <w:rPr>
          <w:spacing w:val="-20"/>
        </w:rPr>
        <w:t> </w:t>
      </w:r>
      <w:r>
        <w:rPr/>
        <w:t>Department</w:t>
      </w:r>
      <w:r>
        <w:rPr>
          <w:spacing w:val="-19"/>
        </w:rPr>
        <w:t> </w:t>
      </w:r>
      <w:r>
        <w:rPr/>
        <w:t>also</w:t>
      </w:r>
      <w:r>
        <w:rPr>
          <w:spacing w:val="-19"/>
        </w:rPr>
        <w:t> </w:t>
      </w:r>
      <w:r>
        <w:rPr/>
        <w:t>has</w:t>
      </w:r>
      <w:r>
        <w:rPr>
          <w:spacing w:val="-20"/>
        </w:rPr>
        <w:t> </w:t>
      </w:r>
      <w:r>
        <w:rPr/>
        <w:t>responsibility</w:t>
      </w:r>
      <w:r>
        <w:rPr>
          <w:spacing w:val="-19"/>
        </w:rPr>
        <w:t> </w:t>
      </w:r>
      <w:r>
        <w:rPr/>
        <w:t>for</w:t>
      </w:r>
      <w:r>
        <w:rPr>
          <w:spacing w:val="-19"/>
        </w:rPr>
        <w:t> </w:t>
      </w:r>
      <w:r>
        <w:rPr/>
        <w:t>the administration of 34 Acts and collected taxes, duties</w:t>
      </w:r>
      <w:r>
        <w:rPr>
          <w:spacing w:val="-17"/>
        </w:rPr>
        <w:t> </w:t>
      </w:r>
      <w:r>
        <w:rPr/>
        <w:t>and</w:t>
      </w:r>
      <w:r>
        <w:rPr>
          <w:spacing w:val="-17"/>
        </w:rPr>
        <w:t> </w:t>
      </w:r>
      <w:r>
        <w:rPr/>
        <w:t>fees,</w:t>
      </w:r>
      <w:r>
        <w:rPr>
          <w:spacing w:val="-17"/>
        </w:rPr>
        <w:t> </w:t>
      </w:r>
      <w:r>
        <w:rPr/>
        <w:t>and</w:t>
      </w:r>
      <w:r>
        <w:rPr>
          <w:spacing w:val="-17"/>
        </w:rPr>
        <w:t> </w:t>
      </w:r>
      <w:r>
        <w:rPr/>
        <w:t>paid</w:t>
      </w:r>
      <w:r>
        <w:rPr>
          <w:spacing w:val="-17"/>
        </w:rPr>
        <w:t> </w:t>
      </w:r>
      <w:r>
        <w:rPr/>
        <w:t>subsidies,</w:t>
      </w:r>
      <w:r>
        <w:rPr>
          <w:spacing w:val="-16"/>
        </w:rPr>
        <w:t> </w:t>
      </w:r>
      <w:r>
        <w:rPr/>
        <w:t>grants</w:t>
      </w:r>
      <w:r>
        <w:rPr>
          <w:spacing w:val="-17"/>
        </w:rPr>
        <w:t> </w:t>
      </w:r>
      <w:r>
        <w:rPr>
          <w:spacing w:val="-6"/>
        </w:rPr>
        <w:t>and </w:t>
      </w:r>
      <w:r>
        <w:rPr/>
        <w:t>rebates during 2016-17 in accordance with legislation.</w:t>
      </w:r>
    </w:p>
    <w:p>
      <w:pPr>
        <w:pStyle w:val="BodyText"/>
        <w:spacing w:before="4"/>
        <w:rPr>
          <w:sz w:val="23"/>
        </w:rPr>
      </w:pPr>
    </w:p>
    <w:p>
      <w:pPr>
        <w:pStyle w:val="BodyText"/>
        <w:ind w:left="469"/>
      </w:pPr>
      <w:r>
        <w:rPr/>
        <w:t>These are listed in the Appendix on page </w:t>
      </w:r>
      <w:hyperlink w:history="true" w:anchor="_bookmark73">
        <w:r>
          <w:rPr>
            <w:color w:val="A7BE39"/>
            <w:u w:val="single" w:color="A7BE39"/>
          </w:rPr>
          <w:t>116</w:t>
        </w:r>
      </w:hyperlink>
      <w:r>
        <w:rPr/>
        <w:t>.</w:t>
      </w:r>
    </w:p>
    <w:p>
      <w:pPr>
        <w:spacing w:after="0"/>
        <w:sectPr>
          <w:type w:val="continuous"/>
          <w:pgSz w:w="16840" w:h="11910" w:orient="landscape"/>
          <w:pgMar w:top="0" w:bottom="0" w:left="0" w:right="0"/>
          <w:cols w:num="3" w:equalWidth="0">
            <w:col w:w="4747" w:space="497"/>
            <w:col w:w="5500" w:space="40"/>
            <w:col w:w="6056"/>
          </w:cols>
        </w:sectPr>
      </w:pPr>
    </w:p>
    <w:p>
      <w:pPr>
        <w:tabs>
          <w:tab w:pos="4810" w:val="left" w:leader="none"/>
          <w:tab w:pos="9621" w:val="left" w:leader="none"/>
          <w:tab w:pos="14432" w:val="left" w:leader="none"/>
        </w:tabs>
        <w:spacing w:line="240" w:lineRule="auto"/>
        <w:ind w:left="-3" w:right="-58" w:firstLine="0"/>
        <w:rPr>
          <w:sz w:val="20"/>
        </w:rPr>
      </w:pPr>
      <w:bookmarkStart w:name="_bookmark0" w:id="1"/>
      <w:bookmarkEnd w:id="1"/>
      <w:r>
        <w:rPr/>
      </w:r>
      <w:r>
        <w:rPr>
          <w:sz w:val="20"/>
        </w:rPr>
        <w:pict>
          <v:group style="width:120.3pt;height:42.55pt;mso-position-horizontal-relative:char;mso-position-vertical-relative:line" coordorigin="0,0" coordsize="2406,851">
            <v:rect style="position:absolute;left:0;top:0;width:2406;height:851" filled="true" fillcolor="#e6e7e8" stroked="false">
              <v:fill type="solid"/>
            </v:rect>
            <v:shape style="position:absolute;left:0;top:0;width:583;height:583" type="#_x0000_t75" stroked="false">
              <v:imagedata r:id="rId15" o:title=""/>
            </v:shape>
            <v:shape style="position:absolute;left:0;top:0;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6F2770"/>
                          <w:sz w:val="20"/>
                        </w:rPr>
                        <w:t>CONTENTS</w:t>
                      </w:r>
                    </w:hyperlink>
                  </w:p>
                </w:txbxContent>
              </v:textbox>
              <w10:wrap type="none"/>
            </v:shape>
          </v:group>
        </w:pict>
      </w:r>
      <w:r>
        <w:rPr>
          <w:sz w:val="20"/>
        </w:rPr>
      </w:r>
      <w:r>
        <w:rPr>
          <w:sz w:val="20"/>
        </w:rPr>
        <w:tab/>
      </w: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472"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8"/>
        <w:rPr>
          <w:sz w:val="26"/>
        </w:rPr>
      </w:pPr>
    </w:p>
    <w:p>
      <w:pPr>
        <w:pStyle w:val="Heading4"/>
        <w:spacing w:before="111"/>
      </w:pPr>
      <w:r>
        <w:rPr/>
        <w:pict>
          <v:group style="position:absolute;margin-left:763.172119pt;margin-top:-5.83693pt;width:61.1pt;height:45.2pt;mso-position-horizontal-relative:page;mso-position-vertical-relative:paragraph;z-index:1648" coordorigin="15263,-117" coordsize="1222,904">
            <v:shape style="position:absolute;left:15424;top:-117;width:900;height:904" coordorigin="15424,-117" coordsize="900,904" path="m15874,-117l15424,333,15424,336,15874,786,16324,336,16324,333,15874,-117xe" filled="true" fillcolor="#c4cd71" stroked="false">
              <v:path arrowok="t"/>
              <v:fill type="solid"/>
            </v:shape>
            <v:shape style="position:absolute;left:15263;top:174;width:161;height:322" type="#_x0000_t75" stroked="false">
              <v:imagedata r:id="rId16" o:title=""/>
            </v:shape>
            <v:shape style="position:absolute;left:16324;top:174;width:161;height:322" type="#_x0000_t75" stroked="false">
              <v:imagedata r:id="rId11" o:title=""/>
            </v:shape>
            <v:shape style="position:absolute;left:15263;top:-117;width:1222;height:904" type="#_x0000_t202" filled="false" stroked="false">
              <v:textbox inset="0,0,0,0">
                <w:txbxContent>
                  <w:p>
                    <w:pPr>
                      <w:spacing w:line="208" w:lineRule="auto" w:before="296"/>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shape style="position:absolute;margin-left:601.349976pt;margin-top:-59.616932pt;width:120.3pt;height:42.55pt;mso-position-horizontal-relative:page;mso-position-vertical-relative:paragraph;z-index:167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pict>
          <v:shape style="position:absolute;margin-left:360.812714pt;margin-top:-59.616932pt;width:120.3pt;height:42.55pt;mso-position-horizontal-relative:page;mso-position-vertical-relative:paragraph;z-index:1696"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pict>
          <v:shape style="position:absolute;margin-left:120.271004pt;margin-top:-59.616932pt;width:120.3pt;height:42.55pt;mso-position-horizontal-relative:page;mso-position-vertical-relative:paragraph;z-index:1720" type="#_x0000_t202" filled="true" fillcolor="#b6c247" stroked="false">
            <v:textbox inset="0,0,0,0">
              <w:txbxContent>
                <w:p>
                  <w:pPr>
                    <w:pStyle w:val="BodyText"/>
                    <w:spacing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w:pict>
      </w:r>
      <w:r>
        <w:rPr>
          <w:color w:val="6F2770"/>
        </w:rPr>
        <w:t>CONTENTS</w:t>
      </w:r>
    </w:p>
    <w:p>
      <w:pPr>
        <w:pStyle w:val="BodyText"/>
        <w:spacing w:before="7"/>
        <w:rPr>
          <w:sz w:val="25"/>
        </w:rPr>
      </w:pPr>
    </w:p>
    <w:p>
      <w:pPr>
        <w:spacing w:after="0"/>
        <w:rPr>
          <w:sz w:val="25"/>
        </w:rPr>
        <w:sectPr>
          <w:footerReference w:type="default" r:id="rId14"/>
          <w:pgSz w:w="16840" w:h="11910" w:orient="landscape"/>
          <w:pgMar w:footer="448" w:header="0" w:top="0" w:bottom="640" w:left="0" w:right="0"/>
        </w:sectPr>
      </w:pPr>
    </w:p>
    <w:p>
      <w:pPr>
        <w:pStyle w:val="BodyText"/>
        <w:spacing w:before="106"/>
        <w:ind w:left="765"/>
      </w:pPr>
      <w:r>
        <w:rPr/>
        <w:pict>
          <v:line style="position:absolute;mso-position-horizontal-relative:page;mso-position-vertical-relative:paragraph;z-index:1528" from="38.2677pt,19.422569pt" to="272.1257pt,19.422569pt" stroked="true" strokeweight=".5pt" strokecolor="#aebd37">
            <v:stroke dashstyle="solid"/>
            <w10:wrap type="none"/>
          </v:line>
        </w:pict>
      </w:r>
      <w:r>
        <w:rPr>
          <w:color w:val="A7BE39"/>
        </w:rPr>
        <w:t>OVERVIEW</w:t>
      </w:r>
    </w:p>
    <w:sdt>
      <w:sdtPr>
        <w:docPartObj>
          <w:docPartGallery w:val="Table of Contents"/>
          <w:docPartUnique/>
        </w:docPartObj>
      </w:sdtPr>
      <w:sdtEndPr/>
      <w:sdtContent>
        <w:p>
          <w:pPr>
            <w:pStyle w:val="TOC4"/>
            <w:tabs>
              <w:tab w:pos="5442" w:val="right" w:leader="none"/>
            </w:tabs>
          </w:pPr>
          <w:r>
            <w:rPr/>
            <w:t>Director</w:t>
          </w:r>
          <w:r>
            <w:rPr>
              <w:spacing w:val="-4"/>
            </w:rPr>
            <w:t> </w:t>
          </w:r>
          <w:r>
            <w:rPr>
              <w:spacing w:val="-3"/>
            </w:rPr>
            <w:t>General’s </w:t>
          </w:r>
          <w:r>
            <w:rPr/>
            <w:t>Foreword</w:t>
            <w:tab/>
          </w:r>
          <w:hyperlink w:history="true" w:anchor="_bookmark1">
            <w:r>
              <w:rPr>
                <w:color w:val="A7BE39"/>
              </w:rPr>
              <w:t>2</w:t>
            </w:r>
          </w:hyperlink>
        </w:p>
        <w:p>
          <w:pPr>
            <w:pStyle w:val="TOC4"/>
            <w:tabs>
              <w:tab w:pos="5442" w:val="right" w:leader="none"/>
            </w:tabs>
          </w:pPr>
          <w:r>
            <w:rPr/>
            <w:t>What</w:t>
          </w:r>
          <w:r>
            <w:rPr>
              <w:spacing w:val="-1"/>
            </w:rPr>
            <w:t> </w:t>
          </w:r>
          <w:r>
            <w:rPr/>
            <w:t>We</w:t>
          </w:r>
          <w:r>
            <w:rPr>
              <w:spacing w:val="-1"/>
            </w:rPr>
            <w:t> </w:t>
          </w:r>
          <w:r>
            <w:rPr/>
            <w:t>Do</w:t>
            <w:tab/>
          </w:r>
          <w:hyperlink w:history="true" w:anchor="_bookmark2">
            <w:r>
              <w:rPr>
                <w:color w:val="A7BE39"/>
              </w:rPr>
              <w:t>3</w:t>
            </w:r>
          </w:hyperlink>
        </w:p>
        <w:p>
          <w:pPr>
            <w:pStyle w:val="TOC4"/>
            <w:tabs>
              <w:tab w:pos="5442" w:val="right" w:leader="none"/>
            </w:tabs>
          </w:pPr>
          <w:r>
            <w:rPr/>
            <w:t>Executive</w:t>
          </w:r>
          <w:r>
            <w:rPr>
              <w:spacing w:val="-3"/>
            </w:rPr>
            <w:t> </w:t>
          </w:r>
          <w:r>
            <w:rPr/>
            <w:t>Summary</w:t>
            <w:tab/>
          </w:r>
          <w:hyperlink w:history="true" w:anchor="_bookmark2">
            <w:r>
              <w:rPr>
                <w:color w:val="A7BE39"/>
              </w:rPr>
              <w:t>4</w:t>
            </w:r>
          </w:hyperlink>
        </w:p>
        <w:p>
          <w:pPr>
            <w:pStyle w:val="TOC4"/>
            <w:tabs>
              <w:tab w:pos="5442" w:val="right" w:leader="none"/>
            </w:tabs>
          </w:pPr>
          <w:r>
            <w:rPr/>
            <w:t>Organisational</w:t>
          </w:r>
          <w:r>
            <w:rPr>
              <w:spacing w:val="-3"/>
            </w:rPr>
            <w:t> </w:t>
          </w:r>
          <w:r>
            <w:rPr/>
            <w:t>Structure</w:t>
            <w:tab/>
          </w:r>
          <w:hyperlink w:history="true" w:anchor="_bookmark4">
            <w:r>
              <w:rPr>
                <w:color w:val="A7BE39"/>
              </w:rPr>
              <w:t>6</w:t>
            </w:r>
          </w:hyperlink>
        </w:p>
        <w:p>
          <w:pPr>
            <w:pStyle w:val="TOC2"/>
            <w:tabs>
              <w:tab w:pos="5442" w:val="left" w:leader="none"/>
            </w:tabs>
            <w:rPr>
              <w:u w:val="none"/>
            </w:rPr>
          </w:pPr>
          <w:r>
            <w:rPr>
              <w:color w:val="A7BE39"/>
              <w:w w:val="95"/>
              <w:u w:val="single" w:color="AEBD37"/>
            </w:rPr>
            <w:t>AGENCY</w:t>
          </w:r>
          <w:r>
            <w:rPr>
              <w:color w:val="A7BE39"/>
              <w:spacing w:val="-24"/>
              <w:w w:val="95"/>
              <w:u w:val="single" w:color="AEBD37"/>
            </w:rPr>
            <w:t> </w:t>
          </w:r>
          <w:r>
            <w:rPr>
              <w:color w:val="A7BE39"/>
              <w:w w:val="95"/>
              <w:u w:val="single" w:color="AEBD37"/>
            </w:rPr>
            <w:t>PERFORMANCE</w:t>
          </w:r>
          <w:r>
            <w:rPr>
              <w:color w:val="A7BE39"/>
              <w:u w:val="single" w:color="AEBD37"/>
            </w:rPr>
            <w:tab/>
          </w:r>
        </w:p>
        <w:p>
          <w:pPr>
            <w:pStyle w:val="TOC4"/>
            <w:tabs>
              <w:tab w:pos="5442" w:val="right" w:leader="none"/>
            </w:tabs>
          </w:pPr>
          <w:r>
            <w:rPr/>
            <w:t>Delivering</w:t>
          </w:r>
          <w:r>
            <w:rPr>
              <w:spacing w:val="-3"/>
            </w:rPr>
            <w:t> Value</w:t>
            <w:tab/>
          </w:r>
          <w:hyperlink w:history="true" w:anchor="_bookmark6">
            <w:r>
              <w:rPr>
                <w:color w:val="A7BE39"/>
              </w:rPr>
              <w:t>9</w:t>
            </w:r>
          </w:hyperlink>
        </w:p>
        <w:p>
          <w:pPr>
            <w:pStyle w:val="TOC4"/>
            <w:tabs>
              <w:tab w:pos="5442" w:val="right" w:leader="none"/>
            </w:tabs>
          </w:pPr>
          <w:r>
            <w:rPr/>
            <w:t>Leading</w:t>
          </w:r>
          <w:r>
            <w:rPr>
              <w:spacing w:val="-12"/>
            </w:rPr>
            <w:t> </w:t>
          </w:r>
          <w:r>
            <w:rPr/>
            <w:t>Cross-Government</w:t>
          </w:r>
          <w:r>
            <w:rPr>
              <w:spacing w:val="-12"/>
            </w:rPr>
            <w:t> </w:t>
          </w:r>
          <w:r>
            <w:rPr/>
            <w:t>Initiatives</w:t>
            <w:tab/>
          </w:r>
          <w:hyperlink w:history="true" w:anchor="_bookmark7">
            <w:r>
              <w:rPr>
                <w:color w:val="A7BE39"/>
              </w:rPr>
              <w:t>12</w:t>
            </w:r>
          </w:hyperlink>
        </w:p>
        <w:p>
          <w:pPr>
            <w:pStyle w:val="TOC4"/>
            <w:tabs>
              <w:tab w:pos="5442" w:val="right" w:leader="none"/>
            </w:tabs>
          </w:pPr>
          <w:r>
            <w:rPr/>
            <w:t>Quality</w:t>
          </w:r>
          <w:r>
            <w:rPr>
              <w:spacing w:val="-2"/>
            </w:rPr>
            <w:t> </w:t>
          </w:r>
          <w:r>
            <w:rPr/>
            <w:t>Services</w:t>
            <w:tab/>
          </w:r>
          <w:hyperlink w:history="true" w:anchor="_bookmark10">
            <w:r>
              <w:rPr>
                <w:color w:val="A7BE39"/>
              </w:rPr>
              <w:t>15</w:t>
            </w:r>
          </w:hyperlink>
        </w:p>
        <w:p>
          <w:pPr>
            <w:pStyle w:val="TOC4"/>
            <w:tabs>
              <w:tab w:pos="5442" w:val="right" w:leader="none"/>
            </w:tabs>
          </w:pPr>
          <w:r>
            <w:rPr/>
            <w:t>Building for</w:t>
          </w:r>
          <w:r>
            <w:rPr>
              <w:spacing w:val="-5"/>
            </w:rPr>
            <w:t> </w:t>
          </w:r>
          <w:r>
            <w:rPr/>
            <w:t>the</w:t>
          </w:r>
          <w:r>
            <w:rPr>
              <w:spacing w:val="-3"/>
            </w:rPr>
            <w:t> </w:t>
          </w:r>
          <w:r>
            <w:rPr/>
            <w:t>Community</w:t>
            <w:tab/>
          </w:r>
          <w:hyperlink w:history="true" w:anchor="_bookmark13">
            <w:r>
              <w:rPr>
                <w:color w:val="A7BE39"/>
              </w:rPr>
              <w:t>18</w:t>
            </w:r>
          </w:hyperlink>
        </w:p>
        <w:p>
          <w:pPr>
            <w:pStyle w:val="TOC4"/>
            <w:tabs>
              <w:tab w:pos="5442" w:val="right" w:leader="none"/>
            </w:tabs>
          </w:pPr>
          <w:r>
            <w:rPr/>
            <w:t>Our</w:t>
          </w:r>
          <w:r>
            <w:rPr>
              <w:spacing w:val="-1"/>
            </w:rPr>
            <w:t> </w:t>
          </w:r>
          <w:r>
            <w:rPr/>
            <w:t>People</w:t>
            <w:tab/>
          </w:r>
          <w:hyperlink w:history="true" w:anchor="_bookmark14">
            <w:r>
              <w:rPr>
                <w:color w:val="A7BE39"/>
              </w:rPr>
              <w:t>21</w:t>
            </w:r>
          </w:hyperlink>
        </w:p>
        <w:p>
          <w:pPr>
            <w:pStyle w:val="TOC4"/>
            <w:tabs>
              <w:tab w:pos="5442" w:val="right" w:leader="none"/>
            </w:tabs>
          </w:pPr>
          <w:r>
            <w:rPr/>
            <w:t>Significant Issues and</w:t>
          </w:r>
          <w:r>
            <w:rPr>
              <w:spacing w:val="-30"/>
            </w:rPr>
            <w:t> </w:t>
          </w:r>
          <w:r>
            <w:rPr/>
            <w:t>Future</w:t>
          </w:r>
          <w:r>
            <w:rPr>
              <w:spacing w:val="-10"/>
            </w:rPr>
            <w:t> </w:t>
          </w:r>
          <w:r>
            <w:rPr/>
            <w:t>Outlook</w:t>
            <w:tab/>
          </w:r>
          <w:hyperlink w:history="true" w:anchor="_bookmark15">
            <w:r>
              <w:rPr>
                <w:color w:val="A7BE39"/>
              </w:rPr>
              <w:t>22</w:t>
            </w:r>
          </w:hyperlink>
        </w:p>
        <w:p>
          <w:pPr>
            <w:pStyle w:val="TOC4"/>
            <w:tabs>
              <w:tab w:pos="5442" w:val="right" w:leader="none"/>
            </w:tabs>
          </w:pPr>
          <w:r>
            <w:rPr/>
            <w:t>Performance</w:t>
          </w:r>
          <w:r>
            <w:rPr>
              <w:spacing w:val="-12"/>
            </w:rPr>
            <w:t> </w:t>
          </w:r>
          <w:r>
            <w:rPr/>
            <w:t>Management</w:t>
          </w:r>
          <w:r>
            <w:rPr>
              <w:spacing w:val="-12"/>
            </w:rPr>
            <w:t> </w:t>
          </w:r>
          <w:r>
            <w:rPr/>
            <w:t>Framework</w:t>
            <w:tab/>
          </w:r>
          <w:hyperlink w:history="true" w:anchor="_bookmark16">
            <w:r>
              <w:rPr>
                <w:color w:val="A7BE39"/>
              </w:rPr>
              <w:t>24</w:t>
            </w:r>
          </w:hyperlink>
        </w:p>
        <w:p>
          <w:pPr>
            <w:pStyle w:val="TOC4"/>
            <w:tabs>
              <w:tab w:pos="5442" w:val="right" w:leader="none"/>
            </w:tabs>
            <w:spacing w:line="249" w:lineRule="auto"/>
          </w:pPr>
          <w:r>
            <w:rPr/>
            <w:t>Summary of Non-Financial Performance Indicators</w:t>
          </w:r>
          <w:r>
            <w:rPr>
              <w:spacing w:val="-1"/>
            </w:rPr>
            <w:t> </w:t>
          </w:r>
          <w:r>
            <w:rPr/>
            <w:t>for</w:t>
          </w:r>
          <w:r>
            <w:rPr>
              <w:spacing w:val="-1"/>
            </w:rPr>
            <w:t> </w:t>
          </w:r>
          <w:r>
            <w:rPr/>
            <w:t>2016-17</w:t>
            <w:tab/>
          </w:r>
          <w:hyperlink w:history="true" w:anchor="_bookmark17">
            <w:r>
              <w:rPr>
                <w:color w:val="A7BE39"/>
              </w:rPr>
              <w:t>25</w:t>
            </w:r>
          </w:hyperlink>
        </w:p>
        <w:p>
          <w:pPr>
            <w:pStyle w:val="TOC4"/>
            <w:spacing w:before="158"/>
          </w:pPr>
          <w:r>
            <w:rPr/>
            <w:t>Summary of Financial Performance</w:t>
          </w:r>
        </w:p>
        <w:p>
          <w:pPr>
            <w:pStyle w:val="TOC4"/>
            <w:tabs>
              <w:tab w:pos="5442" w:val="right" w:leader="none"/>
            </w:tabs>
            <w:spacing w:before="11"/>
          </w:pPr>
          <w:r>
            <w:rPr/>
            <w:t>for 2016-17</w:t>
            <w:tab/>
          </w:r>
          <w:hyperlink w:history="true" w:anchor="_bookmark18">
            <w:r>
              <w:rPr>
                <w:color w:val="A7BE39"/>
              </w:rPr>
              <w:t>26</w:t>
            </w:r>
          </w:hyperlink>
        </w:p>
        <w:p>
          <w:pPr>
            <w:pStyle w:val="TOC1"/>
          </w:pPr>
          <w:r>
            <w:rPr/>
            <w:br w:type="column"/>
          </w:r>
          <w:r>
            <w:rPr>
              <w:color w:val="A7BE39"/>
            </w:rPr>
            <w:t>FINANCIAL STATEMENTS</w:t>
          </w:r>
        </w:p>
        <w:p>
          <w:pPr>
            <w:pStyle w:val="TOC3"/>
            <w:tabs>
              <w:tab w:pos="5030" w:val="left" w:leader="none"/>
            </w:tabs>
          </w:pPr>
          <w:r>
            <w:rPr/>
            <w:pict>
              <v:line style="position:absolute;mso-position-horizontal-relative:page;mso-position-vertical-relative:paragraph;z-index:1552" from="304.015808pt,1.473577pt" to="537.873808pt,1.473577pt" stroked="true" strokeweight=".5pt" strokecolor="#aebd37">
                <v:stroke dashstyle="solid"/>
                <w10:wrap type="none"/>
              </v:line>
            </w:pict>
          </w:r>
          <w:r>
            <w:rPr/>
            <w:t>Certification</w:t>
          </w:r>
          <w:r>
            <w:rPr>
              <w:spacing w:val="-28"/>
            </w:rPr>
            <w:t> </w:t>
          </w:r>
          <w:r>
            <w:rPr/>
            <w:t>of</w:t>
          </w:r>
          <w:r>
            <w:rPr>
              <w:spacing w:val="-28"/>
            </w:rPr>
            <w:t> </w:t>
          </w:r>
          <w:r>
            <w:rPr/>
            <w:t>Financial</w:t>
          </w:r>
          <w:r>
            <w:rPr>
              <w:spacing w:val="-27"/>
            </w:rPr>
            <w:t> </w:t>
          </w:r>
          <w:r>
            <w:rPr/>
            <w:t>Statements</w:t>
            <w:tab/>
          </w:r>
          <w:hyperlink w:history="true" w:anchor="_bookmark19">
            <w:r>
              <w:rPr>
                <w:color w:val="A7BE39"/>
                <w:spacing w:val="-10"/>
              </w:rPr>
              <w:t>27</w:t>
            </w:r>
          </w:hyperlink>
        </w:p>
        <w:p>
          <w:pPr>
            <w:pStyle w:val="TOC3"/>
            <w:tabs>
              <w:tab w:pos="5030" w:val="left" w:leader="none"/>
            </w:tabs>
          </w:pPr>
          <w:r>
            <w:rPr/>
            <w:t>Independent</w:t>
          </w:r>
          <w:r>
            <w:rPr>
              <w:spacing w:val="-19"/>
            </w:rPr>
            <w:t> </w:t>
          </w:r>
          <w:r>
            <w:rPr/>
            <w:t>Audit</w:t>
          </w:r>
          <w:r>
            <w:rPr>
              <w:spacing w:val="-18"/>
            </w:rPr>
            <w:t> </w:t>
          </w:r>
          <w:r>
            <w:rPr/>
            <w:t>Opinion</w:t>
            <w:tab/>
          </w:r>
          <w:hyperlink w:history="true" w:anchor="_bookmark19">
            <w:r>
              <w:rPr>
                <w:color w:val="A7BE39"/>
                <w:spacing w:val="-10"/>
              </w:rPr>
              <w:t>27</w:t>
            </w:r>
          </w:hyperlink>
        </w:p>
        <w:p>
          <w:pPr>
            <w:pStyle w:val="TOC3"/>
            <w:tabs>
              <w:tab w:pos="5030" w:val="left" w:leader="none"/>
            </w:tabs>
          </w:pPr>
          <w:r>
            <w:rPr/>
            <w:t>Statement of</w:t>
          </w:r>
          <w:r>
            <w:rPr>
              <w:spacing w:val="-44"/>
            </w:rPr>
            <w:t> </w:t>
          </w:r>
          <w:r>
            <w:rPr/>
            <w:t>Comprehensive</w:t>
          </w:r>
          <w:r>
            <w:rPr>
              <w:spacing w:val="-22"/>
            </w:rPr>
            <w:t> </w:t>
          </w:r>
          <w:r>
            <w:rPr/>
            <w:t>Income</w:t>
            <w:tab/>
          </w:r>
          <w:hyperlink w:history="true" w:anchor="_bookmark20">
            <w:r>
              <w:rPr>
                <w:color w:val="A7BE39"/>
                <w:spacing w:val="-10"/>
              </w:rPr>
              <w:t>29</w:t>
            </w:r>
          </w:hyperlink>
        </w:p>
        <w:p>
          <w:pPr>
            <w:pStyle w:val="TOC3"/>
            <w:tabs>
              <w:tab w:pos="5030" w:val="left" w:leader="none"/>
            </w:tabs>
          </w:pPr>
          <w:r>
            <w:rPr/>
            <w:t>Statement of</w:t>
          </w:r>
          <w:r>
            <w:rPr>
              <w:spacing w:val="-48"/>
            </w:rPr>
            <w:t> </w:t>
          </w:r>
          <w:r>
            <w:rPr/>
            <w:t>Financial</w:t>
          </w:r>
          <w:r>
            <w:rPr>
              <w:spacing w:val="-23"/>
            </w:rPr>
            <w:t> </w:t>
          </w:r>
          <w:r>
            <w:rPr/>
            <w:t>Position</w:t>
            <w:tab/>
          </w:r>
          <w:hyperlink w:history="true" w:anchor="_bookmark21">
            <w:r>
              <w:rPr>
                <w:color w:val="A7BE39"/>
                <w:spacing w:val="-10"/>
              </w:rPr>
              <w:t>30</w:t>
            </w:r>
          </w:hyperlink>
        </w:p>
        <w:p>
          <w:pPr>
            <w:pStyle w:val="TOC3"/>
            <w:tabs>
              <w:tab w:pos="5030" w:val="left" w:leader="none"/>
            </w:tabs>
          </w:pPr>
          <w:r>
            <w:rPr/>
            <w:t>Statement</w:t>
          </w:r>
          <w:r>
            <w:rPr>
              <w:spacing w:val="-18"/>
            </w:rPr>
            <w:t> </w:t>
          </w:r>
          <w:r>
            <w:rPr/>
            <w:t>of</w:t>
          </w:r>
          <w:r>
            <w:rPr>
              <w:spacing w:val="-17"/>
            </w:rPr>
            <w:t> </w:t>
          </w:r>
          <w:r>
            <w:rPr/>
            <w:t>Changes</w:t>
          </w:r>
          <w:r>
            <w:rPr>
              <w:spacing w:val="-17"/>
            </w:rPr>
            <w:t> </w:t>
          </w:r>
          <w:r>
            <w:rPr/>
            <w:t>in</w:t>
          </w:r>
          <w:r>
            <w:rPr>
              <w:spacing w:val="-17"/>
            </w:rPr>
            <w:t> </w:t>
          </w:r>
          <w:r>
            <w:rPr/>
            <w:t>Equity</w:t>
            <w:tab/>
          </w:r>
          <w:hyperlink w:history="true" w:anchor="_bookmark22">
            <w:r>
              <w:rPr>
                <w:color w:val="A7BE39"/>
                <w:spacing w:val="-10"/>
              </w:rPr>
              <w:t>31</w:t>
            </w:r>
          </w:hyperlink>
        </w:p>
        <w:p>
          <w:pPr>
            <w:pStyle w:val="TOC3"/>
            <w:tabs>
              <w:tab w:pos="5030" w:val="left" w:leader="none"/>
            </w:tabs>
          </w:pPr>
          <w:r>
            <w:rPr/>
            <w:t>Statement of</w:t>
          </w:r>
          <w:r>
            <w:rPr>
              <w:spacing w:val="-30"/>
            </w:rPr>
            <w:t> </w:t>
          </w:r>
          <w:r>
            <w:rPr/>
            <w:t>Cash</w:t>
          </w:r>
          <w:r>
            <w:rPr>
              <w:spacing w:val="-14"/>
            </w:rPr>
            <w:t> </w:t>
          </w:r>
          <w:r>
            <w:rPr/>
            <w:t>Flows</w:t>
            <w:tab/>
          </w:r>
          <w:hyperlink w:history="true" w:anchor="_bookmark23">
            <w:r>
              <w:rPr>
                <w:color w:val="A7BE39"/>
                <w:spacing w:val="-10"/>
              </w:rPr>
              <w:t>32</w:t>
            </w:r>
          </w:hyperlink>
        </w:p>
        <w:p>
          <w:pPr>
            <w:pStyle w:val="TOC3"/>
          </w:pPr>
          <w:r>
            <w:rPr/>
            <w:t>Schedule of Income and Expenses</w:t>
          </w:r>
        </w:p>
        <w:p>
          <w:pPr>
            <w:pStyle w:val="TOC3"/>
            <w:tabs>
              <w:tab w:pos="5030" w:val="left" w:leader="none"/>
            </w:tabs>
            <w:spacing w:before="11"/>
          </w:pPr>
          <w:r>
            <w:rPr/>
            <w:t>by</w:t>
          </w:r>
          <w:r>
            <w:rPr>
              <w:spacing w:val="-15"/>
            </w:rPr>
            <w:t> </w:t>
          </w:r>
          <w:r>
            <w:rPr/>
            <w:t>Service</w:t>
            <w:tab/>
          </w:r>
          <w:hyperlink w:history="true" w:anchor="_bookmark24">
            <w:r>
              <w:rPr>
                <w:color w:val="A7BE39"/>
                <w:spacing w:val="-10"/>
              </w:rPr>
              <w:t>33</w:t>
            </w:r>
          </w:hyperlink>
        </w:p>
        <w:p>
          <w:pPr>
            <w:pStyle w:val="TOC3"/>
          </w:pPr>
          <w:r>
            <w:rPr/>
            <w:t>Schedule of Assets and Liabilities</w:t>
          </w:r>
        </w:p>
        <w:p>
          <w:pPr>
            <w:pStyle w:val="TOC3"/>
            <w:tabs>
              <w:tab w:pos="5030" w:val="left" w:leader="none"/>
            </w:tabs>
            <w:spacing w:before="11"/>
          </w:pPr>
          <w:r>
            <w:rPr/>
            <w:t>by</w:t>
          </w:r>
          <w:r>
            <w:rPr>
              <w:spacing w:val="-15"/>
            </w:rPr>
            <w:t> </w:t>
          </w:r>
          <w:r>
            <w:rPr/>
            <w:t>Service</w:t>
            <w:tab/>
          </w:r>
          <w:hyperlink w:history="true" w:anchor="_bookmark25">
            <w:r>
              <w:rPr>
                <w:color w:val="A7BE39"/>
                <w:spacing w:val="-10"/>
              </w:rPr>
              <w:t>35</w:t>
            </w:r>
          </w:hyperlink>
        </w:p>
        <w:p>
          <w:pPr>
            <w:pStyle w:val="TOC3"/>
          </w:pPr>
          <w:r>
            <w:rPr/>
            <w:t>Summary of Consolidated Account</w:t>
          </w:r>
        </w:p>
        <w:p>
          <w:pPr>
            <w:pStyle w:val="TOC1"/>
          </w:pPr>
          <w:r>
            <w:rPr/>
            <w:br w:type="column"/>
          </w:r>
          <w:r>
            <w:rPr>
              <w:color w:val="A7BE39"/>
            </w:rPr>
            <w:t>KEY PERFORMANCE INDICATORS</w:t>
          </w:r>
        </w:p>
        <w:p>
          <w:pPr>
            <w:pStyle w:val="TOC3"/>
          </w:pPr>
          <w:r>
            <w:rPr/>
            <w:pict>
              <v:line style="position:absolute;mso-position-horizontal-relative:page;mso-position-vertical-relative:paragraph;z-index:1576" from="569.763794pt,1.473577pt" to="803.621794pt,1.473577pt" stroked="true" strokeweight=".5pt" strokecolor="#aebd37">
                <v:stroke dashstyle="solid"/>
                <w10:wrap type="none"/>
              </v:line>
            </w:pict>
          </w:r>
          <w:r>
            <w:rPr/>
            <w:t>Certification of Key Performance</w:t>
          </w:r>
        </w:p>
        <w:p>
          <w:pPr>
            <w:pStyle w:val="TOC3"/>
            <w:tabs>
              <w:tab w:pos="5030" w:val="left" w:leader="none"/>
            </w:tabs>
            <w:spacing w:before="11"/>
          </w:pPr>
          <w:r>
            <w:rPr/>
            <w:t>Indicators</w:t>
            <w:tab/>
          </w:r>
          <w:hyperlink w:history="true" w:anchor="_bookmark58">
            <w:r>
              <w:rPr>
                <w:color w:val="A7BE39"/>
              </w:rPr>
              <w:t>94</w:t>
            </w:r>
          </w:hyperlink>
        </w:p>
        <w:p>
          <w:pPr>
            <w:pStyle w:val="TOC3"/>
            <w:tabs>
              <w:tab w:pos="5030" w:val="left" w:leader="none"/>
            </w:tabs>
          </w:pPr>
          <w:r>
            <w:rPr/>
            <w:t>Performance</w:t>
          </w:r>
          <w:r>
            <w:rPr>
              <w:spacing w:val="-29"/>
            </w:rPr>
            <w:t> </w:t>
          </w:r>
          <w:r>
            <w:rPr/>
            <w:t>Assessment</w:t>
            <w:tab/>
          </w:r>
          <w:hyperlink w:history="true" w:anchor="_bookmark59">
            <w:r>
              <w:rPr>
                <w:color w:val="A7BE39"/>
              </w:rPr>
              <w:t>95</w:t>
            </w:r>
          </w:hyperlink>
        </w:p>
        <w:p>
          <w:pPr>
            <w:pStyle w:val="TOC3"/>
            <w:tabs>
              <w:tab w:pos="5030" w:val="left" w:leader="none"/>
            </w:tabs>
          </w:pPr>
          <w:r>
            <w:rPr/>
            <w:t>State</w:t>
          </w:r>
          <w:r>
            <w:rPr>
              <w:spacing w:val="-23"/>
            </w:rPr>
            <w:t> </w:t>
          </w:r>
          <w:r>
            <w:rPr/>
            <w:t>Revenue</w:t>
            <w:tab/>
          </w:r>
          <w:hyperlink w:history="true" w:anchor="_bookmark60">
            <w:r>
              <w:rPr>
                <w:color w:val="A7BE39"/>
              </w:rPr>
              <w:t>96</w:t>
            </w:r>
          </w:hyperlink>
        </w:p>
        <w:p>
          <w:pPr>
            <w:pStyle w:val="TOC3"/>
            <w:tabs>
              <w:tab w:pos="5030" w:val="left" w:leader="none"/>
            </w:tabs>
          </w:pPr>
          <w:r>
            <w:rPr/>
            <w:t>Government</w:t>
          </w:r>
          <w:r>
            <w:rPr>
              <w:spacing w:val="-26"/>
            </w:rPr>
            <w:t> </w:t>
          </w:r>
          <w:r>
            <w:rPr/>
            <w:t>Procurement</w:t>
            <w:tab/>
          </w:r>
          <w:hyperlink w:history="true" w:anchor="_bookmark62">
            <w:r>
              <w:rPr>
                <w:color w:val="A7BE39"/>
              </w:rPr>
              <w:t>98</w:t>
            </w:r>
          </w:hyperlink>
        </w:p>
        <w:p>
          <w:pPr>
            <w:pStyle w:val="TOC3"/>
            <w:tabs>
              <w:tab w:pos="4907" w:val="left" w:leader="none"/>
            </w:tabs>
          </w:pPr>
          <w:r>
            <w:rPr/>
            <w:t>Corporate</w:t>
          </w:r>
          <w:r>
            <w:rPr>
              <w:spacing w:val="-22"/>
            </w:rPr>
            <w:t> </w:t>
          </w:r>
          <w:r>
            <w:rPr/>
            <w:t>Services</w:t>
            <w:tab/>
          </w:r>
          <w:hyperlink w:history="true" w:anchor="_bookmark64">
            <w:r>
              <w:rPr>
                <w:color w:val="A7BE39"/>
              </w:rPr>
              <w:t>100</w:t>
            </w:r>
          </w:hyperlink>
        </w:p>
        <w:p>
          <w:pPr>
            <w:pStyle w:val="TOC3"/>
            <w:tabs>
              <w:tab w:pos="4907" w:val="left" w:leader="none"/>
            </w:tabs>
          </w:pPr>
          <w:r>
            <w:rPr/>
            <w:t>Building Management</w:t>
          </w:r>
          <w:r>
            <w:rPr>
              <w:spacing w:val="-38"/>
            </w:rPr>
            <w:t> </w:t>
          </w:r>
          <w:r>
            <w:rPr/>
            <w:t>and</w:t>
          </w:r>
          <w:r>
            <w:rPr>
              <w:spacing w:val="-19"/>
            </w:rPr>
            <w:t> </w:t>
          </w:r>
          <w:r>
            <w:rPr/>
            <w:t>Works</w:t>
            <w:tab/>
          </w:r>
          <w:hyperlink w:history="true" w:anchor="_bookmark64">
            <w:r>
              <w:rPr>
                <w:color w:val="A7BE39"/>
              </w:rPr>
              <w:t>100</w:t>
            </w:r>
          </w:hyperlink>
        </w:p>
        <w:p>
          <w:pPr>
            <w:pStyle w:val="TOC3"/>
          </w:pPr>
          <w:r>
            <w:rPr/>
            <w:t>Public Utilities Office and</w:t>
          </w:r>
        </w:p>
        <w:p>
          <w:pPr>
            <w:pStyle w:val="TOC3"/>
            <w:tabs>
              <w:tab w:pos="4907" w:val="left" w:leader="none"/>
            </w:tabs>
            <w:spacing w:before="11"/>
          </w:pPr>
          <w:r>
            <w:rPr/>
            <w:t>Economic</w:t>
          </w:r>
          <w:r>
            <w:rPr>
              <w:spacing w:val="-16"/>
            </w:rPr>
            <w:t> </w:t>
          </w:r>
          <w:r>
            <w:rPr/>
            <w:t>Reform</w:t>
            <w:tab/>
          </w:r>
          <w:hyperlink w:history="true" w:anchor="_bookmark66">
            <w:r>
              <w:rPr>
                <w:color w:val="A7BE39"/>
              </w:rPr>
              <w:t>102</w:t>
            </w:r>
          </w:hyperlink>
        </w:p>
      </w:sdtContent>
    </w:sdt>
    <w:p>
      <w:pPr>
        <w:pStyle w:val="BodyText"/>
        <w:tabs>
          <w:tab w:pos="5274" w:val="left" w:leader="none"/>
        </w:tabs>
        <w:spacing w:before="431"/>
        <w:ind w:left="597"/>
      </w:pPr>
      <w:r>
        <w:rPr/>
        <w:pict>
          <v:shape style="position:absolute;margin-left:315.518707pt;margin-top:42.229858pt;width:490.65pt;height:97pt;mso-position-horizontal-relative:page;mso-position-vertical-relative:paragraph;z-index:174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1"/>
                    <w:gridCol w:w="1006"/>
                    <w:gridCol w:w="4058"/>
                    <w:gridCol w:w="850"/>
                  </w:tblGrid>
                  <w:tr>
                    <w:trPr>
                      <w:trHeight w:val="339" w:hRule="atLeast"/>
                    </w:trPr>
                    <w:tc>
                      <w:tcPr>
                        <w:tcW w:w="3901" w:type="dxa"/>
                      </w:tcPr>
                      <w:p>
                        <w:pPr>
                          <w:pStyle w:val="TableParagraph"/>
                          <w:spacing w:before="6"/>
                          <w:ind w:left="50"/>
                          <w:rPr>
                            <w:sz w:val="22"/>
                          </w:rPr>
                        </w:pPr>
                        <w:r>
                          <w:rPr>
                            <w:sz w:val="22"/>
                          </w:rPr>
                          <w:t>Appropriations and Income Estimates</w:t>
                        </w:r>
                      </w:p>
                    </w:tc>
                    <w:tc>
                      <w:tcPr>
                        <w:tcW w:w="1006" w:type="dxa"/>
                      </w:tcPr>
                      <w:p>
                        <w:pPr>
                          <w:pStyle w:val="TableParagraph"/>
                          <w:spacing w:before="6"/>
                          <w:ind w:left="301"/>
                          <w:rPr>
                            <w:sz w:val="22"/>
                          </w:rPr>
                        </w:pPr>
                        <w:hyperlink w:history="true" w:anchor="_bookmark26">
                          <w:r>
                            <w:rPr>
                              <w:color w:val="A7BE39"/>
                              <w:sz w:val="22"/>
                            </w:rPr>
                            <w:t>36</w:t>
                          </w:r>
                        </w:hyperlink>
                      </w:p>
                    </w:tc>
                    <w:tc>
                      <w:tcPr>
                        <w:tcW w:w="4058" w:type="dxa"/>
                      </w:tcPr>
                      <w:p>
                        <w:pPr>
                          <w:pStyle w:val="TableParagraph"/>
                          <w:spacing w:before="6"/>
                          <w:ind w:left="457"/>
                          <w:rPr>
                            <w:sz w:val="22"/>
                          </w:rPr>
                        </w:pPr>
                        <w:r>
                          <w:rPr>
                            <w:sz w:val="22"/>
                          </w:rPr>
                          <w:t>Ministerial Directives</w:t>
                        </w:r>
                      </w:p>
                    </w:tc>
                    <w:tc>
                      <w:tcPr>
                        <w:tcW w:w="850" w:type="dxa"/>
                      </w:tcPr>
                      <w:p>
                        <w:pPr>
                          <w:pStyle w:val="TableParagraph"/>
                          <w:spacing w:before="6"/>
                          <w:ind w:right="50"/>
                          <w:jc w:val="right"/>
                          <w:rPr>
                            <w:sz w:val="22"/>
                          </w:rPr>
                        </w:pPr>
                        <w:hyperlink w:history="true" w:anchor="_bookmark68">
                          <w:r>
                            <w:rPr>
                              <w:color w:val="A7BE39"/>
                              <w:w w:val="95"/>
                              <w:sz w:val="22"/>
                            </w:rPr>
                            <w:t>104</w:t>
                          </w:r>
                        </w:hyperlink>
                      </w:p>
                    </w:tc>
                  </w:tr>
                  <w:tr>
                    <w:trPr>
                      <w:trHeight w:val="419" w:hRule="atLeast"/>
                    </w:trPr>
                    <w:tc>
                      <w:tcPr>
                        <w:tcW w:w="3901" w:type="dxa"/>
                      </w:tcPr>
                      <w:p>
                        <w:pPr>
                          <w:pStyle w:val="TableParagraph"/>
                          <w:spacing w:before="86"/>
                          <w:ind w:left="50"/>
                          <w:rPr>
                            <w:sz w:val="22"/>
                          </w:rPr>
                        </w:pPr>
                        <w:r>
                          <w:rPr>
                            <w:sz w:val="22"/>
                          </w:rPr>
                          <w:t>Notes to the Financial Statements</w:t>
                        </w:r>
                      </w:p>
                    </w:tc>
                    <w:tc>
                      <w:tcPr>
                        <w:tcW w:w="1006" w:type="dxa"/>
                      </w:tcPr>
                      <w:p>
                        <w:pPr>
                          <w:pStyle w:val="TableParagraph"/>
                          <w:spacing w:before="86"/>
                          <w:ind w:left="301"/>
                          <w:rPr>
                            <w:sz w:val="22"/>
                          </w:rPr>
                        </w:pPr>
                        <w:hyperlink w:history="true" w:anchor="_bookmark27">
                          <w:r>
                            <w:rPr>
                              <w:color w:val="A7BE39"/>
                              <w:sz w:val="22"/>
                            </w:rPr>
                            <w:t>39</w:t>
                          </w:r>
                        </w:hyperlink>
                      </w:p>
                    </w:tc>
                    <w:tc>
                      <w:tcPr>
                        <w:tcW w:w="4058" w:type="dxa"/>
                      </w:tcPr>
                      <w:p>
                        <w:pPr>
                          <w:pStyle w:val="TableParagraph"/>
                          <w:spacing w:before="86"/>
                          <w:ind w:left="457"/>
                          <w:rPr>
                            <w:sz w:val="22"/>
                          </w:rPr>
                        </w:pPr>
                        <w:r>
                          <w:rPr>
                            <w:sz w:val="22"/>
                          </w:rPr>
                          <w:t>Other Financial Disclosures</w:t>
                        </w:r>
                      </w:p>
                    </w:tc>
                    <w:tc>
                      <w:tcPr>
                        <w:tcW w:w="850" w:type="dxa"/>
                      </w:tcPr>
                      <w:p>
                        <w:pPr>
                          <w:pStyle w:val="TableParagraph"/>
                          <w:spacing w:before="86"/>
                          <w:ind w:right="50"/>
                          <w:jc w:val="right"/>
                          <w:rPr>
                            <w:sz w:val="22"/>
                          </w:rPr>
                        </w:pPr>
                        <w:hyperlink w:history="true" w:anchor="_bookmark68">
                          <w:r>
                            <w:rPr>
                              <w:color w:val="A7BE39"/>
                              <w:w w:val="95"/>
                              <w:sz w:val="22"/>
                            </w:rPr>
                            <w:t>104</w:t>
                          </w:r>
                        </w:hyperlink>
                      </w:p>
                    </w:tc>
                  </w:tr>
                  <w:tr>
                    <w:trPr>
                      <w:trHeight w:val="419" w:hRule="atLeast"/>
                    </w:trPr>
                    <w:tc>
                      <w:tcPr>
                        <w:tcW w:w="3901" w:type="dxa"/>
                      </w:tcPr>
                      <w:p>
                        <w:pPr>
                          <w:pStyle w:val="TableParagraph"/>
                          <w:spacing w:before="0"/>
                          <w:rPr>
                            <w:rFonts w:ascii="Times New Roman"/>
                            <w:sz w:val="20"/>
                          </w:rPr>
                        </w:pPr>
                      </w:p>
                    </w:tc>
                    <w:tc>
                      <w:tcPr>
                        <w:tcW w:w="1006" w:type="dxa"/>
                      </w:tcPr>
                      <w:p>
                        <w:pPr>
                          <w:pStyle w:val="TableParagraph"/>
                          <w:spacing w:before="0"/>
                          <w:rPr>
                            <w:rFonts w:ascii="Times New Roman"/>
                            <w:sz w:val="20"/>
                          </w:rPr>
                        </w:pPr>
                      </w:p>
                    </w:tc>
                    <w:tc>
                      <w:tcPr>
                        <w:tcW w:w="4058" w:type="dxa"/>
                      </w:tcPr>
                      <w:p>
                        <w:pPr>
                          <w:pStyle w:val="TableParagraph"/>
                          <w:spacing w:before="86"/>
                          <w:ind w:left="457"/>
                          <w:rPr>
                            <w:sz w:val="22"/>
                          </w:rPr>
                        </w:pPr>
                        <w:r>
                          <w:rPr>
                            <w:sz w:val="22"/>
                          </w:rPr>
                          <w:t>Governance Disclosures</w:t>
                        </w:r>
                      </w:p>
                    </w:tc>
                    <w:tc>
                      <w:tcPr>
                        <w:tcW w:w="850" w:type="dxa"/>
                      </w:tcPr>
                      <w:p>
                        <w:pPr>
                          <w:pStyle w:val="TableParagraph"/>
                          <w:spacing w:before="86"/>
                          <w:ind w:right="50"/>
                          <w:jc w:val="right"/>
                          <w:rPr>
                            <w:sz w:val="22"/>
                          </w:rPr>
                        </w:pPr>
                        <w:hyperlink w:history="true" w:anchor="_bookmark69">
                          <w:r>
                            <w:rPr>
                              <w:color w:val="A7BE39"/>
                              <w:w w:val="95"/>
                              <w:sz w:val="22"/>
                            </w:rPr>
                            <w:t>106</w:t>
                          </w:r>
                        </w:hyperlink>
                      </w:p>
                    </w:tc>
                  </w:tr>
                  <w:tr>
                    <w:trPr>
                      <w:trHeight w:val="419" w:hRule="atLeast"/>
                    </w:trPr>
                    <w:tc>
                      <w:tcPr>
                        <w:tcW w:w="3901" w:type="dxa"/>
                      </w:tcPr>
                      <w:p>
                        <w:pPr>
                          <w:pStyle w:val="TableParagraph"/>
                          <w:spacing w:before="0"/>
                          <w:rPr>
                            <w:rFonts w:ascii="Times New Roman"/>
                            <w:sz w:val="20"/>
                          </w:rPr>
                        </w:pPr>
                      </w:p>
                    </w:tc>
                    <w:tc>
                      <w:tcPr>
                        <w:tcW w:w="1006" w:type="dxa"/>
                      </w:tcPr>
                      <w:p>
                        <w:pPr>
                          <w:pStyle w:val="TableParagraph"/>
                          <w:spacing w:before="0"/>
                          <w:rPr>
                            <w:rFonts w:ascii="Times New Roman"/>
                            <w:sz w:val="20"/>
                          </w:rPr>
                        </w:pPr>
                      </w:p>
                    </w:tc>
                    <w:tc>
                      <w:tcPr>
                        <w:tcW w:w="4058" w:type="dxa"/>
                      </w:tcPr>
                      <w:p>
                        <w:pPr>
                          <w:pStyle w:val="TableParagraph"/>
                          <w:spacing w:before="86"/>
                          <w:ind w:left="457"/>
                          <w:rPr>
                            <w:sz w:val="22"/>
                          </w:rPr>
                        </w:pPr>
                        <w:r>
                          <w:rPr>
                            <w:sz w:val="22"/>
                          </w:rPr>
                          <w:t>Other Legal Requirements</w:t>
                        </w:r>
                      </w:p>
                    </w:tc>
                    <w:tc>
                      <w:tcPr>
                        <w:tcW w:w="850" w:type="dxa"/>
                      </w:tcPr>
                      <w:p>
                        <w:pPr>
                          <w:pStyle w:val="TableParagraph"/>
                          <w:spacing w:before="86"/>
                          <w:ind w:right="50"/>
                          <w:jc w:val="right"/>
                          <w:rPr>
                            <w:sz w:val="22"/>
                          </w:rPr>
                        </w:pPr>
                        <w:hyperlink w:history="true" w:anchor="_bookmark71">
                          <w:r>
                            <w:rPr>
                              <w:color w:val="A7BE39"/>
                              <w:w w:val="95"/>
                              <w:sz w:val="22"/>
                            </w:rPr>
                            <w:t>109</w:t>
                          </w:r>
                        </w:hyperlink>
                      </w:p>
                    </w:tc>
                  </w:tr>
                  <w:tr>
                    <w:trPr>
                      <w:trHeight w:val="339" w:hRule="atLeast"/>
                    </w:trPr>
                    <w:tc>
                      <w:tcPr>
                        <w:tcW w:w="3901" w:type="dxa"/>
                      </w:tcPr>
                      <w:p>
                        <w:pPr>
                          <w:pStyle w:val="TableParagraph"/>
                          <w:spacing w:before="0"/>
                          <w:rPr>
                            <w:rFonts w:ascii="Times New Roman"/>
                            <w:sz w:val="20"/>
                          </w:rPr>
                        </w:pPr>
                      </w:p>
                    </w:tc>
                    <w:tc>
                      <w:tcPr>
                        <w:tcW w:w="1006" w:type="dxa"/>
                      </w:tcPr>
                      <w:p>
                        <w:pPr>
                          <w:pStyle w:val="TableParagraph"/>
                          <w:spacing w:before="0"/>
                          <w:rPr>
                            <w:rFonts w:ascii="Times New Roman"/>
                            <w:sz w:val="20"/>
                          </w:rPr>
                        </w:pPr>
                      </w:p>
                    </w:tc>
                    <w:tc>
                      <w:tcPr>
                        <w:tcW w:w="4058" w:type="dxa"/>
                      </w:tcPr>
                      <w:p>
                        <w:pPr>
                          <w:pStyle w:val="TableParagraph"/>
                          <w:spacing w:line="233" w:lineRule="exact" w:before="86"/>
                          <w:ind w:left="457"/>
                          <w:rPr>
                            <w:sz w:val="22"/>
                          </w:rPr>
                        </w:pPr>
                        <w:r>
                          <w:rPr>
                            <w:sz w:val="22"/>
                          </w:rPr>
                          <w:t>Government Policy Requirements</w:t>
                        </w:r>
                      </w:p>
                    </w:tc>
                    <w:tc>
                      <w:tcPr>
                        <w:tcW w:w="850" w:type="dxa"/>
                      </w:tcPr>
                      <w:p>
                        <w:pPr>
                          <w:pStyle w:val="TableParagraph"/>
                          <w:spacing w:line="233" w:lineRule="exact" w:before="86"/>
                          <w:ind w:right="50"/>
                          <w:jc w:val="right"/>
                          <w:rPr>
                            <w:sz w:val="22"/>
                          </w:rPr>
                        </w:pPr>
                        <w:hyperlink w:history="true" w:anchor="_bookmark72">
                          <w:r>
                            <w:rPr>
                              <w:color w:val="A7BE39"/>
                              <w:w w:val="95"/>
                              <w:sz w:val="22"/>
                            </w:rPr>
                            <w:t>113</w:t>
                          </w:r>
                        </w:hyperlink>
                      </w:p>
                    </w:tc>
                  </w:tr>
                </w:tbl>
                <w:p>
                  <w:pPr>
                    <w:pStyle w:val="BodyText"/>
                  </w:pPr>
                </w:p>
              </w:txbxContent>
            </v:textbox>
            <w10:wrap type="none"/>
          </v:shape>
        </w:pict>
      </w:r>
      <w:r>
        <w:rPr>
          <w:color w:val="A7BE39"/>
          <w:u w:val="single" w:color="AEBD37"/>
        </w:rPr>
        <w:t>DISCLOSURES</w:t>
        <w:tab/>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38"/>
        </w:rPr>
      </w:pPr>
    </w:p>
    <w:p>
      <w:pPr>
        <w:pStyle w:val="BodyText"/>
        <w:spacing w:before="1"/>
        <w:ind w:left="597"/>
      </w:pPr>
      <w:r>
        <w:rPr/>
        <w:pict>
          <v:line style="position:absolute;mso-position-horizontal-relative:page;mso-position-vertical-relative:paragraph;z-index:1600" from="569.763794pt,13.983174pt" to="803.621794pt,13.983174pt" stroked="true" strokeweight=".5pt" strokecolor="#aebd37">
            <v:stroke dashstyle="solid"/>
            <w10:wrap type="none"/>
          </v:line>
        </w:pict>
      </w:r>
      <w:r>
        <w:rPr>
          <w:color w:val="A7BE39"/>
        </w:rPr>
        <w:t>APPENDIX</w:t>
      </w:r>
    </w:p>
    <w:p>
      <w:pPr>
        <w:pStyle w:val="BodyText"/>
        <w:tabs>
          <w:tab w:pos="4907" w:val="left" w:leader="none"/>
        </w:tabs>
        <w:spacing w:before="167"/>
        <w:ind w:left="877"/>
      </w:pPr>
      <w:r>
        <w:rPr/>
        <w:t>Legislation</w:t>
      </w:r>
      <w:r>
        <w:rPr>
          <w:spacing w:val="-31"/>
        </w:rPr>
        <w:t> </w:t>
      </w:r>
      <w:r>
        <w:rPr/>
        <w:t>Administered</w:t>
        <w:tab/>
      </w:r>
      <w:hyperlink w:history="true" w:anchor="_bookmark73">
        <w:r>
          <w:rPr>
            <w:color w:val="A7BE39"/>
          </w:rPr>
          <w:t>116</w:t>
        </w:r>
      </w:hyperlink>
    </w:p>
    <w:p>
      <w:pPr>
        <w:pStyle w:val="BodyText"/>
        <w:tabs>
          <w:tab w:pos="4907" w:val="left" w:leader="none"/>
        </w:tabs>
        <w:spacing w:before="167"/>
        <w:ind w:left="877"/>
      </w:pPr>
      <w:r>
        <w:rPr/>
        <w:t>Contacts</w:t>
        <w:tab/>
      </w:r>
      <w:hyperlink w:history="true" w:anchor="_bookmark74">
        <w:r>
          <w:rPr>
            <w:color w:val="A7BE39"/>
          </w:rPr>
          <w:t>117</w:t>
        </w:r>
      </w:hyperlink>
    </w:p>
    <w:p>
      <w:pPr>
        <w:spacing w:after="0"/>
        <w:sectPr>
          <w:type w:val="continuous"/>
          <w:pgSz w:w="16840" w:h="11910" w:orient="landscape"/>
          <w:pgMar w:top="0" w:bottom="0" w:left="0" w:right="0"/>
          <w:cols w:num="3" w:equalWidth="0">
            <w:col w:w="5443" w:space="40"/>
            <w:col w:w="5275" w:space="39"/>
            <w:col w:w="6043"/>
          </w:cols>
        </w:sectPr>
      </w:pPr>
    </w:p>
    <w:p>
      <w:pPr>
        <w:pStyle w:val="BodyText"/>
        <w:rPr>
          <w:sz w:val="20"/>
        </w:rPr>
      </w:pPr>
      <w:bookmarkStart w:name="_bookmark1" w:id="2"/>
      <w:bookmarkEnd w:id="2"/>
      <w:r>
        <w:rPr/>
      </w:r>
      <w:r>
        <w:rPr>
          <w:sz w:val="20"/>
        </w:rPr>
        <w:pict>
          <v:group style="width:360.85pt;height:42.55pt;mso-position-horizontal-relative:char;mso-position-vertical-relative:line" coordorigin="0,0" coordsize="7217,851">
            <v:rect style="position:absolute;left:2405;top:0;width:2406;height:851" filled="true" fillcolor="#e6e7e8" stroked="false">
              <v:fill type="solid"/>
            </v:rect>
            <v:shape style="position:absolute;left:2405;top:0;width:583;height:583" type="#_x0000_t75" stroked="false">
              <v:imagedata r:id="rId18" o:title=""/>
            </v:shape>
            <v:shape style="position:absolute;left:4810;top:0;width:2406;height:851" type="#_x0000_t202" filled="true" fillcolor="#bec85c" stroked="false">
              <v:textbox inset="0,0,0,0">
                <w:txbxContent>
                  <w:p>
                    <w:pPr>
                      <w:spacing w:line="249" w:lineRule="auto" w:before="182"/>
                      <w:ind w:left="472"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0;width:2406;height:851" type="#_x0000_t202" filled="false"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6F2770"/>
                          <w:sz w:val="20"/>
                        </w:rPr>
                        <w:t>OVER</w:t>
                      </w:r>
                    </w:hyperlink>
                    <w:hyperlink w:history="true" w:anchor="_bookmark1">
                      <w:r>
                        <w:rPr>
                          <w:color w:val="6F2770"/>
                          <w:sz w:val="20"/>
                        </w:rPr>
                        <w:t>VIEW</w:t>
                      </w:r>
                    </w:hyperlink>
                  </w:p>
                </w:txbxContent>
              </v:textbox>
              <w10:wrap type="none"/>
            </v:shape>
            <v:shape style="position:absolute;left:0;top:0;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v:group>
        </w:pict>
      </w:r>
      <w:r>
        <w:rPr>
          <w:sz w:val="20"/>
        </w:rPr>
      </w:r>
    </w:p>
    <w:p>
      <w:pPr>
        <w:pStyle w:val="BodyText"/>
        <w:spacing w:before="8"/>
        <w:rPr>
          <w:sz w:val="26"/>
        </w:rPr>
      </w:pPr>
    </w:p>
    <w:p>
      <w:pPr>
        <w:pStyle w:val="Heading4"/>
        <w:spacing w:before="111"/>
      </w:pPr>
      <w:r>
        <w:rPr/>
        <w:pict>
          <v:group style="position:absolute;margin-left:360.811798pt;margin-top:-59.616932pt;width:481.1pt;height:104.75pt;mso-position-horizontal-relative:page;mso-position-vertical-relative:paragraph;z-index:2008" coordorigin="7216,-1192" coordsize="9622,2095">
            <v:shape style="position:absolute;left:14419;top:-1193;width:1455;height:1745" coordorigin="14419,-1192" coordsize="1455,1745" path="m15219,-1192l15194,-1192,14935,-1043,14901,-1009,15219,-1192m15356,-1192l15331,-1192,14748,-856,14714,-822,15356,-1192m15492,-1192l15467,-1192,14562,-669,14527,-635,15492,-1192m15629,-1192l15604,-1192,14419,-508,14428,-499,15629,-1192m15766,-1192l15741,-1192,14469,-458,14478,-449,15766,-1192m15874,309l15470,543,15479,552,15874,324,15874,309m15874,230l15420,493,15429,502,15874,245,15874,230m15874,151l15370,442,15379,452,15874,166,15874,151m15874,73l15320,392,15329,402,15874,87,15874,73m15874,-6l15270,342,15279,352,15874,8,15874,-6m15874,-85l15220,292,15229,302,15874,-71,15874,-85m15874,-164l15170,242,15179,251,15874,-150,15874,-164m15874,-243l15120,192,15129,201,15874,-229,15874,-243m15874,-322l15070,142,15079,151,15874,-308,15874,-322m15874,-401l15020,92,15029,101,15874,-387,15874,-401m15874,-559l14920,-8,14929,1,15874,-544,15874,-559m15874,-638l14870,-58,14879,-49,15874,-623,15874,-638m15874,-717l14819,-108,14829,-99,15874,-702,15874,-717m15874,-796l14769,-158,14779,-149,15874,-781,15874,-796m15874,-875l14719,-208,14729,-199,15874,-860,15874,-875m15874,-954l14669,-258,14679,-249,15874,-939,15874,-954m15874,-1032l14619,-308,14628,-299,15874,-1018,15874,-1032m15874,-1190l14519,-408,14528,-399,15874,-1176,15874,-1190m15874,-480l14970,42,14979,51,15874,-466,15874,-480m15874,-1111l14569,-358,14578,-349,15874,-1097,15874,-1111e" filled="true" fillcolor="#cdcccd" stroked="false">
              <v:path arrowok="t"/>
              <v:fill type="solid"/>
            </v:shape>
            <v:shape style="position:absolute;left:15520;top:388;width:354;height:514" type="#_x0000_t75" stroked="false">
              <v:imagedata r:id="rId19" o:title=""/>
            </v:shape>
            <v:shape style="position:absolute;left:15874;top:-1193;width:338;height:196" type="#_x0000_t75" stroked="false">
              <v:imagedata r:id="rId20" o:title=""/>
            </v:shape>
            <v:shape style="position:absolute;left:15874;top:-1193;width:964;height:1932" coordorigin="15874,-1192" coordsize="964,1932" path="m16349,-1192l16339,-1192,15874,-924,15874,-918,16349,-1192m16378,442l15874,734,15874,739,16365,456,16378,442m16486,-1192l16476,-1192,15874,-845,15874,-839,16486,-1192m16565,256l15874,655,15874,660,16551,269,16565,256m16622,-1192l16612,-1192,15874,-766,15874,-760,16622,-1192m16699,-1157l16695,-1161,15874,-687,15874,-681,16699,-1157m16749,-1107l16745,-1111,15874,-608,15874,-603,16749,-1107m16752,69l15874,576,15874,581,16738,83,16752,69m16799,-1057l16795,-1061,15874,-529,15874,-524,16799,-1057m16838,-60l15874,497,15874,503,16838,-54,16838,-60m16838,-139l15874,418,15874,424,16838,-133,16838,-139m16838,-217l15874,339,15874,345,16838,-212,16838,-217m16838,-296l15874,260,15874,266,16838,-291,16838,-296m16838,-375l15874,181,15874,187,16838,-370,16838,-375m16838,-454l15874,102,15874,108,16838,-449,16838,-454m16838,-533l15874,23,15874,29,16838,-527,16838,-533m16838,-612l15874,-56,15874,-50,16838,-606,16838,-612m16838,-691l15874,-135,15874,-129,16838,-685,16838,-691m16838,-770l15874,-214,15874,-208,16838,-764,16838,-770m16838,-849l15874,-293,15874,-287,16838,-843,16838,-849m16838,-928l15874,-372,15874,-366,16838,-922,16838,-928m16838,-1007l15874,-450,15874,-445,16838,-1001,16838,-1007e" filled="true" fillcolor="#cdcccd" stroked="false">
              <v:path arrowok="t"/>
              <v:fill type="solid"/>
            </v:shape>
            <v:shape style="position:absolute;left:15874;top:629;width:318;height:269" type="#_x0000_t75" stroked="false">
              <v:imagedata r:id="rId21" o:title=""/>
            </v:shape>
            <v:shape style="position:absolute;left:13676;top:-820;width:904;height:904" coordorigin="13677,-820" coordsize="904,904" path="m14128,-820l13677,-368,14128,83,14580,-368,14128,-820xe" filled="true" fillcolor="#ffffff" stroked="false">
              <v:path arrowok="t"/>
              <v:fill type="solid"/>
            </v:shape>
            <v:shape style="position:absolute;left:13225;top:-369;width:904;height:904" coordorigin="13225,-368" coordsize="904,904" path="m13677,-368l13225,83,13677,535,14128,83,13677,-368xe" filled="true" fillcolor="#e8e9c9" stroked="false">
              <v:path arrowok="t"/>
              <v:fill type="solid"/>
            </v:shape>
            <v:shape style="position:absolute;left:11870;top:-820;width:2710;height:904" coordorigin="11870,-820" coordsize="2710,904" path="m12774,-368l12322,-820,11870,-368,12322,83,12774,-368m14580,-368l14128,-820,13677,-368,14128,83,14580,-368e" filled="true" fillcolor="#efeeeb" stroked="false">
              <v:path arrowok="t"/>
              <v:fill type="solid"/>
            </v:shape>
            <v:shape style="position:absolute;left:12773;top:-820;width:904;height:904" coordorigin="12774,-820" coordsize="904,904" path="m13225,-820l12774,-368,13225,83,13677,-368,13225,-820xe" filled="true" fillcolor="#c0aac2" stroked="false">
              <v:path arrowok="t"/>
              <v:fill type="solid"/>
            </v:shape>
            <v:rect style="position:absolute;left:9621;top:-1193;width:2406;height:851" filled="true" fillcolor="#bec85c" stroked="false">
              <v:fill type="solid"/>
            </v:rect>
            <v:rect style="position:absolute;left:12026;top:-1193;width:2406;height:851" filled="true" fillcolor="#b6c247" stroked="false">
              <v:fill type="solid"/>
            </v:rect>
            <v:rect style="position:absolute;left:14432;top:-1193;width:2406;height:851" filled="true" fillcolor="#aebd37" stroked="false">
              <v:fill type="solid"/>
            </v:rect>
            <v:shape style="position:absolute;left:15424;top:-117;width:900;height:904" coordorigin="15424,-117" coordsize="900,904" path="m15874,-117l15424,333,15424,336,15874,786,16324,336,16324,333,15874,-117xe" filled="true" fillcolor="#c4cd71" stroked="false">
              <v:path arrowok="t"/>
              <v:fill type="solid"/>
            </v:shape>
            <v:shape style="position:absolute;left:15422;top:333;width:2;height:4" coordorigin="15423,333" coordsize="2,4" path="m15424,333l15423,335,15424,336,15424,333xe" filled="true" fillcolor="#b9c369" stroked="false">
              <v:path arrowok="t"/>
              <v:fill type="solid"/>
            </v:shape>
            <v:shape style="position:absolute;left:16324;top:333;width:2;height:4" coordorigin="16324,333" coordsize="2,4" path="m16324,333l16324,336,16326,335,16324,333xe" filled="true" fillcolor="#bec29e" stroked="false">
              <v:path arrowok="t"/>
              <v:fill type="solid"/>
            </v:shape>
            <v:shape style="position:absolute;left:15263;top:174;width:1222;height:322" coordorigin="15263,174" coordsize="1222,322" path="m15424,174l15263,335,15424,496,15424,336,15423,335,15424,333,15424,174m16485,335l16324,174,16324,333,16326,335,16324,336,16324,496,16485,335e" filled="true" fillcolor="#acacad" stroked="false">
              <v:path arrowok="t"/>
              <v:fill type="solid"/>
            </v:shape>
            <v:shape style="position:absolute;left:15585;top:155;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4432;top:-1193;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93;width:2406;height:851" type="#_x0000_t202" filled="false"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1193;width:2406;height:851"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v:shape style="position:absolute;left:7216;top:-1193;width:2406;height:851"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10:wrap type="none"/>
          </v:group>
        </w:pict>
      </w:r>
      <w:r>
        <w:rPr>
          <w:color w:val="6F2770"/>
        </w:rPr>
        <w:t>Director General’s Foreword</w:t>
      </w:r>
    </w:p>
    <w:p>
      <w:pPr>
        <w:pStyle w:val="BodyText"/>
        <w:spacing w:before="5"/>
        <w:rPr>
          <w:sz w:val="25"/>
        </w:rPr>
      </w:pPr>
    </w:p>
    <w:p>
      <w:pPr>
        <w:spacing w:after="0"/>
        <w:rPr>
          <w:sz w:val="25"/>
        </w:rPr>
        <w:sectPr>
          <w:footerReference w:type="default" r:id="rId17"/>
          <w:pgSz w:w="16840" w:h="11910" w:orient="landscape"/>
          <w:pgMar w:footer="0" w:header="0" w:top="0" w:bottom="0" w:left="0" w:right="0"/>
        </w:sectPr>
      </w:pPr>
    </w:p>
    <w:p>
      <w:pPr>
        <w:pStyle w:val="BodyText"/>
        <w:spacing w:line="249" w:lineRule="auto" w:before="108"/>
        <w:ind w:left="765" w:right="375"/>
      </w:pPr>
      <w:r>
        <w:rPr/>
        <w:t>I am pleased to present the Department of </w:t>
      </w:r>
      <w:r>
        <w:rPr>
          <w:spacing w:val="-3"/>
        </w:rPr>
        <w:t>Finance’s </w:t>
      </w:r>
      <w:r>
        <w:rPr/>
        <w:t>Annual Report for 2016-17 which highlights</w:t>
      </w:r>
      <w:r>
        <w:rPr>
          <w:spacing w:val="-30"/>
        </w:rPr>
        <w:t> </w:t>
      </w:r>
      <w:r>
        <w:rPr/>
        <w:t>the</w:t>
      </w:r>
      <w:r>
        <w:rPr>
          <w:spacing w:val="-30"/>
        </w:rPr>
        <w:t> </w:t>
      </w:r>
      <w:r>
        <w:rPr/>
        <w:t>achievements</w:t>
      </w:r>
      <w:r>
        <w:rPr>
          <w:spacing w:val="-29"/>
        </w:rPr>
        <w:t> </w:t>
      </w:r>
      <w:r>
        <w:rPr/>
        <w:t>of</w:t>
      </w:r>
      <w:r>
        <w:rPr>
          <w:spacing w:val="-30"/>
        </w:rPr>
        <w:t> </w:t>
      </w:r>
      <w:r>
        <w:rPr/>
        <w:t>the</w:t>
      </w:r>
      <w:r>
        <w:rPr>
          <w:spacing w:val="-29"/>
        </w:rPr>
        <w:t> </w:t>
      </w:r>
      <w:r>
        <w:rPr/>
        <w:t>Department over the</w:t>
      </w:r>
      <w:r>
        <w:rPr>
          <w:spacing w:val="-2"/>
        </w:rPr>
        <w:t> </w:t>
      </w:r>
      <w:r>
        <w:rPr>
          <w:spacing w:val="-5"/>
        </w:rPr>
        <w:t>year.</w:t>
      </w:r>
    </w:p>
    <w:p>
      <w:pPr>
        <w:pStyle w:val="BodyText"/>
        <w:spacing w:before="3"/>
        <w:rPr>
          <w:sz w:val="23"/>
        </w:rPr>
      </w:pPr>
    </w:p>
    <w:p>
      <w:pPr>
        <w:pStyle w:val="BodyText"/>
        <w:spacing w:line="249" w:lineRule="auto" w:before="1"/>
        <w:ind w:left="765" w:right="307"/>
      </w:pPr>
      <w:r>
        <w:rPr/>
        <w:t>The</w:t>
      </w:r>
      <w:r>
        <w:rPr>
          <w:spacing w:val="-15"/>
        </w:rPr>
        <w:t> </w:t>
      </w:r>
      <w:r>
        <w:rPr/>
        <w:t>Department</w:t>
      </w:r>
      <w:r>
        <w:rPr>
          <w:spacing w:val="-15"/>
        </w:rPr>
        <w:t> </w:t>
      </w:r>
      <w:r>
        <w:rPr/>
        <w:t>is</w:t>
      </w:r>
      <w:r>
        <w:rPr>
          <w:spacing w:val="-15"/>
        </w:rPr>
        <w:t> </w:t>
      </w:r>
      <w:r>
        <w:rPr/>
        <w:t>committed</w:t>
      </w:r>
      <w:r>
        <w:rPr>
          <w:spacing w:val="-15"/>
        </w:rPr>
        <w:t> </w:t>
      </w:r>
      <w:r>
        <w:rPr/>
        <w:t>to</w:t>
      </w:r>
      <w:r>
        <w:rPr>
          <w:spacing w:val="-14"/>
        </w:rPr>
        <w:t> </w:t>
      </w:r>
      <w:r>
        <w:rPr/>
        <w:t>making</w:t>
      </w:r>
      <w:r>
        <w:rPr>
          <w:spacing w:val="-15"/>
        </w:rPr>
        <w:t> </w:t>
      </w:r>
      <w:r>
        <w:rPr/>
        <w:t>a</w:t>
      </w:r>
      <w:r>
        <w:rPr>
          <w:spacing w:val="-15"/>
        </w:rPr>
        <w:t> </w:t>
      </w:r>
      <w:r>
        <w:rPr/>
        <w:t>real difference</w:t>
      </w:r>
      <w:r>
        <w:rPr>
          <w:spacing w:val="-27"/>
        </w:rPr>
        <w:t> </w:t>
      </w:r>
      <w:r>
        <w:rPr/>
        <w:t>through</w:t>
      </w:r>
      <w:r>
        <w:rPr>
          <w:spacing w:val="-26"/>
        </w:rPr>
        <w:t> </w:t>
      </w:r>
      <w:r>
        <w:rPr/>
        <w:t>its</w:t>
      </w:r>
      <w:r>
        <w:rPr>
          <w:spacing w:val="-27"/>
        </w:rPr>
        <w:t> </w:t>
      </w:r>
      <w:r>
        <w:rPr/>
        <w:t>provision</w:t>
      </w:r>
      <w:r>
        <w:rPr>
          <w:spacing w:val="-26"/>
        </w:rPr>
        <w:t> </w:t>
      </w:r>
      <w:r>
        <w:rPr/>
        <w:t>of</w:t>
      </w:r>
      <w:r>
        <w:rPr>
          <w:spacing w:val="-26"/>
        </w:rPr>
        <w:t> </w:t>
      </w:r>
      <w:r>
        <w:rPr/>
        <w:t>quality</w:t>
      </w:r>
      <w:r>
        <w:rPr>
          <w:spacing w:val="-27"/>
        </w:rPr>
        <w:t> </w:t>
      </w:r>
      <w:r>
        <w:rPr>
          <w:spacing w:val="-3"/>
        </w:rPr>
        <w:t>advice </w:t>
      </w:r>
      <w:r>
        <w:rPr/>
        <w:t>and</w:t>
      </w:r>
      <w:r>
        <w:rPr>
          <w:spacing w:val="-21"/>
        </w:rPr>
        <w:t> </w:t>
      </w:r>
      <w:r>
        <w:rPr/>
        <w:t>services.</w:t>
      </w:r>
      <w:r>
        <w:rPr>
          <w:spacing w:val="-21"/>
        </w:rPr>
        <w:t> </w:t>
      </w:r>
      <w:r>
        <w:rPr/>
        <w:t>We</w:t>
      </w:r>
      <w:r>
        <w:rPr>
          <w:spacing w:val="-20"/>
        </w:rPr>
        <w:t> </w:t>
      </w:r>
      <w:r>
        <w:rPr/>
        <w:t>provide</w:t>
      </w:r>
      <w:r>
        <w:rPr>
          <w:spacing w:val="-21"/>
        </w:rPr>
        <w:t> </w:t>
      </w:r>
      <w:r>
        <w:rPr/>
        <w:t>a</w:t>
      </w:r>
      <w:r>
        <w:rPr>
          <w:spacing w:val="-20"/>
        </w:rPr>
        <w:t> </w:t>
      </w:r>
      <w:r>
        <w:rPr/>
        <w:t>breadth</w:t>
      </w:r>
      <w:r>
        <w:rPr>
          <w:spacing w:val="-21"/>
        </w:rPr>
        <w:t> </w:t>
      </w:r>
      <w:r>
        <w:rPr/>
        <w:t>of</w:t>
      </w:r>
      <w:r>
        <w:rPr>
          <w:spacing w:val="-20"/>
        </w:rPr>
        <w:t> </w:t>
      </w:r>
      <w:r>
        <w:rPr/>
        <w:t>services and</w:t>
      </w:r>
      <w:r>
        <w:rPr>
          <w:spacing w:val="-14"/>
        </w:rPr>
        <w:t> </w:t>
      </w:r>
      <w:r>
        <w:rPr/>
        <w:t>expertise</w:t>
      </w:r>
      <w:r>
        <w:rPr>
          <w:spacing w:val="-14"/>
        </w:rPr>
        <w:t> </w:t>
      </w:r>
      <w:r>
        <w:rPr/>
        <w:t>and</w:t>
      </w:r>
      <w:r>
        <w:rPr>
          <w:spacing w:val="-14"/>
        </w:rPr>
        <w:t> </w:t>
      </w:r>
      <w:r>
        <w:rPr/>
        <w:t>are</w:t>
      </w:r>
      <w:r>
        <w:rPr>
          <w:spacing w:val="-13"/>
        </w:rPr>
        <w:t> </w:t>
      </w:r>
      <w:r>
        <w:rPr/>
        <w:t>proud</w:t>
      </w:r>
      <w:r>
        <w:rPr>
          <w:spacing w:val="-14"/>
        </w:rPr>
        <w:t> </w:t>
      </w:r>
      <w:r>
        <w:rPr/>
        <w:t>that</w:t>
      </w:r>
      <w:r>
        <w:rPr>
          <w:spacing w:val="-14"/>
        </w:rPr>
        <w:t> </w:t>
      </w:r>
      <w:r>
        <w:rPr/>
        <w:t>our</w:t>
      </w:r>
      <w:r>
        <w:rPr>
          <w:spacing w:val="-13"/>
        </w:rPr>
        <w:t> </w:t>
      </w:r>
      <w:r>
        <w:rPr/>
        <w:t>culture</w:t>
      </w:r>
      <w:r>
        <w:rPr>
          <w:spacing w:val="-14"/>
        </w:rPr>
        <w:t> </w:t>
      </w:r>
      <w:r>
        <w:rPr/>
        <w:t>is focused on collaborating with our customers, and</w:t>
      </w:r>
      <w:r>
        <w:rPr>
          <w:spacing w:val="-17"/>
        </w:rPr>
        <w:t> </w:t>
      </w:r>
      <w:r>
        <w:rPr/>
        <w:t>continuously</w:t>
      </w:r>
      <w:r>
        <w:rPr>
          <w:spacing w:val="-16"/>
        </w:rPr>
        <w:t> </w:t>
      </w:r>
      <w:r>
        <w:rPr/>
        <w:t>seeking</w:t>
      </w:r>
      <w:r>
        <w:rPr>
          <w:spacing w:val="-17"/>
        </w:rPr>
        <w:t> </w:t>
      </w:r>
      <w:r>
        <w:rPr/>
        <w:t>to</w:t>
      </w:r>
      <w:r>
        <w:rPr>
          <w:spacing w:val="-16"/>
        </w:rPr>
        <w:t> </w:t>
      </w:r>
      <w:r>
        <w:rPr/>
        <w:t>improve</w:t>
      </w:r>
      <w:r>
        <w:rPr>
          <w:spacing w:val="-17"/>
        </w:rPr>
        <w:t> </w:t>
      </w:r>
      <w:r>
        <w:rPr/>
        <w:t>all</w:t>
      </w:r>
      <w:r>
        <w:rPr>
          <w:spacing w:val="-16"/>
        </w:rPr>
        <w:t> </w:t>
      </w:r>
      <w:r>
        <w:rPr/>
        <w:t>we</w:t>
      </w:r>
      <w:r>
        <w:rPr>
          <w:spacing w:val="-16"/>
        </w:rPr>
        <w:t> </w:t>
      </w:r>
      <w:r>
        <w:rPr/>
        <w:t>do,</w:t>
      </w:r>
    </w:p>
    <w:p>
      <w:pPr>
        <w:pStyle w:val="BodyText"/>
        <w:spacing w:before="5"/>
        <w:ind w:left="765"/>
      </w:pPr>
      <w:r>
        <w:rPr/>
        <w:t>to</w:t>
      </w:r>
      <w:r>
        <w:rPr>
          <w:spacing w:val="-29"/>
        </w:rPr>
        <w:t> </w:t>
      </w:r>
      <w:r>
        <w:rPr/>
        <w:t>deliver</w:t>
      </w:r>
      <w:r>
        <w:rPr>
          <w:spacing w:val="-28"/>
        </w:rPr>
        <w:t> </w:t>
      </w:r>
      <w:r>
        <w:rPr/>
        <w:t>increased</w:t>
      </w:r>
      <w:r>
        <w:rPr>
          <w:spacing w:val="-28"/>
        </w:rPr>
        <w:t> </w:t>
      </w:r>
      <w:r>
        <w:rPr/>
        <w:t>value</w:t>
      </w:r>
      <w:r>
        <w:rPr>
          <w:spacing w:val="-29"/>
        </w:rPr>
        <w:t> </w:t>
      </w:r>
      <w:r>
        <w:rPr/>
        <w:t>and</w:t>
      </w:r>
      <w:r>
        <w:rPr>
          <w:spacing w:val="-28"/>
        </w:rPr>
        <w:t> </w:t>
      </w:r>
      <w:r>
        <w:rPr/>
        <w:t>achieve</w:t>
      </w:r>
      <w:r>
        <w:rPr>
          <w:spacing w:val="-28"/>
        </w:rPr>
        <w:t> </w:t>
      </w:r>
      <w:r>
        <w:rPr/>
        <w:t>excellence.</w:t>
      </w:r>
    </w:p>
    <w:p>
      <w:pPr>
        <w:pStyle w:val="BodyText"/>
        <w:spacing w:before="10"/>
        <w:rPr>
          <w:sz w:val="23"/>
        </w:rPr>
      </w:pPr>
    </w:p>
    <w:p>
      <w:pPr>
        <w:pStyle w:val="BodyText"/>
        <w:spacing w:line="249" w:lineRule="auto" w:before="1"/>
        <w:ind w:left="765" w:right="-7"/>
      </w:pPr>
      <w:r>
        <w:rPr/>
        <w:t>The </w:t>
      </w:r>
      <w:r>
        <w:rPr>
          <w:spacing w:val="-3"/>
        </w:rPr>
        <w:t>Department’s </w:t>
      </w:r>
      <w:r>
        <w:rPr/>
        <w:t>aspiration to deliver trusted advice</w:t>
      </w:r>
      <w:r>
        <w:rPr>
          <w:spacing w:val="-24"/>
        </w:rPr>
        <w:t> </w:t>
      </w:r>
      <w:r>
        <w:rPr/>
        <w:t>and</w:t>
      </w:r>
      <w:r>
        <w:rPr>
          <w:spacing w:val="-23"/>
        </w:rPr>
        <w:t> </w:t>
      </w:r>
      <w:r>
        <w:rPr/>
        <w:t>valued</w:t>
      </w:r>
      <w:r>
        <w:rPr>
          <w:spacing w:val="-23"/>
        </w:rPr>
        <w:t> </w:t>
      </w:r>
      <w:r>
        <w:rPr/>
        <w:t>services</w:t>
      </w:r>
      <w:r>
        <w:rPr>
          <w:spacing w:val="-23"/>
        </w:rPr>
        <w:t> </w:t>
      </w:r>
      <w:r>
        <w:rPr/>
        <w:t>is</w:t>
      </w:r>
      <w:r>
        <w:rPr>
          <w:spacing w:val="-23"/>
        </w:rPr>
        <w:t> </w:t>
      </w:r>
      <w:r>
        <w:rPr/>
        <w:t>reflected</w:t>
      </w:r>
      <w:r>
        <w:rPr>
          <w:spacing w:val="-23"/>
        </w:rPr>
        <w:t> </w:t>
      </w:r>
      <w:r>
        <w:rPr/>
        <w:t>in</w:t>
      </w:r>
      <w:r>
        <w:rPr>
          <w:spacing w:val="-23"/>
        </w:rPr>
        <w:t> </w:t>
      </w:r>
      <w:r>
        <w:rPr/>
        <w:t>our</w:t>
      </w:r>
      <w:r>
        <w:rPr>
          <w:spacing w:val="-23"/>
        </w:rPr>
        <w:t> </w:t>
      </w:r>
      <w:r>
        <w:rPr>
          <w:spacing w:val="-5"/>
        </w:rPr>
        <w:t>many </w:t>
      </w:r>
      <w:r>
        <w:rPr/>
        <w:t>and</w:t>
      </w:r>
      <w:r>
        <w:rPr>
          <w:spacing w:val="-18"/>
        </w:rPr>
        <w:t> </w:t>
      </w:r>
      <w:r>
        <w:rPr/>
        <w:t>varied</w:t>
      </w:r>
      <w:r>
        <w:rPr>
          <w:spacing w:val="-18"/>
        </w:rPr>
        <w:t> </w:t>
      </w:r>
      <w:r>
        <w:rPr/>
        <w:t>achievements</w:t>
      </w:r>
      <w:r>
        <w:rPr>
          <w:spacing w:val="-18"/>
        </w:rPr>
        <w:t> </w:t>
      </w:r>
      <w:r>
        <w:rPr/>
        <w:t>over</w:t>
      </w:r>
      <w:r>
        <w:rPr>
          <w:spacing w:val="-18"/>
        </w:rPr>
        <w:t> </w:t>
      </w:r>
      <w:r>
        <w:rPr/>
        <w:t>the</w:t>
      </w:r>
      <w:r>
        <w:rPr>
          <w:spacing w:val="-18"/>
        </w:rPr>
        <w:t> </w:t>
      </w:r>
      <w:r>
        <w:rPr/>
        <w:t>last</w:t>
      </w:r>
      <w:r>
        <w:rPr>
          <w:spacing w:val="-18"/>
        </w:rPr>
        <w:t> </w:t>
      </w:r>
      <w:r>
        <w:rPr/>
        <w:t>12</w:t>
      </w:r>
      <w:r>
        <w:rPr>
          <w:spacing w:val="-18"/>
        </w:rPr>
        <w:t> </w:t>
      </w:r>
      <w:r>
        <w:rPr/>
        <w:t>months. Our achievements demonstrate our commitment to a high performing public </w:t>
      </w:r>
      <w:r>
        <w:rPr>
          <w:spacing w:val="-3"/>
        </w:rPr>
        <w:t>sector, </w:t>
      </w:r>
      <w:r>
        <w:rPr/>
        <w:t>which I am proud to showcase in this</w:t>
      </w:r>
      <w:r>
        <w:rPr>
          <w:spacing w:val="-10"/>
        </w:rPr>
        <w:t> </w:t>
      </w:r>
      <w:r>
        <w:rPr/>
        <w:t>report.</w:t>
      </w:r>
    </w:p>
    <w:p>
      <w:pPr>
        <w:pStyle w:val="BodyText"/>
        <w:spacing w:before="4"/>
        <w:rPr>
          <w:sz w:val="23"/>
        </w:rPr>
      </w:pPr>
    </w:p>
    <w:p>
      <w:pPr>
        <w:pStyle w:val="BodyText"/>
        <w:spacing w:line="249" w:lineRule="auto"/>
        <w:ind w:left="765" w:right="127"/>
      </w:pPr>
      <w:r>
        <w:rPr/>
        <w:t>Our</w:t>
      </w:r>
      <w:r>
        <w:rPr>
          <w:spacing w:val="-32"/>
        </w:rPr>
        <w:t> </w:t>
      </w:r>
      <w:r>
        <w:rPr/>
        <w:t>expertise</w:t>
      </w:r>
      <w:r>
        <w:rPr>
          <w:spacing w:val="-31"/>
        </w:rPr>
        <w:t> </w:t>
      </w:r>
      <w:r>
        <w:rPr/>
        <w:t>has</w:t>
      </w:r>
      <w:r>
        <w:rPr>
          <w:spacing w:val="-31"/>
        </w:rPr>
        <w:t> </w:t>
      </w:r>
      <w:r>
        <w:rPr/>
        <w:t>delivered</w:t>
      </w:r>
      <w:r>
        <w:rPr>
          <w:spacing w:val="-31"/>
        </w:rPr>
        <w:t> </w:t>
      </w:r>
      <w:r>
        <w:rPr/>
        <w:t>important</w:t>
      </w:r>
      <w:r>
        <w:rPr>
          <w:spacing w:val="-31"/>
        </w:rPr>
        <w:t> </w:t>
      </w:r>
      <w:r>
        <w:rPr/>
        <w:t>community buildings</w:t>
      </w:r>
      <w:r>
        <w:rPr>
          <w:spacing w:val="-21"/>
        </w:rPr>
        <w:t> </w:t>
      </w:r>
      <w:r>
        <w:rPr/>
        <w:t>across</w:t>
      </w:r>
      <w:r>
        <w:rPr>
          <w:spacing w:val="-21"/>
        </w:rPr>
        <w:t> </w:t>
      </w:r>
      <w:r>
        <w:rPr/>
        <w:t>the</w:t>
      </w:r>
      <w:r>
        <w:rPr>
          <w:spacing w:val="-20"/>
        </w:rPr>
        <w:t> </w:t>
      </w:r>
      <w:r>
        <w:rPr/>
        <w:t>State,</w:t>
      </w:r>
      <w:r>
        <w:rPr>
          <w:spacing w:val="-21"/>
        </w:rPr>
        <w:t> </w:t>
      </w:r>
      <w:r>
        <w:rPr/>
        <w:t>our</w:t>
      </w:r>
      <w:r>
        <w:rPr>
          <w:spacing w:val="-20"/>
        </w:rPr>
        <w:t> </w:t>
      </w:r>
      <w:r>
        <w:rPr/>
        <w:t>advice</w:t>
      </w:r>
      <w:r>
        <w:rPr>
          <w:spacing w:val="-21"/>
        </w:rPr>
        <w:t> </w:t>
      </w:r>
      <w:r>
        <w:rPr/>
        <w:t>has</w:t>
      </w:r>
      <w:r>
        <w:rPr>
          <w:spacing w:val="-20"/>
        </w:rPr>
        <w:t> </w:t>
      </w:r>
      <w:r>
        <w:rPr/>
        <w:t>played a role in improving the efficiency of government and our innovative ideas continue to shape the delivery of services to our</w:t>
      </w:r>
      <w:r>
        <w:rPr>
          <w:spacing w:val="-25"/>
        </w:rPr>
        <w:t> </w:t>
      </w:r>
      <w:r>
        <w:rPr/>
        <w:t>customers.</w:t>
      </w:r>
    </w:p>
    <w:p>
      <w:pPr>
        <w:pStyle w:val="BodyText"/>
        <w:spacing w:line="249" w:lineRule="auto" w:before="107"/>
        <w:ind w:left="419" w:right="-7"/>
      </w:pPr>
      <w:r>
        <w:rPr/>
        <w:br w:type="column"/>
      </w:r>
      <w:r>
        <w:rPr/>
        <w:t>I’d</w:t>
      </w:r>
      <w:r>
        <w:rPr>
          <w:spacing w:val="-24"/>
        </w:rPr>
        <w:t> </w:t>
      </w:r>
      <w:r>
        <w:rPr/>
        <w:t>like</w:t>
      </w:r>
      <w:r>
        <w:rPr>
          <w:spacing w:val="-23"/>
        </w:rPr>
        <w:t> </w:t>
      </w:r>
      <w:r>
        <w:rPr/>
        <w:t>to</w:t>
      </w:r>
      <w:r>
        <w:rPr>
          <w:spacing w:val="-23"/>
        </w:rPr>
        <w:t> </w:t>
      </w:r>
      <w:r>
        <w:rPr/>
        <w:t>particularly</w:t>
      </w:r>
      <w:r>
        <w:rPr>
          <w:spacing w:val="-23"/>
        </w:rPr>
        <w:t> </w:t>
      </w:r>
      <w:r>
        <w:rPr/>
        <w:t>acknowledge</w:t>
      </w:r>
      <w:r>
        <w:rPr>
          <w:spacing w:val="-23"/>
        </w:rPr>
        <w:t> </w:t>
      </w:r>
      <w:r>
        <w:rPr/>
        <w:t>the</w:t>
      </w:r>
      <w:r>
        <w:rPr>
          <w:spacing w:val="-23"/>
        </w:rPr>
        <w:t> </w:t>
      </w:r>
      <w:r>
        <w:rPr/>
        <w:t>Department of Finance staff. Our true strength is our people, who have responded quickly to changing circumstances and risen to meet new challenges over the </w:t>
      </w:r>
      <w:r>
        <w:rPr>
          <w:spacing w:val="-5"/>
        </w:rPr>
        <w:t>year. </w:t>
      </w:r>
      <w:r>
        <w:rPr/>
        <w:t>I am proud of what we collectively have achieved, which would not be possible without the leadership, innovation, commitment and flexibility of the</w:t>
      </w:r>
      <w:r>
        <w:rPr>
          <w:spacing w:val="-9"/>
        </w:rPr>
        <w:t> </w:t>
      </w:r>
      <w:r>
        <w:rPr/>
        <w:t>team.</w:t>
      </w:r>
    </w:p>
    <w:p>
      <w:pPr>
        <w:pStyle w:val="BodyText"/>
        <w:spacing w:before="6"/>
        <w:rPr>
          <w:sz w:val="23"/>
        </w:rPr>
      </w:pPr>
    </w:p>
    <w:p>
      <w:pPr>
        <w:pStyle w:val="BodyText"/>
        <w:spacing w:line="249" w:lineRule="auto" w:before="1"/>
        <w:ind w:left="419" w:right="482"/>
      </w:pPr>
      <w:r>
        <w:rPr/>
        <w:t>Looking forward, the Government’s recent machinery of government changes will see two</w:t>
      </w:r>
      <w:r>
        <w:rPr>
          <w:spacing w:val="-16"/>
        </w:rPr>
        <w:t> </w:t>
      </w:r>
      <w:r>
        <w:rPr/>
        <w:t>of</w:t>
      </w:r>
      <w:r>
        <w:rPr>
          <w:spacing w:val="-16"/>
        </w:rPr>
        <w:t> </w:t>
      </w:r>
      <w:r>
        <w:rPr/>
        <w:t>our</w:t>
      </w:r>
      <w:r>
        <w:rPr>
          <w:spacing w:val="-15"/>
        </w:rPr>
        <w:t> </w:t>
      </w:r>
      <w:r>
        <w:rPr/>
        <w:t>business</w:t>
      </w:r>
      <w:r>
        <w:rPr>
          <w:spacing w:val="-16"/>
        </w:rPr>
        <w:t> </w:t>
      </w:r>
      <w:r>
        <w:rPr/>
        <w:t>units</w:t>
      </w:r>
      <w:r>
        <w:rPr>
          <w:spacing w:val="-15"/>
        </w:rPr>
        <w:t> </w:t>
      </w:r>
      <w:r>
        <w:rPr/>
        <w:t>–</w:t>
      </w:r>
      <w:r>
        <w:rPr>
          <w:spacing w:val="-16"/>
        </w:rPr>
        <w:t> </w:t>
      </w:r>
      <w:r>
        <w:rPr/>
        <w:t>Economic</w:t>
      </w:r>
      <w:r>
        <w:rPr>
          <w:spacing w:val="-15"/>
        </w:rPr>
        <w:t> </w:t>
      </w:r>
      <w:r>
        <w:rPr>
          <w:spacing w:val="-3"/>
        </w:rPr>
        <w:t>Reform </w:t>
      </w:r>
      <w:r>
        <w:rPr/>
        <w:t>and the Public Utilities Office – move to the Department of </w:t>
      </w:r>
      <w:r>
        <w:rPr>
          <w:spacing w:val="-6"/>
        </w:rPr>
        <w:t>Treasury, </w:t>
      </w:r>
      <w:r>
        <w:rPr/>
        <w:t>where they will no doubt continue to provide quality</w:t>
      </w:r>
      <w:r>
        <w:rPr>
          <w:spacing w:val="-33"/>
        </w:rPr>
        <w:t> </w:t>
      </w:r>
      <w:r>
        <w:rPr/>
        <w:t>advice</w:t>
      </w:r>
    </w:p>
    <w:p>
      <w:pPr>
        <w:pStyle w:val="BodyText"/>
        <w:spacing w:before="5"/>
        <w:ind w:left="419"/>
      </w:pPr>
      <w:r>
        <w:rPr/>
        <w:t>to inform Government decisions.</w:t>
      </w:r>
    </w:p>
    <w:p>
      <w:pPr>
        <w:pStyle w:val="BodyText"/>
        <w:spacing w:before="10"/>
        <w:rPr>
          <w:sz w:val="23"/>
        </w:rPr>
      </w:pPr>
    </w:p>
    <w:p>
      <w:pPr>
        <w:pStyle w:val="BodyText"/>
        <w:spacing w:line="249" w:lineRule="auto" w:before="1"/>
        <w:ind w:left="419" w:right="184"/>
      </w:pPr>
      <w:r>
        <w:rPr/>
        <w:t>In addition, the Department of Finance will next year</w:t>
      </w:r>
      <w:r>
        <w:rPr>
          <w:spacing w:val="-21"/>
        </w:rPr>
        <w:t> </w:t>
      </w:r>
      <w:r>
        <w:rPr/>
        <w:t>welcome</w:t>
      </w:r>
      <w:r>
        <w:rPr>
          <w:spacing w:val="-20"/>
        </w:rPr>
        <w:t> </w:t>
      </w:r>
      <w:r>
        <w:rPr/>
        <w:t>Strategic</w:t>
      </w:r>
      <w:r>
        <w:rPr>
          <w:spacing w:val="-20"/>
        </w:rPr>
        <w:t> </w:t>
      </w:r>
      <w:r>
        <w:rPr/>
        <w:t>Projects</w:t>
      </w:r>
      <w:r>
        <w:rPr>
          <w:spacing w:val="-20"/>
        </w:rPr>
        <w:t> </w:t>
      </w:r>
      <w:r>
        <w:rPr/>
        <w:t>into</w:t>
      </w:r>
      <w:r>
        <w:rPr>
          <w:spacing w:val="-21"/>
        </w:rPr>
        <w:t> </w:t>
      </w:r>
      <w:r>
        <w:rPr/>
        <w:t>the</w:t>
      </w:r>
      <w:r>
        <w:rPr>
          <w:spacing w:val="-20"/>
        </w:rPr>
        <w:t> </w:t>
      </w:r>
      <w:r>
        <w:rPr>
          <w:spacing w:val="-7"/>
        </w:rPr>
        <w:t>agency, </w:t>
      </w:r>
      <w:r>
        <w:rPr/>
        <w:t>which will continue to oversee the construction of unique and complex State building projects like</w:t>
      </w:r>
      <w:r>
        <w:rPr>
          <w:spacing w:val="-10"/>
        </w:rPr>
        <w:t> </w:t>
      </w:r>
      <w:r>
        <w:rPr/>
        <w:t>the</w:t>
      </w:r>
      <w:r>
        <w:rPr>
          <w:spacing w:val="-10"/>
        </w:rPr>
        <w:t> </w:t>
      </w:r>
      <w:r>
        <w:rPr/>
        <w:t>Perth</w:t>
      </w:r>
      <w:r>
        <w:rPr>
          <w:spacing w:val="-10"/>
        </w:rPr>
        <w:t> </w:t>
      </w:r>
      <w:r>
        <w:rPr/>
        <w:t>Stadium</w:t>
      </w:r>
      <w:r>
        <w:rPr>
          <w:spacing w:val="-9"/>
        </w:rPr>
        <w:t> </w:t>
      </w:r>
      <w:r>
        <w:rPr/>
        <w:t>and</w:t>
      </w:r>
      <w:r>
        <w:rPr>
          <w:spacing w:val="-10"/>
        </w:rPr>
        <w:t> </w:t>
      </w:r>
      <w:r>
        <w:rPr/>
        <w:t>the</w:t>
      </w:r>
      <w:r>
        <w:rPr>
          <w:spacing w:val="-10"/>
        </w:rPr>
        <w:t> </w:t>
      </w:r>
      <w:r>
        <w:rPr/>
        <w:t>WA</w:t>
      </w:r>
      <w:r>
        <w:rPr>
          <w:spacing w:val="-9"/>
        </w:rPr>
        <w:t> </w:t>
      </w:r>
      <w:r>
        <w:rPr/>
        <w:t>Museum.</w:t>
      </w:r>
    </w:p>
    <w:p>
      <w:pPr>
        <w:pStyle w:val="BodyText"/>
        <w:spacing w:line="249" w:lineRule="auto" w:before="107"/>
        <w:ind w:left="415" w:right="1202"/>
      </w:pPr>
      <w:r>
        <w:rPr/>
        <w:br w:type="column"/>
      </w:r>
      <w:r>
        <w:rPr/>
        <w:t>This move complements our existing capability</w:t>
      </w:r>
      <w:r>
        <w:rPr>
          <w:spacing w:val="-25"/>
        </w:rPr>
        <w:t> </w:t>
      </w:r>
      <w:r>
        <w:rPr/>
        <w:t>in</w:t>
      </w:r>
      <w:r>
        <w:rPr>
          <w:spacing w:val="-25"/>
        </w:rPr>
        <w:t> </w:t>
      </w:r>
      <w:r>
        <w:rPr/>
        <w:t>Building</w:t>
      </w:r>
      <w:r>
        <w:rPr>
          <w:spacing w:val="-25"/>
        </w:rPr>
        <w:t> </w:t>
      </w:r>
      <w:r>
        <w:rPr/>
        <w:t>Management</w:t>
      </w:r>
      <w:r>
        <w:rPr>
          <w:spacing w:val="-24"/>
        </w:rPr>
        <w:t> </w:t>
      </w:r>
      <w:r>
        <w:rPr/>
        <w:t>and</w:t>
      </w:r>
      <w:r>
        <w:rPr>
          <w:spacing w:val="-25"/>
        </w:rPr>
        <w:t> </w:t>
      </w:r>
      <w:r>
        <w:rPr>
          <w:spacing w:val="-4"/>
        </w:rPr>
        <w:t>Works. </w:t>
      </w:r>
      <w:r>
        <w:rPr/>
        <w:t>This change in responsibility creates the opportunity</w:t>
      </w:r>
      <w:r>
        <w:rPr>
          <w:spacing w:val="-11"/>
        </w:rPr>
        <w:t> </w:t>
      </w:r>
      <w:r>
        <w:rPr/>
        <w:t>to</w:t>
      </w:r>
      <w:r>
        <w:rPr>
          <w:spacing w:val="-11"/>
        </w:rPr>
        <w:t> </w:t>
      </w:r>
      <w:r>
        <w:rPr/>
        <w:t>next</w:t>
      </w:r>
      <w:r>
        <w:rPr>
          <w:spacing w:val="-11"/>
        </w:rPr>
        <w:t> </w:t>
      </w:r>
      <w:r>
        <w:rPr/>
        <w:t>year</w:t>
      </w:r>
      <w:r>
        <w:rPr>
          <w:spacing w:val="-10"/>
        </w:rPr>
        <w:t> </w:t>
      </w:r>
      <w:r>
        <w:rPr/>
        <w:t>consider</w:t>
      </w:r>
      <w:r>
        <w:rPr>
          <w:spacing w:val="-11"/>
        </w:rPr>
        <w:t> </w:t>
      </w:r>
      <w:r>
        <w:rPr/>
        <w:t>how</w:t>
      </w:r>
      <w:r>
        <w:rPr>
          <w:spacing w:val="-11"/>
        </w:rPr>
        <w:t> </w:t>
      </w:r>
      <w:r>
        <w:rPr/>
        <w:t>we</w:t>
      </w:r>
      <w:r>
        <w:rPr>
          <w:spacing w:val="-10"/>
        </w:rPr>
        <w:t> </w:t>
      </w:r>
      <w:r>
        <w:rPr/>
        <w:t>can</w:t>
      </w:r>
    </w:p>
    <w:p>
      <w:pPr>
        <w:pStyle w:val="BodyText"/>
        <w:spacing w:line="249" w:lineRule="auto" w:before="3"/>
        <w:ind w:left="415" w:right="852"/>
      </w:pPr>
      <w:r>
        <w:rPr/>
        <w:t>build</w:t>
      </w:r>
      <w:r>
        <w:rPr>
          <w:spacing w:val="-26"/>
        </w:rPr>
        <w:t> </w:t>
      </w:r>
      <w:r>
        <w:rPr/>
        <w:t>synergies</w:t>
      </w:r>
      <w:r>
        <w:rPr>
          <w:spacing w:val="-26"/>
        </w:rPr>
        <w:t> </w:t>
      </w:r>
      <w:r>
        <w:rPr/>
        <w:t>across</w:t>
      </w:r>
      <w:r>
        <w:rPr>
          <w:spacing w:val="-26"/>
        </w:rPr>
        <w:t> </w:t>
      </w:r>
      <w:r>
        <w:rPr/>
        <w:t>the</w:t>
      </w:r>
      <w:r>
        <w:rPr>
          <w:spacing w:val="-26"/>
        </w:rPr>
        <w:t> </w:t>
      </w:r>
      <w:r>
        <w:rPr/>
        <w:t>Department</w:t>
      </w:r>
      <w:r>
        <w:rPr>
          <w:spacing w:val="-26"/>
        </w:rPr>
        <w:t> </w:t>
      </w:r>
      <w:r>
        <w:rPr/>
        <w:t>and</w:t>
      </w:r>
      <w:r>
        <w:rPr>
          <w:spacing w:val="-26"/>
        </w:rPr>
        <w:t> </w:t>
      </w:r>
      <w:r>
        <w:rPr>
          <w:spacing w:val="-3"/>
        </w:rPr>
        <w:t>deliver </w:t>
      </w:r>
      <w:r>
        <w:rPr/>
        <w:t>enhanced value for</w:t>
      </w:r>
      <w:r>
        <w:rPr>
          <w:spacing w:val="-11"/>
        </w:rPr>
        <w:t> </w:t>
      </w:r>
      <w:r>
        <w:rPr/>
        <w:t>government.</w:t>
      </w:r>
    </w:p>
    <w:p>
      <w:pPr>
        <w:pStyle w:val="BodyText"/>
        <w:spacing w:before="2"/>
        <w:rPr>
          <w:sz w:val="23"/>
        </w:rPr>
      </w:pPr>
    </w:p>
    <w:p>
      <w:pPr>
        <w:pStyle w:val="BodyText"/>
        <w:spacing w:line="249" w:lineRule="auto"/>
        <w:ind w:left="415" w:right="944"/>
      </w:pPr>
      <w:r>
        <w:rPr/>
        <w:t>Over</w:t>
      </w:r>
      <w:r>
        <w:rPr>
          <w:spacing w:val="-16"/>
        </w:rPr>
        <w:t> </w:t>
      </w:r>
      <w:r>
        <w:rPr/>
        <w:t>the</w:t>
      </w:r>
      <w:r>
        <w:rPr>
          <w:spacing w:val="-16"/>
        </w:rPr>
        <w:t> </w:t>
      </w:r>
      <w:r>
        <w:rPr/>
        <w:t>next</w:t>
      </w:r>
      <w:r>
        <w:rPr>
          <w:spacing w:val="-16"/>
        </w:rPr>
        <w:t> </w:t>
      </w:r>
      <w:r>
        <w:rPr/>
        <w:t>year</w:t>
      </w:r>
      <w:r>
        <w:rPr>
          <w:spacing w:val="-15"/>
        </w:rPr>
        <w:t> </w:t>
      </w:r>
      <w:r>
        <w:rPr/>
        <w:t>we</w:t>
      </w:r>
      <w:r>
        <w:rPr>
          <w:spacing w:val="-16"/>
        </w:rPr>
        <w:t> </w:t>
      </w:r>
      <w:r>
        <w:rPr/>
        <w:t>look</w:t>
      </w:r>
      <w:r>
        <w:rPr>
          <w:spacing w:val="-16"/>
        </w:rPr>
        <w:t> </w:t>
      </w:r>
      <w:r>
        <w:rPr/>
        <w:t>forward</w:t>
      </w:r>
      <w:r>
        <w:rPr>
          <w:spacing w:val="-16"/>
        </w:rPr>
        <w:t> </w:t>
      </w:r>
      <w:r>
        <w:rPr/>
        <w:t>to</w:t>
      </w:r>
      <w:r>
        <w:rPr>
          <w:spacing w:val="-15"/>
        </w:rPr>
        <w:t> </w:t>
      </w:r>
      <w:r>
        <w:rPr/>
        <w:t>supporting the Government’s change agenda by improving </w:t>
      </w:r>
      <w:r>
        <w:rPr>
          <w:spacing w:val="-3"/>
        </w:rPr>
        <w:t>efficiency, </w:t>
      </w:r>
      <w:r>
        <w:rPr/>
        <w:t>customer service and workforce capability to deliver even better</w:t>
      </w:r>
      <w:r>
        <w:rPr>
          <w:spacing w:val="-35"/>
        </w:rPr>
        <w:t> </w:t>
      </w:r>
      <w:r>
        <w:rPr/>
        <w:t>outcomes</w:t>
      </w:r>
    </w:p>
    <w:p>
      <w:pPr>
        <w:pStyle w:val="BodyText"/>
        <w:spacing w:before="3"/>
        <w:ind w:left="415"/>
      </w:pPr>
      <w:r>
        <w:rPr/>
        <w:t>for the Western Australian community.</w:t>
      </w:r>
    </w:p>
    <w:p>
      <w:pPr>
        <w:pStyle w:val="BodyText"/>
        <w:rPr>
          <w:sz w:val="20"/>
        </w:rPr>
      </w:pPr>
    </w:p>
    <w:p>
      <w:pPr>
        <w:pStyle w:val="BodyText"/>
        <w:rPr>
          <w:sz w:val="20"/>
        </w:rPr>
      </w:pPr>
    </w:p>
    <w:p>
      <w:pPr>
        <w:pStyle w:val="BodyText"/>
        <w:rPr>
          <w:sz w:val="20"/>
        </w:rPr>
      </w:pPr>
    </w:p>
    <w:p>
      <w:pPr>
        <w:pStyle w:val="BodyText"/>
        <w:spacing w:before="10"/>
        <w:rPr>
          <w:sz w:val="10"/>
        </w:rPr>
      </w:pPr>
      <w:r>
        <w:rPr/>
        <w:pict>
          <v:group style="position:absolute;margin-left:562.623413pt;margin-top:8.214647pt;width:46.65pt;height:47.05pt;mso-position-horizontal-relative:page;mso-position-vertical-relative:paragraph;z-index:-184;mso-wrap-distance-left:0;mso-wrap-distance-right:0" coordorigin="11252,164" coordsize="933,941">
            <v:shape style="position:absolute;left:11252;top:164;width:933;height:941" coordorigin="11252,164" coordsize="933,941" path="m11749,164l11723,171,11720,177,11694,246,11664,314,11632,381,11599,447,11564,513,11528,578,11460,697,11429,752,11399,807,11368,862,11335,918,11301,976,11271,1036,11254,1097,11252,1105,11281,1100,11282,1093,11297,1039,11322,987,11351,938,11380,889,11410,834,11440,779,11471,724,11502,669,11542,599,11544,592,11570,532,11596,471,11623,412,11652,353,11674,310,11696,269,11713,226,11720,178,11749,172,11749,170,11749,164xm11407,1044l11379,1049,11377,1057,11404,1050,11407,1044xm11485,758l11477,775,11447,842,11418,909,11394,979,11379,1049,11410,974,11438,898,11465,818,11485,758xm11611,474l11594,506,11568,566,11537,637,11507,709,11485,758,11464,822,11438,898,11410,974,11379,1049,11407,1044,11426,964,11454,886,11488,810,11519,742,11535,693,11560,622,11581,570,11599,508,11611,474xm11519,742l11488,810,11454,886,11426,964,11407,1044,11437,975,11463,905,11488,835,11519,742xm11786,835l11727,835,11763,848,11801,866,11836,878,11872,885,11908,887,11945,889,12008,886,12059,876,11956,876,11888,866,11821,848,11786,835xm12178,818l12167,819,12160,821,12091,856,12023,874,11956,876,12059,876,12069,874,12127,853,12182,823,12185,819,12178,818xm11685,345l11655,424,11622,502,11589,580,11564,638,11557,670,11547,752,11547,775,11547,795,11556,840,11580,871,11623,870,11631,866,11640,864,11647,858,11682,840,11607,840,11580,809,11574,754,11580,694,11588,644,11606,568,11630,492,11657,418,11685,345xm11707,818l11684,822,11663,830,11607,840,11682,840,11689,836,11727,835,11786,835,11753,824,11730,818,11707,818xm11594,506l11580,531,11542,599,11516,668,11489,744,11485,758,11507,709,11537,637,11568,566,11594,506xm11581,570l11560,622,11535,693,11519,742,11522,735,11564,638,11575,588,11581,570xm11685,345l11681,346,11664,380,11637,437,11612,495,11587,552,11581,570,11575,588,11564,638,11589,580,11622,502,11655,424,11685,345xm11749,172l11720,178,11713,226,11696,269,11674,310,11652,353,11623,412,11596,471,11570,532,11544,592,11542,599,11580,531,11594,506,11599,494,11628,422,11657,350,11660,342,11678,340,11689,319,11720,246,11749,172,11749,172xm11681,346l11675,347,11654,390,11618,461,11611,474,11599,508,11581,570,11587,552,11612,494,11637,437,11664,380,11681,346xm11657,350l11628,422,11599,495,11594,506,11611,474,11627,429,11657,350xm11675,347l11657,350,11627,429,11611,474,11618,461,11654,390,11675,347xm11678,340l11660,342,11657,350,11675,347,11678,340xm11684,340l11678,340,11675,347,11681,346,11684,340xm11687,339l11684,340,11681,346,11685,345,11687,339xm11749,172l11720,246,11689,319,11678,340,11684,340,11692,324,11712,286,11730,250,11743,212,11749,172xe" filled="true" fillcolor="#000101" stroked="false">
              <v:path arrowok="t"/>
              <v:fill type="solid"/>
            </v:shape>
            <v:shape style="position:absolute;left:12087;top:900;width:55;height:33" coordorigin="12087,901" coordsize="55,33" path="m12126,901l12108,906,12092,917,12087,928,12104,933,12122,928,12138,917,12142,906,12126,901xe" filled="true" fillcolor="#000101" stroked="false">
              <v:path arrowok="t"/>
              <v:fill type="solid"/>
            </v:shape>
            <w10:wrap type="topAndBottom"/>
          </v:group>
        </w:pict>
      </w:r>
    </w:p>
    <w:p>
      <w:pPr>
        <w:pStyle w:val="BodyText"/>
        <w:spacing w:line="249" w:lineRule="auto" w:before="35"/>
        <w:ind w:left="415" w:right="4033"/>
      </w:pPr>
      <w:r>
        <w:rPr/>
        <w:t>Anne Nolan </w:t>
      </w:r>
      <w:r>
        <w:rPr>
          <w:w w:val="95"/>
        </w:rPr>
        <w:t>Director General</w:t>
      </w:r>
    </w:p>
    <w:p>
      <w:pPr>
        <w:pStyle w:val="BodyText"/>
        <w:spacing w:before="2"/>
        <w:ind w:left="415"/>
      </w:pPr>
      <w:r>
        <w:rPr/>
        <w:t>Department of Finance</w:t>
      </w:r>
    </w:p>
    <w:p>
      <w:pPr>
        <w:spacing w:after="0"/>
        <w:sectPr>
          <w:type w:val="continuous"/>
          <w:pgSz w:w="16840" w:h="11910" w:orient="landscape"/>
          <w:pgMar w:top="0" w:bottom="0" w:left="0" w:right="0"/>
          <w:cols w:num="3" w:equalWidth="0">
            <w:col w:w="5550" w:space="40"/>
            <w:col w:w="5209" w:space="39"/>
            <w:col w:w="60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tabs>
          <w:tab w:pos="1227" w:val="left" w:leader="none"/>
          <w:tab w:pos="4671" w:val="left" w:leader="none"/>
          <w:tab w:pos="16072" w:val="left" w:leader="none"/>
        </w:tabs>
        <w:spacing w:before="0"/>
        <w:ind w:left="765" w:right="0" w:firstLine="0"/>
        <w:jc w:val="left"/>
        <w:rPr>
          <w:sz w:val="16"/>
        </w:rPr>
      </w:pPr>
      <w:r>
        <w:rPr/>
        <w:pict>
          <v:group style="position:absolute;margin-left:485.636597pt;margin-top:-120.101593pt;width:356.3pt;height:152.25pt;mso-position-horizontal-relative:page;mso-position-vertical-relative:paragraph;z-index:-811600" coordorigin="9713,-2402" coordsize="7126,3045">
            <v:shape style="position:absolute;left:12457;top:-2403;width:326;height:301" type="#_x0000_t75" stroked="false">
              <v:imagedata r:id="rId22" o:title=""/>
            </v:shape>
            <v:shape style="position:absolute;left:9712;top:-2208;width:3071;height:2850" coordorigin="9713,-2207" coordsize="3071,2850" path="m12783,230l12069,642,12094,642,12783,245,12783,230m12783,133l11901,642,11926,642,12783,147,12783,133m12783,35l11732,642,11757,642,12783,50,12783,35m12783,-62l11563,642,11588,642,12783,-48,12783,-62m12783,-1037l9874,642,9899,642,12783,-1023,12783,-1037m12783,-1135l9723,632,9713,642,9730,642,12783,-1120,12783,-1135m12783,-1622l10876,-521,10842,-487,12783,-1608,12783,-1622m12783,-1720l11107,-752,11073,-718,12783,-1705,12783,-1720m12783,-2012l11799,-1444,11765,-1410,12783,-1998,12783,-2012m12783,-2110l12030,-1675,11996,-1641,12783,-2095,12783,-2110m12783,-2207l12261,-1905,12227,-1871,12783,-2193,12783,-2207m12783,328l12238,642,12263,642,12783,342,12783,328m12783,-160l11394,642,11419,642,12783,-145,12783,-160m12783,-257l11225,642,11250,642,12783,-243,12783,-257m12783,-355l11056,642,11081,642,12783,-340,12783,-355m12783,-452l10887,642,10912,642,12783,-438,12783,-452m12783,-550l10718,642,10744,642,12783,-535,12783,-550m12783,-647l10550,642,10575,642,12783,-633,12783,-647m12783,-745l10381,642,10406,642,12783,-730,12783,-745m12783,-842l10212,642,10237,642,12783,-828,12783,-842m12783,-940l10043,642,10068,642,12783,-925,12783,-940m12783,-1232l9954,402,9920,436,12783,-1218,12783,-1232m12783,-1330l10184,171,10150,205,12783,-1315,12783,-1330m12783,-1427l10415,-60,10381,-26,12783,-1413,12783,-1427m12783,-1525l10646,-291,10612,-256,12783,-1510,12783,-1525m12783,-1817l11338,-983,11304,-948,12783,-1803,12783,-1817m12783,-1915l11569,-1213,11534,-1179,12783,-1900,12783,-1915e" filled="true" fillcolor="#d8dad9" stroked="false">
              <v:path arrowok="t"/>
              <v:fill type="solid"/>
            </v:shape>
            <v:shape style="position:absolute;left:12407;top:425;width:376;height:217" type="#_x0000_t75" stroked="false">
              <v:imagedata r:id="rId23" o:title=""/>
            </v:shape>
            <v:shape style="position:absolute;left:12783;top:-2390;width:43;height:29" coordorigin="12783,-2389" coordsize="43,29" path="m12822,-2389l12783,-2367,12783,-2361,12826,-2385,12822,-2389xe" filled="true" fillcolor="#d8dad9" stroked="false">
              <v:path arrowok="t"/>
              <v:fill type="solid"/>
            </v:shape>
            <v:shape style="position:absolute;left:12783;top:-2328;width:352;height:454" type="#_x0000_t75" stroked="false">
              <v:imagedata r:id="rId24" o:title=""/>
            </v:shape>
            <v:shape style="position:absolute;left:12783;top:-2019;width:2825;height:2661" coordorigin="12783,-2018" coordsize="2825,2661" path="m13197,-2015l13193,-2018,12783,-1782,12783,-1776,13197,-2015m13258,-1953l13255,-1956,12783,-1684,12783,-1678,13258,-1953m13320,-1891l13317,-1895,12783,-1587,12783,-1581,13320,-1891m13382,-1829l13378,-1833,12783,-1489,12783,-1483,13382,-1829m13444,-1767l13440,-1771,12783,-1392,12783,-1386,13444,-1767m13506,-1705l13502,-1709,12783,-1294,12783,-1288,13506,-1705m13567,-1644l13564,-1647,12783,-1197,12783,-1191,13567,-1644m13629,-1582l13626,-1585,12783,-1099,12783,-1093,13629,-1582m13691,-1520l13687,-1524,12783,-1002,12783,-996,13691,-1520m13753,-1458l13749,-1462,12783,-904,12783,-898,13753,-1458m13815,-1396l13811,-1400,12783,-807,12783,-801,13815,-1396m13877,-1335l13873,-1338,12783,-709,12783,-703,13877,-1335m13938,-1273l13935,-1276,12783,-612,12783,-606,13938,-1273m14000,-1211l13996,-1215,12783,-514,12783,-508,14000,-1211m14062,-1149l14058,-1153,12783,-417,12783,-411,14062,-1149m14124,-1087l14120,-1091,12783,-319,12783,-313,14124,-1087m14186,-1025l14182,-1029,12783,-222,12783,-216,14186,-1025m14247,-964l14244,-967,12783,-124,12783,-118,14247,-964m14309,-902l14306,-905,12783,-27,12783,-21,14309,-902m14371,-840l14367,-844,12783,71,12783,77,14371,-840m14433,-778l14429,-782,12783,168,12783,174,14433,-778m14495,-716l14491,-720,12783,266,12783,272,14495,-716m14556,-655l14553,-658,12783,363,12783,369,14556,-655m14618,-593l14615,-596,12783,461,12783,467,14618,-593m14680,-531l14676,-535,12783,558,12783,564,14680,-531m14742,-469l14738,-473,12807,642,12817,642,14742,-469m14804,-407l14800,-411,12975,642,12985,642,14804,-407m14866,-346l14862,-349,13144,642,13154,642,14866,-346m14927,-284l14924,-287,13313,642,13323,642,14927,-284m14989,-222l14986,-226,13482,642,13492,642,14989,-222m15051,-160l15047,-164,13651,642,13661,642,15051,-160m15113,-98l15109,-102,13820,642,13830,642,15113,-98m15175,-36l15171,-40,13989,642,13999,642,15175,-36m15236,25l15233,22,14158,642,14168,642,15236,25m15298,87l15295,84,14326,642,14336,642,15298,87m15360,149l15356,145,14495,642,14505,642,15360,149m15422,211l15418,207,14664,642,14674,642,15422,211m15484,273l15480,269,14833,642,14843,642,15484,273m15546,334l15542,331,15002,642,15012,642,15546,334m15607,396l15604,393,15171,642,15181,642,15607,396e" filled="true" fillcolor="#d8dad9" stroked="false">
              <v:path arrowok="t"/>
              <v:fill type="solid"/>
            </v:shape>
            <v:shape style="position:absolute;left:15339;top:454;width:454;height:189" type="#_x0000_t75" stroked="false">
              <v:imagedata r:id="rId25" o:title=""/>
            </v:shape>
            <v:shape style="position:absolute;left:15846;top:639;width:8;height:3" coordorigin="15846,640" coordsize="8,3" path="m15851,640l15846,642,15854,642,15851,640xe" filled="true" fillcolor="#d8dad9" stroked="false">
              <v:path arrowok="t"/>
              <v:fill type="solid"/>
            </v:shape>
            <v:shape style="position:absolute;left:14119;top:-1113;width:2719;height:1755" coordorigin="14120,-1112" coordsize="2719,1755" path="m15874,-1112l14120,642,16838,642,16838,-149,15874,-1112xe" filled="true" fillcolor="#ffffff" stroked="false">
              <v:path arrowok="t"/>
              <v:fill type="solid"/>
            </v:shape>
            <v:shape style="position:absolute;left:14992;top:-672;width:1765;height:442" coordorigin="14992,-671" coordsize="1765,442" path="m15433,-671l14992,-230,14992,-230,15433,-230,15654,-451,15433,-671xm16315,-671l16095,-451,16316,-230,16756,-230,16756,-230,16315,-671xe" filled="true" fillcolor="#aebd37" stroked="false">
              <v:path arrowok="t"/>
              <v:fill type="solid"/>
            </v:shape>
            <v:shape style="position:absolute;left:14119;top:-230;width:873;height:873" coordorigin="14120,-230" coordsize="873,873" path="m14992,-230l14992,-230,14120,642,14551,211,14992,-230,14992,-230,14992,-230m14992,211l14992,-230,14551,211,14771,432,14992,211e" filled="true" fillcolor="#6f2770" stroked="false">
              <v:path arrowok="t"/>
              <v:fill type="solid"/>
            </v:shape>
            <v:shape style="position:absolute;left:16756;top:-230;width:82;height:523" coordorigin="16756,-230" coordsize="82,523" path="m16756,-230l16756,-230,16756,211,16838,292,16838,-149,16756,-230xm16756,-230l16756,-230,16756,-230,16756,-230xe" filled="true" fillcolor="#5d883c" stroked="false">
              <v:path arrowok="t"/>
              <v:fill type="solid"/>
            </v:shape>
            <v:shape style="position:absolute;left:16315;top:-230;width:441;height:221" coordorigin="16316,-230" coordsize="441,221" path="m16756,-230l16316,-230,16536,-10,16756,-230xe" filled="true" fillcolor="#7aa142" stroked="false">
              <v:path arrowok="t"/>
              <v:fill type="solid"/>
            </v:shape>
            <v:shape style="position:absolute;left:16535;top:-230;width:221;height:441" coordorigin="16536,-230" coordsize="221,441" path="m16756,-230l16536,-10,16756,211,16756,-230xe" filled="true" fillcolor="#41793d" stroked="false">
              <v:path arrowok="t"/>
              <v:fill type="solid"/>
            </v:shape>
            <v:shape style="position:absolute;left:14992;top:-230;width:221;height:221" coordorigin="14992,-230" coordsize="221,221" path="m14992,-230l15212,-10,14992,-230xe" filled="true" fillcolor="#6f2770" stroked="false">
              <v:path arrowok="t"/>
              <v:fill type="solid"/>
            </v:shape>
            <v:shape style="position:absolute;left:14992;top:-230;width:441;height:221" coordorigin="14992,-230" coordsize="441,221" path="m15433,-230l14992,-230,15212,-10,15433,-230xe" filled="true" fillcolor="#5b2e31" stroked="false">
              <v:path arrowok="t"/>
              <v:fill type="solid"/>
            </v:shape>
            <v:shape style="position:absolute;left:14992;top:-230;width:221;height:441" coordorigin="14992,-230" coordsize="221,441" path="m14992,-230l14992,211,15212,-10,14992,-230xe" filled="true" fillcolor="#42285e" stroked="false">
              <v:path arrowok="t"/>
              <v:fill type="solid"/>
            </v:shape>
            <v:shape style="position:absolute;left:15433;top:-1113;width:883;height:662" coordorigin="15433,-1112" coordsize="883,662" path="m15874,-1112l15433,-671,15654,-451,15874,-671,16315,-671,15874,-1112xm16315,-671l15874,-671,16095,-451,16315,-671,16315,-671xe" filled="true" fillcolor="#89993e" stroked="false">
              <v:path arrowok="t"/>
              <v:fill type="solid"/>
            </v:shape>
            <v:shape style="position:absolute;left:14119;top:211;width:652;height:432" coordorigin="14120,211" coordsize="652,432" path="m14551,211l14120,642,14120,642,14551,211m14771,432l14551,211,14120,642,14560,642,14771,432e" filled="true" fillcolor="#602a63" stroked="false">
              <v:path arrowok="t"/>
              <v:fill type="solid"/>
            </v:shape>
            <v:shape style="position:absolute;left:15432;top:-451;width:883;height:221" coordorigin="15433,-451" coordsize="883,221" path="m16095,-451l15874,-230,15433,-230,16316,-230,15874,-230,15654,-451,16095,-451xe" filled="true" fillcolor="#f8f7f0" stroked="false">
              <v:path arrowok="t"/>
              <v:fill type="solid"/>
            </v:shape>
            <v:shape style="position:absolute;left:14771;top:210;width:221;height:432" coordorigin="14771,211" coordsize="221,432" path="m14992,211l14771,432,14982,642,14992,642,14992,211xe" filled="true" fillcolor="#f1edf3" stroked="false">
              <v:path arrowok="t"/>
              <v:fill type="solid"/>
            </v:shape>
            <v:shape style="position:absolute;left:16756;top:210;width:82;height:432" coordorigin="16756,211" coordsize="82,432" path="m16756,211l16756,642,16766,642,16838,571,16838,292,16756,211xe" filled="true" fillcolor="#f2f3ee" stroked="false">
              <v:path arrowok="t"/>
              <v:fill type="solid"/>
            </v:shape>
            <v:shape style="position:absolute;left:15874;top:-230;width:662;height:873" coordorigin="15874,-230" coordsize="662,873" path="m16316,-230l15874,-230,15874,642,15884,642,16536,-10,16316,-230xe" filled="true" fillcolor="#f5f6f0" stroked="false">
              <v:path arrowok="t"/>
              <v:fill type="solid"/>
            </v:shape>
            <v:shape style="position:absolute;left:15883;top:-10;width:873;height:653" coordorigin="15884,-10" coordsize="873,653" path="m16536,-10l15884,642,16756,642,16756,211,16536,-10xe" filled="true" fillcolor="#f2f3ee" stroked="false">
              <v:path arrowok="t"/>
              <v:fill type="solid"/>
            </v:shape>
            <v:shape style="position:absolute;left:15212;top:-230;width:662;height:873" coordorigin="15212,-230" coordsize="662,873" path="m15874,-230l15433,-230,15212,-10,15864,642,15874,642,15874,-230xe" filled="true" fillcolor="#f1edea" stroked="false">
              <v:path arrowok="t"/>
              <v:fill type="solid"/>
            </v:shape>
            <v:shape style="position:absolute;left:14992;top:-10;width:873;height:652" coordorigin="14992,-10" coordsize="873,652" path="m15212,-10l14992,211,14992,642,15864,642,15212,-10xe" filled="true" fillcolor="#ebe9ed" stroked="false">
              <v:path arrowok="t"/>
              <v:fill type="solid"/>
            </v:shape>
            <v:shape style="position:absolute;left:15653;top:-672;width:442;height:442" coordorigin="15654,-671" coordsize="442,442" path="m15874,-671l15654,-451,15874,-230,16095,-451,15874,-671xe" filled="true" fillcolor="#f5f4ee" stroked="false">
              <v:path arrowok="t"/>
              <v:fill type="solid"/>
            </v:shape>
            <v:shape style="position:absolute;left:16766;top:570;width:72;height:72" coordorigin="16766,571" coordsize="72,72" path="m16838,571l16766,642,16838,642,16838,571xe" filled="true" fillcolor="#f2f3ee" stroked="false">
              <v:path arrowok="t"/>
              <v:fill type="solid"/>
            </v:shape>
            <v:shape style="position:absolute;left:14560;top:431;width:422;height:211" coordorigin="14560,432" coordsize="422,211" path="m14771,432l14560,642,14982,642,14771,432xe" filled="true" fillcolor="#f1edf0" stroked="false">
              <v:path arrowok="t"/>
              <v:fill type="solid"/>
            </v:shape>
            <w10:wrap type="none"/>
          </v:group>
        </w:pict>
      </w:r>
      <w:r>
        <w:rPr>
          <w:b/>
          <w:color w:val="6F2770"/>
          <w:sz w:val="16"/>
        </w:rPr>
        <w:t>2</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tabs>
          <w:tab w:pos="9621" w:val="left" w:leader="none"/>
          <w:tab w:pos="14432" w:val="left" w:leader="none"/>
        </w:tabs>
        <w:spacing w:line="240" w:lineRule="auto"/>
        <w:ind w:left="-8" w:right="-44" w:firstLine="0"/>
        <w:rPr>
          <w:sz w:val="20"/>
        </w:rPr>
      </w:pPr>
      <w:bookmarkStart w:name="_bookmark2" w:id="3"/>
      <w:bookmarkEnd w:id="3"/>
      <w:r>
        <w:rPr/>
      </w:r>
      <w:r>
        <w:rPr>
          <w:sz w:val="20"/>
        </w:rPr>
        <w:pict>
          <v:group style="width:360.85pt;height:56.95pt;mso-position-horizontal-relative:char;mso-position-vertical-relative:line" coordorigin="0,0" coordsize="7217,1139">
            <v:shape style="position:absolute;left:0;top:181;width:11;height:10" coordorigin="0,181" coordsize="11,10" path="m7,181l0,186,0,191,11,185,7,181xe" filled="true" fillcolor="#cdcccd" stroked="false">
              <v:path arrowok="t"/>
              <v:fill type="solid"/>
            </v:shape>
            <v:shape style="position:absolute;left:0;top:231;width:362;height:513" type="#_x0000_t75" stroked="false">
              <v:imagedata r:id="rId27" o:title=""/>
            </v:shape>
            <v:shape style="position:absolute;left:0;top:581;width:412;height:242" coordorigin="0,582" coordsize="412,242" path="m408,582l0,817,0,823,411,585,408,582xe" filled="true" fillcolor="#cdcccd" stroked="false">
              <v:path arrowok="t"/>
              <v:fill type="solid"/>
            </v:shape>
            <v:shape style="position:absolute;left:0;top:631;width:462;height:270" coordorigin="0,632" coordsize="462,270" path="m458,632l0,896,0,902,461,635,458,632xe" filled="true" fillcolor="#cdcccd" stroked="false">
              <v:path arrowok="t"/>
              <v:fill type="solid"/>
            </v:shape>
            <v:shape style="position:absolute;left:0;top:701;width:475;height:280" coordorigin="0,701" coordsize="475,280" path="m474,701l0,975,0,981,461,715,474,701xe" filled="true" fillcolor="#cdcccd" stroked="false">
              <v:path arrowok="t"/>
              <v:fill type="solid"/>
            </v:shape>
            <v:shape style="position:absolute;left:0;top:887;width:288;height:251" type="#_x0000_t75" stroked="false">
              <v:imagedata r:id="rId28" o:title=""/>
            </v:shape>
            <v:rect style="position:absolute;left:0;top:0;width:2406;height:851" filled="true" fillcolor="#aebd37" stroked="false">
              <v:fill type="solid"/>
            </v:rect>
            <v:rect style="position:absolute;left:2405;top:0;width:2406;height:851" filled="true" fillcolor="#e6e7e8" stroked="false">
              <v:fill type="solid"/>
            </v:rect>
            <v:shape style="position:absolute;left:2405;top:0;width:583;height:583" type="#_x0000_t75" stroked="false">
              <v:imagedata r:id="rId18" o:title=""/>
            </v:shape>
            <v:line style="position:absolute" from="0,0" to="0,850" stroked="true" strokeweight="0pt" strokecolor="#aebd37">
              <v:stroke dashstyle="solid"/>
            </v:line>
            <v:shape style="position:absolute;left:4810;top:0;width:2406;height:851" type="#_x0000_t202" filled="true" fillcolor="#bec85c" stroked="false">
              <v:textbox inset="0,0,0,0">
                <w:txbxContent>
                  <w:p>
                    <w:pPr>
                      <w:spacing w:line="249" w:lineRule="auto" w:before="182"/>
                      <w:ind w:left="472"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0;width:2406;height:851" type="#_x0000_t202" filled="false"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6F2770"/>
                          <w:sz w:val="20"/>
                        </w:rPr>
                        <w:t>OVER</w:t>
                      </w:r>
                    </w:hyperlink>
                    <w:hyperlink w:history="true" w:anchor="_bookmark1">
                      <w:r>
                        <w:rPr>
                          <w:color w:val="6F2770"/>
                          <w:sz w:val="20"/>
                        </w:rPr>
                        <w:t>VIEW</w:t>
                      </w:r>
                    </w:hyperlink>
                  </w:p>
                </w:txbxContent>
              </v:textbox>
              <w10:wrap type="none"/>
            </v:shape>
            <v:shape style="position:absolute;left:0;top:0;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group>
        </w:pict>
      </w:r>
      <w:r>
        <w:rPr>
          <w:sz w:val="20"/>
        </w:rPr>
      </w:r>
      <w:r>
        <w:rPr>
          <w:sz w:val="20"/>
        </w:rPr>
        <w:tab/>
      </w:r>
      <w:r>
        <w:rPr>
          <w:position w:val="30"/>
          <w:sz w:val="20"/>
        </w:rPr>
        <w:pict>
          <v:shape style="width:120.3pt;height:42.55pt;mso-position-horizontal-relative:char;mso-position-vertical-relative:line" type="#_x0000_t202" filled="false"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shape>
        </w:pict>
      </w:r>
      <w:r>
        <w:rPr>
          <w:position w:val="30"/>
          <w:sz w:val="20"/>
        </w:rPr>
      </w:r>
      <w:r>
        <w:rPr>
          <w:position w:val="30"/>
          <w:sz w:val="20"/>
        </w:rPr>
        <w:tab/>
      </w:r>
      <w:r>
        <w:rPr>
          <w:position w:val="30"/>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shape>
        </w:pict>
      </w:r>
      <w:r>
        <w:rPr>
          <w:position w:val="30"/>
          <w:sz w:val="20"/>
        </w:rPr>
      </w:r>
    </w:p>
    <w:p>
      <w:pPr>
        <w:pStyle w:val="BodyText"/>
        <w:spacing w:before="1"/>
        <w:rPr>
          <w:sz w:val="6"/>
        </w:rPr>
      </w:pPr>
    </w:p>
    <w:p>
      <w:pPr>
        <w:spacing w:after="0"/>
        <w:rPr>
          <w:sz w:val="6"/>
        </w:rPr>
        <w:sectPr>
          <w:footerReference w:type="default" r:id="rId26"/>
          <w:pgSz w:w="16840" w:h="11910" w:orient="landscape"/>
          <w:pgMar w:footer="448" w:header="0" w:top="0" w:bottom="640" w:left="0" w:right="0"/>
        </w:sectPr>
      </w:pPr>
    </w:p>
    <w:p>
      <w:pPr>
        <w:tabs>
          <w:tab w:pos="7037" w:val="left" w:leader="none"/>
        </w:tabs>
        <w:spacing w:line="812" w:lineRule="exact" w:before="174"/>
        <w:ind w:left="765" w:right="0" w:firstLine="0"/>
        <w:jc w:val="left"/>
        <w:rPr>
          <w:b/>
          <w:sz w:val="22"/>
        </w:rPr>
      </w:pPr>
      <w:r>
        <w:rPr/>
        <w:pict>
          <v:shape style="position:absolute;margin-left:601.348999pt;margin-top:-63.274212pt;width:120.3pt;height:42.55pt;mso-position-horizontal-relative:page;mso-position-vertical-relative:paragraph;z-index:2248"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360.811798pt;margin-top:-63.274212pt;width:120.3pt;height:42.55pt;mso-position-horizontal-relative:page;mso-position-vertical-relative:paragraph;z-index:2272"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color w:val="6F2770"/>
          <w:sz w:val="72"/>
        </w:rPr>
        <w:t>What</w:t>
      </w:r>
      <w:r>
        <w:rPr>
          <w:color w:val="6F2770"/>
          <w:spacing w:val="-59"/>
          <w:sz w:val="72"/>
        </w:rPr>
        <w:t> </w:t>
      </w:r>
      <w:r>
        <w:rPr>
          <w:color w:val="6F2770"/>
          <w:spacing w:val="-7"/>
          <w:sz w:val="72"/>
        </w:rPr>
        <w:t>We</w:t>
      </w:r>
      <w:r>
        <w:rPr>
          <w:color w:val="6F2770"/>
          <w:spacing w:val="-59"/>
          <w:sz w:val="72"/>
        </w:rPr>
        <w:t> </w:t>
      </w:r>
      <w:r>
        <w:rPr>
          <w:color w:val="6F2770"/>
          <w:sz w:val="72"/>
        </w:rPr>
        <w:t>Do</w:t>
        <w:tab/>
      </w:r>
      <w:r>
        <w:rPr>
          <w:b/>
          <w:position w:val="-8"/>
          <w:sz w:val="22"/>
        </w:rPr>
        <w:t>Provide</w:t>
      </w:r>
    </w:p>
    <w:p>
      <w:pPr>
        <w:pStyle w:val="BodyText"/>
        <w:rPr>
          <w:b/>
          <w:sz w:val="26"/>
        </w:rPr>
      </w:pPr>
      <w:r>
        <w:rPr/>
        <w:br w:type="column"/>
      </w:r>
      <w:r>
        <w:rPr>
          <w:b/>
          <w:sz w:val="26"/>
        </w:rPr>
      </w:r>
    </w:p>
    <w:p>
      <w:pPr>
        <w:pStyle w:val="BodyText"/>
        <w:rPr>
          <w:b/>
          <w:sz w:val="26"/>
        </w:rPr>
      </w:pPr>
    </w:p>
    <w:p>
      <w:pPr>
        <w:pStyle w:val="BodyText"/>
        <w:spacing w:line="156" w:lineRule="exact" w:before="232"/>
        <w:ind w:left="765"/>
      </w:pPr>
      <w:hyperlink w:history="true" w:anchor="_bookmark13">
        <w:r>
          <w:rPr>
            <w:spacing w:val="-5"/>
          </w:rPr>
          <w:t>Provide</w:t>
        </w:r>
      </w:hyperlink>
    </w:p>
    <w:p>
      <w:pPr>
        <w:spacing w:line="208" w:lineRule="auto" w:before="106"/>
        <w:ind w:left="765" w:right="672" w:firstLine="0"/>
        <w:jc w:val="center"/>
        <w:rPr>
          <w:sz w:val="16"/>
        </w:rPr>
      </w:pPr>
      <w:r>
        <w:rPr/>
        <w:br w:type="column"/>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3" w:equalWidth="0">
            <w:col w:w="7873" w:space="2322"/>
            <w:col w:w="1492" w:space="3133"/>
            <w:col w:w="2020"/>
          </w:cols>
        </w:sectPr>
      </w:pPr>
    </w:p>
    <w:p>
      <w:pPr>
        <w:pStyle w:val="BodyText"/>
        <w:spacing w:before="10"/>
        <w:rPr>
          <w:sz w:val="40"/>
        </w:rPr>
      </w:pPr>
    </w:p>
    <w:p>
      <w:pPr>
        <w:pStyle w:val="Heading4"/>
        <w:spacing w:before="0"/>
      </w:pPr>
      <w:r>
        <w:rPr/>
        <w:t>As a central agency,</w:t>
      </w:r>
    </w:p>
    <w:p>
      <w:pPr>
        <w:spacing w:line="249" w:lineRule="auto" w:before="18"/>
        <w:ind w:left="765" w:right="32" w:firstLine="0"/>
        <w:jc w:val="left"/>
        <w:rPr>
          <w:sz w:val="36"/>
        </w:rPr>
      </w:pPr>
      <w:r>
        <w:rPr>
          <w:sz w:val="36"/>
        </w:rPr>
        <w:t>the Department of Finance assists government in a range</w:t>
      </w:r>
      <w:r>
        <w:rPr>
          <w:spacing w:val="-30"/>
          <w:sz w:val="36"/>
        </w:rPr>
        <w:t> </w:t>
      </w:r>
      <w:r>
        <w:rPr>
          <w:sz w:val="36"/>
        </w:rPr>
        <w:t>of</w:t>
      </w:r>
      <w:r>
        <w:rPr>
          <w:spacing w:val="-30"/>
          <w:sz w:val="36"/>
        </w:rPr>
        <w:t> </w:t>
      </w:r>
      <w:r>
        <w:rPr>
          <w:sz w:val="36"/>
        </w:rPr>
        <w:t>critical</w:t>
      </w:r>
      <w:r>
        <w:rPr>
          <w:spacing w:val="-30"/>
          <w:sz w:val="36"/>
        </w:rPr>
        <w:t> </w:t>
      </w:r>
      <w:r>
        <w:rPr>
          <w:sz w:val="36"/>
        </w:rPr>
        <w:t>functions</w:t>
      </w:r>
      <w:r>
        <w:rPr>
          <w:spacing w:val="-30"/>
          <w:sz w:val="36"/>
        </w:rPr>
        <w:t> </w:t>
      </w:r>
      <w:r>
        <w:rPr>
          <w:spacing w:val="-5"/>
          <w:sz w:val="36"/>
        </w:rPr>
        <w:t>that</w:t>
      </w:r>
    </w:p>
    <w:p>
      <w:pPr>
        <w:pStyle w:val="Heading6"/>
        <w:spacing w:line="249" w:lineRule="auto" w:before="8"/>
        <w:ind w:left="940" w:right="212" w:hanging="1"/>
        <w:jc w:val="center"/>
      </w:pPr>
      <w:r>
        <w:rPr>
          <w:b w:val="0"/>
        </w:rPr>
        <w:br w:type="column"/>
      </w:r>
      <w:r>
        <w:rPr/>
        <w:t>leadership and strategic advice to the Government on sector-wide policy,</w:t>
      </w:r>
    </w:p>
    <w:p>
      <w:pPr>
        <w:spacing w:line="249" w:lineRule="auto" w:before="3"/>
        <w:ind w:left="742" w:right="15" w:firstLine="0"/>
        <w:jc w:val="center"/>
        <w:rPr>
          <w:b/>
          <w:sz w:val="22"/>
        </w:rPr>
      </w:pPr>
      <w:r>
        <w:rPr>
          <w:b/>
          <w:sz w:val="22"/>
        </w:rPr>
        <w:t>regulatory, operational and management issues</w:t>
      </w:r>
    </w:p>
    <w:p>
      <w:pPr>
        <w:pStyle w:val="BodyText"/>
        <w:spacing w:line="249" w:lineRule="auto" w:before="108"/>
        <w:ind w:left="765" w:right="4310"/>
        <w:jc w:val="center"/>
      </w:pPr>
      <w:r>
        <w:rPr/>
        <w:br w:type="column"/>
      </w:r>
      <w:hyperlink w:history="true" w:anchor="_bookmark13">
        <w:r>
          <w:rPr>
            <w:spacing w:val="-4"/>
          </w:rPr>
          <w:t>asset management services</w:t>
        </w:r>
        <w:r>
          <w:rPr>
            <w:spacing w:val="-36"/>
          </w:rPr>
          <w:t> </w:t>
        </w:r>
        <w:r>
          <w:rPr/>
          <w:t>to</w:t>
        </w:r>
        <w:r>
          <w:rPr>
            <w:spacing w:val="-35"/>
          </w:rPr>
          <w:t> </w:t>
        </w:r>
        <w:r>
          <w:rPr>
            <w:spacing w:val="-4"/>
          </w:rPr>
          <w:t>client</w:t>
        </w:r>
        <w:r>
          <w:rPr>
            <w:spacing w:val="-35"/>
          </w:rPr>
          <w:t> </w:t>
        </w:r>
        <w:r>
          <w:rPr>
            <w:spacing w:val="-4"/>
          </w:rPr>
          <w:t>agencies, including construction</w:t>
        </w:r>
        <w:r>
          <w:rPr>
            <w:spacing w:val="-44"/>
          </w:rPr>
          <w:t> </w:t>
        </w:r>
        <w:r>
          <w:rPr>
            <w:spacing w:val="-4"/>
          </w:rPr>
          <w:t>and maintenance </w:t>
        </w:r>
        <w:r>
          <w:rPr/>
          <w:t>of </w:t>
        </w:r>
        <w:r>
          <w:rPr>
            <w:spacing w:val="-4"/>
          </w:rPr>
          <w:t>buildings </w:t>
        </w:r>
        <w:r>
          <w:rPr>
            <w:spacing w:val="-3"/>
          </w:rPr>
          <w:t>such </w:t>
        </w:r>
        <w:r>
          <w:rPr/>
          <w:t>as</w:t>
        </w:r>
        <w:r>
          <w:rPr>
            <w:spacing w:val="-19"/>
          </w:rPr>
          <w:t> </w:t>
        </w:r>
        <w:r>
          <w:rPr>
            <w:spacing w:val="-4"/>
          </w:rPr>
          <w:t>schools,</w:t>
        </w:r>
      </w:hyperlink>
    </w:p>
    <w:p>
      <w:pPr>
        <w:pStyle w:val="BodyText"/>
        <w:spacing w:line="249" w:lineRule="auto" w:before="4"/>
        <w:ind w:left="1339" w:right="4884"/>
        <w:jc w:val="center"/>
      </w:pPr>
      <w:hyperlink w:history="true" w:anchor="_bookmark13">
        <w:r>
          <w:rPr/>
          <w:t>hospitals and prisons</w:t>
        </w:r>
      </w:hyperlink>
    </w:p>
    <w:p>
      <w:pPr>
        <w:spacing w:after="0" w:line="249" w:lineRule="auto"/>
        <w:jc w:val="center"/>
        <w:sectPr>
          <w:type w:val="continuous"/>
          <w:pgSz w:w="16840" w:h="11910" w:orient="landscape"/>
          <w:pgMar w:top="0" w:bottom="0" w:left="0" w:right="0"/>
          <w:cols w:num="3" w:equalWidth="0">
            <w:col w:w="5360" w:space="126"/>
            <w:col w:w="3173" w:space="659"/>
            <w:col w:w="7522"/>
          </w:cols>
        </w:sectPr>
      </w:pPr>
    </w:p>
    <w:p>
      <w:pPr>
        <w:pStyle w:val="Heading4"/>
        <w:spacing w:line="249" w:lineRule="auto" w:before="5"/>
        <w:ind w:right="27"/>
      </w:pPr>
      <w:r>
        <w:rPr/>
        <w:t>cut</w:t>
      </w:r>
      <w:r>
        <w:rPr>
          <w:spacing w:val="-36"/>
        </w:rPr>
        <w:t> </w:t>
      </w:r>
      <w:r>
        <w:rPr/>
        <w:t>across</w:t>
      </w:r>
      <w:r>
        <w:rPr>
          <w:spacing w:val="-35"/>
        </w:rPr>
        <w:t> </w:t>
      </w:r>
      <w:r>
        <w:rPr/>
        <w:t>portfolios,</w:t>
      </w:r>
      <w:r>
        <w:rPr>
          <w:spacing w:val="-35"/>
        </w:rPr>
        <w:t> </w:t>
      </w:r>
      <w:r>
        <w:rPr/>
        <w:t>achieving </w:t>
      </w:r>
      <w:r>
        <w:rPr>
          <w:spacing w:val="-4"/>
        </w:rPr>
        <w:t>efficiency,</w:t>
      </w:r>
      <w:r>
        <w:rPr>
          <w:spacing w:val="-53"/>
        </w:rPr>
        <w:t> </w:t>
      </w:r>
      <w:r>
        <w:rPr/>
        <w:t>and</w:t>
      </w:r>
      <w:r>
        <w:rPr>
          <w:spacing w:val="-53"/>
        </w:rPr>
        <w:t> </w:t>
      </w:r>
      <w:r>
        <w:rPr/>
        <w:t>building</w:t>
      </w:r>
      <w:r>
        <w:rPr>
          <w:spacing w:val="-52"/>
        </w:rPr>
        <w:t> </w:t>
      </w:r>
      <w:r>
        <w:rPr/>
        <w:t>capacity and capability for continuous improvement.</w:t>
      </w:r>
    </w:p>
    <w:p>
      <w:pPr>
        <w:pStyle w:val="BodyText"/>
        <w:spacing w:line="249" w:lineRule="auto" w:before="84"/>
        <w:ind w:left="2556" w:right="43" w:hanging="162"/>
      </w:pPr>
      <w:r>
        <w:rPr/>
        <w:br w:type="column"/>
      </w:r>
      <w:hyperlink w:history="true" w:anchor="_bookmark3">
        <w:r>
          <w:rPr/>
          <w:t>Collect</w:t>
        </w:r>
        <w:r>
          <w:rPr>
            <w:spacing w:val="-27"/>
          </w:rPr>
          <w:t> </w:t>
        </w:r>
        <w:r>
          <w:rPr/>
          <w:t>revenue</w:t>
        </w:r>
        <w:r>
          <w:rPr>
            <w:spacing w:val="-27"/>
          </w:rPr>
          <w:t> </w:t>
        </w:r>
        <w:r>
          <w:rPr/>
          <w:t>and</w:t>
        </w:r>
        <w:r>
          <w:rPr>
            <w:spacing w:val="-26"/>
          </w:rPr>
          <w:t> </w:t>
        </w:r>
        <w:r>
          <w:rPr>
            <w:spacing w:val="-6"/>
          </w:rPr>
          <w:t>pay </w:t>
        </w:r>
        <w:r>
          <w:rPr/>
          <w:t>grants and</w:t>
        </w:r>
        <w:r>
          <w:rPr>
            <w:spacing w:val="-25"/>
          </w:rPr>
          <w:t> </w:t>
        </w:r>
        <w:r>
          <w:rPr/>
          <w:t>subsidies</w:t>
        </w:r>
      </w:hyperlink>
    </w:p>
    <w:p>
      <w:pPr>
        <w:pStyle w:val="BodyText"/>
        <w:spacing w:line="249" w:lineRule="auto" w:before="2"/>
        <w:ind w:left="2578" w:right="-4" w:hanging="239"/>
      </w:pPr>
      <w:hyperlink w:history="true" w:anchor="_bookmark3">
        <w:r>
          <w:rPr/>
          <w:t>to</w:t>
        </w:r>
        <w:r>
          <w:rPr>
            <w:spacing w:val="-13"/>
          </w:rPr>
          <w:t> </w:t>
        </w:r>
        <w:r>
          <w:rPr/>
          <w:t>the</w:t>
        </w:r>
        <w:r>
          <w:rPr>
            <w:spacing w:val="-12"/>
          </w:rPr>
          <w:t> </w:t>
        </w:r>
        <w:r>
          <w:rPr/>
          <w:t>community</w:t>
        </w:r>
        <w:r>
          <w:rPr>
            <w:spacing w:val="-12"/>
          </w:rPr>
          <w:t> </w:t>
        </w:r>
        <w:r>
          <w:rPr/>
          <w:t>in</w:t>
        </w:r>
        <w:r>
          <w:rPr>
            <w:spacing w:val="-12"/>
          </w:rPr>
          <w:t> </w:t>
        </w:r>
        <w:r>
          <w:rPr/>
          <w:t>a</w:t>
        </w:r>
        <w:r>
          <w:rPr>
            <w:spacing w:val="-12"/>
          </w:rPr>
          <w:t> </w:t>
        </w:r>
        <w:r>
          <w:rPr>
            <w:spacing w:val="-5"/>
          </w:rPr>
          <w:t>fair </w:t>
        </w:r>
        <w:r>
          <w:rPr/>
          <w:t>and efficient</w:t>
        </w:r>
        <w:r>
          <w:rPr>
            <w:spacing w:val="-27"/>
          </w:rPr>
          <w:t> </w:t>
        </w:r>
        <w:r>
          <w:rPr/>
          <w:t>manner</w:t>
        </w:r>
      </w:hyperlink>
    </w:p>
    <w:p>
      <w:pPr>
        <w:pStyle w:val="BodyText"/>
        <w:rPr>
          <w:sz w:val="26"/>
        </w:rPr>
      </w:pPr>
    </w:p>
    <w:p>
      <w:pPr>
        <w:pStyle w:val="BodyText"/>
        <w:spacing w:before="11"/>
        <w:rPr>
          <w:sz w:val="28"/>
        </w:rPr>
      </w:pPr>
    </w:p>
    <w:p>
      <w:pPr>
        <w:pStyle w:val="BodyText"/>
        <w:spacing w:line="241" w:lineRule="exact"/>
        <w:ind w:left="765"/>
      </w:pPr>
      <w:hyperlink w:history="true" w:anchor="_bookmark7">
        <w:r>
          <w:rPr/>
          <w:t>Support agencies</w:t>
        </w:r>
      </w:hyperlink>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pPr>
    </w:p>
    <w:p>
      <w:pPr>
        <w:pStyle w:val="BodyText"/>
        <w:ind w:left="462"/>
      </w:pPr>
      <w:hyperlink w:history="true" w:anchor="_bookmark10">
        <w:r>
          <w:rPr>
            <w:w w:val="95"/>
          </w:rPr>
          <w:t>Lead</w:t>
        </w:r>
      </w:hyperlink>
    </w:p>
    <w:p>
      <w:pPr>
        <w:pStyle w:val="BodyText"/>
        <w:spacing w:line="249" w:lineRule="auto" w:before="84"/>
        <w:ind w:left="656" w:right="2593"/>
        <w:jc w:val="center"/>
      </w:pPr>
      <w:r>
        <w:rPr/>
        <w:br w:type="column"/>
      </w:r>
      <w:hyperlink w:history="true" w:anchor="_bookmark7">
        <w:r>
          <w:rPr/>
          <w:t>Manage the majority of government office accommodation portfolio</w:t>
        </w:r>
      </w:hyperlink>
    </w:p>
    <w:p>
      <w:pPr>
        <w:spacing w:after="0" w:line="249" w:lineRule="auto"/>
        <w:jc w:val="center"/>
        <w:sectPr>
          <w:type w:val="continuous"/>
          <w:pgSz w:w="16840" w:h="11910" w:orient="landscape"/>
          <w:pgMar w:top="0" w:bottom="0" w:left="0" w:right="0"/>
          <w:cols w:num="4" w:equalWidth="0">
            <w:col w:w="5674" w:space="160"/>
            <w:col w:w="4732" w:space="40"/>
            <w:col w:w="936" w:space="40"/>
            <w:col w:w="5258"/>
          </w:cols>
        </w:sectPr>
      </w:pPr>
    </w:p>
    <w:p>
      <w:pPr>
        <w:pStyle w:val="BodyText"/>
        <w:spacing w:line="249" w:lineRule="auto" w:before="23"/>
        <w:ind w:left="6218"/>
        <w:jc w:val="center"/>
      </w:pPr>
      <w:hyperlink w:history="true" w:anchor="_bookmark7">
        <w:r>
          <w:rPr/>
          <w:t>in applying best practice regulatory principles, achieving</w:t>
        </w:r>
        <w:r>
          <w:rPr>
            <w:spacing w:val="-35"/>
          </w:rPr>
          <w:t> </w:t>
        </w:r>
        <w:r>
          <w:rPr/>
          <w:t>good</w:t>
        </w:r>
        <w:r>
          <w:rPr>
            <w:spacing w:val="-35"/>
          </w:rPr>
          <w:t> </w:t>
        </w:r>
        <w:r>
          <w:rPr>
            <w:spacing w:val="-3"/>
          </w:rPr>
          <w:t>regulatory </w:t>
        </w:r>
        <w:r>
          <w:rPr/>
          <w:t>outcomes</w:t>
        </w:r>
        <w:r>
          <w:rPr>
            <w:spacing w:val="-2"/>
          </w:rPr>
          <w:t> </w:t>
        </w:r>
        <w:r>
          <w:rPr/>
          <w:t>and</w:t>
        </w:r>
      </w:hyperlink>
    </w:p>
    <w:p>
      <w:pPr>
        <w:pStyle w:val="BodyText"/>
        <w:spacing w:line="249" w:lineRule="auto" w:before="4"/>
        <w:ind w:left="6812" w:right="592"/>
        <w:jc w:val="center"/>
      </w:pPr>
      <w:hyperlink w:history="true" w:anchor="_bookmark7">
        <w:r>
          <w:rPr/>
          <w:t>reducing red tape</w:t>
        </w:r>
      </w:hyperlink>
    </w:p>
    <w:p>
      <w:pPr>
        <w:pStyle w:val="BodyText"/>
        <w:spacing w:line="249" w:lineRule="auto" w:before="6"/>
        <w:ind w:left="1597" w:right="4513"/>
        <w:jc w:val="center"/>
      </w:pPr>
      <w:r>
        <w:rPr/>
        <w:br w:type="column"/>
      </w:r>
      <w:hyperlink w:history="true" w:anchor="_bookmark10">
        <w:r>
          <w:rPr/>
          <w:t>procurement policy, </w:t>
        </w:r>
        <w:r>
          <w:rPr>
            <w:w w:val="95"/>
          </w:rPr>
          <w:t>whole-of-government</w:t>
        </w:r>
      </w:hyperlink>
    </w:p>
    <w:p>
      <w:pPr>
        <w:pStyle w:val="BodyText"/>
        <w:spacing w:line="249" w:lineRule="auto" w:before="2"/>
        <w:ind w:left="1320" w:right="4236"/>
        <w:jc w:val="center"/>
      </w:pPr>
      <w:hyperlink w:history="true" w:anchor="_bookmark10">
        <w:r>
          <w:rPr/>
          <w:t>contracting and high-value procurement for</w:t>
        </w:r>
      </w:hyperlink>
    </w:p>
    <w:p>
      <w:pPr>
        <w:pStyle w:val="BodyText"/>
        <w:spacing w:before="2"/>
        <w:ind w:left="1597" w:right="4513"/>
        <w:jc w:val="center"/>
      </w:pPr>
      <w:hyperlink w:history="true" w:anchor="_bookmark10">
        <w:r>
          <w:rPr/>
          <w:t>agencies</w:t>
        </w:r>
      </w:hyperlink>
    </w:p>
    <w:p>
      <w:pPr>
        <w:spacing w:after="0"/>
        <w:jc w:val="center"/>
        <w:sectPr>
          <w:type w:val="continuous"/>
          <w:pgSz w:w="16840" w:h="11910" w:orient="landscape"/>
          <w:pgMar w:top="0" w:bottom="0" w:left="0" w:right="0"/>
          <w:cols w:num="2" w:equalWidth="0">
            <w:col w:w="8652" w:space="40"/>
            <w:col w:w="8148"/>
          </w:cols>
        </w:sectPr>
      </w:pPr>
    </w:p>
    <w:p>
      <w:pPr>
        <w:pStyle w:val="BodyText"/>
        <w:spacing w:before="2"/>
        <w:rPr>
          <w:sz w:val="25"/>
        </w:rPr>
      </w:pPr>
      <w:r>
        <w:rPr/>
        <w:pict>
          <v:group style="position:absolute;margin-left:281.607697pt;margin-top:.000001pt;width:560.3pt;height:537.7pt;mso-position-horizontal-relative:page;mso-position-vertical-relative:page;z-index:-811432" coordorigin="5632,0" coordsize="11206,10754">
            <v:shape style="position:absolute;left:8336;top:2250;width:902;height:1804" coordorigin="8337,2250" coordsize="902,1804" path="m8562,3377l8337,3602,8337,4053,8788,3602,8562,3377xm8788,2701l8788,2701,9238,3152,8788,2701xm8337,2250l8337,2701,8562,2926,8788,2701,8788,2701,8337,2250xe" filled="true" fillcolor="#aebd37" stroked="false">
              <v:path arrowok="t"/>
              <v:fill type="solid"/>
            </v:shape>
            <v:shape style="position:absolute;left:6533;top:4053;width:1804;height:902" coordorigin="6534,4053" coordsize="1804,902" path="m6984,4053l6534,4053,7435,4955,6984,4504,7210,4279,6984,4053xm8337,4053l7886,4053,7661,4279,7886,4504,8337,4053,8337,4053xe" filled="true" fillcolor="#6f2770" stroked="false">
              <v:path arrowok="t"/>
              <v:fill type="solid"/>
            </v:shape>
            <v:shape style="position:absolute;left:6533;top:1799;width:1804;height:451" coordorigin="6534,1799" coordsize="1804,451" path="m6984,1799l6534,2250,6534,2250,6984,2250,7210,2025,6984,1799xm7886,1799l7661,2025,7886,2250,8337,2250,8337,2250,7886,1799xe" filled="true" fillcolor="#5d883c" stroked="false">
              <v:path arrowok="t"/>
              <v:fill type="solid"/>
            </v:shape>
            <v:shape style="position:absolute;left:5632;top:2250;width:902;height:1804" coordorigin="5632,2250" coordsize="902,1804" path="m6308,3377l6083,3602,6083,3602,6534,4053,6534,3603,6308,3377xm5632,3152l6083,3602,6083,3602,5632,3152xm6534,2250l5632,3152,6083,2701,6533,2701,6534,2701,6534,2250xm6533,2701l6083,2701,6308,2926,6533,2701xe" filled="true" fillcolor="#360e3f" stroked="false">
              <v:path arrowok="t"/>
              <v:fill type="solid"/>
            </v:shape>
            <v:shape style="position:absolute;left:8111;top:2250;width:226;height:226" coordorigin="8111,2250" coordsize="226,226" path="m8337,2250l8111,2475,8337,2250xe" filled="true" fillcolor="#aebd37" stroked="false">
              <v:path arrowok="t"/>
              <v:fill type="solid"/>
            </v:shape>
            <v:shape style="position:absolute;left:8111;top:2250;width:226;height:451" coordorigin="8111,2250" coordsize="226,451" path="m8337,2250l8111,2476,8337,2701,8337,2250xe" filled="true" fillcolor="#7aa142" stroked="false">
              <v:path arrowok="t"/>
              <v:fill type="solid"/>
            </v:shape>
            <v:shape style="position:absolute;left:7886;top:2250;width:451;height:226" coordorigin="7886,2250" coordsize="451,226" path="m8337,2250l7886,2250,8111,2476,8337,2250xe" filled="true" fillcolor="#41793d" stroked="false">
              <v:path arrowok="t"/>
              <v:fill type="solid"/>
            </v:shape>
            <v:shape style="position:absolute;left:8111;top:3827;width:226;height:226" coordorigin="8111,3828" coordsize="226,226" path="m8111,3828l8337,4053,8111,3828xe" filled="true" fillcolor="#6f2770" stroked="false">
              <v:path arrowok="t"/>
              <v:fill type="solid"/>
            </v:shape>
            <v:shape style="position:absolute;left:8111;top:3602;width:226;height:451" coordorigin="8111,3603" coordsize="226,451" path="m8337,3603l8111,3828,8337,4053,8337,3603xe" filled="true" fillcolor="#5b2e31" stroked="false">
              <v:path arrowok="t"/>
              <v:fill type="solid"/>
            </v:shape>
            <v:shape style="position:absolute;left:7886;top:3827;width:451;height:226" coordorigin="7886,3828" coordsize="451,226" path="m8111,3828l7886,4053,8337,4053,8111,3828xe" filled="true" fillcolor="#42285e" stroked="false">
              <v:path arrowok="t"/>
              <v:fill type="solid"/>
            </v:shape>
            <v:shape style="position:absolute;left:6646;top:2362;width:113;height:113" coordorigin="6646,2363" coordsize="113,113" path="m6646,2363l6759,2475,6646,2363xe" filled="true" fillcolor="#5d883c" stroked="false">
              <v:path arrowok="t"/>
              <v:fill type="solid"/>
            </v:shape>
            <v:shape style="position:absolute;left:6533;top:2250;width:451;height:226" coordorigin="6534,2250" coordsize="451,226" path="m6984,2250l6534,2250,6759,2475,6984,2250xe" filled="true" fillcolor="#226237" stroked="false">
              <v:path arrowok="t"/>
              <v:fill type="solid"/>
            </v:shape>
            <v:shape style="position:absolute;left:6533;top:2250;width:226;height:451" coordorigin="6534,2250" coordsize="226,451" path="m6534,2250l6534,2701,6759,2475,6534,2250xe" filled="true" fillcolor="#1e0f13" stroked="false">
              <v:path arrowok="t"/>
              <v:fill type="solid"/>
            </v:shape>
            <v:shape style="position:absolute;left:6533;top:3827;width:226;height:226" coordorigin="6534,3828" coordsize="226,226" path="m6759,3828l6534,4053,6759,3828xe" filled="true" fillcolor="#360e3f" stroked="false">
              <v:path arrowok="t"/>
              <v:fill type="solid"/>
            </v:shape>
            <v:shape style="position:absolute;left:6533;top:3828;width:451;height:226" coordorigin="6534,3828" coordsize="451,226" path="m6759,3828l6534,4053,6984,4053,6759,3828xe" filled="true" fillcolor="#200d34" stroked="false">
              <v:path arrowok="t"/>
              <v:fill type="solid"/>
            </v:shape>
            <v:shape style="position:absolute;left:6533;top:3602;width:226;height:451" coordorigin="6534,3603" coordsize="226,451" path="m6534,3603l6534,4053,6759,3828,6534,3603xe" filled="true" fillcolor="#050019" stroked="false">
              <v:path arrowok="t"/>
              <v:fill type="solid"/>
            </v:shape>
            <v:shape style="position:absolute;left:8562;top:2701;width:677;height:902" coordorigin="8562,2701" coordsize="677,902" path="m8788,2701l8562,2926,8788,3152,8562,3377,8788,3602,9238,3152,8788,2701xe" filled="true" fillcolor="#89993e" stroked="false">
              <v:path arrowok="t"/>
              <v:fill type="solid"/>
            </v:shape>
            <v:shape style="position:absolute;left:6984;top:1348;width:902;height:677" coordorigin="6984,1349" coordsize="902,677" path="m7886,1799l7435,1799,7661,2025,7886,1799,7886,1799xm7435,1349l6984,1799,7210,2025,7435,1799,7886,1799,7435,1349xe" filled="true" fillcolor="#4f743b" stroked="false">
              <v:path arrowok="t"/>
              <v:fill type="solid"/>
            </v:shape>
            <v:shape style="position:absolute;left:5632;top:2701;width:677;height:902" coordorigin="5632,2701" coordsize="677,902" path="m6083,2701l5632,3152,6083,3602,6308,3377,6083,3152,6308,2926,6083,2701xe" filled="true" fillcolor="#2f1038" stroked="false">
              <v:path arrowok="t"/>
              <v:fill type="solid"/>
            </v:shape>
            <v:shape style="position:absolute;left:6984;top:4278;width:902;height:677" coordorigin="6984,4279" coordsize="902,677" path="m7210,4279l6984,4504,7435,4955,7886,4504,7435,4504,7210,4279xm7661,4279l7435,4504,7886,4504,7886,4504,7661,4279xe" filled="true" fillcolor="#602a63" stroked="false">
              <v:path arrowok="t"/>
              <v:fill type="solid"/>
            </v:shape>
            <v:shape style="position:absolute;left:8336;top:2700;width:226;height:902" coordorigin="8337,2701" coordsize="226,902" path="m8337,2701l8337,3603,8562,3377,8337,3152,8562,2926,8337,2701xe" filled="true" fillcolor="#f8f7f0" stroked="false">
              <v:path arrowok="t"/>
              <v:fill type="solid"/>
            </v:shape>
            <v:shape style="position:absolute;left:6984;top:3151;width:902;height:1128" coordorigin="6984,3152" coordsize="902,1128" path="m7886,4053l6984,4053,7210,4279,7435,4053,7886,4053xm7886,4053l7435,4053,7661,4279,7886,4053xm7435,3152l7435,4053,7435,4053,7435,3152xe" filled="true" fillcolor="#f1edf3" stroked="false">
              <v:path arrowok="t"/>
              <v:fill type="solid"/>
            </v:shape>
            <v:shape style="position:absolute;left:6984;top:2024;width:902;height:226" coordorigin="6984,2025" coordsize="902,226" path="m7210,2025l6984,2250,7886,2250,7886,2250,7435,2250,7210,2025xm7661,2025l7435,2250,7886,2250,7661,2025xe" filled="true" fillcolor="#f2f3ee" stroked="false">
              <v:path arrowok="t"/>
              <v:fill type="solid"/>
            </v:shape>
            <v:shape style="position:absolute;left:6308;top:2700;width:1128;height:903" coordorigin="6308,2701" coordsize="1128,903" path="m7435,3152l6534,3152,6308,3377,6534,3603,6534,3152,7435,3152,7435,3152xm6534,2701l6308,2926,6534,3152,6534,3152,6534,2701xe" filled="true" fillcolor="#ebe7ea" stroked="false">
              <v:path arrowok="t"/>
              <v:fill type="solid"/>
            </v:shape>
            <v:shape style="position:absolute;left:7435;top:2475;width:902;height:677" coordorigin="7435,2476" coordsize="902,677" path="m8111,2476l7435,3152,8337,3152,8337,2701,8111,2476xe" filled="true" fillcolor="#f5f6f0" stroked="false">
              <v:path arrowok="t"/>
              <v:fill type="solid"/>
            </v:shape>
            <v:shape style="position:absolute;left:7435;top:2250;width:677;height:902" coordorigin="7435,2250" coordsize="677,902" path="m7886,2250l7435,2250,7435,3152,8111,2476,7886,2250xe" filled="true" fillcolor="#f2f3ee" stroked="false">
              <v:path arrowok="t"/>
              <v:fill type="solid"/>
            </v:shape>
            <v:shape style="position:absolute;left:7435;top:3151;width:902;height:677" coordorigin="7435,3152" coordsize="902,677" path="m8337,3152l7435,3152,8111,3828,8337,3603,8337,3152xe" filled="true" fillcolor="#f1edea" stroked="false">
              <v:path arrowok="t"/>
              <v:fill type="solid"/>
            </v:shape>
            <v:shape style="position:absolute;left:7435;top:3151;width:677;height:902" coordorigin="7435,3152" coordsize="677,902" path="m7435,3152l7435,4053,7886,4053,8111,3828,7435,3152xe" filled="true" fillcolor="#ebe9ed" stroked="false">
              <v:path arrowok="t"/>
              <v:fill type="solid"/>
            </v:shape>
            <v:shape style="position:absolute;left:7435;top:3151;width:902;height:2" coordorigin="7435,3152" coordsize="902,0" path="m7435,3152l8337,3152,7435,3152xe" filled="true" fillcolor="#f1edea" stroked="false">
              <v:path arrowok="t"/>
              <v:fill type="solid"/>
            </v:shape>
            <v:shape style="position:absolute;left:6758;top:2475;width:677;height:677" coordorigin="6759,2475" coordsize="677,677" path="m6759,2475l7435,3152,6759,2475xe" filled="true" fillcolor="#f2f3ee" stroked="false">
              <v:path arrowok="t"/>
              <v:fill type="solid"/>
            </v:shape>
            <v:shape style="position:absolute;left:6758;top:2250;width:677;height:902" coordorigin="6759,2250" coordsize="677,902" path="m7435,2250l6984,2250,6759,2475,7435,3152,7435,2250xe" filled="true" fillcolor="#eceeea" stroked="false">
              <v:path arrowok="t"/>
              <v:fill type="solid"/>
            </v:shape>
            <v:shape style="position:absolute;left:6533;top:2475;width:902;height:677" coordorigin="6534,2475" coordsize="902,677" path="m6759,2475l6534,2701,6534,3152,7435,3152,6759,2475xe" filled="true" fillcolor="#e6e3e2" stroked="false">
              <v:path arrowok="t"/>
              <v:fill type="solid"/>
            </v:shape>
            <v:shape style="position:absolute;left:6758;top:3151;width:677;height:677" coordorigin="6759,3152" coordsize="677,677" path="m7435,3152l6759,3828,7435,3152xe" filled="true" fillcolor="#ebe7ea" stroked="false">
              <v:path arrowok="t"/>
              <v:fill type="solid"/>
            </v:shape>
            <v:shape style="position:absolute;left:6758;top:3151;width:677;height:902" coordorigin="6759,3152" coordsize="677,902" path="m7435,3152l6759,3828,6984,4053,7435,4053,7435,3152xe" filled="true" fillcolor="#e6e4e6" stroked="false">
              <v:path arrowok="t"/>
              <v:fill type="solid"/>
            </v:shape>
            <v:shape style="position:absolute;left:6533;top:3151;width:902;height:677" coordorigin="6534,3152" coordsize="902,677" path="m7435,3152l6534,3152,6534,3603,6759,3828,7435,3152xm7435,3152l7435,3152,7435,3152,7435,3152xe" filled="true" fillcolor="#e4e2e4" stroked="false">
              <v:path arrowok="t"/>
              <v:fill type="solid"/>
            </v:shape>
            <v:shape style="position:absolute;left:8336;top:2926;width:451;height:451" coordorigin="8337,2926" coordsize="451,451" path="m8562,2926l8337,3152,8562,3377,8788,3152,8562,2926xe" filled="true" fillcolor="#f5f4ee" stroked="false">
              <v:path arrowok="t"/>
              <v:fill type="solid"/>
            </v:shape>
            <v:shape style="position:absolute;left:7209;top:1799;width:451;height:451" coordorigin="7210,1799" coordsize="451,451" path="m7435,1799l7210,2025,7435,2250,7661,2025,7435,1799xe" filled="true" fillcolor="#f2f3ee" stroked="false">
              <v:path arrowok="t"/>
              <v:fill type="solid"/>
            </v:shape>
            <v:shape style="position:absolute;left:6082;top:2926;width:451;height:451" coordorigin="6083,2926" coordsize="451,451" path="m6308,2926l6083,3152,6308,3377,6534,3152,6308,2926xe" filled="true" fillcolor="#ebe7e8" stroked="false">
              <v:path arrowok="t"/>
              <v:fill type="solid"/>
            </v:shape>
            <v:shape style="position:absolute;left:7209;top:4053;width:451;height:451" coordorigin="7210,4053" coordsize="451,451" path="m7435,4053l7210,4279,7435,4504,7661,4279,7435,4053xe" filled="true" fillcolor="#f1edf0" stroked="false">
              <v:path arrowok="t"/>
              <v:fill type="solid"/>
            </v:shape>
            <v:shape style="position:absolute;left:12808;top:0;width:1348;height:3916" coordorigin="12808,0" coordsize="1348,3916" path="m13525,0l12935,0,13230,295,13525,0xm13230,2147l12808,2568,14156,3915,14156,3072,13230,2147xe" filled="true" fillcolor="#aebd37" stroked="false">
              <v:path arrowok="t"/>
              <v:fill type="solid"/>
            </v:shape>
            <v:shape style="position:absolute;left:14155;top:3493;width:1769;height:1825" coordorigin="14156,3494" coordsize="1769,1825" path="m14577,3494l14577,3494,14156,3915,14156,3915,14577,3494m15559,5319l15503,5263,15541,5225,15362,5122,15559,5319m15925,4841l15801,4717,14999,3915,14156,3915,14156,3915,14156,3915,15328,5088,15328,5088,15550,5216,15602,5163,15472,5088,15381,5035,15390,5026,15612,5154,15664,5101,15534,5026,15443,4973,15452,4964,15673,5092,15726,5040,15596,4964,15504,4912,15514,4903,15735,5030,15788,4978,15658,4903,15566,4850,15575,4841,15797,4969,15850,4916,15719,4841,15628,4788,15637,4779,15859,4907,15911,4854,15781,4779,15690,4726,15699,4717,15921,4845,15925,4841e" filled="true" fillcolor="#6f2770" stroked="false">
              <v:path arrowok="t"/>
              <v:fill type="solid"/>
            </v:shape>
            <v:shape style="position:absolute;left:14155;top:3072;width:422;height:843" coordorigin="14156,3072" coordsize="422,843" path="m14156,3072l14156,3915,14577,3494,14156,3072xe" filled="true" fillcolor="#5b2e31" stroked="false">
              <v:path arrowok="t"/>
              <v:fill type="solid"/>
            </v:shape>
            <v:shape style="position:absolute;left:14155;top:3493;width:844;height:422" coordorigin="14156,3494" coordsize="844,422" path="m14577,3494l14156,3915,14999,3915,14577,3494xe" filled="true" fillcolor="#42285e" stroked="false">
              <v:path arrowok="t"/>
              <v:fill type="solid"/>
            </v:shape>
            <v:shape style="position:absolute;left:11461;top:0;width:1221;height:1221" coordorigin="11461,0" coordsize="1221,1221" path="m12682,0l11461,1221,12682,0xe" filled="true" fillcolor="#bbbcbb" stroked="false">
              <v:path arrowok="t"/>
              <v:fill type="solid"/>
            </v:shape>
            <v:shape style="position:absolute;left:11461;top:0;width:1769;height:2569" coordorigin="11461,0" coordsize="1769,2569" path="m12935,0l12682,0,11461,1221,12808,2568,13230,2147,12304,1221,13230,295,12935,0xe" filled="true" fillcolor="#89993e" stroked="false">
              <v:path arrowok="t"/>
              <v:fill type="solid"/>
            </v:shape>
            <v:shape style="position:absolute;left:15502;top:4841;width:1335;height:1757" coordorigin="15503,4841" coordsize="1335,1757" path="m16746,6506l16838,6598,16838,6559,16746,6506xm16516,6275l16712,6472,16838,6545,16838,6461,16516,6275xm16285,6045l16482,6241,16838,6447,16838,6364,16285,6045xm16054,5814l16251,6011,16838,6350,16838,6266,16054,5814xm15824,5583l16020,5780,16838,6252,16838,6169,15824,5583xm15593,5353l15789,5549,16838,6155,16838,6071,15593,5353xm15541,5225l15503,5263,15559,5319,16838,6057,16838,5974,15541,5225xm15602,5163l15550,5216,16838,5960,16838,5876,15602,5163xm15664,5101l15612,5154,16838,5862,16838,5779,15664,5101xm15726,5040l15673,5092,16838,5765,16838,5754,16665,5582,15726,5040xm15788,4978l15735,5030,16631,5548,16435,5351,15788,4978xm15850,4916l15797,4969,16400,5317,16204,5120,15850,4916xm15911,4854l15859,4907,16170,5086,15973,4890,15911,4854xm15925,4841l15921,4845,15939,4856,15925,4841xe" filled="true" fillcolor="#602a63" stroked="false">
              <v:path arrowok="t"/>
              <v:fill type="solid"/>
            </v:shape>
            <v:shape style="position:absolute;left:13230;top:0;width:3608;height:3073" coordorigin="13230,0" coordsize="3608,3073" path="m14156,0l13525,0,13230,295,14156,1221,13230,2147,14156,3072,14156,1221,16838,1221,14156,1221,14156,0xe" filled="true" fillcolor="#f3f5e6" stroked="false">
              <v:path arrowok="t"/>
              <v:fill type="solid"/>
            </v:shape>
            <v:shape style="position:absolute;left:14998;top:3915;width:1839;height:926" coordorigin="14999,3915" coordsize="1839,926" path="m16501,3915l14999,3915,15925,4841,15973,4792,15752,4664,15761,4655,15905,4655,15814,4603,15823,4593,15967,4593,15875,4541,15885,4532,16028,4532,15937,4479,15946,4470,16090,4470,15999,4417,16008,4408,16152,4408,16061,4355,16070,4346,16214,4346,16123,4294,16132,4284,16276,4284,16184,4232,16194,4223,16337,4223,16246,4170,16255,4161,16399,4161,16308,4108,16317,4099,16461,4099,16370,4046,16379,4037,16523,4037,16432,3984,16441,3975,16585,3975,16493,3923,16501,3915xm15905,4655l15761,4655,15982,4783,16035,4731,15905,4655xm15967,4593l15823,4593,16044,4721,16097,4669,15967,4593xm16028,4532l15885,4532,16106,4660,16159,4607,16028,4532xm16090,4470l15946,4470,16168,4598,16221,4545,16090,4470xm16152,4408l16008,4408,16230,4536,16282,4483,16152,4408xm16214,4346l16070,4346,16292,4474,16344,4421,16214,4346xm16276,4284l16132,4284,16353,4412,16406,4360,16276,4284xm16337,4223l16194,4223,16415,4350,16468,4298,16337,4223xm16399,4161l16255,4161,16477,4289,16530,4236,16399,4161xm16461,4099l16317,4099,16539,4227,16591,4174,16461,4099xm16523,4037l16379,4037,16601,4165,16653,4112,16523,4037xm16585,3975l16441,3975,16662,4103,16715,4051,16585,3975xm16650,3915l16506,3915,16724,4041,16777,3989,16650,3915xm16819,3915l16675,3915,16786,3980,16838,3928,16838,3926,16819,3915xe" filled="true" fillcolor="#e5dee7" stroked="false">
              <v:path arrowok="t"/>
              <v:fill type="solid"/>
            </v:shape>
            <v:shape style="position:absolute;left:15629;top:0;width:1209;height:1209" coordorigin="15629,0" coordsize="1209,1209" path="m15629,0l16838,1209,15629,0xe" filled="true" fillcolor="#f3f5e6" stroked="false">
              <v:path arrowok="t"/>
              <v:fill type="solid"/>
            </v:shape>
            <v:shape style="position:absolute;left:14155;top:0;width:2683;height:1221" coordorigin="14156,0" coordsize="2683,1221" path="m15629,0l14156,0,14156,1221,16838,1221,16838,1209,15629,0xe" filled="true" fillcolor="#edf0e4" stroked="false">
              <v:path arrowok="t"/>
              <v:fill type="solid"/>
            </v:shape>
            <v:shape style="position:absolute;left:15629;top:0;width:1209;height:1209" coordorigin="15629,0" coordsize="1209,1209" path="m16838,0l15629,0,16838,1209,16838,0xe" filled="true" fillcolor="#e5e7df" stroked="false">
              <v:path arrowok="t"/>
              <v:fill type="solid"/>
            </v:shape>
            <v:shape style="position:absolute;left:14577;top:1233;width:2261;height:2261" coordorigin="14577,1233" coordsize="2261,2261" path="m16838,1233l14577,3494,16838,1233xe" filled="true" fillcolor="#e5dee7" stroked="false">
              <v:path arrowok="t"/>
              <v:fill type="solid"/>
            </v:shape>
            <v:shape style="position:absolute;left:14155;top:1221;width:2683;height:2273" coordorigin="14156,1221" coordsize="2683,2273" path="m16838,1221l14156,1221,14156,3072,14577,3494,16838,1233,16838,1221xe" filled="true" fillcolor="#e4dcd8" stroked="false">
              <v:path arrowok="t"/>
              <v:fill type="solid"/>
            </v:shape>
            <v:shape style="position:absolute;left:14577;top:1233;width:2261;height:2683" coordorigin="14577,1233" coordsize="2261,2683" path="m16838,1233l14577,3494,14999,3915,16501,3915,16503,3914,16647,3914,16555,3861,16564,3852,16708,3852,16617,3799,16626,3790,16770,3790,16679,3737,16688,3728,16832,3728,16741,3675,16750,3666,16838,3666,16838,3634,16803,3614,16812,3604,16838,3604,16838,1233xm16647,3914l16503,3914,16506,3915,16650,3915,16647,3914xm16708,3852l16564,3852,16675,3915,16819,3915,16708,3852xm16770,3790l16626,3790,16838,3912,16838,3829,16770,3790xm16832,3728l16688,3728,16838,3815,16838,3731,16832,3728xm16838,3666l16750,3666,16838,3717,16838,3666xm16838,3604l16812,3604,16838,3619,16838,3604xe" filled="true" fillcolor="#ded9e0" stroked="false">
              <v:path arrowok="t"/>
              <v:fill type="solid"/>
            </v:shape>
            <v:shape style="position:absolute;left:12304;top:295;width:1852;height:1852" coordorigin="12304,295" coordsize="1852,1852" path="m13230,295l12304,1221,13230,2147,14156,1221,13230,295xe" filled="true" fillcolor="#f0efe3" stroked="false">
              <v:path arrowok="t"/>
              <v:fill type="solid"/>
            </v:shape>
            <v:shape style="position:absolute;left:15924;top:3927;width:914;height:1827" coordorigin="15925,3928" coordsize="914,1827" path="m16665,5582l16838,5754,16838,5681,16665,5582xm16435,5351l16631,5548,16838,5667,16838,5584,16435,5351xm16204,5120l16400,5317,16838,5570,16838,5486,16204,5120xm15973,4890l16170,5086,16838,5472,16838,5389,15973,4890xm15973,4792l15925,4841,15939,4856,16838,5375,16838,5291,15973,4792xm16035,4730l15982,4783,16838,5277,16838,5194,16035,4730xm16097,4669l16044,4721,16838,5180,16838,5096,16097,4669xm16159,4607l16106,4660,16838,5082,16838,4999,16159,4607xm16221,4545l16168,4598,16838,4985,16838,4901,16221,4545xm16282,4483l16230,4536,16838,4887,16838,4804,16282,4483xm16344,4421l16292,4474,16838,4790,16838,4706,16344,4421xm16406,4360l16353,4412,16838,4692,16838,4609,16406,4360xm16468,4298l16415,4350,16838,4595,16838,4511,16468,4298xm16530,4236l16477,4289,16838,4497,16838,4414,16530,4236xm16591,4174l16539,4227,16838,4399,16838,4316,16591,4174xm16653,4112l16601,4165,16838,4302,16838,4219,16653,4112xm16715,4051l16662,4103,16838,4204,16838,4121,16715,4051xm16777,3989l16724,4041,16838,4107,16838,4024,16777,3989xm16838,3928l16786,3980,16838,4010,16838,3928xe" filled="true" fillcolor="#e5dde3" stroked="false">
              <v:path arrowok="t"/>
              <v:fill type="solid"/>
            </v:shape>
            <v:shape style="position:absolute;left:13402;top:5458;width:3435;height:5001" coordorigin="13403,5459" coordsize="3435,5001" path="m16746,6506l16712,6472,14957,5459,14948,5468,16746,6506m16838,10445l16755,10397,16789,10431,16838,10459,16838,10445m16838,10347l16524,10166,16558,10200,16838,10361,16838,10347m16838,10250l16294,9935,16328,9969,16838,10264,16838,10250m16838,10152l16063,9705,16097,9739,16838,10166,16838,10152m16838,10055l15832,9474,15866,9508,16838,10069,16838,10055m16838,9860l15371,9013,15405,9047,16838,9874,16838,9860m16838,9665l14909,8551,14944,8585,16838,9679,16838,9665m16838,9567l14679,8320,14713,8355,16838,9581,16838,9567m16838,9470l14448,8090,14482,8124,16838,9484,16838,9470m16838,9275l13987,7628,14021,7663,16838,9289,16838,9275m16838,9177l13756,7398,13790,7432,16838,9191,16838,9177m16838,9080l13525,7167,13559,7201,16838,9094,16838,9080m16838,8982l13412,7004,13403,7013,16838,8996,16838,8982m16838,8885l13474,6942,13465,6952,16838,8899,16838,8885m16838,8787l13536,6881,13526,6890,16838,8801,16838,8787m16838,8690l13597,6819,13588,6828,16838,8704,16838,8690m16838,8494l13721,6695,13712,6704,16838,8509,16838,8494m16838,8300l13845,6571,13836,6581,16838,8314,16838,8300m16838,8202l13907,6510,13897,6519,16838,8216,16838,8202m16838,8105l13968,6448,13959,6457,16838,8119,16838,8105m16838,8007l14030,6386,14021,6395,16838,8021,16838,8007m16838,7910l14092,6324,14083,6333,16838,7924,16838,7910m16838,7812l14154,6262,14145,6272,16838,7826,16838,7812m16838,7715l14216,6201,14206,6210,16838,7729,16838,7715m16838,7617l14277,6139,14268,6148,16838,7631,16838,7617m16838,7520l14339,6077,14330,6086,16838,7534,16838,7520m16838,7325l14463,5953,14454,5963,16838,7339,16838,7325m16838,7227l14525,5892,14516,5901,16838,7241,16838,7227m16838,7130l14586,5830,14577,5839,16838,7144,16838,7130m16838,7032l14648,5768,14639,5777,16838,7046,16838,7032m16838,6740l14834,5582,14825,5592,16838,6754,16838,6740m16838,6642l14896,5521,14886,5530,16838,6656,16838,6642m16838,9957l15601,9243,15636,9277,16838,9971,16838,9957m16838,9762l15140,8782,15174,8816,16838,9776,16838,9762m16838,9372l14217,7859,14252,7893,16838,9386,16838,9372m16838,8592l13659,6757,13650,6766,16838,8606,16838,8592m16838,8397l13783,6633,13774,6642,16838,8411,16838,8397m16838,7422l14401,6015,14392,6024,16838,7436,16838,7422m16838,6935l14710,5706,14701,5715,16838,6949,16838,6935m16838,6837l14772,5644,14763,5653,16838,6851,16838,6837e" filled="true" fillcolor="#d8dad9" stroked="false">
              <v:path arrowok="t"/>
              <v:fill type="solid"/>
            </v:shape>
            <v:shape style="position:absolute;left:16712;top:6471;width:126;height:87" coordorigin="16712,6472" coordsize="126,87" path="m16712,6472l16746,6506,16838,6559,16838,6545,16712,6472xe" filled="true" fillcolor="#876e88" stroked="false">
              <v:path arrowok="t"/>
              <v:fill type="solid"/>
            </v:shape>
            <v:shape style="position:absolute;left:15010;top:5397;width:1506;height:879" coordorigin="15010,5397" coordsize="1506,879" path="m15019,5397l15010,5406,16516,6275,16482,6241,15019,5397xe" filled="true" fillcolor="#d8dad9" stroked="false">
              <v:path arrowok="t"/>
              <v:fill type="solid"/>
            </v:shape>
            <v:shape style="position:absolute;left:16481;top:6241;width:357;height:221" coordorigin="16482,6241" coordsize="357,221" path="m16482,6241l16516,6275,16838,6461,16838,6447,16482,6241xe" filled="true" fillcolor="#876e88" stroked="false">
              <v:path arrowok="t"/>
              <v:fill type="solid"/>
            </v:shape>
            <v:shape style="position:absolute;left:15071;top:5335;width:1214;height:710" coordorigin="15072,5335" coordsize="1214,710" path="m15081,5335l15072,5344,16285,6045,16251,6011,15081,5335xe" filled="true" fillcolor="#d8dad9" stroked="false">
              <v:path arrowok="t"/>
              <v:fill type="solid"/>
            </v:shape>
            <v:shape style="position:absolute;left:16250;top:6010;width:35;height:35" coordorigin="16251,6011" coordsize="35,35" path="m16251,6011l16285,6045,16251,6011xe" filled="true" fillcolor="#8e6f92" stroked="false">
              <v:path arrowok="t"/>
              <v:fill type="solid"/>
            </v:shape>
            <v:shape style="position:absolute;left:16250;top:6010;width:587;height:354" coordorigin="16251,6011" coordsize="587,354" path="m16251,6011l16285,6045,16838,6364,16838,6350,16251,6011xe" filled="true" fillcolor="#876e88" stroked="false">
              <v:path arrowok="t"/>
              <v:fill type="solid"/>
            </v:shape>
            <v:shape style="position:absolute;left:15133;top:5273;width:921;height:541" coordorigin="15134,5273" coordsize="921,541" path="m15143,5273l15134,5283,16054,5814,16020,5780,15143,5273xe" filled="true" fillcolor="#d8dad9" stroked="false">
              <v:path arrowok="t"/>
              <v:fill type="solid"/>
            </v:shape>
            <v:shape style="position:absolute;left:16020;top:5779;width:818;height:487" coordorigin="16020,5780" coordsize="818,487" path="m16020,5780l16054,5814,16838,6266,16838,6252,16020,5780xe" filled="true" fillcolor="#876e88" stroked="false">
              <v:path arrowok="t"/>
              <v:fill type="solid"/>
            </v:shape>
            <v:shape style="position:absolute;left:15195;top:5211;width:629;height:372" coordorigin="15195,5212" coordsize="629,372" path="m15205,5212l15195,5221,15824,5583,15789,5549,15205,5212xe" filled="true" fillcolor="#d8dad9" stroked="false">
              <v:path arrowok="t"/>
              <v:fill type="solid"/>
            </v:shape>
            <v:shape style="position:absolute;left:15789;top:5549;width:35;height:35" coordorigin="15789,5549" coordsize="35,35" path="m15789,5549l15824,5583,15789,5549xe" filled="true" fillcolor="#8e6f92" stroked="false">
              <v:path arrowok="t"/>
              <v:fill type="solid"/>
            </v:shape>
            <v:shape style="position:absolute;left:15789;top:5549;width:1049;height:620" coordorigin="15789,5549" coordsize="1049,620" path="m15789,5549l15824,5583,16838,6169,16838,6155,15789,5549xe" filled="true" fillcolor="#876e88" stroked="false">
              <v:path arrowok="t"/>
              <v:fill type="solid"/>
            </v:shape>
            <v:shape style="position:absolute;left:15257;top:5149;width:336;height:203" coordorigin="15257,5150" coordsize="336,203" path="m15266,5150l15257,5159,15593,5353,15559,5319,15266,5150xe" filled="true" fillcolor="#d8dad9" stroked="false">
              <v:path arrowok="t"/>
              <v:fill type="solid"/>
            </v:shape>
            <v:shape style="position:absolute;left:15558;top:5318;width:1280;height:753" coordorigin="15559,5319" coordsize="1280,753" path="m15559,5319l15593,5353,16838,6071,16838,6057,15559,5319xe" filled="true" fillcolor="#876e88" stroked="false">
              <v:path arrowok="t"/>
              <v:fill type="solid"/>
            </v:shape>
            <v:shape style="position:absolute;left:15319;top:5087;width:231;height:138" type="#_x0000_t75" stroked="false">
              <v:imagedata r:id="rId29" o:title=""/>
            </v:shape>
            <v:shape style="position:absolute;left:15540;top:5215;width:1298;height:759" coordorigin="15541,5216" coordsize="1298,759" path="m15550,5216l15541,5225,16838,5974,16838,5960,15550,5216xe" filled="true" fillcolor="#876e88" stroked="false">
              <v:path arrowok="t"/>
              <v:fill type="solid"/>
            </v:shape>
            <v:shape style="position:absolute;left:15380;top:5026;width:231;height:138" coordorigin="15381,5026" coordsize="231,138" path="m15390,5026l15381,5035,15602,5163,15612,5154,15390,5026xe" filled="true" fillcolor="#8e6f92" stroked="false">
              <v:path arrowok="t"/>
              <v:fill type="solid"/>
            </v:shape>
            <v:shape style="position:absolute;left:15602;top:5154;width:1236;height:723" coordorigin="15602,5154" coordsize="1236,723" path="m15612,5154l15602,5163,16838,5876,16838,5862,15612,5154xe" filled="true" fillcolor="#876e88" stroked="false">
              <v:path arrowok="t"/>
              <v:fill type="solid"/>
            </v:shape>
            <v:shape style="position:absolute;left:15442;top:4964;width:231;height:138" coordorigin="15443,4964" coordsize="231,138" path="m15452,4964l15443,4973,15664,5101,15673,5092,15452,4964xe" filled="true" fillcolor="#8e6f92" stroked="false">
              <v:path arrowok="t"/>
              <v:fill type="solid"/>
            </v:shape>
            <v:shape style="position:absolute;left:15664;top:5092;width:1174;height:687" coordorigin="15664,5092" coordsize="1174,687" path="m15673,5092l15664,5101,16838,5779,16838,5765,15673,5092xe" filled="true" fillcolor="#876e88" stroked="false">
              <v:path arrowok="t"/>
              <v:fill type="solid"/>
            </v:shape>
            <v:shape style="position:absolute;left:15504;top:4902;width:231;height:138" coordorigin="15504,4903" coordsize="231,138" path="m15514,4903l15504,4912,15726,5040,15735,5030,15514,4903xe" filled="true" fillcolor="#8e6f92" stroked="false">
              <v:path arrowok="t"/>
              <v:fill type="solid"/>
            </v:shape>
            <v:shape style="position:absolute;left:15726;top:5030;width:940;height:552" coordorigin="15726,5030" coordsize="940,552" path="m15735,5030l15726,5040,16665,5582,16631,5548,15735,5030xe" filled="true" fillcolor="#876e88" stroked="false">
              <v:path arrowok="t"/>
              <v:fill type="solid"/>
            </v:shape>
            <v:shape style="position:absolute;left:16631;top:5547;width:207;height:134" coordorigin="16631,5548" coordsize="207,134" path="m16631,5548l16665,5582,16838,5681,16838,5667,16631,5548xe" filled="true" fillcolor="#d2ced0" stroked="false">
              <v:path arrowok="t"/>
              <v:fill type="solid"/>
            </v:shape>
            <v:shape style="position:absolute;left:15566;top:4840;width:231;height:138" coordorigin="15566,4841" coordsize="231,138" path="m15575,4841l15566,4850,15788,4978,15797,4969,15575,4841xe" filled="true" fillcolor="#8e6f92" stroked="false">
              <v:path arrowok="t"/>
              <v:fill type="solid"/>
            </v:shape>
            <v:shape style="position:absolute;left:15787;top:4968;width:647;height:383" coordorigin="15788,4969" coordsize="647,383" path="m15797,4969l15788,4978,16435,5351,16400,5317,15797,4969xe" filled="true" fillcolor="#876e88" stroked="false">
              <v:path arrowok="t"/>
              <v:fill type="solid"/>
            </v:shape>
            <v:shape style="position:absolute;left:16400;top:5317;width:438;height:267" coordorigin="16400,5317" coordsize="438,267" path="m16400,5317l16435,5351,16838,5584,16838,5570,16400,5317xe" filled="true" fillcolor="#d2ced0" stroked="false">
              <v:path arrowok="t"/>
              <v:fill type="solid"/>
            </v:shape>
            <v:shape style="position:absolute;left:15628;top:4778;width:576;height:342" type="#_x0000_t75" stroked="false">
              <v:imagedata r:id="rId30" o:title=""/>
            </v:shape>
            <v:shape style="position:absolute;left:16169;top:5086;width:669;height:401" coordorigin="16170,5086" coordsize="669,401" path="m16170,5086l16204,5120,16838,5486,16838,5472,16170,5086xe" filled="true" fillcolor="#d2ced0" stroked="false">
              <v:path arrowok="t"/>
              <v:fill type="solid"/>
            </v:shape>
            <v:shape style="position:absolute;left:15689;top:4717;width:284;height:173" type="#_x0000_t75" stroked="false">
              <v:imagedata r:id="rId31" o:title=""/>
            </v:shape>
            <v:shape style="position:absolute;left:15939;top:4855;width:899;height:534" coordorigin="15939,4856" coordsize="899,534" path="m15939,4856l15973,4890,16838,5389,16838,5375,15939,4856xe" filled="true" fillcolor="#d2ced0" stroked="false">
              <v:path arrowok="t"/>
              <v:fill type="solid"/>
            </v:shape>
            <v:shape style="position:absolute;left:15751;top:4655;width:231;height:138" coordorigin="15752,4655" coordsize="231,138" path="m15761,4655l15752,4664,15973,4792,15982,4783,15761,4655xe" filled="true" fillcolor="#d1ced2" stroked="false">
              <v:path arrowok="t"/>
              <v:fill type="solid"/>
            </v:shape>
            <v:shape style="position:absolute;left:15973;top:4783;width:865;height:509" coordorigin="15973,4783" coordsize="865,509" path="m15982,4783l15973,4792,16838,5291,16838,5277,15982,4783xe" filled="true" fillcolor="#d2ced0" stroked="false">
              <v:path arrowok="t"/>
              <v:fill type="solid"/>
            </v:shape>
            <v:shape style="position:absolute;left:15813;top:4593;width:231;height:138" coordorigin="15814,4593" coordsize="231,138" path="m15823,4593l15814,4603,16035,4730,16044,4721,15823,4593xe" filled="true" fillcolor="#d1ced2" stroked="false">
              <v:path arrowok="t"/>
              <v:fill type="solid"/>
            </v:shape>
            <v:shape style="position:absolute;left:16035;top:4721;width:803;height:473" coordorigin="16035,4721" coordsize="803,473" path="m16044,4721l16035,4731,16838,5194,16838,5180,16044,4721xe" filled="true" fillcolor="#d2ced0" stroked="false">
              <v:path arrowok="t"/>
              <v:fill type="solid"/>
            </v:shape>
            <v:shape style="position:absolute;left:15875;top:4531;width:231;height:138" coordorigin="15875,4532" coordsize="231,138" path="m15885,4532l15875,4541,16097,4669,16106,4660,15885,4532xe" filled="true" fillcolor="#d1ced2" stroked="false">
              <v:path arrowok="t"/>
              <v:fill type="solid"/>
            </v:shape>
            <v:shape style="position:absolute;left:16096;top:4659;width:741;height:437" coordorigin="16097,4660" coordsize="741,437" path="m16106,4660l16097,4669,16838,5096,16838,5082,16106,4660xe" filled="true" fillcolor="#d2ced0" stroked="false">
              <v:path arrowok="t"/>
              <v:fill type="solid"/>
            </v:shape>
            <v:shape style="position:absolute;left:15937;top:4469;width:231;height:138" coordorigin="15937,4470" coordsize="231,138" path="m15946,4470l15937,4479,16159,4607,16168,4598,15946,4470xe" filled="true" fillcolor="#d1ced2" stroked="false">
              <v:path arrowok="t"/>
              <v:fill type="solid"/>
            </v:shape>
            <v:shape style="position:absolute;left:16158;top:4597;width:680;height:402" coordorigin="16159,4598" coordsize="680,402" path="m16168,4598l16159,4607,16838,4999,16838,4984,16168,4598xe" filled="true" fillcolor="#d2ced0" stroked="false">
              <v:path arrowok="t"/>
              <v:fill type="solid"/>
            </v:shape>
            <v:shape style="position:absolute;left:15999;top:4408;width:231;height:138" coordorigin="15999,4408" coordsize="231,138" path="m16008,4408l15999,4417,16221,4545,16230,4536,16008,4408xe" filled="true" fillcolor="#d1ced2" stroked="false">
              <v:path arrowok="t"/>
              <v:fill type="solid"/>
            </v:shape>
            <v:shape style="position:absolute;left:16220;top:4535;width:618;height:366" coordorigin="16221,4536" coordsize="618,366" path="m16230,4536l16221,4545,16838,4901,16838,4887,16230,4536xe" filled="true" fillcolor="#d2ced0" stroked="false">
              <v:path arrowok="t"/>
              <v:fill type="solid"/>
            </v:shape>
            <v:shape style="position:absolute;left:16060;top:4346;width:231;height:138" coordorigin="16061,4346" coordsize="231,138" path="m16070,4346l16061,4355,16282,4483,16292,4474,16070,4346xe" filled="true" fillcolor="#d1ced2" stroked="false">
              <v:path arrowok="t"/>
              <v:fill type="solid"/>
            </v:shape>
            <v:shape style="position:absolute;left:16282;top:4474;width:556;height:330" coordorigin="16282,4474" coordsize="556,330" path="m16292,4474l16282,4483,16838,4804,16838,4790,16292,4474xe" filled="true" fillcolor="#d2ced0" stroked="false">
              <v:path arrowok="t"/>
              <v:fill type="solid"/>
            </v:shape>
            <v:shape style="position:absolute;left:16122;top:4284;width:231;height:138" coordorigin="16123,4284" coordsize="231,138" path="m16132,4284l16123,4294,16344,4421,16353,4412,16132,4284xe" filled="true" fillcolor="#d1ced2" stroked="false">
              <v:path arrowok="t"/>
              <v:fill type="solid"/>
            </v:shape>
            <v:shape style="position:absolute;left:16344;top:4412;width:494;height:295" coordorigin="16344,4412" coordsize="494,295" path="m16353,4412l16344,4421,16838,4706,16838,4692,16353,4412xe" filled="true" fillcolor="#d2ced0" stroked="false">
              <v:path arrowok="t"/>
              <v:fill type="solid"/>
            </v:shape>
            <v:shape style="position:absolute;left:16184;top:4222;width:231;height:138" coordorigin="16184,4223" coordsize="231,138" path="m16194,4223l16184,4232,16406,4360,16415,4350,16194,4223xe" filled="true" fillcolor="#d1ced2" stroked="false">
              <v:path arrowok="t"/>
              <v:fill type="solid"/>
            </v:shape>
            <v:shape style="position:absolute;left:16405;top:4350;width:432;height:259" coordorigin="16406,4350" coordsize="432,259" path="m16415,4350l16406,4360,16838,4609,16838,4595,16415,4350xe" filled="true" fillcolor="#d2ced0" stroked="false">
              <v:path arrowok="t"/>
              <v:fill type="solid"/>
            </v:shape>
            <v:shape style="position:absolute;left:16246;top:4160;width:231;height:138" coordorigin="16246,4161" coordsize="231,138" path="m16255,4161l16246,4170,16468,4298,16477,4289,16255,4161xe" filled="true" fillcolor="#d1ced2" stroked="false">
              <v:path arrowok="t"/>
              <v:fill type="solid"/>
            </v:shape>
            <v:shape style="position:absolute;left:16467;top:4288;width:370;height:223" coordorigin="16468,4289" coordsize="370,223" path="m16477,4289l16468,4298,16838,4511,16838,4497,16477,4289xe" filled="true" fillcolor="#d2ced0" stroked="false">
              <v:path arrowok="t"/>
              <v:fill type="solid"/>
            </v:shape>
            <v:shape style="position:absolute;left:16308;top:4098;width:231;height:138" coordorigin="16308,4099" coordsize="231,138" path="m16317,4099l16308,4108,16530,4236,16539,4227,16317,4099xe" filled="true" fillcolor="#d1ced2" stroked="false">
              <v:path arrowok="t"/>
              <v:fill type="solid"/>
            </v:shape>
            <v:shape style="position:absolute;left:16529;top:4226;width:309;height:188" coordorigin="16530,4227" coordsize="309,188" path="m16539,4227l16530,4236,16838,4414,16838,4399,16539,4227xe" filled="true" fillcolor="#d2ced0" stroked="false">
              <v:path arrowok="t"/>
              <v:fill type="solid"/>
            </v:shape>
            <v:shape style="position:absolute;left:16369;top:4037;width:231;height:138" coordorigin="16370,4037" coordsize="231,138" path="m16379,4037l16370,4046,16591,4174,16601,4165,16379,4037xe" filled="true" fillcolor="#d1ced2" stroked="false">
              <v:path arrowok="t"/>
              <v:fill type="solid"/>
            </v:shape>
            <v:shape style="position:absolute;left:16591;top:4165;width:247;height:152" coordorigin="16591,4165" coordsize="247,152" path="m16601,4165l16591,4174,16838,4316,16838,4302,16601,4165xe" filled="true" fillcolor="#d2ced0" stroked="false">
              <v:path arrowok="t"/>
              <v:fill type="solid"/>
            </v:shape>
            <v:shape style="position:absolute;left:16431;top:3975;width:231;height:138" coordorigin="16432,3975" coordsize="231,138" path="m16441,3975l16432,3984,16653,4112,16662,4103,16441,3975xe" filled="true" fillcolor="#d1ced2" stroked="false">
              <v:path arrowok="t"/>
              <v:fill type="solid"/>
            </v:shape>
            <v:shape style="position:absolute;left:16653;top:4103;width:185;height:116" coordorigin="16653,4103" coordsize="185,116" path="m16662,4103l16653,4112,16838,4219,16838,4205,16662,4103xe" filled="true" fillcolor="#d2ced0" stroked="false">
              <v:path arrowok="t"/>
              <v:fill type="solid"/>
            </v:shape>
            <v:shape style="position:absolute;left:16493;top:3915;width:231;height:136" coordorigin="16493,3915" coordsize="231,136" path="m16506,3915l16501,3915,16493,3923,16715,4051,16724,4041,16506,3915xe" filled="true" fillcolor="#d1ced2" stroked="false">
              <v:path arrowok="t"/>
              <v:fill type="solid"/>
            </v:shape>
            <v:shape style="position:absolute;left:16500;top:3913;width:6;height:2" coordorigin="16501,3913" coordsize="6,2" path="m16503,3913l16501,3915,16506,3915,16503,3913xe" filled="true" fillcolor="#cccacd" stroked="false">
              <v:path arrowok="t"/>
              <v:fill type="solid"/>
            </v:shape>
            <v:shape style="position:absolute;left:16715;top:4041;width:123;height:81" coordorigin="16715,4041" coordsize="123,81" path="m16724,4041l16715,4051,16838,4121,16838,4107,16724,4041xe" filled="true" fillcolor="#d2ced0" stroked="false">
              <v:path arrowok="t"/>
              <v:fill type="solid"/>
            </v:shape>
            <v:shape style="position:absolute;left:16649;top:3915;width:137;height:74" coordorigin="16650,3915" coordsize="137,74" path="m16675,3915l16650,3915,16777,3989,16786,3980,16675,3915xe" filled="true" fillcolor="#d1ced2" stroked="false">
              <v:path arrowok="t"/>
              <v:fill type="solid"/>
            </v:shape>
            <v:shape style="position:absolute;left:16555;top:3851;width:120;height:64" coordorigin="16555,3852" coordsize="120,64" path="m16564,3852l16555,3861,16650,3915,16675,3915,16564,3852xe" filled="true" fillcolor="#cccacd" stroked="false">
              <v:path arrowok="t"/>
              <v:fill type="solid"/>
            </v:shape>
            <v:shape style="position:absolute;left:16776;top:3979;width:61;height:45" coordorigin="16777,3980" coordsize="61,45" path="m16786,3980l16777,3989,16838,4024,16838,4010,16786,3980xe" filled="true" fillcolor="#d2ced0" stroked="false">
              <v:path arrowok="t"/>
              <v:fill type="solid"/>
            </v:shape>
            <v:shape style="position:absolute;left:16818;top:3915;width:20;height:12" coordorigin="16819,3915" coordsize="20,12" path="m16838,3915l16819,3915,16838,3926,16838,3915xe" filled="true" fillcolor="#d1ced2" stroked="false">
              <v:path arrowok="t"/>
              <v:fill type="solid"/>
            </v:shape>
            <v:shape style="position:absolute;left:16617;top:3604;width:221;height:311" coordorigin="16617,3604" coordsize="221,311" path="m16838,3912l16626,3790,16617,3799,16819,3915,16838,3915,16838,3912m16838,3815l16688,3728,16679,3737,16838,3829,16838,3815m16838,3717l16750,3666,16741,3675,16838,3731,16838,3717m16838,3619l16812,3604,16803,3614,16838,3634,16838,3619e" filled="true" fillcolor="#cccacd" stroked="false">
              <v:path arrowok="t"/>
              <v:fill type="solid"/>
            </v:shape>
            <v:shape style="position:absolute;left:11451;top:3297;width:3578;height:3578" coordorigin="11452,3298" coordsize="3578,3578" path="m13241,3298l11452,5087,13241,6876,15029,5087,13241,3298xe" filled="false" stroked="true" strokeweight=".75pt" strokecolor="#aebd37">
              <v:path arrowok="t"/>
              <v:stroke dashstyle="solid"/>
            </v:shape>
            <v:shape style="position:absolute;left:9516;top:1362;width:3578;height:3578" coordorigin="9516,1363" coordsize="3578,3578" path="m11305,1363l9516,3152,11305,4941,13094,3152,11305,1363xe" filled="false" stroked="true" strokeweight=".75pt" strokecolor="#6f2770">
              <v:path arrowok="t"/>
              <v:stroke dashstyle="solid"/>
            </v:shape>
            <v:shape style="position:absolute;left:9516;top:5233;width:3578;height:3578" coordorigin="9516,5233" coordsize="3578,3578" path="m11305,5233l9516,7022,11305,8811,13094,7022,11305,5233xe" filled="false" stroked="true" strokeweight=".75pt" strokecolor="#5d883c">
              <v:path arrowok="t"/>
              <v:stroke dashstyle="solid"/>
            </v:shape>
            <v:shape style="position:absolute;left:7581;top:7168;width:3578;height:3578" coordorigin="7581,7168" coordsize="3578,3578" path="m9370,7168l7581,8957,9370,10746,11159,8957,9370,7168xe" filled="false" stroked="true" strokeweight=".75pt" strokecolor="#360f41">
              <v:path arrowok="t"/>
              <v:stroke dashstyle="solid"/>
            </v:shape>
            <v:shape style="position:absolute;left:5734;top:1450;width:3402;height:3402" coordorigin="5734,1451" coordsize="3402,3402" path="m7435,1451l5734,3152,7435,4853,9136,3152,7435,1451xe" filled="true" fillcolor="#ffffff" stroked="false">
              <v:path arrowok="t"/>
              <v:fill type="solid"/>
            </v:shape>
            <v:shape style="position:absolute;left:7581;top:3297;width:3578;height:3578" coordorigin="7581,3298" coordsize="3578,3578" path="m9370,3298l7581,5087,9370,6876,11159,5087,9370,3298xe" filled="false" stroked="true" strokeweight=".75pt" strokecolor="#939598">
              <v:path arrowok="t"/>
              <v:stroke dashstyle="solid"/>
            </v:shape>
            <v:shape style="position:absolute;left:9259;top:6371;width:226;height:231" type="#_x0000_t75" stroked="false">
              <v:imagedata r:id="rId32" o:title=""/>
            </v:shape>
            <v:shape style="position:absolute;left:13130;top:6370;width:226;height:231" type="#_x0000_t75" stroked="false">
              <v:imagedata r:id="rId32" o:title=""/>
            </v:shape>
            <v:shape style="position:absolute;left:9260;top:10241;width:226;height:231" type="#_x0000_t75" stroked="false">
              <v:imagedata r:id="rId32" o:title=""/>
            </v:shape>
            <v:shape style="position:absolute;left:11196;top:4435;width:226;height:231" type="#_x0000_t75" stroked="false">
              <v:imagedata r:id="rId32" o:title=""/>
            </v:shape>
            <v:shape style="position:absolute;left:11195;top:8305;width:226;height:231" type="#_x0000_t75" stroked="false">
              <v:imagedata r:id="rId32" o:title=""/>
            </v:shape>
            <v:shape style="position:absolute;left:7325;top:8305;width:226;height:231" type="#_x0000_t75" stroked="false">
              <v:imagedata r:id="rId32" o:title=""/>
            </v:shape>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shape style="position:absolute;left:11450;top:7612;width:1807;height:2710" coordorigin="11450,7612" coordsize="1807,2710" path="m12354,8967l11902,8515,11450,8967,11902,9418,12354,8967m13257,9870l12805,9418,12354,9870,12805,10322,13257,9870m13257,8967l12805,8515,12354,8967,11902,9418,12354,9870,12805,9418,13257,8967m13257,8064l12805,7612,12354,8064,12805,8515,13257,8064e" filled="true" fillcolor="#ffffff" stroked="false">
              <v:path arrowok="t"/>
              <v:fill type="solid"/>
            </v:shape>
            <v:shape style="position:absolute;left:11450;top:8515;width:904;height:904" coordorigin="11450,8515" coordsize="904,904" path="m11902,8515l11450,8967,11902,9418,12354,8967,11902,8515xe" filled="true" fillcolor="#d5dcc7" stroked="false">
              <v:path arrowok="t"/>
              <v:fill type="solid"/>
            </v:shape>
            <v:shape style="position:absolute;left:11902;top:8966;width:904;height:904" coordorigin="11902,8967" coordsize="904,904" path="m12354,8967l11902,9418,12354,9870,12805,9418,12354,8967xe" filled="true" fillcolor="#e8e9c9" stroked="false">
              <v:path arrowok="t"/>
              <v:fill type="solid"/>
            </v:shape>
            <v:shape style="position:absolute;left:12353;top:7612;width:904;height:2710" coordorigin="12354,7612" coordsize="904,2710" path="m13257,9870l12805,9418,12354,9870,12805,10322,13257,9870m13257,8064l12805,7612,12354,8064,12805,8515,13257,8064e" filled="true" fillcolor="#efeeeb" stroked="false">
              <v:path arrowok="t"/>
              <v:fill type="solid"/>
            </v:shape>
            <v:shape style="position:absolute;left:12353;top:8515;width:904;height:904" coordorigin="12354,8515" coordsize="904,904" path="m12805,8515l12354,8967,12805,9418,13257,8967,12805,8515xe" filled="true" fillcolor="#c0aac2" stroked="false">
              <v:path arrowok="t"/>
              <v:fill type="solid"/>
            </v:shape>
            <v:shape style="position:absolute;left:5646;top:5233;width:3578;height:3578" coordorigin="5646,5233" coordsize="3578,3578" path="m7435,5233l5646,7022,7435,8811,9224,7022,7435,5233xe" filled="false" stroked="true" strokeweight=".75pt" strokecolor="#bbbcbb">
              <v:path arrowok="t"/>
              <v:stroke dashstyle="solid"/>
            </v:shape>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rect style="position:absolute;left:9621;top:0;width:2406;height:851" filled="true" fillcolor="#bec85c" stroked="false">
              <v:fill type="solid"/>
            </v:rect>
            <v:rect style="position:absolute;left:12026;top:0;width:2406;height:851" filled="true" fillcolor="#b6c247" stroked="false">
              <v:fill type="solid"/>
            </v:rect>
            <v:rect style="position:absolute;left:14432;top:0;width:2406;height:851" filled="true" fillcolor="#aebd37" stroked="false">
              <v:fill type="solid"/>
            </v:rect>
            <v:shape style="position:absolute;left:15424;top:1075;width:900;height:904" coordorigin="15424,1076" coordsize="900,904" path="m15874,1076l15424,1526,15424,1529,15874,1979,16324,1529,16324,1526,15874,1076xe" filled="true" fillcolor="#c4cd71" stroked="false">
              <v:path arrowok="t"/>
              <v:fill type="solid"/>
            </v:shape>
            <v:shape style="position:absolute;left:15263;top:1366;width:161;height:322" type="#_x0000_t75" stroked="false">
              <v:imagedata r:id="rId16" o:title=""/>
            </v:shape>
            <v:shape style="position:absolute;left:16324;top:1366;width:161;height:322" type="#_x0000_t75" stroked="false">
              <v:imagedata r:id="rId11" o:title=""/>
            </v:shape>
            <w10:wrap type="none"/>
          </v:group>
        </w:pict>
      </w:r>
      <w:r>
        <w:rPr/>
        <w:pict>
          <v:group style="position:absolute;margin-left:0pt;margin-top:555.726379pt;width:39.550pt;height:39.550pt;mso-position-horizontal-relative:page;mso-position-vertical-relative:page;z-index:2224" coordorigin="0,11115" coordsize="791,791">
            <v:shape style="position:absolute;left:0;top:11114;width:360;height:581" coordorigin="0,11115" coordsize="360,581" path="m360,11474l0,11115,0,11555,139,11695,360,11474e" filled="true" fillcolor="#5d883c" stroked="false">
              <v:path arrowok="t"/>
              <v:fill type="solid"/>
            </v:shape>
            <v:shape style="position:absolute;left:139;top:11474;width:652;height:432" coordorigin="139,11474" coordsize="652,432" path="m791,11906l360,11474,139,11695,350,11906,791,11906e" filled="true" fillcolor="#4f743b" stroked="false">
              <v:path arrowok="t"/>
              <v:fill type="solid"/>
            </v:shape>
            <v:shape style="position:absolute;left:0;top:11555;width:351;height:351" type="#_x0000_t75" stroked="false">
              <v:imagedata r:id="rId33" o:title=""/>
            </v:shape>
            <w10:wrap type="none"/>
          </v:group>
        </w:pict>
      </w:r>
    </w:p>
    <w:p>
      <w:pPr>
        <w:pStyle w:val="BodyText"/>
        <w:spacing w:line="249" w:lineRule="auto" w:before="107"/>
        <w:ind w:left="8125" w:right="6220" w:hanging="1"/>
        <w:jc w:val="center"/>
      </w:pPr>
      <w:hyperlink w:history="true" w:anchor="_bookmark11">
        <w:r>
          <w:rPr/>
          <w:t>Provide policy and regulatory advice on the delivery</w:t>
        </w:r>
        <w:r>
          <w:rPr>
            <w:spacing w:val="-34"/>
          </w:rPr>
          <w:t> </w:t>
        </w:r>
        <w:r>
          <w:rPr/>
          <w:t>of</w:t>
        </w:r>
        <w:r>
          <w:rPr>
            <w:spacing w:val="-34"/>
          </w:rPr>
          <w:t> </w:t>
        </w:r>
        <w:r>
          <w:rPr/>
          <w:t>energy</w:t>
        </w:r>
        <w:r>
          <w:rPr>
            <w:spacing w:val="-34"/>
          </w:rPr>
          <w:t> </w:t>
        </w:r>
        <w:r>
          <w:rPr>
            <w:spacing w:val="-3"/>
          </w:rPr>
          <w:t>supplies </w:t>
        </w:r>
        <w:r>
          <w:rPr/>
          <w:t>and</w:t>
        </w:r>
        <w:r>
          <w:rPr>
            <w:spacing w:val="-5"/>
          </w:rPr>
          <w:t> </w:t>
        </w:r>
        <w:r>
          <w:rPr/>
          <w:t>services</w:t>
        </w:r>
      </w:hyperlink>
    </w:p>
    <w:p>
      <w:pPr>
        <w:spacing w:after="0" w:line="249" w:lineRule="auto"/>
        <w:jc w:val="center"/>
        <w:sectPr>
          <w:type w:val="continuous"/>
          <w:pgSz w:w="16840" w:h="11910" w:orient="landscape"/>
          <w:pgMar w:top="0" w:bottom="0" w:left="0" w:right="0"/>
        </w:sectPr>
      </w:pPr>
    </w:p>
    <w:p>
      <w:pPr>
        <w:pStyle w:val="BodyText"/>
        <w:rPr>
          <w:sz w:val="20"/>
        </w:rPr>
      </w:pPr>
      <w:bookmarkStart w:name="_bookmark3" w:id="4"/>
      <w:bookmarkEnd w:id="4"/>
      <w:r>
        <w:rPr/>
      </w:r>
      <w:r>
        <w:rPr>
          <w:sz w:val="20"/>
        </w:rPr>
        <w:pict>
          <v:group style="width:360.85pt;height:42.55pt;mso-position-horizontal-relative:char;mso-position-vertical-relative:line" coordorigin="0,0" coordsize="7217,851">
            <v:rect style="position:absolute;left:0;top:0;width:2406;height:851" filled="true" fillcolor="#aebd37" stroked="false">
              <v:fill type="solid"/>
            </v:rect>
            <v:rect style="position:absolute;left:2405;top:0;width:2406;height:851" filled="true" fillcolor="#e6e7e8" stroked="false">
              <v:fill type="solid"/>
            </v:rect>
            <v:shape style="position:absolute;left:2405;top:0;width:583;height:583" type="#_x0000_t75" stroked="false">
              <v:imagedata r:id="rId18" o:title=""/>
            </v:shape>
            <v:shape style="position:absolute;left:0;top:0;width:4811;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shape style="position:absolute;left:4810;top:0;width:2406;height:851" type="#_x0000_t202" filled="true" fillcolor="#bec85c" stroked="false">
              <v:textbox inset="0,0,0,0">
                <w:txbxContent>
                  <w:p>
                    <w:pPr>
                      <w:spacing w:line="249" w:lineRule="auto" w:before="182"/>
                      <w:ind w:left="472"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0;width:2406;height:851" type="#_x0000_t202" filled="false"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6F2770"/>
                          <w:sz w:val="20"/>
                        </w:rPr>
                        <w:t>OVER</w:t>
                      </w:r>
                    </w:hyperlink>
                    <w:hyperlink w:history="true" w:anchor="_bookmark1">
                      <w:r>
                        <w:rPr>
                          <w:color w:val="6F2770"/>
                          <w:sz w:val="20"/>
                        </w:rPr>
                        <w:t>VIEW</w:t>
                      </w:r>
                    </w:hyperlink>
                  </w:p>
                </w:txbxContent>
              </v:textbox>
              <w10:wrap type="none"/>
            </v:shape>
          </v:group>
        </w:pict>
      </w:r>
      <w:r>
        <w:rPr>
          <w:sz w:val="20"/>
        </w:rPr>
      </w:r>
    </w:p>
    <w:p>
      <w:pPr>
        <w:pStyle w:val="BodyText"/>
        <w:rPr>
          <w:sz w:val="20"/>
        </w:rPr>
      </w:pPr>
    </w:p>
    <w:p>
      <w:pPr>
        <w:pStyle w:val="BodyText"/>
        <w:spacing w:before="9"/>
        <w:rPr>
          <w:sz w:val="18"/>
        </w:rPr>
      </w:pPr>
    </w:p>
    <w:p>
      <w:pPr>
        <w:pStyle w:val="Heading1"/>
        <w:spacing w:before="93"/>
      </w:pPr>
      <w:r>
        <w:rPr/>
        <w:pict>
          <v:group style="position:absolute;margin-left:360.811798pt;margin-top:-67.324211pt;width:481.1pt;height:104.75pt;mso-position-horizontal-relative:page;mso-position-vertical-relative:paragraph;z-index:2512" coordorigin="7216,-1346" coordsize="9622,2095">
            <v:shape style="position:absolute;left:14419;top:-1347;width:1455;height:1745" coordorigin="14419,-1346" coordsize="1455,1745" path="m15219,-1346l15194,-1346,14935,-1197,14901,-1163,15219,-1346m15356,-1346l15331,-1346,14748,-1010,14714,-976,15356,-1346m15492,-1346l15467,-1346,14562,-824,14527,-789,15492,-1346m15629,-1346l15604,-1346,14419,-662,14428,-653,15629,-1346m15766,-1346l15741,-1346,14469,-612,14478,-603,15766,-1346m15874,155l15470,388,15479,398,15874,170,15874,155m15874,76l15420,338,15429,348,15874,91,15874,76m15874,-3l15370,288,15379,297,15874,12,15874,-3m15874,-82l15320,238,15329,247,15874,-67,15874,-82m15874,-161l15270,188,15279,197,15874,-146,15874,-161m15874,-240l15220,138,15229,147,15874,-225,15874,-240m15874,-318l15170,88,15179,97,15874,-304,15874,-318m15874,-397l15120,38,15129,47,15874,-383,15874,-397m15874,-476l15070,-12,15079,-3,15874,-462,15874,-476m15874,-555l15020,-62,15029,-53,15874,-541,15874,-555m15874,-713l14920,-162,14929,-153,15874,-699,15874,-713m15874,-792l14870,-212,14879,-203,15874,-778,15874,-792m15874,-871l14819,-262,14829,-253,15874,-856,15874,-871m15874,-950l14769,-312,14779,-303,15874,-935,15874,-950m15874,-1029l14719,-362,14729,-353,15874,-1014,15874,-1029m15874,-1108l14669,-412,14679,-403,15874,-1093,15874,-1108m15874,-1187l14619,-462,14628,-453,15874,-1172,15874,-1187m15874,-1345l14519,-562,14528,-553,15874,-1330,15874,-1345m15874,-634l14970,-112,14979,-103,15874,-620,15874,-634m15874,-1266l14569,-512,14578,-503,15874,-1251,15874,-1266e" filled="true" fillcolor="#cdcccd" stroked="false">
              <v:path arrowok="t"/>
              <v:fill type="solid"/>
            </v:shape>
            <v:shape style="position:absolute;left:15520;top:234;width:354;height:514" type="#_x0000_t75" stroked="false">
              <v:imagedata r:id="rId19" o:title=""/>
            </v:shape>
            <v:shape style="position:absolute;left:15874;top:-1347;width:338;height:196" type="#_x0000_t75" stroked="false">
              <v:imagedata r:id="rId20" o:title=""/>
            </v:shape>
            <v:shape style="position:absolute;left:15874;top:-1347;width:964;height:1932" coordorigin="15874,-1346" coordsize="964,1932" path="m16349,-1346l16339,-1346,15874,-1078,15874,-1072,16349,-1346m16378,288l15874,579,15874,585,16365,302,16378,288m16486,-1346l16476,-1346,15874,-999,15874,-993,16486,-1346m16565,101l15874,500,15874,506,16551,115,16565,101m16622,-1346l16612,-1346,15874,-920,15874,-915,16622,-1346m16699,-1312l16695,-1315,15874,-841,15874,-836,16699,-1312m16749,-1262l16745,-1265,15874,-762,15874,-757,16749,-1262m16752,-85l15874,421,15874,427,16738,-72,16752,-85m16799,-1212l16795,-1215,15874,-684,15874,-678,16799,-1212m16838,-214l15874,343,15874,348,16838,-208,16838,-214m16838,-293l15874,264,15874,269,16838,-287,16838,-293m16838,-372l15874,185,15874,190,16838,-366,16838,-372m16838,-451l15874,106,15874,112,16838,-445,16838,-451m16838,-530l15874,27,15874,33,16838,-524,16838,-530m16838,-608l15874,-52,15874,-46,16838,-603,16838,-608m16838,-687l15874,-131,15874,-125,16838,-682,16838,-687m16838,-766l15874,-210,15874,-204,16838,-761,16838,-766m16838,-845l15874,-289,15874,-283,16838,-839,16838,-845m16838,-924l15874,-368,15874,-362,16838,-918,16838,-924m16838,-1003l15874,-447,15874,-441,16838,-997,16838,-1003m16838,-1082l15874,-526,15874,-520,16838,-1076,16838,-1082m16838,-1161l15874,-605,15874,-599,16838,-1155,16838,-1161e" filled="true" fillcolor="#cdcccd" stroked="false">
              <v:path arrowok="t"/>
              <v:fill type="solid"/>
            </v:shape>
            <v:shape style="position:absolute;left:15874;top:474;width:318;height:269" type="#_x0000_t75" stroked="false">
              <v:imagedata r:id="rId21" o:title=""/>
            </v:shape>
            <v:shape style="position:absolute;left:13676;top:-974;width:904;height:904" coordorigin="13677,-974" coordsize="904,904" path="m14128,-974l13677,-522,14128,-71,14580,-522,14128,-974xe" filled="true" fillcolor="#ffffff" stroked="false">
              <v:path arrowok="t"/>
              <v:fill type="solid"/>
            </v:shape>
            <v:shape style="position:absolute;left:13225;top:-523;width:904;height:904" coordorigin="13225,-522" coordsize="904,904" path="m13677,-522l13225,-71,13677,381,14128,-71,13677,-522xe" filled="true" fillcolor="#e8e9c9" stroked="false">
              <v:path arrowok="t"/>
              <v:fill type="solid"/>
            </v:shape>
            <v:shape style="position:absolute;left:11870;top:-974;width:2710;height:904" coordorigin="11870,-974" coordsize="2710,904" path="m12774,-522l12322,-974,11870,-522,12322,-71,12774,-522m14580,-522l14128,-974,13677,-522,14128,-71,14580,-522e" filled="true" fillcolor="#efeeeb" stroked="false">
              <v:path arrowok="t"/>
              <v:fill type="solid"/>
            </v:shape>
            <v:shape style="position:absolute;left:12773;top:-974;width:904;height:904" coordorigin="12774,-974" coordsize="904,904" path="m13225,-974l12774,-522,13225,-71,13677,-522,13225,-974xe" filled="true" fillcolor="#c0aac2" stroked="false">
              <v:path arrowok="t"/>
              <v:fill type="solid"/>
            </v:shape>
            <v:shape style="position:absolute;left:15424;top:-271;width:900;height:904" coordorigin="15424,-271" coordsize="900,904" path="m15874,-271l15424,179,15424,182,15874,632,16324,182,16324,179,15874,-271xe" filled="true" fillcolor="#c4cd71" stroked="false">
              <v:path arrowok="t"/>
              <v:fill type="solid"/>
            </v:shape>
            <v:shape style="position:absolute;left:15422;top:179;width:2;height:4" coordorigin="15423,179" coordsize="2,4" path="m15424,179l15423,181,15424,182,15424,179xe" filled="true" fillcolor="#b9c369" stroked="false">
              <v:path arrowok="t"/>
              <v:fill type="solid"/>
            </v:shape>
            <v:shape style="position:absolute;left:16324;top:179;width:2;height:4" coordorigin="16324,179" coordsize="2,4" path="m16324,179l16324,182,16326,181,16324,179xe" filled="true" fillcolor="#bec29e" stroked="false">
              <v:path arrowok="t"/>
              <v:fill type="solid"/>
            </v:shape>
            <v:rect style="position:absolute;left:9621;top:-1347;width:2406;height:851" filled="true" fillcolor="#bec85c" stroked="false">
              <v:fill type="solid"/>
            </v:rect>
            <v:rect style="position:absolute;left:12026;top:-1347;width:2406;height:851" filled="true" fillcolor="#b6c247" stroked="false">
              <v:fill type="solid"/>
            </v:rect>
            <v:rect style="position:absolute;left:14432;top:-1347;width:2406;height:851" filled="true" fillcolor="#aebd37" stroked="false">
              <v:fill type="solid"/>
            </v:rect>
            <v:shape style="position:absolute;left:15263;top:19;width:161;height:322" type="#_x0000_t75" stroked="false">
              <v:imagedata r:id="rId16" o:title=""/>
            </v:shape>
            <v:shape style="position:absolute;left:16324;top:19;width:161;height:322" type="#_x0000_t75" stroked="false">
              <v:imagedata r:id="rId11" o:title=""/>
            </v:shape>
            <v:shape style="position:absolute;left:15168;top:-1044;width:954;height:237" type="#_x0000_t202" filled="false" stroked="false">
              <v:textbox inset="0,0,0,0">
                <w:txbxContent>
                  <w:p>
                    <w:pPr>
                      <w:spacing w:before="6"/>
                      <w:ind w:left="0" w:right="0" w:firstLine="0"/>
                      <w:jc w:val="left"/>
                      <w:rPr>
                        <w:sz w:val="20"/>
                      </w:rPr>
                    </w:pPr>
                    <w:hyperlink w:history="true" w:anchor="_bookmark73">
                      <w:r>
                        <w:rPr>
                          <w:color w:val="FFFFFF"/>
                          <w:w w:val="90"/>
                          <w:sz w:val="20"/>
                        </w:rPr>
                        <w:t>APPENDIX</w:t>
                      </w:r>
                    </w:hyperlink>
                  </w:p>
                </w:txbxContent>
              </v:textbox>
              <w10:wrap type="none"/>
            </v:shape>
            <v:shape style="position:absolute;left:15585;top:0;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2026;top:-1347;width:2406;height:851" type="#_x0000_t202" filled="false"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1347;width:2406;height:851"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v:shape style="position:absolute;left:7216;top:-1347;width:2406;height:851"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10:wrap type="none"/>
          </v:group>
        </w:pict>
      </w:r>
      <w:r>
        <w:rPr>
          <w:color w:val="6F2770"/>
        </w:rPr>
        <w:t>Executive Summary</w:t>
      </w:r>
    </w:p>
    <w:p>
      <w:pPr>
        <w:pStyle w:val="BodyText"/>
        <w:spacing w:before="7"/>
        <w:rPr>
          <w:sz w:val="29"/>
        </w:rPr>
      </w:pPr>
    </w:p>
    <w:p>
      <w:pPr>
        <w:pStyle w:val="Heading4"/>
        <w:spacing w:line="249" w:lineRule="auto" w:before="111"/>
        <w:ind w:left="762" w:right="819"/>
      </w:pPr>
      <w:r>
        <w:rPr>
          <w:color w:val="6F2770"/>
          <w:spacing w:val="-3"/>
        </w:rPr>
        <w:t>Our</w:t>
      </w:r>
      <w:r>
        <w:rPr>
          <w:color w:val="6F2770"/>
          <w:spacing w:val="-39"/>
        </w:rPr>
        <w:t> </w:t>
      </w:r>
      <w:r>
        <w:rPr>
          <w:color w:val="6F2770"/>
          <w:spacing w:val="-5"/>
        </w:rPr>
        <w:t>strength</w:t>
      </w:r>
      <w:r>
        <w:rPr>
          <w:color w:val="6F2770"/>
          <w:spacing w:val="-39"/>
        </w:rPr>
        <w:t> </w:t>
      </w:r>
      <w:r>
        <w:rPr>
          <w:color w:val="6F2770"/>
        </w:rPr>
        <w:t>is</w:t>
      </w:r>
      <w:r>
        <w:rPr>
          <w:color w:val="6F2770"/>
          <w:spacing w:val="-39"/>
        </w:rPr>
        <w:t> </w:t>
      </w:r>
      <w:r>
        <w:rPr>
          <w:color w:val="6F2770"/>
        </w:rPr>
        <w:t>in</w:t>
      </w:r>
      <w:r>
        <w:rPr>
          <w:color w:val="6F2770"/>
          <w:spacing w:val="-39"/>
        </w:rPr>
        <w:t> </w:t>
      </w:r>
      <w:r>
        <w:rPr>
          <w:color w:val="6F2770"/>
          <w:spacing w:val="-3"/>
        </w:rPr>
        <w:t>our</w:t>
      </w:r>
      <w:r>
        <w:rPr>
          <w:color w:val="6F2770"/>
          <w:spacing w:val="-38"/>
        </w:rPr>
        <w:t> </w:t>
      </w:r>
      <w:r>
        <w:rPr>
          <w:color w:val="6F2770"/>
          <w:spacing w:val="-4"/>
        </w:rPr>
        <w:t>diversity</w:t>
      </w:r>
      <w:r>
        <w:rPr>
          <w:color w:val="6F2770"/>
          <w:spacing w:val="-39"/>
        </w:rPr>
        <w:t> </w:t>
      </w:r>
      <w:r>
        <w:rPr>
          <w:color w:val="6F2770"/>
          <w:spacing w:val="-3"/>
        </w:rPr>
        <w:t>and</w:t>
      </w:r>
      <w:r>
        <w:rPr>
          <w:color w:val="6F2770"/>
          <w:spacing w:val="-39"/>
        </w:rPr>
        <w:t> </w:t>
      </w:r>
      <w:r>
        <w:rPr>
          <w:color w:val="6F2770"/>
        </w:rPr>
        <w:t>in</w:t>
      </w:r>
      <w:r>
        <w:rPr>
          <w:color w:val="6F2770"/>
          <w:spacing w:val="-39"/>
        </w:rPr>
        <w:t> </w:t>
      </w:r>
      <w:r>
        <w:rPr>
          <w:color w:val="6F2770"/>
          <w:spacing w:val="-3"/>
        </w:rPr>
        <w:t>our</w:t>
      </w:r>
      <w:r>
        <w:rPr>
          <w:color w:val="6F2770"/>
          <w:spacing w:val="-39"/>
        </w:rPr>
        <w:t> </w:t>
      </w:r>
      <w:r>
        <w:rPr>
          <w:color w:val="6F2770"/>
          <w:spacing w:val="-4"/>
        </w:rPr>
        <w:t>ability</w:t>
      </w:r>
      <w:r>
        <w:rPr>
          <w:color w:val="6F2770"/>
          <w:spacing w:val="-38"/>
        </w:rPr>
        <w:t> </w:t>
      </w:r>
      <w:r>
        <w:rPr>
          <w:color w:val="6F2770"/>
        </w:rPr>
        <w:t>to</w:t>
      </w:r>
      <w:r>
        <w:rPr>
          <w:color w:val="6F2770"/>
          <w:spacing w:val="-39"/>
        </w:rPr>
        <w:t> </w:t>
      </w:r>
      <w:r>
        <w:rPr>
          <w:color w:val="6F2770"/>
          <w:spacing w:val="-4"/>
        </w:rPr>
        <w:t>leverage</w:t>
      </w:r>
      <w:r>
        <w:rPr>
          <w:color w:val="6F2770"/>
          <w:spacing w:val="-39"/>
        </w:rPr>
        <w:t> </w:t>
      </w:r>
      <w:r>
        <w:rPr>
          <w:color w:val="6F2770"/>
          <w:spacing w:val="-4"/>
        </w:rPr>
        <w:t>whole-of-government</w:t>
      </w:r>
      <w:r>
        <w:rPr>
          <w:color w:val="6F2770"/>
          <w:spacing w:val="-39"/>
        </w:rPr>
        <w:t> </w:t>
      </w:r>
      <w:r>
        <w:rPr>
          <w:color w:val="6F2770"/>
          <w:spacing w:val="-4"/>
        </w:rPr>
        <w:t>insights</w:t>
      </w:r>
      <w:r>
        <w:rPr>
          <w:color w:val="6F2770"/>
          <w:spacing w:val="-39"/>
        </w:rPr>
        <w:t> </w:t>
      </w:r>
      <w:r>
        <w:rPr>
          <w:color w:val="6F2770"/>
        </w:rPr>
        <w:t>to</w:t>
      </w:r>
      <w:r>
        <w:rPr>
          <w:color w:val="6F2770"/>
          <w:spacing w:val="-38"/>
        </w:rPr>
        <w:t> </w:t>
      </w:r>
      <w:r>
        <w:rPr>
          <w:color w:val="6F2770"/>
          <w:spacing w:val="-5"/>
        </w:rPr>
        <w:t>provide </w:t>
      </w:r>
      <w:r>
        <w:rPr>
          <w:color w:val="6F2770"/>
          <w:spacing w:val="-9"/>
        </w:rPr>
        <w:t>timely,</w:t>
      </w:r>
      <w:r>
        <w:rPr>
          <w:color w:val="6F2770"/>
          <w:spacing w:val="-44"/>
        </w:rPr>
        <w:t> </w:t>
      </w:r>
      <w:r>
        <w:rPr>
          <w:color w:val="6F2770"/>
          <w:spacing w:val="-4"/>
        </w:rPr>
        <w:t>accurate</w:t>
      </w:r>
      <w:r>
        <w:rPr>
          <w:color w:val="6F2770"/>
          <w:spacing w:val="-43"/>
        </w:rPr>
        <w:t> </w:t>
      </w:r>
      <w:r>
        <w:rPr>
          <w:color w:val="6F2770"/>
          <w:spacing w:val="-4"/>
        </w:rPr>
        <w:t>advice</w:t>
      </w:r>
      <w:r>
        <w:rPr>
          <w:color w:val="6F2770"/>
          <w:spacing w:val="-43"/>
        </w:rPr>
        <w:t> </w:t>
      </w:r>
      <w:r>
        <w:rPr>
          <w:color w:val="6F2770"/>
          <w:spacing w:val="-3"/>
        </w:rPr>
        <w:t>that</w:t>
      </w:r>
      <w:r>
        <w:rPr>
          <w:color w:val="6F2770"/>
          <w:spacing w:val="-43"/>
        </w:rPr>
        <w:t> </w:t>
      </w:r>
      <w:r>
        <w:rPr>
          <w:color w:val="6F2770"/>
          <w:spacing w:val="-4"/>
        </w:rPr>
        <w:t>ultimately</w:t>
      </w:r>
      <w:r>
        <w:rPr>
          <w:color w:val="6F2770"/>
          <w:spacing w:val="-43"/>
        </w:rPr>
        <w:t> </w:t>
      </w:r>
      <w:r>
        <w:rPr>
          <w:color w:val="6F2770"/>
          <w:spacing w:val="-4"/>
        </w:rPr>
        <w:t>delivers</w:t>
      </w:r>
      <w:r>
        <w:rPr>
          <w:color w:val="6F2770"/>
          <w:spacing w:val="-44"/>
        </w:rPr>
        <w:t> </w:t>
      </w:r>
      <w:r>
        <w:rPr>
          <w:color w:val="6F2770"/>
          <w:spacing w:val="-6"/>
        </w:rPr>
        <w:t>value-for-money</w:t>
      </w:r>
      <w:r>
        <w:rPr>
          <w:color w:val="6F2770"/>
          <w:spacing w:val="-43"/>
        </w:rPr>
        <w:t> </w:t>
      </w:r>
      <w:r>
        <w:rPr>
          <w:color w:val="6F2770"/>
          <w:spacing w:val="-4"/>
        </w:rPr>
        <w:t>outcomes</w:t>
      </w:r>
      <w:r>
        <w:rPr>
          <w:color w:val="6F2770"/>
          <w:spacing w:val="-43"/>
        </w:rPr>
        <w:t> </w:t>
      </w:r>
      <w:r>
        <w:rPr>
          <w:color w:val="6F2770"/>
          <w:spacing w:val="-3"/>
        </w:rPr>
        <w:t>for</w:t>
      </w:r>
      <w:r>
        <w:rPr>
          <w:color w:val="6F2770"/>
          <w:spacing w:val="-43"/>
        </w:rPr>
        <w:t> </w:t>
      </w:r>
      <w:r>
        <w:rPr>
          <w:color w:val="6F2770"/>
          <w:spacing w:val="-4"/>
        </w:rPr>
        <w:t>Western</w:t>
      </w:r>
      <w:r>
        <w:rPr>
          <w:color w:val="6F2770"/>
          <w:spacing w:val="-43"/>
        </w:rPr>
        <w:t> </w:t>
      </w:r>
      <w:r>
        <w:rPr>
          <w:color w:val="6F2770"/>
          <w:spacing w:val="-4"/>
        </w:rPr>
        <w:t>Australians.</w:t>
      </w:r>
    </w:p>
    <w:p>
      <w:pPr>
        <w:pStyle w:val="BodyText"/>
        <w:rPr>
          <w:sz w:val="20"/>
        </w:rPr>
      </w:pPr>
    </w:p>
    <w:p>
      <w:pPr>
        <w:pStyle w:val="BodyText"/>
        <w:spacing w:before="5"/>
        <w:rPr>
          <w:sz w:val="19"/>
        </w:rPr>
      </w:pPr>
    </w:p>
    <w:p>
      <w:pPr>
        <w:spacing w:after="0"/>
        <w:rPr>
          <w:sz w:val="19"/>
        </w:rPr>
        <w:sectPr>
          <w:footerReference w:type="default" r:id="rId34"/>
          <w:pgSz w:w="16840" w:h="11910" w:orient="landscape"/>
          <w:pgMar w:footer="448" w:header="0" w:top="0" w:bottom="640" w:left="0" w:right="0"/>
        </w:sectPr>
      </w:pPr>
    </w:p>
    <w:p>
      <w:pPr>
        <w:pStyle w:val="BodyText"/>
        <w:spacing w:before="106"/>
        <w:ind w:left="935"/>
      </w:pPr>
      <w:r>
        <w:rPr/>
        <w:pict>
          <v:group style="position:absolute;margin-left:38.018002pt;margin-top:-2.485419pt;width:503.65pt;height:349.3pt;mso-position-horizontal-relative:page;mso-position-vertical-relative:paragraph;z-index:-811096" coordorigin="760,-50" coordsize="10073,6986">
            <v:rect style="position:absolute;left:765;top:-45;width:10063;height:6981" filled="true" fillcolor="#c4cd71" stroked="false">
              <v:fill opacity="9830f" type="solid"/>
            </v:rect>
            <v:rect style="position:absolute;left:765;top:-45;width:10063;height:6971" filled="false" stroked="true" strokeweight=".5pt" strokecolor="#c4cd71">
              <v:stroke dashstyle="solid"/>
            </v:rect>
            <w10:wrap type="none"/>
          </v:group>
        </w:pict>
      </w:r>
      <w:r>
        <w:rPr>
          <w:spacing w:val="-3"/>
        </w:rPr>
        <w:t>Over</w:t>
      </w:r>
      <w:r>
        <w:rPr>
          <w:spacing w:val="-32"/>
        </w:rPr>
        <w:t> </w:t>
      </w:r>
      <w:r>
        <w:rPr/>
        <w:t>the</w:t>
      </w:r>
      <w:r>
        <w:rPr>
          <w:spacing w:val="-32"/>
        </w:rPr>
        <w:t> </w:t>
      </w:r>
      <w:r>
        <w:rPr>
          <w:spacing w:val="-3"/>
        </w:rPr>
        <w:t>last</w:t>
      </w:r>
      <w:r>
        <w:rPr>
          <w:spacing w:val="-32"/>
        </w:rPr>
        <w:t> </w:t>
      </w:r>
      <w:r>
        <w:rPr>
          <w:spacing w:val="-7"/>
        </w:rPr>
        <w:t>year,</w:t>
      </w:r>
      <w:r>
        <w:rPr>
          <w:spacing w:val="-32"/>
        </w:rPr>
        <w:t> </w:t>
      </w:r>
      <w:r>
        <w:rPr/>
        <w:t>the</w:t>
      </w:r>
      <w:r>
        <w:rPr>
          <w:spacing w:val="-32"/>
        </w:rPr>
        <w:t> </w:t>
      </w:r>
      <w:r>
        <w:rPr>
          <w:spacing w:val="-3"/>
        </w:rPr>
        <w:t>Department</w:t>
      </w:r>
      <w:r>
        <w:rPr>
          <w:spacing w:val="-32"/>
        </w:rPr>
        <w:t> </w:t>
      </w:r>
      <w:r>
        <w:rPr/>
        <w:t>has</w:t>
      </w:r>
      <w:r>
        <w:rPr>
          <w:spacing w:val="-32"/>
        </w:rPr>
        <w:t> </w:t>
      </w:r>
      <w:r>
        <w:rPr>
          <w:spacing w:val="-3"/>
        </w:rPr>
        <w:t>successfully:</w:t>
      </w:r>
    </w:p>
    <w:p>
      <w:pPr>
        <w:pStyle w:val="BodyText"/>
        <w:spacing w:before="11"/>
        <w:rPr>
          <w:sz w:val="23"/>
        </w:rPr>
      </w:pPr>
    </w:p>
    <w:p>
      <w:pPr>
        <w:pStyle w:val="ListParagraph"/>
        <w:numPr>
          <w:ilvl w:val="0"/>
          <w:numId w:val="1"/>
        </w:numPr>
        <w:tabs>
          <w:tab w:pos="1103" w:val="left" w:leader="none"/>
        </w:tabs>
        <w:spacing w:line="249" w:lineRule="auto" w:before="0" w:after="0"/>
        <w:ind w:left="1112" w:right="207" w:hanging="177"/>
        <w:jc w:val="left"/>
        <w:rPr>
          <w:sz w:val="22"/>
        </w:rPr>
      </w:pPr>
      <w:r>
        <w:rPr>
          <w:spacing w:val="-3"/>
          <w:sz w:val="22"/>
        </w:rPr>
        <w:t>Collected over $6.8 billion </w:t>
      </w:r>
      <w:r>
        <w:rPr>
          <w:sz w:val="22"/>
        </w:rPr>
        <w:t>in </w:t>
      </w:r>
      <w:r>
        <w:rPr>
          <w:spacing w:val="-3"/>
          <w:sz w:val="22"/>
        </w:rPr>
        <w:t>State taxes and duties</w:t>
      </w:r>
      <w:r>
        <w:rPr>
          <w:spacing w:val="-27"/>
          <w:sz w:val="22"/>
        </w:rPr>
        <w:t> </w:t>
      </w:r>
      <w:r>
        <w:rPr>
          <w:sz w:val="22"/>
        </w:rPr>
        <w:t>and</w:t>
      </w:r>
      <w:r>
        <w:rPr>
          <w:spacing w:val="-26"/>
          <w:sz w:val="22"/>
        </w:rPr>
        <w:t> </w:t>
      </w:r>
      <w:r>
        <w:rPr>
          <w:spacing w:val="-4"/>
          <w:sz w:val="22"/>
        </w:rPr>
        <w:t>delivered</w:t>
      </w:r>
      <w:r>
        <w:rPr>
          <w:spacing w:val="-26"/>
          <w:sz w:val="22"/>
        </w:rPr>
        <w:t> </w:t>
      </w:r>
      <w:r>
        <w:rPr>
          <w:spacing w:val="-3"/>
          <w:sz w:val="22"/>
        </w:rPr>
        <w:t>State</w:t>
      </w:r>
      <w:r>
        <w:rPr>
          <w:spacing w:val="-26"/>
          <w:sz w:val="22"/>
        </w:rPr>
        <w:t> </w:t>
      </w:r>
      <w:r>
        <w:rPr>
          <w:spacing w:val="-3"/>
          <w:sz w:val="22"/>
        </w:rPr>
        <w:t>grants</w:t>
      </w:r>
      <w:r>
        <w:rPr>
          <w:spacing w:val="-26"/>
          <w:sz w:val="22"/>
        </w:rPr>
        <w:t> </w:t>
      </w:r>
      <w:r>
        <w:rPr>
          <w:sz w:val="22"/>
        </w:rPr>
        <w:t>and</w:t>
      </w:r>
      <w:r>
        <w:rPr>
          <w:spacing w:val="-27"/>
          <w:sz w:val="22"/>
        </w:rPr>
        <w:t> </w:t>
      </w:r>
      <w:r>
        <w:rPr>
          <w:spacing w:val="-3"/>
          <w:sz w:val="22"/>
        </w:rPr>
        <w:t>subsidies worth over $203</w:t>
      </w:r>
      <w:r>
        <w:rPr>
          <w:spacing w:val="-13"/>
          <w:sz w:val="22"/>
        </w:rPr>
        <w:t> </w:t>
      </w:r>
      <w:r>
        <w:rPr>
          <w:spacing w:val="-3"/>
          <w:sz w:val="22"/>
        </w:rPr>
        <w:t>million.</w:t>
      </w:r>
    </w:p>
    <w:p>
      <w:pPr>
        <w:pStyle w:val="BodyText"/>
        <w:spacing w:before="2"/>
        <w:rPr>
          <w:sz w:val="23"/>
        </w:rPr>
      </w:pPr>
    </w:p>
    <w:p>
      <w:pPr>
        <w:pStyle w:val="ListParagraph"/>
        <w:numPr>
          <w:ilvl w:val="0"/>
          <w:numId w:val="1"/>
        </w:numPr>
        <w:tabs>
          <w:tab w:pos="1103" w:val="left" w:leader="none"/>
        </w:tabs>
        <w:spacing w:line="249" w:lineRule="auto" w:before="0" w:after="0"/>
        <w:ind w:left="1112" w:right="169" w:hanging="177"/>
        <w:jc w:val="left"/>
        <w:rPr>
          <w:sz w:val="22"/>
        </w:rPr>
      </w:pPr>
      <w:r>
        <w:rPr>
          <w:spacing w:val="-3"/>
          <w:sz w:val="22"/>
        </w:rPr>
        <w:t>Released</w:t>
      </w:r>
      <w:r>
        <w:rPr>
          <w:spacing w:val="-27"/>
          <w:sz w:val="22"/>
        </w:rPr>
        <w:t> </w:t>
      </w:r>
      <w:r>
        <w:rPr>
          <w:sz w:val="22"/>
        </w:rPr>
        <w:t>a</w:t>
      </w:r>
      <w:r>
        <w:rPr>
          <w:spacing w:val="-27"/>
          <w:sz w:val="22"/>
        </w:rPr>
        <w:t> </w:t>
      </w:r>
      <w:r>
        <w:rPr>
          <w:spacing w:val="-3"/>
          <w:sz w:val="22"/>
        </w:rPr>
        <w:t>series</w:t>
      </w:r>
      <w:r>
        <w:rPr>
          <w:spacing w:val="-27"/>
          <w:sz w:val="22"/>
        </w:rPr>
        <w:t> </w:t>
      </w:r>
      <w:r>
        <w:rPr>
          <w:sz w:val="22"/>
        </w:rPr>
        <w:t>of</w:t>
      </w:r>
      <w:r>
        <w:rPr>
          <w:spacing w:val="-27"/>
          <w:sz w:val="22"/>
        </w:rPr>
        <w:t> </w:t>
      </w:r>
      <w:r>
        <w:rPr>
          <w:spacing w:val="-3"/>
          <w:sz w:val="22"/>
        </w:rPr>
        <w:t>90-day</w:t>
      </w:r>
      <w:r>
        <w:rPr>
          <w:spacing w:val="-27"/>
          <w:sz w:val="22"/>
        </w:rPr>
        <w:t> </w:t>
      </w:r>
      <w:r>
        <w:rPr>
          <w:spacing w:val="-4"/>
          <w:sz w:val="22"/>
        </w:rPr>
        <w:t>regulatory</w:t>
      </w:r>
      <w:r>
        <w:rPr>
          <w:spacing w:val="-27"/>
          <w:sz w:val="22"/>
        </w:rPr>
        <w:t> </w:t>
      </w:r>
      <w:r>
        <w:rPr>
          <w:spacing w:val="-3"/>
          <w:sz w:val="22"/>
        </w:rPr>
        <w:t>mapping </w:t>
      </w:r>
      <w:r>
        <w:rPr>
          <w:sz w:val="22"/>
        </w:rPr>
        <w:t>and </w:t>
      </w:r>
      <w:r>
        <w:rPr>
          <w:spacing w:val="-4"/>
          <w:sz w:val="22"/>
        </w:rPr>
        <w:t>reform projects </w:t>
      </w:r>
      <w:r>
        <w:rPr>
          <w:spacing w:val="-3"/>
          <w:sz w:val="22"/>
        </w:rPr>
        <w:t>that seek </w:t>
      </w:r>
      <w:r>
        <w:rPr>
          <w:sz w:val="22"/>
        </w:rPr>
        <w:t>to </w:t>
      </w:r>
      <w:r>
        <w:rPr>
          <w:spacing w:val="-3"/>
          <w:sz w:val="22"/>
        </w:rPr>
        <w:t>identify and </w:t>
      </w:r>
      <w:r>
        <w:rPr>
          <w:spacing w:val="-4"/>
          <w:sz w:val="22"/>
        </w:rPr>
        <w:t>reduce red </w:t>
      </w:r>
      <w:r>
        <w:rPr>
          <w:spacing w:val="-3"/>
          <w:sz w:val="22"/>
        </w:rPr>
        <w:t>tape </w:t>
      </w:r>
      <w:r>
        <w:rPr>
          <w:sz w:val="22"/>
        </w:rPr>
        <w:t>in a </w:t>
      </w:r>
      <w:r>
        <w:rPr>
          <w:spacing w:val="-3"/>
          <w:sz w:val="22"/>
        </w:rPr>
        <w:t>specific sector</w:t>
      </w:r>
      <w:r>
        <w:rPr>
          <w:spacing w:val="-43"/>
          <w:sz w:val="22"/>
        </w:rPr>
        <w:t> </w:t>
      </w:r>
      <w:r>
        <w:rPr>
          <w:spacing w:val="-3"/>
          <w:sz w:val="22"/>
        </w:rPr>
        <w:t>or</w:t>
      </w:r>
    </w:p>
    <w:p>
      <w:pPr>
        <w:pStyle w:val="BodyText"/>
        <w:spacing w:line="249" w:lineRule="auto" w:before="3"/>
        <w:ind w:left="1112" w:right="389"/>
      </w:pPr>
      <w:r>
        <w:rPr>
          <w:spacing w:val="-3"/>
        </w:rPr>
        <w:t>industry </w:t>
      </w:r>
      <w:r>
        <w:rPr/>
        <w:t>– </w:t>
      </w:r>
      <w:r>
        <w:rPr>
          <w:spacing w:val="-3"/>
        </w:rPr>
        <w:t>making </w:t>
      </w:r>
      <w:r>
        <w:rPr/>
        <w:t>it </w:t>
      </w:r>
      <w:r>
        <w:rPr>
          <w:spacing w:val="-3"/>
        </w:rPr>
        <w:t>easier </w:t>
      </w:r>
      <w:r>
        <w:rPr/>
        <w:t>for </w:t>
      </w:r>
      <w:r>
        <w:rPr>
          <w:spacing w:val="-3"/>
        </w:rPr>
        <w:t>businesses to open,</w:t>
      </w:r>
      <w:r>
        <w:rPr>
          <w:spacing w:val="-25"/>
        </w:rPr>
        <w:t> </w:t>
      </w:r>
      <w:r>
        <w:rPr>
          <w:spacing w:val="-3"/>
        </w:rPr>
        <w:t>operate</w:t>
      </w:r>
      <w:r>
        <w:rPr>
          <w:spacing w:val="-25"/>
        </w:rPr>
        <w:t> </w:t>
      </w:r>
      <w:r>
        <w:rPr/>
        <w:t>and</w:t>
      </w:r>
      <w:r>
        <w:rPr>
          <w:spacing w:val="-24"/>
        </w:rPr>
        <w:t> </w:t>
      </w:r>
      <w:r>
        <w:rPr>
          <w:spacing w:val="-4"/>
        </w:rPr>
        <w:t>grow</w:t>
      </w:r>
      <w:r>
        <w:rPr>
          <w:spacing w:val="-25"/>
        </w:rPr>
        <w:t> </w:t>
      </w:r>
      <w:r>
        <w:rPr/>
        <w:t>in</w:t>
      </w:r>
      <w:r>
        <w:rPr>
          <w:spacing w:val="-24"/>
        </w:rPr>
        <w:t> </w:t>
      </w:r>
      <w:r>
        <w:rPr>
          <w:spacing w:val="-3"/>
        </w:rPr>
        <w:t>Western</w:t>
      </w:r>
      <w:r>
        <w:rPr>
          <w:spacing w:val="-25"/>
        </w:rPr>
        <w:t> </w:t>
      </w:r>
      <w:r>
        <w:rPr>
          <w:spacing w:val="-3"/>
        </w:rPr>
        <w:t>Australia. Find </w:t>
      </w:r>
      <w:r>
        <w:rPr/>
        <w:t>out </w:t>
      </w:r>
      <w:r>
        <w:rPr>
          <w:spacing w:val="-4"/>
        </w:rPr>
        <w:t>more </w:t>
      </w:r>
      <w:r>
        <w:rPr/>
        <w:t>on </w:t>
      </w:r>
      <w:r>
        <w:rPr>
          <w:spacing w:val="-3"/>
        </w:rPr>
        <w:t>page</w:t>
      </w:r>
      <w:r>
        <w:rPr>
          <w:spacing w:val="-27"/>
        </w:rPr>
        <w:t> </w:t>
      </w:r>
      <w:hyperlink w:history="true" w:anchor="_bookmark9">
        <w:r>
          <w:rPr>
            <w:color w:val="A7BE39"/>
            <w:u w:val="single" w:color="A7BE39"/>
          </w:rPr>
          <w:t>14</w:t>
        </w:r>
      </w:hyperlink>
      <w:r>
        <w:rPr/>
        <w:t>.</w:t>
      </w:r>
    </w:p>
    <w:p>
      <w:pPr>
        <w:pStyle w:val="BodyText"/>
        <w:spacing w:before="2"/>
        <w:rPr>
          <w:sz w:val="23"/>
        </w:rPr>
      </w:pPr>
    </w:p>
    <w:p>
      <w:pPr>
        <w:pStyle w:val="ListParagraph"/>
        <w:numPr>
          <w:ilvl w:val="0"/>
          <w:numId w:val="1"/>
        </w:numPr>
        <w:tabs>
          <w:tab w:pos="1103" w:val="left" w:leader="none"/>
        </w:tabs>
        <w:spacing w:line="249" w:lineRule="auto" w:before="0" w:after="0"/>
        <w:ind w:left="1112" w:right="398" w:hanging="177"/>
        <w:jc w:val="left"/>
        <w:rPr>
          <w:sz w:val="22"/>
        </w:rPr>
      </w:pPr>
      <w:r>
        <w:rPr>
          <w:spacing w:val="-3"/>
          <w:sz w:val="22"/>
        </w:rPr>
        <w:t>Further</w:t>
      </w:r>
      <w:r>
        <w:rPr>
          <w:spacing w:val="-25"/>
          <w:sz w:val="22"/>
        </w:rPr>
        <w:t> </w:t>
      </w:r>
      <w:r>
        <w:rPr>
          <w:spacing w:val="-3"/>
          <w:sz w:val="22"/>
        </w:rPr>
        <w:t>enhanced</w:t>
      </w:r>
      <w:r>
        <w:rPr>
          <w:spacing w:val="-25"/>
          <w:sz w:val="22"/>
        </w:rPr>
        <w:t> </w:t>
      </w:r>
      <w:r>
        <w:rPr>
          <w:sz w:val="22"/>
        </w:rPr>
        <w:t>the</w:t>
      </w:r>
      <w:r>
        <w:rPr>
          <w:spacing w:val="-24"/>
          <w:sz w:val="22"/>
        </w:rPr>
        <w:t> </w:t>
      </w:r>
      <w:r>
        <w:rPr>
          <w:spacing w:val="-6"/>
          <w:sz w:val="22"/>
        </w:rPr>
        <w:t>State’s</w:t>
      </w:r>
      <w:r>
        <w:rPr>
          <w:spacing w:val="-25"/>
          <w:sz w:val="22"/>
        </w:rPr>
        <w:t> </w:t>
      </w:r>
      <w:r>
        <w:rPr>
          <w:spacing w:val="-3"/>
          <w:sz w:val="22"/>
        </w:rPr>
        <w:t>online</w:t>
      </w:r>
      <w:r>
        <w:rPr>
          <w:spacing w:val="-24"/>
          <w:sz w:val="22"/>
        </w:rPr>
        <w:t> </w:t>
      </w:r>
      <w:r>
        <w:rPr>
          <w:spacing w:val="-4"/>
          <w:sz w:val="22"/>
        </w:rPr>
        <w:t>revenue </w:t>
      </w:r>
      <w:r>
        <w:rPr>
          <w:spacing w:val="-3"/>
          <w:sz w:val="22"/>
        </w:rPr>
        <w:t>systems</w:t>
      </w:r>
      <w:r>
        <w:rPr>
          <w:spacing w:val="-25"/>
          <w:sz w:val="22"/>
        </w:rPr>
        <w:t> </w:t>
      </w:r>
      <w:r>
        <w:rPr>
          <w:sz w:val="22"/>
        </w:rPr>
        <w:t>by</w:t>
      </w:r>
      <w:r>
        <w:rPr>
          <w:spacing w:val="-25"/>
          <w:sz w:val="22"/>
        </w:rPr>
        <w:t> </w:t>
      </w:r>
      <w:r>
        <w:rPr>
          <w:spacing w:val="-3"/>
          <w:sz w:val="22"/>
        </w:rPr>
        <w:t>extending</w:t>
      </w:r>
      <w:r>
        <w:rPr>
          <w:spacing w:val="-25"/>
          <w:sz w:val="22"/>
        </w:rPr>
        <w:t> </w:t>
      </w:r>
      <w:r>
        <w:rPr>
          <w:sz w:val="22"/>
        </w:rPr>
        <w:t>the</w:t>
      </w:r>
      <w:r>
        <w:rPr>
          <w:spacing w:val="-25"/>
          <w:sz w:val="22"/>
        </w:rPr>
        <w:t> </w:t>
      </w:r>
      <w:r>
        <w:rPr>
          <w:spacing w:val="-3"/>
          <w:sz w:val="22"/>
        </w:rPr>
        <w:t>number</w:t>
      </w:r>
      <w:r>
        <w:rPr>
          <w:spacing w:val="-25"/>
          <w:sz w:val="22"/>
        </w:rPr>
        <w:t> </w:t>
      </w:r>
      <w:r>
        <w:rPr>
          <w:sz w:val="22"/>
        </w:rPr>
        <w:t>of</w:t>
      </w:r>
      <w:r>
        <w:rPr>
          <w:spacing w:val="-25"/>
          <w:sz w:val="22"/>
        </w:rPr>
        <w:t> </w:t>
      </w:r>
      <w:r>
        <w:rPr>
          <w:spacing w:val="-3"/>
          <w:sz w:val="22"/>
        </w:rPr>
        <w:t>services available. Duties lodgements </w:t>
      </w:r>
      <w:r>
        <w:rPr>
          <w:sz w:val="22"/>
        </w:rPr>
        <w:t>can</w:t>
      </w:r>
      <w:r>
        <w:rPr>
          <w:spacing w:val="-40"/>
          <w:sz w:val="22"/>
        </w:rPr>
        <w:t> </w:t>
      </w:r>
      <w:r>
        <w:rPr>
          <w:spacing w:val="-3"/>
          <w:sz w:val="22"/>
        </w:rPr>
        <w:t>now</w:t>
      </w:r>
    </w:p>
    <w:p>
      <w:pPr>
        <w:pStyle w:val="BodyText"/>
        <w:spacing w:line="249" w:lineRule="auto" w:before="3"/>
        <w:ind w:left="1112"/>
      </w:pPr>
      <w:r>
        <w:rPr/>
        <w:t>be</w:t>
      </w:r>
      <w:r>
        <w:rPr>
          <w:spacing w:val="-24"/>
        </w:rPr>
        <w:t> </w:t>
      </w:r>
      <w:r>
        <w:rPr>
          <w:spacing w:val="-3"/>
        </w:rPr>
        <w:t>completed</w:t>
      </w:r>
      <w:r>
        <w:rPr>
          <w:spacing w:val="-24"/>
        </w:rPr>
        <w:t> </w:t>
      </w:r>
      <w:r>
        <w:rPr>
          <w:spacing w:val="-3"/>
        </w:rPr>
        <w:t>online</w:t>
      </w:r>
      <w:r>
        <w:rPr>
          <w:spacing w:val="-24"/>
        </w:rPr>
        <w:t> </w:t>
      </w:r>
      <w:r>
        <w:rPr/>
        <w:t>via</w:t>
      </w:r>
      <w:r>
        <w:rPr>
          <w:spacing w:val="-24"/>
        </w:rPr>
        <w:t> </w:t>
      </w:r>
      <w:r>
        <w:rPr/>
        <w:t>a</w:t>
      </w:r>
      <w:r>
        <w:rPr>
          <w:spacing w:val="-23"/>
        </w:rPr>
        <w:t> </w:t>
      </w:r>
      <w:r>
        <w:rPr>
          <w:spacing w:val="-3"/>
        </w:rPr>
        <w:t>paperless</w:t>
      </w:r>
      <w:r>
        <w:rPr>
          <w:spacing w:val="-24"/>
        </w:rPr>
        <w:t> </w:t>
      </w:r>
      <w:r>
        <w:rPr>
          <w:spacing w:val="-4"/>
        </w:rPr>
        <w:t>process, </w:t>
      </w:r>
      <w:r>
        <w:rPr>
          <w:spacing w:val="-3"/>
        </w:rPr>
        <w:t>significantly </w:t>
      </w:r>
      <w:r>
        <w:rPr>
          <w:spacing w:val="-4"/>
        </w:rPr>
        <w:t>improving </w:t>
      </w:r>
      <w:r>
        <w:rPr>
          <w:spacing w:val="-3"/>
        </w:rPr>
        <w:t>assessment times for taxpayers.</w:t>
      </w:r>
      <w:r>
        <w:rPr>
          <w:spacing w:val="-10"/>
        </w:rPr>
        <w:t> </w:t>
      </w:r>
      <w:r>
        <w:rPr>
          <w:spacing w:val="-3"/>
        </w:rPr>
        <w:t>Find</w:t>
      </w:r>
      <w:r>
        <w:rPr>
          <w:spacing w:val="-11"/>
        </w:rPr>
        <w:t> </w:t>
      </w:r>
      <w:r>
        <w:rPr/>
        <w:t>out</w:t>
      </w:r>
      <w:r>
        <w:rPr>
          <w:spacing w:val="-10"/>
        </w:rPr>
        <w:t> </w:t>
      </w:r>
      <w:r>
        <w:rPr>
          <w:spacing w:val="-4"/>
        </w:rPr>
        <w:t>more</w:t>
      </w:r>
      <w:r>
        <w:rPr>
          <w:spacing w:val="-10"/>
        </w:rPr>
        <w:t> </w:t>
      </w:r>
      <w:r>
        <w:rPr/>
        <w:t>on</w:t>
      </w:r>
      <w:r>
        <w:rPr>
          <w:spacing w:val="-10"/>
        </w:rPr>
        <w:t> </w:t>
      </w:r>
      <w:r>
        <w:rPr>
          <w:spacing w:val="-3"/>
        </w:rPr>
        <w:t>page</w:t>
      </w:r>
      <w:r>
        <w:rPr>
          <w:spacing w:val="-10"/>
        </w:rPr>
        <w:t> </w:t>
      </w:r>
      <w:hyperlink w:history="true" w:anchor="_bookmark12">
        <w:r>
          <w:rPr>
            <w:color w:val="A7BE39"/>
            <w:u w:val="single" w:color="A7BE39"/>
          </w:rPr>
          <w:t>17</w:t>
        </w:r>
      </w:hyperlink>
      <w:r>
        <w:rPr/>
        <w:t>.</w:t>
      </w:r>
    </w:p>
    <w:p>
      <w:pPr>
        <w:pStyle w:val="BodyText"/>
        <w:spacing w:before="2"/>
        <w:rPr>
          <w:sz w:val="23"/>
        </w:rPr>
      </w:pPr>
    </w:p>
    <w:p>
      <w:pPr>
        <w:pStyle w:val="ListParagraph"/>
        <w:numPr>
          <w:ilvl w:val="0"/>
          <w:numId w:val="1"/>
        </w:numPr>
        <w:tabs>
          <w:tab w:pos="1103" w:val="left" w:leader="none"/>
        </w:tabs>
        <w:spacing w:line="249" w:lineRule="auto" w:before="0" w:after="0"/>
        <w:ind w:left="1112" w:right="332" w:hanging="177"/>
        <w:jc w:val="left"/>
        <w:rPr>
          <w:sz w:val="22"/>
        </w:rPr>
      </w:pPr>
      <w:r>
        <w:rPr>
          <w:spacing w:val="-4"/>
          <w:sz w:val="22"/>
        </w:rPr>
        <w:t>Delivered </w:t>
      </w:r>
      <w:r>
        <w:rPr>
          <w:sz w:val="22"/>
        </w:rPr>
        <w:t>key </w:t>
      </w:r>
      <w:r>
        <w:rPr>
          <w:spacing w:val="-3"/>
          <w:sz w:val="22"/>
        </w:rPr>
        <w:t>elements </w:t>
      </w:r>
      <w:r>
        <w:rPr>
          <w:sz w:val="22"/>
        </w:rPr>
        <w:t>of the </w:t>
      </w:r>
      <w:r>
        <w:rPr>
          <w:spacing w:val="-5"/>
          <w:sz w:val="22"/>
        </w:rPr>
        <w:t>Government’s </w:t>
      </w:r>
      <w:r>
        <w:rPr>
          <w:spacing w:val="-4"/>
          <w:sz w:val="22"/>
        </w:rPr>
        <w:t>non-residential</w:t>
      </w:r>
      <w:r>
        <w:rPr>
          <w:spacing w:val="-21"/>
          <w:sz w:val="22"/>
        </w:rPr>
        <w:t> </w:t>
      </w:r>
      <w:r>
        <w:rPr>
          <w:spacing w:val="-3"/>
          <w:sz w:val="22"/>
        </w:rPr>
        <w:t>capital</w:t>
      </w:r>
      <w:r>
        <w:rPr>
          <w:spacing w:val="-21"/>
          <w:sz w:val="22"/>
        </w:rPr>
        <w:t> </w:t>
      </w:r>
      <w:r>
        <w:rPr>
          <w:spacing w:val="-3"/>
          <w:sz w:val="22"/>
        </w:rPr>
        <w:t>works</w:t>
      </w:r>
      <w:r>
        <w:rPr>
          <w:spacing w:val="-21"/>
          <w:sz w:val="22"/>
        </w:rPr>
        <w:t> </w:t>
      </w:r>
      <w:r>
        <w:rPr>
          <w:spacing w:val="-4"/>
          <w:sz w:val="22"/>
        </w:rPr>
        <w:t>program</w:t>
      </w:r>
      <w:r>
        <w:rPr>
          <w:spacing w:val="-20"/>
          <w:sz w:val="22"/>
        </w:rPr>
        <w:t> </w:t>
      </w:r>
      <w:r>
        <w:rPr>
          <w:spacing w:val="-3"/>
          <w:sz w:val="22"/>
        </w:rPr>
        <w:t>on-time </w:t>
      </w:r>
      <w:r>
        <w:rPr>
          <w:sz w:val="22"/>
        </w:rPr>
        <w:t>and </w:t>
      </w:r>
      <w:r>
        <w:rPr>
          <w:spacing w:val="-3"/>
          <w:sz w:val="22"/>
        </w:rPr>
        <w:t>on-budget, including </w:t>
      </w:r>
      <w:r>
        <w:rPr>
          <w:sz w:val="22"/>
        </w:rPr>
        <w:t>new </w:t>
      </w:r>
      <w:r>
        <w:rPr>
          <w:spacing w:val="-3"/>
          <w:sz w:val="22"/>
        </w:rPr>
        <w:t>high schools, police</w:t>
      </w:r>
      <w:r>
        <w:rPr>
          <w:spacing w:val="-15"/>
          <w:sz w:val="22"/>
        </w:rPr>
        <w:t> </w:t>
      </w:r>
      <w:r>
        <w:rPr>
          <w:spacing w:val="-3"/>
          <w:sz w:val="22"/>
        </w:rPr>
        <w:t>stations</w:t>
      </w:r>
      <w:r>
        <w:rPr>
          <w:spacing w:val="-15"/>
          <w:sz w:val="22"/>
        </w:rPr>
        <w:t> </w:t>
      </w:r>
      <w:r>
        <w:rPr>
          <w:sz w:val="22"/>
        </w:rPr>
        <w:t>and</w:t>
      </w:r>
      <w:r>
        <w:rPr>
          <w:spacing w:val="-15"/>
          <w:sz w:val="22"/>
        </w:rPr>
        <w:t> </w:t>
      </w:r>
      <w:r>
        <w:rPr>
          <w:spacing w:val="-3"/>
          <w:sz w:val="22"/>
        </w:rPr>
        <w:t>health</w:t>
      </w:r>
      <w:r>
        <w:rPr>
          <w:spacing w:val="-14"/>
          <w:sz w:val="22"/>
        </w:rPr>
        <w:t> </w:t>
      </w:r>
      <w:r>
        <w:rPr>
          <w:spacing w:val="-3"/>
          <w:sz w:val="22"/>
        </w:rPr>
        <w:t>facilities</w:t>
      </w:r>
      <w:r>
        <w:rPr>
          <w:spacing w:val="-15"/>
          <w:sz w:val="22"/>
        </w:rPr>
        <w:t> </w:t>
      </w:r>
      <w:r>
        <w:rPr>
          <w:spacing w:val="-4"/>
          <w:sz w:val="22"/>
        </w:rPr>
        <w:t>across</w:t>
      </w:r>
    </w:p>
    <w:p>
      <w:pPr>
        <w:pStyle w:val="BodyText"/>
        <w:spacing w:before="4"/>
        <w:ind w:left="1112"/>
      </w:pPr>
      <w:r>
        <w:rPr/>
        <w:t>the State. Find out more on page </w:t>
      </w:r>
      <w:hyperlink w:history="true" w:anchor="_bookmark13">
        <w:r>
          <w:rPr>
            <w:color w:val="A7BE39"/>
            <w:u w:val="single" w:color="A7BE39"/>
          </w:rPr>
          <w:t>18</w:t>
        </w:r>
      </w:hyperlink>
      <w:r>
        <w:rPr/>
        <w:t>.</w:t>
      </w:r>
    </w:p>
    <w:p>
      <w:pPr>
        <w:pStyle w:val="ListParagraph"/>
        <w:numPr>
          <w:ilvl w:val="0"/>
          <w:numId w:val="2"/>
        </w:numPr>
        <w:tabs>
          <w:tab w:pos="331" w:val="left" w:leader="none"/>
        </w:tabs>
        <w:spacing w:line="249" w:lineRule="auto" w:before="106" w:after="0"/>
        <w:ind w:left="340" w:right="95" w:hanging="176"/>
        <w:jc w:val="left"/>
        <w:rPr>
          <w:sz w:val="22"/>
        </w:rPr>
      </w:pPr>
      <w:r>
        <w:rPr>
          <w:spacing w:val="-3"/>
          <w:w w:val="96"/>
          <w:sz w:val="22"/>
        </w:rPr>
        <w:br w:type="column"/>
      </w:r>
      <w:r>
        <w:rPr>
          <w:spacing w:val="-3"/>
          <w:sz w:val="22"/>
        </w:rPr>
        <w:t>Assisted </w:t>
      </w:r>
      <w:r>
        <w:rPr>
          <w:spacing w:val="-4"/>
          <w:sz w:val="22"/>
        </w:rPr>
        <w:t>around </w:t>
      </w:r>
      <w:r>
        <w:rPr>
          <w:sz w:val="22"/>
        </w:rPr>
        <w:t>80 </w:t>
      </w:r>
      <w:r>
        <w:rPr>
          <w:spacing w:val="-3"/>
          <w:sz w:val="22"/>
        </w:rPr>
        <w:t>State Government entities </w:t>
      </w:r>
      <w:r>
        <w:rPr>
          <w:spacing w:val="-4"/>
          <w:sz w:val="22"/>
        </w:rPr>
        <w:t>through </w:t>
      </w:r>
      <w:r>
        <w:rPr>
          <w:sz w:val="22"/>
        </w:rPr>
        <w:t>the </w:t>
      </w:r>
      <w:r>
        <w:rPr>
          <w:spacing w:val="-3"/>
          <w:sz w:val="22"/>
        </w:rPr>
        <w:t>planning, </w:t>
      </w:r>
      <w:r>
        <w:rPr>
          <w:spacing w:val="-4"/>
          <w:sz w:val="22"/>
        </w:rPr>
        <w:t>procurement </w:t>
      </w:r>
      <w:r>
        <w:rPr>
          <w:spacing w:val="-3"/>
          <w:sz w:val="22"/>
        </w:rPr>
        <w:t>and management</w:t>
      </w:r>
      <w:r>
        <w:rPr>
          <w:spacing w:val="-26"/>
          <w:sz w:val="22"/>
        </w:rPr>
        <w:t> </w:t>
      </w:r>
      <w:r>
        <w:rPr>
          <w:sz w:val="22"/>
        </w:rPr>
        <w:t>of</w:t>
      </w:r>
      <w:r>
        <w:rPr>
          <w:spacing w:val="-26"/>
          <w:sz w:val="22"/>
        </w:rPr>
        <w:t> </w:t>
      </w:r>
      <w:r>
        <w:rPr>
          <w:spacing w:val="-4"/>
          <w:sz w:val="22"/>
        </w:rPr>
        <w:t>office</w:t>
      </w:r>
      <w:r>
        <w:rPr>
          <w:spacing w:val="-25"/>
          <w:sz w:val="22"/>
        </w:rPr>
        <w:t> </w:t>
      </w:r>
      <w:r>
        <w:rPr>
          <w:spacing w:val="-3"/>
          <w:sz w:val="22"/>
        </w:rPr>
        <w:t>accommodation</w:t>
      </w:r>
      <w:r>
        <w:rPr>
          <w:spacing w:val="-26"/>
          <w:sz w:val="22"/>
        </w:rPr>
        <w:t> </w:t>
      </w:r>
      <w:r>
        <w:rPr>
          <w:spacing w:val="-3"/>
          <w:sz w:val="22"/>
        </w:rPr>
        <w:t>including oversight </w:t>
      </w:r>
      <w:r>
        <w:rPr>
          <w:sz w:val="22"/>
        </w:rPr>
        <w:t>of </w:t>
      </w:r>
      <w:r>
        <w:rPr>
          <w:spacing w:val="-4"/>
          <w:sz w:val="22"/>
        </w:rPr>
        <w:t>agreements </w:t>
      </w:r>
      <w:r>
        <w:rPr>
          <w:sz w:val="22"/>
        </w:rPr>
        <w:t>for </w:t>
      </w:r>
      <w:r>
        <w:rPr>
          <w:spacing w:val="-3"/>
          <w:sz w:val="22"/>
        </w:rPr>
        <w:t>lease </w:t>
      </w:r>
      <w:r>
        <w:rPr>
          <w:sz w:val="22"/>
        </w:rPr>
        <w:t>and </w:t>
      </w:r>
      <w:r>
        <w:rPr>
          <w:spacing w:val="-3"/>
          <w:sz w:val="22"/>
        </w:rPr>
        <w:t>the construction </w:t>
      </w:r>
      <w:r>
        <w:rPr>
          <w:sz w:val="22"/>
        </w:rPr>
        <w:t>of new </w:t>
      </w:r>
      <w:r>
        <w:rPr>
          <w:spacing w:val="-4"/>
          <w:sz w:val="22"/>
        </w:rPr>
        <w:t>office </w:t>
      </w:r>
      <w:r>
        <w:rPr>
          <w:spacing w:val="-3"/>
          <w:sz w:val="22"/>
        </w:rPr>
        <w:t>space </w:t>
      </w:r>
      <w:r>
        <w:rPr>
          <w:sz w:val="22"/>
        </w:rPr>
        <w:t>in </w:t>
      </w:r>
      <w:r>
        <w:rPr>
          <w:spacing w:val="-3"/>
          <w:sz w:val="22"/>
        </w:rPr>
        <w:t>Joondalup </w:t>
      </w:r>
      <w:r>
        <w:rPr>
          <w:sz w:val="22"/>
        </w:rPr>
        <w:t>and</w:t>
      </w:r>
      <w:r>
        <w:rPr>
          <w:spacing w:val="-12"/>
          <w:sz w:val="22"/>
        </w:rPr>
        <w:t> </w:t>
      </w:r>
      <w:r>
        <w:rPr>
          <w:spacing w:val="-4"/>
          <w:sz w:val="22"/>
        </w:rPr>
        <w:t>Fremantle.</w:t>
      </w:r>
      <w:r>
        <w:rPr>
          <w:spacing w:val="-12"/>
          <w:sz w:val="22"/>
        </w:rPr>
        <w:t> </w:t>
      </w:r>
      <w:r>
        <w:rPr>
          <w:spacing w:val="-3"/>
          <w:sz w:val="22"/>
        </w:rPr>
        <w:t>Find</w:t>
      </w:r>
      <w:r>
        <w:rPr>
          <w:spacing w:val="-12"/>
          <w:sz w:val="22"/>
        </w:rPr>
        <w:t> </w:t>
      </w:r>
      <w:r>
        <w:rPr>
          <w:sz w:val="22"/>
        </w:rPr>
        <w:t>out</w:t>
      </w:r>
      <w:r>
        <w:rPr>
          <w:spacing w:val="-12"/>
          <w:sz w:val="22"/>
        </w:rPr>
        <w:t> </w:t>
      </w:r>
      <w:r>
        <w:rPr>
          <w:spacing w:val="-4"/>
          <w:sz w:val="22"/>
        </w:rPr>
        <w:t>more</w:t>
      </w:r>
      <w:r>
        <w:rPr>
          <w:spacing w:val="-12"/>
          <w:sz w:val="22"/>
        </w:rPr>
        <w:t> </w:t>
      </w:r>
      <w:r>
        <w:rPr>
          <w:sz w:val="22"/>
        </w:rPr>
        <w:t>on</w:t>
      </w:r>
      <w:r>
        <w:rPr>
          <w:spacing w:val="-12"/>
          <w:sz w:val="22"/>
        </w:rPr>
        <w:t> </w:t>
      </w:r>
      <w:r>
        <w:rPr>
          <w:spacing w:val="-3"/>
          <w:sz w:val="22"/>
        </w:rPr>
        <w:t>page</w:t>
      </w:r>
      <w:r>
        <w:rPr>
          <w:color w:val="A7BE39"/>
          <w:spacing w:val="-12"/>
          <w:sz w:val="22"/>
        </w:rPr>
        <w:t> </w:t>
      </w:r>
      <w:hyperlink w:history="true" w:anchor="_bookmark7">
        <w:r>
          <w:rPr>
            <w:color w:val="A7BE39"/>
            <w:sz w:val="22"/>
            <w:u w:val="single" w:color="A7BE39"/>
          </w:rPr>
          <w:t>12</w:t>
        </w:r>
      </w:hyperlink>
      <w:r>
        <w:rPr>
          <w:sz w:val="22"/>
        </w:rPr>
        <w:t>.</w:t>
      </w:r>
    </w:p>
    <w:p>
      <w:pPr>
        <w:pStyle w:val="BodyText"/>
        <w:spacing w:before="5"/>
        <w:rPr>
          <w:sz w:val="23"/>
        </w:rPr>
      </w:pPr>
    </w:p>
    <w:p>
      <w:pPr>
        <w:pStyle w:val="ListParagraph"/>
        <w:numPr>
          <w:ilvl w:val="0"/>
          <w:numId w:val="2"/>
        </w:numPr>
        <w:tabs>
          <w:tab w:pos="331" w:val="left" w:leader="none"/>
        </w:tabs>
        <w:spacing w:line="249" w:lineRule="auto" w:before="0" w:after="0"/>
        <w:ind w:left="340" w:right="77" w:hanging="176"/>
        <w:jc w:val="left"/>
        <w:rPr>
          <w:sz w:val="22"/>
        </w:rPr>
      </w:pPr>
      <w:r>
        <w:rPr>
          <w:spacing w:val="-3"/>
          <w:sz w:val="22"/>
        </w:rPr>
        <w:t>Managed</w:t>
      </w:r>
      <w:r>
        <w:rPr>
          <w:spacing w:val="-22"/>
          <w:sz w:val="22"/>
        </w:rPr>
        <w:t> </w:t>
      </w:r>
      <w:r>
        <w:rPr>
          <w:sz w:val="22"/>
        </w:rPr>
        <w:t>and</w:t>
      </w:r>
      <w:r>
        <w:rPr>
          <w:spacing w:val="-21"/>
          <w:sz w:val="22"/>
        </w:rPr>
        <w:t> </w:t>
      </w:r>
      <w:r>
        <w:rPr>
          <w:spacing w:val="-4"/>
          <w:sz w:val="22"/>
        </w:rPr>
        <w:t>provided</w:t>
      </w:r>
      <w:r>
        <w:rPr>
          <w:spacing w:val="-22"/>
          <w:sz w:val="22"/>
        </w:rPr>
        <w:t> </w:t>
      </w:r>
      <w:r>
        <w:rPr>
          <w:spacing w:val="-3"/>
          <w:sz w:val="22"/>
        </w:rPr>
        <w:t>strategic</w:t>
      </w:r>
      <w:r>
        <w:rPr>
          <w:spacing w:val="-21"/>
          <w:sz w:val="22"/>
        </w:rPr>
        <w:t> </w:t>
      </w:r>
      <w:r>
        <w:rPr>
          <w:spacing w:val="-3"/>
          <w:sz w:val="22"/>
        </w:rPr>
        <w:t>oversight</w:t>
      </w:r>
      <w:r>
        <w:rPr>
          <w:spacing w:val="-22"/>
          <w:sz w:val="22"/>
        </w:rPr>
        <w:t> </w:t>
      </w:r>
      <w:r>
        <w:rPr>
          <w:sz w:val="22"/>
        </w:rPr>
        <w:t>of</w:t>
      </w:r>
      <w:r>
        <w:rPr>
          <w:spacing w:val="-21"/>
          <w:sz w:val="22"/>
        </w:rPr>
        <w:t> </w:t>
      </w:r>
      <w:r>
        <w:rPr>
          <w:spacing w:val="-3"/>
          <w:sz w:val="22"/>
        </w:rPr>
        <w:t>the </w:t>
      </w:r>
      <w:r>
        <w:rPr>
          <w:spacing w:val="-5"/>
          <w:sz w:val="22"/>
        </w:rPr>
        <w:t>Government’s </w:t>
      </w:r>
      <w:r>
        <w:rPr>
          <w:spacing w:val="-3"/>
          <w:sz w:val="22"/>
        </w:rPr>
        <w:t>Common </w:t>
      </w:r>
      <w:r>
        <w:rPr>
          <w:sz w:val="22"/>
        </w:rPr>
        <w:t>Use </w:t>
      </w:r>
      <w:r>
        <w:rPr>
          <w:spacing w:val="-3"/>
          <w:sz w:val="22"/>
        </w:rPr>
        <w:t>Arrangement framework, with </w:t>
      </w:r>
      <w:r>
        <w:rPr>
          <w:sz w:val="22"/>
        </w:rPr>
        <w:t>an </w:t>
      </w:r>
      <w:r>
        <w:rPr>
          <w:spacing w:val="-3"/>
          <w:sz w:val="22"/>
        </w:rPr>
        <w:t>estimated annual </w:t>
      </w:r>
      <w:r>
        <w:rPr>
          <w:spacing w:val="-4"/>
          <w:sz w:val="22"/>
        </w:rPr>
        <w:t>procurement </w:t>
      </w:r>
      <w:r>
        <w:rPr>
          <w:spacing w:val="-3"/>
          <w:sz w:val="22"/>
        </w:rPr>
        <w:t>turnover </w:t>
      </w:r>
      <w:r>
        <w:rPr>
          <w:sz w:val="22"/>
        </w:rPr>
        <w:t>of $1 </w:t>
      </w:r>
      <w:r>
        <w:rPr>
          <w:spacing w:val="-3"/>
          <w:sz w:val="22"/>
        </w:rPr>
        <w:t>billion </w:t>
      </w:r>
      <w:r>
        <w:rPr>
          <w:spacing w:val="-4"/>
          <w:sz w:val="22"/>
        </w:rPr>
        <w:t>across </w:t>
      </w:r>
      <w:r>
        <w:rPr>
          <w:spacing w:val="-3"/>
          <w:sz w:val="22"/>
        </w:rPr>
        <w:t>government.</w:t>
      </w:r>
    </w:p>
    <w:p>
      <w:pPr>
        <w:pStyle w:val="BodyText"/>
        <w:spacing w:before="4"/>
        <w:rPr>
          <w:sz w:val="23"/>
        </w:rPr>
      </w:pPr>
    </w:p>
    <w:p>
      <w:pPr>
        <w:pStyle w:val="ListParagraph"/>
        <w:numPr>
          <w:ilvl w:val="0"/>
          <w:numId w:val="2"/>
        </w:numPr>
        <w:tabs>
          <w:tab w:pos="331" w:val="left" w:leader="none"/>
        </w:tabs>
        <w:spacing w:line="249" w:lineRule="auto" w:before="0" w:after="0"/>
        <w:ind w:left="340" w:right="377" w:hanging="176"/>
        <w:jc w:val="left"/>
        <w:rPr>
          <w:sz w:val="22"/>
        </w:rPr>
      </w:pPr>
      <w:r>
        <w:rPr>
          <w:spacing w:val="-3"/>
          <w:sz w:val="22"/>
        </w:rPr>
        <w:t>Continued</w:t>
      </w:r>
      <w:r>
        <w:rPr>
          <w:spacing w:val="-24"/>
          <w:sz w:val="22"/>
        </w:rPr>
        <w:t> </w:t>
      </w:r>
      <w:r>
        <w:rPr>
          <w:sz w:val="22"/>
        </w:rPr>
        <w:t>to</w:t>
      </w:r>
      <w:r>
        <w:rPr>
          <w:spacing w:val="-24"/>
          <w:sz w:val="22"/>
        </w:rPr>
        <w:t> </w:t>
      </w:r>
      <w:r>
        <w:rPr>
          <w:spacing w:val="-3"/>
          <w:sz w:val="22"/>
        </w:rPr>
        <w:t>develop</w:t>
      </w:r>
      <w:r>
        <w:rPr>
          <w:spacing w:val="-24"/>
          <w:sz w:val="22"/>
        </w:rPr>
        <w:t> </w:t>
      </w:r>
      <w:r>
        <w:rPr>
          <w:sz w:val="22"/>
        </w:rPr>
        <w:t>and</w:t>
      </w:r>
      <w:r>
        <w:rPr>
          <w:spacing w:val="-24"/>
          <w:sz w:val="22"/>
        </w:rPr>
        <w:t> </w:t>
      </w:r>
      <w:r>
        <w:rPr>
          <w:spacing w:val="-3"/>
          <w:sz w:val="22"/>
        </w:rPr>
        <w:t>implement</w:t>
      </w:r>
      <w:r>
        <w:rPr>
          <w:spacing w:val="-24"/>
          <w:sz w:val="22"/>
        </w:rPr>
        <w:t> </w:t>
      </w:r>
      <w:r>
        <w:rPr>
          <w:spacing w:val="-4"/>
          <w:sz w:val="22"/>
        </w:rPr>
        <w:t>reforms </w:t>
      </w:r>
      <w:r>
        <w:rPr>
          <w:sz w:val="22"/>
        </w:rPr>
        <w:t>to</w:t>
      </w:r>
      <w:r>
        <w:rPr>
          <w:spacing w:val="-14"/>
          <w:sz w:val="22"/>
        </w:rPr>
        <w:t> </w:t>
      </w:r>
      <w:r>
        <w:rPr>
          <w:sz w:val="22"/>
        </w:rPr>
        <w:t>the</w:t>
      </w:r>
      <w:r>
        <w:rPr>
          <w:spacing w:val="-14"/>
          <w:sz w:val="22"/>
        </w:rPr>
        <w:t> </w:t>
      </w:r>
      <w:r>
        <w:rPr>
          <w:spacing w:val="-3"/>
          <w:sz w:val="22"/>
        </w:rPr>
        <w:t>electricity</w:t>
      </w:r>
      <w:r>
        <w:rPr>
          <w:spacing w:val="-14"/>
          <w:sz w:val="22"/>
        </w:rPr>
        <w:t> </w:t>
      </w:r>
      <w:r>
        <w:rPr>
          <w:spacing w:val="-3"/>
          <w:sz w:val="22"/>
        </w:rPr>
        <w:t>market</w:t>
      </w:r>
      <w:r>
        <w:rPr>
          <w:spacing w:val="-14"/>
          <w:sz w:val="22"/>
        </w:rPr>
        <w:t> </w:t>
      </w:r>
      <w:r>
        <w:rPr>
          <w:sz w:val="22"/>
        </w:rPr>
        <w:t>in</w:t>
      </w:r>
      <w:r>
        <w:rPr>
          <w:spacing w:val="-13"/>
          <w:sz w:val="22"/>
        </w:rPr>
        <w:t> </w:t>
      </w:r>
      <w:r>
        <w:rPr>
          <w:sz w:val="22"/>
        </w:rPr>
        <w:t>the</w:t>
      </w:r>
      <w:r>
        <w:rPr>
          <w:spacing w:val="-14"/>
          <w:sz w:val="22"/>
        </w:rPr>
        <w:t> </w:t>
      </w:r>
      <w:r>
        <w:rPr>
          <w:spacing w:val="-3"/>
          <w:sz w:val="22"/>
        </w:rPr>
        <w:t>South</w:t>
      </w:r>
      <w:r>
        <w:rPr>
          <w:spacing w:val="-14"/>
          <w:sz w:val="22"/>
        </w:rPr>
        <w:t> </w:t>
      </w:r>
      <w:r>
        <w:rPr>
          <w:spacing w:val="-4"/>
          <w:sz w:val="22"/>
        </w:rPr>
        <w:t>West</w:t>
      </w:r>
    </w:p>
    <w:p>
      <w:pPr>
        <w:pStyle w:val="BodyText"/>
        <w:spacing w:line="249" w:lineRule="auto" w:before="2"/>
        <w:ind w:left="340"/>
      </w:pPr>
      <w:r>
        <w:rPr>
          <w:spacing w:val="-4"/>
        </w:rPr>
        <w:t>Interconnected</w:t>
      </w:r>
      <w:r>
        <w:rPr>
          <w:spacing w:val="-28"/>
        </w:rPr>
        <w:t> </w:t>
      </w:r>
      <w:r>
        <w:rPr>
          <w:spacing w:val="-3"/>
        </w:rPr>
        <w:t>System,</w:t>
      </w:r>
      <w:r>
        <w:rPr>
          <w:spacing w:val="-27"/>
        </w:rPr>
        <w:t> </w:t>
      </w:r>
      <w:r>
        <w:rPr/>
        <w:t>to</w:t>
      </w:r>
      <w:r>
        <w:rPr>
          <w:spacing w:val="-28"/>
        </w:rPr>
        <w:t> </w:t>
      </w:r>
      <w:r>
        <w:rPr>
          <w:spacing w:val="-4"/>
        </w:rPr>
        <w:t>increase</w:t>
      </w:r>
      <w:r>
        <w:rPr>
          <w:spacing w:val="-27"/>
        </w:rPr>
        <w:t> </w:t>
      </w:r>
      <w:r>
        <w:rPr/>
        <w:t>the</w:t>
      </w:r>
      <w:r>
        <w:rPr>
          <w:spacing w:val="-27"/>
        </w:rPr>
        <w:t> </w:t>
      </w:r>
      <w:r>
        <w:rPr>
          <w:spacing w:val="-4"/>
        </w:rPr>
        <w:t>efficiency </w:t>
      </w:r>
      <w:r>
        <w:rPr/>
        <w:t>and </w:t>
      </w:r>
      <w:r>
        <w:rPr>
          <w:spacing w:val="-4"/>
        </w:rPr>
        <w:t>effectiveness </w:t>
      </w:r>
      <w:r>
        <w:rPr/>
        <w:t>of </w:t>
      </w:r>
      <w:r>
        <w:rPr>
          <w:spacing w:val="-3"/>
        </w:rPr>
        <w:t>institutional arrangements </w:t>
      </w:r>
      <w:r>
        <w:rPr/>
        <w:t>and </w:t>
      </w:r>
      <w:r>
        <w:rPr>
          <w:spacing w:val="-3"/>
        </w:rPr>
        <w:t>governance</w:t>
      </w:r>
      <w:r>
        <w:rPr>
          <w:spacing w:val="-14"/>
        </w:rPr>
        <w:t> </w:t>
      </w:r>
      <w:r>
        <w:rPr>
          <w:spacing w:val="-4"/>
        </w:rPr>
        <w:t>structures.</w:t>
      </w:r>
    </w:p>
    <w:p>
      <w:pPr>
        <w:pStyle w:val="BodyText"/>
        <w:spacing w:before="2"/>
        <w:rPr>
          <w:sz w:val="23"/>
        </w:rPr>
      </w:pPr>
    </w:p>
    <w:p>
      <w:pPr>
        <w:pStyle w:val="ListParagraph"/>
        <w:numPr>
          <w:ilvl w:val="0"/>
          <w:numId w:val="2"/>
        </w:numPr>
        <w:tabs>
          <w:tab w:pos="331" w:val="left" w:leader="none"/>
        </w:tabs>
        <w:spacing w:line="249" w:lineRule="auto" w:before="0" w:after="0"/>
        <w:ind w:left="340" w:right="0" w:hanging="176"/>
        <w:jc w:val="left"/>
        <w:rPr>
          <w:sz w:val="22"/>
        </w:rPr>
      </w:pPr>
      <w:r>
        <w:rPr>
          <w:spacing w:val="-3"/>
          <w:sz w:val="22"/>
        </w:rPr>
        <w:t>Successfully </w:t>
      </w:r>
      <w:r>
        <w:rPr>
          <w:spacing w:val="-4"/>
          <w:sz w:val="22"/>
        </w:rPr>
        <w:t>ensured </w:t>
      </w:r>
      <w:r>
        <w:rPr>
          <w:spacing w:val="-3"/>
          <w:sz w:val="22"/>
        </w:rPr>
        <w:t>continuity </w:t>
      </w:r>
      <w:r>
        <w:rPr>
          <w:sz w:val="22"/>
        </w:rPr>
        <w:t>of </w:t>
      </w:r>
      <w:r>
        <w:rPr>
          <w:spacing w:val="-3"/>
          <w:sz w:val="22"/>
        </w:rPr>
        <w:t>service to stakeholders </w:t>
      </w:r>
      <w:r>
        <w:rPr>
          <w:spacing w:val="-4"/>
          <w:sz w:val="22"/>
        </w:rPr>
        <w:t>throughout </w:t>
      </w:r>
      <w:r>
        <w:rPr>
          <w:sz w:val="22"/>
        </w:rPr>
        <w:t>the </w:t>
      </w:r>
      <w:r>
        <w:rPr>
          <w:spacing w:val="-3"/>
          <w:sz w:val="22"/>
        </w:rPr>
        <w:t>machinery of government transition, </w:t>
      </w:r>
      <w:r>
        <w:rPr>
          <w:spacing w:val="-4"/>
          <w:sz w:val="22"/>
        </w:rPr>
        <w:t>farewelling </w:t>
      </w:r>
      <w:r>
        <w:rPr>
          <w:sz w:val="22"/>
        </w:rPr>
        <w:t>the </w:t>
      </w:r>
      <w:r>
        <w:rPr>
          <w:spacing w:val="-3"/>
          <w:sz w:val="22"/>
        </w:rPr>
        <w:t>Public Utilities </w:t>
      </w:r>
      <w:r>
        <w:rPr>
          <w:spacing w:val="-4"/>
          <w:sz w:val="22"/>
        </w:rPr>
        <w:t>Office </w:t>
      </w:r>
      <w:r>
        <w:rPr>
          <w:sz w:val="22"/>
        </w:rPr>
        <w:t>and </w:t>
      </w:r>
      <w:r>
        <w:rPr>
          <w:spacing w:val="-3"/>
          <w:sz w:val="22"/>
        </w:rPr>
        <w:t>Economic Reform </w:t>
      </w:r>
      <w:r>
        <w:rPr>
          <w:sz w:val="22"/>
        </w:rPr>
        <w:t>to </w:t>
      </w:r>
      <w:r>
        <w:rPr>
          <w:spacing w:val="-3"/>
          <w:sz w:val="22"/>
        </w:rPr>
        <w:t>the Department</w:t>
      </w:r>
      <w:r>
        <w:rPr>
          <w:spacing w:val="-30"/>
          <w:sz w:val="22"/>
        </w:rPr>
        <w:t> </w:t>
      </w:r>
      <w:r>
        <w:rPr>
          <w:sz w:val="22"/>
        </w:rPr>
        <w:t>of</w:t>
      </w:r>
      <w:r>
        <w:rPr>
          <w:spacing w:val="-30"/>
          <w:sz w:val="22"/>
        </w:rPr>
        <w:t> </w:t>
      </w:r>
      <w:r>
        <w:rPr>
          <w:spacing w:val="-8"/>
          <w:sz w:val="22"/>
        </w:rPr>
        <w:t>Treasury,</w:t>
      </w:r>
      <w:r>
        <w:rPr>
          <w:spacing w:val="-30"/>
          <w:sz w:val="22"/>
        </w:rPr>
        <w:t> </w:t>
      </w:r>
      <w:r>
        <w:rPr>
          <w:sz w:val="22"/>
        </w:rPr>
        <w:t>and</w:t>
      </w:r>
      <w:r>
        <w:rPr>
          <w:spacing w:val="-30"/>
          <w:sz w:val="22"/>
        </w:rPr>
        <w:t> </w:t>
      </w:r>
      <w:r>
        <w:rPr>
          <w:spacing w:val="-3"/>
          <w:sz w:val="22"/>
        </w:rPr>
        <w:t>welcoming</w:t>
      </w:r>
      <w:r>
        <w:rPr>
          <w:spacing w:val="-30"/>
          <w:sz w:val="22"/>
        </w:rPr>
        <w:t> </w:t>
      </w:r>
      <w:r>
        <w:rPr>
          <w:spacing w:val="-3"/>
          <w:sz w:val="22"/>
        </w:rPr>
        <w:t>Strategic </w:t>
      </w:r>
      <w:r>
        <w:rPr>
          <w:spacing w:val="-4"/>
          <w:sz w:val="22"/>
        </w:rPr>
        <w:t>Projects </w:t>
      </w:r>
      <w:r>
        <w:rPr>
          <w:sz w:val="22"/>
        </w:rPr>
        <w:t>to the </w:t>
      </w:r>
      <w:r>
        <w:rPr>
          <w:spacing w:val="-3"/>
          <w:sz w:val="22"/>
        </w:rPr>
        <w:t>Department </w:t>
      </w:r>
      <w:r>
        <w:rPr>
          <w:sz w:val="22"/>
        </w:rPr>
        <w:t>of</w:t>
      </w:r>
      <w:r>
        <w:rPr>
          <w:spacing w:val="-42"/>
          <w:sz w:val="22"/>
        </w:rPr>
        <w:t> </w:t>
      </w:r>
      <w:r>
        <w:rPr>
          <w:spacing w:val="-3"/>
          <w:sz w:val="22"/>
        </w:rPr>
        <w:t>Finance.</w:t>
      </w:r>
    </w:p>
    <w:p>
      <w:pPr>
        <w:pStyle w:val="BodyText"/>
        <w:spacing w:line="249" w:lineRule="auto" w:before="106"/>
        <w:ind w:left="585" w:right="769"/>
      </w:pPr>
      <w:r>
        <w:rPr/>
        <w:br w:type="column"/>
      </w:r>
      <w:r>
        <w:rPr/>
        <w:t>In</w:t>
      </w:r>
      <w:r>
        <w:rPr>
          <w:spacing w:val="-18"/>
        </w:rPr>
        <w:t> </w:t>
      </w:r>
      <w:r>
        <w:rPr/>
        <w:t>its</w:t>
      </w:r>
      <w:r>
        <w:rPr>
          <w:spacing w:val="-18"/>
        </w:rPr>
        <w:t> </w:t>
      </w:r>
      <w:r>
        <w:rPr>
          <w:spacing w:val="-3"/>
        </w:rPr>
        <w:t>commitment</w:t>
      </w:r>
      <w:r>
        <w:rPr>
          <w:spacing w:val="-17"/>
        </w:rPr>
        <w:t> </w:t>
      </w:r>
      <w:r>
        <w:rPr/>
        <w:t>to</w:t>
      </w:r>
      <w:r>
        <w:rPr>
          <w:spacing w:val="-18"/>
        </w:rPr>
        <w:t> </w:t>
      </w:r>
      <w:r>
        <w:rPr>
          <w:spacing w:val="-4"/>
        </w:rPr>
        <w:t>providing</w:t>
      </w:r>
      <w:r>
        <w:rPr>
          <w:spacing w:val="-17"/>
        </w:rPr>
        <w:t> </w:t>
      </w:r>
      <w:r>
        <w:rPr/>
        <w:t>the</w:t>
      </w:r>
      <w:r>
        <w:rPr>
          <w:spacing w:val="-18"/>
        </w:rPr>
        <w:t> </w:t>
      </w:r>
      <w:r>
        <w:rPr>
          <w:spacing w:val="-3"/>
        </w:rPr>
        <w:t>best</w:t>
      </w:r>
      <w:r>
        <w:rPr>
          <w:spacing w:val="-17"/>
        </w:rPr>
        <w:t> </w:t>
      </w:r>
      <w:r>
        <w:rPr>
          <w:spacing w:val="-3"/>
        </w:rPr>
        <w:t>possible customer</w:t>
      </w:r>
      <w:r>
        <w:rPr>
          <w:spacing w:val="-12"/>
        </w:rPr>
        <w:t> </w:t>
      </w:r>
      <w:r>
        <w:rPr>
          <w:spacing w:val="-3"/>
        </w:rPr>
        <w:t>service</w:t>
      </w:r>
      <w:r>
        <w:rPr>
          <w:spacing w:val="-11"/>
        </w:rPr>
        <w:t> </w:t>
      </w:r>
      <w:r>
        <w:rPr>
          <w:spacing w:val="-3"/>
        </w:rPr>
        <w:t>outcomes</w:t>
      </w:r>
      <w:r>
        <w:rPr>
          <w:spacing w:val="-11"/>
        </w:rPr>
        <w:t> </w:t>
      </w:r>
      <w:r>
        <w:rPr/>
        <w:t>for</w:t>
      </w:r>
      <w:r>
        <w:rPr>
          <w:spacing w:val="-11"/>
        </w:rPr>
        <w:t> </w:t>
      </w:r>
      <w:r>
        <w:rPr/>
        <w:t>its</w:t>
      </w:r>
      <w:r>
        <w:rPr>
          <w:spacing w:val="-12"/>
        </w:rPr>
        <w:t> </w:t>
      </w:r>
      <w:r>
        <w:rPr>
          <w:spacing w:val="-3"/>
        </w:rPr>
        <w:t>clients,</w:t>
      </w:r>
    </w:p>
    <w:p>
      <w:pPr>
        <w:pStyle w:val="BodyText"/>
        <w:spacing w:line="249" w:lineRule="auto" w:before="2"/>
        <w:ind w:left="585" w:right="769"/>
      </w:pPr>
      <w:r>
        <w:rPr>
          <w:b/>
          <w:spacing w:val="-3"/>
        </w:rPr>
        <w:t>State Revenue </w:t>
      </w:r>
      <w:r>
        <w:rPr>
          <w:spacing w:val="-3"/>
        </w:rPr>
        <w:t>continues </w:t>
      </w:r>
      <w:r>
        <w:rPr/>
        <w:t>to </w:t>
      </w:r>
      <w:r>
        <w:rPr>
          <w:spacing w:val="-3"/>
        </w:rPr>
        <w:t>expand </w:t>
      </w:r>
      <w:r>
        <w:rPr/>
        <w:t>its </w:t>
      </w:r>
      <w:r>
        <w:rPr>
          <w:spacing w:val="-3"/>
        </w:rPr>
        <w:t>online services, </w:t>
      </w:r>
      <w:r>
        <w:rPr>
          <w:spacing w:val="-4"/>
        </w:rPr>
        <w:t>reducing </w:t>
      </w:r>
      <w:r>
        <w:rPr/>
        <w:t>the </w:t>
      </w:r>
      <w:r>
        <w:rPr>
          <w:spacing w:val="-3"/>
        </w:rPr>
        <w:t>time </w:t>
      </w:r>
      <w:r>
        <w:rPr/>
        <w:t>and </w:t>
      </w:r>
      <w:r>
        <w:rPr>
          <w:spacing w:val="-4"/>
        </w:rPr>
        <w:t>effort </w:t>
      </w:r>
      <w:r>
        <w:rPr>
          <w:spacing w:val="-3"/>
        </w:rPr>
        <w:t>involved in paying State tax. This year State Revenue has </w:t>
      </w:r>
      <w:r>
        <w:rPr>
          <w:spacing w:val="-4"/>
        </w:rPr>
        <w:t>reduced </w:t>
      </w:r>
      <w:r>
        <w:rPr>
          <w:spacing w:val="-3"/>
        </w:rPr>
        <w:t>assessment times </w:t>
      </w:r>
      <w:r>
        <w:rPr/>
        <w:t>for </w:t>
      </w:r>
      <w:r>
        <w:rPr>
          <w:spacing w:val="-3"/>
        </w:rPr>
        <w:t>duties lodgements </w:t>
      </w:r>
      <w:r>
        <w:rPr/>
        <w:t>by</w:t>
      </w:r>
      <w:r>
        <w:rPr>
          <w:spacing w:val="-24"/>
        </w:rPr>
        <w:t> </w:t>
      </w:r>
      <w:r>
        <w:rPr>
          <w:spacing w:val="-3"/>
        </w:rPr>
        <w:t>going</w:t>
      </w:r>
      <w:r>
        <w:rPr>
          <w:spacing w:val="-23"/>
        </w:rPr>
        <w:t> </w:t>
      </w:r>
      <w:r>
        <w:rPr>
          <w:spacing w:val="-3"/>
        </w:rPr>
        <w:t>paperless.</w:t>
      </w:r>
      <w:r>
        <w:rPr>
          <w:spacing w:val="-23"/>
        </w:rPr>
        <w:t> </w:t>
      </w:r>
      <w:r>
        <w:rPr>
          <w:spacing w:val="-5"/>
        </w:rPr>
        <w:t>Previously,</w:t>
      </w:r>
      <w:r>
        <w:rPr>
          <w:spacing w:val="-24"/>
        </w:rPr>
        <w:t> </w:t>
      </w:r>
      <w:r>
        <w:rPr>
          <w:spacing w:val="-4"/>
        </w:rPr>
        <w:t>around</w:t>
      </w:r>
      <w:r>
        <w:rPr>
          <w:spacing w:val="-23"/>
        </w:rPr>
        <w:t> </w:t>
      </w:r>
      <w:r>
        <w:rPr/>
        <w:t>70</w:t>
      </w:r>
      <w:r>
        <w:rPr>
          <w:spacing w:val="-23"/>
        </w:rPr>
        <w:t> </w:t>
      </w:r>
      <w:r>
        <w:rPr/>
        <w:t>per</w:t>
      </w:r>
      <w:r>
        <w:rPr>
          <w:spacing w:val="-23"/>
        </w:rPr>
        <w:t> </w:t>
      </w:r>
      <w:r>
        <w:rPr>
          <w:spacing w:val="-3"/>
        </w:rPr>
        <w:t>cent </w:t>
      </w:r>
      <w:r>
        <w:rPr/>
        <w:t>of</w:t>
      </w:r>
      <w:r>
        <w:rPr>
          <w:spacing w:val="-19"/>
        </w:rPr>
        <w:t> </w:t>
      </w:r>
      <w:r>
        <w:rPr>
          <w:spacing w:val="-3"/>
        </w:rPr>
        <w:t>dutiable</w:t>
      </w:r>
      <w:r>
        <w:rPr>
          <w:spacing w:val="-19"/>
        </w:rPr>
        <w:t> </w:t>
      </w:r>
      <w:r>
        <w:rPr>
          <w:spacing w:val="-3"/>
        </w:rPr>
        <w:t>transactions</w:t>
      </w:r>
      <w:r>
        <w:rPr>
          <w:spacing w:val="-18"/>
        </w:rPr>
        <w:t> </w:t>
      </w:r>
      <w:r>
        <w:rPr>
          <w:spacing w:val="-4"/>
        </w:rPr>
        <w:t>were</w:t>
      </w:r>
      <w:r>
        <w:rPr>
          <w:spacing w:val="-19"/>
        </w:rPr>
        <w:t> </w:t>
      </w:r>
      <w:r>
        <w:rPr>
          <w:spacing w:val="-3"/>
        </w:rPr>
        <w:t>able</w:t>
      </w:r>
      <w:r>
        <w:rPr>
          <w:spacing w:val="-19"/>
        </w:rPr>
        <w:t> </w:t>
      </w:r>
      <w:r>
        <w:rPr/>
        <w:t>to</w:t>
      </w:r>
      <w:r>
        <w:rPr>
          <w:spacing w:val="-18"/>
        </w:rPr>
        <w:t> </w:t>
      </w:r>
      <w:r>
        <w:rPr/>
        <w:t>be</w:t>
      </w:r>
      <w:r>
        <w:rPr>
          <w:spacing w:val="-19"/>
        </w:rPr>
        <w:t> </w:t>
      </w:r>
      <w:r>
        <w:rPr>
          <w:spacing w:val="-3"/>
        </w:rPr>
        <w:t>completed online, with </w:t>
      </w:r>
      <w:r>
        <w:rPr/>
        <w:t>the </w:t>
      </w:r>
      <w:r>
        <w:rPr>
          <w:spacing w:val="-4"/>
        </w:rPr>
        <w:t>remaining </w:t>
      </w:r>
      <w:r>
        <w:rPr/>
        <w:t>30 per </w:t>
      </w:r>
      <w:r>
        <w:rPr>
          <w:spacing w:val="-3"/>
        </w:rPr>
        <w:t>cent </w:t>
      </w:r>
      <w:r>
        <w:rPr>
          <w:spacing w:val="-4"/>
        </w:rPr>
        <w:t>requiring </w:t>
      </w:r>
      <w:r>
        <w:rPr/>
        <w:t>a </w:t>
      </w:r>
      <w:r>
        <w:rPr>
          <w:spacing w:val="-3"/>
        </w:rPr>
        <w:t>paper lodgement, </w:t>
      </w:r>
      <w:r>
        <w:rPr/>
        <w:t>due to </w:t>
      </w:r>
      <w:r>
        <w:rPr>
          <w:spacing w:val="-3"/>
        </w:rPr>
        <w:t>their</w:t>
      </w:r>
      <w:r>
        <w:rPr>
          <w:spacing w:val="-39"/>
        </w:rPr>
        <w:t> </w:t>
      </w:r>
      <w:r>
        <w:rPr>
          <w:spacing w:val="-5"/>
        </w:rPr>
        <w:t>complexity.</w:t>
      </w:r>
    </w:p>
    <w:p>
      <w:pPr>
        <w:pStyle w:val="BodyText"/>
        <w:spacing w:line="249" w:lineRule="auto" w:before="7"/>
        <w:ind w:left="585" w:right="769"/>
      </w:pPr>
      <w:r>
        <w:rPr/>
        <w:t>Now </w:t>
      </w:r>
      <w:r>
        <w:rPr>
          <w:spacing w:val="-3"/>
        </w:rPr>
        <w:t>over </w:t>
      </w:r>
      <w:r>
        <w:rPr/>
        <w:t>95 per </w:t>
      </w:r>
      <w:r>
        <w:rPr>
          <w:spacing w:val="-3"/>
        </w:rPr>
        <w:t>cent </w:t>
      </w:r>
      <w:r>
        <w:rPr/>
        <w:t>of </w:t>
      </w:r>
      <w:r>
        <w:rPr>
          <w:spacing w:val="-3"/>
        </w:rPr>
        <w:t>transactions </w:t>
      </w:r>
      <w:r>
        <w:rPr/>
        <w:t>can </w:t>
      </w:r>
      <w:r>
        <w:rPr>
          <w:spacing w:val="-3"/>
        </w:rPr>
        <w:t>be completed</w:t>
      </w:r>
      <w:r>
        <w:rPr>
          <w:spacing w:val="-23"/>
        </w:rPr>
        <w:t> </w:t>
      </w:r>
      <w:r>
        <w:rPr>
          <w:spacing w:val="-5"/>
        </w:rPr>
        <w:t>digitally,</w:t>
      </w:r>
      <w:r>
        <w:rPr>
          <w:spacing w:val="-23"/>
        </w:rPr>
        <w:t> </w:t>
      </w:r>
      <w:r>
        <w:rPr>
          <w:spacing w:val="-4"/>
        </w:rPr>
        <w:t>regardless</w:t>
      </w:r>
      <w:r>
        <w:rPr>
          <w:spacing w:val="-22"/>
        </w:rPr>
        <w:t> </w:t>
      </w:r>
      <w:r>
        <w:rPr/>
        <w:t>of</w:t>
      </w:r>
      <w:r>
        <w:rPr>
          <w:spacing w:val="-23"/>
        </w:rPr>
        <w:t> </w:t>
      </w:r>
      <w:r>
        <w:rPr/>
        <w:t>the</w:t>
      </w:r>
      <w:r>
        <w:rPr>
          <w:spacing w:val="-22"/>
        </w:rPr>
        <w:t> </w:t>
      </w:r>
      <w:r>
        <w:rPr>
          <w:spacing w:val="-5"/>
        </w:rPr>
        <w:t>transaction’s complexity,</w:t>
      </w:r>
      <w:r>
        <w:rPr>
          <w:spacing w:val="-30"/>
        </w:rPr>
        <w:t> </w:t>
      </w:r>
      <w:r>
        <w:rPr/>
        <w:t>in</w:t>
      </w:r>
      <w:r>
        <w:rPr>
          <w:spacing w:val="-29"/>
        </w:rPr>
        <w:t> </w:t>
      </w:r>
      <w:r>
        <w:rPr/>
        <w:t>a</w:t>
      </w:r>
      <w:r>
        <w:rPr>
          <w:spacing w:val="-29"/>
        </w:rPr>
        <w:t> </w:t>
      </w:r>
      <w:r>
        <w:rPr>
          <w:spacing w:val="-4"/>
        </w:rPr>
        <w:t>secure</w:t>
      </w:r>
      <w:r>
        <w:rPr>
          <w:spacing w:val="-30"/>
        </w:rPr>
        <w:t> </w:t>
      </w:r>
      <w:r>
        <w:rPr>
          <w:spacing w:val="-4"/>
        </w:rPr>
        <w:t>reliable</w:t>
      </w:r>
      <w:r>
        <w:rPr>
          <w:spacing w:val="-29"/>
        </w:rPr>
        <w:t> </w:t>
      </w:r>
      <w:r>
        <w:rPr>
          <w:spacing w:val="-3"/>
        </w:rPr>
        <w:t>digital</w:t>
      </w:r>
      <w:r>
        <w:rPr>
          <w:spacing w:val="-29"/>
        </w:rPr>
        <w:t> </w:t>
      </w:r>
      <w:r>
        <w:rPr>
          <w:spacing w:val="-4"/>
        </w:rPr>
        <w:t>environment. </w:t>
      </w:r>
      <w:r>
        <w:rPr/>
        <w:t>All</w:t>
      </w:r>
      <w:r>
        <w:rPr>
          <w:spacing w:val="-24"/>
        </w:rPr>
        <w:t> </w:t>
      </w:r>
      <w:r>
        <w:rPr>
          <w:spacing w:val="-4"/>
        </w:rPr>
        <w:t>remaining</w:t>
      </w:r>
      <w:r>
        <w:rPr>
          <w:spacing w:val="-24"/>
        </w:rPr>
        <w:t> </w:t>
      </w:r>
      <w:r>
        <w:rPr>
          <w:spacing w:val="-3"/>
        </w:rPr>
        <w:t>transactions</w:t>
      </w:r>
      <w:r>
        <w:rPr>
          <w:spacing w:val="-24"/>
        </w:rPr>
        <w:t> </w:t>
      </w:r>
      <w:r>
        <w:rPr>
          <w:spacing w:val="-3"/>
        </w:rPr>
        <w:t>will</w:t>
      </w:r>
      <w:r>
        <w:rPr>
          <w:spacing w:val="-24"/>
        </w:rPr>
        <w:t> </w:t>
      </w:r>
      <w:r>
        <w:rPr/>
        <w:t>be</w:t>
      </w:r>
      <w:r>
        <w:rPr>
          <w:spacing w:val="-24"/>
        </w:rPr>
        <w:t> </w:t>
      </w:r>
      <w:r>
        <w:rPr>
          <w:spacing w:val="-3"/>
        </w:rPr>
        <w:t>moving</w:t>
      </w:r>
      <w:r>
        <w:rPr>
          <w:spacing w:val="-24"/>
        </w:rPr>
        <w:t> </w:t>
      </w:r>
      <w:r>
        <w:rPr>
          <w:spacing w:val="-3"/>
        </w:rPr>
        <w:t>online</w:t>
      </w:r>
      <w:r>
        <w:rPr>
          <w:spacing w:val="-24"/>
        </w:rPr>
        <w:t> </w:t>
      </w:r>
      <w:r>
        <w:rPr>
          <w:spacing w:val="-3"/>
        </w:rPr>
        <w:t>in </w:t>
      </w:r>
      <w:r>
        <w:rPr/>
        <w:t>the </w:t>
      </w:r>
      <w:r>
        <w:rPr>
          <w:spacing w:val="-3"/>
        </w:rPr>
        <w:t>next financial</w:t>
      </w:r>
      <w:r>
        <w:rPr>
          <w:spacing w:val="-18"/>
        </w:rPr>
        <w:t> </w:t>
      </w:r>
      <w:r>
        <w:rPr>
          <w:spacing w:val="-7"/>
        </w:rPr>
        <w:t>year.</w:t>
      </w:r>
    </w:p>
    <w:p>
      <w:pPr>
        <w:pStyle w:val="BodyText"/>
        <w:spacing w:before="4"/>
        <w:rPr>
          <w:sz w:val="23"/>
        </w:rPr>
      </w:pPr>
    </w:p>
    <w:p>
      <w:pPr>
        <w:pStyle w:val="BodyText"/>
        <w:spacing w:line="249" w:lineRule="auto"/>
        <w:ind w:left="585" w:right="769"/>
      </w:pPr>
      <w:r>
        <w:rPr>
          <w:spacing w:val="-3"/>
        </w:rPr>
        <w:t>This year </w:t>
      </w:r>
      <w:r>
        <w:rPr>
          <w:b/>
          <w:spacing w:val="-3"/>
        </w:rPr>
        <w:t>Economic Reform </w:t>
      </w:r>
      <w:r>
        <w:rPr/>
        <w:t>has </w:t>
      </w:r>
      <w:r>
        <w:rPr>
          <w:spacing w:val="-3"/>
        </w:rPr>
        <w:t>continued to drive </w:t>
      </w:r>
      <w:r>
        <w:rPr/>
        <w:t>a </w:t>
      </w:r>
      <w:r>
        <w:rPr>
          <w:spacing w:val="-3"/>
        </w:rPr>
        <w:t>whole-of-government </w:t>
      </w:r>
      <w:r>
        <w:rPr>
          <w:spacing w:val="-4"/>
        </w:rPr>
        <w:t>regulatory reform </w:t>
      </w:r>
      <w:r>
        <w:rPr>
          <w:spacing w:val="-3"/>
        </w:rPr>
        <w:t>agenda leading best practice </w:t>
      </w:r>
      <w:r>
        <w:rPr>
          <w:spacing w:val="-4"/>
        </w:rPr>
        <w:t>regulatory reform </w:t>
      </w:r>
      <w:r>
        <w:rPr>
          <w:spacing w:val="-3"/>
        </w:rPr>
        <w:t>initiatives, </w:t>
      </w:r>
      <w:r>
        <w:rPr/>
        <w:t>and </w:t>
      </w:r>
      <w:r>
        <w:rPr>
          <w:spacing w:val="-3"/>
        </w:rPr>
        <w:t>facilitating 90-day </w:t>
      </w:r>
      <w:r>
        <w:rPr>
          <w:spacing w:val="-4"/>
        </w:rPr>
        <w:t>regulatory </w:t>
      </w:r>
      <w:r>
        <w:rPr>
          <w:spacing w:val="-3"/>
        </w:rPr>
        <w:t>mapping</w:t>
      </w:r>
      <w:r>
        <w:rPr>
          <w:spacing w:val="-15"/>
        </w:rPr>
        <w:t> </w:t>
      </w:r>
      <w:r>
        <w:rPr/>
        <w:t>and</w:t>
      </w:r>
      <w:r>
        <w:rPr>
          <w:spacing w:val="-14"/>
        </w:rPr>
        <w:t> </w:t>
      </w:r>
      <w:r>
        <w:rPr>
          <w:spacing w:val="-4"/>
        </w:rPr>
        <w:t>reform</w:t>
      </w:r>
      <w:r>
        <w:rPr>
          <w:spacing w:val="-14"/>
        </w:rPr>
        <w:t> </w:t>
      </w:r>
      <w:r>
        <w:rPr>
          <w:spacing w:val="-4"/>
        </w:rPr>
        <w:t>projects</w:t>
      </w:r>
      <w:r>
        <w:rPr>
          <w:spacing w:val="-14"/>
        </w:rPr>
        <w:t> </w:t>
      </w:r>
      <w:r>
        <w:rPr>
          <w:spacing w:val="-3"/>
        </w:rPr>
        <w:t>with</w:t>
      </w:r>
      <w:r>
        <w:rPr>
          <w:spacing w:val="-14"/>
        </w:rPr>
        <w:t> </w:t>
      </w:r>
      <w:r>
        <w:rPr>
          <w:spacing w:val="-3"/>
        </w:rPr>
        <w:t>both</w:t>
      </w:r>
      <w:r>
        <w:rPr>
          <w:spacing w:val="-14"/>
        </w:rPr>
        <w:t> </w:t>
      </w:r>
      <w:r>
        <w:rPr>
          <w:spacing w:val="-3"/>
        </w:rPr>
        <w:t>industry</w:t>
      </w:r>
      <w:r>
        <w:rPr>
          <w:spacing w:val="-14"/>
        </w:rPr>
        <w:t> </w:t>
      </w:r>
      <w:r>
        <w:rPr>
          <w:spacing w:val="-3"/>
        </w:rPr>
        <w:t>and government stakeholders. These </w:t>
      </w:r>
      <w:r>
        <w:rPr>
          <w:spacing w:val="-4"/>
        </w:rPr>
        <w:t>projects </w:t>
      </w:r>
      <w:r>
        <w:rPr>
          <w:spacing w:val="-3"/>
        </w:rPr>
        <w:t>seek to identify </w:t>
      </w:r>
      <w:r>
        <w:rPr>
          <w:spacing w:val="-4"/>
        </w:rPr>
        <w:t>regulatory </w:t>
      </w:r>
      <w:r>
        <w:rPr/>
        <w:t>and </w:t>
      </w:r>
      <w:r>
        <w:rPr>
          <w:spacing w:val="-3"/>
        </w:rPr>
        <w:t>administrative impediments </w:t>
      </w:r>
      <w:r>
        <w:rPr/>
        <w:t>to </w:t>
      </w:r>
      <w:r>
        <w:rPr>
          <w:spacing w:val="-3"/>
        </w:rPr>
        <w:t>business activity </w:t>
      </w:r>
      <w:r>
        <w:rPr/>
        <w:t>and </w:t>
      </w:r>
      <w:r>
        <w:rPr>
          <w:spacing w:val="-4"/>
        </w:rPr>
        <w:t>thereby </w:t>
      </w:r>
      <w:r>
        <w:rPr>
          <w:spacing w:val="-3"/>
        </w:rPr>
        <w:t>stimulate </w:t>
      </w:r>
      <w:r>
        <w:rPr>
          <w:spacing w:val="-4"/>
        </w:rPr>
        <w:t>entrepreneurial</w:t>
      </w:r>
      <w:r>
        <w:rPr>
          <w:spacing w:val="-35"/>
        </w:rPr>
        <w:t> </w:t>
      </w:r>
      <w:r>
        <w:rPr>
          <w:spacing w:val="-5"/>
        </w:rPr>
        <w:t>activity,</w:t>
      </w:r>
      <w:r>
        <w:rPr>
          <w:spacing w:val="-34"/>
        </w:rPr>
        <w:t> </w:t>
      </w:r>
      <w:r>
        <w:rPr>
          <w:spacing w:val="-4"/>
        </w:rPr>
        <w:t>providing</w:t>
      </w:r>
      <w:r>
        <w:rPr>
          <w:spacing w:val="-35"/>
        </w:rPr>
        <w:t> </w:t>
      </w:r>
      <w:r>
        <w:rPr>
          <w:spacing w:val="-4"/>
        </w:rPr>
        <w:t>more</w:t>
      </w:r>
      <w:r>
        <w:rPr>
          <w:spacing w:val="-34"/>
        </w:rPr>
        <w:t> </w:t>
      </w:r>
      <w:r>
        <w:rPr>
          <w:spacing w:val="-3"/>
        </w:rPr>
        <w:t>opportunities </w:t>
      </w:r>
      <w:r>
        <w:rPr/>
        <w:t>for</w:t>
      </w:r>
      <w:r>
        <w:rPr>
          <w:spacing w:val="-20"/>
        </w:rPr>
        <w:t> </w:t>
      </w:r>
      <w:r>
        <w:rPr>
          <w:spacing w:val="-3"/>
        </w:rPr>
        <w:t>jobs</w:t>
      </w:r>
      <w:r>
        <w:rPr>
          <w:spacing w:val="-20"/>
        </w:rPr>
        <w:t> </w:t>
      </w:r>
      <w:r>
        <w:rPr/>
        <w:t>and</w:t>
      </w:r>
      <w:r>
        <w:rPr>
          <w:spacing w:val="-20"/>
        </w:rPr>
        <w:t> </w:t>
      </w:r>
      <w:r>
        <w:rPr>
          <w:spacing w:val="-3"/>
        </w:rPr>
        <w:t>investment</w:t>
      </w:r>
      <w:r>
        <w:rPr>
          <w:spacing w:val="-20"/>
        </w:rPr>
        <w:t> </w:t>
      </w:r>
      <w:r>
        <w:rPr>
          <w:spacing w:val="-4"/>
        </w:rPr>
        <w:t>across</w:t>
      </w:r>
      <w:r>
        <w:rPr>
          <w:spacing w:val="-20"/>
        </w:rPr>
        <w:t> </w:t>
      </w:r>
      <w:r>
        <w:rPr>
          <w:spacing w:val="-3"/>
        </w:rPr>
        <w:t>Western</w:t>
      </w:r>
      <w:r>
        <w:rPr>
          <w:spacing w:val="-19"/>
        </w:rPr>
        <w:t> </w:t>
      </w:r>
      <w:r>
        <w:rPr>
          <w:spacing w:val="-3"/>
        </w:rPr>
        <w:t>Australia.</w:t>
      </w:r>
    </w:p>
    <w:p>
      <w:pPr>
        <w:spacing w:after="0" w:line="249" w:lineRule="auto"/>
        <w:sectPr>
          <w:type w:val="continuous"/>
          <w:pgSz w:w="16840" w:h="11910" w:orient="landscape"/>
          <w:pgMar w:top="0" w:bottom="0" w:left="0" w:right="0"/>
          <w:cols w:num="3" w:equalWidth="0">
            <w:col w:w="5693" w:space="40"/>
            <w:col w:w="4896" w:space="39"/>
            <w:col w:w="617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after="0"/>
        <w:rPr>
          <w:sz w:val="15"/>
        </w:rPr>
        <w:sectPr>
          <w:footerReference w:type="default" r:id="rId35"/>
          <w:pgSz w:w="16840" w:h="11910" w:orient="landscape"/>
          <w:pgMar w:footer="0" w:header="0" w:top="0" w:bottom="0" w:left="0" w:right="0"/>
        </w:sectPr>
      </w:pPr>
    </w:p>
    <w:p>
      <w:pPr>
        <w:pStyle w:val="BodyText"/>
        <w:spacing w:line="249" w:lineRule="auto" w:before="106"/>
        <w:ind w:left="765" w:right="484"/>
      </w:pPr>
      <w:r>
        <w:rPr/>
        <w:pict>
          <v:group style="position:absolute;margin-left:0pt;margin-top:-101.370316pt;width:360.85pt;height:56.95pt;mso-position-horizontal-relative:page;mso-position-vertical-relative:paragraph;z-index:2632" coordorigin="0,-2027" coordsize="7217,1139">
            <v:shape style="position:absolute;left:0;top:-1847;width:11;height:10" coordorigin="0,-1846" coordsize="11,10" path="m7,-1846l0,-1842,0,-1836,11,-1842,7,-1846xe" filled="true" fillcolor="#cdcccd" stroked="false">
              <v:path arrowok="t"/>
              <v:fill type="solid"/>
            </v:shape>
            <v:shape style="position:absolute;left:0;top:-1797;width:362;height:513" type="#_x0000_t75" stroked="false">
              <v:imagedata r:id="rId27" o:title=""/>
            </v:shape>
            <v:shape style="position:absolute;left:0;top:-1446;width:475;height:399" coordorigin="0,-1446" coordsize="475,399" path="m411,-1442l408,-1446,0,-1210,0,-1205,411,-1442m461,-1392l458,-1396,0,-1132,0,-1126,461,-1392m474,-1326l0,-1053,0,-1047,461,-1313,474,-1326e" filled="true" fillcolor="#cdcccd" stroked="false">
              <v:path arrowok="t"/>
              <v:fill type="solid"/>
            </v:shape>
            <v:shape style="position:absolute;left:0;top:-1140;width:288;height:251" type="#_x0000_t75" stroked="false">
              <v:imagedata r:id="rId28" o:title=""/>
            </v:shape>
            <v:rect style="position:absolute;left:0;top:-2028;width:2406;height:851" filled="true" fillcolor="#aebd37" stroked="false">
              <v:fill type="solid"/>
            </v:rect>
            <v:rect style="position:absolute;left:2405;top:-2028;width:2406;height:851" filled="true" fillcolor="#e6e7e8" stroked="false">
              <v:fill type="solid"/>
            </v:rect>
            <v:shape style="position:absolute;left:2405;top:-2028;width:583;height:583" type="#_x0000_t75" stroked="false">
              <v:imagedata r:id="rId18" o:title=""/>
            </v:shape>
            <v:line style="position:absolute" from="0,-2027" to="0,-1177" stroked="true" strokeweight="0pt" strokecolor="#aebd37">
              <v:stroke dashstyle="solid"/>
            </v:line>
            <v:shape style="position:absolute;left:4810;top:-2028;width:2406;height:851" type="#_x0000_t202" filled="true" fillcolor="#bec85c" stroked="false">
              <v:textbox inset="0,0,0,0">
                <w:txbxContent>
                  <w:p>
                    <w:pPr>
                      <w:spacing w:line="249" w:lineRule="auto" w:before="182"/>
                      <w:ind w:left="472"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2028;width:2406;height:851" type="#_x0000_t202" filled="false" stroked="false">
              <v:textbox inset="0,0,0,0">
                <w:txbxContent>
                  <w:p>
                    <w:pPr>
                      <w:spacing w:line="240" w:lineRule="auto" w:before="9"/>
                      <w:rPr>
                        <w:b/>
                        <w:sz w:val="26"/>
                      </w:rPr>
                    </w:pPr>
                  </w:p>
                  <w:p>
                    <w:pPr>
                      <w:spacing w:before="0"/>
                      <w:ind w:left="711" w:right="0" w:firstLine="0"/>
                      <w:jc w:val="left"/>
                      <w:rPr>
                        <w:sz w:val="20"/>
                      </w:rPr>
                    </w:pPr>
                    <w:hyperlink w:history="true" w:anchor="_bookmark1">
                      <w:r>
                        <w:rPr>
                          <w:color w:val="6F2770"/>
                          <w:sz w:val="20"/>
                        </w:rPr>
                        <w:t>OVER</w:t>
                      </w:r>
                    </w:hyperlink>
                    <w:hyperlink w:history="true" w:anchor="_bookmark1">
                      <w:r>
                        <w:rPr>
                          <w:color w:val="6F2770"/>
                          <w:sz w:val="20"/>
                        </w:rPr>
                        <w:t>VIEW</w:t>
                      </w:r>
                    </w:hyperlink>
                  </w:p>
                </w:txbxContent>
              </v:textbox>
              <w10:wrap type="none"/>
            </v:shape>
            <v:shape style="position:absolute;left:0;top:-2028;width:2406;height:851" type="#_x0000_t202" filled="false"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763.172119pt;margin-top:-47.590317pt;width:61.1pt;height:45.2pt;mso-position-horizontal-relative:page;mso-position-vertical-relative:paragraph;z-index:2728" coordorigin="15263,-952" coordsize="1222,904">
            <v:shape style="position:absolute;left:15424;top:-952;width:900;height:904" coordorigin="15424,-952" coordsize="900,904" path="m15874,-952l15424,-502,15424,-499,15874,-49,16324,-499,16324,-502,15874,-952xe" filled="true" fillcolor="#c4cd71" stroked="false">
              <v:path arrowok="t"/>
              <v:fill type="solid"/>
            </v:shape>
            <v:shape style="position:absolute;left:15263;top:-661;width:161;height:322" type="#_x0000_t75" stroked="false">
              <v:imagedata r:id="rId16" o:title=""/>
            </v:shape>
            <v:shape style="position:absolute;left:16324;top:-662;width:161;height:322" type="#_x0000_t75" stroked="false">
              <v:imagedata r:id="rId11" o:title=""/>
            </v:shape>
            <v:shape style="position:absolute;left:15263;top:-952;width:1222;height:904" type="#_x0000_t202" filled="false" stroked="false">
              <v:textbox inset="0,0,0,0">
                <w:txbxContent>
                  <w:p>
                    <w:pPr>
                      <w:spacing w:line="240" w:lineRule="auto" w:before="8"/>
                      <w:rPr>
                        <w:b/>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shape style="position:absolute;margin-left:721.619019pt;margin-top:-101.370316pt;width:120.3pt;height:42.55pt;mso-position-horizontal-relative:page;mso-position-vertical-relative:paragraph;z-index:2752" type="#_x0000_t202" filled="true" fillcolor="#aebd37" stroked="false">
            <v:textbox inset="0,0,0,0">
              <w:txbxContent>
                <w:p>
                  <w:pPr>
                    <w:pStyle w:val="BodyText"/>
                    <w:spacing w:before="9"/>
                    <w:rPr>
                      <w:b/>
                      <w:sz w:val="26"/>
                    </w:rPr>
                  </w:pPr>
                </w:p>
                <w:p>
                  <w:pPr>
                    <w:spacing w:before="0"/>
                    <w:ind w:left="735" w:right="0" w:firstLine="0"/>
                    <w:jc w:val="left"/>
                    <w:rPr>
                      <w:sz w:val="20"/>
                    </w:rPr>
                  </w:pPr>
                  <w:hyperlink w:history="true" w:anchor="_bookmark73">
                    <w:r>
                      <w:rPr>
                        <w:color w:val="FFFFFF"/>
                        <w:sz w:val="20"/>
                      </w:rPr>
                      <w:t>APPENDIX</w:t>
                    </w:r>
                  </w:hyperlink>
                </w:p>
              </w:txbxContent>
            </v:textbox>
            <v:fill type="solid"/>
            <w10:wrap type="none"/>
          </v:shape>
        </w:pict>
      </w:r>
      <w:r>
        <w:rPr/>
        <w:pict>
          <v:shape style="position:absolute;margin-left:601.348999pt;margin-top:-101.370316pt;width:120.3pt;height:42.55pt;mso-position-horizontal-relative:page;mso-position-vertical-relative:paragraph;z-index:2776" type="#_x0000_t202" filled="true" fillcolor="#b6c247" stroked="false">
            <v:textbox inset="0,0,0,0">
              <w:txbxContent>
                <w:p>
                  <w:pPr>
                    <w:pStyle w:val="BodyText"/>
                    <w:spacing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pict>
          <v:shape style="position:absolute;margin-left:481.079803pt;margin-top:-101.370316pt;width:120.3pt;height:42.55pt;mso-position-horizontal-relative:page;mso-position-vertical-relative:paragraph;z-index:2800"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pict>
      </w:r>
      <w:r>
        <w:rPr/>
        <w:pict>
          <v:shape style="position:absolute;margin-left:360.811798pt;margin-top:-101.370316pt;width:120.3pt;height:42.55pt;mso-position-horizontal-relative:page;mso-position-vertical-relative:paragraph;z-index:2824"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t>This is complemented by a continued focus on identifying and removing red tape within government,</w:t>
      </w:r>
      <w:r>
        <w:rPr>
          <w:spacing w:val="-34"/>
        </w:rPr>
        <w:t> </w:t>
      </w:r>
      <w:r>
        <w:rPr/>
        <w:t>highlighted</w:t>
      </w:r>
      <w:r>
        <w:rPr>
          <w:spacing w:val="-33"/>
        </w:rPr>
        <w:t> </w:t>
      </w:r>
      <w:r>
        <w:rPr/>
        <w:t>during</w:t>
      </w:r>
      <w:r>
        <w:rPr>
          <w:spacing w:val="-33"/>
        </w:rPr>
        <w:t> </w:t>
      </w:r>
      <w:r>
        <w:rPr/>
        <w:t>Repeal</w:t>
      </w:r>
      <w:r>
        <w:rPr>
          <w:spacing w:val="-34"/>
        </w:rPr>
        <w:t> </w:t>
      </w:r>
      <w:r>
        <w:rPr>
          <w:spacing w:val="-5"/>
        </w:rPr>
        <w:t>Week. </w:t>
      </w:r>
      <w:r>
        <w:rPr/>
        <w:t>This</w:t>
      </w:r>
      <w:r>
        <w:rPr>
          <w:spacing w:val="-19"/>
        </w:rPr>
        <w:t> </w:t>
      </w:r>
      <w:r>
        <w:rPr>
          <w:spacing w:val="-5"/>
        </w:rPr>
        <w:t>year’s</w:t>
      </w:r>
      <w:r>
        <w:rPr>
          <w:spacing w:val="-19"/>
        </w:rPr>
        <w:t> </w:t>
      </w:r>
      <w:r>
        <w:rPr>
          <w:i/>
        </w:rPr>
        <w:t>Red</w:t>
      </w:r>
      <w:r>
        <w:rPr>
          <w:i/>
          <w:spacing w:val="-19"/>
        </w:rPr>
        <w:t> </w:t>
      </w:r>
      <w:r>
        <w:rPr>
          <w:i/>
          <w:spacing w:val="-6"/>
        </w:rPr>
        <w:t>Tape</w:t>
      </w:r>
      <w:r>
        <w:rPr>
          <w:i/>
          <w:spacing w:val="-19"/>
        </w:rPr>
        <w:t> </w:t>
      </w:r>
      <w:r>
        <w:rPr>
          <w:i/>
        </w:rPr>
        <w:t>Reduction</w:t>
      </w:r>
      <w:r>
        <w:rPr>
          <w:i/>
          <w:spacing w:val="-18"/>
        </w:rPr>
        <w:t> </w:t>
      </w:r>
      <w:r>
        <w:rPr>
          <w:i/>
        </w:rPr>
        <w:t>Report</w:t>
      </w:r>
      <w:r>
        <w:rPr>
          <w:i/>
          <w:spacing w:val="-19"/>
        </w:rPr>
        <w:t> </w:t>
      </w:r>
      <w:r>
        <w:rPr>
          <w:i/>
        </w:rPr>
        <w:t>Card </w:t>
      </w:r>
      <w:r>
        <w:rPr/>
        <w:t>highlighted 36 of 113 red tape</w:t>
      </w:r>
      <w:r>
        <w:rPr>
          <w:spacing w:val="-35"/>
        </w:rPr>
        <w:t> </w:t>
      </w:r>
      <w:r>
        <w:rPr/>
        <w:t>reduction</w:t>
      </w:r>
    </w:p>
    <w:p>
      <w:pPr>
        <w:pStyle w:val="BodyText"/>
        <w:spacing w:line="249" w:lineRule="auto" w:before="5"/>
        <w:ind w:left="765" w:right="163"/>
      </w:pPr>
      <w:r>
        <w:rPr/>
        <w:t>initiatives</w:t>
      </w:r>
      <w:r>
        <w:rPr>
          <w:spacing w:val="-23"/>
        </w:rPr>
        <w:t> </w:t>
      </w:r>
      <w:r>
        <w:rPr/>
        <w:t>across</w:t>
      </w:r>
      <w:r>
        <w:rPr>
          <w:spacing w:val="-22"/>
        </w:rPr>
        <w:t> </w:t>
      </w:r>
      <w:r>
        <w:rPr/>
        <w:t>all</w:t>
      </w:r>
      <w:r>
        <w:rPr>
          <w:spacing w:val="-22"/>
        </w:rPr>
        <w:t> </w:t>
      </w:r>
      <w:r>
        <w:rPr/>
        <w:t>departments,</w:t>
      </w:r>
      <w:r>
        <w:rPr>
          <w:spacing w:val="-22"/>
        </w:rPr>
        <w:t> </w:t>
      </w:r>
      <w:r>
        <w:rPr/>
        <w:t>resulting</w:t>
      </w:r>
      <w:r>
        <w:rPr>
          <w:spacing w:val="-22"/>
        </w:rPr>
        <w:t> </w:t>
      </w:r>
      <w:r>
        <w:rPr/>
        <w:t>in</w:t>
      </w:r>
      <w:r>
        <w:rPr>
          <w:spacing w:val="-22"/>
        </w:rPr>
        <w:t> </w:t>
      </w:r>
      <w:r>
        <w:rPr/>
        <w:t>an estimated</w:t>
      </w:r>
      <w:r>
        <w:rPr>
          <w:spacing w:val="-18"/>
        </w:rPr>
        <w:t> </w:t>
      </w:r>
      <w:r>
        <w:rPr/>
        <w:t>saving</w:t>
      </w:r>
      <w:r>
        <w:rPr>
          <w:spacing w:val="-18"/>
        </w:rPr>
        <w:t> </w:t>
      </w:r>
      <w:r>
        <w:rPr/>
        <w:t>for</w:t>
      </w:r>
      <w:r>
        <w:rPr>
          <w:spacing w:val="-18"/>
        </w:rPr>
        <w:t> </w:t>
      </w:r>
      <w:r>
        <w:rPr/>
        <w:t>the</w:t>
      </w:r>
      <w:r>
        <w:rPr>
          <w:spacing w:val="-18"/>
        </w:rPr>
        <w:t> </w:t>
      </w:r>
      <w:r>
        <w:rPr>
          <w:spacing w:val="-3"/>
        </w:rPr>
        <w:t>community,</w:t>
      </w:r>
      <w:r>
        <w:rPr>
          <w:spacing w:val="-18"/>
        </w:rPr>
        <w:t> </w:t>
      </w:r>
      <w:r>
        <w:rPr/>
        <w:t>industry</w:t>
      </w:r>
      <w:r>
        <w:rPr>
          <w:spacing w:val="-18"/>
        </w:rPr>
        <w:t> </w:t>
      </w:r>
      <w:r>
        <w:rPr>
          <w:spacing w:val="-6"/>
        </w:rPr>
        <w:t>and </w:t>
      </w:r>
      <w:r>
        <w:rPr/>
        <w:t>government of at least $179 million</w:t>
      </w:r>
      <w:r>
        <w:rPr>
          <w:spacing w:val="-37"/>
        </w:rPr>
        <w:t> </w:t>
      </w:r>
      <w:r>
        <w:rPr/>
        <w:t>over</w:t>
      </w:r>
    </w:p>
    <w:p>
      <w:pPr>
        <w:pStyle w:val="BodyText"/>
        <w:spacing w:before="2"/>
        <w:ind w:left="765"/>
        <w:rPr>
          <w:sz w:val="10"/>
        </w:rPr>
      </w:pPr>
      <w:r>
        <w:rPr>
          <w:w w:val="91"/>
        </w:rPr>
        <w:t>five</w:t>
      </w:r>
      <w:r>
        <w:rPr/>
        <w:t> </w:t>
      </w:r>
      <w:r>
        <w:rPr>
          <w:w w:val="94"/>
        </w:rPr>
        <w:t>years</w:t>
      </w:r>
      <w:r>
        <w:rPr>
          <w:spacing w:val="-1"/>
          <w:w w:val="94"/>
        </w:rPr>
        <w:t>.</w:t>
      </w:r>
      <w:r>
        <w:rPr>
          <w:w w:val="99"/>
          <w:position w:val="8"/>
          <w:sz w:val="10"/>
        </w:rPr>
        <w:t>1</w:t>
      </w:r>
    </w:p>
    <w:p>
      <w:pPr>
        <w:pStyle w:val="BodyText"/>
        <w:spacing w:before="11"/>
        <w:rPr>
          <w:sz w:val="23"/>
        </w:rPr>
      </w:pPr>
    </w:p>
    <w:p>
      <w:pPr>
        <w:pStyle w:val="BodyText"/>
        <w:spacing w:line="249" w:lineRule="auto"/>
        <w:ind w:left="765" w:right="-8"/>
      </w:pPr>
      <w:r>
        <w:rPr/>
        <w:t>The </w:t>
      </w:r>
      <w:r>
        <w:rPr>
          <w:b/>
        </w:rPr>
        <w:t>Public Utilities Office </w:t>
      </w:r>
      <w:r>
        <w:rPr/>
        <w:t>continued to provide quality advice and services regarding the </w:t>
      </w:r>
      <w:r>
        <w:rPr>
          <w:spacing w:val="-4"/>
        </w:rPr>
        <w:t>State’s </w:t>
      </w:r>
      <w:r>
        <w:rPr/>
        <w:t>energy </w:t>
      </w:r>
      <w:r>
        <w:rPr>
          <w:spacing w:val="-3"/>
        </w:rPr>
        <w:t>sector. </w:t>
      </w:r>
      <w:r>
        <w:rPr/>
        <w:t>This </w:t>
      </w:r>
      <w:r>
        <w:rPr>
          <w:spacing w:val="-5"/>
        </w:rPr>
        <w:t>year, </w:t>
      </w:r>
      <w:r>
        <w:rPr/>
        <w:t>regulatory changes to transfer</w:t>
      </w:r>
      <w:r>
        <w:rPr>
          <w:spacing w:val="-24"/>
        </w:rPr>
        <w:t> </w:t>
      </w:r>
      <w:r>
        <w:rPr/>
        <w:t>the</w:t>
      </w:r>
      <w:r>
        <w:rPr>
          <w:spacing w:val="-23"/>
        </w:rPr>
        <w:t> </w:t>
      </w:r>
      <w:r>
        <w:rPr/>
        <w:t>compliance</w:t>
      </w:r>
      <w:r>
        <w:rPr>
          <w:spacing w:val="-24"/>
        </w:rPr>
        <w:t> </w:t>
      </w:r>
      <w:r>
        <w:rPr/>
        <w:t>and</w:t>
      </w:r>
      <w:r>
        <w:rPr>
          <w:spacing w:val="-23"/>
        </w:rPr>
        <w:t> </w:t>
      </w:r>
      <w:r>
        <w:rPr/>
        <w:t>enforcement</w:t>
      </w:r>
      <w:r>
        <w:rPr>
          <w:spacing w:val="-23"/>
        </w:rPr>
        <w:t> </w:t>
      </w:r>
      <w:r>
        <w:rPr>
          <w:spacing w:val="-3"/>
        </w:rPr>
        <w:t>functions </w:t>
      </w:r>
      <w:r>
        <w:rPr/>
        <w:t>from the Independent Market Operator to local regulator the Economic Regulation</w:t>
      </w:r>
      <w:r>
        <w:rPr>
          <w:spacing w:val="-40"/>
        </w:rPr>
        <w:t> </w:t>
      </w:r>
      <w:r>
        <w:rPr/>
        <w:t>Authority</w:t>
      </w:r>
    </w:p>
    <w:p>
      <w:pPr>
        <w:pStyle w:val="BodyText"/>
        <w:spacing w:line="249" w:lineRule="auto" w:before="5"/>
        <w:ind w:left="765" w:right="497"/>
      </w:pPr>
      <w:r>
        <w:rPr/>
        <w:t>(ERA)</w:t>
      </w:r>
      <w:r>
        <w:rPr>
          <w:spacing w:val="-19"/>
        </w:rPr>
        <w:t> </w:t>
      </w:r>
      <w:r>
        <w:rPr/>
        <w:t>took</w:t>
      </w:r>
      <w:r>
        <w:rPr>
          <w:spacing w:val="-19"/>
        </w:rPr>
        <w:t> </w:t>
      </w:r>
      <w:r>
        <w:rPr/>
        <w:t>effect</w:t>
      </w:r>
      <w:r>
        <w:rPr>
          <w:spacing w:val="-19"/>
        </w:rPr>
        <w:t> </w:t>
      </w:r>
      <w:r>
        <w:rPr/>
        <w:t>on</w:t>
      </w:r>
      <w:r>
        <w:rPr>
          <w:spacing w:val="-18"/>
        </w:rPr>
        <w:t> </w:t>
      </w:r>
      <w:r>
        <w:rPr/>
        <w:t>1</w:t>
      </w:r>
      <w:r>
        <w:rPr>
          <w:spacing w:val="-19"/>
        </w:rPr>
        <w:t> </w:t>
      </w:r>
      <w:r>
        <w:rPr/>
        <w:t>July</w:t>
      </w:r>
      <w:r>
        <w:rPr>
          <w:spacing w:val="-19"/>
        </w:rPr>
        <w:t> </w:t>
      </w:r>
      <w:r>
        <w:rPr/>
        <w:t>2016.</w:t>
      </w:r>
      <w:r>
        <w:rPr>
          <w:spacing w:val="-18"/>
        </w:rPr>
        <w:t> </w:t>
      </w:r>
      <w:r>
        <w:rPr/>
        <w:t>This</w:t>
      </w:r>
      <w:r>
        <w:rPr>
          <w:spacing w:val="-19"/>
        </w:rPr>
        <w:t> </w:t>
      </w:r>
      <w:r>
        <w:rPr/>
        <w:t>reform has</w:t>
      </w:r>
      <w:r>
        <w:rPr>
          <w:spacing w:val="-32"/>
        </w:rPr>
        <w:t> </w:t>
      </w:r>
      <w:r>
        <w:rPr/>
        <w:t>increased</w:t>
      </w:r>
      <w:r>
        <w:rPr>
          <w:spacing w:val="-31"/>
        </w:rPr>
        <w:t> </w:t>
      </w:r>
      <w:r>
        <w:rPr/>
        <w:t>the</w:t>
      </w:r>
      <w:r>
        <w:rPr>
          <w:spacing w:val="-32"/>
        </w:rPr>
        <w:t> </w:t>
      </w:r>
      <w:r>
        <w:rPr/>
        <w:t>efficiency</w:t>
      </w:r>
      <w:r>
        <w:rPr>
          <w:spacing w:val="-31"/>
        </w:rPr>
        <w:t> </w:t>
      </w:r>
      <w:r>
        <w:rPr/>
        <w:t>and</w:t>
      </w:r>
      <w:r>
        <w:rPr>
          <w:spacing w:val="-32"/>
        </w:rPr>
        <w:t> </w:t>
      </w:r>
      <w:r>
        <w:rPr>
          <w:spacing w:val="-3"/>
        </w:rPr>
        <w:t>effectiveness </w:t>
      </w:r>
      <w:r>
        <w:rPr/>
        <w:t>of</w:t>
      </w:r>
      <w:r>
        <w:rPr>
          <w:spacing w:val="-31"/>
        </w:rPr>
        <w:t> </w:t>
      </w:r>
      <w:r>
        <w:rPr/>
        <w:t>institutional</w:t>
      </w:r>
      <w:r>
        <w:rPr>
          <w:spacing w:val="-31"/>
        </w:rPr>
        <w:t> </w:t>
      </w:r>
      <w:r>
        <w:rPr/>
        <w:t>arrangements</w:t>
      </w:r>
      <w:r>
        <w:rPr>
          <w:spacing w:val="-31"/>
        </w:rPr>
        <w:t> </w:t>
      </w:r>
      <w:r>
        <w:rPr/>
        <w:t>and</w:t>
      </w:r>
      <w:r>
        <w:rPr>
          <w:spacing w:val="-31"/>
        </w:rPr>
        <w:t> </w:t>
      </w:r>
      <w:r>
        <w:rPr/>
        <w:t>governance</w:t>
      </w:r>
    </w:p>
    <w:p>
      <w:pPr>
        <w:pStyle w:val="BodyText"/>
        <w:spacing w:line="249" w:lineRule="auto" w:before="3"/>
        <w:ind w:left="765" w:right="114"/>
      </w:pPr>
      <w:r>
        <w:rPr/>
        <w:t>structures,</w:t>
      </w:r>
      <w:r>
        <w:rPr>
          <w:spacing w:val="-31"/>
        </w:rPr>
        <w:t> </w:t>
      </w:r>
      <w:r>
        <w:rPr/>
        <w:t>while</w:t>
      </w:r>
      <w:r>
        <w:rPr>
          <w:spacing w:val="-31"/>
        </w:rPr>
        <w:t> </w:t>
      </w:r>
      <w:r>
        <w:rPr/>
        <w:t>providing</w:t>
      </w:r>
      <w:r>
        <w:rPr>
          <w:spacing w:val="-31"/>
        </w:rPr>
        <w:t> </w:t>
      </w:r>
      <w:r>
        <w:rPr/>
        <w:t>continuity</w:t>
      </w:r>
      <w:r>
        <w:rPr>
          <w:spacing w:val="-31"/>
        </w:rPr>
        <w:t> </w:t>
      </w:r>
      <w:r>
        <w:rPr/>
        <w:t>for</w:t>
      </w:r>
      <w:r>
        <w:rPr>
          <w:spacing w:val="-31"/>
        </w:rPr>
        <w:t> </w:t>
      </w:r>
      <w:r>
        <w:rPr/>
        <w:t>electricity market</w:t>
      </w:r>
      <w:r>
        <w:rPr>
          <w:spacing w:val="-10"/>
        </w:rPr>
        <w:t> </w:t>
      </w:r>
      <w:r>
        <w:rPr/>
        <w:t>participants.</w:t>
      </w:r>
      <w:r>
        <w:rPr>
          <w:spacing w:val="-9"/>
        </w:rPr>
        <w:t> </w:t>
      </w:r>
      <w:r>
        <w:rPr/>
        <w:t>Find</w:t>
      </w:r>
      <w:r>
        <w:rPr>
          <w:spacing w:val="-9"/>
        </w:rPr>
        <w:t> </w:t>
      </w:r>
      <w:r>
        <w:rPr/>
        <w:t>out</w:t>
      </w:r>
      <w:r>
        <w:rPr>
          <w:spacing w:val="-10"/>
        </w:rPr>
        <w:t> </w:t>
      </w:r>
      <w:r>
        <w:rPr/>
        <w:t>more</w:t>
      </w:r>
      <w:r>
        <w:rPr>
          <w:spacing w:val="-9"/>
        </w:rPr>
        <w:t> </w:t>
      </w:r>
      <w:r>
        <w:rPr/>
        <w:t>on</w:t>
      </w:r>
      <w:r>
        <w:rPr>
          <w:spacing w:val="-9"/>
        </w:rPr>
        <w:t> </w:t>
      </w:r>
      <w:r>
        <w:rPr/>
        <w:t>page</w:t>
      </w:r>
      <w:r>
        <w:rPr>
          <w:spacing w:val="-10"/>
        </w:rPr>
        <w:t> </w:t>
      </w:r>
      <w:hyperlink w:history="true" w:anchor="_bookmark11">
        <w:r>
          <w:rPr>
            <w:color w:val="A7BE39"/>
            <w:u w:val="single" w:color="A7BE39"/>
          </w:rPr>
          <w:t>16</w:t>
        </w:r>
      </w:hyperlink>
      <w:r>
        <w:rPr/>
        <w:t>.</w:t>
      </w:r>
    </w:p>
    <w:p>
      <w:pPr>
        <w:pStyle w:val="BodyText"/>
        <w:spacing w:before="1"/>
        <w:rPr>
          <w:sz w:val="23"/>
        </w:rPr>
      </w:pPr>
    </w:p>
    <w:p>
      <w:pPr>
        <w:pStyle w:val="BodyText"/>
        <w:spacing w:line="249" w:lineRule="auto"/>
        <w:ind w:left="765" w:right="243"/>
      </w:pPr>
      <w:r>
        <w:rPr/>
        <w:t>Building upon organisational transformation undertaken within </w:t>
      </w:r>
      <w:r>
        <w:rPr>
          <w:b/>
        </w:rPr>
        <w:t>Government Procurement </w:t>
      </w:r>
      <w:r>
        <w:rPr/>
        <w:t>last</w:t>
      </w:r>
      <w:r>
        <w:rPr>
          <w:spacing w:val="-24"/>
        </w:rPr>
        <w:t> </w:t>
      </w:r>
      <w:r>
        <w:rPr/>
        <w:t>financial</w:t>
      </w:r>
      <w:r>
        <w:rPr>
          <w:spacing w:val="-24"/>
        </w:rPr>
        <w:t> </w:t>
      </w:r>
      <w:r>
        <w:rPr>
          <w:spacing w:val="-5"/>
        </w:rPr>
        <w:t>year,</w:t>
      </w:r>
      <w:r>
        <w:rPr>
          <w:spacing w:val="-24"/>
        </w:rPr>
        <w:t> </w:t>
      </w:r>
      <w:r>
        <w:rPr/>
        <w:t>the</w:t>
      </w:r>
      <w:r>
        <w:rPr>
          <w:spacing w:val="-24"/>
        </w:rPr>
        <w:t> </w:t>
      </w:r>
      <w:r>
        <w:rPr/>
        <w:t>business</w:t>
      </w:r>
      <w:r>
        <w:rPr>
          <w:spacing w:val="-24"/>
        </w:rPr>
        <w:t> </w:t>
      </w:r>
      <w:r>
        <w:rPr/>
        <w:t>unit</w:t>
      </w:r>
      <w:r>
        <w:rPr>
          <w:spacing w:val="-24"/>
        </w:rPr>
        <w:t> </w:t>
      </w:r>
      <w:r>
        <w:rPr/>
        <w:t>has</w:t>
      </w:r>
      <w:r>
        <w:rPr>
          <w:spacing w:val="-23"/>
        </w:rPr>
        <w:t> </w:t>
      </w:r>
      <w:r>
        <w:rPr/>
        <w:t>this</w:t>
      </w:r>
      <w:r>
        <w:rPr>
          <w:spacing w:val="-24"/>
        </w:rPr>
        <w:t> </w:t>
      </w:r>
      <w:r>
        <w:rPr>
          <w:spacing w:val="-5"/>
        </w:rPr>
        <w:t>year </w:t>
      </w:r>
      <w:r>
        <w:rPr/>
        <w:t>consolidated the value of those reforms and enhanced its service delivery to agencies undertaking high value, complex and high risk procurement.</w:t>
      </w:r>
      <w:r>
        <w:rPr>
          <w:spacing w:val="-15"/>
        </w:rPr>
        <w:t> </w:t>
      </w:r>
      <w:r>
        <w:rPr/>
        <w:t>This</w:t>
      </w:r>
      <w:r>
        <w:rPr>
          <w:spacing w:val="-15"/>
        </w:rPr>
        <w:t> </w:t>
      </w:r>
      <w:r>
        <w:rPr>
          <w:spacing w:val="-5"/>
        </w:rPr>
        <w:t>year,</w:t>
      </w:r>
      <w:r>
        <w:rPr>
          <w:spacing w:val="-15"/>
        </w:rPr>
        <w:t> </w:t>
      </w:r>
      <w:r>
        <w:rPr/>
        <w:t>there</w:t>
      </w:r>
      <w:r>
        <w:rPr>
          <w:spacing w:val="-15"/>
        </w:rPr>
        <w:t> </w:t>
      </w:r>
      <w:r>
        <w:rPr/>
        <w:t>has</w:t>
      </w:r>
      <w:r>
        <w:rPr>
          <w:spacing w:val="-15"/>
        </w:rPr>
        <w:t> </w:t>
      </w:r>
      <w:r>
        <w:rPr/>
        <w:t>been</w:t>
      </w:r>
      <w:r>
        <w:rPr>
          <w:spacing w:val="-15"/>
        </w:rPr>
        <w:t> </w:t>
      </w:r>
      <w:r>
        <w:rPr/>
        <w:t>a</w:t>
      </w:r>
      <w:r>
        <w:rPr>
          <w:spacing w:val="-15"/>
        </w:rPr>
        <w:t> </w:t>
      </w:r>
      <w:r>
        <w:rPr/>
        <w:t>shift</w:t>
      </w:r>
    </w:p>
    <w:p>
      <w:pPr>
        <w:pStyle w:val="BodyText"/>
        <w:spacing w:before="7"/>
        <w:ind w:left="765"/>
      </w:pPr>
      <w:r>
        <w:rPr/>
        <w:t>in</w:t>
      </w:r>
      <w:r>
        <w:rPr>
          <w:spacing w:val="-35"/>
        </w:rPr>
        <w:t> </w:t>
      </w:r>
      <w:r>
        <w:rPr/>
        <w:t>Common</w:t>
      </w:r>
      <w:r>
        <w:rPr>
          <w:spacing w:val="-34"/>
        </w:rPr>
        <w:t> </w:t>
      </w:r>
      <w:r>
        <w:rPr/>
        <w:t>Use</w:t>
      </w:r>
      <w:r>
        <w:rPr>
          <w:spacing w:val="-35"/>
        </w:rPr>
        <w:t> </w:t>
      </w:r>
      <w:r>
        <w:rPr/>
        <w:t>Arrangement</w:t>
      </w:r>
      <w:r>
        <w:rPr>
          <w:spacing w:val="-34"/>
        </w:rPr>
        <w:t> </w:t>
      </w:r>
      <w:r>
        <w:rPr/>
        <w:t>service</w:t>
      </w:r>
      <w:r>
        <w:rPr>
          <w:spacing w:val="-34"/>
        </w:rPr>
        <w:t> </w:t>
      </w:r>
      <w:r>
        <w:rPr/>
        <w:t>delivery</w:t>
      </w:r>
    </w:p>
    <w:p>
      <w:pPr>
        <w:pStyle w:val="BodyText"/>
        <w:spacing w:line="249" w:lineRule="auto" w:before="106"/>
        <w:ind w:left="395" w:right="15"/>
      </w:pPr>
      <w:r>
        <w:rPr/>
        <w:br w:type="column"/>
      </w:r>
      <w:r>
        <w:rPr/>
        <w:t>through taking a strategic and structured approach, grouping together related goods/ services to focus on specific areas of spend.</w:t>
      </w:r>
    </w:p>
    <w:p>
      <w:pPr>
        <w:pStyle w:val="BodyText"/>
        <w:spacing w:line="249" w:lineRule="auto" w:before="3"/>
        <w:ind w:left="395" w:right="15"/>
      </w:pPr>
      <w:r>
        <w:rPr/>
        <w:t>The benefits of the new structure include closer engagement</w:t>
      </w:r>
      <w:r>
        <w:rPr>
          <w:spacing w:val="-21"/>
        </w:rPr>
        <w:t> </w:t>
      </w:r>
      <w:r>
        <w:rPr/>
        <w:t>and</w:t>
      </w:r>
      <w:r>
        <w:rPr>
          <w:spacing w:val="-21"/>
        </w:rPr>
        <w:t> </w:t>
      </w:r>
      <w:r>
        <w:rPr/>
        <w:t>teamwork</w:t>
      </w:r>
      <w:r>
        <w:rPr>
          <w:spacing w:val="-21"/>
        </w:rPr>
        <w:t> </w:t>
      </w:r>
      <w:r>
        <w:rPr/>
        <w:t>with</w:t>
      </w:r>
      <w:r>
        <w:rPr>
          <w:spacing w:val="-21"/>
        </w:rPr>
        <w:t> </w:t>
      </w:r>
      <w:r>
        <w:rPr/>
        <w:t>stakeholders</w:t>
      </w:r>
      <w:r>
        <w:rPr>
          <w:spacing w:val="-20"/>
        </w:rPr>
        <w:t> </w:t>
      </w:r>
      <w:r>
        <w:rPr>
          <w:spacing w:val="-6"/>
        </w:rPr>
        <w:t>and </w:t>
      </w:r>
      <w:r>
        <w:rPr/>
        <w:t>suppliers, depth of category specific knowledge and an emphasis on planning. Find out more on page</w:t>
      </w:r>
      <w:r>
        <w:rPr>
          <w:spacing w:val="-1"/>
        </w:rPr>
        <w:t> </w:t>
      </w:r>
      <w:hyperlink w:history="true" w:anchor="_bookmark8">
        <w:r>
          <w:rPr>
            <w:color w:val="A7BE39"/>
            <w:u w:val="single" w:color="A7BE39"/>
          </w:rPr>
          <w:t>13</w:t>
        </w:r>
      </w:hyperlink>
      <w:r>
        <w:rPr/>
        <w:t>.</w:t>
      </w:r>
    </w:p>
    <w:p>
      <w:pPr>
        <w:pStyle w:val="BodyText"/>
        <w:spacing w:before="4"/>
        <w:rPr>
          <w:sz w:val="23"/>
        </w:rPr>
      </w:pPr>
    </w:p>
    <w:p>
      <w:pPr>
        <w:spacing w:line="249" w:lineRule="auto" w:before="0"/>
        <w:ind w:left="395" w:right="77" w:firstLine="0"/>
        <w:jc w:val="left"/>
        <w:rPr>
          <w:sz w:val="22"/>
        </w:rPr>
      </w:pPr>
      <w:r>
        <w:rPr>
          <w:sz w:val="22"/>
        </w:rPr>
        <w:t>In the drive to meet the future needs of the community, </w:t>
      </w:r>
      <w:r>
        <w:rPr>
          <w:b/>
          <w:sz w:val="22"/>
        </w:rPr>
        <w:t>Building Management and Works </w:t>
      </w:r>
      <w:r>
        <w:rPr>
          <w:sz w:val="22"/>
        </w:rPr>
        <w:t>has overseen a works program worth more than</w:t>
      </w:r>
    </w:p>
    <w:p>
      <w:pPr>
        <w:pStyle w:val="BodyText"/>
        <w:spacing w:line="249" w:lineRule="auto" w:before="3"/>
        <w:ind w:left="395" w:right="536"/>
      </w:pPr>
      <w:r>
        <w:rPr/>
        <w:t>$1.6 billion, delivering construction projects in</w:t>
      </w:r>
      <w:r>
        <w:rPr>
          <w:spacing w:val="-26"/>
        </w:rPr>
        <w:t> </w:t>
      </w:r>
      <w:r>
        <w:rPr/>
        <w:t>collaboration</w:t>
      </w:r>
      <w:r>
        <w:rPr>
          <w:spacing w:val="-26"/>
        </w:rPr>
        <w:t> </w:t>
      </w:r>
      <w:r>
        <w:rPr/>
        <w:t>with</w:t>
      </w:r>
      <w:r>
        <w:rPr>
          <w:spacing w:val="-25"/>
        </w:rPr>
        <w:t> </w:t>
      </w:r>
      <w:r>
        <w:rPr/>
        <w:t>other</w:t>
      </w:r>
      <w:r>
        <w:rPr>
          <w:spacing w:val="-26"/>
        </w:rPr>
        <w:t> </w:t>
      </w:r>
      <w:r>
        <w:rPr/>
        <w:t>State</w:t>
      </w:r>
      <w:r>
        <w:rPr>
          <w:spacing w:val="-26"/>
        </w:rPr>
        <w:t> </w:t>
      </w:r>
      <w:r>
        <w:rPr/>
        <w:t>Government</w:t>
      </w:r>
    </w:p>
    <w:p>
      <w:pPr>
        <w:pStyle w:val="BodyText"/>
        <w:spacing w:line="249" w:lineRule="auto" w:before="2"/>
        <w:ind w:left="395" w:right="151"/>
      </w:pPr>
      <w:r>
        <w:rPr/>
        <w:t>agencies</w:t>
      </w:r>
      <w:r>
        <w:rPr>
          <w:spacing w:val="-29"/>
        </w:rPr>
        <w:t> </w:t>
      </w:r>
      <w:r>
        <w:rPr/>
        <w:t>including</w:t>
      </w:r>
      <w:r>
        <w:rPr>
          <w:spacing w:val="-29"/>
        </w:rPr>
        <w:t> </w:t>
      </w:r>
      <w:r>
        <w:rPr/>
        <w:t>the</w:t>
      </w:r>
      <w:r>
        <w:rPr>
          <w:spacing w:val="-29"/>
        </w:rPr>
        <w:t> </w:t>
      </w:r>
      <w:r>
        <w:rPr/>
        <w:t>Department</w:t>
      </w:r>
      <w:r>
        <w:rPr>
          <w:spacing w:val="-29"/>
        </w:rPr>
        <w:t> </w:t>
      </w:r>
      <w:r>
        <w:rPr/>
        <w:t>of</w:t>
      </w:r>
      <w:r>
        <w:rPr>
          <w:spacing w:val="-28"/>
        </w:rPr>
        <w:t> </w:t>
      </w:r>
      <w:r>
        <w:rPr/>
        <w:t>Education, Department of Corrective Services, Western Australia Police, the Department of Culture and the Arts, Department of </w:t>
      </w:r>
      <w:r>
        <w:rPr>
          <w:spacing w:val="-3"/>
        </w:rPr>
        <w:t>Training </w:t>
      </w:r>
      <w:r>
        <w:rPr/>
        <w:t>and Workforce Development and Department of</w:t>
      </w:r>
      <w:r>
        <w:rPr>
          <w:spacing w:val="-28"/>
        </w:rPr>
        <w:t> </w:t>
      </w:r>
      <w:r>
        <w:rPr/>
        <w:t>Health.</w:t>
      </w:r>
    </w:p>
    <w:p>
      <w:pPr>
        <w:pStyle w:val="BodyText"/>
        <w:spacing w:before="3"/>
        <w:rPr>
          <w:sz w:val="23"/>
        </w:rPr>
      </w:pPr>
    </w:p>
    <w:p>
      <w:pPr>
        <w:pStyle w:val="BodyText"/>
        <w:spacing w:line="249" w:lineRule="auto" w:before="1"/>
        <w:ind w:left="395" w:right="501"/>
      </w:pPr>
      <w:r>
        <w:rPr/>
        <w:t>In</w:t>
      </w:r>
      <w:r>
        <w:rPr>
          <w:spacing w:val="-15"/>
        </w:rPr>
        <w:t> </w:t>
      </w:r>
      <w:r>
        <w:rPr/>
        <w:t>August</w:t>
      </w:r>
      <w:r>
        <w:rPr>
          <w:spacing w:val="-15"/>
        </w:rPr>
        <w:t> </w:t>
      </w:r>
      <w:r>
        <w:rPr/>
        <w:t>2016,</w:t>
      </w:r>
      <w:r>
        <w:rPr>
          <w:spacing w:val="-15"/>
        </w:rPr>
        <w:t> </w:t>
      </w:r>
      <w:r>
        <w:rPr/>
        <w:t>the</w:t>
      </w:r>
      <w:r>
        <w:rPr>
          <w:spacing w:val="-15"/>
        </w:rPr>
        <w:t> </w:t>
      </w:r>
      <w:r>
        <w:rPr/>
        <w:t>Government</w:t>
      </w:r>
      <w:r>
        <w:rPr>
          <w:spacing w:val="-15"/>
        </w:rPr>
        <w:t> </w:t>
      </w:r>
      <w:r>
        <w:rPr/>
        <w:t>introduced measures</w:t>
      </w:r>
      <w:r>
        <w:rPr>
          <w:spacing w:val="-21"/>
        </w:rPr>
        <w:t> </w:t>
      </w:r>
      <w:r>
        <w:rPr/>
        <w:t>to</w:t>
      </w:r>
      <w:r>
        <w:rPr>
          <w:spacing w:val="-20"/>
        </w:rPr>
        <w:t> </w:t>
      </w:r>
      <w:r>
        <w:rPr/>
        <w:t>improve</w:t>
      </w:r>
      <w:r>
        <w:rPr>
          <w:spacing w:val="-20"/>
        </w:rPr>
        <w:t> </w:t>
      </w:r>
      <w:r>
        <w:rPr/>
        <w:t>the</w:t>
      </w:r>
      <w:r>
        <w:rPr>
          <w:spacing w:val="-20"/>
        </w:rPr>
        <w:t> </w:t>
      </w:r>
      <w:r>
        <w:rPr/>
        <w:t>security</w:t>
      </w:r>
      <w:r>
        <w:rPr>
          <w:spacing w:val="-20"/>
        </w:rPr>
        <w:t> </w:t>
      </w:r>
      <w:r>
        <w:rPr/>
        <w:t>of</w:t>
      </w:r>
      <w:r>
        <w:rPr>
          <w:spacing w:val="-20"/>
        </w:rPr>
        <w:t> </w:t>
      </w:r>
      <w:r>
        <w:rPr>
          <w:spacing w:val="-3"/>
        </w:rPr>
        <w:t>payment </w:t>
      </w:r>
      <w:r>
        <w:rPr/>
        <w:t>for subcontractors working on government construction contracts. These measures included</w:t>
      </w:r>
      <w:r>
        <w:rPr>
          <w:spacing w:val="-11"/>
        </w:rPr>
        <w:t> </w:t>
      </w:r>
      <w:r>
        <w:rPr/>
        <w:t>extending</w:t>
      </w:r>
      <w:r>
        <w:rPr>
          <w:spacing w:val="-10"/>
        </w:rPr>
        <w:t> </w:t>
      </w:r>
      <w:r>
        <w:rPr/>
        <w:t>the</w:t>
      </w:r>
      <w:r>
        <w:rPr>
          <w:spacing w:val="-10"/>
        </w:rPr>
        <w:t> </w:t>
      </w:r>
      <w:r>
        <w:rPr/>
        <w:t>use</w:t>
      </w:r>
      <w:r>
        <w:rPr>
          <w:spacing w:val="-10"/>
        </w:rPr>
        <w:t> </w:t>
      </w:r>
      <w:r>
        <w:rPr/>
        <w:t>of</w:t>
      </w:r>
      <w:r>
        <w:rPr>
          <w:spacing w:val="-10"/>
        </w:rPr>
        <w:t> </w:t>
      </w:r>
      <w:r>
        <w:rPr/>
        <w:t>project</w:t>
      </w:r>
      <w:r>
        <w:rPr>
          <w:spacing w:val="-10"/>
        </w:rPr>
        <w:t> </w:t>
      </w:r>
      <w:r>
        <w:rPr/>
        <w:t>bank</w:t>
      </w:r>
    </w:p>
    <w:p>
      <w:pPr>
        <w:pStyle w:val="BodyText"/>
        <w:spacing w:line="249" w:lineRule="auto" w:before="4"/>
        <w:ind w:left="395"/>
      </w:pPr>
      <w:r>
        <w:rPr/>
        <w:t>accounts</w:t>
      </w:r>
      <w:r>
        <w:rPr>
          <w:spacing w:val="-23"/>
        </w:rPr>
        <w:t> </w:t>
      </w:r>
      <w:r>
        <w:rPr/>
        <w:t>across</w:t>
      </w:r>
      <w:r>
        <w:rPr>
          <w:spacing w:val="-22"/>
        </w:rPr>
        <w:t> </w:t>
      </w:r>
      <w:r>
        <w:rPr/>
        <w:t>Building</w:t>
      </w:r>
      <w:r>
        <w:rPr>
          <w:spacing w:val="-22"/>
        </w:rPr>
        <w:t> </w:t>
      </w:r>
      <w:r>
        <w:rPr/>
        <w:t>Management</w:t>
      </w:r>
      <w:r>
        <w:rPr>
          <w:spacing w:val="-22"/>
        </w:rPr>
        <w:t> </w:t>
      </w:r>
      <w:r>
        <w:rPr/>
        <w:t>and</w:t>
      </w:r>
      <w:r>
        <w:rPr>
          <w:spacing w:val="-22"/>
        </w:rPr>
        <w:t> </w:t>
      </w:r>
      <w:r>
        <w:rPr>
          <w:spacing w:val="-5"/>
        </w:rPr>
        <w:t>Works </w:t>
      </w:r>
      <w:r>
        <w:rPr/>
        <w:t>projects</w:t>
      </w:r>
      <w:r>
        <w:rPr>
          <w:spacing w:val="-20"/>
        </w:rPr>
        <w:t> </w:t>
      </w:r>
      <w:r>
        <w:rPr/>
        <w:t>valued</w:t>
      </w:r>
      <w:r>
        <w:rPr>
          <w:spacing w:val="-19"/>
        </w:rPr>
        <w:t> </w:t>
      </w:r>
      <w:r>
        <w:rPr/>
        <w:t>above</w:t>
      </w:r>
      <w:r>
        <w:rPr>
          <w:spacing w:val="-19"/>
        </w:rPr>
        <w:t> </w:t>
      </w:r>
      <w:r>
        <w:rPr/>
        <w:t>$1.5</w:t>
      </w:r>
      <w:r>
        <w:rPr>
          <w:spacing w:val="-20"/>
        </w:rPr>
        <w:t> </w:t>
      </w:r>
      <w:r>
        <w:rPr/>
        <w:t>million,</w:t>
      </w:r>
      <w:r>
        <w:rPr>
          <w:spacing w:val="-19"/>
        </w:rPr>
        <w:t> </w:t>
      </w:r>
      <w:r>
        <w:rPr/>
        <w:t>tendered</w:t>
      </w:r>
      <w:r>
        <w:rPr>
          <w:spacing w:val="-19"/>
        </w:rPr>
        <w:t> </w:t>
      </w:r>
      <w:r>
        <w:rPr/>
        <w:t>after </w:t>
      </w:r>
      <w:r>
        <w:rPr>
          <w:w w:val="99"/>
        </w:rPr>
        <w:t>30</w:t>
      </w:r>
      <w:r>
        <w:rPr/>
        <w:t> </w:t>
      </w:r>
      <w:r>
        <w:rPr>
          <w:w w:val="97"/>
        </w:rPr>
        <w:t>September</w:t>
      </w:r>
      <w:r>
        <w:rPr/>
        <w:t> </w:t>
      </w:r>
      <w:r>
        <w:rPr>
          <w:w w:val="99"/>
        </w:rPr>
        <w:t>2016</w:t>
      </w:r>
      <w:r>
        <w:rPr>
          <w:spacing w:val="-1"/>
          <w:w w:val="99"/>
        </w:rPr>
        <w:t>.</w:t>
      </w:r>
      <w:r>
        <w:rPr>
          <w:w w:val="99"/>
          <w:position w:val="8"/>
          <w:sz w:val="10"/>
        </w:rPr>
        <w:t>2</w:t>
      </w:r>
      <w:r>
        <w:rPr>
          <w:position w:val="8"/>
          <w:sz w:val="10"/>
        </w:rPr>
        <w:t> </w:t>
      </w:r>
      <w:r>
        <w:rPr>
          <w:spacing w:val="5"/>
          <w:position w:val="8"/>
          <w:sz w:val="10"/>
        </w:rPr>
        <w:t> </w:t>
      </w:r>
      <w:r>
        <w:rPr>
          <w:w w:val="93"/>
        </w:rPr>
        <w:t>This</w:t>
      </w:r>
      <w:r>
        <w:rPr/>
        <w:t> </w:t>
      </w:r>
      <w:r>
        <w:rPr>
          <w:w w:val="97"/>
        </w:rPr>
        <w:t>announcement </w:t>
      </w:r>
      <w:r>
        <w:rPr/>
        <w:t>followed a trial conducted by Building Management and Works on seven</w:t>
      </w:r>
      <w:r>
        <w:rPr>
          <w:spacing w:val="-39"/>
        </w:rPr>
        <w:t> </w:t>
      </w:r>
      <w:r>
        <w:rPr/>
        <w:t>projects,</w:t>
      </w:r>
    </w:p>
    <w:p>
      <w:pPr>
        <w:pStyle w:val="BodyText"/>
        <w:spacing w:line="249" w:lineRule="auto" w:before="106"/>
        <w:ind w:left="436" w:right="956"/>
      </w:pPr>
      <w:r>
        <w:rPr/>
        <w:br w:type="column"/>
      </w:r>
      <w:r>
        <w:rPr/>
        <w:t>which found that the use of these accounts can improve the certainty and timing of payment for subcontractors, enhancing transparency and accountability. Supporting the rollout of this policy</w:t>
      </w:r>
      <w:r>
        <w:rPr>
          <w:spacing w:val="-30"/>
        </w:rPr>
        <w:t> </w:t>
      </w:r>
      <w:r>
        <w:rPr/>
        <w:t>initiative,</w:t>
      </w:r>
      <w:r>
        <w:rPr>
          <w:spacing w:val="-29"/>
        </w:rPr>
        <w:t> </w:t>
      </w:r>
      <w:r>
        <w:rPr/>
        <w:t>Building</w:t>
      </w:r>
      <w:r>
        <w:rPr>
          <w:spacing w:val="-29"/>
        </w:rPr>
        <w:t> </w:t>
      </w:r>
      <w:r>
        <w:rPr/>
        <w:t>Management</w:t>
      </w:r>
      <w:r>
        <w:rPr>
          <w:spacing w:val="-29"/>
        </w:rPr>
        <w:t> </w:t>
      </w:r>
      <w:r>
        <w:rPr/>
        <w:t>and</w:t>
      </w:r>
      <w:r>
        <w:rPr>
          <w:spacing w:val="-29"/>
        </w:rPr>
        <w:t> </w:t>
      </w:r>
      <w:r>
        <w:rPr>
          <w:spacing w:val="-5"/>
        </w:rPr>
        <w:t>Works </w:t>
      </w:r>
      <w:r>
        <w:rPr/>
        <w:t>engaged key stakeholders across the State to outline</w:t>
      </w:r>
      <w:r>
        <w:rPr>
          <w:spacing w:val="-9"/>
        </w:rPr>
        <w:t> </w:t>
      </w:r>
      <w:r>
        <w:rPr/>
        <w:t>broad</w:t>
      </w:r>
      <w:r>
        <w:rPr>
          <w:spacing w:val="-9"/>
        </w:rPr>
        <w:t> </w:t>
      </w:r>
      <w:r>
        <w:rPr/>
        <w:t>changes</w:t>
      </w:r>
      <w:r>
        <w:rPr>
          <w:spacing w:val="-9"/>
        </w:rPr>
        <w:t> </w:t>
      </w:r>
      <w:r>
        <w:rPr/>
        <w:t>to</w:t>
      </w:r>
      <w:r>
        <w:rPr>
          <w:spacing w:val="-9"/>
        </w:rPr>
        <w:t> </w:t>
      </w:r>
      <w:r>
        <w:rPr/>
        <w:t>the</w:t>
      </w:r>
      <w:r>
        <w:rPr>
          <w:spacing w:val="-9"/>
        </w:rPr>
        <w:t> </w:t>
      </w:r>
      <w:r>
        <w:rPr/>
        <w:t>model,</w:t>
      </w:r>
      <w:r>
        <w:rPr>
          <w:spacing w:val="-9"/>
        </w:rPr>
        <w:t> </w:t>
      </w:r>
      <w:r>
        <w:rPr/>
        <w:t>and</w:t>
      </w:r>
      <w:r>
        <w:rPr>
          <w:spacing w:val="-9"/>
        </w:rPr>
        <w:t> </w:t>
      </w:r>
      <w:r>
        <w:rPr/>
        <w:t>used</w:t>
      </w:r>
    </w:p>
    <w:p>
      <w:pPr>
        <w:pStyle w:val="BodyText"/>
        <w:spacing w:line="249" w:lineRule="auto" w:before="7"/>
        <w:ind w:left="436" w:right="1239"/>
      </w:pPr>
      <w:r>
        <w:rPr/>
        <w:t>in-house</w:t>
      </w:r>
      <w:r>
        <w:rPr>
          <w:spacing w:val="-27"/>
        </w:rPr>
        <w:t> </w:t>
      </w:r>
      <w:r>
        <w:rPr/>
        <w:t>resources</w:t>
      </w:r>
      <w:r>
        <w:rPr>
          <w:spacing w:val="-26"/>
        </w:rPr>
        <w:t> </w:t>
      </w:r>
      <w:r>
        <w:rPr/>
        <w:t>to</w:t>
      </w:r>
      <w:r>
        <w:rPr>
          <w:spacing w:val="-27"/>
        </w:rPr>
        <w:t> </w:t>
      </w:r>
      <w:r>
        <w:rPr/>
        <w:t>create</w:t>
      </w:r>
      <w:r>
        <w:rPr>
          <w:spacing w:val="-26"/>
        </w:rPr>
        <w:t> </w:t>
      </w:r>
      <w:r>
        <w:rPr/>
        <w:t>informative</w:t>
      </w:r>
      <w:r>
        <w:rPr>
          <w:spacing w:val="-27"/>
        </w:rPr>
        <w:t> </w:t>
      </w:r>
      <w:r>
        <w:rPr>
          <w:spacing w:val="-3"/>
        </w:rPr>
        <w:t>short </w:t>
      </w:r>
      <w:r>
        <w:rPr/>
        <w:t>videos</w:t>
      </w:r>
      <w:r>
        <w:rPr>
          <w:spacing w:val="-16"/>
        </w:rPr>
        <w:t> </w:t>
      </w:r>
      <w:r>
        <w:rPr/>
        <w:t>for</w:t>
      </w:r>
      <w:r>
        <w:rPr>
          <w:spacing w:val="-15"/>
        </w:rPr>
        <w:t> </w:t>
      </w:r>
      <w:r>
        <w:rPr/>
        <w:t>industry</w:t>
      </w:r>
      <w:r>
        <w:rPr>
          <w:spacing w:val="-15"/>
        </w:rPr>
        <w:t> </w:t>
      </w:r>
      <w:r>
        <w:rPr/>
        <w:t>to</w:t>
      </w:r>
      <w:r>
        <w:rPr>
          <w:spacing w:val="-15"/>
        </w:rPr>
        <w:t> </w:t>
      </w:r>
      <w:r>
        <w:rPr/>
        <w:t>support</w:t>
      </w:r>
      <w:r>
        <w:rPr>
          <w:spacing w:val="-15"/>
        </w:rPr>
        <w:t> </w:t>
      </w:r>
      <w:r>
        <w:rPr/>
        <w:t>policy</w:t>
      </w:r>
      <w:r>
        <w:rPr>
          <w:spacing w:val="-15"/>
        </w:rPr>
        <w:t> </w:t>
      </w:r>
      <w:r>
        <w:rPr/>
        <w:t>adoption.</w:t>
      </w:r>
    </w:p>
    <w:p>
      <w:pPr>
        <w:spacing w:after="0" w:line="249" w:lineRule="auto"/>
        <w:sectPr>
          <w:type w:val="continuous"/>
          <w:pgSz w:w="16840" w:h="11910" w:orient="landscape"/>
          <w:pgMar w:top="0" w:bottom="0" w:left="0" w:right="0"/>
          <w:cols w:num="3" w:equalWidth="0">
            <w:col w:w="5574" w:space="40"/>
            <w:col w:w="5164" w:space="39"/>
            <w:col w:w="6023"/>
          </w:cols>
        </w:sectPr>
      </w:pPr>
    </w:p>
    <w:p>
      <w:pPr>
        <w:pStyle w:val="BodyText"/>
        <w:rPr>
          <w:sz w:val="20"/>
        </w:rPr>
      </w:pPr>
    </w:p>
    <w:p>
      <w:pPr>
        <w:pStyle w:val="BodyText"/>
        <w:spacing w:before="9"/>
        <w:rPr>
          <w:sz w:val="20"/>
        </w:rPr>
      </w:pPr>
    </w:p>
    <w:p>
      <w:pPr>
        <w:spacing w:before="105"/>
        <w:ind w:left="765" w:right="0" w:firstLine="0"/>
        <w:jc w:val="left"/>
        <w:rPr>
          <w:sz w:val="16"/>
        </w:rPr>
      </w:pPr>
      <w:r>
        <w:rPr/>
        <w:drawing>
          <wp:anchor distT="0" distB="0" distL="0" distR="0" allowOverlap="1" layoutInCell="1" locked="0" behindDoc="0" simplePos="0" relativeHeight="2656">
            <wp:simplePos x="0" y="0"/>
            <wp:positionH relativeFrom="page">
              <wp:posOffset>7624227</wp:posOffset>
            </wp:positionH>
            <wp:positionV relativeFrom="paragraph">
              <wp:posOffset>-3584317</wp:posOffset>
            </wp:positionV>
            <wp:extent cx="3067776" cy="3771414"/>
            <wp:effectExtent l="0" t="0" r="0" b="0"/>
            <wp:wrapNone/>
            <wp:docPr id="3" name="image26.png" descr=""/>
            <wp:cNvGraphicFramePr>
              <a:graphicFrameLocks noChangeAspect="1"/>
            </wp:cNvGraphicFramePr>
            <a:graphic>
              <a:graphicData uri="http://schemas.openxmlformats.org/drawingml/2006/picture">
                <pic:pic>
                  <pic:nvPicPr>
                    <pic:cNvPr id="4" name="image26.png"/>
                    <pic:cNvPicPr/>
                  </pic:nvPicPr>
                  <pic:blipFill>
                    <a:blip r:embed="rId36" cstate="print"/>
                    <a:stretch>
                      <a:fillRect/>
                    </a:stretch>
                  </pic:blipFill>
                  <pic:spPr>
                    <a:xfrm>
                      <a:off x="0" y="0"/>
                      <a:ext cx="3067776" cy="3771414"/>
                    </a:xfrm>
                    <a:prstGeom prst="rect">
                      <a:avLst/>
                    </a:prstGeom>
                  </pic:spPr>
                </pic:pic>
              </a:graphicData>
            </a:graphic>
          </wp:anchor>
        </w:drawing>
      </w:r>
      <w:r>
        <w:rPr/>
        <w:pict>
          <v:group style="position:absolute;margin-left:421.067688pt;margin-top:2.261005pt;width:134.3pt;height:67.150pt;mso-position-horizontal-relative:page;mso-position-vertical-relative:paragraph;z-index:-810952" coordorigin="8421,45" coordsize="2686,1343">
            <v:shape style="position:absolute;left:8421;top:45;width:1795;height:1343" coordorigin="8421,45" coordsize="1795,1343" path="m9301,1388l8861,948,8421,1388,9301,1388m10216,497l9764,45,9313,497,9313,497,8861,948,9301,1388,9325,1388,10204,1388,9764,948,10216,497e" filled="true" fillcolor="#ffffff" stroked="false">
              <v:path arrowok="t"/>
              <v:fill type="solid"/>
            </v:shape>
            <v:shape style="position:absolute;left:9312;top:45;width:904;height:904" coordorigin="9313,45" coordsize="904,904" path="m9764,45l9313,497,9764,948,10216,497,9764,45xe" filled="true" fillcolor="#d5dcc7" stroked="false">
              <v:path arrowok="t"/>
              <v:fill type="solid"/>
            </v:shape>
            <v:shape style="position:absolute;left:8861;top:496;width:904;height:892" coordorigin="8861,497" coordsize="904,892" path="m9313,497l8861,948,9301,1388,9325,1388,9764,948,9313,497xe" filled="true" fillcolor="#e8e9c9" stroked="false">
              <v:path arrowok="t"/>
              <v:fill type="solid"/>
            </v:shape>
            <v:shape style="position:absolute;left:8421;top:948;width:2686;height:440" coordorigin="8421,948" coordsize="2686,440" path="m9301,1388l8861,948,8421,1388,9301,1388m11107,1388l10667,948,10228,1388,11107,1388e" filled="true" fillcolor="#efeeeb" stroked="false">
              <v:path arrowok="t"/>
              <v:fill type="solid"/>
            </v:shape>
            <v:shape style="position:absolute;left:9324;top:948;width:880;height:440" coordorigin="9325,948" coordsize="880,440" path="m9764,948l9325,1388,10204,1388,9764,948xe" filled="true" fillcolor="#c0aac2" stroked="false">
              <v:path arrowok="t"/>
              <v:fill type="solid"/>
            </v:shape>
            <w10:wrap type="none"/>
          </v:group>
        </w:pict>
      </w:r>
      <w:r>
        <w:rPr>
          <w:color w:val="939598"/>
          <w:position w:val="4"/>
          <w:sz w:val="10"/>
        </w:rPr>
        <w:t>1 </w:t>
      </w:r>
      <w:r>
        <w:rPr>
          <w:color w:val="939598"/>
          <w:sz w:val="16"/>
        </w:rPr>
        <w:t>Ministerial Media Statement, 10 October 2016 ‘</w:t>
      </w:r>
      <w:hyperlink r:id="rId37">
        <w:r>
          <w:rPr>
            <w:color w:val="A7BE39"/>
            <w:sz w:val="16"/>
            <w:u w:val="single" w:color="A7BE39"/>
          </w:rPr>
          <w:t>More red tape cut in Repeal Week 2016</w:t>
        </w:r>
      </w:hyperlink>
      <w:r>
        <w:rPr>
          <w:color w:val="939598"/>
          <w:sz w:val="16"/>
        </w:rPr>
        <w:t>’</w:t>
      </w:r>
    </w:p>
    <w:p>
      <w:pPr>
        <w:spacing w:before="8"/>
        <w:ind w:left="765" w:right="0" w:firstLine="0"/>
        <w:jc w:val="left"/>
        <w:rPr>
          <w:sz w:val="16"/>
        </w:rPr>
      </w:pPr>
      <w:r>
        <w:rPr>
          <w:color w:val="939598"/>
          <w:position w:val="4"/>
          <w:sz w:val="10"/>
        </w:rPr>
        <w:t>2 </w:t>
      </w:r>
      <w:r>
        <w:rPr>
          <w:color w:val="939598"/>
          <w:sz w:val="16"/>
        </w:rPr>
        <w:t>Ministerial Media Statement, 12 August 2016 ‘</w:t>
      </w:r>
      <w:hyperlink r:id="rId38">
        <w:r>
          <w:rPr>
            <w:color w:val="A7BE39"/>
            <w:sz w:val="16"/>
            <w:u w:val="single" w:color="A7BE39"/>
          </w:rPr>
          <w:t>Greater protection measures for subcontractors</w:t>
        </w:r>
      </w:hyperlink>
      <w:r>
        <w:rPr>
          <w:color w:val="939598"/>
          <w:sz w:val="16"/>
        </w:rPr>
        <w:t>’</w:t>
      </w:r>
    </w:p>
    <w:p>
      <w:pPr>
        <w:pStyle w:val="BodyText"/>
        <w:spacing w:before="9"/>
        <w:rPr>
          <w:sz w:val="13"/>
        </w:rPr>
      </w:pPr>
    </w:p>
    <w:p>
      <w:pPr>
        <w:tabs>
          <w:tab w:pos="12166" w:val="left" w:leader="none"/>
          <w:tab w:pos="12373" w:val="left" w:leader="none"/>
          <w:tab w:pos="16072" w:val="right" w:leader="none"/>
        </w:tabs>
        <w:spacing w:before="106"/>
        <w:ind w:left="765" w:right="0" w:firstLine="0"/>
        <w:jc w:val="left"/>
        <w:rPr>
          <w:b/>
          <w:sz w:val="16"/>
        </w:rPr>
      </w:pPr>
      <w:r>
        <w:rPr>
          <w:color w:val="939598"/>
          <w:w w:val="100"/>
          <w:sz w:val="16"/>
          <w:u w:val="single" w:color="939598"/>
        </w:rPr>
        <w:t> </w:t>
      </w:r>
      <w:r>
        <w:rPr>
          <w:color w:val="939598"/>
          <w:sz w:val="16"/>
          <w:u w:val="single" w:color="939598"/>
        </w:rPr>
        <w:tab/>
      </w:r>
      <w:r>
        <w:rPr>
          <w:color w:val="939598"/>
          <w:sz w:val="16"/>
        </w:rPr>
        <w:tab/>
        <w:t>Department of Finance Annual</w:t>
      </w:r>
      <w:r>
        <w:rPr>
          <w:color w:val="939598"/>
          <w:spacing w:val="-27"/>
          <w:sz w:val="16"/>
        </w:rPr>
        <w:t> </w:t>
      </w:r>
      <w:r>
        <w:rPr>
          <w:color w:val="939598"/>
          <w:sz w:val="16"/>
        </w:rPr>
        <w:t>Report</w:t>
      </w:r>
      <w:r>
        <w:rPr>
          <w:color w:val="939598"/>
          <w:spacing w:val="-7"/>
          <w:sz w:val="16"/>
        </w:rPr>
        <w:t> </w:t>
      </w:r>
      <w:r>
        <w:rPr>
          <w:color w:val="939598"/>
          <w:sz w:val="16"/>
        </w:rPr>
        <w:t>2016-17</w:t>
        <w:tab/>
      </w:r>
      <w:r>
        <w:rPr>
          <w:b/>
          <w:color w:val="6F2770"/>
          <w:sz w:val="16"/>
        </w:rPr>
        <w:t>5</w:t>
      </w:r>
    </w:p>
    <w:p>
      <w:pPr>
        <w:spacing w:after="0"/>
        <w:jc w:val="left"/>
        <w:rPr>
          <w:sz w:val="16"/>
        </w:rPr>
        <w:sectPr>
          <w:type w:val="continuous"/>
          <w:pgSz w:w="16840" w:h="11910" w:orient="landscape"/>
          <w:pgMar w:top="0" w:bottom="0" w:left="0" w:right="0"/>
        </w:sectPr>
      </w:pPr>
    </w:p>
    <w:p>
      <w:pPr>
        <w:pStyle w:val="BodyText"/>
        <w:spacing w:before="1"/>
        <w:rPr>
          <w:b/>
          <w:sz w:val="17"/>
        </w:rPr>
      </w:pPr>
    </w:p>
    <w:p>
      <w:pPr>
        <w:spacing w:before="106"/>
        <w:ind w:left="0" w:right="734" w:firstLine="0"/>
        <w:jc w:val="right"/>
        <w:rPr>
          <w:sz w:val="20"/>
        </w:rPr>
      </w:pPr>
      <w:r>
        <w:rPr/>
        <w:pict>
          <v:group style="position:absolute;margin-left:360.811798pt;margin-top:-10.120531pt;width:481.1pt;height:104.75pt;mso-position-horizontal-relative:page;mso-position-vertical-relative:paragraph;z-index:-810136" coordorigin="7216,-202" coordsize="9622,2095">
            <v:shape style="position:absolute;left:8119;top:-203;width:1455;height:1745" coordorigin="8119,-202" coordsize="1455,1745" path="m8919,-202l8894,-202,8635,-53,8601,-19,8919,-202m9056,-202l9031,-202,8448,134,8414,168,9056,-202m9192,-202l9167,-202,8262,321,8227,355,9192,-202m9329,-202l9304,-202,8119,482,8128,491,9329,-202m9466,-202l9441,-202,8169,532,8178,541,9466,-202m9574,1299l9170,1532,9179,1542,9574,1314,9574,1299m9574,1220l9120,1482,9129,1492,9574,1235,9574,1220m9574,1141l9070,1432,9079,1442,9574,1156,9574,1141m9574,1062l9020,1382,9029,1392,9574,1077,9574,1062m9574,983l8970,1332,8979,1341,9574,998,9574,983m9574,905l8920,1282,8929,1291,9574,919,9574,905m9574,826l8870,1232,8879,1241,9574,840,9574,826m9574,747l8820,1182,8829,1191,9574,761,9574,747m9574,668l8770,1132,8779,1141,9574,682,9574,668m9574,589l8720,1082,8729,1091,9574,603,9574,589m9574,431l8620,982,8629,991,9574,445,9574,431m9574,352l8570,932,8579,941,9574,367,9574,352m9574,273l8519,882,8529,891,9574,288,9574,273m9574,194l8469,832,8479,841,9574,209,9574,194m9574,115l8419,782,8429,791,9574,130,9574,115m9574,36l8369,732,8379,741,9574,51,9574,36m9574,-43l8319,682,8328,691,9574,-28,9574,-43m9574,-200l8219,582,8228,591,9574,-186,9574,-200m9574,510l8670,1032,8679,1041,9574,524,9574,510m9574,-121l8269,632,8278,641,9574,-107,9574,-121e" filled="true" fillcolor="#cdcccd" stroked="false">
              <v:path arrowok="t"/>
              <v:fill type="solid"/>
            </v:shape>
            <v:shape style="position:absolute;left:9220;top:1378;width:354;height:514" type="#_x0000_t75" stroked="false">
              <v:imagedata r:id="rId40" o:title=""/>
            </v:shape>
            <v:shape style="position:absolute;left:9574;top:-203;width:338;height:196" type="#_x0000_t75" stroked="false">
              <v:imagedata r:id="rId20" o:title=""/>
            </v:shape>
            <v:shape style="position:absolute;left:9574;top:-203;width:1438;height:1932" coordorigin="9574,-202" coordsize="1438,1932" path="m10049,-202l10039,-202,9574,66,9574,72,10049,-202m10078,1432l9574,1723,9574,1729,10065,1446,10078,1432m10186,-202l10176,-202,9574,145,9574,151,10186,-202m10265,1246l9574,1645,9574,1650,10251,1259,10265,1246m10322,-202l10312,-202,9574,224,9574,230,10322,-202m10399,-168l10395,-171,9574,303,9574,308,10399,-168m10449,-117l10445,-121,9574,382,9574,387,10449,-117m10452,1059l9574,1566,9574,1571,10438,1073,10452,1059m10499,-67l10495,-71,9574,461,9574,466,10499,-67m10549,-17l10545,-21,9574,539,9574,545,10549,-17m10599,33l10595,29,9574,618,9574,624,10599,33m10639,872l9574,1487,9574,1492,10625,886,10639,872m10649,83l10645,79,9574,697,9574,703,10649,83m10699,133l10695,129,9574,776,9574,782,10699,133m10749,183l10745,179,9574,855,9574,861,10749,183m10799,233l10795,229,9574,934,9574,940,10799,233m10825,685l9574,1408,9574,1414,10812,699,10825,685m10849,283l10845,279,9574,1013,9574,1019,10849,283m10899,333l10895,329,9574,1092,9574,1098,10899,333m10949,383l10945,379,9574,1171,9574,1177,10949,383m10999,433l10995,429,9574,1250,9574,1256,10999,433m11012,499l9574,1329,9574,1335,10998,512,11012,499e" filled="true" fillcolor="#cdcccd" stroked="false">
              <v:path arrowok="t"/>
              <v:fill type="solid"/>
            </v:shape>
            <v:shape style="position:absolute;left:9574;top:1619;width:318;height:269" type="#_x0000_t75" stroked="false">
              <v:imagedata r:id="rId21" o:title=""/>
            </v:shape>
            <v:rect style="position:absolute;left:7216;top:-203;width:2406;height:851" filled="true" fillcolor="#c4cd71" stroked="false">
              <v:fill type="solid"/>
            </v:rect>
            <v:shape style="position:absolute;left:13225;top:621;width:904;height:904" coordorigin="13225,622" coordsize="904,904" path="m13677,622l13225,1073,13677,1525,14128,1073,13677,622xe" filled="true" fillcolor="#e8e9c9" stroked="false">
              <v:path arrowok="t"/>
              <v:fill type="solid"/>
            </v:shape>
            <v:shape style="position:absolute;left:13676;top:170;width:904;height:904" coordorigin="13677,170" coordsize="904,904" path="m14128,170l13677,622,14128,1073,14580,622,14128,170xe" filled="true" fillcolor="#efeeeb" stroked="false">
              <v:path arrowok="t"/>
              <v:fill type="solid"/>
            </v:shape>
            <v:shape style="position:absolute;left:11870;top:170;width:904;height:904" coordorigin="11870,170" coordsize="904,904" path="m12322,170l11870,622,12322,1073,12774,622,12322,170xe" filled="true" fillcolor="#5c8726" stroked="false">
              <v:path arrowok="t"/>
              <v:fill opacity="16384f" type="solid"/>
            </v:shape>
            <v:shape style="position:absolute;left:12773;top:170;width:904;height:904" coordorigin="12774,170" coordsize="904,904" path="m13225,170l12774,622,13225,1073,13677,622,13225,170xe" filled="true" fillcolor="#c0aac2" stroked="false">
              <v:path arrowok="t"/>
              <v:fill type="solid"/>
            </v:shape>
            <v:rect style="position:absolute;left:9621;top:-203;width:2406;height:851" filled="true" fillcolor="#bec85c" stroked="false">
              <v:fill type="solid"/>
            </v:rect>
            <v:rect style="position:absolute;left:12026;top:-203;width:2406;height:851" filled="true" fillcolor="#b6c247" stroked="false">
              <v:fill type="solid"/>
            </v:rect>
            <v:rect style="position:absolute;left:14432;top:-203;width:2406;height:851" filled="true" fillcolor="#aebd37" stroked="false">
              <v:fill type="solid"/>
            </v:rect>
            <v:shape style="position:absolute;left:15424;top:873;width:900;height:904" coordorigin="15424,873" coordsize="900,904" path="m15874,873l15424,1323,15424,1326,15874,1776,16324,1326,16324,1323,15874,873xe" filled="true" fillcolor="#c4cd71" stroked="false">
              <v:path arrowok="t"/>
              <v:fill type="solid"/>
            </v:shape>
            <v:shape style="position:absolute;left:15422;top:1323;width:2;height:4" coordorigin="15423,1323" coordsize="2,4" path="m15424,1323l15423,1325,15424,1326,15424,1323xe" filled="true" fillcolor="#b9c369" stroked="false">
              <v:path arrowok="t"/>
              <v:fill type="solid"/>
            </v:shape>
            <v:shape style="position:absolute;left:16324;top:1323;width:2;height:4" coordorigin="16324,1323" coordsize="2,4" path="m16324,1323l16324,1326,16326,1325,16324,1323xe" filled="true" fillcolor="#bec29e" stroked="false">
              <v:path arrowok="t"/>
              <v:fill type="solid"/>
            </v:shape>
            <v:shape style="position:absolute;left:15263;top:1164;width:161;height:322" type="#_x0000_t75" stroked="false">
              <v:imagedata r:id="rId16" o:title=""/>
            </v:shape>
            <v:shape style="position:absolute;left:16324;top:1163;width:161;height:322" type="#_x0000_t75" stroked="false">
              <v:imagedata r:id="rId11" o:title=""/>
            </v:shape>
            <w10:wrap type="none"/>
          </v:group>
        </w:pict>
      </w:r>
      <w:r>
        <w:rPr/>
        <w:pict>
          <v:group style="position:absolute;margin-left:0pt;margin-top:-10.120531pt;width:360.85pt;height:42.55pt;mso-position-horizontal-relative:page;mso-position-vertical-relative:paragraph;z-index:3592" coordorigin="0,-202" coordsize="7217,851">
            <v:rect style="position:absolute;left:0;top:-203;width:2406;height:851" filled="true" fillcolor="#aebd37" stroked="false">
              <v:fill type="solid"/>
            </v:rect>
            <v:rect style="position:absolute;left:2405;top:-203;width:2406;height:851" filled="true" fillcolor="#e6e7e8" stroked="false">
              <v:fill type="solid"/>
            </v:rect>
            <v:shape style="position:absolute;left:2405;top:-203;width:583;height:583" type="#_x0000_t75" stroked="false">
              <v:imagedata r:id="rId18" o:title=""/>
            </v:shape>
            <v:shape style="position:absolute;left:0;top:-203;width:4811;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shape style="position:absolute;left:4810;top:-203;width:2406;height:851" type="#_x0000_t202" filled="true" fillcolor="#bec85c" stroked="false">
              <v:textbox inset="0,0,0,0">
                <w:txbxContent>
                  <w:p>
                    <w:pPr>
                      <w:spacing w:line="249" w:lineRule="auto" w:before="182"/>
                      <w:ind w:left="472"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203;width:2406;height:851" type="#_x0000_t202" filled="false"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6F2770"/>
                          <w:sz w:val="20"/>
                        </w:rPr>
                        <w:t>OVER</w:t>
                      </w:r>
                    </w:hyperlink>
                    <w:hyperlink w:history="true" w:anchor="_bookmark1">
                      <w:r>
                        <w:rPr>
                          <w:color w:val="6F2770"/>
                          <w:sz w:val="20"/>
                        </w:rPr>
                        <w:t>VIEW</w:t>
                      </w:r>
                    </w:hyperlink>
                  </w:p>
                </w:txbxContent>
              </v:textbox>
              <w10:wrap type="none"/>
            </v:shape>
            <w10:wrap type="none"/>
          </v:group>
        </w:pict>
      </w:r>
      <w:r>
        <w:rPr/>
        <w:pict>
          <v:shape style="position:absolute;margin-left:601.348999pt;margin-top:-10.120531pt;width:120.3pt;height:42.55pt;mso-position-horizontal-relative:page;mso-position-vertical-relative:paragraph;z-index:3616"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481.079803pt;margin-top:-10.120531pt;width:120.3pt;height:42.55pt;mso-position-horizontal-relative:page;mso-position-vertical-relative:paragraph;z-index:3640"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w:pict>
      </w:r>
      <w:r>
        <w:rPr/>
        <w:pict>
          <v:shape style="position:absolute;margin-left:360.811798pt;margin-top:-10.120531pt;width:120.3pt;height:42.55pt;mso-position-horizontal-relative:page;mso-position-vertical-relative:paragraph;z-index:3664" type="#_x0000_t202" filled="false"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w10:wrap type="none"/>
          </v:shape>
        </w:pict>
      </w:r>
      <w:bookmarkStart w:name="_bookmark4" w:id="5"/>
      <w:bookmarkEnd w:id="5"/>
      <w:r>
        <w:rPr/>
      </w:r>
      <w:hyperlink w:history="true" w:anchor="_bookmark73">
        <w:r>
          <w:rPr>
            <w:color w:val="FFFFFF"/>
            <w:w w:val="90"/>
            <w:sz w:val="20"/>
          </w:rPr>
          <w:t>APPENDIX</w:t>
        </w:r>
      </w:hyperlink>
    </w:p>
    <w:p>
      <w:pPr>
        <w:pStyle w:val="BodyText"/>
        <w:rPr>
          <w:sz w:val="20"/>
        </w:rPr>
      </w:pPr>
    </w:p>
    <w:p>
      <w:pPr>
        <w:pStyle w:val="BodyText"/>
        <w:rPr>
          <w:sz w:val="20"/>
        </w:rPr>
      </w:pPr>
    </w:p>
    <w:p>
      <w:pPr>
        <w:pStyle w:val="BodyText"/>
        <w:spacing w:before="8"/>
        <w:rPr>
          <w:sz w:val="21"/>
        </w:rPr>
      </w:pPr>
    </w:p>
    <w:p>
      <w:pPr>
        <w:spacing w:after="0"/>
        <w:rPr>
          <w:sz w:val="21"/>
        </w:rPr>
        <w:sectPr>
          <w:footerReference w:type="default" r:id="rId39"/>
          <w:pgSz w:w="16840" w:h="11910" w:orient="landscape"/>
          <w:pgMar w:footer="448" w:header="0" w:top="0" w:bottom="640" w:left="0" w:right="0"/>
        </w:sectPr>
      </w:pPr>
    </w:p>
    <w:p>
      <w:pPr>
        <w:pStyle w:val="Heading1"/>
        <w:spacing w:before="192"/>
      </w:pPr>
      <w:r>
        <w:rPr>
          <w:color w:val="6F2770"/>
          <w:w w:val="90"/>
        </w:rPr>
        <w:t>Organisational</w:t>
      </w:r>
      <w:r>
        <w:rPr>
          <w:color w:val="6F2770"/>
          <w:spacing w:val="139"/>
          <w:w w:val="90"/>
        </w:rPr>
        <w:t> </w:t>
      </w:r>
      <w:r>
        <w:rPr>
          <w:color w:val="6F2770"/>
          <w:w w:val="90"/>
        </w:rPr>
        <w:t>Structure</w:t>
      </w:r>
    </w:p>
    <w:p>
      <w:pPr>
        <w:spacing w:line="208" w:lineRule="auto" w:before="124"/>
        <w:ind w:left="765" w:right="672" w:firstLine="0"/>
        <w:jc w:val="center"/>
        <w:rPr>
          <w:sz w:val="16"/>
        </w:rPr>
      </w:pPr>
      <w:r>
        <w:rPr/>
        <w:br w:type="column"/>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2" w:equalWidth="0">
            <w:col w:w="7958" w:space="6862"/>
            <w:col w:w="2020"/>
          </w:cols>
        </w:sectPr>
      </w:pPr>
    </w:p>
    <w:p>
      <w:pPr>
        <w:pStyle w:val="BodyText"/>
        <w:rPr>
          <w:sz w:val="20"/>
        </w:rPr>
      </w:pPr>
    </w:p>
    <w:p>
      <w:pPr>
        <w:pStyle w:val="BodyText"/>
        <w:rPr>
          <w:sz w:val="20"/>
        </w:rPr>
      </w:pPr>
    </w:p>
    <w:p>
      <w:pPr>
        <w:pStyle w:val="BodyText"/>
        <w:rPr>
          <w:sz w:val="20"/>
        </w:rPr>
      </w:pPr>
    </w:p>
    <w:p>
      <w:pPr>
        <w:pStyle w:val="BodyText"/>
        <w:spacing w:before="4"/>
      </w:pPr>
    </w:p>
    <w:p>
      <w:pPr>
        <w:pStyle w:val="BodyText"/>
        <w:ind w:left="760"/>
        <w:rPr>
          <w:sz w:val="20"/>
        </w:rPr>
      </w:pPr>
      <w:r>
        <w:rPr>
          <w:sz w:val="20"/>
        </w:rPr>
        <w:pict>
          <v:group style="width:765.9pt;height:196.9pt;mso-position-horizontal-relative:char;mso-position-vertical-relative:line" coordorigin="0,0" coordsize="15318,3938">
            <v:shape style="position:absolute;left:5;top:2971;width:15308;height:967" coordorigin="5,2972" coordsize="15308,967" path="m15142,2972l175,2972,77,2974,26,2993,8,3043,5,3142,5,3768,8,3866,26,3917,77,3935,175,3938,15142,3938,15240,3935,15291,3917,15309,3866,15312,3768,15312,3142,15309,3043,15291,2993,15240,2974,15142,2972xe" filled="true" fillcolor="#6c7c54" stroked="false">
              <v:path arrowok="t"/>
              <v:fill type="solid"/>
            </v:shape>
            <v:line style="position:absolute" from="7659,2972" to="7659,1397" stroked="true" strokeweight="2pt" strokecolor="#808285">
              <v:stroke dashstyle="solid"/>
            </v:line>
            <v:line style="position:absolute" from="14303,2972" to="14303,1397" stroked="true" strokeweight="2pt" strokecolor="#808285">
              <v:stroke dashstyle="solid"/>
            </v:line>
            <v:line style="position:absolute" from="2091,2184" to="2216,2184" stroked="true" strokeweight="2pt" strokecolor="#808285">
              <v:stroke dashstyle="solid"/>
            </v:line>
            <v:shape style="position:absolute;left:5;top:1719;width:2088;height:967" coordorigin="5,1720" coordsize="2088,967" path="m1922,1720l175,1720,77,1723,26,1741,8,1792,5,1890,5,2516,8,2615,26,2665,77,2684,175,2686,1922,2686,2021,2684,2071,2665,2090,2615,2092,2516,2092,1890,2090,1792,2071,1741,2021,1723,1922,1720xe" filled="true" fillcolor="#b1b4b6" stroked="false">
              <v:path arrowok="t"/>
              <v:fill type="solid"/>
            </v:shape>
            <v:shape style="position:absolute;left:2208;top:1699;width:13104;height:967" coordorigin="2208,1700" coordsize="13104,967" path="m15142,1700l2378,1700,2280,1702,2230,1721,2211,1771,2208,1870,2208,2496,2211,2594,2230,2645,2280,2663,2378,2666,15142,2666,15240,2663,15291,2645,15309,2594,15312,2496,15312,1870,15309,1771,15291,1721,15240,1702,15142,1700xe" filled="true" fillcolor="#9b85a0" stroked="false">
              <v:path arrowok="t"/>
              <v:fill type="solid"/>
            </v:shape>
            <v:shape style="position:absolute;left:12938;top:5;width:2379;height:1392" coordorigin="12939,5" coordsize="2379,1392" path="m15147,5l13109,5,13011,8,12960,26,12941,77,12939,175,12939,1226,12941,1325,12960,1375,13011,1394,13109,1397,15147,1397,15245,1394,15296,1375,15314,1325,15317,1226,15317,175,15314,77,15296,26,15245,8,15147,5xe" filled="true" fillcolor="#e6dee7" stroked="false">
              <v:path arrowok="t"/>
              <v:fill type="solid"/>
            </v:shape>
            <v:shape style="position:absolute;left:5;top:5;width:12791;height:1392" coordorigin="5,5" coordsize="12791,1392" path="m12626,5l175,5,77,8,26,26,8,77,5,175,5,1226,8,1325,26,1375,77,1394,175,1397,12626,1397,12724,1394,12774,1375,12793,1325,12796,1226,12796,175,12793,77,12774,26,12724,8,12626,5xe" filled="true" fillcolor="#e6dee7" stroked="false">
              <v:path arrowok="t"/>
              <v:fill type="solid"/>
            </v:shape>
            <v:shape style="position:absolute;left:5;top:5;width:12791;height:1392" coordorigin="5,5" coordsize="12791,1392" path="m175,5l77,8,26,26,8,77,5,175,5,1226,8,1325,26,1375,77,1394,175,1397,12626,1397,12724,1394,12774,1375,12793,1325,12796,1226,12796,175,12793,77,12774,26,12724,8,12626,5,175,5xe" filled="false" stroked="true" strokeweight=".5pt" strokecolor="#6f2671">
              <v:path arrowok="t"/>
              <v:stroke dashstyle="solid"/>
            </v:shape>
            <v:shape style="position:absolute;left:12943;top:5;width:2369;height:1392" coordorigin="12944,5" coordsize="2369,1392" path="m13114,5l13016,8,12965,26,12946,77,12944,175,12944,1226,12946,1325,12965,1375,13016,1394,13114,1397,15142,1397,15240,1394,15291,1375,15309,1325,15312,1226,15312,175,15309,77,15291,26,15240,8,15142,5,13114,5xe" filled="false" stroked="true" strokeweight=".5pt" strokecolor="#6f2671">
              <v:path arrowok="t"/>
              <v:stroke dashstyle="solid"/>
            </v:shape>
            <v:shape style="position:absolute;left:10;top:1724;width:2078;height:957" coordorigin="10,1725" coordsize="2078,957" path="m175,1725l146,1728,90,1746,35,1795,10,1890,10,2516,13,2545,31,2601,81,2656,175,2681,1922,2681,1951,2678,2007,2660,2062,2611,2087,2516,2087,1890,2084,1861,2066,1805,2017,1750,1922,1725,175,1725xe" filled="false" stroked="true" strokeweight=".5pt" strokecolor="#6b6c6f">
              <v:path arrowok="t"/>
              <v:stroke dashstyle="solid"/>
            </v:shape>
            <v:shape style="position:absolute;left:10;top:2976;width:15298;height:957" coordorigin="10,2977" coordsize="15298,957" path="m175,2977l146,2979,90,2998,35,3047,10,3142,10,3768,13,3796,31,3853,81,3908,175,3933,15142,3933,15171,3930,15227,3911,15282,3862,15307,3768,15307,3142,15304,3113,15286,3057,15237,3001,15142,2977,175,2977xe" filled="false" stroked="true" strokeweight=".5pt" strokecolor="#475b29">
              <v:path arrowok="t"/>
              <v:stroke dashstyle="solid"/>
            </v:shape>
            <v:shape style="position:absolute;left:2208;top:1699;width:13104;height:967" coordorigin="2208,1700" coordsize="13104,967" path="m2378,1700l2280,1702,2230,1721,2211,1771,2208,1870,2208,2496,2211,2594,2230,2645,2280,2663,2378,2666,15142,2666,15240,2663,15291,2645,15309,2594,15312,2496,15312,1870,15309,1771,15291,1721,15240,1702,15142,1700,2378,1700xe" filled="false" stroked="true" strokeweight=".5pt" strokecolor="#360b41">
              <v:path arrowok="t"/>
              <v:stroke dashstyle="solid"/>
            </v:shape>
            <v:shape style="position:absolute;left:5068;top:521;width:2685;height:335" type="#_x0000_t202" filled="false" stroked="false">
              <v:textbox inset="0,0,0,0">
                <w:txbxContent>
                  <w:p>
                    <w:pPr>
                      <w:spacing w:before="10"/>
                      <w:ind w:left="0" w:right="0" w:firstLine="0"/>
                      <w:jc w:val="left"/>
                      <w:rPr>
                        <w:b/>
                        <w:sz w:val="28"/>
                      </w:rPr>
                    </w:pPr>
                    <w:r>
                      <w:rPr>
                        <w:b/>
                        <w:color w:val="6F2770"/>
                        <w:sz w:val="28"/>
                      </w:rPr>
                      <w:t>Minister for Finance</w:t>
                    </w:r>
                  </w:p>
                </w:txbxContent>
              </v:textbox>
              <w10:wrap type="none"/>
            </v:shape>
            <v:shape style="position:absolute;left:13360;top:337;width:1555;height:671" type="#_x0000_t202" filled="false" stroked="false">
              <v:textbox inset="0,0,0,0">
                <w:txbxContent>
                  <w:p>
                    <w:pPr>
                      <w:spacing w:line="249" w:lineRule="auto" w:before="10"/>
                      <w:ind w:left="300" w:right="11" w:hanging="301"/>
                      <w:jc w:val="left"/>
                      <w:rPr>
                        <w:b/>
                        <w:sz w:val="28"/>
                      </w:rPr>
                    </w:pPr>
                    <w:r>
                      <w:rPr>
                        <w:b/>
                        <w:color w:val="6F2770"/>
                        <w:sz w:val="28"/>
                      </w:rPr>
                      <w:t>Minister for Energy</w:t>
                    </w:r>
                  </w:p>
                </w:txbxContent>
              </v:textbox>
              <w10:wrap type="none"/>
            </v:shape>
            <v:shape style="position:absolute;left:149;top:2025;width:1819;height:335" type="#_x0000_t202" filled="false" stroked="false">
              <v:textbox inset="0,0,0,0">
                <w:txbxContent>
                  <w:p>
                    <w:pPr>
                      <w:spacing w:before="10"/>
                      <w:ind w:left="0" w:right="0" w:firstLine="0"/>
                      <w:jc w:val="left"/>
                      <w:rPr>
                        <w:b/>
                        <w:sz w:val="28"/>
                      </w:rPr>
                    </w:pPr>
                    <w:r>
                      <w:rPr>
                        <w:b/>
                        <w:color w:val="FFFFFF"/>
                        <w:sz w:val="28"/>
                      </w:rPr>
                      <w:t>Internal Audit</w:t>
                    </w:r>
                  </w:p>
                </w:txbxContent>
              </v:textbox>
              <w10:wrap type="none"/>
            </v:shape>
            <v:shape style="position:absolute;left:7658;top:1853;width:2224;height:641" type="#_x0000_t202" filled="false" stroked="false">
              <v:textbox inset="0,0,0,0">
                <w:txbxContent>
                  <w:p>
                    <w:pPr>
                      <w:spacing w:before="10"/>
                      <w:ind w:left="-1" w:right="18" w:firstLine="0"/>
                      <w:jc w:val="center"/>
                      <w:rPr>
                        <w:b/>
                        <w:sz w:val="28"/>
                      </w:rPr>
                    </w:pPr>
                    <w:r>
                      <w:rPr>
                        <w:b/>
                        <w:color w:val="FFFFFF"/>
                        <w:sz w:val="28"/>
                      </w:rPr>
                      <w:t>Director</w:t>
                    </w:r>
                    <w:r>
                      <w:rPr>
                        <w:b/>
                        <w:color w:val="FFFFFF"/>
                        <w:spacing w:val="11"/>
                        <w:sz w:val="28"/>
                      </w:rPr>
                      <w:t> </w:t>
                    </w:r>
                    <w:r>
                      <w:rPr>
                        <w:b/>
                        <w:color w:val="FFFFFF"/>
                        <w:spacing w:val="-3"/>
                        <w:sz w:val="28"/>
                      </w:rPr>
                      <w:t>General</w:t>
                    </w:r>
                  </w:p>
                  <w:p>
                    <w:pPr>
                      <w:spacing w:before="54"/>
                      <w:ind w:left="0" w:right="18" w:firstLine="0"/>
                      <w:jc w:val="center"/>
                      <w:rPr>
                        <w:sz w:val="22"/>
                      </w:rPr>
                    </w:pPr>
                    <w:r>
                      <w:rPr>
                        <w:color w:val="FFFFFF"/>
                        <w:sz w:val="22"/>
                      </w:rPr>
                      <w:t>Anne Nolan</w:t>
                    </w:r>
                  </w:p>
                </w:txbxContent>
              </v:textbox>
              <w10:wrap type="none"/>
            </v:shape>
            <v:shape style="position:absolute;left:6129;top:3247;width:3079;height:335" type="#_x0000_t202" filled="false" stroked="false">
              <v:textbox inset="0,0,0,0">
                <w:txbxContent>
                  <w:p>
                    <w:pPr>
                      <w:spacing w:before="10"/>
                      <w:ind w:left="0" w:right="0" w:firstLine="0"/>
                      <w:jc w:val="left"/>
                      <w:rPr>
                        <w:b/>
                        <w:sz w:val="28"/>
                      </w:rPr>
                    </w:pPr>
                    <w:r>
                      <w:rPr>
                        <w:b/>
                        <w:color w:val="FFFFFF"/>
                        <w:sz w:val="28"/>
                      </w:rPr>
                      <w:t>Department of Finance</w:t>
                    </w:r>
                  </w:p>
                </w:txbxContent>
              </v:textbox>
              <w10:wrap type="none"/>
            </v:shape>
          </v:group>
        </w:pict>
      </w:r>
      <w:r>
        <w:rPr>
          <w:sz w:val="20"/>
        </w:rPr>
      </w:r>
    </w:p>
    <w:p>
      <w:pPr>
        <w:pStyle w:val="BodyText"/>
        <w:rPr>
          <w:sz w:val="5"/>
        </w:rPr>
      </w:pPr>
    </w:p>
    <w:p>
      <w:pPr>
        <w:spacing w:line="240" w:lineRule="auto"/>
        <w:ind w:left="765" w:right="0" w:firstLine="0"/>
        <w:rPr>
          <w:sz w:val="20"/>
        </w:rPr>
      </w:pPr>
      <w:r>
        <w:rPr>
          <w:sz w:val="20"/>
        </w:rPr>
        <w:pict>
          <v:group style="width:102.95pt;height:115.05pt;mso-position-horizontal-relative:char;mso-position-vertical-relative:line" coordorigin="0,0" coordsize="2059,2301">
            <v:shape style="position:absolute;left:0;top:473;width:2059;height:1827" coordorigin="0,474" coordsize="2059,1827" path="m1888,474l170,474,72,476,21,495,3,545,0,644,0,2130,3,2228,21,2279,72,2297,170,2300,1888,2300,1987,2297,2037,2279,2056,2228,2058,2130,2058,644,2056,545,2037,495,1987,476,1888,474xe" filled="true" fillcolor="#c5cd71" stroked="false">
              <v:path arrowok="t"/>
              <v:fill type="solid"/>
            </v:shape>
            <v:shape style="position:absolute;left:0;top:0;width:2059;height:1162" coordorigin="0,0" coordsize="2059,1162" path="m1888,0l170,0,72,3,21,21,3,72,0,170,0,1161,2058,1161,2058,170,2056,72,2037,21,1987,3,1888,0xe" filled="true" fillcolor="#7da063" stroked="false">
              <v:path arrowok="t"/>
              <v:fill type="solid"/>
            </v:shape>
            <v:shape style="position:absolute;left:5;top:5;width:2049;height:1152" coordorigin="5,5" coordsize="2049,1152" path="m170,5l141,8,85,26,30,76,5,170,5,1156,2053,1156,2053,170,2050,141,2032,85,1983,30,1888,5,170,5xe" filled="false" stroked="true" strokeweight=".5pt" strokecolor="#5d883c">
              <v:path arrowok="t"/>
              <v:stroke dashstyle="solid"/>
            </v:shape>
            <v:shape style="position:absolute;left:5;top:1169;width:2049;height:1126" coordorigin="5,1169" coordsize="2049,1126" path="m5,1169l5,2130,8,2159,26,2215,76,2270,170,2295,1888,2295,1917,2292,1973,2274,2028,2225,2053,2130,2053,2050,2053,1970,2053,1890,2053,1810,2053,1730,2053,1650,2053,1570,2053,1490,2053,1410,2053,1329,2053,1249,2053,1169,5,1169xe" filled="false" stroked="true" strokeweight=".5pt" strokecolor="#aebd37">
              <v:path arrowok="t"/>
              <v:stroke dashstyle="solid"/>
            </v:shape>
            <v:shape style="position:absolute;left:572;top:303;width:933;height:527" type="#_x0000_t202" filled="false" stroked="false">
              <v:textbox inset="0,0,0,0">
                <w:txbxContent>
                  <w:p>
                    <w:pPr>
                      <w:spacing w:line="249" w:lineRule="auto" w:before="8"/>
                      <w:ind w:left="0" w:right="0" w:firstLine="181"/>
                      <w:jc w:val="left"/>
                      <w:rPr>
                        <w:b/>
                        <w:sz w:val="22"/>
                      </w:rPr>
                    </w:pPr>
                    <w:r>
                      <w:rPr>
                        <w:b/>
                        <w:color w:val="FFFFFF"/>
                        <w:sz w:val="22"/>
                      </w:rPr>
                      <w:t>State </w:t>
                    </w:r>
                    <w:r>
                      <w:rPr>
                        <w:b/>
                        <w:color w:val="FFFFFF"/>
                        <w:w w:val="95"/>
                        <w:sz w:val="22"/>
                      </w:rPr>
                      <w:t>Revenue</w:t>
                    </w:r>
                  </w:p>
                </w:txbxContent>
              </v:textbox>
              <w10:wrap type="none"/>
            </v:shape>
            <v:shape style="position:absolute;left:249;top:1418;width:1581;height:489" type="#_x0000_t202" filled="false" stroked="false">
              <v:textbox inset="0,0,0,0">
                <w:txbxContent>
                  <w:p>
                    <w:pPr>
                      <w:spacing w:before="8"/>
                      <w:ind w:left="0" w:right="18" w:firstLine="0"/>
                      <w:jc w:val="center"/>
                      <w:rPr>
                        <w:b/>
                        <w:sz w:val="22"/>
                      </w:rPr>
                    </w:pPr>
                    <w:r>
                      <w:rPr>
                        <w:b/>
                        <w:color w:val="FFFFFF"/>
                        <w:sz w:val="22"/>
                      </w:rPr>
                      <w:t>Nicki </w:t>
                    </w:r>
                    <w:r>
                      <w:rPr>
                        <w:b/>
                        <w:color w:val="FFFFFF"/>
                        <w:spacing w:val="-3"/>
                        <w:sz w:val="22"/>
                      </w:rPr>
                      <w:t>Suchenia</w:t>
                    </w:r>
                  </w:p>
                  <w:p>
                    <w:pPr>
                      <w:spacing w:before="43"/>
                      <w:ind w:left="0" w:right="18" w:firstLine="0"/>
                      <w:jc w:val="center"/>
                      <w:rPr>
                        <w:sz w:val="16"/>
                      </w:rPr>
                    </w:pPr>
                    <w:r>
                      <w:rPr>
                        <w:color w:val="FFFFFF"/>
                        <w:sz w:val="16"/>
                      </w:rPr>
                      <w:t>Commissioner</w:t>
                    </w:r>
                  </w:p>
                </w:txbxContent>
              </v:textbox>
              <w10:wrap type="none"/>
            </v:shape>
          </v:group>
        </w:pict>
      </w:r>
      <w:r>
        <w:rPr>
          <w:sz w:val="20"/>
        </w:rPr>
      </w:r>
      <w:r>
        <w:rPr>
          <w:rFonts w:ascii="Times New Roman"/>
          <w:spacing w:val="16"/>
          <w:sz w:val="20"/>
        </w:rPr>
        <w:t> </w:t>
      </w:r>
      <w:r>
        <w:rPr>
          <w:spacing w:val="16"/>
          <w:sz w:val="20"/>
        </w:rPr>
        <w:pict>
          <v:group style="width:102.95pt;height:115.05pt;mso-position-horizontal-relative:char;mso-position-vertical-relative:line" coordorigin="0,0" coordsize="2059,2301">
            <v:shape style="position:absolute;left:0;top:473;width:2059;height:1827" coordorigin="0,474" coordsize="2059,1827" path="m1888,474l170,474,72,476,21,495,3,545,0,644,0,2130,3,2228,21,2279,72,2297,170,2300,1888,2300,1987,2297,2037,2279,2056,2228,2058,2130,2058,644,2056,545,2037,495,1987,476,1888,474xe" filled="true" fillcolor="#c5cd71" stroked="false">
              <v:path arrowok="t"/>
              <v:fill type="solid"/>
            </v:shape>
            <v:shape style="position:absolute;left:0;top:0;width:2059;height:1162" coordorigin="0,0" coordsize="2059,1162" path="m1888,0l170,0,72,3,21,21,3,72,0,170,0,1161,2058,1161,2058,170,2056,72,2037,21,1987,3,1888,0xe" filled="true" fillcolor="#7da063" stroked="false">
              <v:path arrowok="t"/>
              <v:fill type="solid"/>
            </v:shape>
            <v:shape style="position:absolute;left:5;top:5;width:2049;height:1152" coordorigin="5,5" coordsize="2049,1152" path="m170,5l141,8,85,26,30,76,5,170,5,1156,2053,1156,2053,170,2050,141,2032,85,1983,30,1888,5,170,5xe" filled="false" stroked="true" strokeweight=".5pt" strokecolor="#5d883c">
              <v:path arrowok="t"/>
              <v:stroke dashstyle="solid"/>
            </v:shape>
            <v:shape style="position:absolute;left:5;top:1169;width:2049;height:1126" coordorigin="5,1169" coordsize="2049,1126" path="m5,1169l5,2130,8,2159,26,2215,76,2270,170,2295,1888,2295,1917,2292,1973,2274,2028,2225,2053,2130,2053,2050,2053,1970,2053,1890,2053,1810,2053,1730,2053,1650,2053,1570,2053,1490,2053,1410,2053,1329,2053,1249,2053,1169,5,1169xe" filled="false" stroked="true" strokeweight=".5pt" strokecolor="#aebd37">
              <v:path arrowok="t"/>
              <v:stroke dashstyle="solid"/>
            </v:shape>
            <v:shape style="position:absolute;left:348;top:303;width:1381;height:527" type="#_x0000_t202" filled="false" stroked="false">
              <v:textbox inset="0,0,0,0">
                <w:txbxContent>
                  <w:p>
                    <w:pPr>
                      <w:spacing w:line="249" w:lineRule="auto" w:before="8"/>
                      <w:ind w:left="0" w:right="3" w:firstLine="32"/>
                      <w:jc w:val="left"/>
                      <w:rPr>
                        <w:b/>
                        <w:sz w:val="22"/>
                      </w:rPr>
                    </w:pPr>
                    <w:r>
                      <w:rPr>
                        <w:b/>
                        <w:color w:val="FFFFFF"/>
                        <w:sz w:val="22"/>
                      </w:rPr>
                      <w:t>Government Procurement</w:t>
                    </w:r>
                  </w:p>
                </w:txbxContent>
              </v:textbox>
              <w10:wrap type="none"/>
            </v:shape>
            <v:shape style="position:absolute;left:177;top:1418;width:1723;height:489" type="#_x0000_t202" filled="false" stroked="false">
              <v:textbox inset="0,0,0,0">
                <w:txbxContent>
                  <w:p>
                    <w:pPr>
                      <w:spacing w:before="8"/>
                      <w:ind w:left="0" w:right="18" w:firstLine="0"/>
                      <w:jc w:val="center"/>
                      <w:rPr>
                        <w:b/>
                        <w:sz w:val="22"/>
                      </w:rPr>
                    </w:pPr>
                    <w:r>
                      <w:rPr>
                        <w:b/>
                        <w:color w:val="FFFFFF"/>
                        <w:sz w:val="22"/>
                      </w:rPr>
                      <w:t>Stephanie Black</w:t>
                    </w:r>
                  </w:p>
                  <w:p>
                    <w:pPr>
                      <w:spacing w:before="43"/>
                      <w:ind w:left="0" w:right="18" w:firstLine="0"/>
                      <w:jc w:val="center"/>
                      <w:rPr>
                        <w:sz w:val="16"/>
                      </w:rPr>
                    </w:pPr>
                    <w:r>
                      <w:rPr>
                        <w:color w:val="FFFFFF"/>
                        <w:sz w:val="16"/>
                      </w:rPr>
                      <w:t>Executive Director</w:t>
                    </w:r>
                  </w:p>
                </w:txbxContent>
              </v:textbox>
              <w10:wrap type="none"/>
            </v:shape>
          </v:group>
        </w:pict>
      </w:r>
      <w:r>
        <w:rPr>
          <w:spacing w:val="16"/>
          <w:sz w:val="20"/>
        </w:rPr>
      </w:r>
      <w:r>
        <w:rPr>
          <w:rFonts w:ascii="Times New Roman"/>
          <w:spacing w:val="16"/>
          <w:sz w:val="20"/>
        </w:rPr>
        <w:t> </w:t>
      </w:r>
      <w:r>
        <w:rPr>
          <w:spacing w:val="16"/>
          <w:sz w:val="20"/>
        </w:rPr>
        <w:pict>
          <v:group style="width:102.95pt;height:115.05pt;mso-position-horizontal-relative:char;mso-position-vertical-relative:line" coordorigin="0,0" coordsize="2059,2301">
            <v:shape style="position:absolute;left:0;top:473;width:2059;height:1827" coordorigin="0,474" coordsize="2059,1827" path="m1888,474l170,474,72,476,21,495,3,545,0,644,0,2130,3,2228,21,2279,72,2297,170,2300,1888,2300,1987,2297,2037,2279,2056,2228,2058,2130,2058,644,2056,545,2037,495,1987,476,1888,474xe" filled="true" fillcolor="#c5cd71" stroked="false">
              <v:path arrowok="t"/>
              <v:fill type="solid"/>
            </v:shape>
            <v:shape style="position:absolute;left:0;top:0;width:2059;height:1162" coordorigin="0,0" coordsize="2059,1162" path="m1888,0l170,0,72,3,21,21,3,72,0,170,0,1161,2058,1161,2058,170,2056,72,2037,21,1987,3,1888,0xe" filled="true" fillcolor="#7da063" stroked="false">
              <v:path arrowok="t"/>
              <v:fill type="solid"/>
            </v:shape>
            <v:shape style="position:absolute;left:5;top:5;width:2049;height:1152" coordorigin="5,5" coordsize="2049,1152" path="m170,5l141,8,85,26,30,76,5,170,5,1156,2053,1156,2053,170,2050,141,2032,85,1983,30,1888,5,170,5xe" filled="false" stroked="true" strokeweight=".5pt" strokecolor="#5d883c">
              <v:path arrowok="t"/>
              <v:stroke dashstyle="solid"/>
            </v:shape>
            <v:shape style="position:absolute;left:5;top:1169;width:2049;height:1126" coordorigin="5,1169" coordsize="2049,1126" path="m5,1169l5,2130,8,2159,26,2215,76,2270,170,2295,1888,2295,1917,2292,1973,2274,2028,2225,2053,2130,2053,2050,2053,1970,2053,1890,2053,1810,2053,1730,2053,1650,2053,1570,2053,1490,2053,1410,2053,1329,2053,1249,2053,1169,5,1169xe" filled="false" stroked="true" strokeweight=".5pt" strokecolor="#aebd37">
              <v:path arrowok="t"/>
              <v:stroke dashstyle="solid"/>
            </v:shape>
            <v:shape style="position:absolute;left:340;top:171;width:1397;height:791" type="#_x0000_t202" filled="false" stroked="false">
              <v:textbox inset="0,0,0,0">
                <w:txbxContent>
                  <w:p>
                    <w:pPr>
                      <w:spacing w:line="249" w:lineRule="auto" w:before="8"/>
                      <w:ind w:left="0" w:right="18" w:firstLine="0"/>
                      <w:jc w:val="center"/>
                      <w:rPr>
                        <w:b/>
                        <w:sz w:val="22"/>
                      </w:rPr>
                    </w:pPr>
                    <w:r>
                      <w:rPr>
                        <w:b/>
                        <w:color w:val="FFFFFF"/>
                        <w:sz w:val="22"/>
                      </w:rPr>
                      <w:t>Building Management and Works</w:t>
                    </w:r>
                  </w:p>
                </w:txbxContent>
              </v:textbox>
              <w10:wrap type="none"/>
            </v:shape>
            <v:shape style="position:absolute;left:202;top:1418;width:1674;height:489" type="#_x0000_t202" filled="false" stroked="false">
              <v:textbox inset="0,0,0,0">
                <w:txbxContent>
                  <w:p>
                    <w:pPr>
                      <w:spacing w:before="8"/>
                      <w:ind w:left="0" w:right="18" w:firstLine="0"/>
                      <w:jc w:val="center"/>
                      <w:rPr>
                        <w:b/>
                        <w:sz w:val="22"/>
                      </w:rPr>
                    </w:pPr>
                    <w:r>
                      <w:rPr>
                        <w:b/>
                        <w:color w:val="FFFFFF"/>
                        <w:sz w:val="22"/>
                      </w:rPr>
                      <w:t>Bill Sullivan</w:t>
                    </w:r>
                  </w:p>
                  <w:p>
                    <w:pPr>
                      <w:spacing w:before="43"/>
                      <w:ind w:left="0" w:right="18" w:firstLine="0"/>
                      <w:jc w:val="center"/>
                      <w:rPr>
                        <w:sz w:val="16"/>
                      </w:rPr>
                    </w:pPr>
                    <w:r>
                      <w:rPr>
                        <w:color w:val="FFFFFF"/>
                        <w:w w:val="95"/>
                        <w:sz w:val="16"/>
                      </w:rPr>
                      <w:t>Deputy Director General</w:t>
                    </w:r>
                  </w:p>
                </w:txbxContent>
              </v:textbox>
              <w10:wrap type="none"/>
            </v:shape>
          </v:group>
        </w:pict>
      </w:r>
      <w:r>
        <w:rPr>
          <w:spacing w:val="16"/>
          <w:sz w:val="20"/>
        </w:rPr>
      </w:r>
      <w:r>
        <w:rPr>
          <w:rFonts w:ascii="Times New Roman"/>
          <w:spacing w:val="16"/>
          <w:sz w:val="20"/>
        </w:rPr>
        <w:t> </w:t>
      </w:r>
      <w:r>
        <w:rPr>
          <w:spacing w:val="16"/>
          <w:sz w:val="20"/>
        </w:rPr>
        <w:pict>
          <v:group style="width:102.95pt;height:115.05pt;mso-position-horizontal-relative:char;mso-position-vertical-relative:line" coordorigin="0,0" coordsize="2059,2301">
            <v:shape style="position:absolute;left:0;top:473;width:2059;height:1827" coordorigin="0,474" coordsize="2059,1827" path="m1888,474l170,474,72,476,21,495,3,545,0,644,0,2130,3,2228,21,2279,72,2297,170,2300,1888,2300,1987,2297,2037,2279,2056,2228,2058,2130,2058,644,2056,545,2037,495,1987,476,1888,474xe" filled="true" fillcolor="#c5cd71" stroked="false">
              <v:path arrowok="t"/>
              <v:fill type="solid"/>
            </v:shape>
            <v:shape style="position:absolute;left:0;top:0;width:2059;height:1162" coordorigin="0,0" coordsize="2059,1162" path="m1888,0l170,0,72,3,21,21,3,72,0,170,0,1161,2058,1161,2058,170,2056,72,2037,21,1987,3,1888,0xe" filled="true" fillcolor="#7da063" stroked="false">
              <v:path arrowok="t"/>
              <v:fill type="solid"/>
            </v:shape>
            <v:shape style="position:absolute;left:5;top:5;width:2049;height:1152" coordorigin="5,5" coordsize="2049,1152" path="m170,5l141,8,85,26,30,76,5,170,5,1156,2053,1156,2053,170,2050,141,2032,85,1983,30,1888,5,170,5xe" filled="false" stroked="true" strokeweight=".5pt" strokecolor="#5d883c">
              <v:path arrowok="t"/>
              <v:stroke dashstyle="solid"/>
            </v:shape>
            <v:shape style="position:absolute;left:5;top:1169;width:2049;height:1126" coordorigin="5,1169" coordsize="2049,1126" path="m5,1169l5,2130,8,2159,26,2215,76,2270,170,2295,1888,2295,1917,2292,1973,2274,2028,2225,2053,2130,2053,2050,2053,1970,2053,1890,2053,1810,2053,1730,2053,1650,2053,1570,2053,1490,2053,1410,2053,1329,2053,1249,2053,1169,5,1169xe" filled="false" stroked="true" strokeweight=".5pt" strokecolor="#aebd37">
              <v:path arrowok="t"/>
              <v:stroke dashstyle="solid"/>
            </v:shape>
            <v:shape style="position:absolute;left:503;top:303;width:1071;height:527" type="#_x0000_t202" filled="false" stroked="false">
              <v:textbox inset="0,0,0,0">
                <w:txbxContent>
                  <w:p>
                    <w:pPr>
                      <w:spacing w:line="249" w:lineRule="auto" w:before="8"/>
                      <w:ind w:left="136" w:right="0" w:hanging="137"/>
                      <w:jc w:val="left"/>
                      <w:rPr>
                        <w:b/>
                        <w:sz w:val="22"/>
                      </w:rPr>
                    </w:pPr>
                    <w:r>
                      <w:rPr>
                        <w:b/>
                        <w:color w:val="FFFFFF"/>
                        <w:sz w:val="22"/>
                      </w:rPr>
                      <w:t>Economic Reform</w:t>
                    </w:r>
                  </w:p>
                </w:txbxContent>
              </v:textbox>
              <w10:wrap type="none"/>
            </v:shape>
            <v:shape style="position:absolute;left:231;top:1418;width:1617;height:489" type="#_x0000_t202" filled="false" stroked="false">
              <v:textbox inset="0,0,0,0">
                <w:txbxContent>
                  <w:p>
                    <w:pPr>
                      <w:spacing w:before="8"/>
                      <w:ind w:left="0" w:right="18" w:firstLine="0"/>
                      <w:jc w:val="center"/>
                      <w:rPr>
                        <w:b/>
                        <w:sz w:val="22"/>
                      </w:rPr>
                    </w:pPr>
                    <w:r>
                      <w:rPr>
                        <w:b/>
                        <w:color w:val="FFFFFF"/>
                        <w:sz w:val="22"/>
                      </w:rPr>
                      <w:t>Andrew </w:t>
                    </w:r>
                    <w:r>
                      <w:rPr>
                        <w:b/>
                        <w:color w:val="FFFFFF"/>
                        <w:spacing w:val="-3"/>
                        <w:sz w:val="22"/>
                      </w:rPr>
                      <w:t>Dolling</w:t>
                    </w:r>
                  </w:p>
                  <w:p>
                    <w:pPr>
                      <w:spacing w:before="43"/>
                      <w:ind w:left="0" w:right="18" w:firstLine="0"/>
                      <w:jc w:val="center"/>
                      <w:rPr>
                        <w:sz w:val="16"/>
                      </w:rPr>
                    </w:pPr>
                    <w:r>
                      <w:rPr>
                        <w:color w:val="FFFFFF"/>
                        <w:sz w:val="16"/>
                      </w:rPr>
                      <w:t>Director</w:t>
                    </w:r>
                  </w:p>
                </w:txbxContent>
              </v:textbox>
              <w10:wrap type="none"/>
            </v:shape>
          </v:group>
        </w:pict>
      </w:r>
      <w:r>
        <w:rPr>
          <w:spacing w:val="16"/>
          <w:sz w:val="20"/>
        </w:rPr>
      </w:r>
      <w:r>
        <w:rPr>
          <w:rFonts w:ascii="Times New Roman"/>
          <w:spacing w:val="16"/>
          <w:sz w:val="20"/>
        </w:rPr>
        <w:t> </w:t>
      </w:r>
      <w:r>
        <w:rPr>
          <w:spacing w:val="16"/>
          <w:sz w:val="20"/>
        </w:rPr>
        <w:pict>
          <v:group style="width:102.95pt;height:115.05pt;mso-position-horizontal-relative:char;mso-position-vertical-relative:line" coordorigin="0,0" coordsize="2059,2301">
            <v:shape style="position:absolute;left:0;top:473;width:2059;height:1827" coordorigin="0,474" coordsize="2059,1827" path="m1888,474l170,474,72,476,21,495,3,545,0,644,0,2130,3,2228,21,2279,72,2297,170,2300,1888,2300,1987,2297,2037,2279,2056,2228,2058,2130,2058,644,2056,545,2037,495,1987,476,1888,474xe" filled="true" fillcolor="#c5cd71" stroked="false">
              <v:path arrowok="t"/>
              <v:fill type="solid"/>
            </v:shape>
            <v:shape style="position:absolute;left:0;top:0;width:2059;height:1162" coordorigin="0,0" coordsize="2059,1162" path="m1888,0l170,0,72,3,21,21,3,72,0,170,0,1161,2058,1161,2058,170,2056,72,2037,21,1987,3,1888,0xe" filled="true" fillcolor="#7da063" stroked="false">
              <v:path arrowok="t"/>
              <v:fill type="solid"/>
            </v:shape>
            <v:shape style="position:absolute;left:5;top:5;width:2049;height:1152" coordorigin="5,5" coordsize="2049,1152" path="m170,5l141,8,85,26,30,76,5,170,5,1156,2053,1156,2053,170,2050,141,2032,85,1983,30,1888,5,170,5xe" filled="false" stroked="true" strokeweight=".5pt" strokecolor="#5d883c">
              <v:path arrowok="t"/>
              <v:stroke dashstyle="solid"/>
            </v:shape>
            <v:shape style="position:absolute;left:5;top:1169;width:2049;height:1126" coordorigin="5,1169" coordsize="2049,1126" path="m5,1169l5,2130,8,2159,26,2215,76,2270,170,2295,1888,2295,1917,2292,1973,2274,2028,2225,2053,2130,2053,2050,2053,1970,2053,1890,2053,1810,2053,1730,2053,1650,2053,1570,2053,1490,2053,1410,2053,1329,2053,1249,2053,1169,5,1169xe" filled="false" stroked="true" strokeweight=".5pt" strokecolor="#aebd37">
              <v:path arrowok="t"/>
              <v:stroke dashstyle="solid"/>
            </v:shape>
            <v:shape style="position:absolute;left:348;top:303;width:1381;height:527" type="#_x0000_t202" filled="false" stroked="false">
              <v:textbox inset="0,0,0,0">
                <w:txbxContent>
                  <w:p>
                    <w:pPr>
                      <w:spacing w:line="249" w:lineRule="auto" w:before="8"/>
                      <w:ind w:left="0" w:right="-8" w:firstLine="11"/>
                      <w:jc w:val="left"/>
                      <w:rPr>
                        <w:b/>
                        <w:sz w:val="22"/>
                      </w:rPr>
                    </w:pPr>
                    <w:r>
                      <w:rPr>
                        <w:b/>
                        <w:color w:val="FFFFFF"/>
                        <w:sz w:val="22"/>
                      </w:rPr>
                      <w:t>Strategy and Coordination</w:t>
                    </w:r>
                  </w:p>
                </w:txbxContent>
              </v:textbox>
              <w10:wrap type="none"/>
            </v:shape>
            <v:shape style="position:absolute;left:102;top:1418;width:1874;height:489" type="#_x0000_t202" filled="false" stroked="false">
              <v:textbox inset="0,0,0,0">
                <w:txbxContent>
                  <w:p>
                    <w:pPr>
                      <w:spacing w:before="8"/>
                      <w:ind w:left="0" w:right="18" w:firstLine="0"/>
                      <w:jc w:val="center"/>
                      <w:rPr>
                        <w:b/>
                        <w:sz w:val="22"/>
                      </w:rPr>
                    </w:pPr>
                    <w:r>
                      <w:rPr>
                        <w:b/>
                        <w:color w:val="FFFFFF"/>
                        <w:sz w:val="22"/>
                      </w:rPr>
                      <w:t>Shaun</w:t>
                    </w:r>
                    <w:r>
                      <w:rPr>
                        <w:b/>
                        <w:color w:val="FFFFFF"/>
                        <w:spacing w:val="-30"/>
                        <w:sz w:val="22"/>
                      </w:rPr>
                      <w:t> </w:t>
                    </w:r>
                    <w:r>
                      <w:rPr>
                        <w:b/>
                        <w:color w:val="FFFFFF"/>
                        <w:sz w:val="22"/>
                      </w:rPr>
                      <w:t>Whitmarsh</w:t>
                    </w:r>
                  </w:p>
                  <w:p>
                    <w:pPr>
                      <w:spacing w:before="43"/>
                      <w:ind w:left="0" w:right="18" w:firstLine="0"/>
                      <w:jc w:val="center"/>
                      <w:rPr>
                        <w:sz w:val="16"/>
                      </w:rPr>
                    </w:pPr>
                    <w:r>
                      <w:rPr>
                        <w:color w:val="FFFFFF"/>
                        <w:sz w:val="16"/>
                      </w:rPr>
                      <w:t>Executive Director</w:t>
                    </w:r>
                  </w:p>
                </w:txbxContent>
              </v:textbox>
              <w10:wrap type="none"/>
            </v:shape>
          </v:group>
        </w:pict>
      </w:r>
      <w:r>
        <w:rPr>
          <w:spacing w:val="16"/>
          <w:sz w:val="20"/>
        </w:rPr>
      </w:r>
      <w:r>
        <w:rPr>
          <w:rFonts w:ascii="Times New Roman"/>
          <w:spacing w:val="16"/>
          <w:sz w:val="20"/>
        </w:rPr>
        <w:t> </w:t>
      </w:r>
      <w:r>
        <w:rPr>
          <w:spacing w:val="16"/>
          <w:sz w:val="20"/>
        </w:rPr>
        <w:pict>
          <v:group style="width:102.95pt;height:115.05pt;mso-position-horizontal-relative:char;mso-position-vertical-relative:line" coordorigin="0,0" coordsize="2059,2301">
            <v:shape style="position:absolute;left:0;top:473;width:2059;height:1827" coordorigin="0,474" coordsize="2059,1827" path="m1888,474l170,474,72,476,21,495,3,545,0,644,0,2130,3,2228,21,2279,72,2297,170,2300,1888,2300,1987,2297,2037,2279,2056,2228,2058,2130,2058,644,2056,545,2037,495,1987,476,1888,474xe" filled="true" fillcolor="#c5cd71" stroked="false">
              <v:path arrowok="t"/>
              <v:fill type="solid"/>
            </v:shape>
            <v:shape style="position:absolute;left:0;top:0;width:2059;height:1162" coordorigin="0,0" coordsize="2059,1162" path="m1888,0l170,0,72,3,21,21,3,72,0,170,0,1161,2058,1161,2058,170,2056,72,2037,21,1987,3,1888,0xe" filled="true" fillcolor="#7da063" stroked="false">
              <v:path arrowok="t"/>
              <v:fill type="solid"/>
            </v:shape>
            <v:shape style="position:absolute;left:5;top:5;width:2049;height:1152" coordorigin="5,5" coordsize="2049,1152" path="m170,5l141,8,85,26,30,76,5,170,5,1156,2053,1156,2053,170,2050,141,2032,85,1983,30,1888,5,170,5xe" filled="false" stroked="true" strokeweight=".5pt" strokecolor="#5d883c">
              <v:path arrowok="t"/>
              <v:stroke dashstyle="solid"/>
            </v:shape>
            <v:shape style="position:absolute;left:5;top:1169;width:2049;height:1126" coordorigin="5,1169" coordsize="2049,1126" path="m5,1169l5,2130,8,2159,26,2215,76,2270,170,2295,1888,2295,1917,2292,1973,2274,2028,2225,2053,2130,2053,2050,2053,1970,2053,1890,2053,1810,2053,1730,2053,1650,2053,1570,2053,1490,2053,1410,2053,1329,2053,1249,2053,1169,5,1169xe" filled="false" stroked="true" strokeweight=".5pt" strokecolor="#aebd37">
              <v:path arrowok="t"/>
              <v:stroke dashstyle="solid"/>
            </v:shape>
            <v:shape style="position:absolute;left:495;top:303;width:1088;height:527" type="#_x0000_t202" filled="false" stroked="false">
              <v:textbox inset="0,0,0,0">
                <w:txbxContent>
                  <w:p>
                    <w:pPr>
                      <w:spacing w:line="249" w:lineRule="auto" w:before="8"/>
                      <w:ind w:left="85" w:right="17" w:hanging="86"/>
                      <w:jc w:val="left"/>
                      <w:rPr>
                        <w:b/>
                        <w:sz w:val="22"/>
                      </w:rPr>
                    </w:pPr>
                    <w:r>
                      <w:rPr>
                        <w:b/>
                        <w:color w:val="FFFFFF"/>
                        <w:sz w:val="22"/>
                      </w:rPr>
                      <w:t>Corporate Services</w:t>
                    </w:r>
                  </w:p>
                </w:txbxContent>
              </v:textbox>
              <w10:wrap type="none"/>
            </v:shape>
            <v:shape style="position:absolute;left:408;top:1418;width:1262;height:489" type="#_x0000_t202" filled="false" stroked="false">
              <v:textbox inset="0,0,0,0">
                <w:txbxContent>
                  <w:p>
                    <w:pPr>
                      <w:spacing w:before="8"/>
                      <w:ind w:left="24" w:right="0" w:firstLine="0"/>
                      <w:jc w:val="left"/>
                      <w:rPr>
                        <w:b/>
                        <w:sz w:val="22"/>
                      </w:rPr>
                    </w:pPr>
                    <w:r>
                      <w:rPr>
                        <w:b/>
                        <w:color w:val="FFFFFF"/>
                        <w:sz w:val="22"/>
                      </w:rPr>
                      <w:t>Andy</w:t>
                    </w:r>
                    <w:r>
                      <w:rPr>
                        <w:b/>
                        <w:color w:val="FFFFFF"/>
                        <w:spacing w:val="-18"/>
                        <w:sz w:val="22"/>
                      </w:rPr>
                      <w:t> </w:t>
                    </w:r>
                    <w:r>
                      <w:rPr>
                        <w:b/>
                        <w:color w:val="FFFFFF"/>
                        <w:spacing w:val="-3"/>
                        <w:sz w:val="22"/>
                      </w:rPr>
                      <w:t>Wood</w:t>
                    </w:r>
                  </w:p>
                  <w:p>
                    <w:pPr>
                      <w:spacing w:before="43"/>
                      <w:ind w:left="0" w:right="0" w:firstLine="0"/>
                      <w:jc w:val="left"/>
                      <w:rPr>
                        <w:sz w:val="16"/>
                      </w:rPr>
                    </w:pPr>
                    <w:r>
                      <w:rPr>
                        <w:color w:val="FFFFFF"/>
                        <w:w w:val="95"/>
                        <w:sz w:val="16"/>
                      </w:rPr>
                      <w:t>Executive</w:t>
                    </w:r>
                    <w:r>
                      <w:rPr>
                        <w:color w:val="FFFFFF"/>
                        <w:spacing w:val="8"/>
                        <w:w w:val="95"/>
                        <w:sz w:val="16"/>
                      </w:rPr>
                      <w:t> </w:t>
                    </w:r>
                    <w:r>
                      <w:rPr>
                        <w:color w:val="FFFFFF"/>
                        <w:w w:val="95"/>
                        <w:sz w:val="16"/>
                      </w:rPr>
                      <w:t>Director</w:t>
                    </w:r>
                  </w:p>
                </w:txbxContent>
              </v:textbox>
              <w10:wrap type="none"/>
            </v:shape>
          </v:group>
        </w:pict>
      </w:r>
      <w:r>
        <w:rPr>
          <w:spacing w:val="16"/>
          <w:sz w:val="20"/>
        </w:rPr>
      </w:r>
      <w:r>
        <w:rPr>
          <w:rFonts w:ascii="Times New Roman"/>
          <w:spacing w:val="66"/>
          <w:sz w:val="20"/>
        </w:rPr>
        <w:t> </w:t>
      </w:r>
      <w:r>
        <w:rPr>
          <w:spacing w:val="66"/>
          <w:sz w:val="20"/>
        </w:rPr>
        <w:pict>
          <v:group style="width:118.95pt;height:115.05pt;mso-position-horizontal-relative:char;mso-position-vertical-relative:line" coordorigin="0,0" coordsize="2379,2301">
            <v:shape style="position:absolute;left:0;top:473;width:2379;height:1827" coordorigin="0,474" coordsize="2379,1827" path="m2208,474l170,474,72,476,21,495,3,545,0,644,0,2130,3,2228,21,2279,72,2297,170,2300,2208,2300,2307,2297,2357,2279,2376,2228,2378,2130,2378,644,2376,545,2357,495,2307,476,2208,474xe" filled="true" fillcolor="#c5cd71" stroked="false">
              <v:path arrowok="t"/>
              <v:fill type="solid"/>
            </v:shape>
            <v:shape style="position:absolute;left:0;top:0;width:2379;height:1162" coordorigin="0,0" coordsize="2379,1162" path="m2208,0l170,0,72,3,21,21,3,72,0,170,0,1161,2378,1161,2378,170,2376,72,2357,21,2307,3,2208,0xe" filled="true" fillcolor="#7da063" stroked="false">
              <v:path arrowok="t"/>
              <v:fill type="solid"/>
            </v:shape>
            <v:shape style="position:absolute;left:5;top:5;width:2369;height:1152" coordorigin="5,5" coordsize="2369,1152" path="m170,5l141,8,85,26,30,76,5,170,5,1156,2373,1156,2373,170,2370,141,2352,85,2303,30,2208,5,170,5xe" filled="false" stroked="true" strokeweight=".5pt" strokecolor="#5d883c">
              <v:path arrowok="t"/>
              <v:stroke dashstyle="solid"/>
            </v:shape>
            <v:shape style="position:absolute;left:5;top:1169;width:2369;height:1126" coordorigin="5,1169" coordsize="2369,1126" path="m5,1169l5,2130,8,2159,26,2215,76,2270,170,2295,2208,2295,2237,2292,2293,2274,2348,2225,2373,2130,2373,2050,2373,1970,2373,1890,2373,1810,2373,1730,2373,1650,2373,1570,2373,1490,2373,1410,2373,1329,2373,1249,2373,1169,5,1169xe" filled="false" stroked="true" strokeweight=".5pt" strokecolor="#aebd37">
              <v:path arrowok="t"/>
              <v:stroke dashstyle="solid"/>
            </v:shape>
            <v:shape style="position:absolute;left:438;top:303;width:1522;height:543" type="#_x0000_t202" filled="false" stroked="false">
              <v:textbox inset="0,0,0,0">
                <w:txbxContent>
                  <w:p>
                    <w:pPr>
                      <w:spacing w:line="266" w:lineRule="auto" w:before="8"/>
                      <w:ind w:left="437" w:right="-13" w:hanging="438"/>
                      <w:jc w:val="left"/>
                      <w:rPr>
                        <w:b/>
                        <w:sz w:val="22"/>
                      </w:rPr>
                    </w:pPr>
                    <w:r>
                      <w:rPr>
                        <w:b/>
                        <w:color w:val="FFFFFF"/>
                        <w:sz w:val="22"/>
                      </w:rPr>
                      <w:t>Public Utilities Office</w:t>
                    </w:r>
                  </w:p>
                </w:txbxContent>
              </v:textbox>
              <w10:wrap type="none"/>
            </v:shape>
            <v:shape style="position:absolute;left:362;top:1418;width:1674;height:489" type="#_x0000_t202" filled="false" stroked="false">
              <v:textbox inset="0,0,0,0">
                <w:txbxContent>
                  <w:p>
                    <w:pPr>
                      <w:spacing w:before="8"/>
                      <w:ind w:left="0" w:right="18" w:firstLine="0"/>
                      <w:jc w:val="center"/>
                      <w:rPr>
                        <w:b/>
                        <w:sz w:val="22"/>
                      </w:rPr>
                    </w:pPr>
                    <w:r>
                      <w:rPr>
                        <w:b/>
                        <w:color w:val="FFFFFF"/>
                        <w:sz w:val="22"/>
                      </w:rPr>
                      <w:t>Ray Challen</w:t>
                    </w:r>
                  </w:p>
                  <w:p>
                    <w:pPr>
                      <w:spacing w:before="43"/>
                      <w:ind w:left="0" w:right="18" w:firstLine="0"/>
                      <w:jc w:val="center"/>
                      <w:rPr>
                        <w:sz w:val="16"/>
                      </w:rPr>
                    </w:pPr>
                    <w:r>
                      <w:rPr>
                        <w:color w:val="FFFFFF"/>
                        <w:w w:val="95"/>
                        <w:sz w:val="16"/>
                      </w:rPr>
                      <w:t>Deputy Director General</w:t>
                    </w:r>
                  </w:p>
                </w:txbxContent>
              </v:textbox>
              <w10:wrap type="none"/>
            </v:shape>
          </v:group>
        </w:pict>
      </w:r>
      <w:r>
        <w:rPr>
          <w:spacing w:val="66"/>
          <w:sz w:val="20"/>
        </w:rPr>
      </w:r>
    </w:p>
    <w:p>
      <w:pPr>
        <w:spacing w:after="0" w:line="240" w:lineRule="auto"/>
        <w:rPr>
          <w:sz w:val="20"/>
        </w:rPr>
        <w:sectPr>
          <w:type w:val="continuous"/>
          <w:pgSz w:w="16840" w:h="11910" w:orient="landscape"/>
          <w:pgMar w:top="0" w:bottom="0" w:left="0" w:right="0"/>
        </w:sectPr>
      </w:pPr>
    </w:p>
    <w:p>
      <w:pPr>
        <w:pStyle w:val="BodyText"/>
        <w:spacing w:before="1"/>
        <w:rPr>
          <w:sz w:val="17"/>
        </w:rPr>
      </w:pPr>
    </w:p>
    <w:p>
      <w:pPr>
        <w:spacing w:before="106"/>
        <w:ind w:left="0" w:right="734" w:firstLine="0"/>
        <w:jc w:val="right"/>
        <w:rPr>
          <w:sz w:val="20"/>
        </w:rPr>
      </w:pPr>
      <w:r>
        <w:rPr/>
        <w:pict>
          <v:group style="position:absolute;margin-left:481.080994pt;margin-top:-10.120531pt;width:360.85pt;height:108.95pt;mso-position-horizontal-relative:page;mso-position-vertical-relative:paragraph;z-index:-809848" coordorigin="9622,-202" coordsize="7217,2179">
            <v:shape style="position:absolute;left:14419;top:-203;width:1455;height:1745" coordorigin="14419,-202" coordsize="1455,1745" path="m15219,-202l15194,-202,14935,-53,14901,-19,15219,-202m15356,-202l15331,-202,14748,134,14714,168,15356,-202m15492,-202l15467,-202,14562,321,14527,355,15492,-202m15629,-202l15604,-202,14419,482,14428,491,15629,-202m15766,-202l15741,-202,14469,532,14478,541,15766,-202m15874,1299l15470,1532,15479,1542,15874,1314,15874,1299m15874,1220l15420,1482,15429,1492,15874,1235,15874,1220m15874,1141l15370,1432,15379,1442,15874,1156,15874,1141m15874,1062l15320,1382,15329,1392,15874,1077,15874,1062m15874,983l15270,1332,15279,1341,15874,998,15874,983m15874,905l15220,1282,15229,1291,15874,919,15874,905m15874,826l15170,1232,15179,1241,15874,840,15874,826m15874,747l15120,1182,15129,1191,15874,761,15874,747m15874,668l15070,1132,15079,1141,15874,682,15874,668m15874,589l15020,1082,15029,1091,15874,603,15874,589m15874,431l14920,982,14929,991,15874,445,15874,431m15874,352l14870,932,14879,941,15874,367,15874,352m15874,273l14819,882,14829,891,15874,288,15874,273m15874,194l14769,832,14779,841,15874,209,15874,194m15874,115l14719,782,14729,791,15874,130,15874,115m15874,36l14669,732,14679,741,15874,51,15874,36m15874,-43l14619,682,14628,691,15874,-28,15874,-43m15874,-200l14519,582,14528,591,15874,-186,15874,-200m15874,510l14970,1032,14979,1041,15874,524,15874,510m15874,-121l14569,632,14578,641,15874,-107,15874,-121e" filled="true" fillcolor="#cdcccd" stroked="false">
              <v:path arrowok="t"/>
              <v:fill type="solid"/>
            </v:shape>
            <v:shape style="position:absolute;left:15520;top:1378;width:354;height:514" type="#_x0000_t75" stroked="false">
              <v:imagedata r:id="rId42" o:title=""/>
            </v:shape>
            <v:shape style="position:absolute;left:15874;top:-203;width:338;height:196" type="#_x0000_t75" stroked="false">
              <v:imagedata r:id="rId20" o:title=""/>
            </v:shape>
            <v:shape style="position:absolute;left:15874;top:-203;width:964;height:1932" coordorigin="15874,-202" coordsize="964,1932" path="m16349,-202l16339,-202,15874,66,15874,72,16349,-202m16378,1432l15874,1723,15874,1729,16365,1446,16378,1432m16486,-202l16476,-202,15874,145,15874,151,16486,-202m16565,1246l15874,1645,15874,1650,16551,1259,16565,1246m16622,-202l16612,-202,15874,224,15874,230,16622,-202m16699,-168l16695,-171,15874,303,15874,308,16699,-168m16749,-117l16745,-121,15874,382,15874,387,16749,-117m16752,1059l15874,1566,15874,1571,16738,1073,16752,1059m16799,-67l16795,-71,15874,461,15874,466,16799,-67m16838,930l15874,1487,15874,1492,16838,936,16838,930m16838,851l15874,1408,15874,1414,16838,857,16838,851m16838,772l15874,1329,15874,1335,16838,778,16838,772m16838,693l15874,1250,15874,1256,16838,699,16838,693m16838,615l15874,1171,15874,1177,16838,620,16838,615m16838,536l15874,1092,15874,1098,16838,541,16838,536m16838,457l15874,1013,15874,1019,16838,462,16838,457m16838,378l15874,934,15874,940,16838,384,16838,378m16838,299l15874,855,15874,861,16838,305,16838,299m16838,220l15874,776,15874,782,16838,226,16838,220m16838,141l15874,697,15874,703,16838,147,16838,141m16838,62l15874,618,15874,624,16838,68,16838,62m16838,-17l15874,539,15874,545,16838,-11,16838,-17e" filled="true" fillcolor="#cdcccd" stroked="false">
              <v:path arrowok="t"/>
              <v:fill type="solid"/>
            </v:shape>
            <v:shape style="position:absolute;left:15874;top:1619;width:318;height:269" type="#_x0000_t75" stroked="false">
              <v:imagedata r:id="rId21" o:title=""/>
            </v:shape>
            <v:shape style="position:absolute;left:13676;top:170;width:904;height:904" coordorigin="13677,170" coordsize="904,904" path="m14128,170l13677,622,14128,1073,14580,622,14128,170xe" filled="true" fillcolor="#ffffff" stroked="false">
              <v:path arrowok="t"/>
              <v:fill type="solid"/>
            </v:shape>
            <v:shape style="position:absolute;left:13225;top:621;width:904;height:904" coordorigin="13225,622" coordsize="904,904" path="m13677,622l13225,1073,13677,1525,14128,1073,13677,622xe" filled="true" fillcolor="#e8e9c9" stroked="false">
              <v:path arrowok="t"/>
              <v:fill type="solid"/>
            </v:shape>
            <v:shape style="position:absolute;left:12773;top:1073;width:904;height:904" coordorigin="12774,1073" coordsize="904,904" path="m13225,1073l12774,1525,13225,1976,13677,1525,13225,1073xe" filled="true" fillcolor="#d5dac6" stroked="false">
              <v:path arrowok="t"/>
              <v:fill type="solid"/>
            </v:shape>
            <v:shape style="position:absolute;left:11870;top:170;width:2710;height:904" coordorigin="11870,170" coordsize="2710,904" path="m12774,622l12322,170,11870,622,12322,1073,12774,622m14580,622l14128,170,13677,622,14128,1073,14580,622e" filled="true" fillcolor="#efeeeb" stroked="false">
              <v:path arrowok="t"/>
              <v:fill type="solid"/>
            </v:shape>
            <v:shape style="position:absolute;left:12773;top:170;width:904;height:904" coordorigin="12774,170" coordsize="904,904" path="m13225,170l12774,622,13225,1073,13677,622,13225,170xe" filled="true" fillcolor="#c0aac2" stroked="false">
              <v:path arrowok="t"/>
              <v:fill type="solid"/>
            </v:shape>
            <v:shape style="position:absolute;left:15424;top:873;width:900;height:904" coordorigin="15424,873" coordsize="900,904" path="m15874,873l15424,1323,15424,1326,15874,1776,16324,1326,16324,1323,15874,873xe" filled="true" fillcolor="#c4cd71" stroked="false">
              <v:path arrowok="t"/>
              <v:fill type="solid"/>
            </v:shape>
            <v:rect style="position:absolute;left:9621;top:-203;width:2406;height:851" filled="true" fillcolor="#bec85c" stroked="false">
              <v:fill type="solid"/>
            </v:rect>
            <v:rect style="position:absolute;left:12026;top:-203;width:2406;height:851" filled="true" fillcolor="#b6c247" stroked="false">
              <v:fill type="solid"/>
            </v:rect>
            <v:rect style="position:absolute;left:14432;top:-203;width:2406;height:851" filled="true" fillcolor="#aebd37" stroked="false">
              <v:fill type="solid"/>
            </v:rect>
            <v:shape style="position:absolute;left:15263;top:1164;width:161;height:322" type="#_x0000_t75" stroked="false">
              <v:imagedata r:id="rId16" o:title=""/>
            </v:shape>
            <v:shape style="position:absolute;left:16324;top:1163;width:161;height:322" type="#_x0000_t75" stroked="false">
              <v:imagedata r:id="rId11" o:title=""/>
            </v:shape>
            <w10:wrap type="none"/>
          </v:group>
        </w:pict>
      </w:r>
      <w:r>
        <w:rPr/>
        <w:pict>
          <v:group style="position:absolute;margin-left:0pt;margin-top:-10.120531pt;width:360.85pt;height:42.55pt;mso-position-horizontal-relative:page;mso-position-vertical-relative:paragraph;z-index:3928" coordorigin="0,-202" coordsize="7217,851">
            <v:rect style="position:absolute;left:0;top:-203;width:2406;height:851" filled="true" fillcolor="#aebd37" stroked="false">
              <v:fill type="solid"/>
            </v:rect>
            <v:rect style="position:absolute;left:2405;top:-203;width:2406;height:851" filled="true" fillcolor="#e6e7e8" stroked="false">
              <v:fill type="solid"/>
            </v:rect>
            <v:shape style="position:absolute;left:2405;top:-203;width:583;height:583" type="#_x0000_t75" stroked="false">
              <v:imagedata r:id="rId18" o:title=""/>
            </v:shape>
            <v:line style="position:absolute" from="0,-202" to="0,648" stroked="true" strokeweight="0pt" strokecolor="#aebd37">
              <v:stroke dashstyle="solid"/>
            </v:line>
            <v:shape style="position:absolute;left:0;top:-203;width:4811;height:851" type="#_x0000_t202" filled="false" stroked="false">
              <v:textbox inset="0,0,0,0">
                <w:txbxContent>
                  <w:p>
                    <w:pPr>
                      <w:spacing w:before="308"/>
                      <w:ind w:left="683" w:right="0" w:firstLine="0"/>
                      <w:jc w:val="left"/>
                      <w:rPr>
                        <w:sz w:val="20"/>
                      </w:rPr>
                    </w:pPr>
                    <w:hyperlink w:history="true" w:anchor="_bookmark0">
                      <w:r>
                        <w:rPr>
                          <w:color w:val="FFFFFF"/>
                          <w:sz w:val="20"/>
                        </w:rPr>
                        <w:t>CONTENTS</w:t>
                      </w:r>
                    </w:hyperlink>
                  </w:p>
                </w:txbxContent>
              </v:textbox>
              <w10:wrap type="none"/>
            </v:shape>
            <v:shape style="position:absolute;left:4810;top:-203;width:2406;height:851" type="#_x0000_t202" filled="true" fillcolor="#bec85c" stroked="false">
              <v:textbox inset="0,0,0,0">
                <w:txbxContent>
                  <w:p>
                    <w:pPr>
                      <w:spacing w:line="249" w:lineRule="auto" w:before="182"/>
                      <w:ind w:left="472"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203;width:2406;height:851" type="#_x0000_t202" filled="false" stroked="false">
              <v:textbox inset="0,0,0,0">
                <w:txbxContent>
                  <w:p>
                    <w:pPr>
                      <w:spacing w:line="240" w:lineRule="auto" w:before="9"/>
                      <w:rPr>
                        <w:b/>
                        <w:sz w:val="26"/>
                      </w:rPr>
                    </w:pPr>
                  </w:p>
                  <w:p>
                    <w:pPr>
                      <w:spacing w:before="0"/>
                      <w:ind w:left="711" w:right="0" w:firstLine="0"/>
                      <w:jc w:val="left"/>
                      <w:rPr>
                        <w:sz w:val="20"/>
                      </w:rPr>
                    </w:pPr>
                    <w:hyperlink w:history="true" w:anchor="_bookmark1">
                      <w:r>
                        <w:rPr>
                          <w:color w:val="6F2770"/>
                          <w:sz w:val="20"/>
                        </w:rPr>
                        <w:t>OVER</w:t>
                      </w:r>
                    </w:hyperlink>
                    <w:hyperlink w:history="true" w:anchor="_bookmark1">
                      <w:r>
                        <w:rPr>
                          <w:color w:val="6F2770"/>
                          <w:sz w:val="20"/>
                        </w:rPr>
                        <w:t>VIEW</w:t>
                      </w:r>
                    </w:hyperlink>
                  </w:p>
                </w:txbxContent>
              </v:textbox>
              <w10:wrap type="none"/>
            </v:shape>
            <w10:wrap type="none"/>
          </v:group>
        </w:pict>
      </w:r>
      <w:r>
        <w:rPr/>
        <w:pict>
          <v:shape style="position:absolute;margin-left:601.348999pt;margin-top:-10.120531pt;width:120.3pt;height:42.55pt;mso-position-horizontal-relative:page;mso-position-vertical-relative:paragraph;z-index:3952" type="#_x0000_t202" filled="false" stroked="false">
            <v:textbox inset="0,0,0,0">
              <w:txbxContent>
                <w:p>
                  <w:pPr>
                    <w:pStyle w:val="BodyText"/>
                    <w:spacing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481.079803pt;margin-top:-10.120531pt;width:120.3pt;height:42.55pt;mso-position-horizontal-relative:page;mso-position-vertical-relative:paragraph;z-index:3976"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w:pict>
      </w:r>
      <w:r>
        <w:rPr/>
        <w:pict>
          <v:shape style="position:absolute;margin-left:360.811798pt;margin-top:-10.120531pt;width:120.3pt;height:42.55pt;mso-position-horizontal-relative:page;mso-position-vertical-relative:paragraph;z-index:4000"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hyperlink w:history="true" w:anchor="_bookmark73">
        <w:r>
          <w:rPr>
            <w:color w:val="FFFFFF"/>
            <w:w w:val="90"/>
            <w:sz w:val="20"/>
          </w:rPr>
          <w:t>APPENDIX</w:t>
        </w:r>
      </w:hyperlink>
    </w:p>
    <w:p>
      <w:pPr>
        <w:pStyle w:val="BodyText"/>
        <w:rPr>
          <w:sz w:val="20"/>
        </w:rPr>
      </w:pPr>
    </w:p>
    <w:p>
      <w:pPr>
        <w:pStyle w:val="BodyText"/>
        <w:rPr>
          <w:sz w:val="20"/>
        </w:rPr>
      </w:pPr>
    </w:p>
    <w:p>
      <w:pPr>
        <w:pStyle w:val="BodyText"/>
        <w:spacing w:before="10"/>
        <w:rPr>
          <w:sz w:val="16"/>
        </w:rPr>
      </w:pPr>
    </w:p>
    <w:p>
      <w:pPr>
        <w:spacing w:after="0"/>
        <w:rPr>
          <w:sz w:val="16"/>
        </w:rPr>
        <w:sectPr>
          <w:footerReference w:type="default" r:id="rId41"/>
          <w:pgSz w:w="16840" w:h="11910" w:orient="landscape"/>
          <w:pgMar w:footer="0" w:header="0" w:top="0" w:bottom="0" w:left="0" w:right="0"/>
        </w:sectPr>
      </w:pPr>
    </w:p>
    <w:p>
      <w:pPr>
        <w:pStyle w:val="Heading4"/>
        <w:spacing w:line="249" w:lineRule="auto" w:before="110"/>
        <w:ind w:left="762" w:right="30"/>
      </w:pPr>
      <w:r>
        <w:rPr>
          <w:color w:val="6F2770"/>
        </w:rPr>
        <w:t>The</w:t>
      </w:r>
      <w:r>
        <w:rPr>
          <w:color w:val="6F2770"/>
          <w:spacing w:val="-38"/>
        </w:rPr>
        <w:t> </w:t>
      </w:r>
      <w:r>
        <w:rPr>
          <w:color w:val="6F2770"/>
        </w:rPr>
        <w:t>Department</w:t>
      </w:r>
      <w:r>
        <w:rPr>
          <w:color w:val="6F2770"/>
          <w:spacing w:val="-37"/>
        </w:rPr>
        <w:t> </w:t>
      </w:r>
      <w:r>
        <w:rPr>
          <w:color w:val="6F2770"/>
        </w:rPr>
        <w:t>of</w:t>
      </w:r>
      <w:r>
        <w:rPr>
          <w:color w:val="6F2770"/>
          <w:spacing w:val="-38"/>
        </w:rPr>
        <w:t> </w:t>
      </w:r>
      <w:r>
        <w:rPr>
          <w:color w:val="6F2770"/>
        </w:rPr>
        <w:t>Finance</w:t>
      </w:r>
      <w:r>
        <w:rPr>
          <w:color w:val="6F2770"/>
          <w:spacing w:val="-37"/>
        </w:rPr>
        <w:t> </w:t>
      </w:r>
      <w:r>
        <w:rPr>
          <w:color w:val="6F2770"/>
        </w:rPr>
        <w:t>is</w:t>
      </w:r>
      <w:r>
        <w:rPr>
          <w:color w:val="6F2770"/>
          <w:spacing w:val="-38"/>
        </w:rPr>
        <w:t> </w:t>
      </w:r>
      <w:r>
        <w:rPr>
          <w:color w:val="6F2770"/>
        </w:rPr>
        <w:t>committed</w:t>
      </w:r>
      <w:r>
        <w:rPr>
          <w:color w:val="6F2770"/>
          <w:spacing w:val="-37"/>
        </w:rPr>
        <w:t> </w:t>
      </w:r>
      <w:r>
        <w:rPr>
          <w:color w:val="6F2770"/>
        </w:rPr>
        <w:t>to</w:t>
      </w:r>
      <w:r>
        <w:rPr>
          <w:color w:val="6F2770"/>
          <w:spacing w:val="-38"/>
        </w:rPr>
        <w:t> </w:t>
      </w:r>
      <w:r>
        <w:rPr>
          <w:color w:val="6F2770"/>
        </w:rPr>
        <w:t>providing</w:t>
      </w:r>
      <w:r>
        <w:rPr>
          <w:color w:val="6F2770"/>
          <w:spacing w:val="-37"/>
        </w:rPr>
        <w:t> </w:t>
      </w:r>
      <w:r>
        <w:rPr>
          <w:color w:val="6F2770"/>
        </w:rPr>
        <w:t>exceptional services, strategic advice and quality infrastructure programs, facilitating whole-of-government</w:t>
      </w:r>
      <w:r>
        <w:rPr>
          <w:color w:val="6F2770"/>
          <w:spacing w:val="-12"/>
        </w:rPr>
        <w:t> </w:t>
      </w:r>
      <w:r>
        <w:rPr>
          <w:color w:val="6F2770"/>
        </w:rPr>
        <w:t>performance.</w:t>
      </w:r>
    </w:p>
    <w:p>
      <w:pPr>
        <w:pStyle w:val="BodyText"/>
        <w:spacing w:before="7"/>
        <w:rPr>
          <w:sz w:val="15"/>
        </w:rPr>
      </w:pPr>
      <w:r>
        <w:rPr/>
        <w:br w:type="column"/>
      </w:r>
      <w:r>
        <w:rPr>
          <w:sz w:val="15"/>
        </w:rPr>
      </w:r>
    </w:p>
    <w:p>
      <w:pPr>
        <w:spacing w:line="208" w:lineRule="auto" w:before="0"/>
        <w:ind w:left="762" w:right="672" w:firstLine="0"/>
        <w:jc w:val="center"/>
        <w:rPr>
          <w:sz w:val="16"/>
        </w:rPr>
      </w:pP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2" w:equalWidth="0">
            <w:col w:w="10898" w:space="3925"/>
            <w:col w:w="2017"/>
          </w:cols>
        </w:sectPr>
      </w:pPr>
    </w:p>
    <w:p>
      <w:pPr>
        <w:pStyle w:val="BodyText"/>
        <w:spacing w:before="7"/>
        <w:rPr>
          <w:sz w:val="24"/>
        </w:rPr>
      </w:pPr>
    </w:p>
    <w:p>
      <w:pPr>
        <w:spacing w:after="0"/>
        <w:rPr>
          <w:sz w:val="24"/>
        </w:rPr>
        <w:sectPr>
          <w:type w:val="continuous"/>
          <w:pgSz w:w="16840" w:h="11910" w:orient="landscape"/>
          <w:pgMar w:top="0" w:bottom="0" w:left="0" w:right="0"/>
        </w:sectPr>
      </w:pPr>
    </w:p>
    <w:p>
      <w:pPr>
        <w:spacing w:line="249" w:lineRule="auto" w:before="107"/>
        <w:ind w:left="765" w:right="200" w:firstLine="0"/>
        <w:jc w:val="left"/>
        <w:rPr>
          <w:sz w:val="22"/>
        </w:rPr>
      </w:pPr>
      <w:r>
        <w:rPr>
          <w:sz w:val="22"/>
        </w:rPr>
        <w:t>The</w:t>
      </w:r>
      <w:r>
        <w:rPr>
          <w:spacing w:val="-24"/>
          <w:sz w:val="22"/>
        </w:rPr>
        <w:t> </w:t>
      </w:r>
      <w:r>
        <w:rPr>
          <w:sz w:val="22"/>
        </w:rPr>
        <w:t>Department</w:t>
      </w:r>
      <w:r>
        <w:rPr>
          <w:spacing w:val="-24"/>
          <w:sz w:val="22"/>
        </w:rPr>
        <w:t> </w:t>
      </w:r>
      <w:r>
        <w:rPr>
          <w:sz w:val="22"/>
        </w:rPr>
        <w:t>of</w:t>
      </w:r>
      <w:r>
        <w:rPr>
          <w:spacing w:val="-23"/>
          <w:sz w:val="22"/>
        </w:rPr>
        <w:t> </w:t>
      </w:r>
      <w:r>
        <w:rPr>
          <w:sz w:val="22"/>
        </w:rPr>
        <w:t>Finance</w:t>
      </w:r>
      <w:r>
        <w:rPr>
          <w:spacing w:val="-24"/>
          <w:sz w:val="22"/>
        </w:rPr>
        <w:t> </w:t>
      </w:r>
      <w:r>
        <w:rPr>
          <w:sz w:val="22"/>
        </w:rPr>
        <w:t>was</w:t>
      </w:r>
      <w:r>
        <w:rPr>
          <w:spacing w:val="-23"/>
          <w:sz w:val="22"/>
        </w:rPr>
        <w:t> </w:t>
      </w:r>
      <w:r>
        <w:rPr>
          <w:sz w:val="22"/>
        </w:rPr>
        <w:t>established</w:t>
      </w:r>
      <w:r>
        <w:rPr>
          <w:spacing w:val="-24"/>
          <w:sz w:val="22"/>
        </w:rPr>
        <w:t> </w:t>
      </w:r>
      <w:r>
        <w:rPr>
          <w:sz w:val="22"/>
        </w:rPr>
        <w:t>as</w:t>
      </w:r>
      <w:r>
        <w:rPr>
          <w:spacing w:val="-23"/>
          <w:sz w:val="22"/>
        </w:rPr>
        <w:t> </w:t>
      </w:r>
      <w:r>
        <w:rPr>
          <w:spacing w:val="-17"/>
          <w:sz w:val="22"/>
        </w:rPr>
        <w:t>a </w:t>
      </w:r>
      <w:r>
        <w:rPr>
          <w:sz w:val="22"/>
        </w:rPr>
        <w:t>department on 1 July 2011, under section 35 of the </w:t>
      </w:r>
      <w:r>
        <w:rPr>
          <w:i/>
          <w:sz w:val="22"/>
        </w:rPr>
        <w:t>Public Sector Management Act</w:t>
      </w:r>
      <w:r>
        <w:rPr>
          <w:i/>
          <w:spacing w:val="-23"/>
          <w:sz w:val="22"/>
        </w:rPr>
        <w:t> </w:t>
      </w:r>
      <w:r>
        <w:rPr>
          <w:i/>
          <w:sz w:val="22"/>
        </w:rPr>
        <w:t>1994</w:t>
      </w:r>
      <w:r>
        <w:rPr>
          <w:sz w:val="22"/>
        </w:rPr>
        <w:t>.</w:t>
      </w:r>
    </w:p>
    <w:p>
      <w:pPr>
        <w:pStyle w:val="BodyText"/>
        <w:spacing w:before="2"/>
        <w:rPr>
          <w:sz w:val="23"/>
        </w:rPr>
      </w:pPr>
    </w:p>
    <w:p>
      <w:pPr>
        <w:pStyle w:val="BodyText"/>
        <w:spacing w:line="249" w:lineRule="auto"/>
        <w:ind w:left="765" w:right="141"/>
      </w:pPr>
      <w:r>
        <w:rPr/>
        <w:t>The</w:t>
      </w:r>
      <w:r>
        <w:rPr>
          <w:spacing w:val="-27"/>
        </w:rPr>
        <w:t> </w:t>
      </w:r>
      <w:r>
        <w:rPr/>
        <w:t>Department</w:t>
      </w:r>
      <w:r>
        <w:rPr>
          <w:spacing w:val="-26"/>
        </w:rPr>
        <w:t> </w:t>
      </w:r>
      <w:r>
        <w:rPr/>
        <w:t>of</w:t>
      </w:r>
      <w:r>
        <w:rPr>
          <w:spacing w:val="-26"/>
        </w:rPr>
        <w:t> </w:t>
      </w:r>
      <w:r>
        <w:rPr/>
        <w:t>Finance</w:t>
      </w:r>
      <w:r>
        <w:rPr>
          <w:spacing w:val="-26"/>
        </w:rPr>
        <w:t> </w:t>
      </w:r>
      <w:r>
        <w:rPr/>
        <w:t>reports</w:t>
      </w:r>
      <w:r>
        <w:rPr>
          <w:spacing w:val="-27"/>
        </w:rPr>
        <w:t> </w:t>
      </w:r>
      <w:r>
        <w:rPr/>
        <w:t>to</w:t>
      </w:r>
      <w:r>
        <w:rPr>
          <w:spacing w:val="-26"/>
        </w:rPr>
        <w:t> </w:t>
      </w:r>
      <w:r>
        <w:rPr/>
        <w:t>the</w:t>
      </w:r>
      <w:r>
        <w:rPr>
          <w:spacing w:val="-26"/>
        </w:rPr>
        <w:t> </w:t>
      </w:r>
      <w:r>
        <w:rPr>
          <w:spacing w:val="-3"/>
        </w:rPr>
        <w:t>Minister </w:t>
      </w:r>
      <w:r>
        <w:rPr/>
        <w:t>for</w:t>
      </w:r>
      <w:r>
        <w:rPr>
          <w:spacing w:val="-15"/>
        </w:rPr>
        <w:t> </w:t>
      </w:r>
      <w:r>
        <w:rPr/>
        <w:t>Finance</w:t>
      </w:r>
      <w:r>
        <w:rPr>
          <w:spacing w:val="-15"/>
        </w:rPr>
        <w:t> </w:t>
      </w:r>
      <w:r>
        <w:rPr/>
        <w:t>and</w:t>
      </w:r>
      <w:r>
        <w:rPr>
          <w:spacing w:val="-15"/>
        </w:rPr>
        <w:t> </w:t>
      </w:r>
      <w:r>
        <w:rPr/>
        <w:t>the</w:t>
      </w:r>
      <w:r>
        <w:rPr>
          <w:spacing w:val="-15"/>
        </w:rPr>
        <w:t> </w:t>
      </w:r>
      <w:r>
        <w:rPr/>
        <w:t>Minister</w:t>
      </w:r>
      <w:r>
        <w:rPr>
          <w:spacing w:val="-15"/>
        </w:rPr>
        <w:t> </w:t>
      </w:r>
      <w:r>
        <w:rPr/>
        <w:t>for</w:t>
      </w:r>
      <w:r>
        <w:rPr>
          <w:spacing w:val="-15"/>
        </w:rPr>
        <w:t> </w:t>
      </w:r>
      <w:r>
        <w:rPr>
          <w:spacing w:val="-4"/>
        </w:rPr>
        <w:t>Energy.</w:t>
      </w:r>
      <w:r>
        <w:rPr>
          <w:spacing w:val="-15"/>
        </w:rPr>
        <w:t> </w:t>
      </w:r>
      <w:r>
        <w:rPr/>
        <w:t>Over</w:t>
      </w:r>
    </w:p>
    <w:p>
      <w:pPr>
        <w:pStyle w:val="BodyText"/>
        <w:spacing w:line="249" w:lineRule="auto" w:before="2"/>
        <w:ind w:left="765"/>
      </w:pPr>
      <w:r>
        <w:rPr/>
        <w:t>the last financial </w:t>
      </w:r>
      <w:r>
        <w:rPr>
          <w:spacing w:val="-5"/>
        </w:rPr>
        <w:t>year, </w:t>
      </w:r>
      <w:r>
        <w:rPr/>
        <w:t>the Finance and Energy portfolios</w:t>
      </w:r>
      <w:r>
        <w:rPr>
          <w:spacing w:val="-24"/>
        </w:rPr>
        <w:t> </w:t>
      </w:r>
      <w:r>
        <w:rPr/>
        <w:t>have</w:t>
      </w:r>
      <w:r>
        <w:rPr>
          <w:spacing w:val="-23"/>
        </w:rPr>
        <w:t> </w:t>
      </w:r>
      <w:r>
        <w:rPr/>
        <w:t>been</w:t>
      </w:r>
      <w:r>
        <w:rPr>
          <w:spacing w:val="-23"/>
        </w:rPr>
        <w:t> </w:t>
      </w:r>
      <w:r>
        <w:rPr/>
        <w:t>held</w:t>
      </w:r>
      <w:r>
        <w:rPr>
          <w:spacing w:val="-23"/>
        </w:rPr>
        <w:t> </w:t>
      </w:r>
      <w:r>
        <w:rPr/>
        <w:t>by</w:t>
      </w:r>
      <w:r>
        <w:rPr>
          <w:spacing w:val="-23"/>
        </w:rPr>
        <w:t> </w:t>
      </w:r>
      <w:r>
        <w:rPr/>
        <w:t>a</w:t>
      </w:r>
      <w:r>
        <w:rPr>
          <w:spacing w:val="-23"/>
        </w:rPr>
        <w:t> </w:t>
      </w:r>
      <w:r>
        <w:rPr/>
        <w:t>number</w:t>
      </w:r>
      <w:r>
        <w:rPr>
          <w:spacing w:val="-23"/>
        </w:rPr>
        <w:t> </w:t>
      </w:r>
      <w:r>
        <w:rPr/>
        <w:t>of</w:t>
      </w:r>
      <w:r>
        <w:rPr>
          <w:spacing w:val="-23"/>
        </w:rPr>
        <w:t> </w:t>
      </w:r>
      <w:r>
        <w:rPr>
          <w:spacing w:val="-3"/>
        </w:rPr>
        <w:t>Ministers.</w:t>
      </w:r>
    </w:p>
    <w:p>
      <w:pPr>
        <w:pStyle w:val="BodyText"/>
        <w:spacing w:before="1"/>
        <w:rPr>
          <w:sz w:val="23"/>
        </w:rPr>
      </w:pPr>
    </w:p>
    <w:p>
      <w:pPr>
        <w:pStyle w:val="BodyText"/>
        <w:spacing w:line="249" w:lineRule="auto"/>
        <w:ind w:left="765"/>
      </w:pPr>
      <w:r>
        <w:rPr>
          <w:spacing w:val="-3"/>
        </w:rPr>
        <w:t>Finance’s </w:t>
      </w:r>
      <w:r>
        <w:rPr/>
        <w:t>vision is set out in the </w:t>
      </w:r>
      <w:r>
        <w:rPr>
          <w:spacing w:val="-3"/>
        </w:rPr>
        <w:t>Department’s </w:t>
      </w:r>
      <w:hyperlink r:id="rId43">
        <w:r>
          <w:rPr>
            <w:color w:val="A7BE39"/>
            <w:u w:val="single" w:color="A7BE39"/>
          </w:rPr>
          <w:t>Strategic Directions 2015-18</w:t>
        </w:r>
      </w:hyperlink>
      <w:r>
        <w:rPr/>
        <w:t>, which provides the foundation</w:t>
      </w:r>
      <w:r>
        <w:rPr>
          <w:spacing w:val="-16"/>
        </w:rPr>
        <w:t> </w:t>
      </w:r>
      <w:r>
        <w:rPr/>
        <w:t>from</w:t>
      </w:r>
      <w:r>
        <w:rPr>
          <w:spacing w:val="-16"/>
        </w:rPr>
        <w:t> </w:t>
      </w:r>
      <w:r>
        <w:rPr/>
        <w:t>which</w:t>
      </w:r>
      <w:r>
        <w:rPr>
          <w:spacing w:val="-16"/>
        </w:rPr>
        <w:t> </w:t>
      </w:r>
      <w:r>
        <w:rPr/>
        <w:t>staff</w:t>
      </w:r>
      <w:r>
        <w:rPr>
          <w:spacing w:val="-15"/>
        </w:rPr>
        <w:t> </w:t>
      </w:r>
      <w:r>
        <w:rPr/>
        <w:t>can</w:t>
      </w:r>
      <w:r>
        <w:rPr>
          <w:spacing w:val="-16"/>
        </w:rPr>
        <w:t> </w:t>
      </w:r>
      <w:r>
        <w:rPr/>
        <w:t>aspire</w:t>
      </w:r>
      <w:r>
        <w:rPr>
          <w:spacing w:val="-16"/>
        </w:rPr>
        <w:t> </w:t>
      </w:r>
      <w:r>
        <w:rPr/>
        <w:t>to</w:t>
      </w:r>
      <w:r>
        <w:rPr>
          <w:spacing w:val="-16"/>
        </w:rPr>
        <w:t> </w:t>
      </w:r>
      <w:r>
        <w:rPr/>
        <w:t>innovate and do things </w:t>
      </w:r>
      <w:r>
        <w:rPr>
          <w:spacing w:val="-3"/>
        </w:rPr>
        <w:t>better, </w:t>
      </w:r>
      <w:r>
        <w:rPr/>
        <w:t>and deliver more efficient outcomes</w:t>
      </w:r>
      <w:r>
        <w:rPr>
          <w:spacing w:val="-16"/>
        </w:rPr>
        <w:t> </w:t>
      </w:r>
      <w:r>
        <w:rPr/>
        <w:t>for</w:t>
      </w:r>
      <w:r>
        <w:rPr>
          <w:spacing w:val="-15"/>
        </w:rPr>
        <w:t> </w:t>
      </w:r>
      <w:r>
        <w:rPr/>
        <w:t>our</w:t>
      </w:r>
      <w:r>
        <w:rPr>
          <w:spacing w:val="-15"/>
        </w:rPr>
        <w:t> </w:t>
      </w:r>
      <w:r>
        <w:rPr/>
        <w:t>stakeholders</w:t>
      </w:r>
      <w:r>
        <w:rPr>
          <w:spacing w:val="-16"/>
        </w:rPr>
        <w:t> </w:t>
      </w:r>
      <w:r>
        <w:rPr/>
        <w:t>and</w:t>
      </w:r>
      <w:r>
        <w:rPr>
          <w:spacing w:val="-15"/>
        </w:rPr>
        <w:t> </w:t>
      </w:r>
      <w:r>
        <w:rPr/>
        <w:t>the</w:t>
      </w:r>
      <w:r>
        <w:rPr>
          <w:spacing w:val="-15"/>
        </w:rPr>
        <w:t> </w:t>
      </w:r>
      <w:r>
        <w:rPr>
          <w:spacing w:val="-5"/>
        </w:rPr>
        <w:t>community.</w:t>
      </w:r>
    </w:p>
    <w:p>
      <w:pPr>
        <w:pStyle w:val="BodyText"/>
        <w:spacing w:line="249" w:lineRule="auto" w:before="107"/>
        <w:ind w:left="384" w:right="-5"/>
      </w:pPr>
      <w:r>
        <w:rPr/>
        <w:br w:type="column"/>
      </w:r>
      <w:r>
        <w:rPr/>
        <w:t>The vision provides the </w:t>
      </w:r>
      <w:r>
        <w:rPr>
          <w:spacing w:val="-3"/>
        </w:rPr>
        <w:t>Department’s </w:t>
      </w:r>
      <w:r>
        <w:rPr/>
        <w:t>business units</w:t>
      </w:r>
      <w:r>
        <w:rPr>
          <w:spacing w:val="-18"/>
        </w:rPr>
        <w:t> </w:t>
      </w:r>
      <w:r>
        <w:rPr/>
        <w:t>with</w:t>
      </w:r>
      <w:r>
        <w:rPr>
          <w:spacing w:val="-18"/>
        </w:rPr>
        <w:t> </w:t>
      </w:r>
      <w:r>
        <w:rPr/>
        <w:t>a</w:t>
      </w:r>
      <w:r>
        <w:rPr>
          <w:spacing w:val="-18"/>
        </w:rPr>
        <w:t> </w:t>
      </w:r>
      <w:r>
        <w:rPr/>
        <w:t>common</w:t>
      </w:r>
      <w:r>
        <w:rPr>
          <w:spacing w:val="-18"/>
        </w:rPr>
        <w:t> </w:t>
      </w:r>
      <w:r>
        <w:rPr/>
        <w:t>focus</w:t>
      </w:r>
      <w:r>
        <w:rPr>
          <w:spacing w:val="-18"/>
        </w:rPr>
        <w:t> </w:t>
      </w:r>
      <w:r>
        <w:rPr/>
        <w:t>on</w:t>
      </w:r>
      <w:r>
        <w:rPr>
          <w:spacing w:val="-18"/>
        </w:rPr>
        <w:t> </w:t>
      </w:r>
      <w:r>
        <w:rPr/>
        <w:t>providing</w:t>
      </w:r>
      <w:r>
        <w:rPr>
          <w:spacing w:val="-18"/>
        </w:rPr>
        <w:t> </w:t>
      </w:r>
      <w:r>
        <w:rPr/>
        <w:t>insightful, strategic advice to government in a timely and reliable</w:t>
      </w:r>
      <w:r>
        <w:rPr>
          <w:spacing w:val="-2"/>
        </w:rPr>
        <w:t> </w:t>
      </w:r>
      <w:r>
        <w:rPr>
          <w:spacing w:val="-3"/>
        </w:rPr>
        <w:t>manner.</w:t>
      </w:r>
    </w:p>
    <w:p>
      <w:pPr>
        <w:pStyle w:val="BodyText"/>
        <w:spacing w:before="3"/>
        <w:rPr>
          <w:sz w:val="23"/>
        </w:rPr>
      </w:pPr>
    </w:p>
    <w:p>
      <w:pPr>
        <w:pStyle w:val="BodyText"/>
        <w:spacing w:line="249" w:lineRule="auto"/>
        <w:ind w:left="384" w:right="245"/>
      </w:pPr>
      <w:r>
        <w:rPr>
          <w:spacing w:val="-4"/>
        </w:rPr>
        <w:t>Teamwork</w:t>
      </w:r>
      <w:r>
        <w:rPr>
          <w:spacing w:val="-25"/>
        </w:rPr>
        <w:t> </w:t>
      </w:r>
      <w:r>
        <w:rPr/>
        <w:t>and</w:t>
      </w:r>
      <w:r>
        <w:rPr>
          <w:spacing w:val="-25"/>
        </w:rPr>
        <w:t> </w:t>
      </w:r>
      <w:r>
        <w:rPr/>
        <w:t>collaboration</w:t>
      </w:r>
      <w:r>
        <w:rPr>
          <w:spacing w:val="-25"/>
        </w:rPr>
        <w:t> </w:t>
      </w:r>
      <w:r>
        <w:rPr/>
        <w:t>plays</w:t>
      </w:r>
      <w:r>
        <w:rPr>
          <w:spacing w:val="-25"/>
        </w:rPr>
        <w:t> </w:t>
      </w:r>
      <w:r>
        <w:rPr/>
        <w:t>an</w:t>
      </w:r>
      <w:r>
        <w:rPr>
          <w:spacing w:val="-24"/>
        </w:rPr>
        <w:t> </w:t>
      </w:r>
      <w:r>
        <w:rPr/>
        <w:t>important part in enabling the Department to meet its objective of quality advice and</w:t>
      </w:r>
      <w:r>
        <w:rPr>
          <w:spacing w:val="-40"/>
        </w:rPr>
        <w:t> </w:t>
      </w:r>
      <w:r>
        <w:rPr/>
        <w:t>services.</w:t>
      </w:r>
    </w:p>
    <w:p>
      <w:pPr>
        <w:pStyle w:val="BodyText"/>
        <w:spacing w:line="249" w:lineRule="auto" w:before="3"/>
        <w:ind w:left="384" w:right="175"/>
      </w:pPr>
      <w:r>
        <w:rPr>
          <w:spacing w:val="-13"/>
        </w:rPr>
        <w:t>To </w:t>
      </w:r>
      <w:r>
        <w:rPr/>
        <w:t>support this, there is a strong commitment by</w:t>
      </w:r>
      <w:r>
        <w:rPr>
          <w:spacing w:val="-17"/>
        </w:rPr>
        <w:t> </w:t>
      </w:r>
      <w:r>
        <w:rPr/>
        <w:t>all</w:t>
      </w:r>
      <w:r>
        <w:rPr>
          <w:spacing w:val="-17"/>
        </w:rPr>
        <w:t> </w:t>
      </w:r>
      <w:r>
        <w:rPr/>
        <w:t>staff</w:t>
      </w:r>
      <w:r>
        <w:rPr>
          <w:spacing w:val="-17"/>
        </w:rPr>
        <w:t> </w:t>
      </w:r>
      <w:r>
        <w:rPr/>
        <w:t>to</w:t>
      </w:r>
      <w:r>
        <w:rPr>
          <w:spacing w:val="-16"/>
        </w:rPr>
        <w:t> </w:t>
      </w:r>
      <w:r>
        <w:rPr/>
        <w:t>uphold</w:t>
      </w:r>
      <w:r>
        <w:rPr>
          <w:spacing w:val="-17"/>
        </w:rPr>
        <w:t> </w:t>
      </w:r>
      <w:r>
        <w:rPr/>
        <w:t>the</w:t>
      </w:r>
      <w:r>
        <w:rPr>
          <w:spacing w:val="-17"/>
        </w:rPr>
        <w:t> </w:t>
      </w:r>
      <w:r>
        <w:rPr>
          <w:spacing w:val="-4"/>
        </w:rPr>
        <w:t>agency’s</w:t>
      </w:r>
      <w:r>
        <w:rPr>
          <w:spacing w:val="-16"/>
        </w:rPr>
        <w:t> </w:t>
      </w:r>
      <w:r>
        <w:rPr/>
        <w:t>cultural</w:t>
      </w:r>
      <w:r>
        <w:rPr>
          <w:spacing w:val="-17"/>
        </w:rPr>
        <w:t> </w:t>
      </w:r>
      <w:r>
        <w:rPr>
          <w:spacing w:val="-3"/>
        </w:rPr>
        <w:t>values </w:t>
      </w:r>
      <w:r>
        <w:rPr/>
        <w:t>of Leadership, Accountability, Commitment, Listening and Caring and People</w:t>
      </w:r>
      <w:r>
        <w:rPr>
          <w:spacing w:val="-36"/>
        </w:rPr>
        <w:t> </w:t>
      </w:r>
      <w:r>
        <w:rPr>
          <w:spacing w:val="-3"/>
        </w:rPr>
        <w:t>Matter.</w:t>
      </w:r>
    </w:p>
    <w:p>
      <w:pPr>
        <w:pStyle w:val="BodyText"/>
        <w:spacing w:line="249" w:lineRule="auto" w:before="107"/>
        <w:ind w:left="473" w:right="1091"/>
      </w:pPr>
      <w:r>
        <w:rPr/>
        <w:br w:type="column"/>
      </w:r>
      <w:r>
        <w:rPr/>
        <w:t>These values, along with the Department’s ongoing commitment to innovation in all that we do, are recognised and promoted by management and through formal programs, run by </w:t>
      </w:r>
      <w:r>
        <w:rPr>
          <w:b/>
        </w:rPr>
        <w:t>Corporate Services</w:t>
      </w:r>
      <w:r>
        <w:rPr/>
        <w:t>. Find out more on page </w:t>
      </w:r>
      <w:hyperlink w:history="true" w:anchor="_bookmark14">
        <w:r>
          <w:rPr>
            <w:color w:val="A7BE39"/>
            <w:u w:val="single" w:color="A7BE39"/>
          </w:rPr>
          <w:t>21</w:t>
        </w:r>
      </w:hyperlink>
      <w:r>
        <w:rPr/>
        <w:t>.</w:t>
      </w:r>
    </w:p>
    <w:p>
      <w:pPr>
        <w:spacing w:after="0" w:line="249" w:lineRule="auto"/>
        <w:sectPr>
          <w:type w:val="continuous"/>
          <w:pgSz w:w="16840" w:h="11910" w:orient="landscape"/>
          <w:pgMar w:top="0" w:bottom="0" w:left="0" w:right="0"/>
          <w:cols w:num="3" w:equalWidth="0">
            <w:col w:w="5585" w:space="40"/>
            <w:col w:w="5116" w:space="39"/>
            <w:col w:w="6060"/>
          </w:cols>
        </w:sectPr>
      </w:pPr>
    </w:p>
    <w:p>
      <w:pPr>
        <w:pStyle w:val="BodyText"/>
        <w:spacing w:before="8"/>
        <w:rPr>
          <w:sz w:val="27"/>
        </w:rPr>
      </w:pPr>
    </w:p>
    <w:p>
      <w:pPr>
        <w:pStyle w:val="BodyText"/>
        <w:ind w:left="740"/>
        <w:rPr>
          <w:sz w:val="20"/>
        </w:rPr>
      </w:pPr>
      <w:r>
        <w:rPr>
          <w:sz w:val="20"/>
        </w:rPr>
        <w:pict>
          <v:group style="width:503.65pt;height:139.5pt;mso-position-horizontal-relative:char;mso-position-vertical-relative:line" coordorigin="0,0" coordsize="10073,2790">
            <v:rect style="position:absolute;left:5;top:5;width:1701;height:464" filled="true" fillcolor="#783a79" stroked="false">
              <v:fill type="solid"/>
            </v:rect>
            <v:rect style="position:absolute;left:1705;top:5;width:4394;height:464" filled="true" fillcolor="#783a79" stroked="false">
              <v:fill type="solid"/>
            </v:rect>
            <v:rect style="position:absolute;left:6099;top:5;width:3969;height:464" filled="true" fillcolor="#783a79" stroked="false">
              <v:fill type="solid"/>
            </v:rect>
            <v:rect style="position:absolute;left:5;top:468;width:1701;height:1390" filled="true" fillcolor="#f4f4f4" stroked="false">
              <v:fill type="solid"/>
            </v:rect>
            <v:rect style="position:absolute;left:1705;top:1394;width:4394;height:464" filled="true" fillcolor="#f4f4f4" stroked="false">
              <v:fill type="solid"/>
            </v:rect>
            <v:rect style="position:absolute;left:6099;top:1394;width:3969;height:464" filled="true" fillcolor="#f4f4f4" stroked="false">
              <v:fill type="solid"/>
            </v:rect>
            <v:rect style="position:absolute;left:1705;top:468;width:4394;height:464" filled="true" fillcolor="#f4f4f4" stroked="false">
              <v:fill type="solid"/>
            </v:rect>
            <v:rect style="position:absolute;left:6099;top:468;width:3969;height:464" filled="true" fillcolor="#f4f4f4" stroked="false">
              <v:fill type="solid"/>
            </v:rect>
            <v:rect style="position:absolute;left:1705;top:931;width:4394;height:464" filled="true" fillcolor="#faf9f9" stroked="false">
              <v:fill type="solid"/>
            </v:rect>
            <v:rect style="position:absolute;left:6099;top:931;width:3969;height:464" filled="true" fillcolor="#faf9f9" stroked="false">
              <v:fill type="solid"/>
            </v:rect>
            <v:rect style="position:absolute;left:1705;top:2321;width:4394;height:464" filled="true" fillcolor="#f4f4f4" stroked="false">
              <v:fill type="solid"/>
            </v:rect>
            <v:rect style="position:absolute;left:6099;top:2321;width:3969;height:464" filled="true" fillcolor="#f4f4f4" stroked="false">
              <v:fill type="solid"/>
            </v:rect>
            <v:rect style="position:absolute;left:5;top:1857;width:1701;height:927" filled="true" fillcolor="#faf9f9" stroked="false">
              <v:fill type="solid"/>
            </v:rect>
            <v:rect style="position:absolute;left:1705;top:1857;width:4394;height:464" filled="true" fillcolor="#faf9f9" stroked="false">
              <v:fill type="solid"/>
            </v:rect>
            <v:rect style="position:absolute;left:6099;top:1857;width:3969;height:464" filled="true" fillcolor="#faf9f9" stroked="false">
              <v:fill type="solid"/>
            </v:rect>
            <v:line style="position:absolute" from="1706,463" to="1706,10" stroked="true" strokeweight="1pt" strokecolor="#ffffff">
              <v:stroke dashstyle="solid"/>
            </v:line>
            <v:line style="position:absolute" from="6099,463" to="6099,10" stroked="true" strokeweight="1pt" strokecolor="#ffffff">
              <v:stroke dashstyle="solid"/>
            </v:line>
            <v:line style="position:absolute" from="1706,931" to="1706,473" stroked="true" strokeweight="1pt" strokecolor="#ffffff">
              <v:stroke dashstyle="solid"/>
            </v:line>
            <v:line style="position:absolute" from="6099,921" to="6099,473" stroked="true" strokeweight="1pt" strokecolor="#ffffff">
              <v:stroke dashstyle="solid"/>
            </v:line>
            <v:line style="position:absolute" from="1706,1395" to="1706,931" stroked="true" strokeweight="1pt" strokecolor="#ffffff">
              <v:stroke dashstyle="solid"/>
            </v:line>
            <v:line style="position:absolute" from="6099,1385" to="6099,941" stroked="true" strokeweight="1pt" strokecolor="#ffffff">
              <v:stroke dashstyle="solid"/>
            </v:line>
            <v:line style="position:absolute" from="1706,1853" to="1706,1395" stroked="true" strokeweight="1pt" strokecolor="#ffffff">
              <v:stroke dashstyle="solid"/>
            </v:line>
            <v:line style="position:absolute" from="6099,1853" to="6099,1405" stroked="true" strokeweight="1pt" strokecolor="#ffffff">
              <v:stroke dashstyle="solid"/>
            </v:line>
            <v:line style="position:absolute" from="1706,2321" to="1706,1863" stroked="true" strokeweight="1pt" strokecolor="#ffffff">
              <v:stroke dashstyle="solid"/>
            </v:line>
            <v:line style="position:absolute" from="6099,2311" to="6099,1863" stroked="true" strokeweight="1pt" strokecolor="#ffffff">
              <v:stroke dashstyle="solid"/>
            </v:line>
            <v:line style="position:absolute" from="1706,2779" to="1706,2321" stroked="true" strokeweight="1pt" strokecolor="#ffffff">
              <v:stroke dashstyle="solid"/>
            </v:line>
            <v:line style="position:absolute" from="6099,2779" to="6099,2331" stroked="true" strokeweight="1pt" strokecolor="#ffffff">
              <v:stroke dashstyle="solid"/>
            </v:line>
            <v:rect style="position:absolute;left:1715;top:921;width:4384;height:20" filled="true" fillcolor="#ffffff" stroked="false">
              <v:fill type="solid"/>
            </v:rect>
            <v:rect style="position:absolute;left:6099;top:921;width:3964;height:20" filled="true" fillcolor="#ffffff" stroked="false">
              <v:fill type="solid"/>
            </v:rect>
            <v:rect style="position:absolute;left:1715;top:1384;width:4384;height:20" filled="true" fillcolor="#ffffff" stroked="false">
              <v:fill type="solid"/>
            </v:rect>
            <v:rect style="position:absolute;left:6099;top:1384;width:3964;height:20" filled="true" fillcolor="#ffffff" stroked="false">
              <v:fill type="solid"/>
            </v:rect>
            <v:rect style="position:absolute;left:1715;top:2311;width:4384;height:20" filled="true" fillcolor="#ffffff" stroked="false">
              <v:fill type="solid"/>
            </v:rect>
            <v:rect style="position:absolute;left:6099;top:2311;width:3964;height:20" filled="true" fillcolor="#ffffff" stroked="false">
              <v:fill type="solid"/>
            </v:rect>
            <v:line style="position:absolute" from="5,931" to="5,468" stroked="true" strokeweight=".5pt" strokecolor="#783a79">
              <v:stroke dashstyle="solid"/>
            </v:line>
            <v:line style="position:absolute" from="5,1395" to="5,931" stroked="true" strokeweight=".5pt" strokecolor="#783a79">
              <v:stroke dashstyle="solid"/>
            </v:line>
            <v:line style="position:absolute" from="5,1858" to="5,1395" stroked="true" strokeweight=".5pt" strokecolor="#783a79">
              <v:stroke dashstyle="solid"/>
            </v:line>
            <v:line style="position:absolute" from="10068,931" to="10068,468" stroked="true" strokeweight=".5pt" strokecolor="#783a79">
              <v:stroke dashstyle="solid"/>
            </v:line>
            <v:line style="position:absolute" from="10068,1395" to="10068,931" stroked="true" strokeweight=".5pt" strokecolor="#783a79">
              <v:stroke dashstyle="solid"/>
            </v:line>
            <v:line style="position:absolute" from="10068,1858" to="10068,1395" stroked="true" strokeweight=".5pt" strokecolor="#783a79">
              <v:stroke dashstyle="solid"/>
            </v:line>
            <v:line style="position:absolute" from="5,2321" to="5,1858" stroked="true" strokeweight=".5pt" strokecolor="#783a79">
              <v:stroke dashstyle="solid"/>
            </v:line>
            <v:line style="position:absolute" from="5,2779" to="5,2321" stroked="true" strokeweight=".5pt" strokecolor="#783a79">
              <v:stroke dashstyle="solid"/>
            </v:line>
            <v:line style="position:absolute" from="0,2784" to="1706,2784" stroked="true" strokeweight=".5pt" strokecolor="#8b5b8b">
              <v:stroke dashstyle="solid"/>
            </v:line>
            <v:line style="position:absolute" from="10068,2321" to="10068,1858" stroked="true" strokeweight=".5pt" strokecolor="#783a79">
              <v:stroke dashstyle="solid"/>
            </v:line>
            <v:line style="position:absolute" from="10068,2779" to="10068,2321" stroked="true" strokeweight=".5pt" strokecolor="#783a79">
              <v:stroke dashstyle="solid"/>
            </v:line>
            <v:line style="position:absolute" from="1706,2784" to="6099,2784" stroked="true" strokeweight=".5pt" strokecolor="#8b5b8b">
              <v:stroke dashstyle="solid"/>
            </v:line>
            <v:line style="position:absolute" from="6099,2784" to="10073,2784" stroked="true" strokeweight=".5pt" strokecolor="#8b5b8b">
              <v:stroke dashstyle="solid"/>
            </v:line>
            <v:line style="position:absolute" from="0,5" to="1706,5" stroked="true" strokeweight=".5pt" strokecolor="#783a79">
              <v:stroke dashstyle="solid"/>
            </v:line>
            <v:line style="position:absolute" from="5,468" to="5,10" stroked="true" strokeweight=".5pt" strokecolor="#783a79">
              <v:stroke dashstyle="solid"/>
            </v:line>
            <v:line style="position:absolute" from="1706,5" to="6099,5" stroked="true" strokeweight=".5pt" strokecolor="#783a79">
              <v:stroke dashstyle="solid"/>
            </v:line>
            <v:line style="position:absolute" from="6099,5" to="10073,5" stroked="true" strokeweight=".5pt" strokecolor="#783a79">
              <v:stroke dashstyle="solid"/>
            </v:line>
            <v:line style="position:absolute" from="10068,468" to="10068,10" stroked="true" strokeweight=".5pt" strokecolor="#783a79">
              <v:stroke dashstyle="solid"/>
            </v:line>
            <v:line style="position:absolute" from="10,468" to="1706,468" stroked="true" strokeweight=".5pt" strokecolor="#8b5b8b">
              <v:stroke dashstyle="solid"/>
            </v:line>
            <v:line style="position:absolute" from="1706,468" to="6099,468" stroked="true" strokeweight=".5pt" strokecolor="#8b5b8b">
              <v:stroke dashstyle="solid"/>
            </v:line>
            <v:line style="position:absolute" from="6099,468" to="10063,468" stroked="true" strokeweight=".5pt" strokecolor="#8b5b8b">
              <v:stroke dashstyle="solid"/>
            </v:line>
            <v:line style="position:absolute" from="10,1858" to="1706,1858" stroked="true" strokeweight=".5pt" strokecolor="#8b5b8b">
              <v:stroke dashstyle="solid"/>
            </v:line>
            <v:line style="position:absolute" from="1706,1858" to="6099,1858" stroked="true" strokeweight=".5pt" strokecolor="#8b5b8b">
              <v:stroke dashstyle="solid"/>
            </v:line>
            <v:line style="position:absolute" from="6099,1858" to="10063,1858" stroked="true" strokeweight=".5pt" strokecolor="#8b5b8b">
              <v:stroke dashstyle="solid"/>
            </v:line>
            <v:shape style="position:absolute;left:73;top:100;width:891;height:2116" type="#_x0000_t202" filled="false" stroked="false">
              <v:textbox inset="0,0,0,0">
                <w:txbxContent>
                  <w:p>
                    <w:pPr>
                      <w:spacing w:line="439" w:lineRule="auto" w:before="8"/>
                      <w:ind w:left="0" w:right="2" w:firstLine="0"/>
                      <w:jc w:val="left"/>
                      <w:rPr>
                        <w:b/>
                        <w:sz w:val="22"/>
                      </w:rPr>
                    </w:pPr>
                    <w:r>
                      <w:rPr>
                        <w:b/>
                        <w:color w:val="FFFFFF"/>
                        <w:spacing w:val="-4"/>
                        <w:sz w:val="22"/>
                      </w:rPr>
                      <w:t>Portfolio </w:t>
                    </w:r>
                    <w:r>
                      <w:rPr>
                        <w:b/>
                        <w:spacing w:val="-4"/>
                        <w:sz w:val="22"/>
                      </w:rPr>
                      <w:t>Finance</w:t>
                    </w:r>
                  </w:p>
                  <w:p>
                    <w:pPr>
                      <w:spacing w:line="240" w:lineRule="auto" w:before="0"/>
                      <w:rPr>
                        <w:sz w:val="26"/>
                      </w:rPr>
                    </w:pPr>
                  </w:p>
                  <w:p>
                    <w:pPr>
                      <w:spacing w:line="240" w:lineRule="auto" w:before="0"/>
                      <w:rPr>
                        <w:sz w:val="26"/>
                      </w:rPr>
                    </w:pPr>
                  </w:p>
                  <w:p>
                    <w:pPr>
                      <w:spacing w:line="240" w:lineRule="auto" w:before="7"/>
                      <w:rPr>
                        <w:sz w:val="28"/>
                      </w:rPr>
                    </w:pPr>
                  </w:p>
                  <w:p>
                    <w:pPr>
                      <w:spacing w:before="0"/>
                      <w:ind w:left="0" w:right="0" w:firstLine="0"/>
                      <w:jc w:val="left"/>
                      <w:rPr>
                        <w:b/>
                        <w:sz w:val="22"/>
                      </w:rPr>
                    </w:pPr>
                    <w:r>
                      <w:rPr>
                        <w:b/>
                        <w:sz w:val="22"/>
                      </w:rPr>
                      <w:t>Energy</w:t>
                    </w:r>
                  </w:p>
                </w:txbxContent>
              </v:textbox>
              <w10:wrap type="none"/>
            </v:shape>
            <v:shape style="position:absolute;left:1773;top:100;width:3503;height:2579" type="#_x0000_t202" filled="false" stroked="false">
              <v:textbox inset="0,0,0,0">
                <w:txbxContent>
                  <w:p>
                    <w:pPr>
                      <w:spacing w:before="8"/>
                      <w:ind w:left="0" w:right="0" w:firstLine="0"/>
                      <w:jc w:val="left"/>
                      <w:rPr>
                        <w:b/>
                        <w:sz w:val="22"/>
                      </w:rPr>
                    </w:pPr>
                    <w:r>
                      <w:rPr>
                        <w:b/>
                        <w:color w:val="FFFFFF"/>
                        <w:w w:val="105"/>
                        <w:sz w:val="22"/>
                      </w:rPr>
                      <w:t>Date</w:t>
                    </w:r>
                  </w:p>
                  <w:p>
                    <w:pPr>
                      <w:spacing w:before="210"/>
                      <w:ind w:left="0" w:right="0" w:firstLine="0"/>
                      <w:jc w:val="left"/>
                      <w:rPr>
                        <w:sz w:val="22"/>
                      </w:rPr>
                    </w:pPr>
                    <w:r>
                      <w:rPr>
                        <w:sz w:val="22"/>
                      </w:rPr>
                      <w:t>1 July 2016 – 23 September 2016</w:t>
                    </w:r>
                  </w:p>
                  <w:p>
                    <w:pPr>
                      <w:spacing w:before="211"/>
                      <w:ind w:left="0" w:right="0" w:firstLine="0"/>
                      <w:jc w:val="left"/>
                      <w:rPr>
                        <w:sz w:val="22"/>
                      </w:rPr>
                    </w:pPr>
                    <w:r>
                      <w:rPr>
                        <w:sz w:val="22"/>
                      </w:rPr>
                      <w:t>23</w:t>
                    </w:r>
                    <w:r>
                      <w:rPr>
                        <w:spacing w:val="-16"/>
                        <w:sz w:val="22"/>
                      </w:rPr>
                      <w:t> </w:t>
                    </w:r>
                    <w:r>
                      <w:rPr>
                        <w:spacing w:val="-4"/>
                        <w:sz w:val="22"/>
                      </w:rPr>
                      <w:t>September</w:t>
                    </w:r>
                    <w:r>
                      <w:rPr>
                        <w:spacing w:val="-15"/>
                        <w:sz w:val="22"/>
                      </w:rPr>
                      <w:t> </w:t>
                    </w:r>
                    <w:r>
                      <w:rPr>
                        <w:spacing w:val="-3"/>
                        <w:sz w:val="22"/>
                      </w:rPr>
                      <w:t>2016</w:t>
                    </w:r>
                    <w:r>
                      <w:rPr>
                        <w:spacing w:val="-15"/>
                        <w:sz w:val="22"/>
                      </w:rPr>
                      <w:t> </w:t>
                    </w:r>
                    <w:r>
                      <w:rPr>
                        <w:sz w:val="22"/>
                      </w:rPr>
                      <w:t>–</w:t>
                    </w:r>
                    <w:r>
                      <w:rPr>
                        <w:spacing w:val="-15"/>
                        <w:sz w:val="22"/>
                      </w:rPr>
                      <w:t> </w:t>
                    </w:r>
                    <w:r>
                      <w:rPr>
                        <w:sz w:val="22"/>
                      </w:rPr>
                      <w:t>17</w:t>
                    </w:r>
                    <w:r>
                      <w:rPr>
                        <w:spacing w:val="-15"/>
                        <w:sz w:val="22"/>
                      </w:rPr>
                      <w:t> </w:t>
                    </w:r>
                    <w:r>
                      <w:rPr>
                        <w:spacing w:val="-4"/>
                        <w:sz w:val="22"/>
                      </w:rPr>
                      <w:t>March</w:t>
                    </w:r>
                    <w:r>
                      <w:rPr>
                        <w:spacing w:val="-15"/>
                        <w:sz w:val="22"/>
                      </w:rPr>
                      <w:t> </w:t>
                    </w:r>
                    <w:r>
                      <w:rPr>
                        <w:spacing w:val="-4"/>
                        <w:sz w:val="22"/>
                      </w:rPr>
                      <w:t>2017</w:t>
                    </w:r>
                  </w:p>
                  <w:p>
                    <w:pPr>
                      <w:spacing w:before="210"/>
                      <w:ind w:left="0" w:right="0" w:firstLine="0"/>
                      <w:jc w:val="left"/>
                      <w:rPr>
                        <w:sz w:val="22"/>
                      </w:rPr>
                    </w:pPr>
                    <w:r>
                      <w:rPr>
                        <w:sz w:val="22"/>
                      </w:rPr>
                      <w:t>17 March 2017 – 30 June 2017</w:t>
                    </w:r>
                  </w:p>
                  <w:p>
                    <w:pPr>
                      <w:spacing w:before="210"/>
                      <w:ind w:left="0" w:right="0" w:firstLine="0"/>
                      <w:jc w:val="left"/>
                      <w:rPr>
                        <w:sz w:val="22"/>
                      </w:rPr>
                    </w:pPr>
                    <w:r>
                      <w:rPr>
                        <w:sz w:val="22"/>
                      </w:rPr>
                      <w:t>1 July 2016 – 17 March 2017</w:t>
                    </w:r>
                  </w:p>
                  <w:p>
                    <w:pPr>
                      <w:spacing w:before="211"/>
                      <w:ind w:left="0" w:right="0" w:firstLine="0"/>
                      <w:jc w:val="left"/>
                      <w:rPr>
                        <w:sz w:val="22"/>
                      </w:rPr>
                    </w:pPr>
                    <w:r>
                      <w:rPr>
                        <w:sz w:val="22"/>
                      </w:rPr>
                      <w:t>17 March 2017 – 30 June 2017</w:t>
                    </w:r>
                  </w:p>
                </w:txbxContent>
              </v:textbox>
              <w10:wrap type="none"/>
            </v:shape>
            <v:shape style="position:absolute;left:6167;top:100;width:2446;height:2579" type="#_x0000_t202" filled="false" stroked="false">
              <v:textbox inset="0,0,0,0">
                <w:txbxContent>
                  <w:p>
                    <w:pPr>
                      <w:spacing w:before="8"/>
                      <w:ind w:left="0" w:right="0" w:firstLine="0"/>
                      <w:jc w:val="left"/>
                      <w:rPr>
                        <w:b/>
                        <w:sz w:val="22"/>
                      </w:rPr>
                    </w:pPr>
                    <w:r>
                      <w:rPr>
                        <w:b/>
                        <w:color w:val="FFFFFF"/>
                        <w:sz w:val="22"/>
                      </w:rPr>
                      <w:t>Minister</w:t>
                    </w:r>
                  </w:p>
                  <w:p>
                    <w:pPr>
                      <w:spacing w:line="439" w:lineRule="auto" w:before="210"/>
                      <w:ind w:left="0" w:right="7" w:firstLine="0"/>
                      <w:jc w:val="left"/>
                      <w:rPr>
                        <w:sz w:val="22"/>
                      </w:rPr>
                    </w:pPr>
                    <w:r>
                      <w:rPr>
                        <w:spacing w:val="-3"/>
                        <w:sz w:val="22"/>
                      </w:rPr>
                      <w:t>Hon Bill </w:t>
                    </w:r>
                    <w:r>
                      <w:rPr>
                        <w:spacing w:val="-4"/>
                        <w:sz w:val="22"/>
                      </w:rPr>
                      <w:t>Marmion MLA </w:t>
                    </w:r>
                    <w:r>
                      <w:rPr>
                        <w:spacing w:val="-3"/>
                        <w:sz w:val="22"/>
                      </w:rPr>
                      <w:t>Hon</w:t>
                    </w:r>
                    <w:r>
                      <w:rPr>
                        <w:spacing w:val="-31"/>
                        <w:sz w:val="22"/>
                      </w:rPr>
                      <w:t> </w:t>
                    </w:r>
                    <w:r>
                      <w:rPr>
                        <w:spacing w:val="-3"/>
                        <w:sz w:val="22"/>
                      </w:rPr>
                      <w:t>Sean</w:t>
                    </w:r>
                    <w:r>
                      <w:rPr>
                        <w:spacing w:val="-31"/>
                        <w:sz w:val="22"/>
                      </w:rPr>
                      <w:t> </w:t>
                    </w:r>
                    <w:r>
                      <w:rPr>
                        <w:spacing w:val="-6"/>
                        <w:sz w:val="22"/>
                      </w:rPr>
                      <w:t>L’Estrange</w:t>
                    </w:r>
                    <w:r>
                      <w:rPr>
                        <w:spacing w:val="-31"/>
                        <w:sz w:val="22"/>
                      </w:rPr>
                      <w:t> </w:t>
                    </w:r>
                    <w:r>
                      <w:rPr>
                        <w:spacing w:val="-4"/>
                        <w:sz w:val="22"/>
                      </w:rPr>
                      <w:t>MLA </w:t>
                    </w:r>
                    <w:r>
                      <w:rPr>
                        <w:spacing w:val="-3"/>
                        <w:sz w:val="22"/>
                      </w:rPr>
                      <w:t>Hon Ben </w:t>
                    </w:r>
                    <w:r>
                      <w:rPr>
                        <w:spacing w:val="-4"/>
                        <w:sz w:val="22"/>
                      </w:rPr>
                      <w:t>Wyatt</w:t>
                    </w:r>
                    <w:r>
                      <w:rPr>
                        <w:spacing w:val="-25"/>
                        <w:sz w:val="22"/>
                      </w:rPr>
                      <w:t> </w:t>
                    </w:r>
                    <w:r>
                      <w:rPr>
                        <w:spacing w:val="-4"/>
                        <w:sz w:val="22"/>
                      </w:rPr>
                      <w:t>MLA</w:t>
                    </w:r>
                  </w:p>
                  <w:p>
                    <w:pPr>
                      <w:spacing w:before="1"/>
                      <w:ind w:left="0" w:right="0" w:firstLine="0"/>
                      <w:jc w:val="left"/>
                      <w:rPr>
                        <w:sz w:val="22"/>
                      </w:rPr>
                    </w:pPr>
                    <w:r>
                      <w:rPr>
                        <w:sz w:val="22"/>
                      </w:rPr>
                      <w:t>Hon Dr Mike Nahan MLA</w:t>
                    </w:r>
                  </w:p>
                  <w:p>
                    <w:pPr>
                      <w:spacing w:before="211"/>
                      <w:ind w:left="0" w:right="0" w:firstLine="0"/>
                      <w:jc w:val="left"/>
                      <w:rPr>
                        <w:sz w:val="22"/>
                      </w:rPr>
                    </w:pPr>
                    <w:r>
                      <w:rPr>
                        <w:sz w:val="22"/>
                      </w:rPr>
                      <w:t>Hon Ben Wyatt MLA</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tabs>
          <w:tab w:pos="12166" w:val="left" w:leader="none"/>
          <w:tab w:pos="12373" w:val="left" w:leader="none"/>
          <w:tab w:pos="16072" w:val="right" w:leader="none"/>
        </w:tabs>
        <w:spacing w:before="106"/>
        <w:ind w:left="765" w:right="0" w:firstLine="0"/>
        <w:jc w:val="left"/>
        <w:rPr>
          <w:b/>
          <w:sz w:val="16"/>
        </w:rPr>
      </w:pPr>
      <w:r>
        <w:rPr/>
        <w:pict>
          <v:group style="position:absolute;margin-left:573.097473pt;margin-top:-319.459808pt;width:268.8pt;height:306.2pt;mso-position-horizontal-relative:page;mso-position-vertical-relative:paragraph;z-index:3808" coordorigin="11462,-6389" coordsize="5376,6124">
            <v:shape style="position:absolute;left:14232;top:-6390;width:309;height:284" type="#_x0000_t75" stroked="false">
              <v:imagedata r:id="rId44" o:title=""/>
            </v:shape>
            <v:shape style="position:absolute;left:11461;top:-6205;width:3079;height:5523" coordorigin="11462,-6205" coordsize="3079,5523" path="m14541,-1411l13800,-983,13809,-974,14541,-1397,14541,-1411m14541,-1779l13566,-1217,13575,-1208,14541,-1766,14541,-1779m14541,-2701l12982,-1801,12990,-1793,14541,-2688,14541,-2701m14541,-3347l12572,-2211,12581,-2202,14541,-3333,14541,-3347m14541,-3716l12339,-2444,12347,-2436,14541,-3702,14541,-3716m14541,-4361l11930,-2853,11938,-2845,14541,-4347,14541,-4361m14541,-4453l11871,-2912,11880,-2903,14541,-4439,14541,-4453m14541,-4637l11754,-3029,11763,-3020,14541,-4624,14541,-4637m14541,-5744l12956,-4829,12924,-4797,14541,-5730,14541,-5744m14541,-6205l14046,-5920,14014,-5887,14541,-6191,14541,-6205m14541,-950l14092,-691,14101,-682,14541,-936,14541,-950m14541,-1042l14034,-749,14042,-741,14541,-1028,14541,-1042m14541,-1134l13975,-808,13984,-799,14541,-1120,14541,-1134m14541,-1226l13917,-866,13925,-858,14541,-1213,14541,-1226m14541,-1319l13858,-925,13867,-916,14541,-1305,14541,-1319m14541,-1503l13741,-1042,13750,-1033,14541,-1489,14541,-1503m14541,-1595l13683,-1100,13692,-1091,14541,-1581,14541,-1595m14541,-1687l13625,-1158,13633,-1150,14541,-1674,14541,-1687m14541,-1872l13508,-1275,13516,-1267,14541,-1858,14541,-1872m14541,-1964l13449,-1334,13458,-1325,14541,-1950,14541,-1964m14541,-2056l13391,-1392,13399,-1384,14541,-2042,14541,-2056m14541,-2148l13332,-1451,13341,-1442,14541,-2135,14541,-2148m14541,-2240l13274,-1509,13283,-1500,14541,-2227,14541,-2240m14541,-2333l13215,-1568,13224,-1559,14541,-2319,14541,-2333m14541,-2425l13157,-1626,13166,-1617,14541,-2411,14541,-2425m14541,-2517l13099,-1684,13107,-1676,14541,-2503,14541,-2517m14541,-2609l13040,-1743,13049,-1734,14541,-2596,14541,-2609m14541,-2794l12923,-1860,12932,-1851,14541,-2780,14541,-2794m14541,-2886l12865,-1918,12873,-1910,14541,-2872,14541,-2886m14541,-2978l12806,-1977,12815,-1968,14541,-2964,14541,-2978m14541,-3070l12748,-2035,12756,-2027,14541,-3057,14541,-3070m14541,-3162l12689,-2094,12698,-2085,14541,-3149,14541,-3162m14541,-3255l12631,-2152,12640,-2143,14541,-3241,14541,-3255m14541,-3439l12514,-2269,12523,-2260,14541,-3425,14541,-3439m14541,-3531l12456,-2327,12464,-2319,14541,-3518,14541,-3531m14541,-3623l12397,-2386,12406,-2377,14541,-3610,14541,-3623m14541,-3808l12280,-2503,12289,-2494,14541,-3794,14541,-3808m14541,-3900l12222,-2561,12230,-2553,14541,-3886,14541,-3900m14541,-3992l12163,-2620,12172,-2611,14541,-3978,14541,-3992m14541,-4084l12105,-2678,12114,-2669,14541,-4071,14541,-4084m14541,-4177l12046,-2737,12055,-2728,14541,-4163,14541,-4177m14541,-4269l11988,-2795,11997,-2786,14541,-4255,14541,-4269m14541,-4545l11813,-2970,11821,-2962,14541,-4532,14541,-4545m14541,-4730l11696,-3087,11704,-3079,14541,-4716,14541,-4730m14541,-4822l11637,-3146,11646,-3137,14541,-4808,14541,-4822m14541,-4914l11579,-3204,11587,-3196,14541,-4900,14541,-4914m14541,-5006l11520,-3263,11529,-3254,14541,-4993,14541,-5006m14541,-5098l11462,-3321,11471,-3312,14541,-5085,14541,-5098m14541,-5191l11647,-3520,11615,-3488,14541,-5177,14541,-5191m14541,-5283l11865,-3738,11833,-3706,14541,-5269,14541,-5283m14541,-5375l12083,-3956,12051,-3924,14541,-5361,14541,-5375m14541,-5467l12301,-4175,12269,-4142,14541,-5454,14541,-5467m14541,-5559l12520,-4393,12487,-4360,14541,-5546,14541,-5559m14541,-5652l12738,-4611,12705,-4579,14541,-5638,14541,-5652m14541,-5836l13174,-5047,13142,-5015,14541,-5822,14541,-5836m14541,-5928l13392,-5265,13360,-5233,14541,-5915,14541,-5928m14541,-6020l13610,-5483,13578,-5451,14541,-6007,14541,-6020m14541,-6113l13828,-5701,13796,-5669,14541,-6099,14541,-6113e" filled="true" fillcolor="#d8dad9" stroked="false">
              <v:path arrowok="t"/>
              <v:fill type="solid"/>
            </v:shape>
            <v:shape style="position:absolute;left:14150;top:-858;width:390;height:585" type="#_x0000_t75" stroked="false">
              <v:imagedata r:id="rId45" o:title=""/>
            </v:shape>
            <v:shape style="position:absolute;left:14540;top:-6377;width:41;height:27" coordorigin="14541,-6377" coordsize="41,27" path="m14577,-6377l14541,-6356,14541,-6350,14581,-6373,14577,-6377xe" filled="true" fillcolor="#d8dad9" stroked="false">
              <v:path arrowok="t"/>
              <v:fill type="solid"/>
            </v:shape>
            <v:shape style="position:absolute;left:14540;top:-6319;width:391;height:522" type="#_x0000_t75" stroked="false">
              <v:imagedata r:id="rId46" o:title=""/>
            </v:shape>
            <v:shape style="position:absolute;left:14540;top:-5968;width:2298;height:5703" coordorigin="14541,-5968" coordsize="2298,5703" path="m14608,-310l14541,-271,14541,-265,14595,-297,14608,-310m14826,-528l14541,-363,14541,-357,14813,-515,14826,-528m14990,-5964l14986,-5968,14541,-5710,14541,-5705,14990,-5964m15044,-746l14541,-455,14541,-450,15031,-733,15044,-746m15048,-5906l15045,-5909,14541,-5618,14541,-5613,15048,-5906m15107,-5847l15103,-5851,14541,-5526,14541,-5520,15107,-5847m15165,-5789l15162,-5792,14541,-5434,14541,-5428,15165,-5789m15224,-5731l15220,-5734,14541,-5342,14541,-5336,15224,-5731m15262,-964l14541,-547,14541,-542,15249,-951,15262,-964m15282,-5672l15279,-5676,14541,-5249,14541,-5244,15282,-5672m15341,-5614l15337,-5617,14541,-5157,14541,-5152,15341,-5614m15399,-5555l15396,-5559,14541,-5065,14541,-5060,15399,-5555m15458,-5497l15454,-5500,14541,-4973,14541,-4967,15458,-5497m15480,-1182l14541,-640,14541,-634,15467,-1169,15480,-1182m15516,-5438l15513,-5442,14541,-4881,14541,-4875,15516,-5438m15574,-5380l15571,-5383,14541,-4788,14541,-4783,15574,-5380m15633,-5321l15629,-5325,14541,-4696,14541,-4691,15633,-5321m15691,-5263l15688,-5266,14541,-4604,14541,-4599,15691,-5263m15698,-1400l14541,-732,14541,-726,15685,-1387,15698,-1400m15750,-5204l15746,-5208,14541,-4512,14541,-4506,15750,-5204m15808,-5146l15805,-5149,14541,-4420,14541,-4414,15808,-5146m15867,-5088l15863,-5091,14541,-4327,14541,-4322,15867,-5088m15916,-1618l14541,-824,14541,-818,15904,-1605,15916,-1618m15925,-5029l15922,-5033,14541,-4235,14541,-4230,15925,-5029m15984,-4971l15980,-4974,14541,-4143,14541,-4138,15984,-4971m16042,-4912l16039,-4916,14541,-4051,14541,-4045,16042,-4912m16101,-4854l16097,-4857,14541,-3959,14541,-3953,16101,-4854m16135,-1836l14541,-916,14541,-911,16122,-1823,16135,-1836m16159,-4795l16156,-4799,14541,-3866,14541,-3861,16159,-4795m16217,-4737l16214,-4740,14541,-3774,14541,-3769,16217,-4737m16276,-4678l16272,-4682,14541,-3682,14541,-3677,16276,-4678m16334,-4620l16331,-4623,14541,-3590,14541,-3584,16334,-4620m16353,-2055l14541,-1008,14541,-1003,16340,-2042,16353,-2055m16393,-4561l16389,-4565,14541,-3498,14541,-3492,16393,-4561m16451,-4503l16448,-4506,14541,-3405,14541,-3400,16451,-4503m16510,-4445l16506,-4448,14541,-3313,14541,-3308,16510,-4445m16568,-4386l16565,-4390,14541,-3221,14541,-3216,16568,-4386m16571,-2273l14541,-1101,14541,-1095,16558,-2260,16571,-2273m16627,-4328l16623,-4331,14541,-3129,14541,-3123,16627,-4328m16685,-4269l16682,-4273,14541,-3037,14541,-3031,16685,-4269m16744,-4211l16740,-4214,14541,-2944,14541,-2939,16744,-4211m16789,-2491l14541,-1193,14541,-1187,16776,-2478,16789,-2491m16802,-4152l16798,-4156,14541,-2852,14541,-2847,16802,-4152m16838,-2611l14541,-1285,14541,-1279,16838,-2606,16838,-2611m16838,-2703l14541,-1377,14541,-1372,16838,-2698,16838,-2703m16838,-2796l14541,-1469,14541,-1464,16838,-2790,16838,-2796m16838,-2888l14541,-1562,14541,-1556,16838,-2882,16838,-2888m16838,-2980l14541,-1654,14541,-1648,16838,-2974,16838,-2980m16838,-3072l14541,-1746,14541,-1740,16838,-3067,16838,-3072m16838,-3164l14541,-1838,14541,-1833,16838,-3159,16838,-3164m16838,-3257l14541,-1930,14541,-1925,16838,-3251,16838,-3257m16838,-3349l14541,-2022,14541,-2017,16838,-3343,16838,-3349m16838,-3441l14541,-2115,14541,-2109,16838,-3435,16838,-3441m16838,-3533l14541,-2207,14541,-2201,16838,-3528,16838,-3533m16838,-3625l14541,-2299,14541,-2294,16838,-3620,16838,-3625m16838,-3718l14541,-2391,14541,-2386,16838,-3712,16838,-3718m16838,-3810l14541,-2483,14541,-2478,16838,-3804,16838,-3810m16838,-3902l14541,-2576,14541,-2570,16838,-3896,16838,-3902m16838,-3994l14541,-2668,14541,-2662,16838,-3989,16838,-3994m16838,-4086l14541,-2760,14541,-2755,16838,-4081,16838,-4086e" filled="true" fillcolor="#d8dad9" stroked="false">
              <v:path arrowok="t"/>
              <v:fill type="solid"/>
            </v:shape>
            <v:shape style="position:absolute;left:14538;top:-5511;width:2299;height:3529" coordorigin="14539,-5511" coordsize="2299,3529" path="m16303,-5511l14539,-3746,16303,-1982,16838,-2517,16838,-4976,16303,-5511xe" filled="true" fillcolor="#ffffff" stroked="false">
              <v:path arrowok="t"/>
              <v:fill type="solid"/>
            </v:shape>
            <v:shape style="position:absolute;left:15421;top:-5070;width:1417;height:442" coordorigin="15421,-5070" coordsize="1417,442" path="m16744,-5070l16524,-4849,16745,-4629,16838,-4629,16838,-4976,16744,-5070xm15862,-5070l15421,-4629,15421,-4629,15862,-4629,16083,-4849,15862,-5070xe" filled="true" fillcolor="#aebd37" stroked="false">
              <v:path arrowok="t"/>
              <v:fill type="solid"/>
            </v:shape>
            <v:shape style="position:absolute;left:14538;top:-4629;width:883;height:1765" coordorigin="14539,-4629" coordsize="883,1765" path="m15200,-3526l14980,-3305,14980,-3305,15421,-2864,15421,-3305,15200,-3526xm14539,-3746l14539,-3746,14980,-3305,14980,-3305,14539,-3746xm15421,-4629l14980,-4188,15200,-3967,15421,-4188,15421,-4629xe" filled="true" fillcolor="#6f2770" stroked="false">
              <v:path arrowok="t"/>
              <v:fill type="solid"/>
            </v:shape>
            <v:shape style="position:absolute;left:15421;top:-2865;width:1417;height:883" coordorigin="15421,-2864" coordsize="1417,883" path="m15862,-2864l15421,-2864,15421,-2864,16303,-1982,15862,-2423,16083,-2644,15862,-2864xm16838,-2864l16745,-2864,16524,-2644,16744,-2423,16303,-1982,16838,-2517,16838,-2864xe" filled="true" fillcolor="#360e3f" stroked="false">
              <v:path arrowok="t"/>
              <v:fill type="solid"/>
            </v:shape>
            <v:shape style="position:absolute;left:16744;top:-4629;width:94;height:94" coordorigin="16745,-4629" coordsize="94,94" path="m16838,-4629l16745,-4629,16838,-4535,16838,-4629xe" filled="true" fillcolor="#7aa142" stroked="false">
              <v:path arrowok="t"/>
              <v:fill type="solid"/>
            </v:shape>
            <v:shape style="position:absolute;left:15421;top:-4629;width:221;height:221" coordorigin="15421,-4629" coordsize="221,221" path="m15421,-4629l15642,-4408,15421,-4629xe" filled="true" fillcolor="#6f2770" stroked="false">
              <v:path arrowok="t"/>
              <v:fill type="solid"/>
            </v:shape>
            <v:shape style="position:absolute;left:15421;top:-4629;width:441;height:221" coordorigin="15421,-4629" coordsize="441,221" path="m15862,-4629l15421,-4629,15641,-4408,15862,-4629xe" filled="true" fillcolor="#5b2e31" stroked="false">
              <v:path arrowok="t"/>
              <v:fill type="solid"/>
            </v:shape>
            <v:shape style="position:absolute;left:15421;top:-4629;width:221;height:441" coordorigin="15421,-4629" coordsize="221,441" path="m15421,-4629l15421,-4188,15642,-4408,15421,-4629xe" filled="true" fillcolor="#42285e" stroked="false">
              <v:path arrowok="t"/>
              <v:fill type="solid"/>
            </v:shape>
            <v:shape style="position:absolute;left:16744;top:-2958;width:94;height:94" coordorigin="16745,-2958" coordsize="94,94" path="m16838,-2958l16745,-2864,16838,-2864,16838,-2958xe" filled="true" fillcolor="#1e0f13" stroked="false">
              <v:path arrowok="t"/>
              <v:fill type="solid"/>
            </v:shape>
            <v:shape style="position:absolute;left:15421;top:-3085;width:221;height:221" coordorigin="15421,-3085" coordsize="221,221" path="m15641,-3085l15421,-2864,15641,-3085xe" filled="true" fillcolor="#360e3f" stroked="false">
              <v:path arrowok="t"/>
              <v:fill type="solid"/>
            </v:shape>
            <v:shape style="position:absolute;left:15421;top:-3306;width:221;height:441" coordorigin="15421,-3305" coordsize="221,441" path="m15421,-3305l15421,-2864,15641,-3085,15421,-3305xe" filled="true" fillcolor="#200d34" stroked="false">
              <v:path arrowok="t"/>
              <v:fill type="solid"/>
            </v:shape>
            <v:shape style="position:absolute;left:15421;top:-3085;width:441;height:221" coordorigin="15421,-3085" coordsize="441,221" path="m15641,-3085l15421,-2864,15862,-2864,15641,-3085xe" filled="true" fillcolor="#050019" stroked="false">
              <v:path arrowok="t"/>
              <v:fill type="solid"/>
            </v:shape>
            <v:shape style="position:absolute;left:15862;top:-5511;width:883;height:662" coordorigin="15862,-5511" coordsize="883,662" path="m16303,-5511l15862,-5070,16083,-4849,16303,-5070,16744,-5070,16303,-5511xm16744,-5070l16303,-5070,16524,-4849,16744,-5070,16744,-5070xe" filled="true" fillcolor="#89993e" stroked="false">
              <v:path arrowok="t"/>
              <v:fill type="solid"/>
            </v:shape>
            <v:shape style="position:absolute;left:15862;top:-2644;width:883;height:662" coordorigin="15862,-2644" coordsize="883,662" path="m16083,-2644l15862,-2423,16303,-1982,16744,-2423,16303,-2423,16083,-2644xm16524,-2644l16303,-2423,16744,-2423,16744,-2423,16524,-2644xe" filled="true" fillcolor="#2f1038" stroked="false">
              <v:path arrowok="t"/>
              <v:fill type="solid"/>
            </v:shape>
            <v:shape style="position:absolute;left:14538;top:-4188;width:662;height:883" coordorigin="14539,-4187" coordsize="662,883" path="m15200,-3967l14980,-4187,14539,-3746,14980,-3305,15200,-3526,14980,-3746,15200,-3967e" filled="true" fillcolor="#602a63" stroked="false">
              <v:path arrowok="t"/>
              <v:fill type="solid"/>
            </v:shape>
            <v:shape style="position:absolute;left:15861;top:-4850;width:883;height:221" coordorigin="15862,-4849" coordsize="883,221" path="m16524,-4849l16303,-4629,15862,-4629,16745,-4629,16303,-4629,16083,-4849,16524,-4849xe" filled="true" fillcolor="#f8f7f0" stroked="false">
              <v:path arrowok="t"/>
              <v:fill type="solid"/>
            </v:shape>
            <v:shape style="position:absolute;left:16303;top:-3747;width:2;height:2" coordorigin="16303,-3746" coordsize="1,1" path="m16303,-3746xe" filled="true" fillcolor="#ffffff" stroked="false">
              <v:path arrowok="t"/>
              <v:fill type="solid"/>
            </v:shape>
            <v:shape style="position:absolute;left:15200;top:-4188;width:1103;height:883" coordorigin="15200,-4188" coordsize="1103,883" path="m16303,-3746l15421,-3746,15200,-3526,15421,-3305,15421,-3746,16303,-3746,16303,-3746xm15421,-4188l15200,-3967,15421,-3746,15421,-3746,15421,-4188xe" filled="true" fillcolor="#f1edf3" stroked="false">
              <v:path arrowok="t"/>
              <v:fill type="solid"/>
            </v:shape>
            <v:shape style="position:absolute;left:15861;top:-2865;width:883;height:221" coordorigin="15862,-2864" coordsize="883,221" path="m16745,-2864l16303,-2864,16303,-2864,15862,-2864,16083,-2644,16303,-2864,16745,-2864,16745,-2864xm16745,-2864l16303,-2864,16524,-2644,16745,-2864xe" filled="true" fillcolor="#ebe7ea" stroked="false">
              <v:path arrowok="t"/>
              <v:fill type="solid"/>
            </v:shape>
            <v:shape style="position:absolute;left:16303;top:-4629;width:535;height:883" coordorigin="16303,-4629" coordsize="535,883" path="m16745,-4629l16303,-4629,16303,-3746,16838,-4281,16838,-4535,16745,-4629xe" filled="true" fillcolor="#f5f6f0" stroked="false">
              <v:path arrowok="t"/>
              <v:fill type="solid"/>
            </v:shape>
            <v:shape style="position:absolute;left:16303;top:-4282;width:535;height:535" coordorigin="16303,-4281" coordsize="535,535" path="m16838,-4281l16303,-3746,16838,-3746,16838,-4281xe" filled="true" fillcolor="#f2f3ee" stroked="false">
              <v:path arrowok="t"/>
              <v:fill type="solid"/>
            </v:shape>
            <v:shape style="position:absolute;left:15641;top:-4629;width:662;height:883" coordorigin="15641,-4629" coordsize="662,883" path="m16303,-4629l15862,-4629,15641,-4408,16303,-3746,16303,-4629xe" filled="true" fillcolor="#f1edea" stroked="false">
              <v:path arrowok="t"/>
              <v:fill type="solid"/>
            </v:shape>
            <v:shape style="position:absolute;left:15421;top:-4409;width:883;height:662" coordorigin="15421,-4408" coordsize="883,662" path="m15641,-4408l15421,-4188,15421,-3746,16303,-3746,15641,-4408xe" filled="true" fillcolor="#ebe9ed" stroked="false">
              <v:path arrowok="t"/>
              <v:fill type="solid"/>
            </v:shape>
            <v:shape style="position:absolute;left:16303;top:-3747;width:535;height:535" coordorigin="16303,-3746" coordsize="535,535" path="m16303,-3746l16838,-3212,16303,-3746xe" filled="true" fillcolor="#f2f3ee" stroked="false">
              <v:path arrowok="t"/>
              <v:fill type="solid"/>
            </v:shape>
            <v:shape style="position:absolute;left:16303;top:-3747;width:535;height:535" coordorigin="16303,-3746" coordsize="535,535" path="m16838,-3746l16303,-3746,16838,-3212,16838,-3746xe" filled="true" fillcolor="#eceeea" stroked="false">
              <v:path arrowok="t"/>
              <v:fill type="solid"/>
            </v:shape>
            <v:shape style="position:absolute;left:16303;top:-3747;width:535;height:883" coordorigin="16303,-3746" coordsize="535,883" path="m16303,-3746l16303,-2864,16745,-2864,16838,-2958,16838,-3212,16303,-3746xe" filled="true" fillcolor="#e6e3e2" stroked="false">
              <v:path arrowok="t"/>
              <v:fill type="solid"/>
            </v:shape>
            <v:shape style="position:absolute;left:15641;top:-3747;width:662;height:662" coordorigin="15641,-3746" coordsize="662,662" path="m16303,-3746l15641,-3085,16303,-3746xe" filled="true" fillcolor="#ebe7ea" stroked="false">
              <v:path arrowok="t"/>
              <v:fill type="solid"/>
            </v:shape>
            <v:shape style="position:absolute;left:15421;top:-3747;width:883;height:662" coordorigin="15421,-3746" coordsize="883,662" path="m16303,-3746l15421,-3746,15421,-3305,15641,-3085,16303,-3746xe" filled="true" fillcolor="#e6e4e6" stroked="false">
              <v:path arrowok="t"/>
              <v:fill type="solid"/>
            </v:shape>
            <v:shape style="position:absolute;left:15641;top:-3747;width:662;height:883" coordorigin="15641,-3746" coordsize="662,883" path="m16303,-3746l15641,-3085,15862,-2864,16303,-2864,16303,-3746xe" filled="true" fillcolor="#e4e2e4" stroked="false">
              <v:path arrowok="t"/>
              <v:fill type="solid"/>
            </v:shape>
            <v:shape style="position:absolute;left:16082;top:-5070;width:442;height:442" coordorigin="16083,-5070" coordsize="442,442" path="m16303,-5070l16083,-4849,16303,-4629,16524,-4849,16303,-5070xe" filled="true" fillcolor="#f5f4ee" stroked="false">
              <v:path arrowok="t"/>
              <v:fill type="solid"/>
            </v:shape>
            <v:shape style="position:absolute;left:16082;top:-2865;width:442;height:442" coordorigin="16083,-2864" coordsize="442,442" path="m16303,-2864l16083,-2644,16303,-2423,16524,-2644,16303,-2864xe" filled="true" fillcolor="#ebe7e8" stroked="false">
              <v:path arrowok="t"/>
              <v:fill type="solid"/>
            </v:shape>
            <v:shape style="position:absolute;left:14979;top:-3968;width:442;height:442" coordorigin="14980,-3967" coordsize="442,442" path="m15200,-3967l14980,-3746,15200,-3526,15421,-3746,15200,-3967xe" filled="true" fillcolor="#f1edf0" stroked="false">
              <v:path arrowok="t"/>
              <v:fill type="solid"/>
            </v:shape>
            <v:shape style="position:absolute;left:11897;top:-1803;width:904;height:904" coordorigin="11897,-1802" coordsize="904,904" path="m12349,-1802l11897,-1351,12349,-899,12800,-1351,12349,-1802xe" filled="true" fillcolor="#d3d896" stroked="false">
              <v:path arrowok="t"/>
              <v:fill opacity="32768f" type="solid"/>
            </v:shape>
            <w10:wrap type="none"/>
          </v:group>
        </w:pict>
      </w:r>
      <w:r>
        <w:rPr/>
        <w:pict>
          <v:group style="position:absolute;margin-left:38.267799pt;margin-top:-32.309895pt;width:135.5pt;height:69.75pt;mso-position-horizontal-relative:page;mso-position-vertical-relative:paragraph;z-index:-809800" coordorigin="765,-646" coordsize="2710,1395">
            <v:shape style="position:absolute;left:765;top:-195;width:1807;height:944" coordorigin="765,-195" coordsize="1807,944" path="m2120,257l1669,-195,1217,257,765,709,805,748,1629,748,1669,709,2120,257m2572,709l2120,257,1669,709,1708,748,2532,748,2572,709e" filled="true" fillcolor="#ffffff" stroked="false">
              <v:path arrowok="t"/>
              <v:fill type="solid"/>
            </v:shape>
            <v:shape style="position:absolute;left:1668;top:-647;width:904;height:904" coordorigin="1669,-646" coordsize="904,904" path="m2120,-646l1669,-195,2120,257,2572,-195,2120,-646xe" filled="true" fillcolor="#a5b68b" stroked="false">
              <v:path arrowok="t"/>
              <v:fill opacity="45875f" type="solid"/>
            </v:shape>
            <v:shape style="position:absolute;left:1216;top:-195;width:904;height:904" coordorigin="1217,-195" coordsize="904,904" path="m1669,-195l1217,257,1669,709,2120,257,1669,-195xe" filled="true" fillcolor="#d3d896" stroked="false">
              <v:path arrowok="t"/>
              <v:fill opacity="45875f" type="solid"/>
            </v:shape>
            <v:shape style="position:absolute;left:765;top:257;width:2710;height:492" coordorigin="765,257" coordsize="2710,492" path="m1669,709l1217,257,765,709,805,748,1629,748,1669,709m3475,709l3023,257,2572,709,2612,748,3435,748,3475,709e" filled="true" fillcolor="#d8dad9" stroked="false">
              <v:path arrowok="t"/>
              <v:fill opacity="45875f" type="solid"/>
            </v:shape>
            <v:shape style="position:absolute;left:1668;top:256;width:904;height:492" coordorigin="1669,257" coordsize="904,492" path="m2120,257l1669,709,1708,748,2532,748,2572,709,2120,257xe" filled="true" fillcolor="#a783a6" stroked="false">
              <v:path arrowok="t"/>
              <v:fill opacity="45875f" type="solid"/>
            </v:shape>
            <w10:wrap type="none"/>
          </v:group>
        </w:pict>
      </w:r>
      <w:r>
        <w:rPr>
          <w:color w:val="939598"/>
          <w:w w:val="100"/>
          <w:sz w:val="16"/>
          <w:u w:val="single" w:color="939598"/>
        </w:rPr>
        <w:t> </w:t>
      </w:r>
      <w:r>
        <w:rPr>
          <w:color w:val="939598"/>
          <w:sz w:val="16"/>
          <w:u w:val="single" w:color="939598"/>
        </w:rPr>
        <w:tab/>
      </w:r>
      <w:r>
        <w:rPr>
          <w:color w:val="939598"/>
          <w:sz w:val="16"/>
        </w:rPr>
        <w:tab/>
        <w:t>Department of Finance Annual</w:t>
      </w:r>
      <w:r>
        <w:rPr>
          <w:color w:val="939598"/>
          <w:spacing w:val="-27"/>
          <w:sz w:val="16"/>
        </w:rPr>
        <w:t> </w:t>
      </w:r>
      <w:r>
        <w:rPr>
          <w:color w:val="939598"/>
          <w:sz w:val="16"/>
        </w:rPr>
        <w:t>Report</w:t>
      </w:r>
      <w:r>
        <w:rPr>
          <w:color w:val="939598"/>
          <w:spacing w:val="-7"/>
          <w:sz w:val="16"/>
        </w:rPr>
        <w:t> </w:t>
      </w:r>
      <w:r>
        <w:rPr>
          <w:color w:val="939598"/>
          <w:sz w:val="16"/>
        </w:rPr>
        <w:t>2016-17</w:t>
        <w:tab/>
      </w:r>
      <w:r>
        <w:rPr>
          <w:b/>
          <w:color w:val="6F2770"/>
          <w:sz w:val="16"/>
        </w:rPr>
        <w:t>7</w:t>
      </w:r>
    </w:p>
    <w:p>
      <w:pPr>
        <w:spacing w:after="0"/>
        <w:jc w:val="left"/>
        <w:rPr>
          <w:sz w:val="16"/>
        </w:rPr>
        <w:sectPr>
          <w:type w:val="continuous"/>
          <w:pgSz w:w="16840" w:h="11910" w:orient="landscape"/>
          <w:pgMar w:top="0" w:bottom="0" w:left="0" w:right="0"/>
        </w:sectPr>
      </w:pPr>
    </w:p>
    <w:p>
      <w:pPr>
        <w:tabs>
          <w:tab w:pos="3116" w:val="left" w:leader="none"/>
          <w:tab w:pos="5615" w:val="left" w:leader="none"/>
        </w:tabs>
        <w:spacing w:before="73"/>
        <w:ind w:left="683" w:right="0" w:firstLine="0"/>
        <w:jc w:val="left"/>
        <w:rPr>
          <w:sz w:val="20"/>
        </w:rPr>
      </w:pPr>
      <w:r>
        <w:rPr/>
        <w:pict>
          <v:shape style="position:absolute;margin-left:264.185486pt;margin-top:15.559869pt;width:73pt;height:11.85pt;mso-position-horizontal-relative:page;mso-position-vertical-relative:paragraph;z-index:-809584" type="#_x0000_t202" filled="false" stroked="false">
            <v:textbox inset="0,0,0,0">
              <w:txbxContent>
                <w:p>
                  <w:pPr>
                    <w:spacing w:before="6"/>
                    <w:ind w:left="0" w:right="0" w:firstLine="0"/>
                    <w:jc w:val="left"/>
                    <w:rPr>
                      <w:sz w:val="20"/>
                    </w:rPr>
                  </w:pPr>
                  <w:hyperlink w:history="true" w:anchor="_bookmark5">
                    <w:r>
                      <w:rPr>
                        <w:color w:val="6F2770"/>
                        <w:w w:val="90"/>
                        <w:sz w:val="20"/>
                      </w:rPr>
                      <w:t>PERFORMANCE</w:t>
                    </w:r>
                  </w:hyperlink>
                </w:p>
              </w:txbxContent>
            </v:textbox>
            <w10:wrap type="none"/>
          </v:shape>
        </w:pict>
      </w:r>
      <w:bookmarkStart w:name="_bookmark5" w:id="6"/>
      <w:bookmarkEnd w:id="6"/>
      <w:r>
        <w:rPr/>
      </w:r>
      <w:hyperlink w:history="true" w:anchor="_bookmark0">
        <w:r>
          <w:rPr>
            <w:color w:val="FFFFFF"/>
            <w:sz w:val="20"/>
          </w:rPr>
          <w:t>CONTENTS</w:t>
        </w:r>
      </w:hyperlink>
      <w:r>
        <w:rPr>
          <w:color w:val="FFFFFF"/>
          <w:sz w:val="20"/>
        </w:rPr>
        <w:tab/>
      </w:r>
      <w:hyperlink w:history="true" w:anchor="_bookmark1">
        <w:r>
          <w:rPr>
            <w:color w:val="FFFFFF"/>
            <w:sz w:val="20"/>
          </w:rPr>
          <w:t>OVER</w:t>
        </w:r>
      </w:hyperlink>
      <w:hyperlink w:history="true" w:anchor="_bookmark1">
        <w:r>
          <w:rPr>
            <w:color w:val="FFFFFF"/>
            <w:sz w:val="20"/>
          </w:rPr>
          <w:t>VIEW</w:t>
        </w:r>
      </w:hyperlink>
      <w:r>
        <w:rPr>
          <w:color w:val="FFFFFF"/>
          <w:sz w:val="20"/>
        </w:rPr>
        <w:tab/>
      </w:r>
      <w:hyperlink w:history="true" w:anchor="_bookmark5">
        <w:r>
          <w:rPr>
            <w:color w:val="6F2770"/>
            <w:w w:val="95"/>
            <w:position w:val="13"/>
            <w:sz w:val="20"/>
          </w:rPr>
          <w:t>AGENCY</w:t>
        </w:r>
      </w:hyperlink>
    </w:p>
    <w:p>
      <w:pPr>
        <w:pStyle w:val="BodyText"/>
        <w:rPr>
          <w:sz w:val="36"/>
        </w:rPr>
      </w:pPr>
    </w:p>
    <w:p>
      <w:pPr>
        <w:pStyle w:val="Heading1"/>
        <w:spacing w:line="249" w:lineRule="auto" w:before="269"/>
      </w:pPr>
      <w:r>
        <w:rPr>
          <w:color w:val="6F2770"/>
        </w:rPr>
        <w:t>Our Value </w:t>
      </w:r>
      <w:r>
        <w:rPr>
          <w:color w:val="6F2770"/>
          <w:w w:val="90"/>
        </w:rPr>
        <w:t>Proposition</w:t>
      </w:r>
    </w:p>
    <w:p>
      <w:pPr>
        <w:spacing w:line="249" w:lineRule="auto" w:before="77"/>
        <w:ind w:left="683" w:right="0" w:firstLine="125"/>
        <w:jc w:val="left"/>
        <w:rPr>
          <w:sz w:val="20"/>
        </w:rPr>
      </w:pPr>
      <w:r>
        <w:rPr/>
        <w:br w:type="column"/>
      </w: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p>
      <w:pPr>
        <w:spacing w:line="249" w:lineRule="auto" w:before="77"/>
        <w:ind w:left="1057" w:right="-4" w:hanging="374"/>
        <w:jc w:val="left"/>
        <w:rPr>
          <w:sz w:val="20"/>
        </w:rPr>
      </w:pPr>
      <w:r>
        <w:rPr/>
        <w:br w:type="column"/>
      </w: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p>
      <w:pPr>
        <w:tabs>
          <w:tab w:pos="3294" w:val="left" w:leader="none"/>
        </w:tabs>
        <w:spacing w:before="203"/>
        <w:ind w:left="683" w:right="0" w:firstLine="0"/>
        <w:jc w:val="left"/>
        <w:rPr>
          <w:sz w:val="20"/>
        </w:rPr>
      </w:pPr>
      <w:r>
        <w:rPr/>
        <w:br w:type="column"/>
      </w:r>
      <w:hyperlink w:history="true" w:anchor="_bookmark68">
        <w:r>
          <w:rPr>
            <w:color w:val="FFFFFF"/>
            <w:w w:val="95"/>
            <w:sz w:val="20"/>
          </w:rPr>
          <w:t>DISCLOSURES</w:t>
        </w:r>
      </w:hyperlink>
      <w:r>
        <w:rPr>
          <w:color w:val="FFFFFF"/>
          <w:w w:val="95"/>
          <w:sz w:val="20"/>
        </w:rPr>
        <w:tab/>
      </w:r>
      <w:hyperlink w:history="true" w:anchor="_bookmark73">
        <w:r>
          <w:rPr>
            <w:color w:val="FFFFFF"/>
            <w:sz w:val="20"/>
          </w:rPr>
          <w:t>APPENDIX</w:t>
        </w:r>
      </w:hyperlink>
    </w:p>
    <w:p>
      <w:pPr>
        <w:pStyle w:val="BodyText"/>
        <w:rPr>
          <w:sz w:val="24"/>
        </w:rPr>
      </w:pPr>
    </w:p>
    <w:p>
      <w:pPr>
        <w:pStyle w:val="BodyText"/>
        <w:rPr>
          <w:sz w:val="24"/>
        </w:rPr>
      </w:pPr>
    </w:p>
    <w:p>
      <w:pPr>
        <w:pStyle w:val="BodyText"/>
        <w:spacing w:before="5"/>
        <w:rPr>
          <w:sz w:val="24"/>
        </w:rPr>
      </w:pPr>
    </w:p>
    <w:p>
      <w:pPr>
        <w:spacing w:line="208" w:lineRule="auto" w:before="0"/>
        <w:ind w:left="3848" w:right="661" w:hanging="137"/>
        <w:jc w:val="left"/>
        <w:rPr>
          <w:sz w:val="16"/>
        </w:rPr>
      </w:pPr>
      <w:r>
        <w:rPr>
          <w:color w:val="FFFFFF"/>
          <w:w w:val="95"/>
          <w:sz w:val="16"/>
        </w:rPr>
        <w:t>previous </w:t>
      </w:r>
      <w:r>
        <w:rPr>
          <w:color w:val="FFFFFF"/>
          <w:sz w:val="16"/>
        </w:rPr>
        <w:t>view</w:t>
      </w:r>
    </w:p>
    <w:p>
      <w:pPr>
        <w:spacing w:after="0" w:line="208" w:lineRule="auto"/>
        <w:jc w:val="left"/>
        <w:rPr>
          <w:sz w:val="16"/>
        </w:rPr>
        <w:sectPr>
          <w:footerReference w:type="default" r:id="rId47"/>
          <w:pgSz w:w="16840" w:h="11910" w:orient="landscape"/>
          <w:pgMar w:footer="0" w:header="0" w:top="100" w:bottom="280" w:left="0" w:right="0"/>
          <w:cols w:num="4" w:equalWidth="0">
            <w:col w:w="6452" w:space="668"/>
            <w:col w:w="1953" w:space="124"/>
            <w:col w:w="2610" w:space="66"/>
            <w:col w:w="4967"/>
          </w:cols>
        </w:sectPr>
      </w:pPr>
    </w:p>
    <w:p>
      <w:pPr>
        <w:pStyle w:val="BodyText"/>
        <w:rPr>
          <w:sz w:val="20"/>
        </w:rPr>
      </w:pPr>
    </w:p>
    <w:p>
      <w:pPr>
        <w:pStyle w:val="BodyText"/>
        <w:rPr>
          <w:sz w:val="20"/>
        </w:rPr>
      </w:pPr>
    </w:p>
    <w:p>
      <w:pPr>
        <w:spacing w:after="0"/>
        <w:rPr>
          <w:sz w:val="20"/>
        </w:rPr>
        <w:sectPr>
          <w:type w:val="continuous"/>
          <w:pgSz w:w="16840" w:h="11910" w:orient="landscape"/>
          <w:pgMar w:top="0" w:bottom="0" w:left="0" w:right="0"/>
        </w:sectPr>
      </w:pPr>
    </w:p>
    <w:p>
      <w:pPr>
        <w:spacing w:line="249" w:lineRule="auto" w:before="285"/>
        <w:ind w:left="3814" w:right="0" w:firstLine="685"/>
        <w:jc w:val="left"/>
        <w:rPr>
          <w:sz w:val="28"/>
        </w:rPr>
      </w:pPr>
      <w:r>
        <w:rPr>
          <w:spacing w:val="-5"/>
          <w:sz w:val="28"/>
        </w:rPr>
        <w:t>Diverse </w:t>
      </w:r>
      <w:r>
        <w:rPr>
          <w:spacing w:val="-5"/>
          <w:w w:val="95"/>
          <w:sz w:val="28"/>
        </w:rPr>
        <w:t>Services, Skills and</w:t>
      </w:r>
    </w:p>
    <w:p>
      <w:pPr>
        <w:spacing w:before="2"/>
        <w:ind w:left="4264" w:right="0" w:firstLine="0"/>
        <w:jc w:val="left"/>
        <w:rPr>
          <w:sz w:val="28"/>
        </w:rPr>
      </w:pPr>
      <w:r>
        <w:rPr>
          <w:sz w:val="28"/>
        </w:rPr>
        <w:t>Capabilities</w:t>
      </w:r>
    </w:p>
    <w:p>
      <w:pPr>
        <w:pStyle w:val="BodyText"/>
        <w:rPr>
          <w:sz w:val="32"/>
        </w:rPr>
      </w:pPr>
    </w:p>
    <w:p>
      <w:pPr>
        <w:pStyle w:val="BodyText"/>
        <w:spacing w:before="10"/>
        <w:rPr>
          <w:sz w:val="32"/>
        </w:rPr>
      </w:pPr>
    </w:p>
    <w:p>
      <w:pPr>
        <w:spacing w:line="249" w:lineRule="auto" w:before="0"/>
        <w:ind w:left="1995" w:right="1670" w:firstLine="0"/>
        <w:jc w:val="center"/>
        <w:rPr>
          <w:sz w:val="28"/>
        </w:rPr>
      </w:pPr>
      <w:r>
        <w:rPr>
          <w:sz w:val="28"/>
        </w:rPr>
        <w:t>Collaborative, Customer Focused and Pragmatic</w:t>
      </w:r>
    </w:p>
    <w:p>
      <w:pPr>
        <w:pStyle w:val="BodyText"/>
        <w:rPr>
          <w:sz w:val="32"/>
        </w:rPr>
      </w:pPr>
    </w:p>
    <w:p>
      <w:pPr>
        <w:pStyle w:val="BodyText"/>
        <w:rPr>
          <w:sz w:val="32"/>
        </w:rPr>
      </w:pPr>
    </w:p>
    <w:p>
      <w:pPr>
        <w:spacing w:line="249" w:lineRule="auto" w:before="0"/>
        <w:ind w:left="3868" w:right="10" w:firstLine="0"/>
        <w:jc w:val="center"/>
        <w:rPr>
          <w:sz w:val="28"/>
        </w:rPr>
      </w:pPr>
      <w:r>
        <w:rPr>
          <w:w w:val="95"/>
          <w:sz w:val="28"/>
        </w:rPr>
        <w:t>Forward-Thinking, </w:t>
      </w:r>
      <w:r>
        <w:rPr>
          <w:sz w:val="28"/>
        </w:rPr>
        <w:t>Flexible and Reform Leading</w:t>
      </w:r>
    </w:p>
    <w:p>
      <w:pPr>
        <w:pStyle w:val="BodyText"/>
        <w:rPr>
          <w:sz w:val="42"/>
        </w:rPr>
      </w:pPr>
      <w:r>
        <w:rPr/>
        <w:br w:type="column"/>
      </w:r>
      <w:r>
        <w:rPr>
          <w:sz w:val="42"/>
        </w:rPr>
      </w:r>
    </w:p>
    <w:p>
      <w:pPr>
        <w:pStyle w:val="BodyText"/>
        <w:rPr>
          <w:sz w:val="42"/>
        </w:rPr>
      </w:pPr>
    </w:p>
    <w:p>
      <w:pPr>
        <w:pStyle w:val="BodyText"/>
        <w:spacing w:before="8"/>
        <w:rPr>
          <w:sz w:val="40"/>
        </w:rPr>
      </w:pPr>
    </w:p>
    <w:p>
      <w:pPr>
        <w:pStyle w:val="Heading4"/>
        <w:spacing w:line="249" w:lineRule="auto" w:before="0"/>
        <w:ind w:left="1242" w:right="421" w:hanging="1"/>
        <w:jc w:val="center"/>
      </w:pPr>
      <w:r>
        <w:rPr>
          <w:color w:val="6F2770"/>
          <w:spacing w:val="-4"/>
        </w:rPr>
        <w:t>We </w:t>
      </w:r>
      <w:r>
        <w:rPr>
          <w:color w:val="6F2770"/>
        </w:rPr>
        <w:t>provide trusted</w:t>
      </w:r>
      <w:r>
        <w:rPr>
          <w:color w:val="6F2770"/>
          <w:spacing w:val="-54"/>
        </w:rPr>
        <w:t> </w:t>
      </w:r>
      <w:r>
        <w:rPr>
          <w:color w:val="6F2770"/>
          <w:spacing w:val="-3"/>
        </w:rPr>
        <w:t>advice</w:t>
      </w:r>
    </w:p>
    <w:p>
      <w:pPr>
        <w:spacing w:line="249" w:lineRule="auto" w:before="3"/>
        <w:ind w:left="818" w:right="0" w:firstLine="0"/>
        <w:jc w:val="center"/>
        <w:rPr>
          <w:sz w:val="36"/>
        </w:rPr>
      </w:pPr>
      <w:r>
        <w:rPr>
          <w:color w:val="6F2770"/>
          <w:sz w:val="36"/>
        </w:rPr>
        <w:t>and</w:t>
      </w:r>
      <w:r>
        <w:rPr>
          <w:color w:val="6F2770"/>
          <w:spacing w:val="-59"/>
          <w:sz w:val="36"/>
        </w:rPr>
        <w:t> </w:t>
      </w:r>
      <w:r>
        <w:rPr>
          <w:color w:val="6F2770"/>
          <w:sz w:val="36"/>
        </w:rPr>
        <w:t>quality</w:t>
      </w:r>
      <w:r>
        <w:rPr>
          <w:color w:val="6F2770"/>
          <w:spacing w:val="-59"/>
          <w:sz w:val="36"/>
        </w:rPr>
        <w:t> </w:t>
      </w:r>
      <w:r>
        <w:rPr>
          <w:color w:val="6F2770"/>
          <w:spacing w:val="-3"/>
          <w:sz w:val="36"/>
        </w:rPr>
        <w:t>services </w:t>
      </w:r>
      <w:r>
        <w:rPr>
          <w:color w:val="6F2770"/>
          <w:sz w:val="36"/>
        </w:rPr>
        <w:t>to Government</w:t>
      </w:r>
      <w:r>
        <w:rPr>
          <w:color w:val="6F2770"/>
          <w:spacing w:val="-65"/>
          <w:sz w:val="36"/>
        </w:rPr>
        <w:t> </w:t>
      </w:r>
      <w:r>
        <w:rPr>
          <w:color w:val="6F2770"/>
          <w:sz w:val="36"/>
        </w:rPr>
        <w:t>and its</w:t>
      </w:r>
      <w:r>
        <w:rPr>
          <w:color w:val="6F2770"/>
          <w:spacing w:val="-11"/>
          <w:sz w:val="36"/>
        </w:rPr>
        <w:t> </w:t>
      </w:r>
      <w:r>
        <w:rPr>
          <w:color w:val="6F2770"/>
          <w:sz w:val="36"/>
        </w:rPr>
        <w:t>agencies</w:t>
      </w:r>
    </w:p>
    <w:p>
      <w:pPr>
        <w:pStyle w:val="BodyText"/>
        <w:spacing w:before="7"/>
        <w:rPr>
          <w:sz w:val="41"/>
        </w:rPr>
      </w:pPr>
      <w:r>
        <w:rPr/>
        <w:br w:type="column"/>
      </w:r>
      <w:r>
        <w:rPr>
          <w:sz w:val="41"/>
        </w:rPr>
      </w:r>
    </w:p>
    <w:p>
      <w:pPr>
        <w:spacing w:line="249" w:lineRule="auto" w:before="0"/>
        <w:ind w:left="1350" w:right="0" w:firstLine="0"/>
        <w:jc w:val="center"/>
        <w:rPr>
          <w:sz w:val="28"/>
        </w:rPr>
      </w:pPr>
      <w:r>
        <w:rPr>
          <w:w w:val="90"/>
          <w:sz w:val="28"/>
        </w:rPr>
        <w:t>Delivering </w:t>
      </w:r>
      <w:r>
        <w:rPr>
          <w:sz w:val="28"/>
        </w:rPr>
        <w:t>Value</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spacing w:line="249" w:lineRule="auto" w:before="234"/>
        <w:ind w:left="1422" w:right="70" w:hanging="1"/>
        <w:jc w:val="center"/>
        <w:rPr>
          <w:sz w:val="28"/>
        </w:rPr>
      </w:pPr>
      <w:r>
        <w:rPr>
          <w:sz w:val="28"/>
        </w:rPr>
        <w:t>Quality </w:t>
      </w:r>
      <w:r>
        <w:rPr>
          <w:w w:val="90"/>
          <w:sz w:val="28"/>
        </w:rPr>
        <w:t>Services</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spacing w:line="249" w:lineRule="auto" w:before="185"/>
        <w:ind w:left="7" w:right="2022" w:firstLine="652"/>
        <w:jc w:val="left"/>
        <w:rPr>
          <w:sz w:val="28"/>
        </w:rPr>
      </w:pPr>
      <w:r>
        <w:rPr>
          <w:sz w:val="28"/>
        </w:rPr>
        <w:t>Leading </w:t>
      </w:r>
      <w:r>
        <w:rPr>
          <w:w w:val="95"/>
          <w:sz w:val="28"/>
        </w:rPr>
        <w:t>Cross-Government</w:t>
      </w:r>
    </w:p>
    <w:p>
      <w:pPr>
        <w:spacing w:before="2"/>
        <w:ind w:left="603" w:right="0" w:firstLine="0"/>
        <w:jc w:val="left"/>
        <w:rPr>
          <w:sz w:val="28"/>
        </w:rPr>
      </w:pPr>
      <w:r>
        <w:rPr>
          <w:sz w:val="28"/>
        </w:rPr>
        <w:t>Initiatives</w:t>
      </w:r>
    </w:p>
    <w:p>
      <w:pPr>
        <w:spacing w:after="0"/>
        <w:jc w:val="left"/>
        <w:rPr>
          <w:sz w:val="28"/>
        </w:rPr>
        <w:sectPr>
          <w:type w:val="continuous"/>
          <w:pgSz w:w="16840" w:h="11910" w:orient="landscape"/>
          <w:pgMar w:top="0" w:bottom="0" w:left="0" w:right="0"/>
          <w:cols w:num="4" w:equalWidth="0">
            <w:col w:w="6044" w:space="40"/>
            <w:col w:w="3853" w:space="39"/>
            <w:col w:w="2512" w:space="39"/>
            <w:col w:w="4313"/>
          </w:cols>
        </w:sectPr>
      </w:pPr>
    </w:p>
    <w:p>
      <w:pPr>
        <w:pStyle w:val="BodyText"/>
        <w:rPr>
          <w:sz w:val="20"/>
        </w:rPr>
      </w:pPr>
    </w:p>
    <w:p>
      <w:pPr>
        <w:pStyle w:val="BodyText"/>
        <w:spacing w:before="9"/>
        <w:rPr>
          <w:sz w:val="20"/>
        </w:rPr>
      </w:pPr>
    </w:p>
    <w:p>
      <w:pPr>
        <w:spacing w:after="0"/>
        <w:rPr>
          <w:sz w:val="20"/>
        </w:rPr>
        <w:sectPr>
          <w:type w:val="continuous"/>
          <w:pgSz w:w="16840" w:h="11910" w:orient="landscape"/>
          <w:pgMar w:top="0" w:bottom="0" w:left="0" w:right="0"/>
        </w:sectPr>
      </w:pPr>
    </w:p>
    <w:p>
      <w:pPr>
        <w:spacing w:before="108"/>
        <w:ind w:left="2687" w:right="0" w:firstLine="0"/>
        <w:jc w:val="left"/>
        <w:rPr>
          <w:sz w:val="28"/>
        </w:rPr>
      </w:pPr>
      <w:r>
        <w:rPr>
          <w:sz w:val="28"/>
        </w:rPr>
        <w:t>Provider</w:t>
      </w:r>
    </w:p>
    <w:p>
      <w:pPr>
        <w:spacing w:line="249" w:lineRule="auto" w:before="14"/>
        <w:ind w:left="2153" w:right="38" w:hanging="1"/>
        <w:jc w:val="center"/>
        <w:rPr>
          <w:sz w:val="28"/>
        </w:rPr>
      </w:pPr>
      <w:r>
        <w:rPr>
          <w:sz w:val="28"/>
        </w:rPr>
        <w:t>of sector-wide perspectives</w:t>
      </w:r>
      <w:r>
        <w:rPr>
          <w:spacing w:val="-51"/>
          <w:sz w:val="28"/>
        </w:rPr>
        <w:t> </w:t>
      </w:r>
      <w:r>
        <w:rPr>
          <w:spacing w:val="-6"/>
          <w:sz w:val="28"/>
        </w:rPr>
        <w:t>and </w:t>
      </w:r>
      <w:r>
        <w:rPr>
          <w:sz w:val="28"/>
        </w:rPr>
        <w:t>insights</w:t>
      </w:r>
    </w:p>
    <w:p>
      <w:pPr>
        <w:spacing w:line="249" w:lineRule="auto" w:before="253"/>
        <w:ind w:left="2365" w:right="210" w:firstLine="0"/>
        <w:jc w:val="center"/>
        <w:rPr>
          <w:sz w:val="28"/>
        </w:rPr>
      </w:pPr>
      <w:r>
        <w:rPr/>
        <w:br w:type="column"/>
      </w:r>
      <w:r>
        <w:rPr>
          <w:w w:val="95"/>
          <w:sz w:val="28"/>
        </w:rPr>
        <w:t>Building </w:t>
      </w:r>
      <w:r>
        <w:rPr>
          <w:sz w:val="28"/>
        </w:rPr>
        <w:t>for the</w:t>
      </w:r>
    </w:p>
    <w:p>
      <w:pPr>
        <w:spacing w:before="2"/>
        <w:ind w:left="2153" w:right="0" w:firstLine="0"/>
        <w:jc w:val="center"/>
        <w:rPr>
          <w:sz w:val="28"/>
        </w:rPr>
      </w:pPr>
      <w:r>
        <w:rPr>
          <w:w w:val="95"/>
          <w:sz w:val="28"/>
        </w:rPr>
        <w:t>Community</w:t>
      </w:r>
    </w:p>
    <w:p>
      <w:pPr>
        <w:pStyle w:val="Heading1"/>
        <w:spacing w:line="249" w:lineRule="auto" w:before="465"/>
        <w:ind w:left="1367" w:right="698" w:firstLine="252"/>
      </w:pPr>
      <w:r>
        <w:rPr/>
        <w:br w:type="column"/>
      </w:r>
      <w:r>
        <w:rPr>
          <w:color w:val="6F2770"/>
          <w:w w:val="95"/>
        </w:rPr>
        <w:t>Our Agency </w:t>
      </w:r>
      <w:r>
        <w:rPr>
          <w:color w:val="6F2770"/>
          <w:w w:val="90"/>
        </w:rPr>
        <w:t>Performance</w:t>
      </w:r>
    </w:p>
    <w:p>
      <w:pPr>
        <w:spacing w:after="0" w:line="249" w:lineRule="auto"/>
        <w:sectPr>
          <w:type w:val="continuous"/>
          <w:pgSz w:w="16840" w:h="11910" w:orient="landscape"/>
          <w:pgMar w:top="0" w:bottom="0" w:left="0" w:right="0"/>
          <w:cols w:num="3" w:equalWidth="0">
            <w:col w:w="4253" w:space="3061"/>
            <w:col w:w="3538" w:space="39"/>
            <w:col w:w="5949"/>
          </w:cols>
        </w:sectPr>
      </w:pPr>
    </w:p>
    <w:p>
      <w:pPr>
        <w:pStyle w:val="BodyText"/>
        <w:spacing w:before="5"/>
        <w:rPr>
          <w:sz w:val="28"/>
        </w:rPr>
      </w:pPr>
      <w:r>
        <w:rPr/>
        <w:pict>
          <v:group style="position:absolute;margin-left:0pt;margin-top:.000001pt;width:841.9pt;height:595.3pt;mso-position-horizontal-relative:page;mso-position-vertical-relative:page;z-index:-809608" coordorigin="0,0" coordsize="16838,11906">
            <v:rect style="position:absolute;left:8418;top:0;width:8419;height:11906" filled="true" fillcolor="#f8f9f1" stroked="false">
              <v:fill type="solid"/>
            </v:rect>
            <v:rect style="position:absolute;left:0;top:0;width:8419;height:11906" filled="true" fillcolor="#fdfdfa" stroked="false">
              <v:fill type="solid"/>
            </v:rect>
            <v:shape style="position:absolute;left:0;top:2678;width:1469;height:2728" coordorigin="0,2678" coordsize="1469,2728" path="m1469,5145l1033,5396,1043,5406,1469,5160,1469,5145m1469,4975l925,5288,935,5298,1469,4990,1469,4975m1469,4805l818,5180,827,5190,1469,4820,1469,4805m1469,4720l764,5127,774,5136,1469,4735,1469,4720m1469,4635l710,5073,720,5083,1469,4650,1469,4635m1469,4549l656,5019,666,5029,1469,4565,1469,4549m1469,4464l602,4965,612,4975,1469,4480,1469,4464m1469,4379l548,4911,558,4921,1469,4395,1469,4379m1469,4209l440,4803,450,4813,1469,4225,1469,4209m1469,4124l386,4749,396,4759,1469,4140,1469,4124m1469,4039l332,4695,342,4705,1469,4055,1469,4039m1469,3954l278,4641,288,4651,1469,3970,1469,3954m1469,3869l224,4587,234,4597,1469,3885,1469,3869m1469,3784l171,4533,180,4543,1469,3800,1469,3784m1469,3614l63,4426,73,4435,1469,3629,1469,3614m1469,3104l457,3688,420,3725,1469,3119,1469,3104m1469,3019l658,3487,621,3523,1469,3034,1469,3019m1469,2848l1061,3084,1024,3121,1469,2864,1469,2848m1469,2763l1262,2883,1225,2920,1469,2779,1469,2763m1469,2678l1463,2682,1426,2718,1469,2694,1469,2678m1469,5060l979,5342,989,5352,1469,5075,1469,5060m1469,4890l872,5234,881,5244,1469,4905,1469,4890m1469,4294l494,4857,504,4867,1469,4310,1469,4294m1469,3699l117,4480,127,4489,1469,3714,1469,3699m1469,3529l9,4372,19,4382,1469,3544,1469,3529m1469,3444l0,4292,0,4307,1469,3459,1469,3444m1469,3359l0,4207,0,4222,1469,3374,1469,3359m1469,3274l54,4090,18,4127,1469,3289,1469,3274m1469,3189l256,3889,219,3926,1469,3204,1469,3189m1469,2933l859,3285,822,3322,1469,2949,1469,2933e" filled="true" fillcolor="#cdcccd" stroked="false">
              <v:path arrowok="t"/>
              <v:fill type="solid"/>
            </v:shape>
            <v:shape style="position:absolute;left:1087;top:5229;width:382;height:554" type="#_x0000_t75" stroked="false">
              <v:imagedata r:id="rId48" o:title=""/>
            </v:shape>
            <v:shape style="position:absolute;left:1468;top:2697;width:26;height:19" coordorigin="1469,2698" coordsize="26,19" path="m1490,2698l1469,2710,1469,2716,1494,2702,1490,2698xe" filled="true" fillcolor="#cdcccd" stroked="false">
              <v:path arrowok="t"/>
              <v:fill type="solid"/>
            </v:shape>
            <v:shape style="position:absolute;left:1468;top:2751;width:350;height:476" type="#_x0000_t75" stroked="false">
              <v:imagedata r:id="rId49" o:title=""/>
            </v:shape>
            <v:shape style="position:absolute;left:1468;top:3075;width:1550;height:2534" coordorigin="1469,3075" coordsize="1550,2534" path="m1872,3079l1868,3075,1469,3305,1469,3312,1872,3079m1926,3133l1922,3129,1469,3391,1469,3397,1926,3133m1980,3187l1976,3183,1469,3476,1469,3482,1980,3187m2012,5288l1469,5602,1469,5608,1997,5303,2012,5288m2034,3241l2030,3237,1469,3561,1469,3567,2034,3241m2088,3295l2084,3291,1469,3646,1469,3652,2088,3295m2141,3349l2138,3345,1469,3731,1469,3737,2141,3349m2195,3403l2191,3399,1469,3816,1469,3822,2195,3403m2213,5087l1469,5517,1469,5523,2199,5102,2213,5087m2249,3456l2245,3453,1469,3901,1469,3907,2249,3456m2303,3510l2299,3506,1469,3986,1469,3992,2303,3510m2357,3564l2353,3560,1469,4071,1469,4077,2357,3564m2411,3618l2407,3614,1469,4156,1469,4162,2411,3618m2415,4886l1469,5432,1469,5438,2400,4901,2415,4886m2465,3672l2461,3668,1469,4241,1469,4247,2465,3672m2519,3726l2515,3722,1469,4326,1469,4332,2519,3726m2573,3780l2569,3776,1469,4411,1469,4417,2573,3780m2616,4685l1469,5347,1469,5353,2601,4699,2616,4685m2627,3834l2625,3832,2623,3830,1469,4496,1469,4502,2627,3834m2681,3888l2677,3884,1469,4581,1469,4588,2681,3888m2735,3942l2731,3938,1469,4666,1469,4673,2735,3942m2789,3996l2785,3992,1469,4751,1469,4758,2789,3996m2817,4483l1469,5262,1469,5268,2802,4498,2817,4483m2842,4050l2839,4046,1469,4836,1469,4843,2842,4050m2896,4104l2892,4100,1469,4922,1469,4928,2896,4104m2950,4157l2946,4153,1469,5007,1469,5013,2950,4157m3004,4211l3000,4207,1469,5092,1469,5098,3004,4211m3018,4282l1469,5177,1469,5183,3004,4297,3018,4282e" filled="true" fillcolor="#cdcccd" stroked="false">
              <v:path arrowok="t"/>
              <v:fill type="solid"/>
            </v:shape>
            <v:shape style="position:absolute;left:1468;top:5489;width:343;height:289" type="#_x0000_t75" stroked="false">
              <v:imagedata r:id="rId50" o:title=""/>
            </v:shape>
            <v:shape style="position:absolute;left:10906;top:1119;width:904;height:904" coordorigin="10906,1120" coordsize="904,904" path="m11358,1120l10906,1571,11358,2023,11810,1571,11358,1120xe" filled="true" fillcolor="#c4cd71" stroked="false">
              <v:path arrowok="t"/>
              <v:fill opacity="45875f" type="solid"/>
            </v:shape>
            <v:shape style="position:absolute;left:10003;top:1119;width:904;height:904" coordorigin="10003,1120" coordsize="904,904" path="m10455,1120l10003,1571,10455,2023,10906,1571,10455,1120xe" filled="true" fillcolor="#d8dad9" stroked="false">
              <v:path arrowok="t"/>
              <v:fill opacity="45875f" type="solid"/>
            </v:shape>
            <v:shape style="position:absolute;left:10906;top:2022;width:904;height:904" coordorigin="10906,2023" coordsize="904,904" path="m11358,2023l10906,2474,11358,2926,11810,2474,11358,2023xe" filled="true" fillcolor="#96ac7a" stroked="false">
              <v:path arrowok="t"/>
              <v:fill opacity="45875f" type="solid"/>
            </v:shape>
            <v:shape style="position:absolute;left:10003;top:216;width:904;height:904" coordorigin="10003,216" coordsize="904,904" path="m10455,216l10003,668,10455,1119,10906,668,10455,216xe" filled="true" fillcolor="#8d5f8e" stroked="false">
              <v:path arrowok="t"/>
              <v:fill opacity="45875f" type="solid"/>
            </v:shape>
            <v:shape style="position:absolute;left:10454;top:2474;width:904;height:904" coordorigin="10455,2474" coordsize="904,904" path="m10906,2474l10455,2926,10906,3377,11358,2926,10906,2474xe" filled="true" fillcolor="#783a79" stroked="false">
              <v:path arrowok="t"/>
              <v:fill opacity="45875f" type="solid"/>
            </v:shape>
            <v:shape style="position:absolute;left:9100;top:1119;width:904;height:904" coordorigin="9100,1120" coordsize="904,904" path="m9552,1120l9100,1571,9552,2023,10003,1571,9552,1120xe" filled="true" fillcolor="#c4cd71" stroked="false">
              <v:path arrowok="t"/>
              <v:fill opacity="45875f" type="solid"/>
            </v:shape>
            <v:shape style="position:absolute;left:5924;top:4294;width:2495;height:3327" coordorigin="5924,4295" coordsize="2495,3327" path="m8419,5958l6756,5958,5924,6790,6756,7621,6756,5958,8419,5958,8419,5958xm6756,4295l5924,5126,6756,5958,6756,5958,6756,4295xe" filled="true" fillcolor="#aebd37" stroked="false">
              <v:path arrowok="t"/>
              <v:fill type="solid"/>
            </v:shape>
            <v:shape style="position:absolute;left:6755;top:2631;width:3327;height:3327" coordorigin="6756,2632" coordsize="3327,3327" path="m8419,2632l6756,4295,6756,4295,8419,4295,8419,5958,8419,4295,10082,4295,10082,4295,8419,4295,7587,3463,8419,2632xm9250,3463l8419,4295,10082,4295,9250,3463xe" filled="true" fillcolor="#6f2770" stroked="false">
              <v:path arrowok="t"/>
              <v:fill type="solid"/>
            </v:shape>
            <v:shape style="position:absolute;left:6755;top:7621;width:3327;height:1664" coordorigin="6756,7621" coordsize="3327,1664" path="m9250,8453l8419,9284,9250,8453,9250,8453xm8419,7621l6756,7621,7587,8453,8419,7621,10082,7621,8419,7621xm10082,7621l8419,7621,9250,8453,10082,7621xe" filled="true" fillcolor="#5d883c" stroked="false">
              <v:path arrowok="t"/>
              <v:fill type="solid"/>
            </v:shape>
            <v:shape style="position:absolute;left:8418;top:4294;width:2495;height:3327" coordorigin="8419,4295" coordsize="2495,3327" path="m10082,5958l8419,5958,8419,5958,10082,5958,10082,7621,10914,6790,10082,5958,10082,5958xm10082,4295l10082,5958,10082,5958,10914,5126,10082,4295xe" filled="true" fillcolor="#360e3f" stroked="false">
              <v:path arrowok="t"/>
              <v:fill type="solid"/>
            </v:shape>
            <v:shape style="position:absolute;left:6755;top:5957;width:1664;height:1664" coordorigin="6756,5958" coordsize="1664,1664" path="m8003,6374l6756,7621,6756,7621,8003,6374xm8419,5958l8003,6374,8419,5958,8419,5958xe" filled="true" fillcolor="#aebd37" stroked="false">
              <v:path arrowok="t"/>
              <v:fill type="solid"/>
            </v:shape>
            <v:shape style="position:absolute;left:6755;top:5957;width:1664;height:1664" coordorigin="6756,5958" coordsize="1664,1664" path="m8419,5958l6756,5958,6756,7621,8419,5958xm8419,5958l8419,5958,8419,5958,8419,5958xe" filled="true" fillcolor="#7aa142" stroked="false">
              <v:path arrowok="t"/>
              <v:fill type="solid"/>
            </v:shape>
            <v:shape style="position:absolute;left:6755;top:5958;width:1664;height:1664" coordorigin="6756,5958" coordsize="1664,1664" path="m8419,5958l6756,7621,8419,7621,8419,5958xe" filled="true" fillcolor="#41793d" stroked="false">
              <v:path arrowok="t"/>
              <v:fill type="solid"/>
            </v:shape>
            <v:shape style="position:absolute;left:6755;top:4294;width:1664;height:1664" coordorigin="6756,4295" coordsize="1664,1664" path="m6756,4295l8419,5958,6756,4295xe" filled="true" fillcolor="#6f2770" stroked="false">
              <v:path arrowok="t"/>
              <v:fill type="solid"/>
            </v:shape>
            <v:shape style="position:absolute;left:6755;top:4294;width:1664;height:1664" coordorigin="6756,4295" coordsize="1664,1664" path="m6756,4295l6756,5958,8419,5958,6756,4295xe" filled="true" fillcolor="#5b2e31" stroked="false">
              <v:path arrowok="t"/>
              <v:fill type="solid"/>
            </v:shape>
            <v:shape style="position:absolute;left:6755;top:4294;width:1664;height:1664" coordorigin="6756,4295" coordsize="1664,1664" path="m8419,4295l6756,4295,8419,5958,8419,4295xe" filled="true" fillcolor="#42285e" stroked="false">
              <v:path arrowok="t"/>
              <v:fill type="solid"/>
            </v:shape>
            <v:shape style="position:absolute;left:8418;top:5957;width:1664;height:1664" coordorigin="8419,5958" coordsize="1664,1664" path="m8419,5958l10082,7621,8419,5958xe" filled="true" fillcolor="#5d883c" stroked="false">
              <v:path arrowok="t"/>
              <v:fill type="solid"/>
            </v:shape>
            <v:shape style="position:absolute;left:8418;top:5957;width:1664;height:1664" coordorigin="8419,5958" coordsize="1664,1664" path="m8419,5958l8419,7621,10082,7621,8419,5958xe" filled="true" fillcolor="#226237" stroked="false">
              <v:path arrowok="t"/>
              <v:fill type="solid"/>
            </v:shape>
            <v:shape style="position:absolute;left:8418;top:5957;width:1664;height:1664" coordorigin="8419,5958" coordsize="1664,1664" path="m10082,5958l8419,5958,10082,7621,10082,5958xe" filled="true" fillcolor="#1e0f13" stroked="false">
              <v:path arrowok="t"/>
              <v:fill type="solid"/>
            </v:shape>
            <v:shape style="position:absolute;left:8418;top:4294;width:1664;height:1664" coordorigin="8419,4295" coordsize="1664,1664" path="m10082,4295l8419,5958,10082,4295xe" filled="true" fillcolor="#360e3f" stroked="false">
              <v:path arrowok="t"/>
              <v:fill type="solid"/>
            </v:shape>
            <v:shape style="position:absolute;left:8418;top:4294;width:1664;height:1664" coordorigin="8419,4295" coordsize="1664,1664" path="m10082,4295l8419,4295,8419,5958,10082,4295xe" filled="true" fillcolor="#200d34" stroked="false">
              <v:path arrowok="t"/>
              <v:fill type="solid"/>
            </v:shape>
            <v:shape style="position:absolute;left:8418;top:4294;width:1664;height:1664" coordorigin="8419,4295" coordsize="1664,1664" path="m10082,4295l8419,5958,10082,5958,10082,4295xe" filled="true" fillcolor="#050019" stroked="false">
              <v:path arrowok="t"/>
              <v:fill type="solid"/>
            </v:shape>
            <v:shape style="position:absolute;left:5092;top:5126;width:832;height:832" coordorigin="5092,5126" coordsize="832,832" path="m5924,5126l5092,5958,5924,5126xe" filled="true" fillcolor="#bbbcbb" stroked="false">
              <v:path arrowok="t"/>
              <v:fill type="solid"/>
            </v:shape>
            <v:shape style="position:absolute;left:5092;top:5126;width:1664;height:1664" coordorigin="5092,5126" coordsize="1664,1664" path="m5924,5126l5092,5958,5924,6790,6756,5958,5924,5126xe" filled="true" fillcolor="#89993e" stroked="false">
              <v:path arrowok="t"/>
              <v:fill type="solid"/>
            </v:shape>
            <v:shape style="position:absolute;left:7587;top:7621;width:1664;height:1664" coordorigin="7587,7621" coordsize="1664,1664" path="m8419,7621l7587,8453,8419,9284,9250,8453,8419,7621xe" filled="true" fillcolor="#4f743b" stroked="false">
              <v:path arrowok="t"/>
              <v:fill type="solid"/>
            </v:shape>
            <v:shape style="position:absolute;left:10082;top:5126;width:1664;height:1664" coordorigin="10082,5126" coordsize="1664,1664" path="m10914,5126l10082,5958,10914,6790,11745,5958,10914,5126xe" filled="true" fillcolor="#2f1038" stroked="false">
              <v:path arrowok="t"/>
              <v:fill type="solid"/>
            </v:shape>
            <v:shape style="position:absolute;left:7587;top:2631;width:1664;height:1664" coordorigin="7587,2632" coordsize="1664,1664" path="m8419,2632l7587,3463,8419,4295,9250,3463,8419,2632xe" filled="true" fillcolor="#602a63" stroked="false">
              <v:path arrowok="t"/>
              <v:fill type="solid"/>
            </v:shape>
            <v:shape style="position:absolute;left:1604;top:3152;width:9621;height:7873" coordorigin="1604,3152" coordsize="9621,7873" path="m4762,9446l3183,7867,1604,9446,3183,11024,4762,9446m11225,5958l8419,3152,5613,5958,8419,8764,11225,5958e" filled="true" fillcolor="#ffffff" stroked="false">
              <v:path arrowok="t"/>
              <v:fill type="solid"/>
            </v:shape>
            <v:shape style="position:absolute;left:1604;top:7867;width:3158;height:3158" coordorigin="1604,7867" coordsize="3158,3158" path="m1604,9446l3183,11024,4762,9446,3183,7867,1604,9446xe" filled="false" stroked="true" strokeweight=".75pt" strokecolor="#aebd37">
              <v:path arrowok="t"/>
              <v:stroke dashstyle="solid"/>
            </v:shape>
            <v:shape style="position:absolute;left:3352;top:6119;width:3158;height:3158" coordorigin="3352,6119" coordsize="3158,3158" path="m4931,6119l3352,7698,4931,9276,6510,7698,4931,6119xe" filled="true" fillcolor="#ffffff" stroked="false">
              <v:path arrowok="t"/>
              <v:fill type="solid"/>
            </v:shape>
            <v:shape style="position:absolute;left:3352;top:6119;width:3158;height:3158" coordorigin="3352,6119" coordsize="3158,3158" path="m3352,7698l4931,9276,6510,7698,4931,6119,3352,7698xe" filled="false" stroked="true" strokeweight=".75pt" strokecolor="#885688">
              <v:path arrowok="t"/>
              <v:stroke dashstyle="solid"/>
            </v:shape>
            <v:shape style="position:absolute;left:3352;top:2639;width:3158;height:3158" coordorigin="3352,2639" coordsize="3158,3158" path="m4931,2639l3352,4218,4931,5796,6509,4218,4931,2639xe" filled="true" fillcolor="#ffffff" stroked="false">
              <v:path arrowok="t"/>
              <v:fill opacity="49152f" type="solid"/>
            </v:shape>
            <v:shape style="position:absolute;left:3352;top:2639;width:3158;height:3158" coordorigin="3352,2639" coordsize="3158,3158" path="m4931,2639l6509,4218,4931,5796,3352,4218,4931,2639xe" filled="false" stroked="true" strokeweight=".75pt" strokecolor="#939598">
              <v:path arrowok="t"/>
              <v:stroke dashstyle="solid"/>
            </v:shape>
            <v:shape style="position:absolute;left:1604;top:4379;width:3158;height:3158" coordorigin="1604,4379" coordsize="3158,3158" path="m3183,4379l1604,5958,3183,7536,4762,5958,3183,4379xe" filled="true" fillcolor="#ffffff" stroked="false">
              <v:path arrowok="t"/>
              <v:fill type="solid"/>
            </v:shape>
            <v:shape style="position:absolute;left:1604;top:4379;width:3158;height:3158" coordorigin="1604,4379" coordsize="3158,3158" path="m3183,4379l4762,5958,3183,7536,1604,5958,3183,4379xe" filled="false" stroked="true" strokeweight=".75pt" strokecolor="#5d883c">
              <v:path arrowok="t"/>
              <v:stroke dashstyle="solid"/>
            </v:shape>
            <v:shape style="position:absolute;left:8580;top:7867;width:3158;height:3158" coordorigin="8580,7867" coordsize="3158,3158" path="m10159,7867l8580,9446,10159,11024,11738,9446,10159,7867xe" filled="true" fillcolor="#ffffff" stroked="false">
              <v:path arrowok="t"/>
              <v:fill type="solid"/>
            </v:shape>
            <v:shape style="position:absolute;left:8580;top:7867;width:3158;height:3158" coordorigin="8580,7867" coordsize="3158,3158" path="m10159,11024l11738,9446,10159,7867,8580,9446,10159,11024xe" filled="false" stroked="true" strokeweight=".75pt" strokecolor="#939598">
              <v:path arrowok="t"/>
              <v:stroke dashstyle="solid"/>
            </v:shape>
            <v:shape style="position:absolute;left:10328;top:2639;width:3158;height:3158" coordorigin="10328,2639" coordsize="3158,3158" path="m11907,2639l10328,4218,11907,5796,13485,4218,11907,2639xe" filled="true" fillcolor="#ffffff" stroked="false">
              <v:path arrowok="t"/>
              <v:fill type="solid"/>
            </v:shape>
            <v:shape style="position:absolute;left:10328;top:2639;width:3158;height:3158" coordorigin="10328,2639" coordsize="3158,3158" path="m10328,4218l11907,2639,13485,4218,11907,5796,10328,4218xe" filled="false" stroked="true" strokeweight=".75pt" strokecolor="#885688">
              <v:path arrowok="t"/>
              <v:stroke dashstyle="solid"/>
            </v:shape>
            <v:shape style="position:absolute;left:12076;top:4379;width:3158;height:3158" coordorigin="12076,4379" coordsize="3158,3158" path="m13655,4379l12076,5958,13655,7536,15233,5958,13655,4379xe" filled="true" fillcolor="#ffffff" stroked="false">
              <v:path arrowok="t"/>
              <v:fill type="solid"/>
            </v:shape>
            <v:shape style="position:absolute;left:12076;top:4379;width:3158;height:3158" coordorigin="12076,4379" coordsize="3158,3158" path="m12076,5958l13655,4379,15233,5958,13655,7536,12076,5958xe" filled="false" stroked="true" strokeweight=".75pt" strokecolor="#aebd37">
              <v:path arrowok="t"/>
              <v:stroke dashstyle="solid"/>
            </v:shape>
            <v:shape style="position:absolute;left:11794;top:5176;width:226;height:231" type="#_x0000_t75" stroked="false">
              <v:imagedata r:id="rId32" o:title=""/>
            </v:shape>
            <v:shape style="position:absolute;left:13542;top:6916;width:226;height:231" type="#_x0000_t75" stroked="false">
              <v:imagedata r:id="rId32" o:title=""/>
            </v:shape>
            <v:shape style="position:absolute;left:10328;top:6119;width:3158;height:3158" coordorigin="10328,6119" coordsize="3158,3158" path="m11907,6119l10328,7698,11907,9276,13485,7698,11907,6119xe" filled="true" fillcolor="#ffffff" stroked="false">
              <v:path arrowok="t"/>
              <v:fill type="solid"/>
            </v:shape>
            <v:shape style="position:absolute;left:10328;top:6119;width:3158;height:3158" coordorigin="10328,6119" coordsize="3158,3158" path="m11907,9276l13485,7698,11907,6119,10328,7698,11907,9276xe" filled="false" stroked="true" strokeweight=".75pt" strokecolor="#5d883c">
              <v:path arrowok="t"/>
              <v:stroke dashstyle="solid"/>
            </v:shape>
            <v:shape style="position:absolute;left:11794;top:8656;width:226;height:231" type="#_x0000_t75" stroked="false">
              <v:imagedata r:id="rId32" o:title=""/>
            </v:shape>
            <v:shape style="position:absolute;left:10046;top:10404;width:226;height:231" type="#_x0000_t75" stroked="false">
              <v:imagedata r:id="rId32" o:title=""/>
            </v:shape>
            <v:shape style="position:absolute;left:4922;top:9157;width:2710;height:2749" coordorigin="4923,9157" coordsize="2710,2749" path="m5826,11415l5374,10963,4923,11415,5374,11867,5826,11415m5826,10512l5374,10060,4923,10512,5374,10963,5826,10512m6278,11867l5826,11415,5374,11867,5413,11906,6239,11906,6278,11867m6729,9609l6278,9157,5826,9609,6278,10060,6729,9609m6729,10512l6278,10060,5826,10512,6278,10963,6729,10512m7632,10512l7181,10060,6729,10512,7181,10963,7632,10512e" filled="true" fillcolor="#ffffff" stroked="false">
              <v:path arrowok="t"/>
              <v:fill type="solid"/>
            </v:shape>
            <v:shape style="position:absolute;left:4922;top:10060;width:904;height:904" coordorigin="4923,10060" coordsize="904,904" path="m5374,10060l4923,10512,5374,10963,5826,10512,5374,10060xe" filled="true" fillcolor="#c4cd71" stroked="false">
              <v:path arrowok="t"/>
              <v:fill opacity="45875f" type="solid"/>
            </v:shape>
            <v:shape style="position:absolute;left:5825;top:10060;width:904;height:904" coordorigin="5826,10060" coordsize="904,904" path="m6278,10060l5826,10512,6278,10963,6729,10512,6278,10060xe" filled="true" fillcolor="#d8dad9" stroked="false">
              <v:path arrowok="t"/>
              <v:fill opacity="45875f" type="solid"/>
            </v:shape>
            <v:shape style="position:absolute;left:4922;top:10963;width:904;height:904" coordorigin="4923,10963" coordsize="904,904" path="m5374,10963l4923,11415,5374,11867,5826,11415,5374,10963xe" filled="true" fillcolor="#96ac7a" stroked="false">
              <v:path arrowok="t"/>
              <v:fill opacity="45875f" type="solid"/>
            </v:shape>
            <v:shape style="position:absolute;left:5825;top:9157;width:904;height:904" coordorigin="5826,9157" coordsize="904,904" path="m6278,9157l5826,9609,6278,10060,6729,9609,6278,9157xe" filled="true" fillcolor="#360f41" stroked="false">
              <v:path arrowok="t"/>
              <v:fill opacity="45875f" type="solid"/>
            </v:shape>
            <v:shape style="position:absolute;left:5374;top:11415;width:904;height:491" coordorigin="5374,11415" coordsize="904,491" path="m5826,11415l5374,11867,5413,11906,6239,11906,6278,11867,5826,11415xe" filled="true" fillcolor="#783a79" stroked="false">
              <v:path arrowok="t"/>
              <v:fill opacity="45875f" type="solid"/>
            </v:shape>
            <v:shape style="position:absolute;left:6729;top:10060;width:904;height:904" coordorigin="6729,10060" coordsize="904,904" path="m7181,10060l6729,10512,7181,10963,7632,10512,7181,10060xe" filled="true" fillcolor="#c4cd71" stroked="false">
              <v:path arrowok="t"/>
              <v:fill opacity="45875f" type="solid"/>
            </v:shape>
            <v:shape style="position:absolute;left:15424;top:1075;width:900;height:904" coordorigin="15424,1076" coordsize="900,904" path="m15874,1076l15424,1526,15424,1529,15874,1979,16324,1529,16324,1526,15874,1076xe" filled="true" fillcolor="#c4cd71" stroked="false">
              <v:path arrowok="t"/>
              <v:fill type="solid"/>
            </v:shape>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rect style="position:absolute;left:0;top:0;width:2406;height:851" filled="true" fillcolor="#aebd37" stroked="false">
              <v:fill type="solid"/>
            </v:rect>
            <v:rect style="position:absolute;left:4810;top:0;width:2406;height:851" filled="true" fillcolor="#e6e7e8" stroked="false">
              <v:fill type="solid"/>
            </v:rect>
            <v:shape style="position:absolute;left:4810;top:0;width:583;height:583" type="#_x0000_t75" stroked="false">
              <v:imagedata r:id="rId51" o:title=""/>
            </v:shape>
            <v:rect style="position:absolute;left:2397;top:0;width:2406;height:851" filled="true" fillcolor="#b6c247" stroked="false">
              <v:fill type="solid"/>
            </v:rect>
            <v:rect style="position:absolute;left:7216;top:0;width:2406;height:851" filled="true" fillcolor="#c4cd71" stroked="false">
              <v:fill type="solid"/>
            </v:rect>
            <v:rect style="position:absolute;left:9621;top:0;width:2406;height:851" filled="true" fillcolor="#bec85c" stroked="false">
              <v:fill type="solid"/>
            </v:rect>
            <v:rect style="position:absolute;left:12026;top:0;width:2406;height:851" filled="true" fillcolor="#b6c247" stroked="false">
              <v:fill type="solid"/>
            </v:rect>
            <v:rect style="position:absolute;left:14432;top:0;width:2406;height:851" filled="true" fillcolor="#aebd37" stroked="false">
              <v:fill type="solid"/>
            </v:rect>
            <v:shape style="position:absolute;left:15263;top:1366;width:161;height:322" type="#_x0000_t75" stroked="false">
              <v:imagedata r:id="rId16" o:title=""/>
            </v:shape>
            <v:shape style="position:absolute;left:16324;top:1366;width:161;height:322" type="#_x0000_t75" stroked="false">
              <v:imagedata r:id="rId11" o:title=""/>
            </v:shape>
            <w10:wrap type="none"/>
          </v:group>
        </w:pict>
      </w:r>
    </w:p>
    <w:p>
      <w:pPr>
        <w:tabs>
          <w:tab w:pos="1227" w:val="left" w:leader="none"/>
          <w:tab w:pos="4671" w:val="left" w:leader="none"/>
          <w:tab w:pos="16072" w:val="left" w:leader="none"/>
        </w:tabs>
        <w:spacing w:before="107"/>
        <w:ind w:left="765" w:right="0" w:firstLine="0"/>
        <w:jc w:val="left"/>
        <w:rPr>
          <w:sz w:val="16"/>
        </w:rPr>
      </w:pPr>
      <w:r>
        <w:rPr>
          <w:b/>
          <w:color w:val="6F2770"/>
          <w:sz w:val="16"/>
        </w:rPr>
        <w:t>8</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pStyle w:val="BodyText"/>
        <w:rPr>
          <w:sz w:val="20"/>
        </w:rPr>
      </w:pPr>
      <w:bookmarkStart w:name="_bookmark6" w:id="7"/>
      <w:bookmarkEnd w:id="7"/>
      <w:r>
        <w:rPr/>
      </w:r>
      <w:r>
        <w:rPr>
          <w:sz w:val="20"/>
        </w:rPr>
        <w:pict>
          <v:group style="width:360.85pt;height:42.55pt;mso-position-horizontal-relative:char;mso-position-vertical-relative:line" coordorigin="0,0" coordsize="7217,851">
            <v:rect style="position:absolute;left:4810;top:0;width:2406;height:851" filled="true" fillcolor="#e6e7e8" stroked="false">
              <v:fill type="solid"/>
            </v:rect>
            <v:shape style="position:absolute;left:4810;top:0;width:583;height:583" type="#_x0000_t75" stroked="false">
              <v:imagedata r:id="rId51" o:title=""/>
            </v:shape>
            <v:shape style="position:absolute;left:4810;top:0;width:2406;height:851"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v:shape style="position:absolute;left:2405;top:0;width:2406;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0;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v:group>
        </w:pict>
      </w:r>
      <w:r>
        <w:rPr>
          <w:sz w:val="20"/>
        </w:rPr>
      </w:r>
    </w:p>
    <w:p>
      <w:pPr>
        <w:pStyle w:val="BodyText"/>
        <w:rPr>
          <w:sz w:val="20"/>
        </w:rPr>
      </w:pPr>
    </w:p>
    <w:p>
      <w:pPr>
        <w:pStyle w:val="BodyText"/>
        <w:spacing w:before="1"/>
        <w:rPr>
          <w:sz w:val="20"/>
        </w:rPr>
      </w:pPr>
    </w:p>
    <w:p>
      <w:pPr>
        <w:pStyle w:val="Heading1"/>
        <w:spacing w:before="93"/>
      </w:pPr>
      <w:r>
        <w:rPr/>
        <w:pict>
          <v:group style="position:absolute;margin-left:360.811798pt;margin-top:-67.324211pt;width:481.1pt;height:108.95pt;mso-position-horizontal-relative:page;mso-position-vertical-relative:paragraph;z-index:4288" coordorigin="7216,-1346" coordsize="9622,2179">
            <v:shape style="position:absolute;left:14419;top:-1347;width:1455;height:1745" coordorigin="14419,-1346" coordsize="1455,1745" path="m15219,-1346l15194,-1346,14935,-1197,14901,-1163,15219,-1346m15356,-1346l15331,-1346,14748,-1010,14714,-976,15356,-1346m15492,-1346l15467,-1346,14562,-824,14527,-789,15492,-1346m15629,-1346l15604,-1346,14419,-662,14428,-653,15629,-1346m15766,-1346l15741,-1346,14469,-612,14478,-603,15766,-1346m15874,155l15470,388,15479,398,15874,170,15874,155m15874,76l15420,338,15429,348,15874,91,15874,76m15874,-3l15370,288,15379,297,15874,12,15874,-3m15874,-82l15320,238,15329,247,15874,-67,15874,-82m15874,-161l15270,188,15279,197,15874,-146,15874,-161m15874,-240l15220,138,15229,147,15874,-225,15874,-240m15874,-318l15170,88,15179,97,15874,-304,15874,-318m15874,-397l15120,38,15129,47,15874,-383,15874,-397m15874,-476l15070,-12,15079,-3,15874,-462,15874,-476m15874,-555l15020,-62,15029,-53,15874,-541,15874,-555m15874,-713l14920,-162,14929,-153,15874,-699,15874,-713m15874,-792l14870,-212,14879,-203,15874,-778,15874,-792m15874,-871l14819,-262,14829,-253,15874,-856,15874,-871m15874,-950l14769,-312,14779,-303,15874,-935,15874,-950m15874,-1029l14719,-362,14729,-353,15874,-1014,15874,-1029m15874,-1108l14669,-412,14679,-403,15874,-1093,15874,-1108m15874,-1187l14619,-462,14628,-453,15874,-1172,15874,-1187m15874,-1345l14519,-562,14528,-553,15874,-1330,15874,-1345m15874,-634l14970,-112,14979,-103,15874,-620,15874,-634m15874,-1266l14569,-512,14578,-503,15874,-1251,15874,-1266e" filled="true" fillcolor="#cdcccd" stroked="false">
              <v:path arrowok="t"/>
              <v:fill type="solid"/>
            </v:shape>
            <v:shape style="position:absolute;left:15520;top:234;width:354;height:514" type="#_x0000_t75" stroked="false">
              <v:imagedata r:id="rId42" o:title=""/>
            </v:shape>
            <v:shape style="position:absolute;left:15874;top:-1347;width:338;height:196" type="#_x0000_t75" stroked="false">
              <v:imagedata r:id="rId20" o:title=""/>
            </v:shape>
            <v:shape style="position:absolute;left:15874;top:-1347;width:964;height:1932" coordorigin="15874,-1346" coordsize="964,1932" path="m16349,-1346l16339,-1346,15874,-1078,15874,-1072,16349,-1346m16378,288l15874,579,15874,585,16365,302,16378,288m16486,-1346l16476,-1346,15874,-999,15874,-993,16486,-1346m16565,101l15874,500,15874,506,16551,115,16565,101m16622,-1346l16612,-1346,15874,-920,15874,-915,16622,-1346m16699,-1312l16695,-1315,15874,-841,15874,-836,16699,-1312m16749,-1262l16745,-1265,15874,-762,15874,-757,16749,-1262m16752,-85l15874,421,15874,427,16738,-72,16752,-85m16799,-1212l16795,-1215,15874,-684,15874,-678,16799,-1212m16838,-214l15874,343,15874,348,16838,-208,16838,-214m16838,-293l15874,264,15874,269,16838,-287,16838,-293m16838,-372l15874,185,15874,190,16838,-366,16838,-372m16838,-451l15874,106,15874,112,16838,-445,16838,-451m16838,-530l15874,27,15874,33,16838,-524,16838,-530m16838,-608l15874,-52,15874,-46,16838,-603,16838,-608m16838,-687l15874,-131,15874,-125,16838,-682,16838,-687m16838,-766l15874,-210,15874,-204,16838,-761,16838,-766m16838,-845l15874,-289,15874,-283,16838,-839,16838,-845m16838,-924l15874,-368,15874,-362,16838,-918,16838,-924m16838,-1003l15874,-447,15874,-441,16838,-997,16838,-1003m16838,-1082l15874,-526,15874,-520,16838,-1076,16838,-1082m16838,-1161l15874,-605,15874,-599,16838,-1155,16838,-1161e" filled="true" fillcolor="#cdcccd" stroked="false">
              <v:path arrowok="t"/>
              <v:fill type="solid"/>
            </v:shape>
            <v:shape style="position:absolute;left:15874;top:474;width:318;height:269" type="#_x0000_t75" stroked="false">
              <v:imagedata r:id="rId21" o:title=""/>
            </v:shape>
            <v:shape style="position:absolute;left:13676;top:-975;width:904;height:904" coordorigin="13677,-974" coordsize="904,904" path="m14128,-974l13677,-522,14128,-71,14580,-522,14128,-974xe" filled="true" fillcolor="#ffffff" stroked="false">
              <v:path arrowok="t"/>
              <v:fill type="solid"/>
            </v:shape>
            <v:shape style="position:absolute;left:13225;top:-523;width:904;height:904" coordorigin="13225,-522" coordsize="904,904" path="m13677,-522l13225,-71,13677,381,14128,-71,13677,-522xe" filled="true" fillcolor="#e8e9c9" stroked="false">
              <v:path arrowok="t"/>
              <v:fill type="solid"/>
            </v:shape>
            <v:shape style="position:absolute;left:12773;top:-71;width:904;height:904" coordorigin="12774,-71" coordsize="904,904" path="m13225,-71l12774,381,13225,832,13677,381,13225,-71xe" filled="true" fillcolor="#d5dac6" stroked="false">
              <v:path arrowok="t"/>
              <v:fill type="solid"/>
            </v:shape>
            <v:shape style="position:absolute;left:11870;top:-975;width:2710;height:904" coordorigin="11870,-974" coordsize="2710,904" path="m12774,-522l12322,-974,11870,-522,12322,-71,12774,-522m14580,-522l14128,-974,13677,-522,14128,-71,14580,-522e" filled="true" fillcolor="#efeeeb" stroked="false">
              <v:path arrowok="t"/>
              <v:fill type="solid"/>
            </v:shape>
            <v:shape style="position:absolute;left:12773;top:-975;width:904;height:904" coordorigin="12774,-974" coordsize="904,904" path="m13225,-974l12774,-522,13225,-71,13677,-522,13225,-974xe" filled="true" fillcolor="#c0aac2" stroked="false">
              <v:path arrowok="t"/>
              <v:fill type="solid"/>
            </v:shape>
            <v:shape style="position:absolute;left:15424;top:-271;width:900;height:904" coordorigin="15424,-271" coordsize="900,904" path="m15874,-271l15424,179,15424,182,15874,632,16324,182,16324,179,15874,-271xe" filled="true" fillcolor="#c4cd71" stroked="false">
              <v:path arrowok="t"/>
              <v:fill type="solid"/>
            </v:shape>
            <v:rect style="position:absolute;left:9621;top:-1347;width:2406;height:851" filled="true" fillcolor="#bec85c" stroked="false">
              <v:fill type="solid"/>
            </v:rect>
            <v:rect style="position:absolute;left:12026;top:-1347;width:2406;height:851" filled="true" fillcolor="#b6c247" stroked="false">
              <v:fill type="solid"/>
            </v:rect>
            <v:rect style="position:absolute;left:14432;top:-1347;width:2406;height:851" filled="true" fillcolor="#aebd37" stroked="false">
              <v:fill type="solid"/>
            </v:rect>
            <v:shape style="position:absolute;left:15263;top:19;width:161;height:322" type="#_x0000_t75" stroked="false">
              <v:imagedata r:id="rId16" o:title=""/>
            </v:shape>
            <v:shape style="position:absolute;left:16324;top:19;width:161;height:322" type="#_x0000_t75" stroked="false">
              <v:imagedata r:id="rId11" o:title=""/>
            </v:shape>
            <v:shape style="position:absolute;left:15585;top:0;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4432;top:-1347;width:2406;height:851" type="#_x0000_t202" filled="false" stroked="false">
              <v:textbox inset="0,0,0,0">
                <w:txbxContent>
                  <w:p>
                    <w:pPr>
                      <w:spacing w:line="240" w:lineRule="auto" w:before="9"/>
                      <w:rPr>
                        <w:b/>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47;width:2406;height:851" type="#_x0000_t202" filled="false" stroked="false">
              <v:textbox inset="0,0,0,0">
                <w:txbxContent>
                  <w:p>
                    <w:pPr>
                      <w:spacing w:line="240" w:lineRule="auto"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1347;width:2406;height:851"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v:shape style="position:absolute;left:7216;top:-1347;width:2406;height:851"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10:wrap type="none"/>
          </v:group>
        </w:pict>
      </w:r>
      <w:r>
        <w:rPr>
          <w:color w:val="6F2770"/>
        </w:rPr>
        <w:t>Delivering Value</w:t>
      </w:r>
    </w:p>
    <w:p>
      <w:pPr>
        <w:pStyle w:val="BodyText"/>
        <w:spacing w:before="7"/>
        <w:rPr>
          <w:sz w:val="29"/>
        </w:rPr>
      </w:pPr>
    </w:p>
    <w:p>
      <w:pPr>
        <w:pStyle w:val="Heading4"/>
        <w:spacing w:line="249" w:lineRule="auto" w:before="111"/>
        <w:ind w:right="1927"/>
      </w:pPr>
      <w:r>
        <w:rPr>
          <w:color w:val="6F2770"/>
        </w:rPr>
        <w:t>The</w:t>
      </w:r>
      <w:r>
        <w:rPr>
          <w:color w:val="6F2770"/>
          <w:spacing w:val="-42"/>
        </w:rPr>
        <w:t> </w:t>
      </w:r>
      <w:r>
        <w:rPr>
          <w:color w:val="6F2770"/>
        </w:rPr>
        <w:t>Department</w:t>
      </w:r>
      <w:r>
        <w:rPr>
          <w:color w:val="6F2770"/>
          <w:spacing w:val="-41"/>
        </w:rPr>
        <w:t> </w:t>
      </w:r>
      <w:r>
        <w:rPr>
          <w:color w:val="6F2770"/>
        </w:rPr>
        <w:t>of</w:t>
      </w:r>
      <w:r>
        <w:rPr>
          <w:color w:val="6F2770"/>
          <w:spacing w:val="-42"/>
        </w:rPr>
        <w:t> </w:t>
      </w:r>
      <w:r>
        <w:rPr>
          <w:color w:val="6F2770"/>
        </w:rPr>
        <w:t>Finance</w:t>
      </w:r>
      <w:r>
        <w:rPr>
          <w:color w:val="6F2770"/>
          <w:spacing w:val="-41"/>
        </w:rPr>
        <w:t> </w:t>
      </w:r>
      <w:r>
        <w:rPr>
          <w:color w:val="6F2770"/>
        </w:rPr>
        <w:t>continually</w:t>
      </w:r>
      <w:r>
        <w:rPr>
          <w:color w:val="6F2770"/>
          <w:spacing w:val="-41"/>
        </w:rPr>
        <w:t> </w:t>
      </w:r>
      <w:r>
        <w:rPr>
          <w:color w:val="6F2770"/>
        </w:rPr>
        <w:t>reforms</w:t>
      </w:r>
      <w:r>
        <w:rPr>
          <w:color w:val="6F2770"/>
          <w:spacing w:val="-42"/>
        </w:rPr>
        <w:t> </w:t>
      </w:r>
      <w:r>
        <w:rPr>
          <w:color w:val="6F2770"/>
        </w:rPr>
        <w:t>the</w:t>
      </w:r>
      <w:r>
        <w:rPr>
          <w:color w:val="6F2770"/>
          <w:spacing w:val="-41"/>
        </w:rPr>
        <w:t> </w:t>
      </w:r>
      <w:r>
        <w:rPr>
          <w:color w:val="6F2770"/>
        </w:rPr>
        <w:t>way</w:t>
      </w:r>
      <w:r>
        <w:rPr>
          <w:color w:val="6F2770"/>
          <w:spacing w:val="-42"/>
        </w:rPr>
        <w:t> </w:t>
      </w:r>
      <w:r>
        <w:rPr>
          <w:color w:val="6F2770"/>
        </w:rPr>
        <w:t>it</w:t>
      </w:r>
      <w:r>
        <w:rPr>
          <w:color w:val="6F2770"/>
          <w:spacing w:val="-41"/>
        </w:rPr>
        <w:t> </w:t>
      </w:r>
      <w:r>
        <w:rPr>
          <w:color w:val="6F2770"/>
        </w:rPr>
        <w:t>delivers</w:t>
      </w:r>
      <w:r>
        <w:rPr>
          <w:color w:val="6F2770"/>
          <w:spacing w:val="-41"/>
        </w:rPr>
        <w:t> </w:t>
      </w:r>
      <w:r>
        <w:rPr>
          <w:color w:val="6F2770"/>
        </w:rPr>
        <w:t>its</w:t>
      </w:r>
      <w:r>
        <w:rPr>
          <w:color w:val="6F2770"/>
          <w:spacing w:val="-42"/>
        </w:rPr>
        <w:t> </w:t>
      </w:r>
      <w:r>
        <w:rPr>
          <w:color w:val="6F2770"/>
        </w:rPr>
        <w:t>programs</w:t>
      </w:r>
      <w:r>
        <w:rPr>
          <w:color w:val="6F2770"/>
          <w:spacing w:val="-41"/>
        </w:rPr>
        <w:t> </w:t>
      </w:r>
      <w:r>
        <w:rPr>
          <w:color w:val="6F2770"/>
        </w:rPr>
        <w:t>and</w:t>
      </w:r>
      <w:r>
        <w:rPr>
          <w:color w:val="6F2770"/>
          <w:spacing w:val="-42"/>
        </w:rPr>
        <w:t> </w:t>
      </w:r>
      <w:r>
        <w:rPr>
          <w:color w:val="6F2770"/>
        </w:rPr>
        <w:t>services to</w:t>
      </w:r>
      <w:r>
        <w:rPr>
          <w:color w:val="6F2770"/>
          <w:spacing w:val="-11"/>
        </w:rPr>
        <w:t> </w:t>
      </w:r>
      <w:r>
        <w:rPr>
          <w:color w:val="6F2770"/>
        </w:rPr>
        <w:t>realise</w:t>
      </w:r>
      <w:r>
        <w:rPr>
          <w:color w:val="6F2770"/>
          <w:spacing w:val="-10"/>
        </w:rPr>
        <w:t> </w:t>
      </w:r>
      <w:r>
        <w:rPr>
          <w:color w:val="6F2770"/>
        </w:rPr>
        <w:t>significant</w:t>
      </w:r>
      <w:r>
        <w:rPr>
          <w:color w:val="6F2770"/>
          <w:spacing w:val="-10"/>
        </w:rPr>
        <w:t> </w:t>
      </w:r>
      <w:r>
        <w:rPr>
          <w:color w:val="6F2770"/>
        </w:rPr>
        <w:t>financial</w:t>
      </w:r>
      <w:r>
        <w:rPr>
          <w:color w:val="6F2770"/>
          <w:spacing w:val="-11"/>
        </w:rPr>
        <w:t> </w:t>
      </w:r>
      <w:r>
        <w:rPr>
          <w:color w:val="6F2770"/>
        </w:rPr>
        <w:t>benefits</w:t>
      </w:r>
      <w:r>
        <w:rPr>
          <w:color w:val="6F2770"/>
          <w:spacing w:val="-10"/>
        </w:rPr>
        <w:t> </w:t>
      </w:r>
      <w:r>
        <w:rPr>
          <w:color w:val="6F2770"/>
        </w:rPr>
        <w:t>for</w:t>
      </w:r>
      <w:r>
        <w:rPr>
          <w:color w:val="6F2770"/>
          <w:spacing w:val="-10"/>
        </w:rPr>
        <w:t> </w:t>
      </w:r>
      <w:r>
        <w:rPr>
          <w:color w:val="6F2770"/>
        </w:rPr>
        <w:t>government</w:t>
      </w:r>
      <w:r>
        <w:rPr>
          <w:color w:val="6F2770"/>
          <w:spacing w:val="-10"/>
        </w:rPr>
        <w:t> </w:t>
      </w:r>
      <w:r>
        <w:rPr>
          <w:color w:val="6F2770"/>
        </w:rPr>
        <w:t>and</w:t>
      </w:r>
      <w:r>
        <w:rPr>
          <w:color w:val="6F2770"/>
          <w:spacing w:val="-11"/>
        </w:rPr>
        <w:t> </w:t>
      </w:r>
      <w:r>
        <w:rPr>
          <w:color w:val="6F2770"/>
        </w:rPr>
        <w:t>the</w:t>
      </w:r>
      <w:r>
        <w:rPr>
          <w:color w:val="6F2770"/>
          <w:spacing w:val="-10"/>
        </w:rPr>
        <w:t> </w:t>
      </w:r>
      <w:r>
        <w:rPr>
          <w:color w:val="6F2770"/>
          <w:spacing w:val="-4"/>
        </w:rPr>
        <w:t>community.</w:t>
      </w:r>
    </w:p>
    <w:p>
      <w:pPr>
        <w:pStyle w:val="BodyText"/>
        <w:rPr>
          <w:sz w:val="20"/>
        </w:rPr>
      </w:pPr>
    </w:p>
    <w:p>
      <w:pPr>
        <w:spacing w:after="0"/>
        <w:rPr>
          <w:sz w:val="20"/>
        </w:rPr>
        <w:sectPr>
          <w:footerReference w:type="default" r:id="rId52"/>
          <w:pgSz w:w="16840" w:h="11910" w:orient="landscape"/>
          <w:pgMar w:footer="0" w:header="0" w:top="0" w:bottom="0" w:left="0" w:right="0"/>
        </w:sectPr>
      </w:pPr>
    </w:p>
    <w:p>
      <w:pPr>
        <w:pStyle w:val="BodyText"/>
        <w:spacing w:before="9"/>
        <w:rPr>
          <w:sz w:val="21"/>
        </w:rPr>
      </w:pPr>
    </w:p>
    <w:p>
      <w:pPr>
        <w:pStyle w:val="BodyText"/>
        <w:spacing w:line="249" w:lineRule="auto"/>
        <w:ind w:left="765" w:right="185"/>
      </w:pPr>
      <w:r>
        <w:rPr/>
        <w:t>This year, </w:t>
      </w:r>
      <w:r>
        <w:rPr>
          <w:b/>
        </w:rPr>
        <w:t>Building Management and Works </w:t>
      </w:r>
      <w:r>
        <w:rPr/>
        <w:t>has introduced significant reforms to improve the delivery of maintenance services to client agencies occupying non-residential buildings, such as schools, police stations and prisons.</w:t>
      </w:r>
    </w:p>
    <w:p>
      <w:pPr>
        <w:pStyle w:val="BodyText"/>
        <w:spacing w:before="4"/>
        <w:rPr>
          <w:sz w:val="23"/>
        </w:rPr>
      </w:pPr>
    </w:p>
    <w:p>
      <w:pPr>
        <w:pStyle w:val="BodyText"/>
        <w:spacing w:line="249" w:lineRule="auto"/>
        <w:ind w:left="765" w:right="36"/>
      </w:pPr>
      <w:r>
        <w:rPr/>
        <w:t>On 1 July 2016, an innovative framework was introduced, appointing a single service provider to deliver maintenance services for seven government agencies within the Perth and Peel regions. This new framework has delivered improved outcomes for government by placing an increased focus on quality and contractor performance,</w:t>
      </w:r>
      <w:r>
        <w:rPr>
          <w:spacing w:val="-24"/>
        </w:rPr>
        <w:t> </w:t>
      </w:r>
      <w:r>
        <w:rPr/>
        <w:t>along</w:t>
      </w:r>
      <w:r>
        <w:rPr>
          <w:spacing w:val="-23"/>
        </w:rPr>
        <w:t> </w:t>
      </w:r>
      <w:r>
        <w:rPr/>
        <w:t>with</w:t>
      </w:r>
      <w:r>
        <w:rPr>
          <w:spacing w:val="-23"/>
        </w:rPr>
        <w:t> </w:t>
      </w:r>
      <w:r>
        <w:rPr/>
        <w:t>collecting</w:t>
      </w:r>
      <w:r>
        <w:rPr>
          <w:spacing w:val="-23"/>
        </w:rPr>
        <w:t> </w:t>
      </w:r>
      <w:r>
        <w:rPr/>
        <w:t>information</w:t>
      </w:r>
      <w:r>
        <w:rPr>
          <w:spacing w:val="-23"/>
        </w:rPr>
        <w:t> </w:t>
      </w:r>
      <w:r>
        <w:rPr>
          <w:spacing w:val="-9"/>
        </w:rPr>
        <w:t>on </w:t>
      </w:r>
      <w:r>
        <w:rPr/>
        <w:t>building</w:t>
      </w:r>
      <w:r>
        <w:rPr>
          <w:spacing w:val="-23"/>
        </w:rPr>
        <w:t> </w:t>
      </w:r>
      <w:r>
        <w:rPr/>
        <w:t>assets</w:t>
      </w:r>
      <w:r>
        <w:rPr>
          <w:spacing w:val="-23"/>
        </w:rPr>
        <w:t> </w:t>
      </w:r>
      <w:r>
        <w:rPr/>
        <w:t>to</w:t>
      </w:r>
      <w:r>
        <w:rPr>
          <w:spacing w:val="-23"/>
        </w:rPr>
        <w:t> </w:t>
      </w:r>
      <w:r>
        <w:rPr/>
        <w:t>enable</w:t>
      </w:r>
      <w:r>
        <w:rPr>
          <w:spacing w:val="-23"/>
        </w:rPr>
        <w:t> </w:t>
      </w:r>
      <w:r>
        <w:rPr/>
        <w:t>better</w:t>
      </w:r>
      <w:r>
        <w:rPr>
          <w:spacing w:val="-23"/>
        </w:rPr>
        <w:t> </w:t>
      </w:r>
      <w:r>
        <w:rPr/>
        <w:t>decision-making.</w:t>
      </w:r>
    </w:p>
    <w:p>
      <w:pPr>
        <w:pStyle w:val="BodyText"/>
        <w:spacing w:before="8"/>
        <w:rPr>
          <w:sz w:val="23"/>
        </w:rPr>
      </w:pPr>
    </w:p>
    <w:p>
      <w:pPr>
        <w:pStyle w:val="BodyText"/>
        <w:spacing w:line="249" w:lineRule="auto"/>
        <w:ind w:left="765" w:right="-13"/>
      </w:pPr>
      <w:r>
        <w:rPr/>
        <w:t>Valuable data is now also being collected on the condition of public buildings via the use of drone technology</w:t>
      </w:r>
      <w:r>
        <w:rPr>
          <w:spacing w:val="-21"/>
        </w:rPr>
        <w:t> </w:t>
      </w:r>
      <w:r>
        <w:rPr/>
        <w:t>and</w:t>
      </w:r>
      <w:r>
        <w:rPr>
          <w:spacing w:val="-21"/>
        </w:rPr>
        <w:t> </w:t>
      </w:r>
      <w:r>
        <w:rPr/>
        <w:t>a</w:t>
      </w:r>
      <w:r>
        <w:rPr>
          <w:spacing w:val="-21"/>
        </w:rPr>
        <w:t> </w:t>
      </w:r>
      <w:r>
        <w:rPr/>
        <w:t>specially</w:t>
      </w:r>
      <w:r>
        <w:rPr>
          <w:spacing w:val="-21"/>
        </w:rPr>
        <w:t> </w:t>
      </w:r>
      <w:r>
        <w:rPr/>
        <w:t>created</w:t>
      </w:r>
      <w:r>
        <w:rPr>
          <w:spacing w:val="-21"/>
        </w:rPr>
        <w:t> </w:t>
      </w:r>
      <w:r>
        <w:rPr/>
        <w:t>app,</w:t>
      </w:r>
      <w:r>
        <w:rPr>
          <w:spacing w:val="-21"/>
        </w:rPr>
        <w:t> </w:t>
      </w:r>
      <w:r>
        <w:rPr>
          <w:spacing w:val="-3"/>
        </w:rPr>
        <w:t>gathering </w:t>
      </w:r>
      <w:r>
        <w:rPr/>
        <w:t>information on building assets not previously possible. This information, along with insights gathered from the data is then shared with the relevant </w:t>
      </w:r>
      <w:r>
        <w:rPr>
          <w:spacing w:val="-3"/>
        </w:rPr>
        <w:t>agency, </w:t>
      </w:r>
      <w:r>
        <w:rPr/>
        <w:t>enabling more strategic, timely and cost-effective maintenance decisions to be made regarding public</w:t>
      </w:r>
      <w:r>
        <w:rPr>
          <w:spacing w:val="-10"/>
        </w:rPr>
        <w:t> </w:t>
      </w:r>
      <w:r>
        <w:rPr/>
        <w:t>buildings.</w:t>
      </w:r>
    </w:p>
    <w:p>
      <w:pPr>
        <w:pStyle w:val="BodyText"/>
        <w:spacing w:before="9"/>
        <w:rPr>
          <w:sz w:val="21"/>
        </w:rPr>
      </w:pPr>
      <w:r>
        <w:rPr/>
        <w:br w:type="column"/>
      </w:r>
      <w:r>
        <w:rPr>
          <w:sz w:val="21"/>
        </w:rPr>
      </w:r>
    </w:p>
    <w:p>
      <w:pPr>
        <w:pStyle w:val="BodyText"/>
        <w:spacing w:line="249" w:lineRule="auto"/>
        <w:ind w:left="500" w:right="-10"/>
      </w:pPr>
      <w:r>
        <w:rPr/>
        <w:t>Building Management and Works has also demonstrated its commitment to employing Aboriginal businesses by directly engaging Ngaanyatjarra Repairs and Maintenance to coordinate and deliver breakdown maintenance services</w:t>
      </w:r>
      <w:r>
        <w:rPr>
          <w:spacing w:val="-30"/>
        </w:rPr>
        <w:t> </w:t>
      </w:r>
      <w:r>
        <w:rPr/>
        <w:t>for</w:t>
      </w:r>
      <w:r>
        <w:rPr>
          <w:spacing w:val="-29"/>
        </w:rPr>
        <w:t> </w:t>
      </w:r>
      <w:r>
        <w:rPr/>
        <w:t>regional</w:t>
      </w:r>
      <w:r>
        <w:rPr>
          <w:spacing w:val="-29"/>
        </w:rPr>
        <w:t> </w:t>
      </w:r>
      <w:r>
        <w:rPr/>
        <w:t>public</w:t>
      </w:r>
      <w:r>
        <w:rPr>
          <w:spacing w:val="-29"/>
        </w:rPr>
        <w:t> </w:t>
      </w:r>
      <w:r>
        <w:rPr/>
        <w:t>buildings.</w:t>
      </w:r>
      <w:r>
        <w:rPr>
          <w:spacing w:val="-29"/>
        </w:rPr>
        <w:t> </w:t>
      </w:r>
      <w:r>
        <w:rPr/>
        <w:t>This</w:t>
      </w:r>
      <w:r>
        <w:rPr>
          <w:spacing w:val="-29"/>
        </w:rPr>
        <w:t> </w:t>
      </w:r>
      <w:r>
        <w:rPr>
          <w:spacing w:val="-3"/>
        </w:rPr>
        <w:t>includes </w:t>
      </w:r>
      <w:r>
        <w:rPr/>
        <w:t>repairs and unscheduled maintenance works such as broken windows, plumbing problems, graffiti</w:t>
      </w:r>
      <w:r>
        <w:rPr>
          <w:spacing w:val="-15"/>
        </w:rPr>
        <w:t> </w:t>
      </w:r>
      <w:r>
        <w:rPr/>
        <w:t>and</w:t>
      </w:r>
      <w:r>
        <w:rPr>
          <w:spacing w:val="-15"/>
        </w:rPr>
        <w:t> </w:t>
      </w:r>
      <w:r>
        <w:rPr/>
        <w:t>other</w:t>
      </w:r>
      <w:r>
        <w:rPr>
          <w:spacing w:val="-15"/>
        </w:rPr>
        <w:t> </w:t>
      </w:r>
      <w:r>
        <w:rPr/>
        <w:t>repair</w:t>
      </w:r>
      <w:r>
        <w:rPr>
          <w:spacing w:val="-15"/>
        </w:rPr>
        <w:t> </w:t>
      </w:r>
      <w:r>
        <w:rPr/>
        <w:t>works</w:t>
      </w:r>
      <w:r>
        <w:rPr>
          <w:spacing w:val="-15"/>
        </w:rPr>
        <w:t> </w:t>
      </w:r>
      <w:r>
        <w:rPr/>
        <w:t>for</w:t>
      </w:r>
      <w:r>
        <w:rPr>
          <w:spacing w:val="-14"/>
        </w:rPr>
        <w:t> </w:t>
      </w:r>
      <w:r>
        <w:rPr/>
        <w:t>12</w:t>
      </w:r>
      <w:r>
        <w:rPr>
          <w:spacing w:val="-15"/>
        </w:rPr>
        <w:t> </w:t>
      </w:r>
      <w:r>
        <w:rPr/>
        <w:t>communities across the Ngaanyatjarra Lands</w:t>
      </w:r>
      <w:r>
        <w:rPr>
          <w:spacing w:val="-28"/>
        </w:rPr>
        <w:t> </w:t>
      </w:r>
      <w:r>
        <w:rPr/>
        <w:t>region.</w:t>
      </w:r>
    </w:p>
    <w:p>
      <w:pPr>
        <w:pStyle w:val="BodyText"/>
        <w:spacing w:line="249" w:lineRule="auto" w:before="9"/>
        <w:ind w:left="500" w:right="68"/>
      </w:pPr>
      <w:r>
        <w:rPr/>
        <w:t>The aggregated value of the work is estimated to be between $750,000 and $1 million per </w:t>
      </w:r>
      <w:r>
        <w:rPr>
          <w:spacing w:val="-9"/>
        </w:rPr>
        <w:t>year, </w:t>
      </w:r>
      <w:r>
        <w:rPr/>
        <w:t>and is part of delivering low-value maintenance services under the regional service alliance.</w:t>
      </w:r>
    </w:p>
    <w:p>
      <w:pPr>
        <w:pStyle w:val="BodyText"/>
        <w:spacing w:before="4"/>
        <w:ind w:left="500"/>
      </w:pPr>
      <w:r>
        <w:rPr/>
        <w:t>The shift to a single supplier to deliver services</w:t>
      </w:r>
    </w:p>
    <w:p>
      <w:pPr>
        <w:pStyle w:val="BodyText"/>
        <w:spacing w:line="249" w:lineRule="auto" w:before="11"/>
        <w:ind w:left="500" w:right="57"/>
      </w:pPr>
      <w:r>
        <w:rPr/>
        <w:pict>
          <v:group style="position:absolute;margin-left:343.674011pt;margin-top:3.439168pt;width:498.25pt;height:191.45pt;mso-position-horizontal-relative:page;mso-position-vertical-relative:paragraph;z-index:-809320" coordorigin="6873,69" coordsize="9965,3829">
            <v:shape style="position:absolute;left:11877;top:416;width:317;height:292" type="#_x0000_t75" stroked="false">
              <v:imagedata r:id="rId53" o:title=""/>
            </v:shape>
            <v:shape style="position:absolute;left:8847;top:605;width:3347;height:3292" coordorigin="8848,606" coordsize="3347,3292" path="m12194,3634l11742,3896,11767,3896,12194,3649,12194,3634m12194,3350l11250,3896,11275,3896,12194,3365,12194,3350m12194,3256l11086,3896,11111,3896,12194,3270,12194,3256m12194,3067l10758,3896,10783,3896,12194,3081,12194,3067m12194,2877l10430,3896,10455,3896,12194,2892,12194,2877m12194,2783l10266,3896,10291,3896,12194,2797,12194,2783m12194,2593l9939,3896,9964,3896,12194,2608,12194,2593m12194,2499l9775,3896,9800,3896,12194,2513,12194,2499m12194,2309l9447,3896,9472,3896,12194,2324,12194,2309m12194,2215l9283,3896,9308,3896,12194,2229,12194,2215m12194,1931l8908,3828,8917,3837,12194,1945,12194,1931m12194,1647l9224,3362,9190,3396,12194,1661,12194,1647m12194,1552l9448,3138,9414,3172,12194,1567,12194,1552m12194,1458l9672,2914,9638,2948,12194,1472,12194,1458m12194,1174l10344,2242,10310,2276,12194,1188,12194,1174m12194,890l11016,1570,10982,1604,12194,904,12194,890m12194,701l11464,1122,11429,1156,12194,715,12194,701m12194,3540l11578,3896,11603,3896,12194,3554,12194,3540m12194,3445l11414,3896,11439,3896,12194,3460,12194,3445m12194,3161l10922,3896,10947,3896,12194,3176,12194,3161m12194,2972l10594,3896,10619,3896,12194,2986,12194,2972m12194,2688l10103,3896,10128,3896,12194,2702,12194,2688m12194,2404l9611,3896,9636,3896,12194,2418,12194,2404m12194,2120l9119,3896,9144,3896,12194,2135,12194,2120m12194,2026l8968,3888,8977,3897,12194,2040,12194,2026m12194,1836l8848,3768,8857,3777,12194,1851,12194,1836m12194,1742l9001,3585,8966,3620,12194,1756,12194,1742m12194,1363l9896,2690,9862,2724,12194,1378,12194,1363m12194,1268l10120,2466,10086,2500,12194,1283,12194,1268m12194,1079l10568,2018,10534,2052,12194,1094,12194,1079m12194,984l10792,1794,10758,1828,12194,999,12194,984m12194,795l11240,1346,11206,1380,12194,810,12194,795m12194,606l11688,898,11653,933,12194,620,12194,606e" filled="true" fillcolor="#cdcccd" stroked="false">
              <v:path arrowok="t"/>
              <v:fill opacity="32768f" type="solid"/>
            </v:shape>
            <v:shape style="position:absolute;left:11905;top:3729;width:289;height:167" type="#_x0000_t75" stroked="false">
              <v:imagedata r:id="rId54" o:title=""/>
            </v:shape>
            <v:shape style="position:absolute;left:12194;top:429;width:42;height:28" coordorigin="12194,429" coordsize="42,28" path="m12232,429l12194,451,12194,457,12236,433,12232,429xe" filled="true" fillcolor="#cdcccd" stroked="false">
              <v:path arrowok="t"/>
              <v:fill opacity="32768f" type="solid"/>
            </v:shape>
            <v:shape style="position:absolute;left:12194;top:489;width:342;height:441" type="#_x0000_t75" stroked="false">
              <v:imagedata r:id="rId55" o:title=""/>
            </v:shape>
            <v:shape style="position:absolute;left:12194;top:789;width:3222;height:3107" coordorigin="12194,789" coordsize="3222,3107" path="m12596,793l12592,789,12194,1019,12194,1025,12596,793m12656,853l12652,849,12194,1114,12194,1119,12656,853m12716,913l12712,909,12194,1208,12194,1214,12716,913m12776,973l12772,969,12194,1303,12194,1309,12776,973m12836,1033l12832,1029,12194,1398,12194,1403,12836,1033m12896,1093l12892,1089,12194,1492,12194,1498,12896,1093m12956,1153l12952,1149,12194,1587,12194,1593,12956,1153m13016,1213l13012,1209,12194,1682,12194,1687,13016,1213m13076,1273l13072,1269,12194,1776,12194,1782,13076,1273m13136,1333l13132,1329,12194,1871,12194,1877,13136,1333m13196,1393l13192,1389,12194,1965,12194,1971,13196,1393m13256,1453l13252,1449,12194,2060,12194,2066,13256,1453m13316,1513l13312,1509,12194,2155,12194,2161,13316,1513m13376,1573l13372,1569,12194,2249,12194,2255,13376,1573m13436,1633l13432,1629,12194,2344,12194,2350,13436,1633m13496,1693l13492,1689,12194,2439,12194,2444,13496,1693m13556,1753l13552,1749,12194,2533,12194,2539,13556,1753m13616,1813l13612,1809,12194,2628,12194,2634,13616,1813m13676,1873l13672,1869,12194,2723,12194,2728,13676,1873m13736,1933l13732,1929,12194,2817,12194,2823,13736,1933m13796,1993l13792,1989,12194,2912,12194,2918,13796,1993m13856,2053l13852,2049,12194,3006,12194,3012,13856,2053m13916,2113l13912,2109,12194,3101,12194,3107,13916,2113m13976,2173l13972,2169,12194,3196,12194,3202,13976,2173m14036,2233l14032,2229,12194,3290,12194,3296,14036,2233m14096,2293l14092,2289,12194,3385,12194,3391,14096,2293m14156,2353l14152,2349,12194,3480,12194,3485,14156,2353m14216,2413l14212,2409,12194,3574,12194,3580,14216,2413m14276,2473l14272,2469,12194,3669,12194,3675,14276,2473m14336,2533l14332,2529,12194,3764,12194,3769,14336,2533m14396,2593l14392,2589,12194,3858,12194,3864,14396,2593m14456,2653l14452,2649,12293,3896,12304,3896,14456,2653m14516,2713l14512,2709,12457,3896,12467,3896,14516,2713m14576,2773l14572,2769,12621,3896,12631,3896,14576,2773m14636,2833l14632,2829,12785,3896,12795,3896,14636,2833m14696,2893l14692,2889,12949,3896,12959,3896,14696,2893m14756,2953l14752,2949,13113,3896,13123,3896,14756,2953m14816,3013l14812,3009,13277,3896,13287,3896,14816,3013m14876,3073l14872,3069,13441,3896,13451,3896,14876,3073m14936,3133l14932,3129,13605,3896,13615,3896,14936,3133m14996,3193l14992,3189,13769,3896,13779,3896,14996,3193m15056,3253l15052,3249,13933,3896,13943,3896,15056,3253m15116,3313l15112,3309,14097,3896,14107,3896,15116,3313m15176,3373l15172,3369,14261,3896,14271,3896,15176,3373m15236,3433l15232,3429,14425,3896,14435,3896,15236,3433m15296,3493l15292,3489,14588,3896,14598,3896,15296,3493m15356,3553l15352,3549,14752,3896,14762,3896,15356,3553m15416,3613l15412,3609,14916,3896,14926,3896,15416,3613e" filled="true" fillcolor="#cdcccd" stroked="false">
              <v:path arrowok="t"/>
              <v:fill opacity="32768f" type="solid"/>
            </v:shape>
            <v:shape style="position:absolute;left:15080;top:3669;width:456;height:227" type="#_x0000_t75" stroked="false">
              <v:imagedata r:id="rId56" o:title=""/>
            </v:shape>
            <v:shape style="position:absolute;left:15428;top:68;width:904;height:904" coordorigin="15428,69" coordsize="904,904" path="m15880,69l15428,520,15880,972,16332,520,15880,69xe" filled="true" fillcolor="#c4cd71" stroked="false">
              <v:path arrowok="t"/>
              <v:fill opacity="32768f" type="solid"/>
            </v:shape>
            <v:shape style="position:absolute;left:15428;top:971;width:904;height:904" coordorigin="15428,972" coordsize="904,904" path="m15880,972l15428,1424,15880,1875,16332,1424,15880,972xe" filled="true" fillcolor="#d8dad9" stroked="false">
              <v:path arrowok="t"/>
              <v:fill opacity="32768f" type="solid"/>
            </v:shape>
            <v:shape style="position:absolute;left:16331;top:68;width:507;height:904" coordorigin="16332,69" coordsize="507,904" path="m16783,69l16332,520,16783,972,16838,917,16838,123,16783,69xe" filled="true" fillcolor="#96ac7a" stroked="false">
              <v:path arrowok="t"/>
              <v:fill opacity="32768f" type="solid"/>
            </v:shape>
            <v:shape style="position:absolute;left:14525;top:971;width:904;height:904" coordorigin="14525,972" coordsize="904,904" path="m14977,972l14525,1424,14977,1875,15428,1424,14977,972xe" filled="true" fillcolor="#8d5f8e" stroked="false">
              <v:path arrowok="t"/>
              <v:fill opacity="32768f" type="solid"/>
            </v:shape>
            <v:shape style="position:absolute;left:16783;top:917;width:55;height:110" coordorigin="16783,917" coordsize="55,110" path="m16838,917l16783,972,16838,1027,16838,917xe" filled="true" fillcolor="#783a79" stroked="false">
              <v:path arrowok="t"/>
              <v:fill opacity="32768f" type="solid"/>
            </v:shape>
            <v:shape style="position:absolute;left:15428;top:1875;width:904;height:904" coordorigin="15428,1875" coordsize="904,904" path="m15880,1875l15428,2327,15880,2778,16332,2327,15880,1875xe" filled="true" fillcolor="#c4cd71" stroked="false">
              <v:path arrowok="t"/>
              <v:fill opacity="32768f" type="solid"/>
            </v:shape>
            <v:shape style="position:absolute;left:6873;top:2131;width:3529;height:1765" coordorigin="6873,2131" coordsize="3529,1765" path="m8638,2131l6873,3896,10402,3896,8638,2131xe" filled="true" fillcolor="#ffffff" stroked="false">
              <v:path arrowok="t"/>
              <v:fill type="solid"/>
            </v:shape>
            <v:shape style="position:absolute;left:7755;top:2572;width:1765;height:442" coordorigin="7756,2572" coordsize="1765,442" path="m8197,2572l7756,3013,7756,3013,8196,3013,8417,2793,8197,2572xm9079,2572l8858,2793,9079,3013,9520,3013,9520,3013,9079,2572xe" filled="true" fillcolor="#aebd37" stroked="false">
              <v:path arrowok="t"/>
              <v:fill type="solid"/>
            </v:shape>
            <v:shape style="position:absolute;left:7314;top:3013;width:442;height:662" coordorigin="7315,3013" coordsize="442,662" path="m7756,3013l7315,3454,7535,3675,7756,3454,7756,3013xe" filled="true" fillcolor="#6f2770" stroked="false">
              <v:path arrowok="t"/>
              <v:fill type="solid"/>
            </v:shape>
            <v:shape style="position:absolute;left:9519;top:3013;width:442;height:662" coordorigin="9520,3013" coordsize="442,662" path="m9520,3013l9520,3013,9520,3013,9520,3013,9520,3013m9961,3454l9520,3013,9520,3013,9520,3013,9520,3454,9741,3675,9961,3455,9961,3455,9961,3454e" filled="true" fillcolor="#5d883c" stroked="false">
              <v:path arrowok="t"/>
              <v:fill type="solid"/>
            </v:shape>
            <v:shape style="position:absolute;left:9079;top:3013;width:441;height:221" coordorigin="9079,3013" coordsize="441,221" path="m9520,3013l9079,3013,9300,3234,9520,3013xe" filled="true" fillcolor="#7aa142" stroked="false">
              <v:path arrowok="t"/>
              <v:fill type="solid"/>
            </v:shape>
            <v:shape style="position:absolute;left:9299;top:3013;width:221;height:441" coordorigin="9300,3013" coordsize="221,441" path="m9520,3013l9300,3234,9520,3454,9520,3013xe" filled="true" fillcolor="#41793d" stroked="false">
              <v:path arrowok="t"/>
              <v:fill type="solid"/>
            </v:shape>
            <v:shape style="position:absolute;left:7755;top:3013;width:221;height:221" coordorigin="7756,3013" coordsize="221,221" path="m7756,3013l7976,3234,7756,3013xe" filled="true" fillcolor="#6f2770" stroked="false">
              <v:path arrowok="t"/>
              <v:fill type="solid"/>
            </v:shape>
            <v:shape style="position:absolute;left:7755;top:3013;width:441;height:221" coordorigin="7756,3013" coordsize="441,221" path="m8196,3013l7756,3013,7976,3234,8196,3013xe" filled="true" fillcolor="#5b2e31" stroked="false">
              <v:path arrowok="t"/>
              <v:fill type="solid"/>
            </v:shape>
            <v:shape style="position:absolute;left:7755;top:3013;width:221;height:441" coordorigin="7756,3013" coordsize="221,441" path="m7756,3013l7756,3454,7976,3234,7756,3013xe" filled="true" fillcolor="#42285e" stroked="false">
              <v:path arrowok="t"/>
              <v:fill type="solid"/>
            </v:shape>
            <v:shape style="position:absolute;left:8196;top:2131;width:883;height:662" coordorigin="8197,2131" coordsize="883,662" path="m8638,2131l8197,2572,8417,2793,8638,2572,9079,2572,8638,2131xm9079,2572l8638,2572,8858,2793,9079,2572,9079,2572xe" filled="true" fillcolor="#89993e" stroked="false">
              <v:path arrowok="t"/>
              <v:fill type="solid"/>
            </v:shape>
            <v:shape style="position:absolute;left:10402;top:3895;width:2;height:2" coordorigin="10402,3896" coordsize="1,1" path="m10402,3896xe" filled="true" fillcolor="#bbbcbb" stroked="false">
              <v:path arrowok="t"/>
              <v:fill type="solid"/>
            </v:shape>
            <v:shape style="position:absolute;left:9740;top:3454;width:662;height:442" coordorigin="9741,3455" coordsize="662,442" path="m10402,3896l10292,3785,9961,3455,9741,3675,9961,3896,10402,3896e" filled="true" fillcolor="#4f743b" stroked="false">
              <v:path arrowok="t"/>
              <v:fill type="solid"/>
            </v:shape>
            <v:shape style="position:absolute;left:6873;top:3454;width:662;height:442" coordorigin="6873,3454" coordsize="662,442" path="m7535,3675l7315,3455,6873,3896,7314,3896,7535,3675e" filled="true" fillcolor="#602a63" stroked="false">
              <v:path arrowok="t"/>
              <v:fill type="solid"/>
            </v:shape>
            <v:shape style="position:absolute;left:8196;top:2792;width:883;height:221" coordorigin="8196,2793" coordsize="883,221" path="m8858,2793l8638,3013,8197,3013,9079,3013,8638,3013,8417,2793,8858,2793xe" filled="true" fillcolor="#f8f7f0" stroked="false">
              <v:path arrowok="t"/>
              <v:fill type="solid"/>
            </v:shape>
            <v:shape style="position:absolute;left:7535;top:3454;width:221;height:442" coordorigin="7535,3454" coordsize="221,442" path="m7756,3454l7535,3675,7756,3896,7756,3454xe" filled="true" fillcolor="#f1edf3" stroked="false">
              <v:path arrowok="t"/>
              <v:fill type="solid"/>
            </v:shape>
            <v:shape style="position:absolute;left:9519;top:3454;width:221;height:442" coordorigin="9520,3454" coordsize="221,442" path="m9520,3454l9520,3896,9741,3675,9520,3454xe" filled="true" fillcolor="#f2f3ee" stroked="false">
              <v:path arrowok="t"/>
              <v:fill type="solid"/>
            </v:shape>
            <v:shape style="position:absolute;left:8637;top:3013;width:662;height:883" coordorigin="8638,3013" coordsize="662,883" path="m9079,3013l8638,3013,8638,3896,9300,3234,9079,3013xe" filled="true" fillcolor="#f5f6f0" stroked="false">
              <v:path arrowok="t"/>
              <v:fill type="solid"/>
            </v:shape>
            <v:shape style="position:absolute;left:8637;top:3233;width:883;height:662" coordorigin="8638,3234" coordsize="883,662" path="m9300,3234l8638,3896,9520,3896,9520,3454,9300,3234xe" filled="true" fillcolor="#f2f3ee" stroked="false">
              <v:path arrowok="t"/>
              <v:fill type="solid"/>
            </v:shape>
            <v:shape style="position:absolute;left:7976;top:3013;width:662;height:883" coordorigin="7976,3013" coordsize="662,883" path="m8638,3013l8196,3013,7976,3234,8638,3896,8638,3013xe" filled="true" fillcolor="#f1edea" stroked="false">
              <v:path arrowok="t"/>
              <v:fill type="solid"/>
            </v:shape>
            <v:shape style="position:absolute;left:7755;top:3233;width:883;height:662" coordorigin="7756,3234" coordsize="883,662" path="m7976,3234l7756,3454,7756,3896,8638,3896,7976,3234xe" filled="true" fillcolor="#ebe9ed" stroked="false">
              <v:path arrowok="t"/>
              <v:fill type="solid"/>
            </v:shape>
            <v:shape style="position:absolute;left:8637;top:3895;width:2;height:2" coordorigin="8638,3896" coordsize="1,1" path="m8638,3896xe" filled="true" fillcolor="#f2f3ee" stroked="false">
              <v:path arrowok="t"/>
              <v:fill type="solid"/>
            </v:shape>
            <v:line style="position:absolute" from="8638,3896" to="9520,3896" stroked="true" strokeweight=".001pt" strokecolor="#eceeea">
              <v:stroke dashstyle="solid"/>
            </v:line>
            <v:shape style="position:absolute;left:8417;top:2572;width:442;height:442" coordorigin="8417,2572" coordsize="442,442" path="m8638,2572l8417,2793,8638,3013,8858,2793,8638,2572xe" filled="true" fillcolor="#f5f4ee" stroked="false">
              <v:path arrowok="t"/>
              <v:fill type="solid"/>
            </v:shape>
            <v:shape style="position:absolute;left:9519;top:3674;width:442;height:221" coordorigin="9520,3675" coordsize="442,221" path="m9741,3675l9520,3896,9961,3896,9741,3675xe" filled="true" fillcolor="#f2f3ee" stroked="false">
              <v:path arrowok="t"/>
              <v:fill type="solid"/>
            </v:shape>
            <v:shape style="position:absolute;left:7314;top:3674;width:442;height:221" coordorigin="7314,3675" coordsize="442,221" path="m7535,3675l7314,3896,7756,3896,7535,3675xe" filled="true" fillcolor="#f1edf0" stroked="false">
              <v:path arrowok="t"/>
              <v:fill type="solid"/>
            </v:shape>
            <w10:wrap type="none"/>
          </v:group>
        </w:pict>
      </w:r>
      <w:r>
        <w:rPr/>
        <w:t>in</w:t>
      </w:r>
      <w:r>
        <w:rPr>
          <w:spacing w:val="-18"/>
        </w:rPr>
        <w:t> </w:t>
      </w:r>
      <w:r>
        <w:rPr/>
        <w:t>the</w:t>
      </w:r>
      <w:r>
        <w:rPr>
          <w:spacing w:val="-17"/>
        </w:rPr>
        <w:t> </w:t>
      </w:r>
      <w:r>
        <w:rPr/>
        <w:t>western</w:t>
      </w:r>
      <w:r>
        <w:rPr>
          <w:spacing w:val="-18"/>
        </w:rPr>
        <w:t> </w:t>
      </w:r>
      <w:r>
        <w:rPr/>
        <w:t>desert</w:t>
      </w:r>
      <w:r>
        <w:rPr>
          <w:spacing w:val="-17"/>
        </w:rPr>
        <w:t> </w:t>
      </w:r>
      <w:r>
        <w:rPr/>
        <w:t>region</w:t>
      </w:r>
      <w:r>
        <w:rPr>
          <w:spacing w:val="-17"/>
        </w:rPr>
        <w:t> </w:t>
      </w:r>
      <w:r>
        <w:rPr/>
        <w:t>is</w:t>
      </w:r>
      <w:r>
        <w:rPr>
          <w:spacing w:val="-18"/>
        </w:rPr>
        <w:t> </w:t>
      </w:r>
      <w:r>
        <w:rPr/>
        <w:t>expected</w:t>
      </w:r>
      <w:r>
        <w:rPr>
          <w:spacing w:val="-17"/>
        </w:rPr>
        <w:t> </w:t>
      </w:r>
      <w:r>
        <w:rPr/>
        <w:t>to</w:t>
      </w:r>
      <w:r>
        <w:rPr>
          <w:spacing w:val="-18"/>
        </w:rPr>
        <w:t> </w:t>
      </w:r>
      <w:r>
        <w:rPr>
          <w:spacing w:val="-4"/>
        </w:rPr>
        <w:t>realise </w:t>
      </w:r>
      <w:r>
        <w:rPr/>
        <w:t>significant</w:t>
      </w:r>
      <w:r>
        <w:rPr>
          <w:spacing w:val="-26"/>
        </w:rPr>
        <w:t> </w:t>
      </w:r>
      <w:r>
        <w:rPr/>
        <w:t>savings,</w:t>
      </w:r>
      <w:r>
        <w:rPr>
          <w:spacing w:val="-26"/>
        </w:rPr>
        <w:t> </w:t>
      </w:r>
      <w:r>
        <w:rPr/>
        <w:t>as</w:t>
      </w:r>
      <w:r>
        <w:rPr>
          <w:spacing w:val="-26"/>
        </w:rPr>
        <w:t> </w:t>
      </w:r>
      <w:r>
        <w:rPr/>
        <w:t>well</w:t>
      </w:r>
      <w:r>
        <w:rPr>
          <w:spacing w:val="-26"/>
        </w:rPr>
        <w:t> </w:t>
      </w:r>
      <w:r>
        <w:rPr/>
        <w:t>as</w:t>
      </w:r>
      <w:r>
        <w:rPr>
          <w:spacing w:val="-26"/>
        </w:rPr>
        <w:t> </w:t>
      </w:r>
      <w:r>
        <w:rPr/>
        <w:t>support</w:t>
      </w:r>
      <w:r>
        <w:rPr>
          <w:spacing w:val="-26"/>
        </w:rPr>
        <w:t> </w:t>
      </w:r>
      <w:r>
        <w:rPr/>
        <w:t>a</w:t>
      </w:r>
      <w:r>
        <w:rPr>
          <w:spacing w:val="-26"/>
        </w:rPr>
        <w:t> </w:t>
      </w:r>
      <w:r>
        <w:rPr/>
        <w:t>regionally based</w:t>
      </w:r>
      <w:r>
        <w:rPr>
          <w:spacing w:val="-25"/>
        </w:rPr>
        <w:t> </w:t>
      </w:r>
      <w:r>
        <w:rPr/>
        <w:t>indigenous</w:t>
      </w:r>
      <w:r>
        <w:rPr>
          <w:spacing w:val="-24"/>
        </w:rPr>
        <w:t> </w:t>
      </w:r>
      <w:r>
        <w:rPr/>
        <w:t>business</w:t>
      </w:r>
      <w:r>
        <w:rPr>
          <w:spacing w:val="-25"/>
        </w:rPr>
        <w:t> </w:t>
      </w:r>
      <w:r>
        <w:rPr/>
        <w:t>employing</w:t>
      </w:r>
      <w:r>
        <w:rPr>
          <w:spacing w:val="-24"/>
        </w:rPr>
        <w:t> </w:t>
      </w:r>
      <w:r>
        <w:rPr/>
        <w:t>locals</w:t>
      </w:r>
      <w:r>
        <w:rPr>
          <w:spacing w:val="-24"/>
        </w:rPr>
        <w:t> </w:t>
      </w:r>
      <w:r>
        <w:rPr/>
        <w:t>and apprentices.</w:t>
      </w:r>
    </w:p>
    <w:p>
      <w:pPr>
        <w:pStyle w:val="BodyText"/>
        <w:spacing w:before="9"/>
        <w:rPr>
          <w:sz w:val="21"/>
        </w:rPr>
      </w:pPr>
      <w:r>
        <w:rPr/>
        <w:br w:type="column"/>
      </w:r>
      <w:r>
        <w:rPr>
          <w:sz w:val="21"/>
        </w:rPr>
      </w:r>
    </w:p>
    <w:p>
      <w:pPr>
        <w:spacing w:before="0"/>
        <w:ind w:left="452" w:right="0" w:firstLine="0"/>
        <w:jc w:val="left"/>
        <w:rPr>
          <w:sz w:val="22"/>
        </w:rPr>
      </w:pPr>
      <w:r>
        <w:rPr>
          <w:b/>
          <w:sz w:val="22"/>
        </w:rPr>
        <w:t>Government Procurement</w:t>
      </w:r>
      <w:r>
        <w:rPr>
          <w:sz w:val="22"/>
        </w:rPr>
        <w:t>, through the</w:t>
      </w:r>
    </w:p>
    <w:p>
      <w:pPr>
        <w:pStyle w:val="BodyText"/>
        <w:spacing w:line="249" w:lineRule="auto" w:before="11"/>
        <w:ind w:left="452" w:right="790"/>
      </w:pPr>
      <w:hyperlink r:id="rId57">
        <w:r>
          <w:rPr>
            <w:color w:val="A7BE39"/>
            <w:u w:val="single" w:color="A7BE39"/>
          </w:rPr>
          <w:t>State Supply </w:t>
        </w:r>
        <w:r>
          <w:rPr>
            <w:color w:val="A7BE39"/>
            <w:spacing w:val="-3"/>
            <w:u w:val="single" w:color="A7BE39"/>
          </w:rPr>
          <w:t>Commission’s </w:t>
        </w:r>
        <w:r>
          <w:rPr>
            <w:color w:val="A7BE39"/>
            <w:u w:val="single" w:color="A7BE39"/>
          </w:rPr>
          <w:t>Open and Effective</w:t>
        </w:r>
      </w:hyperlink>
      <w:r>
        <w:rPr>
          <w:color w:val="A7BE39"/>
        </w:rPr>
        <w:t> </w:t>
      </w:r>
      <w:hyperlink r:id="rId57">
        <w:r>
          <w:rPr>
            <w:color w:val="A7BE39"/>
            <w:u w:val="single" w:color="A7BE39"/>
          </w:rPr>
          <w:t>Competition</w:t>
        </w:r>
        <w:r>
          <w:rPr>
            <w:color w:val="A7BE39"/>
            <w:spacing w:val="-23"/>
            <w:u w:val="single" w:color="A7BE39"/>
          </w:rPr>
          <w:t> </w:t>
        </w:r>
        <w:r>
          <w:rPr>
            <w:color w:val="A7BE39"/>
            <w:u w:val="single" w:color="A7BE39"/>
          </w:rPr>
          <w:t>policy</w:t>
        </w:r>
        <w:r>
          <w:rPr>
            <w:color w:val="A7BE39"/>
            <w:spacing w:val="-23"/>
          </w:rPr>
          <w:t> </w:t>
        </w:r>
      </w:hyperlink>
      <w:r>
        <w:rPr/>
        <w:t>enables</w:t>
      </w:r>
      <w:r>
        <w:rPr>
          <w:spacing w:val="-22"/>
        </w:rPr>
        <w:t> </w:t>
      </w:r>
      <w:r>
        <w:rPr/>
        <w:t>government</w:t>
      </w:r>
      <w:r>
        <w:rPr>
          <w:spacing w:val="-23"/>
        </w:rPr>
        <w:t> </w:t>
      </w:r>
      <w:r>
        <w:rPr/>
        <w:t>agencies to</w:t>
      </w:r>
      <w:r>
        <w:rPr>
          <w:spacing w:val="-28"/>
        </w:rPr>
        <w:t> </w:t>
      </w:r>
      <w:r>
        <w:rPr/>
        <w:t>engage</w:t>
      </w:r>
      <w:r>
        <w:rPr>
          <w:spacing w:val="-28"/>
        </w:rPr>
        <w:t> </w:t>
      </w:r>
      <w:r>
        <w:rPr/>
        <w:t>a</w:t>
      </w:r>
      <w:r>
        <w:rPr>
          <w:spacing w:val="-28"/>
        </w:rPr>
        <w:t> </w:t>
      </w:r>
      <w:r>
        <w:rPr/>
        <w:t>registered</w:t>
      </w:r>
      <w:r>
        <w:rPr>
          <w:spacing w:val="-28"/>
        </w:rPr>
        <w:t> </w:t>
      </w:r>
      <w:r>
        <w:rPr/>
        <w:t>Aboriginal</w:t>
      </w:r>
      <w:r>
        <w:rPr>
          <w:spacing w:val="-28"/>
        </w:rPr>
        <w:t> </w:t>
      </w:r>
      <w:r>
        <w:rPr/>
        <w:t>business</w:t>
      </w:r>
      <w:r>
        <w:rPr>
          <w:spacing w:val="-27"/>
        </w:rPr>
        <w:t> </w:t>
      </w:r>
      <w:r>
        <w:rPr>
          <w:spacing w:val="-5"/>
        </w:rPr>
        <w:t>directly, </w:t>
      </w:r>
      <w:r>
        <w:rPr/>
        <w:t>without undertaking a competitive process for contracts under $250,000. The Department of Finance has taken advantage of this policy to directly engage several suppliers listed under the </w:t>
      </w:r>
      <w:hyperlink r:id="rId58">
        <w:r>
          <w:rPr>
            <w:color w:val="A7BE39"/>
            <w:u w:val="single" w:color="A7BE39"/>
          </w:rPr>
          <w:t>Aboriginal Business Directory WA</w:t>
        </w:r>
        <w:r>
          <w:rPr>
            <w:color w:val="A7BE39"/>
          </w:rPr>
          <w:t> </w:t>
        </w:r>
      </w:hyperlink>
      <w:r>
        <w:rPr/>
        <w:t>to purchase stationery and office furniture. The success of these purchases in meeting operational business requirements</w:t>
      </w:r>
      <w:r>
        <w:rPr>
          <w:spacing w:val="-34"/>
        </w:rPr>
        <w:t> </w:t>
      </w:r>
      <w:r>
        <w:rPr/>
        <w:t>while</w:t>
      </w:r>
      <w:r>
        <w:rPr>
          <w:spacing w:val="-34"/>
        </w:rPr>
        <w:t> </w:t>
      </w:r>
      <w:r>
        <w:rPr/>
        <w:t>still</w:t>
      </w:r>
      <w:r>
        <w:rPr>
          <w:spacing w:val="-34"/>
        </w:rPr>
        <w:t> </w:t>
      </w:r>
      <w:r>
        <w:rPr/>
        <w:t>achieving</w:t>
      </w:r>
      <w:r>
        <w:rPr>
          <w:spacing w:val="-34"/>
        </w:rPr>
        <w:t> </w:t>
      </w:r>
      <w:r>
        <w:rPr/>
        <w:t>value-for-money places the Department in a strong</w:t>
      </w:r>
      <w:r>
        <w:rPr>
          <w:spacing w:val="-35"/>
        </w:rPr>
        <w:t> </w:t>
      </w:r>
      <w:r>
        <w:rPr/>
        <w:t>position</w:t>
      </w:r>
    </w:p>
    <w:p>
      <w:pPr>
        <w:pStyle w:val="BodyText"/>
        <w:spacing w:line="249" w:lineRule="auto" w:before="11"/>
        <w:ind w:left="452" w:right="1360"/>
      </w:pPr>
      <w:r>
        <w:rPr/>
        <w:t>to promote the benefits of this policy </w:t>
      </w:r>
      <w:r>
        <w:rPr>
          <w:spacing w:val="-4"/>
        </w:rPr>
        <w:t>across </w:t>
      </w:r>
      <w:r>
        <w:rPr/>
        <w:t>government.</w:t>
      </w:r>
    </w:p>
    <w:p>
      <w:pPr>
        <w:spacing w:after="0" w:line="249" w:lineRule="auto"/>
        <w:sectPr>
          <w:type w:val="continuous"/>
          <w:pgSz w:w="16840" w:h="11910" w:orient="landscape"/>
          <w:pgMar w:top="0" w:bottom="0" w:left="0" w:right="0"/>
          <w:cols w:num="3" w:equalWidth="0">
            <w:col w:w="5469" w:space="40"/>
            <w:col w:w="5252" w:space="39"/>
            <w:col w:w="6040"/>
          </w:cols>
        </w:sectPr>
      </w:pPr>
    </w:p>
    <w:p>
      <w:pPr>
        <w:pStyle w:val="BodyText"/>
        <w:rPr>
          <w:sz w:val="20"/>
        </w:rPr>
      </w:pPr>
    </w:p>
    <w:p>
      <w:pPr>
        <w:pStyle w:val="BodyText"/>
        <w:spacing w:before="10"/>
        <w:rPr>
          <w:sz w:val="23"/>
        </w:rPr>
      </w:pPr>
    </w:p>
    <w:p>
      <w:pPr>
        <w:tabs>
          <w:tab w:pos="12166" w:val="left" w:leader="none"/>
          <w:tab w:pos="12373" w:val="left" w:leader="none"/>
          <w:tab w:pos="16072" w:val="right" w:leader="none"/>
        </w:tabs>
        <w:spacing w:before="106"/>
        <w:ind w:left="765" w:right="0" w:firstLine="0"/>
        <w:jc w:val="left"/>
        <w:rPr>
          <w:b/>
          <w:sz w:val="16"/>
        </w:rPr>
      </w:pPr>
      <w:r>
        <w:rPr>
          <w:color w:val="939598"/>
          <w:w w:val="100"/>
          <w:sz w:val="16"/>
          <w:u w:val="single" w:color="939598"/>
        </w:rPr>
        <w:t> </w:t>
      </w:r>
      <w:r>
        <w:rPr>
          <w:color w:val="939598"/>
          <w:sz w:val="16"/>
          <w:u w:val="single" w:color="939598"/>
        </w:rPr>
        <w:tab/>
      </w:r>
      <w:r>
        <w:rPr>
          <w:color w:val="939598"/>
          <w:sz w:val="16"/>
        </w:rPr>
        <w:tab/>
        <w:t>Department of Finance Annual</w:t>
      </w:r>
      <w:r>
        <w:rPr>
          <w:color w:val="939598"/>
          <w:spacing w:val="-27"/>
          <w:sz w:val="16"/>
        </w:rPr>
        <w:t> </w:t>
      </w:r>
      <w:r>
        <w:rPr>
          <w:color w:val="939598"/>
          <w:sz w:val="16"/>
        </w:rPr>
        <w:t>Report</w:t>
      </w:r>
      <w:r>
        <w:rPr>
          <w:color w:val="939598"/>
          <w:spacing w:val="-7"/>
          <w:sz w:val="16"/>
        </w:rPr>
        <w:t> </w:t>
      </w:r>
      <w:r>
        <w:rPr>
          <w:color w:val="939598"/>
          <w:sz w:val="16"/>
        </w:rPr>
        <w:t>2016-17</w:t>
        <w:tab/>
      </w:r>
      <w:r>
        <w:rPr>
          <w:b/>
          <w:color w:val="6F2770"/>
          <w:sz w:val="16"/>
        </w:rPr>
        <w:t>9</w:t>
      </w:r>
    </w:p>
    <w:p>
      <w:pPr>
        <w:spacing w:after="0"/>
        <w:jc w:val="left"/>
        <w:rPr>
          <w:sz w:val="16"/>
        </w:rPr>
        <w:sectPr>
          <w:type w:val="continuous"/>
          <w:pgSz w:w="16840" w:h="11910" w:orient="landscape"/>
          <w:pgMar w:top="0" w:bottom="0" w:left="0" w:right="0"/>
        </w:sectPr>
      </w:pPr>
    </w:p>
    <w:p>
      <w:pPr>
        <w:pStyle w:val="BodyText"/>
        <w:rPr>
          <w:sz w:val="20"/>
        </w:rPr>
      </w:pPr>
      <w:r>
        <w:rPr>
          <w:sz w:val="20"/>
        </w:rPr>
        <w:pict>
          <v:group style="width:240.55pt;height:42.55pt;mso-position-horizontal-relative:char;mso-position-vertical-relative:line" coordorigin="0,0" coordsize="4811,851">
            <v:rect style="position:absolute;left:0;top:0;width:2406;height:851" filled="true" fillcolor="#aebd37" stroked="false">
              <v:fill type="solid"/>
            </v:rect>
            <v:shape style="position:absolute;left:0;top:0;width:2406;height:851" type="#_x0000_t202" filled="false"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shape style="position:absolute;left:2397;top:0;width:2414;height:851" type="#_x0000_t202" filled="true" fillcolor="#b6c247" stroked="false">
              <v:textbox inset="0,0,0,0">
                <w:txbxContent>
                  <w:p>
                    <w:pPr>
                      <w:spacing w:line="240" w:lineRule="auto" w:before="9"/>
                      <w:rPr>
                        <w:b/>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6"/>
        <w:rPr>
          <w:b/>
          <w:sz w:val="16"/>
        </w:rPr>
      </w:pPr>
    </w:p>
    <w:p>
      <w:pPr>
        <w:pStyle w:val="BodyText"/>
        <w:ind w:left="15253"/>
        <w:rPr>
          <w:sz w:val="20"/>
        </w:rPr>
      </w:pPr>
      <w:r>
        <w:rPr>
          <w:sz w:val="20"/>
        </w:rPr>
        <w:pict>
          <v:group style="width:61.1pt;height:45.2pt;mso-position-horizontal-relative:char;mso-position-vertical-relative:line" coordorigin="0,0" coordsize="1222,904">
            <v:shape style="position:absolute;left:160;top:0;width:900;height:904" coordorigin="161,0" coordsize="900,904" path="m611,0l161,450,161,453,611,903,1061,453,1061,450,611,0xe" filled="true" fillcolor="#c4cd71" stroked="false">
              <v:path arrowok="t"/>
              <v:fill type="solid"/>
            </v:shape>
            <v:shape style="position:absolute;left:159;top:449;width:2;height:4" coordorigin="159,450" coordsize="2,4" path="m161,450l159,452,161,453,161,450xe" filled="true" fillcolor="#b9c369" stroked="false">
              <v:path arrowok="t"/>
              <v:fill type="solid"/>
            </v:shape>
            <v:shape style="position:absolute;left:1060;top:450;width:2;height:4" coordorigin="1061,450" coordsize="2,4" path="m1061,450l1061,453,1062,452,1061,450xe" filled="true" fillcolor="#bec29e" stroked="false">
              <v:path arrowok="t"/>
              <v:fill type="solid"/>
            </v:shape>
            <v:shape style="position:absolute;left:0;top:290;width:161;height:322" type="#_x0000_t75" stroked="false">
              <v:imagedata r:id="rId16" o:title=""/>
            </v:shape>
            <v:shape style="position:absolute;left:1060;top:290;width:161;height:322" type="#_x0000_t75" stroked="false">
              <v:imagedata r:id="rId11" o:title=""/>
            </v:shape>
            <v:shape style="position:absolute;left:0;top:0;width:1222;height:904" type="#_x0000_t202" filled="false" stroked="false">
              <v:textbox inset="0,0,0,0">
                <w:txbxContent>
                  <w:p>
                    <w:pPr>
                      <w:spacing w:line="240" w:lineRule="auto" w:before="8"/>
                      <w:rPr>
                        <w:b/>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v:group>
        </w:pict>
      </w:r>
      <w:r>
        <w:rPr>
          <w:sz w:val="20"/>
        </w:rPr>
      </w:r>
    </w:p>
    <w:p>
      <w:pPr>
        <w:spacing w:after="0"/>
        <w:rPr>
          <w:sz w:val="20"/>
        </w:rPr>
        <w:sectPr>
          <w:footerReference w:type="default" r:id="rId59"/>
          <w:pgSz w:w="16840" w:h="11910" w:orient="landscape"/>
          <w:pgMar w:footer="0" w:header="0" w:top="0" w:bottom="0" w:left="0" w:right="0"/>
        </w:sectPr>
      </w:pPr>
    </w:p>
    <w:p>
      <w:pPr>
        <w:pStyle w:val="BodyText"/>
        <w:spacing w:line="249" w:lineRule="auto" w:before="32"/>
        <w:ind w:left="765" w:right="176"/>
      </w:pPr>
      <w:r>
        <w:rPr/>
        <w:pict>
          <v:group style="position:absolute;margin-left:240.541pt;margin-top:-100.818428pt;width:601.35pt;height:63.8pt;mso-position-horizontal-relative:page;mso-position-vertical-relative:paragraph;z-index:-808960" coordorigin="4811,-2016" coordsize="12027,1276">
            <v:shape style="position:absolute;left:11874;top:-1644;width:904;height:904" coordorigin="11875,-1644" coordsize="904,904" path="m12326,-1644l11875,-1192,12326,-741,12778,-1192,12326,-1644xe" filled="true" fillcolor="#c4cd71" stroked="false">
              <v:path arrowok="t"/>
              <v:fill opacity="45875f" type="solid"/>
            </v:shape>
            <v:shape style="position:absolute;left:10971;top:-1644;width:904;height:904" coordorigin="10971,-1644" coordsize="904,904" path="m11423,-1644l10971,-1192,11423,-741,11875,-1192,11423,-1644xe" filled="true" fillcolor="#8d5f8e" stroked="false">
              <v:path arrowok="t"/>
              <v:fill opacity="45875f" type="solid"/>
            </v:shape>
            <v:shape style="position:absolute;left:10068;top:-1644;width:904;height:904" coordorigin="10068,-1644" coordsize="904,904" path="m10520,-1644l10068,-1192,10520,-741,10971,-1192,10520,-1644xe" filled="true" fillcolor="#96ac7a" stroked="false">
              <v:path arrowok="t"/>
              <v:fill opacity="45875f" type="solid"/>
            </v:shape>
            <v:shape style="position:absolute;left:7078;top:-1644;width:904;height:904" coordorigin="7079,-1644" coordsize="904,904" path="m7530,-1644l7079,-1192,7530,-741,7982,-1192,7530,-1644xe" filled="true" fillcolor="#efeeeb" stroked="false">
              <v:path arrowok="t"/>
              <v:fill type="solid"/>
            </v:shape>
            <v:rect style="position:absolute;left:4810;top:-2017;width:2406;height:851" filled="true" fillcolor="#e6e7e8" stroked="false">
              <v:fill type="solid"/>
            </v:rect>
            <v:shape style="position:absolute;left:4810;top:-2017;width:583;height:583" type="#_x0000_t75" stroked="false">
              <v:imagedata r:id="rId51" o:title=""/>
            </v:shape>
            <v:rect style="position:absolute;left:7216;top:-2017;width:2406;height:851" filled="true" fillcolor="#c4cd71" stroked="false">
              <v:fill type="solid"/>
            </v:rect>
            <v:rect style="position:absolute;left:9621;top:-2017;width:2406;height:851" filled="true" fillcolor="#bec85c" stroked="false">
              <v:fill type="solid"/>
            </v:rect>
            <v:rect style="position:absolute;left:12026;top:-2017;width:2406;height:851" filled="true" fillcolor="#b6c247" stroked="false">
              <v:fill type="solid"/>
            </v:rect>
            <v:rect style="position:absolute;left:14432;top:-2017;width:2406;height:851" filled="true" fillcolor="#aebd37" stroked="false">
              <v:fill type="solid"/>
            </v:rect>
            <v:line style="position:absolute" from="16838,-2016" to="16838,-1166" stroked="true" strokeweight=".001pt" strokecolor="#aebd37">
              <v:stroke dashstyle="solid"/>
            </v:line>
            <v:shape style="position:absolute;left:15168;top:-1714;width:954;height:237" type="#_x0000_t202" filled="false" stroked="false">
              <v:textbox inset="0,0,0,0">
                <w:txbxContent>
                  <w:p>
                    <w:pPr>
                      <w:spacing w:before="6"/>
                      <w:ind w:left="0" w:right="0" w:firstLine="0"/>
                      <w:jc w:val="left"/>
                      <w:rPr>
                        <w:sz w:val="20"/>
                      </w:rPr>
                    </w:pPr>
                    <w:hyperlink w:history="true" w:anchor="_bookmark73">
                      <w:r>
                        <w:rPr>
                          <w:color w:val="FFFFFF"/>
                          <w:w w:val="90"/>
                          <w:sz w:val="20"/>
                        </w:rPr>
                        <w:t>APPENDIX</w:t>
                      </w:r>
                    </w:hyperlink>
                  </w:p>
                </w:txbxContent>
              </v:textbox>
              <w10:wrap type="none"/>
            </v:shape>
            <v:shape style="position:absolute;left:12026;top:-2017;width:2406;height:851" type="#_x0000_t202" filled="false"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2017;width:2406;height:851"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v:shape style="position:absolute;left:7216;top:-2017;width:2406;height:851" type="#_x0000_t202" filled="false"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w10:wrap type="none"/>
            </v:shape>
            <v:shape style="position:absolute;left:4810;top:-2017;width:2406;height:851"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w10:wrap type="none"/>
          </v:group>
        </w:pict>
      </w:r>
      <w:r>
        <w:rPr/>
        <w:t>Following the launch of the </w:t>
      </w:r>
      <w:r>
        <w:rPr>
          <w:spacing w:val="-4"/>
        </w:rPr>
        <w:t>State’s </w:t>
      </w:r>
      <w:r>
        <w:rPr/>
        <w:t>Information Communication </w:t>
      </w:r>
      <w:r>
        <w:rPr>
          <w:spacing w:val="-3"/>
        </w:rPr>
        <w:t>Technology </w:t>
      </w:r>
      <w:r>
        <w:rPr/>
        <w:t>(ICT) </w:t>
      </w:r>
      <w:r>
        <w:rPr>
          <w:spacing w:val="-3"/>
        </w:rPr>
        <w:t>strategy, </w:t>
      </w:r>
      <w:hyperlink r:id="rId60">
        <w:r>
          <w:rPr>
            <w:color w:val="A7BE39"/>
            <w:u w:val="single" w:color="A7BE39"/>
          </w:rPr>
          <w:t>Digital WA</w:t>
        </w:r>
      </w:hyperlink>
      <w:r>
        <w:rPr/>
        <w:t>, the Department of Finance has been</w:t>
      </w:r>
      <w:r>
        <w:rPr>
          <w:spacing w:val="-24"/>
        </w:rPr>
        <w:t> </w:t>
      </w:r>
      <w:r>
        <w:rPr/>
        <w:t>an</w:t>
      </w:r>
      <w:r>
        <w:rPr>
          <w:spacing w:val="-24"/>
        </w:rPr>
        <w:t> </w:t>
      </w:r>
      <w:r>
        <w:rPr/>
        <w:t>early</w:t>
      </w:r>
      <w:r>
        <w:rPr>
          <w:spacing w:val="-24"/>
        </w:rPr>
        <w:t> </w:t>
      </w:r>
      <w:r>
        <w:rPr/>
        <w:t>mover</w:t>
      </w:r>
      <w:r>
        <w:rPr>
          <w:spacing w:val="-24"/>
        </w:rPr>
        <w:t> </w:t>
      </w:r>
      <w:r>
        <w:rPr/>
        <w:t>to</w:t>
      </w:r>
      <w:r>
        <w:rPr>
          <w:spacing w:val="-24"/>
        </w:rPr>
        <w:t> </w:t>
      </w:r>
      <w:r>
        <w:rPr/>
        <w:t>strategically</w:t>
      </w:r>
      <w:r>
        <w:rPr>
          <w:spacing w:val="-24"/>
        </w:rPr>
        <w:t> </w:t>
      </w:r>
      <w:r>
        <w:rPr/>
        <w:t>align</w:t>
      </w:r>
      <w:r>
        <w:rPr>
          <w:spacing w:val="-24"/>
        </w:rPr>
        <w:t> </w:t>
      </w:r>
      <w:r>
        <w:rPr/>
        <w:t>its</w:t>
      </w:r>
      <w:r>
        <w:rPr>
          <w:spacing w:val="-23"/>
        </w:rPr>
        <w:t> </w:t>
      </w:r>
      <w:r>
        <w:rPr>
          <w:spacing w:val="-6"/>
        </w:rPr>
        <w:t>ICT</w:t>
      </w:r>
    </w:p>
    <w:p>
      <w:pPr>
        <w:pStyle w:val="BodyText"/>
        <w:spacing w:line="249" w:lineRule="auto" w:before="4"/>
        <w:ind w:left="765" w:right="71"/>
      </w:pPr>
      <w:r>
        <w:rPr/>
        <w:t>services</w:t>
      </w:r>
      <w:r>
        <w:rPr>
          <w:spacing w:val="-12"/>
        </w:rPr>
        <w:t> </w:t>
      </w:r>
      <w:r>
        <w:rPr/>
        <w:t>to</w:t>
      </w:r>
      <w:r>
        <w:rPr>
          <w:spacing w:val="-12"/>
        </w:rPr>
        <w:t> </w:t>
      </w:r>
      <w:r>
        <w:rPr/>
        <w:t>this</w:t>
      </w:r>
      <w:r>
        <w:rPr>
          <w:spacing w:val="-12"/>
        </w:rPr>
        <w:t> </w:t>
      </w:r>
      <w:r>
        <w:rPr/>
        <w:t>new</w:t>
      </w:r>
      <w:r>
        <w:rPr>
          <w:spacing w:val="-12"/>
        </w:rPr>
        <w:t> </w:t>
      </w:r>
      <w:r>
        <w:rPr/>
        <w:t>vision.</w:t>
      </w:r>
      <w:r>
        <w:rPr>
          <w:spacing w:val="-12"/>
        </w:rPr>
        <w:t> </w:t>
      </w:r>
      <w:r>
        <w:rPr>
          <w:b/>
        </w:rPr>
        <w:t>Corporate</w:t>
      </w:r>
      <w:r>
        <w:rPr>
          <w:b/>
          <w:spacing w:val="-12"/>
        </w:rPr>
        <w:t> </w:t>
      </w:r>
      <w:r>
        <w:rPr>
          <w:b/>
          <w:spacing w:val="-3"/>
        </w:rPr>
        <w:t>Services </w:t>
      </w:r>
      <w:r>
        <w:rPr/>
        <w:t>has</w:t>
      </w:r>
      <w:r>
        <w:rPr>
          <w:spacing w:val="-22"/>
        </w:rPr>
        <w:t> </w:t>
      </w:r>
      <w:r>
        <w:rPr/>
        <w:t>commenced</w:t>
      </w:r>
      <w:r>
        <w:rPr>
          <w:spacing w:val="-21"/>
        </w:rPr>
        <w:t> </w:t>
      </w:r>
      <w:r>
        <w:rPr/>
        <w:t>the</w:t>
      </w:r>
      <w:r>
        <w:rPr>
          <w:spacing w:val="-21"/>
        </w:rPr>
        <w:t> </w:t>
      </w:r>
      <w:r>
        <w:rPr/>
        <w:t>transition,</w:t>
      </w:r>
      <w:r>
        <w:rPr>
          <w:spacing w:val="-21"/>
        </w:rPr>
        <w:t> </w:t>
      </w:r>
      <w:r>
        <w:rPr/>
        <w:t>which</w:t>
      </w:r>
      <w:r>
        <w:rPr>
          <w:spacing w:val="-21"/>
        </w:rPr>
        <w:t> </w:t>
      </w:r>
      <w:r>
        <w:rPr/>
        <w:t>will</w:t>
      </w:r>
      <w:r>
        <w:rPr>
          <w:spacing w:val="-22"/>
        </w:rPr>
        <w:t> </w:t>
      </w:r>
      <w:r>
        <w:rPr/>
        <w:t>ensure the</w:t>
      </w:r>
      <w:r>
        <w:rPr>
          <w:spacing w:val="-28"/>
        </w:rPr>
        <w:t> </w:t>
      </w:r>
      <w:r>
        <w:rPr/>
        <w:t>Department</w:t>
      </w:r>
      <w:r>
        <w:rPr>
          <w:spacing w:val="-28"/>
        </w:rPr>
        <w:t> </w:t>
      </w:r>
      <w:r>
        <w:rPr/>
        <w:t>of</w:t>
      </w:r>
      <w:r>
        <w:rPr>
          <w:spacing w:val="-28"/>
        </w:rPr>
        <w:t> </w:t>
      </w:r>
      <w:r>
        <w:rPr/>
        <w:t>Finance</w:t>
      </w:r>
      <w:r>
        <w:rPr>
          <w:spacing w:val="-27"/>
        </w:rPr>
        <w:t> </w:t>
      </w:r>
      <w:r>
        <w:rPr/>
        <w:t>can</w:t>
      </w:r>
      <w:r>
        <w:rPr>
          <w:spacing w:val="-28"/>
        </w:rPr>
        <w:t> </w:t>
      </w:r>
      <w:r>
        <w:rPr/>
        <w:t>realise</w:t>
      </w:r>
      <w:r>
        <w:rPr>
          <w:spacing w:val="-28"/>
        </w:rPr>
        <w:t> </w:t>
      </w:r>
      <w:r>
        <w:rPr/>
        <w:t>enhanced value through better service delivery outcomes and lower</w:t>
      </w:r>
      <w:r>
        <w:rPr>
          <w:spacing w:val="-1"/>
        </w:rPr>
        <w:t> </w:t>
      </w:r>
      <w:r>
        <w:rPr/>
        <w:t>cost.</w:t>
      </w:r>
    </w:p>
    <w:p>
      <w:pPr>
        <w:pStyle w:val="BodyText"/>
        <w:spacing w:before="4"/>
        <w:rPr>
          <w:sz w:val="23"/>
        </w:rPr>
      </w:pPr>
    </w:p>
    <w:p>
      <w:pPr>
        <w:pStyle w:val="BodyText"/>
        <w:spacing w:line="249" w:lineRule="auto"/>
        <w:ind w:left="765" w:right="-8"/>
      </w:pPr>
      <w:r>
        <w:rPr/>
        <w:t>This</w:t>
      </w:r>
      <w:r>
        <w:rPr>
          <w:spacing w:val="-27"/>
        </w:rPr>
        <w:t> </w:t>
      </w:r>
      <w:r>
        <w:rPr/>
        <w:t>realignment</w:t>
      </w:r>
      <w:r>
        <w:rPr>
          <w:spacing w:val="-27"/>
        </w:rPr>
        <w:t> </w:t>
      </w:r>
      <w:r>
        <w:rPr/>
        <w:t>of</w:t>
      </w:r>
      <w:r>
        <w:rPr>
          <w:spacing w:val="-26"/>
        </w:rPr>
        <w:t> </w:t>
      </w:r>
      <w:r>
        <w:rPr/>
        <w:t>the</w:t>
      </w:r>
      <w:r>
        <w:rPr>
          <w:spacing w:val="-27"/>
        </w:rPr>
        <w:t> </w:t>
      </w:r>
      <w:r>
        <w:rPr>
          <w:spacing w:val="-3"/>
        </w:rPr>
        <w:t>Department’s</w:t>
      </w:r>
      <w:r>
        <w:rPr>
          <w:spacing w:val="-26"/>
        </w:rPr>
        <w:t> </w:t>
      </w:r>
      <w:r>
        <w:rPr/>
        <w:t>ICT</w:t>
      </w:r>
      <w:r>
        <w:rPr>
          <w:spacing w:val="-27"/>
        </w:rPr>
        <w:t> </w:t>
      </w:r>
      <w:r>
        <w:rPr>
          <w:spacing w:val="-3"/>
        </w:rPr>
        <w:t>services </w:t>
      </w:r>
      <w:r>
        <w:rPr/>
        <w:t>will empower our business through a secure, reliable and scalable on-demand consumption based ICT service model, enabling Finance to achieve its strategic objectives while delivering ongoing efficiencies and</w:t>
      </w:r>
      <w:r>
        <w:rPr>
          <w:spacing w:val="-13"/>
        </w:rPr>
        <w:t> </w:t>
      </w:r>
      <w:r>
        <w:rPr/>
        <w:t>savings.</w:t>
      </w:r>
    </w:p>
    <w:p>
      <w:pPr>
        <w:pStyle w:val="BodyText"/>
        <w:spacing w:before="5"/>
        <w:rPr>
          <w:sz w:val="23"/>
        </w:rPr>
      </w:pPr>
    </w:p>
    <w:p>
      <w:pPr>
        <w:pStyle w:val="BodyText"/>
        <w:spacing w:line="249" w:lineRule="auto"/>
        <w:ind w:left="765" w:right="-8"/>
      </w:pPr>
      <w:r>
        <w:rPr/>
        <w:t>As</w:t>
      </w:r>
      <w:r>
        <w:rPr>
          <w:spacing w:val="-27"/>
        </w:rPr>
        <w:t> </w:t>
      </w:r>
      <w:r>
        <w:rPr/>
        <w:t>a</w:t>
      </w:r>
      <w:r>
        <w:rPr>
          <w:spacing w:val="-27"/>
        </w:rPr>
        <w:t> </w:t>
      </w:r>
      <w:r>
        <w:rPr/>
        <w:t>central</w:t>
      </w:r>
      <w:r>
        <w:rPr>
          <w:spacing w:val="-26"/>
        </w:rPr>
        <w:t> </w:t>
      </w:r>
      <w:r>
        <w:rPr/>
        <w:t>department</w:t>
      </w:r>
      <w:r>
        <w:rPr>
          <w:spacing w:val="-27"/>
        </w:rPr>
        <w:t> </w:t>
      </w:r>
      <w:r>
        <w:rPr/>
        <w:t>servicing</w:t>
      </w:r>
      <w:r>
        <w:rPr>
          <w:spacing w:val="-27"/>
        </w:rPr>
        <w:t> </w:t>
      </w:r>
      <w:r>
        <w:rPr/>
        <w:t>other</w:t>
      </w:r>
      <w:r>
        <w:rPr>
          <w:spacing w:val="-26"/>
        </w:rPr>
        <w:t> </w:t>
      </w:r>
      <w:r>
        <w:rPr/>
        <w:t>agencies, the Department of Finance is well placed to demonstrate</w:t>
      </w:r>
      <w:r>
        <w:rPr>
          <w:spacing w:val="-11"/>
        </w:rPr>
        <w:t> </w:t>
      </w:r>
      <w:r>
        <w:rPr/>
        <w:t>the</w:t>
      </w:r>
      <w:r>
        <w:rPr>
          <w:spacing w:val="-10"/>
        </w:rPr>
        <w:t> </w:t>
      </w:r>
      <w:r>
        <w:rPr/>
        <w:t>savings</w:t>
      </w:r>
      <w:r>
        <w:rPr>
          <w:spacing w:val="-10"/>
        </w:rPr>
        <w:t> </w:t>
      </w:r>
      <w:r>
        <w:rPr/>
        <w:t>that</w:t>
      </w:r>
      <w:r>
        <w:rPr>
          <w:spacing w:val="-11"/>
        </w:rPr>
        <w:t> </w:t>
      </w:r>
      <w:r>
        <w:rPr/>
        <w:t>can</w:t>
      </w:r>
      <w:r>
        <w:rPr>
          <w:spacing w:val="-10"/>
        </w:rPr>
        <w:t> </w:t>
      </w:r>
      <w:r>
        <w:rPr/>
        <w:t>be</w:t>
      </w:r>
      <w:r>
        <w:rPr>
          <w:spacing w:val="-10"/>
        </w:rPr>
        <w:t> </w:t>
      </w:r>
      <w:r>
        <w:rPr/>
        <w:t>realised</w:t>
      </w:r>
    </w:p>
    <w:p>
      <w:pPr>
        <w:pStyle w:val="BodyText"/>
        <w:spacing w:line="249" w:lineRule="auto" w:before="3"/>
        <w:ind w:left="765" w:right="40"/>
      </w:pPr>
      <w:r>
        <w:rPr/>
        <w:t>by adopting the Digital WA </w:t>
      </w:r>
      <w:r>
        <w:rPr>
          <w:spacing w:val="-3"/>
        </w:rPr>
        <w:t>strategy, </w:t>
      </w:r>
      <w:r>
        <w:rPr/>
        <w:t>as well as showcase what is possible by transforming the way</w:t>
      </w:r>
      <w:r>
        <w:rPr>
          <w:spacing w:val="-20"/>
        </w:rPr>
        <w:t> </w:t>
      </w:r>
      <w:r>
        <w:rPr/>
        <w:t>public</w:t>
      </w:r>
      <w:r>
        <w:rPr>
          <w:spacing w:val="-19"/>
        </w:rPr>
        <w:t> </w:t>
      </w:r>
      <w:r>
        <w:rPr/>
        <w:t>services</w:t>
      </w:r>
      <w:r>
        <w:rPr>
          <w:spacing w:val="-20"/>
        </w:rPr>
        <w:t> </w:t>
      </w:r>
      <w:r>
        <w:rPr/>
        <w:t>are</w:t>
      </w:r>
      <w:r>
        <w:rPr>
          <w:spacing w:val="-19"/>
        </w:rPr>
        <w:t> </w:t>
      </w:r>
      <w:r>
        <w:rPr/>
        <w:t>designed,</w:t>
      </w:r>
      <w:r>
        <w:rPr>
          <w:spacing w:val="-19"/>
        </w:rPr>
        <w:t> </w:t>
      </w:r>
      <w:r>
        <w:rPr/>
        <w:t>supported</w:t>
      </w:r>
      <w:r>
        <w:rPr>
          <w:spacing w:val="-20"/>
        </w:rPr>
        <w:t> </w:t>
      </w:r>
      <w:r>
        <w:rPr>
          <w:spacing w:val="-6"/>
        </w:rPr>
        <w:t>and </w:t>
      </w:r>
      <w:r>
        <w:rPr/>
        <w:t>delivered to the</w:t>
      </w:r>
      <w:r>
        <w:rPr>
          <w:spacing w:val="-6"/>
        </w:rPr>
        <w:t> </w:t>
      </w:r>
      <w:r>
        <w:rPr>
          <w:spacing w:val="-3"/>
        </w:rPr>
        <w:t>community.</w:t>
      </w:r>
    </w:p>
    <w:p>
      <w:pPr>
        <w:pStyle w:val="BodyText"/>
        <w:spacing w:line="249" w:lineRule="auto" w:before="32"/>
        <w:ind w:left="522" w:right="115"/>
      </w:pPr>
      <w:r>
        <w:rPr/>
        <w:br w:type="column"/>
      </w:r>
      <w:r>
        <w:rPr/>
        <w:t>Ensuring all taxpayers meet their taxation obligations</w:t>
      </w:r>
      <w:r>
        <w:rPr>
          <w:spacing w:val="-22"/>
        </w:rPr>
        <w:t> </w:t>
      </w:r>
      <w:r>
        <w:rPr/>
        <w:t>is</w:t>
      </w:r>
      <w:r>
        <w:rPr>
          <w:spacing w:val="-22"/>
        </w:rPr>
        <w:t> </w:t>
      </w:r>
      <w:r>
        <w:rPr/>
        <w:t>vital</w:t>
      </w:r>
      <w:r>
        <w:rPr>
          <w:spacing w:val="-22"/>
        </w:rPr>
        <w:t> </w:t>
      </w:r>
      <w:r>
        <w:rPr/>
        <w:t>to</w:t>
      </w:r>
      <w:r>
        <w:rPr>
          <w:spacing w:val="-22"/>
        </w:rPr>
        <w:t> </w:t>
      </w:r>
      <w:r>
        <w:rPr/>
        <w:t>an</w:t>
      </w:r>
      <w:r>
        <w:rPr>
          <w:spacing w:val="-22"/>
        </w:rPr>
        <w:t> </w:t>
      </w:r>
      <w:r>
        <w:rPr/>
        <w:t>efficient</w:t>
      </w:r>
      <w:r>
        <w:rPr>
          <w:spacing w:val="-22"/>
        </w:rPr>
        <w:t> </w:t>
      </w:r>
      <w:r>
        <w:rPr/>
        <w:t>and</w:t>
      </w:r>
      <w:r>
        <w:rPr>
          <w:spacing w:val="-22"/>
        </w:rPr>
        <w:t> </w:t>
      </w:r>
      <w:r>
        <w:rPr/>
        <w:t>effective</w:t>
      </w:r>
      <w:r>
        <w:rPr>
          <w:spacing w:val="-22"/>
        </w:rPr>
        <w:t> </w:t>
      </w:r>
      <w:r>
        <w:rPr/>
        <w:t>tax system. </w:t>
      </w:r>
      <w:r>
        <w:rPr>
          <w:b/>
        </w:rPr>
        <w:t>State Revenue </w:t>
      </w:r>
      <w:r>
        <w:rPr/>
        <w:t>continues its efforts to identify</w:t>
      </w:r>
      <w:r>
        <w:rPr>
          <w:spacing w:val="-17"/>
        </w:rPr>
        <w:t> </w:t>
      </w:r>
      <w:r>
        <w:rPr/>
        <w:t>taxpayers</w:t>
      </w:r>
      <w:r>
        <w:rPr>
          <w:spacing w:val="-16"/>
        </w:rPr>
        <w:t> </w:t>
      </w:r>
      <w:r>
        <w:rPr/>
        <w:t>who</w:t>
      </w:r>
      <w:r>
        <w:rPr>
          <w:spacing w:val="-16"/>
        </w:rPr>
        <w:t> </w:t>
      </w:r>
      <w:r>
        <w:rPr/>
        <w:t>do</w:t>
      </w:r>
      <w:r>
        <w:rPr>
          <w:spacing w:val="-16"/>
        </w:rPr>
        <w:t> </w:t>
      </w:r>
      <w:r>
        <w:rPr/>
        <w:t>not</w:t>
      </w:r>
      <w:r>
        <w:rPr>
          <w:spacing w:val="-16"/>
        </w:rPr>
        <w:t> </w:t>
      </w:r>
      <w:r>
        <w:rPr/>
        <w:t>meet</w:t>
      </w:r>
      <w:r>
        <w:rPr>
          <w:spacing w:val="-16"/>
        </w:rPr>
        <w:t> </w:t>
      </w:r>
      <w:r>
        <w:rPr/>
        <w:t>their</w:t>
      </w:r>
      <w:r>
        <w:rPr>
          <w:spacing w:val="-16"/>
        </w:rPr>
        <w:t> </w:t>
      </w:r>
      <w:r>
        <w:rPr>
          <w:spacing w:val="-3"/>
        </w:rPr>
        <w:t>taxation </w:t>
      </w:r>
      <w:r>
        <w:rPr/>
        <w:t>obligations,</w:t>
      </w:r>
      <w:r>
        <w:rPr>
          <w:spacing w:val="-24"/>
        </w:rPr>
        <w:t> </w:t>
      </w:r>
      <w:r>
        <w:rPr/>
        <w:t>including</w:t>
      </w:r>
      <w:r>
        <w:rPr>
          <w:spacing w:val="-23"/>
        </w:rPr>
        <w:t> </w:t>
      </w:r>
      <w:r>
        <w:rPr/>
        <w:t>an</w:t>
      </w:r>
      <w:r>
        <w:rPr>
          <w:spacing w:val="-24"/>
        </w:rPr>
        <w:t> </w:t>
      </w:r>
      <w:r>
        <w:rPr/>
        <w:t>increased</w:t>
      </w:r>
      <w:r>
        <w:rPr>
          <w:spacing w:val="-23"/>
        </w:rPr>
        <w:t> </w:t>
      </w:r>
      <w:r>
        <w:rPr/>
        <w:t>focus</w:t>
      </w:r>
      <w:r>
        <w:rPr>
          <w:spacing w:val="-24"/>
        </w:rPr>
        <w:t> </w:t>
      </w:r>
      <w:r>
        <w:rPr/>
        <w:t>on</w:t>
      </w:r>
      <w:r>
        <w:rPr>
          <w:spacing w:val="-23"/>
        </w:rPr>
        <w:t> </w:t>
      </w:r>
      <w:r>
        <w:rPr/>
        <w:t>high risk</w:t>
      </w:r>
      <w:r>
        <w:rPr>
          <w:spacing w:val="-20"/>
        </w:rPr>
        <w:t> </w:t>
      </w:r>
      <w:r>
        <w:rPr/>
        <w:t>areas</w:t>
      </w:r>
      <w:r>
        <w:rPr>
          <w:spacing w:val="-19"/>
        </w:rPr>
        <w:t> </w:t>
      </w:r>
      <w:r>
        <w:rPr/>
        <w:t>within</w:t>
      </w:r>
      <w:r>
        <w:rPr>
          <w:spacing w:val="-19"/>
        </w:rPr>
        <w:t> </w:t>
      </w:r>
      <w:r>
        <w:rPr/>
        <w:t>the</w:t>
      </w:r>
      <w:r>
        <w:rPr>
          <w:spacing w:val="-20"/>
        </w:rPr>
        <w:t> </w:t>
      </w:r>
      <w:r>
        <w:rPr/>
        <w:t>labour</w:t>
      </w:r>
      <w:r>
        <w:rPr>
          <w:spacing w:val="-19"/>
        </w:rPr>
        <w:t> </w:t>
      </w:r>
      <w:r>
        <w:rPr/>
        <w:t>hire</w:t>
      </w:r>
      <w:r>
        <w:rPr>
          <w:spacing w:val="-19"/>
        </w:rPr>
        <w:t> </w:t>
      </w:r>
      <w:r>
        <w:rPr/>
        <w:t>and</w:t>
      </w:r>
      <w:r>
        <w:rPr>
          <w:spacing w:val="-19"/>
        </w:rPr>
        <w:t> </w:t>
      </w:r>
      <w:r>
        <w:rPr/>
        <w:t>building</w:t>
      </w:r>
      <w:r>
        <w:rPr>
          <w:spacing w:val="-20"/>
        </w:rPr>
        <w:t> </w:t>
      </w:r>
      <w:r>
        <w:rPr/>
        <w:t>and construction</w:t>
      </w:r>
      <w:r>
        <w:rPr>
          <w:spacing w:val="-2"/>
        </w:rPr>
        <w:t> </w:t>
      </w:r>
      <w:r>
        <w:rPr/>
        <w:t>industries.</w:t>
      </w:r>
    </w:p>
    <w:p>
      <w:pPr>
        <w:pStyle w:val="BodyText"/>
        <w:spacing w:before="6"/>
        <w:rPr>
          <w:sz w:val="23"/>
        </w:rPr>
      </w:pPr>
    </w:p>
    <w:p>
      <w:pPr>
        <w:pStyle w:val="BodyText"/>
        <w:spacing w:line="249" w:lineRule="auto"/>
        <w:ind w:left="522" w:right="334"/>
      </w:pPr>
      <w:r>
        <w:rPr/>
        <w:t>Recent</w:t>
      </w:r>
      <w:r>
        <w:rPr>
          <w:spacing w:val="-35"/>
        </w:rPr>
        <w:t> </w:t>
      </w:r>
      <w:r>
        <w:rPr/>
        <w:t>enhancements</w:t>
      </w:r>
      <w:r>
        <w:rPr>
          <w:spacing w:val="-35"/>
        </w:rPr>
        <w:t> </w:t>
      </w:r>
      <w:r>
        <w:rPr/>
        <w:t>to</w:t>
      </w:r>
      <w:r>
        <w:rPr>
          <w:spacing w:val="-35"/>
        </w:rPr>
        <w:t> </w:t>
      </w:r>
      <w:r>
        <w:rPr/>
        <w:t>business</w:t>
      </w:r>
      <w:r>
        <w:rPr>
          <w:spacing w:val="-35"/>
        </w:rPr>
        <w:t> </w:t>
      </w:r>
      <w:r>
        <w:rPr>
          <w:spacing w:val="-2"/>
        </w:rPr>
        <w:t>intelligence </w:t>
      </w:r>
      <w:r>
        <w:rPr/>
        <w:t>functionality</w:t>
      </w:r>
      <w:r>
        <w:rPr>
          <w:spacing w:val="-26"/>
        </w:rPr>
        <w:t> </w:t>
      </w:r>
      <w:r>
        <w:rPr/>
        <w:t>has</w:t>
      </w:r>
      <w:r>
        <w:rPr>
          <w:spacing w:val="-25"/>
        </w:rPr>
        <w:t> </w:t>
      </w:r>
      <w:r>
        <w:rPr/>
        <w:t>provided</w:t>
      </w:r>
      <w:r>
        <w:rPr>
          <w:spacing w:val="-25"/>
        </w:rPr>
        <w:t> </w:t>
      </w:r>
      <w:r>
        <w:rPr/>
        <w:t>improved</w:t>
      </w:r>
      <w:r>
        <w:rPr>
          <w:spacing w:val="-25"/>
        </w:rPr>
        <w:t> </w:t>
      </w:r>
      <w:r>
        <w:rPr/>
        <w:t>capability for</w:t>
      </w:r>
      <w:r>
        <w:rPr>
          <w:spacing w:val="-12"/>
        </w:rPr>
        <w:t> </w:t>
      </w:r>
      <w:r>
        <w:rPr/>
        <w:t>identifying</w:t>
      </w:r>
      <w:r>
        <w:rPr>
          <w:spacing w:val="-11"/>
        </w:rPr>
        <w:t> </w:t>
      </w:r>
      <w:r>
        <w:rPr/>
        <w:t>tax</w:t>
      </w:r>
      <w:r>
        <w:rPr>
          <w:spacing w:val="-11"/>
        </w:rPr>
        <w:t> </w:t>
      </w:r>
      <w:r>
        <w:rPr/>
        <w:t>avoidance</w:t>
      </w:r>
      <w:r>
        <w:rPr>
          <w:spacing w:val="-12"/>
        </w:rPr>
        <w:t> </w:t>
      </w:r>
      <w:r>
        <w:rPr/>
        <w:t>and</w:t>
      </w:r>
      <w:r>
        <w:rPr>
          <w:spacing w:val="-11"/>
        </w:rPr>
        <w:t> </w:t>
      </w:r>
      <w:r>
        <w:rPr/>
        <w:t>evasion.</w:t>
      </w:r>
    </w:p>
    <w:p>
      <w:pPr>
        <w:pStyle w:val="BodyText"/>
        <w:spacing w:line="249" w:lineRule="auto" w:before="3"/>
        <w:ind w:left="522" w:right="445"/>
      </w:pPr>
      <w:r>
        <w:rPr/>
        <w:t>This system uses data obtained through collaboration with other Commonwealth </w:t>
      </w:r>
      <w:r>
        <w:rPr>
          <w:spacing w:val="-6"/>
        </w:rPr>
        <w:t>and </w:t>
      </w:r>
      <w:r>
        <w:rPr/>
        <w:t>State agencies, including interjurisdictional</w:t>
      </w:r>
    </w:p>
    <w:p>
      <w:pPr>
        <w:pStyle w:val="BodyText"/>
        <w:spacing w:line="249" w:lineRule="auto" w:before="3"/>
        <w:ind w:left="522" w:right="138"/>
      </w:pPr>
      <w:r>
        <w:rPr/>
        <w:t>State</w:t>
      </w:r>
      <w:r>
        <w:rPr>
          <w:spacing w:val="-31"/>
        </w:rPr>
        <w:t> </w:t>
      </w:r>
      <w:r>
        <w:rPr/>
        <w:t>revenue</w:t>
      </w:r>
      <w:r>
        <w:rPr>
          <w:spacing w:val="-30"/>
        </w:rPr>
        <w:t> </w:t>
      </w:r>
      <w:r>
        <w:rPr/>
        <w:t>offices</w:t>
      </w:r>
      <w:r>
        <w:rPr>
          <w:spacing w:val="-30"/>
        </w:rPr>
        <w:t> </w:t>
      </w:r>
      <w:r>
        <w:rPr/>
        <w:t>and</w:t>
      </w:r>
      <w:r>
        <w:rPr>
          <w:spacing w:val="-30"/>
        </w:rPr>
        <w:t> </w:t>
      </w:r>
      <w:r>
        <w:rPr/>
        <w:t>the</w:t>
      </w:r>
      <w:r>
        <w:rPr>
          <w:spacing w:val="-30"/>
        </w:rPr>
        <w:t> </w:t>
      </w:r>
      <w:r>
        <w:rPr/>
        <w:t>Australian</w:t>
      </w:r>
      <w:r>
        <w:rPr>
          <w:spacing w:val="-30"/>
        </w:rPr>
        <w:t> </w:t>
      </w:r>
      <w:r>
        <w:rPr>
          <w:spacing w:val="-7"/>
        </w:rPr>
        <w:t>Taxation </w:t>
      </w:r>
      <w:r>
        <w:rPr/>
        <w:t>Office. State Revenue also continues</w:t>
      </w:r>
      <w:r>
        <w:rPr>
          <w:spacing w:val="-38"/>
        </w:rPr>
        <w:t> </w:t>
      </w:r>
      <w:r>
        <w:rPr/>
        <w:t>to</w:t>
      </w:r>
    </w:p>
    <w:p>
      <w:pPr>
        <w:pStyle w:val="BodyText"/>
        <w:spacing w:line="249" w:lineRule="auto" w:before="2"/>
        <w:ind w:left="522" w:right="82"/>
      </w:pPr>
      <w:r>
        <w:rPr/>
        <w:t>engage with the Federal Phoenix and Black Economy</w:t>
      </w:r>
      <w:r>
        <w:rPr>
          <w:spacing w:val="-28"/>
        </w:rPr>
        <w:t> </w:t>
      </w:r>
      <w:r>
        <w:rPr>
          <w:spacing w:val="-3"/>
        </w:rPr>
        <w:t>Taskforces</w:t>
      </w:r>
      <w:r>
        <w:rPr>
          <w:spacing w:val="-27"/>
        </w:rPr>
        <w:t> </w:t>
      </w:r>
      <w:r>
        <w:rPr/>
        <w:t>to</w:t>
      </w:r>
      <w:r>
        <w:rPr>
          <w:spacing w:val="-28"/>
        </w:rPr>
        <w:t> </w:t>
      </w:r>
      <w:r>
        <w:rPr/>
        <w:t>help</w:t>
      </w:r>
      <w:r>
        <w:rPr>
          <w:spacing w:val="-27"/>
        </w:rPr>
        <w:t> </w:t>
      </w:r>
      <w:r>
        <w:rPr/>
        <w:t>improve</w:t>
      </w:r>
      <w:r>
        <w:rPr>
          <w:spacing w:val="-28"/>
        </w:rPr>
        <w:t> </w:t>
      </w:r>
      <w:r>
        <w:rPr/>
        <w:t>compliance with existing laws and develop strategies to address deliberate tax</w:t>
      </w:r>
      <w:r>
        <w:rPr>
          <w:spacing w:val="-12"/>
        </w:rPr>
        <w:t> </w:t>
      </w:r>
      <w:r>
        <w:rPr/>
        <w:t>evasion.</w:t>
      </w:r>
    </w:p>
    <w:p>
      <w:pPr>
        <w:pStyle w:val="BodyText"/>
        <w:spacing w:before="2"/>
        <w:rPr>
          <w:sz w:val="23"/>
        </w:rPr>
      </w:pPr>
    </w:p>
    <w:p>
      <w:pPr>
        <w:pStyle w:val="BodyText"/>
        <w:spacing w:line="249" w:lineRule="auto" w:before="1"/>
        <w:ind w:left="522" w:right="451"/>
      </w:pPr>
      <w:r>
        <w:rPr/>
        <w:pict>
          <v:group style="position:absolute;margin-left:.0001pt;margin-top:58.203678pt;width:333.55pt;height:157.550pt;mso-position-horizontal-relative:page;mso-position-vertical-relative:paragraph;z-index:-809128" coordorigin="0,1164" coordsize="6671,3151">
            <v:shape style="position:absolute;left:3491;top:1455;width:317;height:292" type="#_x0000_t75" stroked="false">
              <v:imagedata r:id="rId61" o:title=""/>
            </v:shape>
            <v:shape style="position:absolute;left:987;top:1644;width:2821;height:2670" coordorigin="988,1645" coordsize="2821,2670" path="m3809,4011l3283,4314,3308,4314,3809,4025,3809,4011m3809,3916l3119,4314,3144,4314,3809,3930,3809,3916m3809,3821l2955,4314,2980,4314,3809,3836,3809,3821m3809,3727l2791,4314,2816,4314,3809,3741,3809,3727m3809,3632l2627,4314,2652,4314,3809,3646,3809,3632m3809,3443l2299,4314,2324,4314,3809,3457,3809,3443m3809,3348l2135,4314,2160,4314,3809,3362,3809,3348m3809,3159l1807,4314,1832,4314,3809,3173,3809,3159m3809,2875l1316,4314,1341,4314,3809,2889,3809,2875m3809,2591l1063,4176,1029,4210,3809,2605,3809,2591m3809,2402l1511,3728,1477,3762,3809,2416,3809,2402m3809,2212l1959,3281,1924,3315,3809,2227,3809,2212m3809,1739l3078,2161,3044,2195,3809,1754,3809,1739m3809,3537l2463,4314,2488,4314,3809,3552,3809,3537m3809,3253l1971,4314,1996,4314,3809,3268,3809,3253m3809,3064l1643,4314,1669,4314,3809,3079,3809,3064m3809,2969l1480,4314,1505,4314,3809,2984,3809,2969m3809,2780l1152,4314,1177,4314,3809,2795,3809,2780m3809,2686l988,4314,1013,4314,3809,2700,3809,2686m3809,2496l1287,3952,1253,3986,3809,2511,3809,2496m3809,2307l1735,3504,1701,3539,3809,2321,3809,2307m3809,2118l2182,3057,2148,3091,3809,2132,3809,2118m3809,2023l2406,2833,2372,2867,3809,2038,3809,2023m3809,1928l2630,2609,2596,2643,3809,1943,3809,1928m3809,1834l2854,2385,2820,2419,3809,1848,3809,1834m3809,1645l3302,1937,3268,1971,3809,1659,3809,1645e" filled="true" fillcolor="#cdcccd" stroked="false">
              <v:path arrowok="t"/>
              <v:fill opacity="32768f" type="solid"/>
            </v:shape>
            <v:shape style="position:absolute;left:3446;top:4105;width:362;height:209" type="#_x0000_t75" stroked="false">
              <v:imagedata r:id="rId62" o:title=""/>
            </v:shape>
            <v:shape style="position:absolute;left:3808;top:1468;width:42;height:28" coordorigin="3809,1468" coordsize="42,28" path="m3846,1468l3809,1490,3809,1496,3850,1472,3846,1468xe" filled="true" fillcolor="#cdcccd" stroked="false">
              <v:path arrowok="t"/>
              <v:fill opacity="32768f" type="solid"/>
            </v:shape>
            <v:shape style="position:absolute;left:3808;top:1528;width:342;height:441" type="#_x0000_t75" stroked="false">
              <v:imagedata r:id="rId63" o:title=""/>
            </v:shape>
            <v:shape style="position:absolute;left:3808;top:1828;width:2622;height:2487" coordorigin="3809,1828" coordsize="2622,2487" path="m4210,1832l4206,1828,3809,2058,3809,2063,4210,1832m4270,1892l4266,1888,3809,2152,3809,2158,4270,1892m4330,1952l4326,1948,3809,2247,3809,2253,4330,1952m4390,2012l4386,2008,3809,2342,3809,2347,4390,2012m4450,2072l4446,2068,3809,2436,3809,2442,4450,2072m4510,2132l4506,2128,3809,2531,3809,2537,4510,2132m4570,2192l4566,2188,3809,2625,3809,2631,4570,2192m4630,2252l4626,2248,3809,2720,3809,2726,4630,2252m4690,2312l4686,2308,3809,2815,3809,2821,4690,2312m4750,2372l4746,2368,3809,2909,3809,2915,4750,2372m4810,2432l4806,2428,3809,3004,3809,3010,4810,2432m4870,2492l4866,2488,3809,3099,3809,3104,4870,2492m4930,2552l4926,2548,3809,3193,3809,3199,4930,2552m4990,2612l4986,2608,3809,3288,3809,3294,4990,2612m5050,2672l5046,2668,3809,3383,3809,3388,5050,2672m5110,2732l5106,2728,3809,3477,3809,3483,5110,2732m5170,2792l5166,2788,3809,3572,3809,3578,5170,2792m5230,2852l5226,2848,3809,3667,3809,3672,5230,2852m5290,2912l5286,2908,3809,3761,3809,3767,5290,2912m5350,2972l5346,2968,3809,3856,3809,3862,5350,2972m5410,3032l5406,3028,3809,3950,3809,3956,5410,3032m5470,3092l5466,3088,3809,4045,3809,4051,5470,3092m5530,3152l5526,3148,3809,4140,3809,4145,5530,3152m5590,3212l5586,3208,3809,4234,3809,4240,5590,3212m5650,3272l5646,3268,3834,4314,3844,4314,5650,3272m5710,3332l5706,3328,3998,4314,4008,4314,5710,3332m5770,3392l5766,3388,4162,4314,4172,4314,5770,3392m5830,3452l5826,3448,4326,4314,4336,4314,5830,3452m5890,3512l5886,3508,4490,4314,4500,4314,5890,3512m5950,3572l5946,3568,4654,4314,4664,4314,5950,3572m6010,3632l6006,3628,4818,4314,4828,4314,6010,3632m6070,3692l6066,3688,4982,4314,4992,4314,6070,3692m6130,3752l6126,3748,5146,4314,5156,4314,6130,3752m6190,3812l6186,3808,5310,4314,5320,4314,6190,3812m6250,3872l6246,3868,5474,4314,5484,4314,6250,3872m6310,3932l6306,3928,5638,4314,5648,4314,6310,3932m6370,3992l6366,3988,5802,4314,5812,4314,6370,3992m6430,4052l6426,4048,5965,4314,5975,4314,6430,4052e" filled="true" fillcolor="#cdcccd" stroked="false">
              <v:path arrowok="t"/>
              <v:fill opacity="32768f" type="solid"/>
            </v:shape>
            <v:shape style="position:absolute;left:6129;top:4108;width:541;height:207" type="#_x0000_t75" stroked="false">
              <v:imagedata r:id="rId64" o:title=""/>
            </v:shape>
            <v:shape style="position:absolute;left:903;top:1164;width:904;height:904" coordorigin="903,1164" coordsize="904,904" path="m1355,1164l903,1616,1355,2067,1806,1616,1355,1164xe" filled="true" fillcolor="#c4cd71" stroked="false">
              <v:path arrowok="t"/>
              <v:fill opacity="32768f" type="solid"/>
            </v:shape>
            <v:shape style="position:absolute;left:903;top:2067;width:904;height:904" coordorigin="903,2067" coordsize="904,904" path="m1355,2067l903,2519,1355,2970,1806,2519,1355,2067xe" filled="true" fillcolor="#d8dad9" stroked="false">
              <v:path arrowok="t"/>
              <v:fill opacity="32768f" type="solid"/>
            </v:shape>
            <v:shape style="position:absolute;left:1806;top:1164;width:904;height:904" coordorigin="1806,1164" coordsize="904,904" path="m2258,1164l1806,1616,2258,2067,2709,1616,2258,1164xe" filled="true" fillcolor="#96ac7a" stroked="false">
              <v:path arrowok="t"/>
              <v:fill opacity="32768f" type="solid"/>
            </v:shape>
            <v:shape style="position:absolute;left:0;top:2067;width:904;height:904" coordorigin="0,2067" coordsize="904,904" path="m452,2067l0,2519,452,2970,903,2519,452,2067xe" filled="true" fillcolor="#8d5f8e" stroked="false">
              <v:path arrowok="t"/>
              <v:fill opacity="32768f" type="solid"/>
            </v:shape>
            <v:shape style="position:absolute;left:2257;top:1615;width:904;height:904" coordorigin="2258,1616" coordsize="904,904" path="m2710,1616l2258,2067,2710,2519,3161,2067,2710,1616xe" filled="true" fillcolor="#783a79" stroked="false">
              <v:path arrowok="t"/>
              <v:fill opacity="32768f" type="solid"/>
            </v:shape>
            <w10:wrap type="none"/>
          </v:group>
        </w:pict>
      </w:r>
      <w:r>
        <w:rPr/>
        <w:t>State Revenue has this year continued to </w:t>
      </w:r>
      <w:r>
        <w:rPr>
          <w:w w:val="95"/>
        </w:rPr>
        <w:t>deliver progressive system enhancements </w:t>
      </w:r>
      <w:r>
        <w:rPr>
          <w:spacing w:val="-6"/>
          <w:w w:val="95"/>
        </w:rPr>
        <w:t>via </w:t>
      </w:r>
      <w:r>
        <w:rPr/>
        <w:t>the</w:t>
      </w:r>
      <w:r>
        <w:rPr>
          <w:spacing w:val="-34"/>
        </w:rPr>
        <w:t> </w:t>
      </w:r>
      <w:r>
        <w:rPr/>
        <w:t>ongoing</w:t>
      </w:r>
      <w:r>
        <w:rPr>
          <w:spacing w:val="-33"/>
        </w:rPr>
        <w:t> </w:t>
      </w:r>
      <w:r>
        <w:rPr/>
        <w:t>Revenue</w:t>
      </w:r>
      <w:r>
        <w:rPr>
          <w:spacing w:val="-34"/>
        </w:rPr>
        <w:t> </w:t>
      </w:r>
      <w:r>
        <w:rPr/>
        <w:t>Systems</w:t>
      </w:r>
      <w:r>
        <w:rPr>
          <w:spacing w:val="-33"/>
        </w:rPr>
        <w:t> </w:t>
      </w:r>
      <w:r>
        <w:rPr/>
        <w:t>Consolidation and</w:t>
      </w:r>
      <w:r>
        <w:rPr>
          <w:spacing w:val="-30"/>
        </w:rPr>
        <w:t> </w:t>
      </w:r>
      <w:r>
        <w:rPr/>
        <w:t>Enhancement</w:t>
      </w:r>
      <w:r>
        <w:rPr>
          <w:spacing w:val="-30"/>
        </w:rPr>
        <w:t> </w:t>
      </w:r>
      <w:r>
        <w:rPr/>
        <w:t>Program.</w:t>
      </w:r>
      <w:r>
        <w:rPr>
          <w:spacing w:val="-30"/>
        </w:rPr>
        <w:t> </w:t>
      </w:r>
      <w:r>
        <w:rPr/>
        <w:t>This</w:t>
      </w:r>
      <w:r>
        <w:rPr>
          <w:spacing w:val="-30"/>
        </w:rPr>
        <w:t> </w:t>
      </w:r>
      <w:r>
        <w:rPr/>
        <w:t>investment will</w:t>
      </w:r>
      <w:r>
        <w:rPr>
          <w:spacing w:val="-27"/>
        </w:rPr>
        <w:t> </w:t>
      </w:r>
      <w:r>
        <w:rPr/>
        <w:t>realise</w:t>
      </w:r>
      <w:r>
        <w:rPr>
          <w:spacing w:val="-26"/>
        </w:rPr>
        <w:t> </w:t>
      </w:r>
      <w:r>
        <w:rPr/>
        <w:t>timely</w:t>
      </w:r>
      <w:r>
        <w:rPr>
          <w:spacing w:val="-27"/>
        </w:rPr>
        <w:t> </w:t>
      </w:r>
      <w:r>
        <w:rPr/>
        <w:t>process</w:t>
      </w:r>
      <w:r>
        <w:rPr>
          <w:spacing w:val="-26"/>
        </w:rPr>
        <w:t> </w:t>
      </w:r>
      <w:r>
        <w:rPr/>
        <w:t>improvements</w:t>
      </w:r>
      <w:r>
        <w:rPr>
          <w:spacing w:val="-26"/>
        </w:rPr>
        <w:t> </w:t>
      </w:r>
      <w:r>
        <w:rPr/>
        <w:t>and</w:t>
      </w:r>
    </w:p>
    <w:p>
      <w:pPr>
        <w:pStyle w:val="BodyText"/>
        <w:spacing w:line="249" w:lineRule="auto" w:before="4"/>
        <w:ind w:left="522" w:right="-8"/>
      </w:pPr>
      <w:r>
        <w:rPr/>
        <w:t>enhanced analytics to State </w:t>
      </w:r>
      <w:r>
        <w:rPr>
          <w:spacing w:val="-3"/>
        </w:rPr>
        <w:t>Revenue’s </w:t>
      </w:r>
      <w:r>
        <w:rPr/>
        <w:t>systems, and</w:t>
      </w:r>
      <w:r>
        <w:rPr>
          <w:spacing w:val="-16"/>
        </w:rPr>
        <w:t> </w:t>
      </w:r>
      <w:r>
        <w:rPr/>
        <w:t>in</w:t>
      </w:r>
      <w:r>
        <w:rPr>
          <w:spacing w:val="-16"/>
        </w:rPr>
        <w:t> </w:t>
      </w:r>
      <w:r>
        <w:rPr/>
        <w:t>2016-17</w:t>
      </w:r>
      <w:r>
        <w:rPr>
          <w:spacing w:val="-15"/>
        </w:rPr>
        <w:t> </w:t>
      </w:r>
      <w:r>
        <w:rPr/>
        <w:t>delivered</w:t>
      </w:r>
      <w:r>
        <w:rPr>
          <w:spacing w:val="-16"/>
        </w:rPr>
        <w:t> </w:t>
      </w:r>
      <w:r>
        <w:rPr/>
        <w:t>improvements</w:t>
      </w:r>
      <w:r>
        <w:rPr>
          <w:spacing w:val="-15"/>
        </w:rPr>
        <w:t> </w:t>
      </w:r>
      <w:r>
        <w:rPr/>
        <w:t>to</w:t>
      </w:r>
      <w:r>
        <w:rPr>
          <w:spacing w:val="-16"/>
        </w:rPr>
        <w:t> </w:t>
      </w:r>
      <w:r>
        <w:rPr/>
        <w:t>assist in debt recovery case management and records management.</w:t>
      </w:r>
      <w:r>
        <w:rPr>
          <w:spacing w:val="-27"/>
        </w:rPr>
        <w:t> </w:t>
      </w:r>
      <w:r>
        <w:rPr/>
        <w:t>The</w:t>
      </w:r>
      <w:r>
        <w:rPr>
          <w:spacing w:val="-26"/>
        </w:rPr>
        <w:t> </w:t>
      </w:r>
      <w:r>
        <w:rPr/>
        <w:t>enhancements</w:t>
      </w:r>
      <w:r>
        <w:rPr>
          <w:spacing w:val="-26"/>
        </w:rPr>
        <w:t> </w:t>
      </w:r>
      <w:r>
        <w:rPr/>
        <w:t>are</w:t>
      </w:r>
      <w:r>
        <w:rPr>
          <w:spacing w:val="-26"/>
        </w:rPr>
        <w:t> </w:t>
      </w:r>
      <w:r>
        <w:rPr/>
        <w:t>expected</w:t>
      </w:r>
      <w:r>
        <w:rPr>
          <w:spacing w:val="-27"/>
        </w:rPr>
        <w:t> </w:t>
      </w:r>
      <w:r>
        <w:rPr>
          <w:spacing w:val="-10"/>
        </w:rPr>
        <w:t>to </w:t>
      </w:r>
      <w:r>
        <w:rPr/>
        <w:t>cost $32 million over five years to</w:t>
      </w:r>
      <w:r>
        <w:rPr>
          <w:spacing w:val="-41"/>
        </w:rPr>
        <w:t> </w:t>
      </w:r>
      <w:r>
        <w:rPr/>
        <w:t>2018-19.</w:t>
      </w:r>
    </w:p>
    <w:p>
      <w:pPr>
        <w:pStyle w:val="BodyText"/>
        <w:spacing w:before="32"/>
        <w:ind w:left="476"/>
      </w:pPr>
      <w:r>
        <w:rPr/>
        <w:br w:type="column"/>
      </w:r>
      <w:r>
        <w:rPr/>
        <w:t>These and other initiatives enable approximately</w:t>
      </w:r>
    </w:p>
    <w:p>
      <w:pPr>
        <w:pStyle w:val="BodyText"/>
        <w:spacing w:line="249" w:lineRule="auto" w:before="11"/>
        <w:ind w:left="476" w:right="956"/>
      </w:pPr>
      <w:r>
        <w:rPr/>
        <w:t>$4.86 billion in taxes to be collected digitally via the </w:t>
      </w:r>
      <w:hyperlink r:id="rId65">
        <w:r>
          <w:rPr>
            <w:color w:val="A7BE39"/>
            <w:u w:val="single" w:color="A7BE39"/>
          </w:rPr>
          <w:t>Revenue Online portal</w:t>
        </w:r>
        <w:r>
          <w:rPr>
            <w:color w:val="A7BE39"/>
          </w:rPr>
          <w:t> </w:t>
        </w:r>
      </w:hyperlink>
      <w:r>
        <w:rPr/>
        <w:t>– a fully integrated secure online system, allowing taxpayers and agents to self-assess and pay duty or tax electronically. State Revenue will continue to identify opportunities to streamline processes, and</w:t>
      </w:r>
      <w:r>
        <w:rPr>
          <w:spacing w:val="-18"/>
        </w:rPr>
        <w:t> </w:t>
      </w:r>
      <w:r>
        <w:rPr/>
        <w:t>save</w:t>
      </w:r>
      <w:r>
        <w:rPr>
          <w:spacing w:val="-18"/>
        </w:rPr>
        <w:t> </w:t>
      </w:r>
      <w:r>
        <w:rPr/>
        <w:t>time</w:t>
      </w:r>
      <w:r>
        <w:rPr>
          <w:spacing w:val="-17"/>
        </w:rPr>
        <w:t> </w:t>
      </w:r>
      <w:r>
        <w:rPr/>
        <w:t>for</w:t>
      </w:r>
      <w:r>
        <w:rPr>
          <w:spacing w:val="-18"/>
        </w:rPr>
        <w:t> </w:t>
      </w:r>
      <w:r>
        <w:rPr/>
        <w:t>taxpayers</w:t>
      </w:r>
      <w:r>
        <w:rPr>
          <w:spacing w:val="-17"/>
        </w:rPr>
        <w:t> </w:t>
      </w:r>
      <w:r>
        <w:rPr/>
        <w:t>and</w:t>
      </w:r>
      <w:r>
        <w:rPr>
          <w:spacing w:val="-18"/>
        </w:rPr>
        <w:t> </w:t>
      </w:r>
      <w:r>
        <w:rPr/>
        <w:t>agents.</w:t>
      </w:r>
      <w:r>
        <w:rPr>
          <w:spacing w:val="-18"/>
        </w:rPr>
        <w:t> </w:t>
      </w:r>
      <w:r>
        <w:rPr>
          <w:spacing w:val="-7"/>
        </w:rPr>
        <w:t>You</w:t>
      </w:r>
      <w:r>
        <w:rPr>
          <w:spacing w:val="-17"/>
        </w:rPr>
        <w:t> </w:t>
      </w:r>
      <w:r>
        <w:rPr>
          <w:spacing w:val="-6"/>
        </w:rPr>
        <w:t>can </w:t>
      </w:r>
      <w:r>
        <w:rPr/>
        <w:t>find out more about duties lodgements going paperless on page</w:t>
      </w:r>
      <w:r>
        <w:rPr>
          <w:spacing w:val="-4"/>
        </w:rPr>
        <w:t> </w:t>
      </w:r>
      <w:hyperlink w:history="true" w:anchor="_bookmark12">
        <w:r>
          <w:rPr>
            <w:color w:val="A7BE39"/>
            <w:u w:val="single" w:color="A7BE39"/>
          </w:rPr>
          <w:t>17</w:t>
        </w:r>
      </w:hyperlink>
      <w:r>
        <w:rPr/>
        <w:t>.</w:t>
      </w:r>
    </w:p>
    <w:p>
      <w:pPr>
        <w:pStyle w:val="BodyText"/>
        <w:rPr>
          <w:sz w:val="20"/>
        </w:rPr>
      </w:pPr>
    </w:p>
    <w:p>
      <w:pPr>
        <w:pStyle w:val="BodyText"/>
        <w:rPr>
          <w:sz w:val="20"/>
        </w:rPr>
      </w:pPr>
    </w:p>
    <w:p>
      <w:pPr>
        <w:pStyle w:val="BodyText"/>
        <w:spacing w:before="2"/>
        <w:rPr>
          <w:sz w:val="15"/>
        </w:rPr>
      </w:pPr>
      <w:r>
        <w:rPr/>
        <w:pict>
          <v:group style="position:absolute;margin-left:563.283997pt;margin-top:10.705082pt;width:240.35pt;height:243.95pt;mso-position-horizontal-relative:page;mso-position-vertical-relative:paragraph;z-index:2432;mso-wrap-distance-left:0;mso-wrap-distance-right:0" coordorigin="11266,214" coordsize="4807,4879">
            <v:shape style="position:absolute;left:11265;top:1148;width:4807;height:3932" type="#_x0000_t75" stroked="false">
              <v:imagedata r:id="rId66" o:title=""/>
            </v:shape>
            <v:shape style="position:absolute;left:13405;top:954;width:144;height:144" type="#_x0000_t75" stroked="false">
              <v:imagedata r:id="rId67" o:title=""/>
            </v:shape>
            <v:rect style="position:absolute;left:13176;top:2651;width:84;height:84" filled="true" fillcolor="#d2d3d3" stroked="false">
              <v:fill type="solid"/>
            </v:rect>
            <v:rect style="position:absolute;left:13310;top:2651;width:84;height:84" filled="true" fillcolor="#d2d3d3" stroked="false">
              <v:fill type="solid"/>
            </v:rect>
            <v:rect style="position:absolute;left:13446;top:2651;width:84;height:84" filled="true" fillcolor="#d2d3d3" stroked="false">
              <v:fill type="solid"/>
            </v:rect>
            <v:rect style="position:absolute;left:13580;top:2651;width:84;height:84" filled="true" fillcolor="#d2d3d3" stroked="false">
              <v:fill type="solid"/>
            </v:rect>
            <v:rect style="position:absolute;left:13714;top:2651;width:84;height:84" filled="true" fillcolor="#d2d3d3" stroked="false">
              <v:fill type="solid"/>
            </v:rect>
            <v:rect style="position:absolute;left:13848;top:2651;width:84;height:84" filled="true" fillcolor="#d2d3d3" stroked="false">
              <v:fill type="solid"/>
            </v:rect>
            <v:rect style="position:absolute;left:13983;top:2651;width:84;height:84" filled="true" fillcolor="#d2d3d3" stroked="false">
              <v:fill type="solid"/>
            </v:rect>
            <v:rect style="position:absolute;left:14117;top:2651;width:84;height:84" filled="true" fillcolor="#d2d3d3" stroked="false">
              <v:fill type="solid"/>
            </v:rect>
            <v:shape style="position:absolute;left:12317;top:2033;width:200;height:355" type="#_x0000_t75" stroked="false">
              <v:imagedata r:id="rId68" o:title=""/>
            </v:shape>
            <v:shape style="position:absolute;left:12508;top:973;width:1275;height:1414" coordorigin="12509,974" coordsize="1275,1414" path="m13780,974l12651,976,12550,1018,12509,1119,12511,2387,13783,2385,13780,974xe" filled="true" fillcolor="#ffffff" stroked="false">
              <v:path arrowok="t"/>
              <v:fill type="solid"/>
            </v:shape>
            <v:shape style="position:absolute;left:12792;top:975;width:541;height:767" coordorigin="12792,975" coordsize="541,767" path="m13332,975l12792,975,12857,989,12909,1026,12947,1083,12973,1157,12988,1244,12988,1655,12995,1689,13013,1717,13041,1735,13075,1742,13332,1742,13332,975xe" filled="true" fillcolor="#e7e7e7" stroked="false">
              <v:path arrowok="t"/>
              <v:fill type="solid"/>
            </v:shape>
            <v:shape style="position:absolute;left:13405;top:714;width:144;height:144" type="#_x0000_t75" stroked="false">
              <v:imagedata r:id="rId69" o:title=""/>
            </v:shape>
            <v:shape style="position:absolute;left:13405;top:473;width:144;height:144" type="#_x0000_t75" stroked="false">
              <v:imagedata r:id="rId70" o:title=""/>
            </v:shape>
            <v:shape style="position:absolute;left:13254;top:225;width:1277;height:1517" coordorigin="13255,226" coordsize="1277,1517" path="m14530,226l13255,226,13260,1717,13260,1742,13332,1742,14242,1740,14342,1721,14439,1650,14476,1594,14505,1524,14524,1440,14531,1342,14531,1331,14530,226xe" filled="true" fillcolor="#ffffff" stroked="false">
              <v:path arrowok="t"/>
              <v:fill type="solid"/>
            </v:shape>
            <v:shape style="position:absolute;left:13152;top:225;width:1379;height:1518" coordorigin="13153,226" coordsize="1379,1518" path="m14530,226l13255,226,13255,427,13257,975,13259,1479,13254,1581,13240,1663,13210,1719,13153,1743,13332,1742,14242,1740,14303,1733,14377,1706,14440,1661,14489,1602,14520,1530,14531,1450,14530,226xe" filled="true" fillcolor="#ffffff" stroked="false">
              <v:path arrowok="t"/>
              <v:fill type="solid"/>
            </v:shape>
            <v:shape style="position:absolute;left:12497;top:214;width:1077;height:1542" coordorigin="12497,214" coordsize="1077,1542" path="m12879,987l12792,987,12803,987,12831,992,12868,1007,12907,1035,12937,1073,12959,1121,12972,1178,12976,1244,12976,1671,12976,1673,12980,1685,12991,1710,13012,1735,13046,1749,13078,1752,13109,1753,13134,1754,13148,1754,13150,1755,13155,1756,13161,1756,13170,1755,13180,1753,13192,1748,13203,1741,13211,1733,13165,1733,13156,1733,13153,1732,13151,1731,13140,1731,13116,1730,13083,1729,13048,1726,13026,1717,13011,1699,13003,1681,12999,1669,12999,1244,12994,1173,12980,1112,12956,1060,12923,1019,12879,987xm13573,214l13243,214,13247,1281,13247,1500,13242,1594,13229,1659,13210,1700,13190,1722,13176,1730,13165,1733,13211,1733,13233,1708,13254,1656,13266,1587,13270,1500,13269,964,13266,237,13573,237,13573,214xm12792,964l12608,964,12606,964,12589,969,12551,986,12514,1023,12497,1084,12498,1519,12521,1519,12520,1084,12533,1036,12561,1007,12591,992,12609,987,12879,987,12878,986,12837,970,12805,965,12792,964xe" filled="true" fillcolor="#221f20" stroked="false">
              <v:path arrowok="t"/>
              <v:fill type="solid"/>
            </v:shape>
            <v:line style="position:absolute" from="13674,226" to="13893,226" stroked="true" strokeweight="1.147pt" strokecolor="#221f20">
              <v:stroke dashstyle="solid"/>
            </v:line>
            <v:shape style="position:absolute;left:13182;top:214;width:1360;height:1540" coordorigin="13183,214" coordsize="1360,1540" path="m13895,1730l13183,1731,13183,1754,14272,1753,14324,1749,14378,1735,14386,1731,14264,1731,13895,1730xm14272,1753l13895,1753,14264,1754,14272,1753xm14541,214l14143,214,14143,237,14518,237,14520,1450,14519,1473,14513,1526,14492,1594,14448,1662,14412,1692,14369,1714,14320,1727,14264,1731,14386,1731,14425,1711,14464,1678,14512,1606,14535,1534,14542,1477,14543,1450,14541,214xe" filled="true" fillcolor="#221f20" stroked="false">
              <v:path arrowok="t"/>
              <v:fill type="solid"/>
            </v:shape>
            <v:shape style="position:absolute;left:12316;top:1701;width:794;height:698" coordorigin="12317,1702" coordsize="794,698" path="m12520,1702l12497,1702,12499,2124,12495,2153,12479,2213,12448,2283,12395,2344,12317,2376,12318,2399,13110,2398,13110,2376,12390,2376,12458,2310,12498,2229,12517,2159,12522,2126,12522,2124,12520,1702xm13110,2375l12390,2376,13110,2376,13110,2375xe" filled="true" fillcolor="#221f20" stroked="false">
              <v:path arrowok="t"/>
              <v:fill type="solid"/>
            </v:shape>
            <v:rect style="position:absolute;left:13205;top:2374;width:108;height:23" filled="true" fillcolor="#221f20" stroked="false">
              <v:fill type="solid"/>
            </v:rect>
            <v:line style="position:absolute" from="13401,2397" to="13724,2397" stroked="true" strokeweight=".1pt" strokecolor="#221f20">
              <v:stroke dashstyle="solid"/>
            </v:line>
            <v:line style="position:absolute" from="13401,2386" to="13794,2386" stroked="true" strokeweight="1pt" strokecolor="#221f20">
              <v:stroke dashstyle="solid"/>
            </v:line>
            <v:line style="position:absolute" from="13414,2375" to="13794,2375" stroked="true" strokeweight=".1pt" strokecolor="#221f20">
              <v:stroke dashstyle="solid"/>
            </v:line>
            <v:line style="position:absolute" from="13782,1742" to="13782,2374" stroked="true" strokeweight="1.147885pt" strokecolor="#221f20">
              <v:stroke dashstyle="solid"/>
            </v:line>
            <v:line style="position:absolute" from="12964,976" to="13257,976" stroked="true" strokeweight="1.1pt" strokecolor="#221f20">
              <v:stroke dashstyle="solid"/>
            </v:line>
            <v:line style="position:absolute" from="12964,964" to="13138,964" stroked="true" strokeweight=".1pt" strokecolor="#221f20">
              <v:stroke dashstyle="solid"/>
            </v:line>
            <v:shape style="position:absolute;left:13155;top:963;width:102;height:2" coordorigin="13156,963" coordsize="102,1" path="m13257,963l13156,964,13257,964,13257,963xe" filled="true" fillcolor="#221f20" stroked="false">
              <v:path arrowok="t"/>
              <v:fill type="solid"/>
            </v:shape>
            <v:line style="position:absolute" from="13471,512" to="14310,512" stroked="true" strokeweight="2.199pt" strokecolor="#d2d3d3">
              <v:stroke dashstyle="solid"/>
            </v:line>
            <v:line style="position:absolute" from="13473,680" to="14312,680" stroked="true" strokeweight="2.201pt" strokecolor="#d2d3d3">
              <v:stroke dashstyle="solid"/>
            </v:line>
            <v:line style="position:absolute" from="13476,848" to="14315,848" stroked="true" strokeweight="2.199pt" strokecolor="#d2d3d3">
              <v:stroke dashstyle="solid"/>
            </v:line>
            <v:line style="position:absolute" from="13478,1017" to="14317,1017" stroked="true" strokeweight="2.199pt" strokecolor="#d2d3d3">
              <v:stroke dashstyle="solid"/>
            </v:line>
            <v:line style="position:absolute" from="13481,1185" to="14319,1185" stroked="true" strokeweight="2.201pt" strokecolor="#d2d3d3">
              <v:stroke dashstyle="solid"/>
            </v:line>
            <v:line style="position:absolute" from="12678,1930" to="13620,1930" stroked="true" strokeweight="1.1pt" strokecolor="#949598">
              <v:stroke dashstyle="solid"/>
            </v:line>
            <v:line style="position:absolute" from="12678,1977" to="13620,1977" stroked="true" strokeweight="1.1pt" strokecolor="#949598">
              <v:stroke dashstyle="solid"/>
            </v:line>
            <v:line style="position:absolute" from="12678,2023" to="13620,2023" stroked="true" strokeweight="1.099pt" strokecolor="#949598">
              <v:stroke dashstyle="solid"/>
            </v:line>
            <v:line style="position:absolute" from="12678,2070" to="13620,2070" stroked="true" strokeweight="1.1pt" strokecolor="#949598">
              <v:stroke dashstyle="solid"/>
            </v:line>
            <v:shape style="position:absolute;left:12424;top:1527;width:172;height:166" type="#_x0000_t75" stroked="false">
              <v:imagedata r:id="rId71" o:title=""/>
            </v:shape>
            <v:rect style="position:absolute;left:13881;top:1338;width:969;height:1226" filled="true" fillcolor="#6f2770" stroked="false">
              <v:fill type="solid"/>
            </v:rect>
            <v:rect style="position:absolute;left:13964;top:1423;width:805;height:299" filled="true" fillcolor="#aebd37" stroked="false">
              <v:fill type="solid"/>
            </v:rect>
            <v:rect style="position:absolute;left:14800;top:1799;width:30;height:71" filled="true" fillcolor="#221f20" stroked="false">
              <v:fill type="solid"/>
            </v:rect>
            <v:line style="position:absolute" from="14087,2538" to="14830,2538" stroked="true" strokeweight="1.5pt" strokecolor="#221f20">
              <v:stroke dashstyle="solid"/>
            </v:line>
            <v:line style="position:absolute" from="14815,1925" to="14815,2523" stroked="true" strokeweight="1.475pt" strokecolor="#221f20">
              <v:stroke dashstyle="solid"/>
            </v:line>
            <v:rect style="position:absolute;left:13959;top:2523;width:67;height:30" filled="true" fillcolor="#221f20" stroked="false">
              <v:fill type="solid"/>
            </v:rect>
            <v:rect style="position:absolute;left:13832;top:2522;width:82;height:30" filled="true" fillcolor="#221f20" stroked="false">
              <v:fill type="solid"/>
            </v:rect>
            <v:line style="position:absolute" from="13847,1327" to="13847,2523" stroked="true" strokeweight="1.475pt" strokecolor="#221f20">
              <v:stroke dashstyle="solid"/>
            </v:line>
            <v:line style="position:absolute" from="13832,1313" to="14830,1313" stroked="true" strokeweight="1.4pt" strokecolor="#221f20">
              <v:stroke dashstyle="solid"/>
            </v:line>
            <v:line style="position:absolute" from="14815,1328" to="14815,1756" stroked="true" strokeweight="1.474pt" strokecolor="#221f20">
              <v:stroke dashstyle="solid"/>
            </v:line>
            <v:rect style="position:absolute;left:14068;top:1681;width:78;height:30" filled="true" fillcolor="#221f20" stroked="false">
              <v:fill type="solid"/>
            </v:rect>
            <v:rect style="position:absolute;left:13915;top:1680;width:111;height:30" filled="true" fillcolor="#221f20" stroked="false">
              <v:fill type="solid"/>
            </v:rect>
            <v:line style="position:absolute" from="13930,1413" to="13930,1681" stroked="true" strokeweight="1.474pt" strokecolor="#221f20">
              <v:stroke dashstyle="solid"/>
            </v:line>
            <v:line style="position:absolute" from="13915,1398" to="14750,1398" stroked="true" strokeweight="1.5pt" strokecolor="#221f20">
              <v:stroke dashstyle="solid"/>
            </v:line>
            <v:line style="position:absolute" from="14201,1696" to="14750,1696" stroked="true" strokeweight="1.5pt" strokecolor="#221f20">
              <v:stroke dashstyle="solid"/>
            </v:line>
            <v:line style="position:absolute" from="14735,1413" to="14735,1681" stroked="true" strokeweight="1.475pt" strokecolor="#221f20">
              <v:stroke dashstyle="solid"/>
            </v:line>
            <v:rect style="position:absolute;left:13972;top:1782;width:124;height:124" filled="true" fillcolor="#dadd9e" stroked="false">
              <v:fill type="solid"/>
            </v:rect>
            <v:rect style="position:absolute;left:14181;top:1782;width:124;height:124" filled="true" fillcolor="#dadd9e" stroked="false">
              <v:fill type="solid"/>
            </v:rect>
            <v:rect style="position:absolute;left:14389;top:1782;width:124;height:124" filled="true" fillcolor="#dadd9e" stroked="false">
              <v:fill type="solid"/>
            </v:rect>
            <v:rect style="position:absolute;left:14598;top:1782;width:124;height:124" filled="true" fillcolor="#dadd9e" stroked="false">
              <v:fill type="solid"/>
            </v:rect>
            <v:rect style="position:absolute;left:13974;top:1960;width:124;height:124" filled="true" fillcolor="#dadd9e" stroked="false">
              <v:fill type="solid"/>
            </v:rect>
            <v:rect style="position:absolute;left:14182;top:1960;width:124;height:124" filled="true" fillcolor="#dadd9e" stroked="false">
              <v:fill type="solid"/>
            </v:rect>
            <v:rect style="position:absolute;left:14390;top:1960;width:124;height:124" filled="true" fillcolor="#dadd9e" stroked="false">
              <v:fill type="solid"/>
            </v:rect>
            <v:rect style="position:absolute;left:14599;top:1960;width:124;height:124" filled="true" fillcolor="#dadd9e" stroked="false">
              <v:fill type="solid"/>
            </v:rect>
            <v:rect style="position:absolute;left:13975;top:2138;width:124;height:124" filled="true" fillcolor="#dadd9e" stroked="false">
              <v:fill type="solid"/>
            </v:rect>
            <v:rect style="position:absolute;left:14183;top:2138;width:124;height:124" filled="true" fillcolor="#dadd9e" stroked="false">
              <v:fill type="solid"/>
            </v:rect>
            <v:rect style="position:absolute;left:14391;top:2138;width:124;height:124" filled="true" fillcolor="#dadd9e" stroked="false">
              <v:fill type="solid"/>
            </v:rect>
            <v:line style="position:absolute" from="14661,2139" to="14661,2440" stroked="true" strokeweight="6.158pt" strokecolor="#dadd9e">
              <v:stroke dashstyle="solid"/>
            </v:line>
            <v:rect style="position:absolute;left:13976;top:2316;width:124;height:124" filled="true" fillcolor="#dadd9e" stroked="false">
              <v:fill type="solid"/>
            </v:rect>
            <v:rect style="position:absolute;left:14184;top:2316;width:124;height:124" filled="true" fillcolor="#dadd9e" stroked="false">
              <v:fill type="solid"/>
            </v:rect>
            <v:rect style="position:absolute;left:14392;top:2316;width:124;height:124" filled="true" fillcolor="#dadd9e" stroked="false">
              <v:fill type="solid"/>
            </v:rect>
            <v:shape style="position:absolute;left:13064;top:2651;width:1381;height:137" coordorigin="13064,2652" coordsize="1381,137" path="m14308,2652l13064,2652,13064,2788,14308,2788,14445,2743,14445,2697,14308,2652xe" filled="true" fillcolor="#dadd9e" stroked="false">
              <v:path arrowok="t"/>
              <v:fill type="solid"/>
            </v:shape>
            <v:rect style="position:absolute;left:14444;top:2696;width:69;height:47" filled="true" fillcolor="#221f20" stroked="false">
              <v:fill type="solid"/>
            </v:rect>
            <v:rect style="position:absolute;left:12978;top:2694;width:87;height:60" filled="true" fillcolor="#221f20" stroked="false">
              <v:fill type="solid"/>
            </v:rect>
            <v:line style="position:absolute" from="13236,2652" to="13236,2788" stroked="true" strokeweight="2.395pt" strokecolor="#221f20">
              <v:stroke dashstyle="solid"/>
            </v:line>
            <v:line style="position:absolute" from="13304,2652" to="13304,2788" stroked="true" strokeweight="1.339pt" strokecolor="#221f20">
              <v:stroke dashstyle="solid"/>
            </v:line>
            <v:line style="position:absolute" from="14276,2652" to="14276,2788" stroked="true" strokeweight="1.339pt" strokecolor="#221f20">
              <v:stroke dashstyle="solid"/>
            </v:line>
            <v:line style="position:absolute" from="13064,2788" to="14022,2788" stroked="true" strokeweight="1.149pt" strokecolor="#221f20">
              <v:stroke dashstyle="solid"/>
            </v:line>
            <v:rect style="position:absolute;left:14066;top:2776;width:39;height:23" filled="true" fillcolor="#221f20" stroked="false">
              <v:fill type="solid"/>
            </v:rect>
            <v:line style="position:absolute" from="14148,2788" to="14308,2788" stroked="true" strokeweight="1.149pt" strokecolor="#221f20">
              <v:stroke dashstyle="solid"/>
            </v:line>
            <v:line style="position:absolute" from="13212,2627" to="13629,2627" stroked="true" strokeweight="2.298pt" strokecolor="#221f20">
              <v:stroke dashstyle="solid"/>
            </v:line>
            <v:shape style="position:absolute;left:12887;top:683;width:701;height:701" coordorigin="12887,683" coordsize="701,701" path="m13238,683l13167,690,13101,711,13042,743,12990,786,12947,838,12915,897,12894,963,12887,1034,12894,1104,12915,1170,12947,1229,12990,1281,13042,1324,13101,1356,13167,1377,13238,1384,13308,1377,13374,1356,13433,1324,13485,1281,13528,1229,13560,1170,13581,1104,13588,1034,13581,963,13560,897,13528,838,13485,786,13433,743,13374,711,13308,690,13238,683xe" filled="true" fillcolor="#ffffff" stroked="false">
              <v:path arrowok="t"/>
              <v:fill type="solid"/>
            </v:shape>
            <v:shape style="position:absolute;left:13140;top:831;width:218;height:406" coordorigin="13141,832" coordsize="218,406" path="m13213,1091l13141,1091,13141,1104,13143,1115,13146,1126,13149,1136,13154,1148,13162,1158,13180,1175,13190,1181,13213,1190,13225,1192,13237,1194,13237,1237,13271,1237,13271,1194,13284,1193,13295,1190,13317,1181,13326,1175,13341,1160,13347,1152,13351,1140,13249,1140,13243,1140,13234,1136,13229,1134,13221,1126,13218,1121,13214,1108,13213,1100,13213,1091xm13275,832l13241,832,13241,877,13228,878,13216,881,13194,890,13185,896,13169,911,13163,920,13154,940,13152,951,13152,977,13155,990,13164,1010,13171,1019,13188,1034,13198,1041,13210,1047,13219,1051,13228,1055,13238,1060,13248,1064,13255,1067,13261,1070,13270,1075,13274,1078,13280,1085,13282,1089,13284,1097,13285,1102,13285,1113,13284,1117,13282,1125,13280,1128,13275,1134,13272,1136,13264,1140,13259,1140,13351,1140,13355,1132,13357,1121,13357,1093,13354,1081,13345,1061,13338,1052,13321,1036,13311,1030,13290,1019,13281,1015,13271,1010,13261,1006,13254,1003,13248,1000,13238,993,13235,990,13229,984,13227,980,13225,973,13224,968,13224,959,13225,955,13227,946,13229,943,13231,940,13233,937,13237,935,13244,931,13249,930,13350,930,13349,927,13343,917,13328,900,13320,893,13299,883,13288,879,13275,877,13275,832xm13350,930l13258,930,13263,931,13271,934,13274,937,13280,945,13283,950,13286,961,13287,968,13287,976,13359,976,13358,961,13357,950,13350,930xe" filled="true" fillcolor="#aebd37" stroked="false">
              <v:path arrowok="t"/>
              <v:fill type="solid"/>
            </v:shape>
            <v:shape style="position:absolute;left:13226;top:826;width:123;height:155" type="#_x0000_t75" stroked="false">
              <v:imagedata r:id="rId72" o:title=""/>
            </v:shape>
            <v:shape style="position:absolute;left:13121;top:1086;width:140;height:156" type="#_x0000_t75" stroked="false">
              <v:imagedata r:id="rId73" o:title=""/>
            </v:shape>
            <v:shape style="position:absolute;left:12918;top:713;width:714;height:714" coordorigin="12918,713" coordsize="714,714" path="m13275,713l13203,721,13136,742,13075,774,13023,818,12979,871,12946,931,12925,998,12918,1070,12925,1142,12946,1209,12979,1270,13023,1322,13075,1366,13136,1399,13203,1420,13275,1427,13347,1420,13414,1399,13474,1366,13523,1326,13275,1326,13195,1313,13126,1277,13071,1223,13036,1154,13023,1074,13036,994,13071,925,13126,871,13195,835,13275,822,13530,822,13527,818,13474,774,13414,742,13347,721,13275,713xm13530,822l13275,822,13354,835,13424,871,13478,925,13514,994,13527,1074,13514,1154,13478,1223,13424,1277,13354,1313,13275,1326,13523,1326,13527,1322,13571,1270,13603,1209,13624,1142,13631,1070,13624,998,13603,931,13571,871,13530,822xe" filled="true" fillcolor="#6f2770" stroked="false">
              <v:path arrowok="t"/>
              <v:fill type="solid"/>
            </v:shape>
            <v:shape style="position:absolute;left:12870;top:665;width:738;height:738" coordorigin="12871,665" coordsize="738,738" path="m13240,665l13166,673,13096,694,13034,728,12979,773,12934,828,12900,891,12878,960,12871,1034,12878,1108,12900,1178,12934,1240,12979,1295,13034,1340,13096,1374,13166,1396,13240,1403,13314,1396,13369,1379,13240,1379,13161,1369,13089,1343,13025,1303,12971,1249,12931,1185,12905,1113,12896,1034,12905,955,12931,883,12971,819,13025,766,13089,725,13161,699,13240,690,13369,690,13314,673,13240,665xm13369,690l13240,690,13319,699,13391,725,13455,766,13508,819,13549,883,13575,955,13584,1034,13575,1113,13549,1185,13508,1249,13455,1303,13391,1343,13319,1369,13240,1379,13369,1379,13383,1374,13446,1340,13501,1295,13546,1240,13580,1178,13601,1108,13609,1034,13601,960,13580,891,13546,828,13501,773,13446,728,13383,694,13369,690xm13240,774l13170,783,13107,810,13053,851,13012,905,12985,968,12976,1038,12985,1108,13012,1171,13053,1225,13107,1266,13170,1293,13240,1302,13310,1293,13346,1278,13240,1278,13164,1265,13098,1231,13046,1179,13012,1114,13000,1038,13012,962,13046,897,13098,845,13164,811,13240,798,13346,798,13310,783,13240,774xm13346,798l13240,798,13316,811,13381,845,13433,897,13467,962,13480,1038,13467,1114,13433,1179,13381,1231,13316,1265,13240,1278,13346,1278,13373,1266,13427,1225,13468,1171,13495,1108,13504,1038,13495,968,13468,905,13427,851,13373,810,13346,798xe" filled="true" fillcolor="#221f20" stroked="false">
              <v:path arrowok="t"/>
              <v:fill type="solid"/>
            </v:shape>
            <v:shape style="position:absolute;left:12456;top:324;width:499;height:499" coordorigin="12457,325" coordsize="499,499" path="m12706,325l12627,337,12559,373,12505,427,12470,495,12457,574,12470,653,12505,721,12559,775,12627,810,12706,823,12785,810,12853,775,12907,721,12943,653,12955,574,12943,495,12907,427,12853,373,12785,337,12706,325xe" filled="true" fillcolor="#aebd37" stroked="false">
              <v:path arrowok="t"/>
              <v:fill type="solid"/>
            </v:shape>
            <v:shape style="position:absolute;left:12497;top:364;width:419;height:419" coordorigin="12497,365" coordsize="419,419" path="m12690,756l12687,782,12694,783,12700,783,12716,783,12727,783,12737,781,12733,757,12701,757,12690,756xm12733,755l12722,756,12711,757,12701,757,12733,757,12733,755xm12608,728l12594,751,12605,757,12616,763,12627,768,12639,772,12647,747,12637,743,12627,739,12618,734,12608,728xm12813,722l12804,729,12794,734,12785,739,12775,743,12785,768,12796,763,12807,757,12818,751,12828,744,12813,722xm12549,667l12526,680,12532,691,12540,701,12547,710,12556,720,12575,701,12568,693,12561,685,12554,676,12549,667xm12869,657l12864,667,12858,676,12851,685,12845,693,12865,711,12873,701,12880,691,12886,680,12892,670,12869,657xm12524,585l12497,586,12498,598,12500,611,12503,623,12506,635,12531,627,12528,617,12526,606,12525,595,12524,585xm12914,550l12888,553,12888,560,12889,566,12889,574,12889,585,12888,596,12886,606,12884,617,12910,623,12912,611,12914,599,12915,586,12915,574,12915,566,12915,558,12914,550xm12515,489l12510,501,12506,512,12503,524,12500,537,12526,541,12528,531,12531,520,12535,510,12539,500,12515,489xm12880,457l12858,472,12864,481,12869,491,12874,501,12878,511,12903,501,12898,490,12893,479,12887,468,12880,457xm12574,411l12565,419,12556,428,12548,437,12540,447,12561,463,12568,454,12575,446,12583,439,12591,432,12574,411xm12808,391l12795,414,12804,419,12813,426,12822,432,12830,439,12848,420,12838,412,12829,404,12818,397,12808,391xm12663,369l12651,372,12639,375,12628,380,12616,385,12628,409,12638,404,12648,401,12658,397,12669,395,12663,369xm12713,365l12712,391,12723,392,12733,393,12744,395,12755,398,12762,372,12750,369,12737,367,12725,365,12713,365xe" filled="true" fillcolor="#221f20" stroked="false">
              <v:path arrowok="t"/>
              <v:fill type="solid"/>
            </v:shape>
            <v:shape style="position:absolute;left:12610;top:407;width:183;height:319" type="#_x0000_t75" stroked="false">
              <v:imagedata r:id="rId74" o:title=""/>
            </v:shape>
            <v:shape style="position:absolute;left:13021;top:3330;width:3052;height:1762" coordorigin="13021,3331" coordsize="3052,1762" path="m16072,3331l13021,5092,13031,5092,16072,3336,16072,3331xe" filled="true" fillcolor="#ffffff" stroked="false">
              <v:path arrowok="t"/>
              <v:fill type="solid"/>
            </v:shape>
            <v:shape style="position:absolute;left:13189;top:3428;width:2883;height:1665" coordorigin="13190,3428" coordsize="2883,1665" path="m16072,3428l13190,5092,13200,5092,16072,3434,16072,3428xe" filled="true" fillcolor="#ffffff" stroked="false">
              <v:path arrowok="t"/>
              <v:fill type="solid"/>
            </v:shape>
            <v:shape style="position:absolute;left:13358;top:3525;width:2714;height:1567" coordorigin="13359,3526" coordsize="2714,1567" path="m16072,3526l13359,5092,13369,5092,16072,3531,16072,3526xe" filled="true" fillcolor="#ffffff" stroked="false">
              <v:path arrowok="t"/>
              <v:fill type="solid"/>
            </v:shape>
            <v:shape style="position:absolute;left:13527;top:3623;width:2545;height:1470" coordorigin="13528,3623" coordsize="2545,1470" path="m16072,3623l13528,5092,13538,5092,16072,3629,16072,3623xe" filled="true" fillcolor="#ffffff" stroked="false">
              <v:path arrowok="t"/>
              <v:fill type="solid"/>
            </v:shape>
            <v:shape style="position:absolute;left:13696;top:3720;width:2376;height:1372" coordorigin="13697,3721" coordsize="2376,1372" path="m16072,3721l13697,5092,13707,5092,16072,3726,16072,3721xe" filled="true" fillcolor="#ffffff" stroked="false">
              <v:path arrowok="t"/>
              <v:fill type="solid"/>
            </v:shape>
            <v:shape style="position:absolute;left:13865;top:3818;width:2207;height:1275" coordorigin="13866,3818" coordsize="2207,1275" path="m16072,3818l13866,5092,13876,5092,16072,3824,16072,3818xe" filled="true" fillcolor="#ffffff" stroked="false">
              <v:path arrowok="t"/>
              <v:fill type="solid"/>
            </v:shape>
            <v:shape style="position:absolute;left:14034;top:3915;width:2039;height:1177" coordorigin="14034,3916" coordsize="2039,1177" path="m16072,3916l14034,5092,14044,5092,16072,3921,16072,3916xe" filled="true" fillcolor="#ffffff" stroked="false">
              <v:path arrowok="t"/>
              <v:fill type="solid"/>
            </v:shape>
            <v:shape style="position:absolute;left:14203;top:4013;width:1870;height:1080" coordorigin="14203,4013" coordsize="1870,1080" path="m16072,4013l14203,5092,14213,5092,16072,4019,16072,4013xe" filled="true" fillcolor="#ffffff" stroked="false">
              <v:path arrowok="t"/>
              <v:fill type="solid"/>
            </v:shape>
            <v:shape style="position:absolute;left:14372;top:4110;width:1701;height:982" coordorigin="14372,4111" coordsize="1701,982" path="m16072,4111l14372,5092,14382,5092,16072,4116,16072,4111xe" filled="true" fillcolor="#ffffff" stroked="false">
              <v:path arrowok="t"/>
              <v:fill type="solid"/>
            </v:shape>
            <v:shape style="position:absolute;left:14541;top:4208;width:1532;height:885" coordorigin="14541,4208" coordsize="1532,885" path="m16072,4208l14541,5092,14551,5092,16072,4214,16072,4208xe" filled="true" fillcolor="#ffffff" stroked="false">
              <v:path arrowok="t"/>
              <v:fill type="solid"/>
            </v:shape>
            <v:shape style="position:absolute;left:14709;top:4305;width:1363;height:787" coordorigin="14710,4306" coordsize="1363,787" path="m16072,4306l14710,5092,14720,5092,16072,4311,16072,4306xe" filled="true" fillcolor="#ffffff" stroked="false">
              <v:path arrowok="t"/>
              <v:fill type="solid"/>
            </v:shape>
            <v:shape style="position:absolute;left:14878;top:4403;width:1194;height:690" coordorigin="14879,4403" coordsize="1194,690" path="m16072,4403l14879,5092,14889,5092,16072,4409,16072,4403xe" filled="true" fillcolor="#ffffff" stroked="false">
              <v:path arrowok="t"/>
              <v:fill type="solid"/>
            </v:shape>
            <v:shape style="position:absolute;left:15047;top:4500;width:1025;height:592" coordorigin="15048,4501" coordsize="1025,592" path="m16072,4501l15048,5092,15058,5092,16072,4506,16072,4501xe" filled="true" fillcolor="#ffffff" stroked="false">
              <v:path arrowok="t"/>
              <v:fill type="solid"/>
            </v:shape>
            <v:shape style="position:absolute;left:15216;top:4598;width:856;height:495" coordorigin="15217,4598" coordsize="856,495" path="m16072,4598l15217,5092,15227,5092,16072,4604,16072,4598xe" filled="true" fillcolor="#ffffff" stroked="false">
              <v:path arrowok="t"/>
              <v:fill type="solid"/>
            </v:shape>
            <v:shape style="position:absolute;left:15385;top:4695;width:687;height:397" coordorigin="15385,4696" coordsize="687,397" path="m16072,4696l15385,5092,15395,5092,16072,4701,16072,4696xe" filled="true" fillcolor="#ffffff" stroked="false">
              <v:path arrowok="t"/>
              <v:fill type="solid"/>
            </v:shape>
            <v:shape style="position:absolute;left:15554;top:4793;width:519;height:300" coordorigin="15554,4793" coordsize="519,300" path="m16072,4793l15554,5092,15564,5092,16072,4799,16072,4793xe" filled="true" fillcolor="#ffffff" stroked="false">
              <v:path arrowok="t"/>
              <v:fill type="solid"/>
            </v:shape>
            <v:shape style="position:absolute;left:15723;top:4890;width:350;height:202" type="#_x0000_t75" stroked="false">
              <v:imagedata r:id="rId75" o:title=""/>
            </v:shape>
            <v:shape style="position:absolute;left:12874;top:667;width:329;height:317" type="#_x0000_t75" stroked="false">
              <v:imagedata r:id="rId76" o:title=""/>
            </v:shape>
            <v:shape style="position:absolute;left:11265;top:214;width:4807;height:4879" type="#_x0000_t202" filled="false" stroked="false">
              <v:textbox inset="0,0,0,0">
                <w:txbxContent>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11"/>
                      <w:rPr>
                        <w:sz w:val="38"/>
                      </w:rPr>
                    </w:pPr>
                  </w:p>
                  <w:p>
                    <w:pPr>
                      <w:spacing w:line="249" w:lineRule="auto" w:before="0"/>
                      <w:ind w:left="419" w:right="425" w:firstLine="259"/>
                      <w:jc w:val="left"/>
                      <w:rPr>
                        <w:b/>
                        <w:sz w:val="28"/>
                      </w:rPr>
                    </w:pPr>
                    <w:r>
                      <w:rPr>
                        <w:b/>
                        <w:color w:val="6F2770"/>
                        <w:sz w:val="28"/>
                      </w:rPr>
                      <w:t>Collected over $6.8 billion in State taxes and delivered over $203 million State </w:t>
                    </w:r>
                    <w:r>
                      <w:rPr>
                        <w:b/>
                        <w:color w:val="6F2770"/>
                        <w:spacing w:val="-3"/>
                        <w:sz w:val="28"/>
                      </w:rPr>
                      <w:t>grants</w:t>
                    </w:r>
                  </w:p>
                  <w:p>
                    <w:pPr>
                      <w:spacing w:before="4"/>
                      <w:ind w:left="1477" w:right="0" w:firstLine="0"/>
                      <w:jc w:val="left"/>
                      <w:rPr>
                        <w:b/>
                        <w:sz w:val="28"/>
                      </w:rPr>
                    </w:pPr>
                    <w:r>
                      <w:rPr>
                        <w:b/>
                        <w:color w:val="6F2770"/>
                        <w:sz w:val="28"/>
                      </w:rPr>
                      <w:t>and subsidies</w:t>
                    </w:r>
                  </w:p>
                </w:txbxContent>
              </v:textbox>
              <w10:wrap type="none"/>
            </v:shape>
            <w10:wrap type="topAndBottom"/>
          </v:group>
        </w:pict>
      </w:r>
    </w:p>
    <w:p>
      <w:pPr>
        <w:spacing w:after="0"/>
        <w:rPr>
          <w:sz w:val="15"/>
        </w:rPr>
        <w:sectPr>
          <w:type w:val="continuous"/>
          <w:pgSz w:w="16840" w:h="11910" w:orient="landscape"/>
          <w:pgMar w:top="0" w:bottom="0" w:left="0" w:right="0"/>
          <w:cols w:num="3" w:equalWidth="0">
            <w:col w:w="5448" w:space="40"/>
            <w:col w:w="5250" w:space="39"/>
            <w:col w:w="6063"/>
          </w:cols>
        </w:sectPr>
      </w:pPr>
    </w:p>
    <w:p>
      <w:pPr>
        <w:pStyle w:val="BodyText"/>
        <w:rPr>
          <w:sz w:val="20"/>
        </w:rPr>
      </w:pPr>
    </w:p>
    <w:p>
      <w:pPr>
        <w:pStyle w:val="BodyText"/>
        <w:rPr>
          <w:sz w:val="20"/>
        </w:rPr>
      </w:pPr>
    </w:p>
    <w:p>
      <w:pPr>
        <w:pStyle w:val="BodyText"/>
        <w:rPr>
          <w:sz w:val="20"/>
        </w:rPr>
      </w:pPr>
    </w:p>
    <w:p>
      <w:pPr>
        <w:pStyle w:val="BodyText"/>
        <w:spacing w:before="1"/>
        <w:rPr>
          <w:sz w:val="17"/>
        </w:rPr>
      </w:pPr>
    </w:p>
    <w:p>
      <w:pPr>
        <w:tabs>
          <w:tab w:pos="1227" w:val="left" w:leader="none"/>
          <w:tab w:pos="4671" w:val="left" w:leader="none"/>
          <w:tab w:pos="16072" w:val="left" w:leader="none"/>
        </w:tabs>
        <w:spacing w:before="106"/>
        <w:ind w:left="765" w:right="0" w:firstLine="0"/>
        <w:jc w:val="left"/>
        <w:rPr>
          <w:sz w:val="16"/>
        </w:rPr>
      </w:pPr>
      <w:r>
        <w:rPr/>
        <w:pict>
          <v:group style="position:absolute;margin-left:411.927887pt;margin-top:-9.660794pt;width:45.2pt;height:45.2pt;mso-position-horizontal-relative:page;mso-position-vertical-relative:paragraph;z-index:-809104" coordorigin="8239,-193" coordsize="904,904">
            <v:shape style="position:absolute;left:8238;top:-194;width:904;height:904" coordorigin="8239,-193" coordsize="904,904" path="m8690,-193l8239,258,8690,710,9142,258,8690,-193xe" filled="true" fillcolor="#ffffff" stroked="false">
              <v:path arrowok="t"/>
              <v:fill type="solid"/>
            </v:shape>
            <v:shape style="position:absolute;left:8238;top:-194;width:904;height:904" coordorigin="8239,-193" coordsize="904,904" path="m8690,-193l8239,258,8690,710,9142,258,8690,-193xe" filled="true" fillcolor="#d8dad9" stroked="false">
              <v:path arrowok="t"/>
              <v:fill opacity="32768f" type="solid"/>
            </v:shape>
            <w10:wrap type="none"/>
          </v:group>
        </w:pict>
      </w:r>
      <w:r>
        <w:rPr>
          <w:b/>
          <w:color w:val="6F2770"/>
          <w:sz w:val="16"/>
        </w:rPr>
        <w:t>10</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pStyle w:val="BodyText"/>
        <w:spacing w:before="1"/>
        <w:rPr>
          <w:sz w:val="17"/>
        </w:rPr>
      </w:pPr>
    </w:p>
    <w:p>
      <w:pPr>
        <w:tabs>
          <w:tab w:pos="15168" w:val="left" w:leader="none"/>
        </w:tabs>
        <w:spacing w:before="106"/>
        <w:ind w:left="683" w:right="0" w:firstLine="0"/>
        <w:jc w:val="left"/>
        <w:rPr>
          <w:sz w:val="20"/>
        </w:rPr>
      </w:pPr>
      <w:r>
        <w:rPr/>
        <w:pict>
          <v:shape style="position:absolute;margin-left:601.348999pt;margin-top:-10.120531pt;width:120.3pt;height:42.55pt;mso-position-horizontal-relative:page;mso-position-vertical-relative:paragraph;z-index:-808912"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481.079803pt;margin-top:-10.120531pt;width:120.3pt;height:42.55pt;mso-position-horizontal-relative:page;mso-position-vertical-relative:paragraph;z-index:-808888"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w:pict>
      </w:r>
      <w:r>
        <w:rPr/>
        <w:pict>
          <v:shape style="position:absolute;margin-left:360.811798pt;margin-top:-10.120531pt;width:120.3pt;height:42.55pt;mso-position-horizontal-relative:page;mso-position-vertical-relative:paragraph;z-index:-808864"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pict>
          <v:shape style="position:absolute;margin-left:240.541pt;margin-top:-10.120531pt;width:120.3pt;height:42.55pt;mso-position-horizontal-relative:page;mso-position-vertical-relative:paragraph;z-index:-808840"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w:pict>
      </w:r>
      <w:r>
        <w:rPr/>
        <w:pict>
          <v:shape style="position:absolute;margin-left:119.851196pt;margin-top:-10.120531pt;width:120.7pt;height:42.55pt;mso-position-horizontal-relative:page;mso-position-vertical-relative:paragraph;z-index:-808816" type="#_x0000_t202" filled="true" fillcolor="#b6c247" stroked="false">
            <v:textbox inset="0,0,0,0">
              <w:txbxContent>
                <w:p>
                  <w:pPr>
                    <w:pStyle w:val="BodyText"/>
                    <w:spacing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w:pict>
      </w:r>
      <w:hyperlink w:history="true" w:anchor="_bookmark0">
        <w:r>
          <w:rPr>
            <w:color w:val="FFFFFF"/>
            <w:sz w:val="20"/>
          </w:rPr>
          <w:t>CONTENTS</w:t>
        </w:r>
      </w:hyperlink>
      <w:r>
        <w:rPr>
          <w:color w:val="FFFFFF"/>
          <w:sz w:val="20"/>
        </w:rPr>
        <w:tab/>
      </w:r>
      <w:hyperlink w:history="true" w:anchor="_bookmark73">
        <w:r>
          <w:rPr>
            <w:color w:val="FFFFFF"/>
            <w:sz w:val="20"/>
          </w:rPr>
          <w:t>APPENDIX</w:t>
        </w:r>
      </w:hyperlink>
    </w:p>
    <w:p>
      <w:pPr>
        <w:pStyle w:val="BodyText"/>
        <w:rPr>
          <w:sz w:val="20"/>
        </w:rPr>
      </w:pPr>
    </w:p>
    <w:p>
      <w:pPr>
        <w:pStyle w:val="BodyText"/>
        <w:rPr>
          <w:sz w:val="20"/>
        </w:rPr>
      </w:pPr>
    </w:p>
    <w:p>
      <w:pPr>
        <w:pStyle w:val="BodyText"/>
        <w:spacing w:before="8"/>
        <w:rPr>
          <w:sz w:val="21"/>
        </w:rPr>
      </w:pPr>
    </w:p>
    <w:p>
      <w:pPr>
        <w:spacing w:after="0"/>
        <w:rPr>
          <w:sz w:val="21"/>
        </w:rPr>
        <w:sectPr>
          <w:footerReference w:type="default" r:id="rId77"/>
          <w:pgSz w:w="16840" w:h="11910" w:orient="landscape"/>
          <w:pgMar w:footer="448" w:header="0" w:top="0" w:bottom="640" w:left="0" w:right="0"/>
        </w:sectPr>
      </w:pPr>
    </w:p>
    <w:p>
      <w:pPr>
        <w:pStyle w:val="BodyText"/>
        <w:spacing w:before="3"/>
        <w:rPr>
          <w:sz w:val="65"/>
        </w:rPr>
      </w:pPr>
    </w:p>
    <w:p>
      <w:pPr>
        <w:spacing w:before="0"/>
        <w:ind w:left="1162" w:right="0" w:firstLine="0"/>
        <w:jc w:val="left"/>
        <w:rPr>
          <w:b/>
          <w:sz w:val="47"/>
        </w:rPr>
      </w:pPr>
      <w:r>
        <w:rPr>
          <w:b/>
          <w:color w:val="6F2770"/>
          <w:sz w:val="47"/>
        </w:rPr>
        <w:t>Gateway</w:t>
      </w:r>
      <w:r>
        <w:rPr>
          <w:b/>
          <w:color w:val="6F2770"/>
          <w:spacing w:val="-16"/>
          <w:sz w:val="47"/>
        </w:rPr>
        <w:t> </w:t>
      </w:r>
      <w:r>
        <w:rPr>
          <w:b/>
          <w:color w:val="6F2770"/>
          <w:sz w:val="47"/>
        </w:rPr>
        <w:t>Reviews</w:t>
      </w:r>
      <w:r>
        <w:rPr>
          <w:b/>
          <w:color w:val="6F2770"/>
          <w:spacing w:val="-15"/>
          <w:sz w:val="47"/>
        </w:rPr>
        <w:t> </w:t>
      </w:r>
      <w:r>
        <w:rPr>
          <w:b/>
          <w:color w:val="6F2770"/>
          <w:sz w:val="47"/>
        </w:rPr>
        <w:t>Deliver</w:t>
      </w:r>
      <w:r>
        <w:rPr>
          <w:b/>
          <w:color w:val="6F2770"/>
          <w:spacing w:val="-15"/>
          <w:sz w:val="47"/>
        </w:rPr>
        <w:t> </w:t>
      </w:r>
      <w:r>
        <w:rPr>
          <w:b/>
          <w:color w:val="6F2770"/>
          <w:sz w:val="47"/>
        </w:rPr>
        <w:t>Savings</w:t>
      </w:r>
      <w:r>
        <w:rPr>
          <w:b/>
          <w:color w:val="6F2770"/>
          <w:spacing w:val="-15"/>
          <w:sz w:val="47"/>
        </w:rPr>
        <w:t> </w:t>
      </w:r>
      <w:r>
        <w:rPr>
          <w:b/>
          <w:color w:val="6F2770"/>
          <w:sz w:val="47"/>
        </w:rPr>
        <w:t>by</w:t>
      </w:r>
      <w:r>
        <w:rPr>
          <w:b/>
          <w:color w:val="6F2770"/>
          <w:spacing w:val="-15"/>
          <w:sz w:val="47"/>
        </w:rPr>
        <w:t> </w:t>
      </w:r>
      <w:r>
        <w:rPr>
          <w:b/>
          <w:color w:val="6F2770"/>
          <w:sz w:val="47"/>
        </w:rPr>
        <w:t>Avoiding</w:t>
      </w:r>
      <w:r>
        <w:rPr>
          <w:b/>
          <w:color w:val="6F2770"/>
          <w:spacing w:val="-15"/>
          <w:sz w:val="47"/>
        </w:rPr>
        <w:t> </w:t>
      </w:r>
      <w:r>
        <w:rPr>
          <w:b/>
          <w:color w:val="6F2770"/>
          <w:sz w:val="47"/>
        </w:rPr>
        <w:t>Costs</w:t>
      </w:r>
      <w:r>
        <w:rPr>
          <w:b/>
          <w:color w:val="6F2770"/>
          <w:spacing w:val="-15"/>
          <w:sz w:val="47"/>
        </w:rPr>
        <w:t> </w:t>
      </w:r>
      <w:r>
        <w:rPr>
          <w:b/>
          <w:color w:val="6F2770"/>
          <w:sz w:val="47"/>
        </w:rPr>
        <w:t>and</w:t>
      </w:r>
      <w:r>
        <w:rPr>
          <w:b/>
          <w:color w:val="6F2770"/>
          <w:spacing w:val="-15"/>
          <w:sz w:val="47"/>
        </w:rPr>
        <w:t> </w:t>
      </w:r>
      <w:r>
        <w:rPr>
          <w:b/>
          <w:color w:val="6F2770"/>
          <w:spacing w:val="-4"/>
          <w:sz w:val="47"/>
        </w:rPr>
        <w:t>Delays</w:t>
      </w:r>
    </w:p>
    <w:p>
      <w:pPr>
        <w:spacing w:line="208" w:lineRule="auto" w:before="124"/>
        <w:ind w:left="201" w:right="661" w:hanging="137"/>
        <w:jc w:val="left"/>
        <w:rPr>
          <w:sz w:val="16"/>
        </w:rPr>
      </w:pPr>
      <w:r>
        <w:rPr/>
        <w:br w:type="column"/>
      </w:r>
      <w:r>
        <w:rPr>
          <w:color w:val="FFFFFF"/>
          <w:w w:val="95"/>
          <w:sz w:val="16"/>
        </w:rPr>
        <w:t>previous </w:t>
      </w:r>
      <w:r>
        <w:rPr>
          <w:color w:val="FFFFFF"/>
          <w:sz w:val="16"/>
        </w:rPr>
        <w:t>view</w:t>
      </w:r>
    </w:p>
    <w:p>
      <w:pPr>
        <w:spacing w:after="0" w:line="208" w:lineRule="auto"/>
        <w:jc w:val="left"/>
        <w:rPr>
          <w:sz w:val="16"/>
        </w:rPr>
        <w:sectPr>
          <w:type w:val="continuous"/>
          <w:pgSz w:w="16840" w:h="11910" w:orient="landscape"/>
          <w:pgMar w:top="0" w:bottom="0" w:left="0" w:right="0"/>
          <w:cols w:num="2" w:equalWidth="0">
            <w:col w:w="15480" w:space="40"/>
            <w:col w:w="1320"/>
          </w:cols>
        </w:sectPr>
      </w:pPr>
    </w:p>
    <w:p>
      <w:pPr>
        <w:pStyle w:val="BodyText"/>
        <w:spacing w:before="1"/>
        <w:rPr>
          <w:sz w:val="15"/>
        </w:rPr>
      </w:pPr>
    </w:p>
    <w:p>
      <w:pPr>
        <w:spacing w:after="0"/>
        <w:rPr>
          <w:sz w:val="15"/>
        </w:rPr>
        <w:sectPr>
          <w:type w:val="continuous"/>
          <w:pgSz w:w="16840" w:h="11910" w:orient="landscape"/>
          <w:pgMar w:top="0" w:bottom="0" w:left="0" w:right="0"/>
        </w:sectPr>
      </w:pPr>
    </w:p>
    <w:p>
      <w:pPr>
        <w:pStyle w:val="BodyText"/>
        <w:spacing w:line="249" w:lineRule="auto" w:before="106"/>
        <w:ind w:left="1165" w:right="-7"/>
      </w:pPr>
      <w:r>
        <w:rPr>
          <w:spacing w:val="-6"/>
        </w:rPr>
        <w:t>Gateway</w:t>
      </w:r>
      <w:r>
        <w:rPr>
          <w:spacing w:val="-34"/>
        </w:rPr>
        <w:t> </w:t>
      </w:r>
      <w:r>
        <w:rPr>
          <w:spacing w:val="-6"/>
        </w:rPr>
        <w:t>reviews</w:t>
      </w:r>
      <w:r>
        <w:rPr>
          <w:spacing w:val="-34"/>
        </w:rPr>
        <w:t> </w:t>
      </w:r>
      <w:r>
        <w:rPr>
          <w:spacing w:val="-6"/>
        </w:rPr>
        <w:t>enhance</w:t>
      </w:r>
      <w:r>
        <w:rPr>
          <w:spacing w:val="-33"/>
        </w:rPr>
        <w:t> </w:t>
      </w:r>
      <w:r>
        <w:rPr>
          <w:spacing w:val="-5"/>
        </w:rPr>
        <w:t>value</w:t>
      </w:r>
      <w:r>
        <w:rPr>
          <w:spacing w:val="-34"/>
        </w:rPr>
        <w:t> </w:t>
      </w:r>
      <w:r>
        <w:rPr>
          <w:spacing w:val="-4"/>
        </w:rPr>
        <w:t>and</w:t>
      </w:r>
      <w:r>
        <w:rPr>
          <w:spacing w:val="-33"/>
        </w:rPr>
        <w:t> </w:t>
      </w:r>
      <w:r>
        <w:rPr>
          <w:spacing w:val="-6"/>
        </w:rPr>
        <w:t>reduce</w:t>
      </w:r>
      <w:r>
        <w:rPr>
          <w:spacing w:val="-34"/>
        </w:rPr>
        <w:t> </w:t>
      </w:r>
      <w:r>
        <w:rPr>
          <w:spacing w:val="-5"/>
        </w:rPr>
        <w:t>risk</w:t>
      </w:r>
      <w:r>
        <w:rPr>
          <w:spacing w:val="-34"/>
        </w:rPr>
        <w:t> </w:t>
      </w:r>
      <w:r>
        <w:rPr>
          <w:spacing w:val="-6"/>
        </w:rPr>
        <w:t>in </w:t>
      </w:r>
      <w:r>
        <w:rPr>
          <w:spacing w:val="-4"/>
        </w:rPr>
        <w:t>the</w:t>
      </w:r>
      <w:r>
        <w:rPr>
          <w:spacing w:val="-31"/>
        </w:rPr>
        <w:t> </w:t>
      </w:r>
      <w:r>
        <w:rPr>
          <w:spacing w:val="-7"/>
        </w:rPr>
        <w:t>procurement</w:t>
      </w:r>
      <w:r>
        <w:rPr>
          <w:spacing w:val="-30"/>
        </w:rPr>
        <w:t> </w:t>
      </w:r>
      <w:r>
        <w:rPr>
          <w:spacing w:val="-4"/>
        </w:rPr>
        <w:t>and</w:t>
      </w:r>
      <w:r>
        <w:rPr>
          <w:spacing w:val="-31"/>
        </w:rPr>
        <w:t> </w:t>
      </w:r>
      <w:r>
        <w:rPr>
          <w:spacing w:val="-6"/>
        </w:rPr>
        <w:t>delivery</w:t>
      </w:r>
      <w:r>
        <w:rPr>
          <w:spacing w:val="-30"/>
        </w:rPr>
        <w:t> </w:t>
      </w:r>
      <w:r>
        <w:rPr>
          <w:spacing w:val="-3"/>
        </w:rPr>
        <w:t>of</w:t>
      </w:r>
      <w:r>
        <w:rPr>
          <w:spacing w:val="-30"/>
        </w:rPr>
        <w:t> </w:t>
      </w:r>
      <w:r>
        <w:rPr>
          <w:spacing w:val="-5"/>
        </w:rPr>
        <w:t>major</w:t>
      </w:r>
      <w:r>
        <w:rPr>
          <w:spacing w:val="-31"/>
        </w:rPr>
        <w:t> </w:t>
      </w:r>
      <w:r>
        <w:rPr>
          <w:spacing w:val="-6"/>
        </w:rPr>
        <w:t>government projects. </w:t>
      </w:r>
      <w:r>
        <w:rPr>
          <w:b/>
          <w:spacing w:val="-5"/>
        </w:rPr>
        <w:t>Government </w:t>
      </w:r>
      <w:r>
        <w:rPr>
          <w:b/>
          <w:spacing w:val="-7"/>
        </w:rPr>
        <w:t>Procurement </w:t>
      </w:r>
      <w:r>
        <w:rPr>
          <w:spacing w:val="-6"/>
        </w:rPr>
        <w:t>facilitates independent experts </w:t>
      </w:r>
      <w:r>
        <w:rPr>
          <w:spacing w:val="-3"/>
        </w:rPr>
        <w:t>to </w:t>
      </w:r>
      <w:r>
        <w:rPr>
          <w:spacing w:val="-6"/>
        </w:rPr>
        <w:t>undertake assurance reviews </w:t>
      </w:r>
      <w:r>
        <w:rPr>
          <w:spacing w:val="-3"/>
        </w:rPr>
        <w:t>of </w:t>
      </w:r>
      <w:r>
        <w:rPr>
          <w:spacing w:val="-6"/>
        </w:rPr>
        <w:t>projects </w:t>
      </w:r>
      <w:r>
        <w:rPr>
          <w:spacing w:val="-3"/>
        </w:rPr>
        <w:t>at </w:t>
      </w:r>
      <w:r>
        <w:rPr>
          <w:spacing w:val="-6"/>
        </w:rPr>
        <w:t>critical decision points through Gateway</w:t>
      </w:r>
      <w:r>
        <w:rPr>
          <w:spacing w:val="-20"/>
        </w:rPr>
        <w:t> </w:t>
      </w:r>
      <w:r>
        <w:rPr>
          <w:spacing w:val="-7"/>
        </w:rPr>
        <w:t>reviews.</w:t>
      </w:r>
    </w:p>
    <w:p>
      <w:pPr>
        <w:pStyle w:val="BodyText"/>
        <w:spacing w:before="5"/>
        <w:rPr>
          <w:sz w:val="23"/>
        </w:rPr>
      </w:pPr>
    </w:p>
    <w:p>
      <w:pPr>
        <w:pStyle w:val="BodyText"/>
        <w:spacing w:line="249" w:lineRule="auto"/>
        <w:ind w:left="1165" w:right="512"/>
      </w:pPr>
      <w:r>
        <w:rPr>
          <w:spacing w:val="-5"/>
        </w:rPr>
        <w:t>These </w:t>
      </w:r>
      <w:r>
        <w:rPr>
          <w:spacing w:val="-6"/>
        </w:rPr>
        <w:t>reviews provide </w:t>
      </w:r>
      <w:r>
        <w:rPr>
          <w:spacing w:val="-3"/>
        </w:rPr>
        <w:t>an </w:t>
      </w:r>
      <w:r>
        <w:rPr>
          <w:spacing w:val="-6"/>
        </w:rPr>
        <w:t>independent perspective, </w:t>
      </w:r>
      <w:r>
        <w:rPr>
          <w:spacing w:val="-4"/>
        </w:rPr>
        <w:t>and </w:t>
      </w:r>
      <w:r>
        <w:rPr>
          <w:spacing w:val="-6"/>
        </w:rPr>
        <w:t>challenge </w:t>
      </w:r>
      <w:r>
        <w:rPr>
          <w:spacing w:val="-4"/>
        </w:rPr>
        <w:t>the </w:t>
      </w:r>
      <w:r>
        <w:rPr>
          <w:spacing w:val="-7"/>
        </w:rPr>
        <w:t>robustness </w:t>
      </w:r>
      <w:r>
        <w:rPr>
          <w:spacing w:val="-3"/>
        </w:rPr>
        <w:t>of </w:t>
      </w:r>
      <w:r>
        <w:rPr>
          <w:spacing w:val="-5"/>
        </w:rPr>
        <w:t>plans </w:t>
      </w:r>
      <w:r>
        <w:rPr>
          <w:spacing w:val="-4"/>
        </w:rPr>
        <w:t>and </w:t>
      </w:r>
      <w:r>
        <w:rPr>
          <w:spacing w:val="-6"/>
        </w:rPr>
        <w:t>processes adopted </w:t>
      </w:r>
      <w:r>
        <w:rPr>
          <w:spacing w:val="-3"/>
        </w:rPr>
        <w:t>by </w:t>
      </w:r>
      <w:r>
        <w:rPr>
          <w:spacing w:val="-7"/>
        </w:rPr>
        <w:t>project </w:t>
      </w:r>
      <w:r>
        <w:rPr>
          <w:spacing w:val="-5"/>
        </w:rPr>
        <w:t>teams.</w:t>
      </w:r>
      <w:r>
        <w:rPr>
          <w:spacing w:val="-33"/>
        </w:rPr>
        <w:t> </w:t>
      </w:r>
      <w:r>
        <w:rPr>
          <w:spacing w:val="-6"/>
        </w:rPr>
        <w:t>Gateway</w:t>
      </w:r>
      <w:r>
        <w:rPr>
          <w:spacing w:val="-33"/>
        </w:rPr>
        <w:t> </w:t>
      </w:r>
      <w:r>
        <w:rPr>
          <w:spacing w:val="-6"/>
        </w:rPr>
        <w:t>reviews</w:t>
      </w:r>
      <w:r>
        <w:rPr>
          <w:spacing w:val="-33"/>
        </w:rPr>
        <w:t> </w:t>
      </w:r>
      <w:r>
        <w:rPr>
          <w:spacing w:val="-5"/>
        </w:rPr>
        <w:t>also</w:t>
      </w:r>
      <w:r>
        <w:rPr>
          <w:spacing w:val="-34"/>
        </w:rPr>
        <w:t> </w:t>
      </w:r>
      <w:r>
        <w:rPr>
          <w:spacing w:val="-5"/>
        </w:rPr>
        <w:t>seek</w:t>
      </w:r>
      <w:r>
        <w:rPr>
          <w:spacing w:val="-33"/>
        </w:rPr>
        <w:t> </w:t>
      </w:r>
      <w:r>
        <w:rPr>
          <w:spacing w:val="-3"/>
        </w:rPr>
        <w:t>to</w:t>
      </w:r>
      <w:r>
        <w:rPr>
          <w:spacing w:val="-33"/>
        </w:rPr>
        <w:t> </w:t>
      </w:r>
      <w:r>
        <w:rPr>
          <w:spacing w:val="-6"/>
        </w:rPr>
        <w:t>identify potential</w:t>
      </w:r>
      <w:r>
        <w:rPr>
          <w:spacing w:val="-36"/>
        </w:rPr>
        <w:t> </w:t>
      </w:r>
      <w:r>
        <w:rPr>
          <w:spacing w:val="-5"/>
        </w:rPr>
        <w:t>issues</w:t>
      </w:r>
      <w:r>
        <w:rPr>
          <w:spacing w:val="-35"/>
        </w:rPr>
        <w:t> </w:t>
      </w:r>
      <w:r>
        <w:rPr>
          <w:spacing w:val="-4"/>
        </w:rPr>
        <w:t>and</w:t>
      </w:r>
      <w:r>
        <w:rPr>
          <w:spacing w:val="-35"/>
        </w:rPr>
        <w:t> </w:t>
      </w:r>
      <w:r>
        <w:rPr>
          <w:spacing w:val="-6"/>
        </w:rPr>
        <w:t>intervention</w:t>
      </w:r>
      <w:r>
        <w:rPr>
          <w:spacing w:val="-35"/>
        </w:rPr>
        <w:t> </w:t>
      </w:r>
      <w:r>
        <w:rPr>
          <w:spacing w:val="-6"/>
        </w:rPr>
        <w:t>strategies</w:t>
      </w:r>
      <w:r>
        <w:rPr>
          <w:spacing w:val="-35"/>
        </w:rPr>
        <w:t> </w:t>
      </w:r>
      <w:r>
        <w:rPr>
          <w:spacing w:val="-6"/>
        </w:rPr>
        <w:t>to</w:t>
      </w:r>
    </w:p>
    <w:p>
      <w:pPr>
        <w:pStyle w:val="BodyText"/>
        <w:spacing w:line="249" w:lineRule="auto" w:before="5"/>
        <w:ind w:left="1165" w:right="186"/>
      </w:pPr>
      <w:r>
        <w:rPr>
          <w:spacing w:val="-5"/>
        </w:rPr>
        <w:t>avoid </w:t>
      </w:r>
      <w:r>
        <w:rPr>
          <w:spacing w:val="-6"/>
        </w:rPr>
        <w:t>emergent </w:t>
      </w:r>
      <w:r>
        <w:rPr>
          <w:spacing w:val="-5"/>
        </w:rPr>
        <w:t>risks, </w:t>
      </w:r>
      <w:r>
        <w:rPr>
          <w:spacing w:val="-6"/>
        </w:rPr>
        <w:t>improving overall </w:t>
      </w:r>
      <w:r>
        <w:rPr>
          <w:spacing w:val="-7"/>
        </w:rPr>
        <w:t>project </w:t>
      </w:r>
      <w:r>
        <w:rPr>
          <w:spacing w:val="-5"/>
        </w:rPr>
        <w:t>governance</w:t>
      </w:r>
      <w:r>
        <w:rPr>
          <w:spacing w:val="-40"/>
        </w:rPr>
        <w:t> </w:t>
      </w:r>
      <w:r>
        <w:rPr>
          <w:spacing w:val="-4"/>
        </w:rPr>
        <w:t>and</w:t>
      </w:r>
      <w:r>
        <w:rPr>
          <w:spacing w:val="-39"/>
        </w:rPr>
        <w:t> </w:t>
      </w:r>
      <w:r>
        <w:rPr>
          <w:spacing w:val="-6"/>
        </w:rPr>
        <w:t>management.</w:t>
      </w:r>
      <w:r>
        <w:rPr>
          <w:spacing w:val="-40"/>
        </w:rPr>
        <w:t> </w:t>
      </w:r>
      <w:r>
        <w:rPr>
          <w:spacing w:val="-5"/>
        </w:rPr>
        <w:t>These</w:t>
      </w:r>
      <w:r>
        <w:rPr>
          <w:spacing w:val="-39"/>
        </w:rPr>
        <w:t> </w:t>
      </w:r>
      <w:r>
        <w:rPr>
          <w:spacing w:val="-6"/>
        </w:rPr>
        <w:t>outcomes increase </w:t>
      </w:r>
      <w:r>
        <w:rPr>
          <w:spacing w:val="-4"/>
        </w:rPr>
        <w:t>the </w:t>
      </w:r>
      <w:r>
        <w:rPr>
          <w:spacing w:val="-6"/>
        </w:rPr>
        <w:t>likelihood projects </w:t>
      </w:r>
      <w:r>
        <w:rPr>
          <w:spacing w:val="-5"/>
        </w:rPr>
        <w:t>will </w:t>
      </w:r>
      <w:r>
        <w:rPr>
          <w:spacing w:val="-6"/>
        </w:rPr>
        <w:t>realise their expected targets </w:t>
      </w:r>
      <w:r>
        <w:rPr>
          <w:spacing w:val="-4"/>
        </w:rPr>
        <w:t>and</w:t>
      </w:r>
      <w:r>
        <w:rPr>
          <w:spacing w:val="-26"/>
        </w:rPr>
        <w:t> </w:t>
      </w:r>
      <w:r>
        <w:rPr>
          <w:spacing w:val="-6"/>
        </w:rPr>
        <w:t>value.</w:t>
      </w:r>
    </w:p>
    <w:p>
      <w:pPr>
        <w:pStyle w:val="BodyText"/>
        <w:spacing w:before="3"/>
        <w:rPr>
          <w:sz w:val="23"/>
        </w:rPr>
      </w:pPr>
    </w:p>
    <w:p>
      <w:pPr>
        <w:pStyle w:val="BodyText"/>
        <w:spacing w:line="249" w:lineRule="auto"/>
        <w:ind w:left="1165" w:right="493"/>
      </w:pPr>
      <w:r>
        <w:rPr>
          <w:spacing w:val="-5"/>
        </w:rPr>
        <w:t>Under </w:t>
      </w:r>
      <w:r>
        <w:rPr>
          <w:spacing w:val="-4"/>
        </w:rPr>
        <w:t>the </w:t>
      </w:r>
      <w:r>
        <w:rPr>
          <w:spacing w:val="-6"/>
        </w:rPr>
        <w:t>Gateway process, </w:t>
      </w:r>
      <w:r>
        <w:rPr/>
        <w:t>a </w:t>
      </w:r>
      <w:r>
        <w:rPr>
          <w:spacing w:val="-5"/>
        </w:rPr>
        <w:t>team </w:t>
      </w:r>
      <w:r>
        <w:rPr>
          <w:spacing w:val="-6"/>
        </w:rPr>
        <w:t>of independent, accredited reviewers analyse </w:t>
      </w:r>
      <w:r>
        <w:rPr>
          <w:spacing w:val="-4"/>
        </w:rPr>
        <w:t>the</w:t>
      </w:r>
      <w:r>
        <w:rPr>
          <w:spacing w:val="-29"/>
        </w:rPr>
        <w:t> </w:t>
      </w:r>
      <w:r>
        <w:rPr>
          <w:spacing w:val="-5"/>
        </w:rPr>
        <w:t>health</w:t>
      </w:r>
      <w:r>
        <w:rPr>
          <w:spacing w:val="-28"/>
        </w:rPr>
        <w:t> </w:t>
      </w:r>
      <w:r>
        <w:rPr>
          <w:spacing w:val="-3"/>
        </w:rPr>
        <w:t>of</w:t>
      </w:r>
      <w:r>
        <w:rPr>
          <w:spacing w:val="-28"/>
        </w:rPr>
        <w:t> </w:t>
      </w:r>
      <w:r>
        <w:rPr/>
        <w:t>a</w:t>
      </w:r>
      <w:r>
        <w:rPr>
          <w:spacing w:val="-28"/>
        </w:rPr>
        <w:t> </w:t>
      </w:r>
      <w:r>
        <w:rPr>
          <w:spacing w:val="-6"/>
        </w:rPr>
        <w:t>project</w:t>
      </w:r>
      <w:r>
        <w:rPr>
          <w:spacing w:val="-28"/>
        </w:rPr>
        <w:t> </w:t>
      </w:r>
      <w:r>
        <w:rPr>
          <w:spacing w:val="-3"/>
        </w:rPr>
        <w:t>at</w:t>
      </w:r>
      <w:r>
        <w:rPr>
          <w:spacing w:val="-28"/>
        </w:rPr>
        <w:t> </w:t>
      </w:r>
      <w:r>
        <w:rPr>
          <w:spacing w:val="-4"/>
        </w:rPr>
        <w:t>key</w:t>
      </w:r>
      <w:r>
        <w:rPr>
          <w:spacing w:val="-28"/>
        </w:rPr>
        <w:t> </w:t>
      </w:r>
      <w:r>
        <w:rPr>
          <w:spacing w:val="-5"/>
        </w:rPr>
        <w:t>stages</w:t>
      </w:r>
      <w:r>
        <w:rPr>
          <w:spacing w:val="-28"/>
        </w:rPr>
        <w:t> </w:t>
      </w:r>
      <w:r>
        <w:rPr>
          <w:spacing w:val="-6"/>
        </w:rPr>
        <w:t>(gates)</w:t>
      </w:r>
      <w:r>
        <w:rPr>
          <w:spacing w:val="-29"/>
        </w:rPr>
        <w:t> </w:t>
      </w:r>
      <w:r>
        <w:rPr>
          <w:spacing w:val="-6"/>
        </w:rPr>
        <w:t>in </w:t>
      </w:r>
      <w:r>
        <w:rPr>
          <w:spacing w:val="-4"/>
        </w:rPr>
        <w:t>the</w:t>
      </w:r>
      <w:r>
        <w:rPr>
          <w:spacing w:val="-24"/>
        </w:rPr>
        <w:t> </w:t>
      </w:r>
      <w:r>
        <w:rPr>
          <w:spacing w:val="-6"/>
        </w:rPr>
        <w:t>project</w:t>
      </w:r>
      <w:r>
        <w:rPr>
          <w:spacing w:val="-24"/>
        </w:rPr>
        <w:t> </w:t>
      </w:r>
      <w:r>
        <w:rPr>
          <w:spacing w:val="-6"/>
        </w:rPr>
        <w:t>lifecycle,</w:t>
      </w:r>
      <w:r>
        <w:rPr>
          <w:spacing w:val="-24"/>
        </w:rPr>
        <w:t> </w:t>
      </w:r>
      <w:r>
        <w:rPr>
          <w:spacing w:val="-4"/>
        </w:rPr>
        <w:t>and</w:t>
      </w:r>
      <w:r>
        <w:rPr>
          <w:spacing w:val="-24"/>
        </w:rPr>
        <w:t> </w:t>
      </w:r>
      <w:r>
        <w:rPr>
          <w:spacing w:val="-6"/>
        </w:rPr>
        <w:t>deliver</w:t>
      </w:r>
      <w:r>
        <w:rPr>
          <w:spacing w:val="-24"/>
        </w:rPr>
        <w:t> </w:t>
      </w:r>
      <w:r>
        <w:rPr/>
        <w:t>a</w:t>
      </w:r>
      <w:r>
        <w:rPr>
          <w:spacing w:val="-24"/>
        </w:rPr>
        <w:t> </w:t>
      </w:r>
      <w:r>
        <w:rPr>
          <w:spacing w:val="-6"/>
        </w:rPr>
        <w:t>report</w:t>
      </w:r>
      <w:r>
        <w:rPr>
          <w:spacing w:val="-24"/>
        </w:rPr>
        <w:t> </w:t>
      </w:r>
      <w:r>
        <w:rPr>
          <w:spacing w:val="-6"/>
        </w:rPr>
        <w:t>with</w:t>
      </w:r>
    </w:p>
    <w:p>
      <w:pPr>
        <w:pStyle w:val="BodyText"/>
        <w:spacing w:before="3"/>
        <w:ind w:left="1165"/>
      </w:pPr>
      <w:r>
        <w:rPr>
          <w:spacing w:val="-6"/>
        </w:rPr>
        <w:t>recommendations.</w:t>
      </w:r>
      <w:r>
        <w:rPr>
          <w:spacing w:val="-29"/>
        </w:rPr>
        <w:t> </w:t>
      </w:r>
      <w:r>
        <w:rPr>
          <w:spacing w:val="-6"/>
        </w:rPr>
        <w:t>Depending</w:t>
      </w:r>
      <w:r>
        <w:rPr>
          <w:spacing w:val="-28"/>
        </w:rPr>
        <w:t> </w:t>
      </w:r>
      <w:r>
        <w:rPr>
          <w:spacing w:val="-3"/>
        </w:rPr>
        <w:t>on</w:t>
      </w:r>
      <w:r>
        <w:rPr>
          <w:spacing w:val="-28"/>
        </w:rPr>
        <w:t> </w:t>
      </w:r>
      <w:r>
        <w:rPr>
          <w:spacing w:val="-4"/>
        </w:rPr>
        <w:t>the</w:t>
      </w:r>
      <w:r>
        <w:rPr>
          <w:spacing w:val="-29"/>
        </w:rPr>
        <w:t> </w:t>
      </w:r>
      <w:r>
        <w:rPr>
          <w:spacing w:val="-6"/>
        </w:rPr>
        <w:t>nature</w:t>
      </w:r>
      <w:r>
        <w:rPr>
          <w:spacing w:val="-28"/>
        </w:rPr>
        <w:t> </w:t>
      </w:r>
      <w:r>
        <w:rPr>
          <w:spacing w:val="-3"/>
        </w:rPr>
        <w:t>of</w:t>
      </w:r>
      <w:r>
        <w:rPr>
          <w:spacing w:val="-28"/>
        </w:rPr>
        <w:t> </w:t>
      </w:r>
      <w:r>
        <w:rPr>
          <w:spacing w:val="-6"/>
        </w:rPr>
        <w:t>the</w:t>
      </w:r>
    </w:p>
    <w:p>
      <w:pPr>
        <w:pStyle w:val="BodyText"/>
        <w:spacing w:line="249" w:lineRule="auto" w:before="106"/>
        <w:ind w:left="386" w:right="115"/>
      </w:pPr>
      <w:r>
        <w:rPr/>
        <w:br w:type="column"/>
      </w:r>
      <w:r>
        <w:rPr>
          <w:spacing w:val="-4"/>
        </w:rPr>
        <w:t>For</w:t>
      </w:r>
      <w:r>
        <w:rPr>
          <w:spacing w:val="-34"/>
        </w:rPr>
        <w:t> </w:t>
      </w:r>
      <w:r>
        <w:rPr>
          <w:spacing w:val="-6"/>
        </w:rPr>
        <w:t>example,</w:t>
      </w:r>
      <w:r>
        <w:rPr>
          <w:spacing w:val="-33"/>
        </w:rPr>
        <w:t> </w:t>
      </w:r>
      <w:r>
        <w:rPr>
          <w:spacing w:val="-5"/>
        </w:rPr>
        <w:t>this</w:t>
      </w:r>
      <w:r>
        <w:rPr>
          <w:spacing w:val="-33"/>
        </w:rPr>
        <w:t> </w:t>
      </w:r>
      <w:r>
        <w:rPr>
          <w:spacing w:val="-5"/>
        </w:rPr>
        <w:t>year</w:t>
      </w:r>
      <w:r>
        <w:rPr>
          <w:spacing w:val="-33"/>
        </w:rPr>
        <w:t> </w:t>
      </w:r>
      <w:r>
        <w:rPr>
          <w:spacing w:val="-4"/>
        </w:rPr>
        <w:t>the</w:t>
      </w:r>
      <w:r>
        <w:rPr>
          <w:spacing w:val="-34"/>
        </w:rPr>
        <w:t> </w:t>
      </w:r>
      <w:r>
        <w:rPr>
          <w:spacing w:val="-6"/>
        </w:rPr>
        <w:t>Department</w:t>
      </w:r>
      <w:r>
        <w:rPr>
          <w:spacing w:val="-33"/>
        </w:rPr>
        <w:t> </w:t>
      </w:r>
      <w:r>
        <w:rPr>
          <w:spacing w:val="-3"/>
        </w:rPr>
        <w:t>of</w:t>
      </w:r>
      <w:r>
        <w:rPr>
          <w:spacing w:val="-33"/>
        </w:rPr>
        <w:t> </w:t>
      </w:r>
      <w:r>
        <w:rPr>
          <w:spacing w:val="-6"/>
        </w:rPr>
        <w:t>Finance </w:t>
      </w:r>
      <w:r>
        <w:rPr>
          <w:spacing w:val="-5"/>
        </w:rPr>
        <w:t>worked </w:t>
      </w:r>
      <w:r>
        <w:rPr>
          <w:spacing w:val="-3"/>
        </w:rPr>
        <w:t>in </w:t>
      </w:r>
      <w:r>
        <w:rPr>
          <w:spacing w:val="-6"/>
        </w:rPr>
        <w:t>collaboration </w:t>
      </w:r>
      <w:r>
        <w:rPr>
          <w:spacing w:val="-5"/>
        </w:rPr>
        <w:t>with </w:t>
      </w:r>
      <w:r>
        <w:rPr>
          <w:spacing w:val="-4"/>
        </w:rPr>
        <w:t>the </w:t>
      </w:r>
      <w:r>
        <w:rPr>
          <w:spacing w:val="-5"/>
        </w:rPr>
        <w:t>Office </w:t>
      </w:r>
      <w:r>
        <w:rPr>
          <w:spacing w:val="-3"/>
        </w:rPr>
        <w:t>of </w:t>
      </w:r>
      <w:r>
        <w:rPr>
          <w:spacing w:val="-6"/>
        </w:rPr>
        <w:t>the </w:t>
      </w:r>
      <w:r>
        <w:rPr>
          <w:spacing w:val="-5"/>
        </w:rPr>
        <w:t>Government Chief </w:t>
      </w:r>
      <w:r>
        <w:rPr>
          <w:spacing w:val="-6"/>
        </w:rPr>
        <w:t>Information </w:t>
      </w:r>
      <w:r>
        <w:rPr>
          <w:spacing w:val="-5"/>
        </w:rPr>
        <w:t>Officer </w:t>
      </w:r>
      <w:r>
        <w:rPr>
          <w:spacing w:val="-6"/>
        </w:rPr>
        <w:t>to undertake </w:t>
      </w:r>
      <w:r>
        <w:rPr>
          <w:spacing w:val="-4"/>
        </w:rPr>
        <w:t>the </w:t>
      </w:r>
      <w:r>
        <w:rPr>
          <w:i/>
          <w:spacing w:val="-9"/>
        </w:rPr>
        <w:t>Tender </w:t>
      </w:r>
      <w:r>
        <w:rPr>
          <w:i/>
          <w:spacing w:val="-6"/>
        </w:rPr>
        <w:t>Decision </w:t>
      </w:r>
      <w:r>
        <w:rPr>
          <w:spacing w:val="-6"/>
        </w:rPr>
        <w:t>Gateway </w:t>
      </w:r>
      <w:r>
        <w:rPr>
          <w:spacing w:val="-7"/>
        </w:rPr>
        <w:t>review </w:t>
      </w:r>
      <w:r>
        <w:rPr>
          <w:spacing w:val="-4"/>
        </w:rPr>
        <w:t>for the </w:t>
      </w:r>
      <w:r>
        <w:rPr>
          <w:spacing w:val="-6"/>
        </w:rPr>
        <w:t>GovNext-ICT project. </w:t>
      </w:r>
      <w:r>
        <w:rPr>
          <w:spacing w:val="-4"/>
        </w:rPr>
        <w:t>The </w:t>
      </w:r>
      <w:r>
        <w:rPr>
          <w:spacing w:val="-6"/>
        </w:rPr>
        <w:t>GovNext-ICT Program</w:t>
      </w:r>
      <w:r>
        <w:rPr>
          <w:spacing w:val="-33"/>
        </w:rPr>
        <w:t> </w:t>
      </w:r>
      <w:r>
        <w:rPr>
          <w:spacing w:val="-5"/>
        </w:rPr>
        <w:t>aims</w:t>
      </w:r>
      <w:r>
        <w:rPr>
          <w:spacing w:val="-32"/>
        </w:rPr>
        <w:t> </w:t>
      </w:r>
      <w:r>
        <w:rPr>
          <w:spacing w:val="-3"/>
        </w:rPr>
        <w:t>to</w:t>
      </w:r>
      <w:r>
        <w:rPr>
          <w:spacing w:val="-33"/>
        </w:rPr>
        <w:t> </w:t>
      </w:r>
      <w:r>
        <w:rPr>
          <w:spacing w:val="-7"/>
        </w:rPr>
        <w:t>progress</w:t>
      </w:r>
      <w:r>
        <w:rPr>
          <w:spacing w:val="-32"/>
        </w:rPr>
        <w:t> </w:t>
      </w:r>
      <w:r>
        <w:rPr>
          <w:spacing w:val="-4"/>
        </w:rPr>
        <w:t>the</w:t>
      </w:r>
      <w:r>
        <w:rPr>
          <w:spacing w:val="-32"/>
        </w:rPr>
        <w:t> </w:t>
      </w:r>
      <w:r>
        <w:rPr>
          <w:spacing w:val="-6"/>
        </w:rPr>
        <w:t>Western</w:t>
      </w:r>
      <w:r>
        <w:rPr>
          <w:spacing w:val="-33"/>
        </w:rPr>
        <w:t> </w:t>
      </w:r>
      <w:r>
        <w:rPr>
          <w:spacing w:val="-6"/>
        </w:rPr>
        <w:t>Australian</w:t>
      </w:r>
    </w:p>
    <w:p>
      <w:pPr>
        <w:pStyle w:val="BodyText"/>
        <w:spacing w:line="249" w:lineRule="auto" w:before="6"/>
        <w:ind w:left="386" w:right="-8"/>
      </w:pPr>
      <w:r>
        <w:rPr>
          <w:spacing w:val="-5"/>
        </w:rPr>
        <w:t>government</w:t>
      </w:r>
      <w:r>
        <w:rPr>
          <w:spacing w:val="-30"/>
        </w:rPr>
        <w:t> </w:t>
      </w:r>
      <w:r>
        <w:rPr>
          <w:spacing w:val="-6"/>
        </w:rPr>
        <w:t>from</w:t>
      </w:r>
      <w:r>
        <w:rPr>
          <w:spacing w:val="-30"/>
        </w:rPr>
        <w:t> </w:t>
      </w:r>
      <w:r>
        <w:rPr>
          <w:spacing w:val="-3"/>
        </w:rPr>
        <w:t>an</w:t>
      </w:r>
      <w:r>
        <w:rPr>
          <w:spacing w:val="-29"/>
        </w:rPr>
        <w:t> </w:t>
      </w:r>
      <w:r>
        <w:rPr>
          <w:spacing w:val="-5"/>
        </w:rPr>
        <w:t>owner</w:t>
      </w:r>
      <w:r>
        <w:rPr>
          <w:spacing w:val="-30"/>
        </w:rPr>
        <w:t> </w:t>
      </w:r>
      <w:r>
        <w:rPr>
          <w:spacing w:val="-6"/>
        </w:rPr>
        <w:t>operator</w:t>
      </w:r>
      <w:r>
        <w:rPr>
          <w:spacing w:val="-29"/>
        </w:rPr>
        <w:t> </w:t>
      </w:r>
      <w:r>
        <w:rPr>
          <w:spacing w:val="-3"/>
        </w:rPr>
        <w:t>of</w:t>
      </w:r>
      <w:r>
        <w:rPr>
          <w:spacing w:val="-30"/>
        </w:rPr>
        <w:t> </w:t>
      </w:r>
      <w:r>
        <w:rPr>
          <w:spacing w:val="-6"/>
        </w:rPr>
        <w:t>Information Communication</w:t>
      </w:r>
      <w:r>
        <w:rPr>
          <w:spacing w:val="-29"/>
        </w:rPr>
        <w:t> </w:t>
      </w:r>
      <w:r>
        <w:rPr>
          <w:spacing w:val="-8"/>
        </w:rPr>
        <w:t>Technology</w:t>
      </w:r>
      <w:r>
        <w:rPr>
          <w:spacing w:val="-28"/>
        </w:rPr>
        <w:t> </w:t>
      </w:r>
      <w:r>
        <w:rPr>
          <w:spacing w:val="-5"/>
        </w:rPr>
        <w:t>(ICT)</w:t>
      </w:r>
      <w:r>
        <w:rPr>
          <w:spacing w:val="-28"/>
        </w:rPr>
        <w:t> </w:t>
      </w:r>
      <w:r>
        <w:rPr>
          <w:spacing w:val="-6"/>
        </w:rPr>
        <w:t>infrastructure</w:t>
      </w:r>
    </w:p>
    <w:p>
      <w:pPr>
        <w:pStyle w:val="BodyText"/>
        <w:spacing w:line="249" w:lineRule="auto" w:before="1"/>
        <w:ind w:left="386" w:right="269"/>
      </w:pPr>
      <w:r>
        <w:rPr>
          <w:spacing w:val="-3"/>
        </w:rPr>
        <w:t>to </w:t>
      </w:r>
      <w:r>
        <w:rPr>
          <w:spacing w:val="-6"/>
        </w:rPr>
        <w:t>consumers </w:t>
      </w:r>
      <w:r>
        <w:rPr>
          <w:spacing w:val="-3"/>
        </w:rPr>
        <w:t>of </w:t>
      </w:r>
      <w:r>
        <w:rPr>
          <w:spacing w:val="-4"/>
        </w:rPr>
        <w:t>ICT </w:t>
      </w:r>
      <w:r>
        <w:rPr>
          <w:spacing w:val="-6"/>
        </w:rPr>
        <w:t>infrastructure services. </w:t>
      </w:r>
      <w:r>
        <w:rPr>
          <w:spacing w:val="-5"/>
        </w:rPr>
        <w:t>This</w:t>
      </w:r>
      <w:r>
        <w:rPr>
          <w:spacing w:val="-37"/>
        </w:rPr>
        <w:t> </w:t>
      </w:r>
      <w:r>
        <w:rPr>
          <w:spacing w:val="-6"/>
        </w:rPr>
        <w:t>initiative</w:t>
      </w:r>
      <w:r>
        <w:rPr>
          <w:spacing w:val="-36"/>
        </w:rPr>
        <w:t> </w:t>
      </w:r>
      <w:r>
        <w:rPr>
          <w:spacing w:val="-5"/>
        </w:rPr>
        <w:t>will</w:t>
      </w:r>
      <w:r>
        <w:rPr>
          <w:spacing w:val="-37"/>
        </w:rPr>
        <w:t> </w:t>
      </w:r>
      <w:r>
        <w:rPr>
          <w:spacing w:val="-5"/>
        </w:rPr>
        <w:t>modernise</w:t>
      </w:r>
      <w:r>
        <w:rPr>
          <w:spacing w:val="-36"/>
        </w:rPr>
        <w:t> </w:t>
      </w:r>
      <w:r>
        <w:rPr>
          <w:spacing w:val="-4"/>
        </w:rPr>
        <w:t>and</w:t>
      </w:r>
      <w:r>
        <w:rPr>
          <w:spacing w:val="-37"/>
        </w:rPr>
        <w:t> </w:t>
      </w:r>
      <w:r>
        <w:rPr>
          <w:spacing w:val="-6"/>
        </w:rPr>
        <w:t>consolidate</w:t>
      </w:r>
      <w:r>
        <w:rPr>
          <w:spacing w:val="-36"/>
        </w:rPr>
        <w:t> </w:t>
      </w:r>
      <w:r>
        <w:rPr>
          <w:spacing w:val="-6"/>
        </w:rPr>
        <w:t>the </w:t>
      </w:r>
      <w:r>
        <w:rPr>
          <w:spacing w:val="-8"/>
        </w:rPr>
        <w:t>Government’s</w:t>
      </w:r>
      <w:r>
        <w:rPr>
          <w:spacing w:val="-39"/>
        </w:rPr>
        <w:t> </w:t>
      </w:r>
      <w:r>
        <w:rPr>
          <w:spacing w:val="-4"/>
        </w:rPr>
        <w:t>ICT</w:t>
      </w:r>
      <w:r>
        <w:rPr>
          <w:spacing w:val="-38"/>
        </w:rPr>
        <w:t> </w:t>
      </w:r>
      <w:r>
        <w:rPr>
          <w:spacing w:val="-6"/>
        </w:rPr>
        <w:t>infrastructure,</w:t>
      </w:r>
      <w:r>
        <w:rPr>
          <w:spacing w:val="-39"/>
        </w:rPr>
        <w:t> </w:t>
      </w:r>
      <w:r>
        <w:rPr>
          <w:spacing w:val="-5"/>
        </w:rPr>
        <w:t>while</w:t>
      </w:r>
      <w:r>
        <w:rPr>
          <w:spacing w:val="-38"/>
        </w:rPr>
        <w:t> </w:t>
      </w:r>
      <w:r>
        <w:rPr>
          <w:spacing w:val="-7"/>
        </w:rPr>
        <w:t>reducing </w:t>
      </w:r>
      <w:r>
        <w:rPr>
          <w:spacing w:val="-5"/>
        </w:rPr>
        <w:t>costs </w:t>
      </w:r>
      <w:r>
        <w:rPr>
          <w:spacing w:val="-4"/>
        </w:rPr>
        <w:t>and </w:t>
      </w:r>
      <w:r>
        <w:rPr>
          <w:spacing w:val="-6"/>
        </w:rPr>
        <w:t>security</w:t>
      </w:r>
      <w:r>
        <w:rPr>
          <w:spacing w:val="-28"/>
        </w:rPr>
        <w:t> </w:t>
      </w:r>
      <w:r>
        <w:rPr>
          <w:spacing w:val="-6"/>
        </w:rPr>
        <w:t>risks.</w:t>
      </w:r>
    </w:p>
    <w:p>
      <w:pPr>
        <w:pStyle w:val="BodyText"/>
        <w:spacing w:before="3"/>
        <w:rPr>
          <w:sz w:val="23"/>
        </w:rPr>
      </w:pPr>
    </w:p>
    <w:p>
      <w:pPr>
        <w:pStyle w:val="BodyText"/>
        <w:spacing w:line="249" w:lineRule="auto" w:before="1"/>
        <w:ind w:left="386" w:right="180"/>
      </w:pPr>
      <w:r>
        <w:rPr>
          <w:spacing w:val="-4"/>
        </w:rPr>
        <w:t>The </w:t>
      </w:r>
      <w:r>
        <w:rPr>
          <w:i/>
          <w:spacing w:val="-9"/>
        </w:rPr>
        <w:t>Tender </w:t>
      </w:r>
      <w:r>
        <w:rPr>
          <w:i/>
          <w:spacing w:val="-6"/>
        </w:rPr>
        <w:t>Decision </w:t>
      </w:r>
      <w:r>
        <w:rPr>
          <w:spacing w:val="-6"/>
        </w:rPr>
        <w:t>Gateway review for GovNext-ICT </w:t>
      </w:r>
      <w:r>
        <w:rPr>
          <w:spacing w:val="-5"/>
        </w:rPr>
        <w:t>confirmed </w:t>
      </w:r>
      <w:r>
        <w:rPr>
          <w:spacing w:val="-4"/>
        </w:rPr>
        <w:t>the </w:t>
      </w:r>
      <w:r>
        <w:rPr>
          <w:spacing w:val="-6"/>
        </w:rPr>
        <w:t>business </w:t>
      </w:r>
      <w:r>
        <w:rPr>
          <w:spacing w:val="-5"/>
        </w:rPr>
        <w:t>case </w:t>
      </w:r>
      <w:r>
        <w:rPr>
          <w:spacing w:val="-6"/>
        </w:rPr>
        <w:t>and </w:t>
      </w:r>
      <w:r>
        <w:rPr>
          <w:spacing w:val="-5"/>
        </w:rPr>
        <w:t>benefits plan based </w:t>
      </w:r>
      <w:r>
        <w:rPr>
          <w:spacing w:val="-3"/>
        </w:rPr>
        <w:t>on </w:t>
      </w:r>
      <w:r>
        <w:rPr>
          <w:spacing w:val="-6"/>
        </w:rPr>
        <w:t>responses </w:t>
      </w:r>
      <w:r>
        <w:rPr>
          <w:spacing w:val="-7"/>
        </w:rPr>
        <w:t>received </w:t>
      </w:r>
      <w:r>
        <w:rPr>
          <w:spacing w:val="-6"/>
        </w:rPr>
        <w:t>through </w:t>
      </w:r>
      <w:r>
        <w:rPr>
          <w:spacing w:val="-4"/>
        </w:rPr>
        <w:t>the </w:t>
      </w:r>
      <w:r>
        <w:rPr>
          <w:spacing w:val="-6"/>
        </w:rPr>
        <w:t>tendering process. </w:t>
      </w:r>
      <w:r>
        <w:rPr>
          <w:spacing w:val="-4"/>
        </w:rPr>
        <w:t>The </w:t>
      </w:r>
      <w:r>
        <w:rPr>
          <w:spacing w:val="-6"/>
        </w:rPr>
        <w:t>review also </w:t>
      </w:r>
      <w:r>
        <w:rPr>
          <w:spacing w:val="-5"/>
        </w:rPr>
        <w:t>confirmed</w:t>
      </w:r>
      <w:r>
        <w:rPr>
          <w:spacing w:val="-33"/>
        </w:rPr>
        <w:t> </w:t>
      </w:r>
      <w:r>
        <w:rPr>
          <w:spacing w:val="-4"/>
        </w:rPr>
        <w:t>all</w:t>
      </w:r>
      <w:r>
        <w:rPr>
          <w:spacing w:val="-33"/>
        </w:rPr>
        <w:t> </w:t>
      </w:r>
      <w:r>
        <w:rPr>
          <w:spacing w:val="-6"/>
        </w:rPr>
        <w:t>necessary</w:t>
      </w:r>
      <w:r>
        <w:rPr>
          <w:spacing w:val="-33"/>
        </w:rPr>
        <w:t> </w:t>
      </w:r>
      <w:r>
        <w:rPr>
          <w:spacing w:val="-6"/>
        </w:rPr>
        <w:t>statutory</w:t>
      </w:r>
      <w:r>
        <w:rPr>
          <w:spacing w:val="-33"/>
        </w:rPr>
        <w:t> </w:t>
      </w:r>
      <w:r>
        <w:rPr>
          <w:spacing w:val="-4"/>
        </w:rPr>
        <w:t>and</w:t>
      </w:r>
      <w:r>
        <w:rPr>
          <w:spacing w:val="-33"/>
        </w:rPr>
        <w:t> </w:t>
      </w:r>
      <w:r>
        <w:rPr>
          <w:spacing w:val="-7"/>
        </w:rPr>
        <w:t>procedural requirements </w:t>
      </w:r>
      <w:r>
        <w:rPr>
          <w:spacing w:val="-6"/>
        </w:rPr>
        <w:t>were followed throughout the evaluation</w:t>
      </w:r>
      <w:r>
        <w:rPr>
          <w:spacing w:val="-13"/>
        </w:rPr>
        <w:t> </w:t>
      </w:r>
      <w:r>
        <w:rPr>
          <w:spacing w:val="-7"/>
        </w:rPr>
        <w:t>process.</w:t>
      </w:r>
    </w:p>
    <w:p>
      <w:pPr>
        <w:pStyle w:val="BodyText"/>
        <w:spacing w:before="5"/>
        <w:rPr>
          <w:sz w:val="23"/>
        </w:rPr>
      </w:pPr>
    </w:p>
    <w:p>
      <w:pPr>
        <w:pStyle w:val="BodyText"/>
        <w:ind w:left="386"/>
      </w:pPr>
      <w:r>
        <w:rPr/>
        <w:t>While Government Procurement has been</w:t>
      </w:r>
    </w:p>
    <w:p>
      <w:pPr>
        <w:pStyle w:val="BodyText"/>
        <w:spacing w:line="249" w:lineRule="auto" w:before="106"/>
        <w:ind w:left="379" w:right="1331"/>
      </w:pPr>
      <w:r>
        <w:rPr/>
        <w:br w:type="column"/>
      </w:r>
      <w:r>
        <w:rPr>
          <w:spacing w:val="-5"/>
        </w:rPr>
        <w:t>The </w:t>
      </w:r>
      <w:r>
        <w:rPr>
          <w:spacing w:val="-7"/>
        </w:rPr>
        <w:t>Circular </w:t>
      </w:r>
      <w:r>
        <w:rPr>
          <w:spacing w:val="-6"/>
        </w:rPr>
        <w:t>applies </w:t>
      </w:r>
      <w:r>
        <w:rPr>
          <w:spacing w:val="-4"/>
        </w:rPr>
        <w:t>to </w:t>
      </w:r>
      <w:r>
        <w:rPr>
          <w:spacing w:val="-7"/>
        </w:rPr>
        <w:t>infrastructure </w:t>
      </w:r>
      <w:r>
        <w:rPr>
          <w:spacing w:val="-8"/>
        </w:rPr>
        <w:t>projects </w:t>
      </w:r>
      <w:r>
        <w:rPr>
          <w:spacing w:val="-7"/>
        </w:rPr>
        <w:t>exceeding </w:t>
      </w:r>
      <w:r>
        <w:rPr>
          <w:spacing w:val="-6"/>
        </w:rPr>
        <w:t>$100 </w:t>
      </w:r>
      <w:r>
        <w:rPr>
          <w:spacing w:val="-7"/>
        </w:rPr>
        <w:t>million, </w:t>
      </w:r>
      <w:r>
        <w:rPr>
          <w:spacing w:val="-5"/>
        </w:rPr>
        <w:t>and ICT </w:t>
      </w:r>
      <w:r>
        <w:rPr>
          <w:spacing w:val="-8"/>
        </w:rPr>
        <w:t>projects </w:t>
      </w:r>
      <w:r>
        <w:rPr>
          <w:spacing w:val="-7"/>
        </w:rPr>
        <w:t>exceeding</w:t>
      </w:r>
      <w:r>
        <w:rPr>
          <w:spacing w:val="-31"/>
        </w:rPr>
        <w:t> </w:t>
      </w:r>
      <w:r>
        <w:rPr>
          <w:spacing w:val="-5"/>
        </w:rPr>
        <w:t>$10</w:t>
      </w:r>
      <w:r>
        <w:rPr>
          <w:spacing w:val="-31"/>
        </w:rPr>
        <w:t> </w:t>
      </w:r>
      <w:r>
        <w:rPr>
          <w:spacing w:val="-7"/>
        </w:rPr>
        <w:t>million.</w:t>
      </w:r>
      <w:r>
        <w:rPr>
          <w:spacing w:val="-31"/>
        </w:rPr>
        <w:t> </w:t>
      </w:r>
      <w:r>
        <w:rPr>
          <w:spacing w:val="-6"/>
        </w:rPr>
        <w:t>This</w:t>
      </w:r>
      <w:r>
        <w:rPr>
          <w:spacing w:val="-31"/>
        </w:rPr>
        <w:t> </w:t>
      </w:r>
      <w:r>
        <w:rPr>
          <w:spacing w:val="-6"/>
        </w:rPr>
        <w:t>change</w:t>
      </w:r>
      <w:r>
        <w:rPr>
          <w:spacing w:val="-31"/>
        </w:rPr>
        <w:t> </w:t>
      </w:r>
      <w:r>
        <w:rPr>
          <w:spacing w:val="-8"/>
        </w:rPr>
        <w:t>recognises </w:t>
      </w:r>
      <w:r>
        <w:rPr>
          <w:spacing w:val="-6"/>
        </w:rPr>
        <w:t>that</w:t>
      </w:r>
      <w:r>
        <w:rPr>
          <w:spacing w:val="-22"/>
        </w:rPr>
        <w:t> </w:t>
      </w:r>
      <w:r>
        <w:rPr>
          <w:spacing w:val="-7"/>
        </w:rPr>
        <w:t>three</w:t>
      </w:r>
      <w:r>
        <w:rPr>
          <w:spacing w:val="-21"/>
        </w:rPr>
        <w:t> </w:t>
      </w:r>
      <w:r>
        <w:rPr>
          <w:spacing w:val="-4"/>
        </w:rPr>
        <w:t>to</w:t>
      </w:r>
      <w:r>
        <w:rPr>
          <w:spacing w:val="-21"/>
        </w:rPr>
        <w:t> </w:t>
      </w:r>
      <w:r>
        <w:rPr>
          <w:spacing w:val="-4"/>
        </w:rPr>
        <w:t>five</w:t>
      </w:r>
      <w:r>
        <w:rPr>
          <w:spacing w:val="-21"/>
        </w:rPr>
        <w:t> </w:t>
      </w:r>
      <w:r>
        <w:rPr>
          <w:spacing w:val="-7"/>
        </w:rPr>
        <w:t>percent</w:t>
      </w:r>
      <w:r>
        <w:rPr>
          <w:spacing w:val="-22"/>
        </w:rPr>
        <w:t> </w:t>
      </w:r>
      <w:r>
        <w:rPr>
          <w:spacing w:val="-4"/>
        </w:rPr>
        <w:t>of</w:t>
      </w:r>
      <w:r>
        <w:rPr>
          <w:spacing w:val="-21"/>
        </w:rPr>
        <w:t> </w:t>
      </w:r>
      <w:r>
        <w:rPr>
          <w:spacing w:val="-7"/>
        </w:rPr>
        <w:t>project</w:t>
      </w:r>
      <w:r>
        <w:rPr>
          <w:spacing w:val="-21"/>
        </w:rPr>
        <w:t> </w:t>
      </w:r>
      <w:r>
        <w:rPr>
          <w:spacing w:val="-6"/>
        </w:rPr>
        <w:t>costs</w:t>
      </w:r>
      <w:r>
        <w:rPr>
          <w:spacing w:val="-21"/>
        </w:rPr>
        <w:t> </w:t>
      </w:r>
      <w:r>
        <w:rPr>
          <w:spacing w:val="-5"/>
        </w:rPr>
        <w:t>can</w:t>
      </w:r>
      <w:r>
        <w:rPr>
          <w:spacing w:val="-22"/>
        </w:rPr>
        <w:t> </w:t>
      </w:r>
      <w:r>
        <w:rPr>
          <w:spacing w:val="-7"/>
        </w:rPr>
        <w:t>be </w:t>
      </w:r>
      <w:r>
        <w:rPr>
          <w:spacing w:val="-6"/>
        </w:rPr>
        <w:t>avoided </w:t>
      </w:r>
      <w:r>
        <w:rPr>
          <w:spacing w:val="-7"/>
        </w:rPr>
        <w:t>through </w:t>
      </w:r>
      <w:r>
        <w:rPr>
          <w:spacing w:val="-5"/>
        </w:rPr>
        <w:t>the </w:t>
      </w:r>
      <w:r>
        <w:rPr>
          <w:spacing w:val="-7"/>
        </w:rPr>
        <w:t>adoption </w:t>
      </w:r>
      <w:r>
        <w:rPr>
          <w:spacing w:val="-4"/>
        </w:rPr>
        <w:t>of </w:t>
      </w:r>
      <w:r>
        <w:rPr>
          <w:spacing w:val="-5"/>
        </w:rPr>
        <w:t>the </w:t>
      </w:r>
      <w:r>
        <w:rPr>
          <w:spacing w:val="-7"/>
        </w:rPr>
        <w:t>Gateway </w:t>
      </w:r>
      <w:r>
        <w:rPr>
          <w:spacing w:val="-8"/>
        </w:rPr>
        <w:t>process.</w:t>
      </w:r>
    </w:p>
    <w:p>
      <w:pPr>
        <w:pStyle w:val="BodyText"/>
        <w:spacing w:before="5"/>
        <w:rPr>
          <w:sz w:val="23"/>
        </w:rPr>
      </w:pPr>
    </w:p>
    <w:p>
      <w:pPr>
        <w:pStyle w:val="BodyText"/>
        <w:spacing w:line="249" w:lineRule="auto"/>
        <w:ind w:left="379" w:right="1298"/>
      </w:pPr>
      <w:r>
        <w:rPr>
          <w:spacing w:val="-6"/>
        </w:rPr>
        <w:t>Government </w:t>
      </w:r>
      <w:r>
        <w:rPr>
          <w:spacing w:val="-8"/>
        </w:rPr>
        <w:t>Procurement </w:t>
      </w:r>
      <w:r>
        <w:rPr>
          <w:spacing w:val="-5"/>
        </w:rPr>
        <w:t>has </w:t>
      </w:r>
      <w:r>
        <w:rPr>
          <w:spacing w:val="-6"/>
        </w:rPr>
        <w:t>also formed </w:t>
      </w:r>
      <w:r>
        <w:rPr/>
        <w:t>a </w:t>
      </w:r>
      <w:r>
        <w:rPr>
          <w:spacing w:val="-6"/>
        </w:rPr>
        <w:t>Gateway </w:t>
      </w:r>
      <w:r>
        <w:rPr>
          <w:spacing w:val="-7"/>
        </w:rPr>
        <w:t>Steering Committee </w:t>
      </w:r>
      <w:r>
        <w:rPr>
          <w:spacing w:val="-4"/>
        </w:rPr>
        <w:t>of </w:t>
      </w:r>
      <w:r>
        <w:rPr>
          <w:spacing w:val="-8"/>
        </w:rPr>
        <w:t>cross-agency representatives </w:t>
      </w:r>
      <w:r>
        <w:rPr>
          <w:spacing w:val="-4"/>
        </w:rPr>
        <w:t>to </w:t>
      </w:r>
      <w:r>
        <w:rPr>
          <w:spacing w:val="-7"/>
        </w:rPr>
        <w:t>review </w:t>
      </w:r>
      <w:r>
        <w:rPr>
          <w:spacing w:val="-6"/>
        </w:rPr>
        <w:t>actions taken </w:t>
      </w:r>
      <w:r>
        <w:rPr>
          <w:spacing w:val="-7"/>
        </w:rPr>
        <w:t>across all </w:t>
      </w:r>
      <w:r>
        <w:rPr>
          <w:spacing w:val="-6"/>
        </w:rPr>
        <w:t>government Gateway </w:t>
      </w:r>
      <w:r>
        <w:rPr>
          <w:spacing w:val="-7"/>
        </w:rPr>
        <w:t>projects. </w:t>
      </w:r>
      <w:r>
        <w:rPr>
          <w:spacing w:val="-5"/>
        </w:rPr>
        <w:t>The </w:t>
      </w:r>
      <w:r>
        <w:rPr>
          <w:spacing w:val="-7"/>
        </w:rPr>
        <w:t>Committee </w:t>
      </w:r>
      <w:r>
        <w:rPr>
          <w:spacing w:val="-6"/>
        </w:rPr>
        <w:t>seeks</w:t>
      </w:r>
      <w:r>
        <w:rPr>
          <w:spacing w:val="-33"/>
        </w:rPr>
        <w:t> </w:t>
      </w:r>
      <w:r>
        <w:rPr>
          <w:spacing w:val="-4"/>
        </w:rPr>
        <w:t>to</w:t>
      </w:r>
      <w:r>
        <w:rPr>
          <w:spacing w:val="-32"/>
        </w:rPr>
        <w:t> </w:t>
      </w:r>
      <w:r>
        <w:rPr>
          <w:spacing w:val="-7"/>
        </w:rPr>
        <w:t>identify</w:t>
      </w:r>
      <w:r>
        <w:rPr>
          <w:spacing w:val="-33"/>
        </w:rPr>
        <w:t> </w:t>
      </w:r>
      <w:r>
        <w:rPr>
          <w:spacing w:val="-5"/>
        </w:rPr>
        <w:t>and</w:t>
      </w:r>
      <w:r>
        <w:rPr>
          <w:spacing w:val="-32"/>
        </w:rPr>
        <w:t> </w:t>
      </w:r>
      <w:r>
        <w:rPr>
          <w:spacing w:val="-7"/>
        </w:rPr>
        <w:t>translate</w:t>
      </w:r>
      <w:r>
        <w:rPr>
          <w:spacing w:val="-33"/>
        </w:rPr>
        <w:t> </w:t>
      </w:r>
      <w:r>
        <w:rPr>
          <w:spacing w:val="-7"/>
        </w:rPr>
        <w:t>systematic</w:t>
      </w:r>
      <w:r>
        <w:rPr>
          <w:spacing w:val="-32"/>
        </w:rPr>
        <w:t> </w:t>
      </w:r>
      <w:r>
        <w:rPr>
          <w:spacing w:val="-6"/>
        </w:rPr>
        <w:t>issues</w:t>
      </w:r>
      <w:r>
        <w:rPr>
          <w:spacing w:val="-33"/>
        </w:rPr>
        <w:t> </w:t>
      </w:r>
      <w:r>
        <w:rPr>
          <w:spacing w:val="-7"/>
        </w:rPr>
        <w:t>so </w:t>
      </w:r>
      <w:r>
        <w:rPr>
          <w:spacing w:val="-6"/>
        </w:rPr>
        <w:t>that</w:t>
      </w:r>
      <w:r>
        <w:rPr>
          <w:spacing w:val="-30"/>
        </w:rPr>
        <w:t> </w:t>
      </w:r>
      <w:r>
        <w:rPr>
          <w:spacing w:val="-6"/>
        </w:rPr>
        <w:t>even</w:t>
      </w:r>
      <w:r>
        <w:rPr>
          <w:spacing w:val="-30"/>
        </w:rPr>
        <w:t> </w:t>
      </w:r>
      <w:r>
        <w:rPr>
          <w:spacing w:val="-6"/>
        </w:rPr>
        <w:t>further</w:t>
      </w:r>
      <w:r>
        <w:rPr>
          <w:spacing w:val="-30"/>
        </w:rPr>
        <w:t> </w:t>
      </w:r>
      <w:r>
        <w:rPr>
          <w:spacing w:val="-6"/>
        </w:rPr>
        <w:t>value</w:t>
      </w:r>
      <w:r>
        <w:rPr>
          <w:spacing w:val="-29"/>
        </w:rPr>
        <w:t> </w:t>
      </w:r>
      <w:r>
        <w:rPr>
          <w:spacing w:val="-5"/>
        </w:rPr>
        <w:t>can</w:t>
      </w:r>
      <w:r>
        <w:rPr>
          <w:spacing w:val="-30"/>
        </w:rPr>
        <w:t> </w:t>
      </w:r>
      <w:r>
        <w:rPr>
          <w:spacing w:val="-4"/>
        </w:rPr>
        <w:t>be</w:t>
      </w:r>
      <w:r>
        <w:rPr>
          <w:spacing w:val="-30"/>
        </w:rPr>
        <w:t> </w:t>
      </w:r>
      <w:r>
        <w:rPr>
          <w:spacing w:val="-7"/>
        </w:rPr>
        <w:t>extracted</w:t>
      </w:r>
      <w:r>
        <w:rPr>
          <w:spacing w:val="-30"/>
        </w:rPr>
        <w:t> </w:t>
      </w:r>
      <w:r>
        <w:rPr>
          <w:spacing w:val="-4"/>
        </w:rPr>
        <w:t>by</w:t>
      </w:r>
      <w:r>
        <w:rPr>
          <w:spacing w:val="-29"/>
        </w:rPr>
        <w:t> </w:t>
      </w:r>
      <w:r>
        <w:rPr>
          <w:spacing w:val="-7"/>
        </w:rPr>
        <w:t>sharing </w:t>
      </w:r>
      <w:r>
        <w:rPr>
          <w:spacing w:val="-6"/>
        </w:rPr>
        <w:t>beneficial</w:t>
      </w:r>
      <w:r>
        <w:rPr>
          <w:spacing w:val="-15"/>
        </w:rPr>
        <w:t> </w:t>
      </w:r>
      <w:r>
        <w:rPr>
          <w:spacing w:val="-7"/>
        </w:rPr>
        <w:t>outcomes.</w:t>
      </w:r>
    </w:p>
    <w:p>
      <w:pPr>
        <w:spacing w:after="0" w:line="249" w:lineRule="auto"/>
        <w:sectPr>
          <w:type w:val="continuous"/>
          <w:pgSz w:w="16840" w:h="11910" w:orient="landscape"/>
          <w:pgMar w:top="0" w:bottom="0" w:left="0" w:right="0"/>
          <w:cols w:num="3" w:equalWidth="0">
            <w:col w:w="5684" w:space="40"/>
            <w:col w:w="4911" w:space="39"/>
            <w:col w:w="6166"/>
          </w:cols>
        </w:sectPr>
      </w:pPr>
    </w:p>
    <w:p>
      <w:pPr>
        <w:pStyle w:val="BodyText"/>
        <w:spacing w:line="249" w:lineRule="auto" w:before="11"/>
        <w:ind w:left="1165"/>
        <w:jc w:val="both"/>
      </w:pPr>
      <w:r>
        <w:rPr>
          <w:spacing w:val="-6"/>
        </w:rPr>
        <w:t>project,</w:t>
      </w:r>
      <w:r>
        <w:rPr>
          <w:spacing w:val="-27"/>
        </w:rPr>
        <w:t> </w:t>
      </w:r>
      <w:r>
        <w:rPr>
          <w:spacing w:val="-6"/>
        </w:rPr>
        <w:t>there</w:t>
      </w:r>
      <w:r>
        <w:rPr>
          <w:spacing w:val="-26"/>
        </w:rPr>
        <w:t> </w:t>
      </w:r>
      <w:r>
        <w:rPr>
          <w:spacing w:val="-6"/>
        </w:rPr>
        <w:t>are</w:t>
      </w:r>
      <w:r>
        <w:rPr>
          <w:spacing w:val="-26"/>
        </w:rPr>
        <w:t> </w:t>
      </w:r>
      <w:r>
        <w:rPr>
          <w:spacing w:val="-4"/>
        </w:rPr>
        <w:t>six</w:t>
      </w:r>
      <w:r>
        <w:rPr>
          <w:spacing w:val="-26"/>
        </w:rPr>
        <w:t> </w:t>
      </w:r>
      <w:r>
        <w:rPr>
          <w:spacing w:val="-4"/>
        </w:rPr>
        <w:t>key</w:t>
      </w:r>
      <w:r>
        <w:rPr>
          <w:spacing w:val="-26"/>
        </w:rPr>
        <w:t> </w:t>
      </w:r>
      <w:r>
        <w:rPr>
          <w:spacing w:val="-5"/>
        </w:rPr>
        <w:t>gates</w:t>
      </w:r>
      <w:r>
        <w:rPr>
          <w:spacing w:val="-26"/>
        </w:rPr>
        <w:t> </w:t>
      </w:r>
      <w:r>
        <w:rPr>
          <w:spacing w:val="-3"/>
        </w:rPr>
        <w:t>at</w:t>
      </w:r>
      <w:r>
        <w:rPr>
          <w:spacing w:val="-27"/>
        </w:rPr>
        <w:t> </w:t>
      </w:r>
      <w:r>
        <w:rPr>
          <w:spacing w:val="-5"/>
        </w:rPr>
        <w:t>which</w:t>
      </w:r>
      <w:r>
        <w:rPr>
          <w:spacing w:val="-26"/>
        </w:rPr>
        <w:t> </w:t>
      </w:r>
      <w:r>
        <w:rPr/>
        <w:t>a</w:t>
      </w:r>
      <w:r>
        <w:rPr>
          <w:spacing w:val="-26"/>
        </w:rPr>
        <w:t> </w:t>
      </w:r>
      <w:r>
        <w:rPr>
          <w:spacing w:val="-7"/>
        </w:rPr>
        <w:t>review </w:t>
      </w:r>
      <w:r>
        <w:rPr>
          <w:spacing w:val="-4"/>
        </w:rPr>
        <w:t>can</w:t>
      </w:r>
      <w:r>
        <w:rPr>
          <w:spacing w:val="-26"/>
        </w:rPr>
        <w:t> </w:t>
      </w:r>
      <w:r>
        <w:rPr>
          <w:spacing w:val="-5"/>
        </w:rPr>
        <w:t>take</w:t>
      </w:r>
      <w:r>
        <w:rPr>
          <w:spacing w:val="-25"/>
        </w:rPr>
        <w:t> </w:t>
      </w:r>
      <w:r>
        <w:rPr>
          <w:spacing w:val="-5"/>
        </w:rPr>
        <w:t>place.</w:t>
      </w:r>
      <w:r>
        <w:rPr>
          <w:spacing w:val="-25"/>
        </w:rPr>
        <w:t> </w:t>
      </w:r>
      <w:r>
        <w:rPr>
          <w:spacing w:val="-5"/>
        </w:rPr>
        <w:t>Some</w:t>
      </w:r>
      <w:r>
        <w:rPr>
          <w:spacing w:val="-26"/>
        </w:rPr>
        <w:t> </w:t>
      </w:r>
      <w:r>
        <w:rPr>
          <w:spacing w:val="-3"/>
        </w:rPr>
        <w:t>or</w:t>
      </w:r>
      <w:r>
        <w:rPr>
          <w:spacing w:val="-25"/>
        </w:rPr>
        <w:t> </w:t>
      </w:r>
      <w:r>
        <w:rPr>
          <w:spacing w:val="-4"/>
        </w:rPr>
        <w:t>all</w:t>
      </w:r>
      <w:r>
        <w:rPr>
          <w:spacing w:val="-25"/>
        </w:rPr>
        <w:t> </w:t>
      </w:r>
      <w:r>
        <w:rPr>
          <w:spacing w:val="-3"/>
        </w:rPr>
        <w:t>of</w:t>
      </w:r>
      <w:r>
        <w:rPr>
          <w:spacing w:val="-25"/>
        </w:rPr>
        <w:t> </w:t>
      </w:r>
      <w:r>
        <w:rPr>
          <w:spacing w:val="-5"/>
        </w:rPr>
        <w:t>these</w:t>
      </w:r>
      <w:r>
        <w:rPr>
          <w:spacing w:val="-26"/>
        </w:rPr>
        <w:t> </w:t>
      </w:r>
      <w:r>
        <w:rPr>
          <w:spacing w:val="-5"/>
        </w:rPr>
        <w:t>stages</w:t>
      </w:r>
      <w:r>
        <w:rPr>
          <w:spacing w:val="-25"/>
        </w:rPr>
        <w:t> </w:t>
      </w:r>
      <w:r>
        <w:rPr>
          <w:spacing w:val="-6"/>
        </w:rPr>
        <w:t>may </w:t>
      </w:r>
      <w:r>
        <w:rPr>
          <w:spacing w:val="-3"/>
        </w:rPr>
        <w:t>be</w:t>
      </w:r>
      <w:r>
        <w:rPr>
          <w:spacing w:val="-16"/>
        </w:rPr>
        <w:t> </w:t>
      </w:r>
      <w:r>
        <w:rPr>
          <w:spacing w:val="-6"/>
        </w:rPr>
        <w:t>undertaken</w:t>
      </w:r>
      <w:r>
        <w:rPr>
          <w:spacing w:val="-15"/>
        </w:rPr>
        <w:t> </w:t>
      </w:r>
      <w:r>
        <w:rPr>
          <w:spacing w:val="-3"/>
        </w:rPr>
        <w:t>as</w:t>
      </w:r>
      <w:r>
        <w:rPr>
          <w:spacing w:val="-15"/>
        </w:rPr>
        <w:t> </w:t>
      </w:r>
      <w:r>
        <w:rPr/>
        <w:t>a</w:t>
      </w:r>
      <w:r>
        <w:rPr>
          <w:spacing w:val="-15"/>
        </w:rPr>
        <w:t> </w:t>
      </w:r>
      <w:r>
        <w:rPr>
          <w:spacing w:val="-6"/>
        </w:rPr>
        <w:t>Gateway</w:t>
      </w:r>
      <w:r>
        <w:rPr>
          <w:spacing w:val="-15"/>
        </w:rPr>
        <w:t> </w:t>
      </w:r>
      <w:r>
        <w:rPr>
          <w:spacing w:val="-8"/>
        </w:rPr>
        <w:t>review.</w:t>
      </w:r>
    </w:p>
    <w:p>
      <w:pPr>
        <w:pStyle w:val="BodyText"/>
        <w:tabs>
          <w:tab w:pos="6211" w:val="left" w:leader="none"/>
          <w:tab w:pos="6572" w:val="left" w:leader="none"/>
        </w:tabs>
        <w:spacing w:line="249" w:lineRule="auto" w:before="11"/>
        <w:ind w:left="601" w:right="4655"/>
      </w:pPr>
      <w:r>
        <w:rPr/>
        <w:br w:type="column"/>
      </w:r>
      <w:r>
        <w:rPr>
          <w:spacing w:val="-6"/>
        </w:rPr>
        <w:t>facilitating</w:t>
      </w:r>
      <w:r>
        <w:rPr>
          <w:spacing w:val="-34"/>
        </w:rPr>
        <w:t> </w:t>
      </w:r>
      <w:r>
        <w:rPr>
          <w:spacing w:val="-6"/>
        </w:rPr>
        <w:t>Gateway</w:t>
      </w:r>
      <w:r>
        <w:rPr>
          <w:spacing w:val="-34"/>
        </w:rPr>
        <w:t> </w:t>
      </w:r>
      <w:r>
        <w:rPr>
          <w:spacing w:val="-6"/>
        </w:rPr>
        <w:t>reviews</w:t>
      </w:r>
      <w:r>
        <w:rPr>
          <w:spacing w:val="-34"/>
        </w:rPr>
        <w:t> </w:t>
      </w:r>
      <w:r>
        <w:rPr>
          <w:spacing w:val="-4"/>
        </w:rPr>
        <w:t>for</w:t>
      </w:r>
      <w:r>
        <w:rPr>
          <w:spacing w:val="-34"/>
        </w:rPr>
        <w:t> </w:t>
      </w:r>
      <w:r>
        <w:rPr/>
        <w:t>a</w:t>
      </w:r>
      <w:r>
        <w:rPr>
          <w:spacing w:val="-34"/>
        </w:rPr>
        <w:t> </w:t>
      </w:r>
      <w:r>
        <w:rPr>
          <w:spacing w:val="-5"/>
        </w:rPr>
        <w:t>number</w:t>
      </w:r>
      <w:r>
        <w:rPr>
          <w:spacing w:val="-34"/>
        </w:rPr>
        <w:t> </w:t>
      </w:r>
      <w:r>
        <w:rPr>
          <w:spacing w:val="-3"/>
        </w:rPr>
        <w:t>of</w:t>
      </w:r>
      <w:r>
        <w:rPr/>
        <w:tab/>
        <w:tab/>
      </w:r>
      <w:r>
        <w:rPr>
          <w:w w:val="100"/>
          <w:u w:val="single" w:color="6F2770"/>
        </w:rPr>
        <w:t> </w:t>
      </w:r>
      <w:r>
        <w:rPr>
          <w:spacing w:val="-23"/>
          <w:u w:val="single" w:color="6F2770"/>
        </w:rPr>
        <w:t> </w:t>
      </w:r>
      <w:r>
        <w:rPr>
          <w:spacing w:val="-23"/>
        </w:rPr>
        <w:t> </w:t>
      </w:r>
      <w:r>
        <w:rPr>
          <w:spacing w:val="-5"/>
        </w:rPr>
        <w:t>years,</w:t>
      </w:r>
      <w:r>
        <w:rPr>
          <w:spacing w:val="-34"/>
        </w:rPr>
        <w:t> </w:t>
      </w:r>
      <w:r>
        <w:rPr>
          <w:spacing w:val="-5"/>
        </w:rPr>
        <w:t>this</w:t>
      </w:r>
      <w:r>
        <w:rPr>
          <w:spacing w:val="-33"/>
        </w:rPr>
        <w:t> </w:t>
      </w:r>
      <w:r>
        <w:rPr>
          <w:spacing w:val="-5"/>
        </w:rPr>
        <w:t>year</w:t>
      </w:r>
      <w:r>
        <w:rPr>
          <w:spacing w:val="-34"/>
        </w:rPr>
        <w:t> </w:t>
      </w:r>
      <w:r>
        <w:rPr/>
        <w:t>a</w:t>
      </w:r>
      <w:r>
        <w:rPr>
          <w:spacing w:val="-33"/>
        </w:rPr>
        <w:t> </w:t>
      </w:r>
      <w:hyperlink r:id="rId78">
        <w:r>
          <w:rPr>
            <w:color w:val="A7BE39"/>
            <w:spacing w:val="-9"/>
            <w:u w:val="single" w:color="A7BE39"/>
          </w:rPr>
          <w:t>Premier’s</w:t>
        </w:r>
        <w:r>
          <w:rPr>
            <w:color w:val="A7BE39"/>
            <w:spacing w:val="-33"/>
            <w:u w:val="single" w:color="A7BE39"/>
          </w:rPr>
          <w:t> </w:t>
        </w:r>
        <w:r>
          <w:rPr>
            <w:color w:val="A7BE39"/>
            <w:spacing w:val="-6"/>
            <w:u w:val="single" w:color="A7BE39"/>
          </w:rPr>
          <w:t>Circular</w:t>
        </w:r>
        <w:r>
          <w:rPr>
            <w:color w:val="A7BE39"/>
            <w:spacing w:val="-31"/>
          </w:rPr>
          <w:t> </w:t>
        </w:r>
      </w:hyperlink>
      <w:r>
        <w:rPr>
          <w:spacing w:val="-6"/>
        </w:rPr>
        <w:t>mandated</w:t>
      </w:r>
      <w:r>
        <w:rPr>
          <w:spacing w:val="-34"/>
        </w:rPr>
        <w:t> </w:t>
      </w:r>
      <w:r>
        <w:rPr>
          <w:spacing w:val="-4"/>
        </w:rPr>
        <w:t>the</w:t>
      </w:r>
      <w:r>
        <w:rPr/>
        <w:tab/>
      </w:r>
      <w:r>
        <w:rPr>
          <w:w w:val="100"/>
          <w:u w:val="single" w:color="6F2770"/>
        </w:rPr>
        <w:t> </w:t>
      </w:r>
      <w:r>
        <w:rPr>
          <w:spacing w:val="-29"/>
          <w:u w:val="single" w:color="6F2770"/>
        </w:rPr>
        <w:t> </w:t>
      </w:r>
      <w:r>
        <w:rPr>
          <w:spacing w:val="-29"/>
        </w:rPr>
        <w:t> </w:t>
      </w:r>
      <w:r>
        <w:rPr>
          <w:spacing w:val="-6"/>
        </w:rPr>
        <w:t>Gateway review process </w:t>
      </w:r>
      <w:r>
        <w:rPr>
          <w:spacing w:val="-4"/>
        </w:rPr>
        <w:t>for </w:t>
      </w:r>
      <w:r>
        <w:rPr>
          <w:spacing w:val="-5"/>
        </w:rPr>
        <w:t>major</w:t>
      </w:r>
      <w:r>
        <w:rPr>
          <w:spacing w:val="-44"/>
        </w:rPr>
        <w:t> </w:t>
      </w:r>
      <w:r>
        <w:rPr>
          <w:spacing w:val="-7"/>
        </w:rPr>
        <w:t>projects.</w:t>
      </w:r>
    </w:p>
    <w:p>
      <w:pPr>
        <w:spacing w:after="0" w:line="249" w:lineRule="auto"/>
        <w:sectPr>
          <w:type w:val="continuous"/>
          <w:pgSz w:w="16840" w:h="11910" w:orient="landscape"/>
          <w:pgMar w:top="0" w:bottom="0" w:left="0" w:right="0"/>
          <w:cols w:num="2" w:equalWidth="0">
            <w:col w:w="5468" w:space="40"/>
            <w:col w:w="11332"/>
          </w:cols>
        </w:sectPr>
      </w:pPr>
    </w:p>
    <w:p>
      <w:pPr>
        <w:pStyle w:val="BodyText"/>
        <w:spacing w:before="1"/>
        <w:rPr>
          <w:sz w:val="27"/>
        </w:rPr>
      </w:pPr>
    </w:p>
    <w:p>
      <w:pPr>
        <w:spacing w:after="0"/>
        <w:rPr>
          <w:sz w:val="27"/>
        </w:rPr>
        <w:sectPr>
          <w:type w:val="continuous"/>
          <w:pgSz w:w="16840" w:h="11910" w:orient="landscape"/>
          <w:pgMar w:top="0" w:bottom="0" w:left="0" w:right="0"/>
        </w:sectPr>
      </w:pPr>
    </w:p>
    <w:p>
      <w:pPr>
        <w:spacing w:line="249" w:lineRule="auto" w:before="105"/>
        <w:ind w:left="1547" w:right="-4" w:firstLine="0"/>
        <w:jc w:val="left"/>
        <w:rPr>
          <w:sz w:val="19"/>
        </w:rPr>
      </w:pPr>
      <w:r>
        <w:rPr/>
        <w:pict>
          <v:group style="position:absolute;margin-left:0pt;margin-top:-.000024pt;width:842.05pt;height:540pt;mso-position-horizontal-relative:page;mso-position-vertical-relative:page;z-index:-808936" coordorigin="0,0" coordsize="16841,10800">
            <v:rect style="position:absolute;left:765;top:1729;width:15308;height:9071" filled="true" fillcolor="#f0eee8" stroked="false">
              <v:fill type="solid"/>
            </v:rect>
            <v:shape style="position:absolute;left:15175;top:0;width:371;height:214" type="#_x0000_t75" stroked="false">
              <v:imagedata r:id="rId79" o:title=""/>
            </v:shape>
            <v:shape style="position:absolute;left:14133;top:39;width:1455;height:2295" coordorigin="14134,40" coordsize="1455,2295" path="m15589,1697l14935,2075,14944,2084,15589,1712,15589,1697m15589,1618l14885,2025,14894,2034,15589,1633,15589,1618m15589,1540l14835,1975,14844,1984,15589,1554,15589,1540m15589,1461l14784,1925,14794,1934,15589,1475,15589,1461m15589,1382l14734,1875,14744,1884,15589,1396,15589,1382m15589,1303l14684,1825,14694,1834,15589,1317,15589,1303m15589,1145l14584,1725,14593,1734,15589,1159,15589,1145m15589,1066l14534,1675,14543,1684,15589,1080,15589,1066m15589,829l14384,1525,14393,1534,15589,844,15589,829m15589,750l14334,1475,14343,1484,15589,765,15589,750m15589,671l14284,1425,14293,1434,15589,686,15589,671m15589,592l14234,1375,14243,1384,15589,607,15589,592m15589,513l14184,1324,14193,1334,15589,528,15589,513m15589,434l14134,1274,14143,1284,15589,449,15589,434m15589,119l14837,553,14802,587,15589,133,15589,119m15589,2092l15185,2325,15194,2334,15589,2106,15589,2092m15589,2013l15135,2275,15144,2284,15589,2028,15589,2013m15589,1934l15085,2225,15094,2234,15589,1949,15589,1934m15589,1855l15035,2175,15044,2184,15589,1870,15589,1855m15589,1776l14985,2125,14994,2134,15589,1791,15589,1776m15589,1224l14634,1775,14644,1784,15589,1238,15589,1224m15589,987l14484,1625,14493,1634,15589,1001,15589,987m15589,908l14434,1575,14443,1584,15589,923,15589,908m15589,356l14276,1113,14242,1147,15589,370,15589,356m15589,277l14463,927,14429,961,15589,291,15589,277m15589,198l14650,740,14616,774,15589,212,15589,198m15589,40l15023,366,14989,400,15589,54,15589,40e" filled="true" fillcolor="#cdcccd" stroked="false">
              <v:path arrowok="t"/>
              <v:fill opacity="45875f" type="solid"/>
            </v:shape>
            <v:shape style="position:absolute;left:15234;top:2170;width:355;height:514" type="#_x0000_t75" stroked="false">
              <v:imagedata r:id="rId80" o:title=""/>
            </v:shape>
            <v:shape style="position:absolute;left:15588;top:0;width:375;height:391" type="#_x0000_t75" stroked="false">
              <v:imagedata r:id="rId81" o:title=""/>
            </v:shape>
            <v:shape style="position:absolute;left:15588;top:221;width:1252;height:2301" coordorigin="15589,221" coordsize="1252,2301" path="m16013,225l16009,221,15589,464,15589,470,16013,225m16063,275l16059,271,15589,543,15589,549,16063,275m16093,2225l15589,2516,15589,2522,16080,2239,16093,2225m16113,325l16109,321,15589,622,15589,628,16113,325m16163,375l16160,371,15589,701,15589,707,16163,375m16213,425l16210,421,15589,780,15589,786,16213,425m16263,475l16260,471,15589,859,15589,864,16263,475m16280,2038l15589,2437,15589,2443,16266,2052,16280,2038m16313,525l16310,522,15589,938,15589,943,16313,525m16363,575l16360,572,15589,1017,15589,1022,16363,575m16413,625l16410,622,15589,1095,15589,1101,16413,625m16463,675l16460,672,15589,1174,15589,1180,16463,675m16467,1852l15589,2358,15589,2364,16453,1865,16467,1852m16513,725l16510,722,15589,1253,15589,1259,16513,725m16564,775l16560,772,15589,1332,15589,1338,16564,775m16614,825l16610,822,15589,1411,15589,1417,16614,825m16653,1665l15589,2279,15589,2285,16640,1679,16653,1665m16664,875l16660,872,15589,1490,15589,1496,16664,875m16714,925l16710,922,15589,1569,15589,1575,16714,925m16764,976l16760,972,15589,1648,15589,1654,16764,976m16814,1026l16810,1022,15589,1727,15589,1733,16814,1026m16838,1401l15589,2122,15589,2127,16838,1406,16838,1401m16838,1322l15589,2043,15589,2048,16838,1327,16838,1322m16838,1243l15589,1964,15589,1969,16838,1248,16838,1243m16838,1164l15589,1885,15589,1891,16838,1170,16838,1164m16838,1085l15589,1806,15589,1812,16838,1091,16838,1085m16840,1478l15589,2201,15589,2206,16826,1492,16840,1478e" filled="true" fillcolor="#cdcccd" stroked="false">
              <v:path arrowok="t"/>
              <v:fill opacity="45875f" type="solid"/>
            </v:shape>
            <v:shape style="position:absolute;left:15588;top:2411;width:318;height:269" type="#_x0000_t75" stroked="false">
              <v:imagedata r:id="rId82" o:title=""/>
            </v:shape>
            <v:shape style="position:absolute;left:13676;top:372;width:904;height:904" coordorigin="13677,372" coordsize="904,904" path="m14128,372l13677,824,14128,1276,14580,824,14128,372xe" filled="true" fillcolor="#ffffff" stroked="false">
              <v:path arrowok="t"/>
              <v:fill type="solid"/>
            </v:shape>
            <v:shape style="position:absolute;left:13225;top:824;width:904;height:904" coordorigin="13225,824" coordsize="904,904" path="m13677,824l13225,1276,13677,1727,14128,1276,13677,824xe" filled="true" fillcolor="#e8e9c9" stroked="false">
              <v:path arrowok="t"/>
              <v:fill type="solid"/>
            </v:shape>
            <v:shape style="position:absolute;left:11870;top:372;width:2710;height:904" coordorigin="11870,372" coordsize="2710,904" path="m12774,824l12322,372,11870,824,12322,1276,12774,824m14580,824l14128,372,13677,824,14128,1276,14580,824e" filled="true" fillcolor="#efeeeb" stroked="false">
              <v:path arrowok="t"/>
              <v:fill type="solid"/>
            </v:shape>
            <v:shape style="position:absolute;left:12773;top:372;width:904;height:904" coordorigin="12774,372" coordsize="904,904" path="m13225,372l12774,824,13225,1276,13677,824,13225,372xe" filled="true" fillcolor="#c0aac2" stroked="false">
              <v:path arrowok="t"/>
              <v:fill type="solid"/>
            </v:shape>
            <v:shape style="position:absolute;left:8901;top:9751;width:1744;height:632" coordorigin="8902,9751" coordsize="1744,632" path="m10348,9751l8902,9751,9199,10067,8902,10383,10348,10383,10645,10067,10348,9751xe" filled="true" fillcolor="#c5cd71" stroked="false">
              <v:path arrowok="t"/>
              <v:fill type="solid"/>
            </v:shape>
            <v:shape style="position:absolute;left:7354;top:9751;width:1744;height:632" coordorigin="7354,9751" coordsize="1744,632" path="m8800,9751l7354,9751,7651,10067,7354,10383,8800,10383,9098,10067,8800,9751xe" filled="true" fillcolor="#bdc75c" stroked="false">
              <v:path arrowok="t"/>
              <v:fill type="solid"/>
            </v:shape>
            <v:shape style="position:absolute;left:5807;top:9751;width:1744;height:632" coordorigin="5807,9751" coordsize="1744,632" path="m7253,9751l5807,9751,6104,10067,5807,10383,7253,10383,7550,10067,7253,9751xe" filled="true" fillcolor="#b6c248" stroked="false">
              <v:path arrowok="t"/>
              <v:fill type="solid"/>
            </v:shape>
            <v:shape style="position:absolute;left:4259;top:9751;width:1744;height:632" coordorigin="4260,9751" coordsize="1744,632" path="m5706,9751l4260,9751,4557,10067,4260,10383,5706,10383,6003,10067,5706,9751xe" filled="true" fillcolor="#799857" stroked="false">
              <v:path arrowok="t"/>
              <v:fill type="solid"/>
            </v:shape>
            <v:shape style="position:absolute;left:2712;top:9751;width:1744;height:632" coordorigin="2713,9751" coordsize="1744,632" path="m4159,9751l2713,9751,3010,10067,2713,10383,4159,10383,4456,10067,4159,9751xe" filled="true" fillcolor="#5d883c" stroked="false">
              <v:path arrowok="t"/>
              <v:fill type="solid"/>
            </v:shape>
            <v:shape style="position:absolute;left:1165;top:9751;width:1744;height:632" coordorigin="1165,9751" coordsize="1744,632" path="m2612,9751l1165,9751,1463,10067,1165,10383,2612,10383,2909,10067,2612,9751xe" filled="true" fillcolor="#475b29" stroked="false">
              <v:path arrowok="t"/>
              <v:fill type="solid"/>
            </v:shape>
            <v:shape style="position:absolute;left:11091;top:9127;width:4349;height:1256" coordorigin="11092,9128" coordsize="4349,1256" path="m15441,9128l11092,9128,13266,10383,15441,9128xe" filled="true" fillcolor="#c6cfb3" stroked="false">
              <v:path arrowok="t"/>
              <v:fill type="solid"/>
            </v:shape>
            <v:shape style="position:absolute;left:11048;top:6858;width:1857;height:950" type="#_x0000_t75" stroked="false">
              <v:imagedata r:id="rId83" o:title=""/>
            </v:shape>
            <v:shape style="position:absolute;left:11692;top:6894;width:2690;height:197" coordorigin="11692,6894" coordsize="2690,197" path="m11712,7081l11692,7081,11692,7091,11712,7091,11712,7081m11712,7044l11692,7044,11692,7062,11712,7062,11712,7044m11712,7007l11692,7007,11692,7025,11712,7025,11712,7007m11712,6970l11692,6970,11692,6988,11712,6988,11712,6970m11712,6933l11692,6933,11692,6951,11712,6951,11712,6933m11712,6894l11692,6894,11692,6914,11712,6914,11712,6894m11752,6894l11732,6894,11732,6914,11752,6914,11752,6894m11792,6894l11772,6894,11772,6914,11792,6914,11792,6894m11832,6894l11812,6894,11812,6914,11832,6914,11832,6894m11872,6894l11852,6894,11852,6914,11872,6914,11872,6894m11911,6894l11891,6894,11891,6914,11911,6914,11911,6894m11951,6894l11931,6894,11931,6914,11951,6914,11951,6894m11991,6894l11971,6894,11971,6914,11991,6914,11991,6894m12031,6894l12011,6894,12011,6914,12031,6914,12031,6894m12071,6894l12051,6894,12051,6914,12071,6914,12071,6894m12111,6894l12091,6894,12091,6914,12111,6914,12111,6894m12150,6894l12131,6894,12131,6914,12150,6914,12150,6894m12190,6894l12170,6894,12170,6914,12190,6914,12190,6894m12230,6894l12210,6894,12210,6914,12230,6914,12230,6894m12270,6894l12250,6894,12250,6914,12270,6914,12270,6894m12310,6894l12290,6894,12290,6914,12310,6914,12310,6894m12350,6894l12330,6894,12330,6914,12350,6914,12350,6894m12389,6894l12370,6894,12370,6914,12389,6914,12389,6894m12429,6894l12409,6894,12409,6914,12429,6914,12429,6894m12469,6894l12449,6894,12449,6914,12469,6914,12469,6894m12509,6894l12489,6894,12489,6914,12509,6914,12509,6894m12549,6894l12529,6894,12529,6914,12549,6914,12549,6894m12589,6894l12569,6894,12569,6914,12589,6914,12589,6894m12629,6894l12609,6894,12609,6914,12629,6914,12629,6894m12668,6894l12648,6894,12648,6914,12668,6914,12668,6894m12708,6894l12688,6894,12688,6914,12708,6914,12708,6894m12748,6894l12728,6894,12728,6914,12748,6914,12748,6894m12788,6894l12768,6894,12768,6914,12788,6914,12788,6894m12828,6894l12808,6894,12808,6914,12828,6914,12828,6894m12868,6894l12848,6894,12848,6914,12868,6914,12868,6894m12907,6894l12888,6894,12888,6914,12907,6914,12907,6894m12947,6894l12927,6894,12927,6914,12947,6914,12947,6894m12987,6894l12967,6894,12967,6914,12987,6914,12987,6894m13027,6894l13007,6894,13007,6914,13027,6914,13027,6894m13067,6894l13047,6894,13047,6914,13067,6914,13067,6894m13107,6894l13087,6894,13087,6914,13107,6914,13107,6894m13146,6894l13127,6894,13127,6914,13146,6914,13146,6894m13186,6894l13166,6894,13166,6914,13186,6914,13186,6894m13226,6894l13206,6894,13206,6914,13226,6914,13226,6894m13266,6894l13246,6894,13246,6914,13266,6914,13266,6894m13306,6894l13286,6894,13286,6914,13306,6914,13306,6894m13346,6894l13326,6894,13326,6914,13346,6914,13346,6894m13386,6894l13366,6894,13366,6914,13386,6914,13386,6894m13425,6894l13405,6894,13405,6914,13425,6914,13425,6894m13465,6894l13445,6894,13445,6914,13465,6914,13465,6894m13505,6894l13485,6894,13485,6914,13505,6914,13505,6894m13545,6894l13525,6894,13525,6914,13545,6914,13545,6894m13585,6894l13565,6894,13565,6914,13585,6914,13585,6894m13625,6894l13605,6894,13605,6914,13625,6914,13625,6894m13664,6894l13644,6894,13644,6914,13664,6914,13664,6894m13704,6894l13684,6894,13684,6914,13704,6914,13704,6894m13744,6894l13724,6894,13724,6914,13744,6914,13744,6894m13784,6894l13764,6894,13764,6914,13784,6914,13784,6894m13824,6894l13804,6894,13804,6914,13824,6914,13824,6894m13864,6894l13844,6894,13844,6914,13864,6914,13864,6894m13903,6894l13884,6894,13884,6914,13903,6914,13903,6894m13943,6894l13923,6894,13923,6914,13943,6914,13943,6894m13983,6894l13963,6894,13963,6914,13983,6914,13983,6894m14023,6894l14003,6894,14003,6914,14023,6914,14023,6894m14063,6894l14043,6894,14043,6914,14063,6914,14063,6894m14103,6894l14083,6894,14083,6914,14103,6914,14103,6894m14142,6894l14123,6894,14123,6914,14142,6914,14142,6894m14182,6894l14162,6894,14162,6914,14182,6914,14182,6894m14222,6894l14202,6894,14202,6914,14222,6914,14222,6894m14262,6894l14242,6894,14242,6914,14262,6914,14262,6894m14302,6894l14282,6894,14282,6914,14302,6914,14302,6894m14342,6894l14322,6894,14322,6914,14342,6914,14342,6894m14382,7081l14362,7081,14362,7091,14382,7091,14382,7081m14382,7044l14362,7044,14362,7062,14382,7062,14382,7044m14382,7007l14362,7007,14362,7025,14382,7025,14382,7007m14382,6970l14362,6970,14362,6988,14382,6988,14382,6970m14382,6933l14362,6933,14362,6951,14382,6951,14382,6933m14382,6894l14362,6894,14362,6914,14382,6914,14382,6894e" filled="true" fillcolor="#6f2770" stroked="false">
              <v:path arrowok="t"/>
              <v:fill type="solid"/>
            </v:shape>
            <v:shape style="position:absolute;left:12086;top:6993;width:2128;height:1281" coordorigin="12087,6993" coordsize="2128,1281" path="m12974,6993l12902,6998,12832,7011,12766,7032,12703,7061,12645,7096,12591,7138,12543,7187,12501,7240,12465,7298,12437,7361,12416,7427,12402,7497,12398,7568,12398,7573,12326,7589,12260,7619,12202,7662,12154,7715,12118,7777,12095,7847,12087,7922,12094,7993,12114,8059,12147,8119,12190,8171,12242,8214,12301,8246,12367,8266,12438,8274,14019,8274,14020,8273,14039,8273,14105,8259,14162,8221,14200,8164,14215,8094,14201,8025,14164,7969,14108,7930,14040,7914,14042,7903,14042,7891,14043,7880,14043,7868,14037,7797,14019,7731,13990,7670,13951,7615,13904,7568,13849,7529,13788,7500,13753,7490,13545,7490,13529,7415,13504,7344,13471,7278,13430,7217,13381,7162,13326,7113,13265,7072,13198,7038,13127,7014,13052,6998,12974,6993xm14039,8273l14020,8273,14030,8274,14035,8274,14039,8273xm13651,7475l13623,7476,13597,7479,13570,7484,13545,7490,13753,7490,13721,7482,13651,7475xe" filled="true" fillcolor="#ffffff" stroked="false">
              <v:path arrowok="t"/>
              <v:fill type="solid"/>
            </v:shape>
            <v:shape style="position:absolute;left:12133;top:7590;width:672;height:672" coordorigin="12134,7591" coordsize="672,672" path="m12732,8139l12325,8139,12345,8151,12366,8161,12387,8170,12409,8176,12416,8262,12511,8262,12518,8178,12540,8173,12562,8166,12583,8157,12603,8145,12725,8145,12732,8139xm12725,8145l12603,8145,12669,8201,12725,8145xm12269,7651l12203,7718,12257,7782,12245,7802,12235,7823,12226,7844,12220,7866,12134,7873,12134,7968,12217,7975,12223,7997,12230,8019,12239,8040,12250,8060,12194,8126,12261,8193,12325,8139,12732,8139,12736,8135,12682,8070,12694,8051,12704,8031,12469,8031,12449,8029,12430,8023,12412,8014,12395,8000,12372,7966,12365,7926,12372,7887,12395,7852,12412,7839,12430,7830,12449,7824,12469,7822,12703,7822,12700,7813,12688,7793,12744,7726,12732,7714,12613,7714,12603,7707,12336,7707,12269,7651xm12703,7822l12469,7822,12489,7824,12509,7830,12527,7839,12543,7852,12566,7887,12574,7926,12566,7966,12543,8000,12527,8014,12509,8023,12489,8029,12469,8031,12704,8031,12704,8030,12712,8009,12719,7987,12805,7979,12805,7885,12721,7878,12716,7856,12709,7834,12703,7822xm12678,7660l12613,7714,12732,7714,12678,7660xm12522,7591l12428,7591,12421,7674,12399,7680,12377,7687,12356,7696,12336,7707,12603,7707,12594,7702,12573,7692,12551,7683,12530,7677,12522,7591xe" filled="true" fillcolor="#d8d8d8" stroked="false">
              <v:path arrowok="t"/>
              <v:fill type="solid"/>
            </v:shape>
            <v:shape style="position:absolute;left:14422;top:7127;width:1167;height:703" type="#_x0000_t75" stroked="false">
              <v:imagedata r:id="rId84" o:title=""/>
            </v:shape>
            <v:shape style="position:absolute;left:11301;top:7099;width:3777;height:2304" coordorigin="11302,7099" coordsize="3777,2304" path="m12141,8405l12135,8374,12117,8348,12092,8331,12082,8329,12060,8325,12051,8325,12043,8326,12035,8329,12016,8273,11979,8227,11929,8197,11891,8190,11870,8186,11857,8186,11845,8188,11834,8190,11803,8162,11767,8141,11726,8127,11682,8123,11614,8134,11555,8167,11510,8216,11484,8278,11483,8278,11436,8288,11397,8314,11372,8352,11362,8400,11362,8406,11363,8411,11363,8417,12140,8417,12140,8413,12141,8409,12141,8405m12173,7490l12160,7422,12122,7366,12066,7328,12031,7321,11998,7315,11986,7315,11974,7316,11962,7318,11951,7321,11930,7250,11891,7189,11837,7141,11771,7110,11696,7099,11628,7109,11566,7135,11514,7175,11474,7227,11448,7288,11439,7356,11439,7358,11389,7373,11348,7402,11317,7443,11302,7492,12173,7492,12173,7490m12280,8822l12272,8814,11989,8814,11981,8822,11981,9394,11989,9403,12272,9403,12280,9394,12280,8822m15078,8218l15070,8176,15047,8143,15014,8120,14992,8116,14973,8112,14963,8112,14953,8113,14944,8116,14927,8063,14893,8021,14846,7992,14791,7982,14730,7994,14681,8028,14648,8077,14636,8137,14636,8138,14605,8147,14580,8165,14562,8189,14553,8219,15078,8219,15078,8218e" filled="true" fillcolor="#ffffff" stroked="false">
              <v:path arrowok="t"/>
              <v:fill type="solid"/>
            </v:shape>
            <v:rect style="position:absolute;left:12017;top:8882;width:226;height:451" filled="true" fillcolor="#aebd37" stroked="false">
              <v:fill type="solid"/>
            </v:rect>
            <v:rect style="position:absolute;left:12118;top:9350;width:25;height:20" filled="true" fillcolor="#6f2770" stroked="false">
              <v:fill type="solid"/>
            </v:rect>
            <v:shape style="position:absolute;left:14151;top:8729;width:419;height:674" coordorigin="14151,8729" coordsize="419,674" path="m14562,8729l14159,8729,14151,8737,14151,9395,14159,9403,14562,9403,14570,9395,14570,8737,14562,8729xe" filled="true" fillcolor="#ffffff" stroked="false">
              <v:path arrowok="t"/>
              <v:fill type="solid"/>
            </v:shape>
            <v:rect style="position:absolute;left:14185;top:8794;width:350;height:544" filled="true" fillcolor="#bbbcbb" stroked="false">
              <v:fill type="solid"/>
            </v:rect>
            <v:shape style="position:absolute;left:14313;top:8759;width:94;height:615" coordorigin="14313,8759" coordsize="94,615" path="m14372,8759l14349,8759,14349,8779,14372,8779,14372,8759m14407,9354l14313,9354,14313,9374,14407,9374,14407,9354e" filled="true" fillcolor="#6f2770" stroked="false">
              <v:path arrowok="t"/>
              <v:fill type="solid"/>
            </v:shape>
            <v:shape style="position:absolute;left:12665;top:8576;width:1123;height:751" coordorigin="12666,8577" coordsize="1123,751" path="m13750,8577l12704,8577,12689,8580,12677,8588,12669,8600,12666,8615,12666,9327,13788,9327,13788,8615,13785,8600,13777,8588,13765,8580,13750,8577xe" filled="true" fillcolor="#ffffff" stroked="false">
              <v:path arrowok="t"/>
              <v:fill type="solid"/>
            </v:shape>
            <v:rect style="position:absolute;left:12723;top:8635;width:1007;height:626" filled="true" fillcolor="#d8dc8a" stroked="false">
              <v:fill type="solid"/>
            </v:rect>
            <v:shape style="position:absolute;left:12498;top:9323;width:1458;height:80" coordorigin="12498,9324" coordsize="1458,80" path="m13112,9324l12498,9324,12498,9365,12528,9387,12547,9398,12563,9402,12586,9403,13868,9403,13897,9397,13926,9384,13947,9371,13956,9365,13956,9343,13158,9343,13142,9343,13129,9341,13118,9335,13112,9324xm13956,9324l13342,9324,13335,9335,13325,9341,13312,9343,13296,9343,13956,9343,13956,9324xe" filled="true" fillcolor="#bbbcbb" stroked="false">
              <v:path arrowok="t"/>
              <v:fill type="solid"/>
            </v:shape>
            <v:shape style="position:absolute;left:12810;top:7114;width:413;height:620" coordorigin="12811,7115" coordsize="413,620" path="m13122,7115l12811,7115,12811,7734,13224,7734,13224,7216,13122,7115xe" filled="true" fillcolor="#aebd37" stroked="false">
              <v:path arrowok="t"/>
              <v:fill type="solid"/>
            </v:shape>
            <v:shape style="position:absolute;left:13122;top:7114;width:106;height:106" coordorigin="13122,7115" coordsize="106,106" path="m13122,7115l13122,7220,13228,7220,13122,7115xe" filled="true" fillcolor="#5d883c" stroked="false">
              <v:path arrowok="t"/>
              <v:fill type="solid"/>
            </v:shape>
            <v:rect style="position:absolute;left:12762;top:7246;width:115;height:20" filled="true" fillcolor="#6f2770" stroked="false">
              <v:fill type="solid"/>
            </v:rect>
            <v:line style="position:absolute" from="12761,7318" to="13033,7318" stroked="true" strokeweight=".999pt" strokecolor="#6f2770">
              <v:stroke dashstyle="solid"/>
            </v:line>
            <v:line style="position:absolute" from="12761,7380" to="13033,7380" stroked="true" strokeweight=".998pt" strokecolor="#6f2770">
              <v:stroke dashstyle="solid"/>
            </v:line>
            <v:line style="position:absolute" from="12761,7441" to="12969,7441" stroked="true" strokeweight=".999pt" strokecolor="#6f2770">
              <v:stroke dashstyle="solid"/>
            </v:line>
            <v:line style="position:absolute" from="13482,7737" to="13482,8212" stroked="true" strokeweight="6.068pt" strokecolor="#5d883c">
              <v:stroke dashstyle="solid"/>
            </v:line>
            <v:rect style="position:absolute;left:13592;top:7960;width:122;height:253" filled="true" fillcolor="#ffffff" stroked="false">
              <v:fill type="solid"/>
            </v:rect>
            <v:rect style="position:absolute;left:13582;top:7970;width:20;height:242" filled="true" fillcolor="#6f2770" stroked="false">
              <v:fill type="solid"/>
            </v:rect>
            <v:line style="position:absolute" from="13583,7960" to="13724,7960" stroked="true" strokeweight="1pt" strokecolor="#6f2770">
              <v:stroke dashstyle="solid"/>
            </v:line>
            <v:rect style="position:absolute;left:13704;top:7970;width:20;height:243" filled="true" fillcolor="#6f2770" stroked="false">
              <v:fill type="solid"/>
            </v:rect>
            <v:line style="position:absolute" from="13825,7806" to="13825,8212" stroked="true" strokeweight="6.068pt" strokecolor="#aebd37">
              <v:stroke dashstyle="solid"/>
            </v:line>
            <v:shape style="position:absolute;left:13240;top:8108;width:142;height:104" type="#_x0000_t75" stroked="false">
              <v:imagedata r:id="rId85" o:title=""/>
            </v:shape>
            <v:line style="position:absolute" from="13123,8219" to="14015,8219" stroked="true" strokeweight=".998pt" strokecolor="#6f2770">
              <v:stroke dashstyle="solid"/>
            </v:line>
            <v:shape style="position:absolute;left:11587;top:7222;width:149;height:206" type="#_x0000_t75" stroked="false">
              <v:imagedata r:id="rId86" o:title=""/>
            </v:shape>
            <v:line style="position:absolute" from="13240,8037" to="13488,8037" stroked="true" strokeweight="1pt" strokecolor="#6f2770">
              <v:stroke dashstyle="solid"/>
            </v:line>
            <v:line style="position:absolute" from="13478,7563" to="13478,8027" stroked="true" strokeweight=".998pt" strokecolor="#6f2770">
              <v:stroke dashstyle="solid"/>
            </v:line>
            <v:line style="position:absolute" from="13036,7452" to="13036,8038" stroked="true" strokeweight=".999pt" strokecolor="#6f2770">
              <v:stroke dashstyle="solid"/>
            </v:line>
            <v:shape style="position:absolute;left:13026;top:7428;width:466;height:128" type="#_x0000_t75" stroked="false">
              <v:imagedata r:id="rId87" o:title=""/>
            </v:shape>
            <v:shape style="position:absolute;left:13078;top:7621;width:353;height:275" type="#_x0000_t75" stroked="false">
              <v:imagedata r:id="rId88" o:title=""/>
            </v:shape>
            <v:rect style="position:absolute;left:13300;top:7937;width:127;height:20" filled="true" fillcolor="#6f2770" stroked="false">
              <v:fill type="solid"/>
            </v:rect>
            <v:shape style="position:absolute;left:11550;top:8223;width:345;height:319" type="#_x0000_t75" stroked="false">
              <v:imagedata r:id="rId89" o:title=""/>
            </v:shape>
            <v:shape style="position:absolute;left:12478;top:7887;width:148;height:148" type="#_x0000_t75" stroked="false">
              <v:imagedata r:id="rId90" o:title=""/>
            </v:shape>
            <v:shape style="position:absolute;left:12665;top:7898;width:258;height:97" coordorigin="12665,7899" coordsize="258,97" path="m12665,7899l12923,7899m12665,7947l12923,7947m12665,7995l12856,7995e" filled="false" stroked="true" strokeweight=".998pt" strokecolor="#6f2770">
              <v:path arrowok="t"/>
              <v:stroke dashstyle="solid"/>
            </v:shape>
            <v:shape style="position:absolute;left:12478;top:8071;width:148;height:148" type="#_x0000_t75" stroked="false">
              <v:imagedata r:id="rId91" o:title=""/>
            </v:shape>
            <v:line style="position:absolute" from="12665,8082" to="12923,8082" stroked="true" strokeweight=".998pt" strokecolor="#6f2770">
              <v:stroke dashstyle="solid"/>
            </v:line>
            <v:line style="position:absolute" from="12665,8130" to="12923,8130" stroked="true" strokeweight=".999pt" strokecolor="#6f2770">
              <v:stroke dashstyle="solid"/>
            </v:line>
            <v:line style="position:absolute" from="12665,8178" to="12856,8178" stroked="true" strokeweight=".998pt" strokecolor="#6f2770">
              <v:stroke dashstyle="solid"/>
            </v:line>
            <v:shape style="position:absolute;left:12998;top:7987;width:221;height:238" type="#_x0000_t75" stroked="false">
              <v:imagedata r:id="rId92" o:title=""/>
            </v:shape>
            <v:shape style="position:absolute;left:13610;top:7585;width:282;height:282" type="#_x0000_t75" stroked="false">
              <v:imagedata r:id="rId93" o:title=""/>
            </v:shape>
            <v:shape style="position:absolute;left:12479;top:7823;width:405;height:10" coordorigin="12480,7823" coordsize="405,10" path="m12480,7833l12885,7833m12480,7823l12865,7823e" filled="false" stroked="true" strokeweight=".5pt" strokecolor="#6f2770">
              <v:path arrowok="t"/>
              <v:stroke dashstyle="solid"/>
            </v:shape>
            <v:line style="position:absolute" from="12490,7518" to="12490,7818" stroked="true" strokeweight=".999pt" strokecolor="#6f2770">
              <v:stroke dashstyle="solid"/>
            </v:line>
            <v:line style="position:absolute" from="12480,7508" to="12885,7508" stroked="true" strokeweight="1pt" strokecolor="#6f2770">
              <v:stroke dashstyle="solid"/>
            </v:line>
            <v:rect style="position:absolute;left:12864;top:7818;width:10;height:10" filled="true" fillcolor="#6f2770" stroked="false">
              <v:fill type="solid"/>
            </v:rect>
            <v:line style="position:absolute" from="12875,7518" to="12875,7818" stroked="true" strokeweight=".998pt" strokecolor="#6f2770">
              <v:stroke dashstyle="solid"/>
            </v:line>
            <v:shape style="position:absolute;left:12482;top:7613;width:405;height:215" coordorigin="12482,7614" coordsize="405,215" path="m12885,7818l12875,7818,12875,7828,12885,7828,12885,7818m12887,7772l12811,7706,12782,7681,12695,7739,12606,7643,12579,7614,12482,7713,12497,7727,12578,7643,12692,7765,12731,7739,12781,7706,12874,7787,12887,7772e" filled="true" fillcolor="#6f2770" stroked="false">
              <v:path arrowok="t"/>
              <v:fill type="solid"/>
            </v:shape>
            <v:shape style="position:absolute;left:12677;top:7542;width:92;height:92" coordorigin="12677,7543" coordsize="92,92" path="m12723,7543l12705,7546,12691,7556,12681,7571,12677,7589,12681,7607,12691,7621,12705,7631,12723,7635,12741,7631,12756,7621,12766,7607,12769,7589,12766,7571,12756,7556,12741,7546,12723,7543xe" filled="true" fillcolor="#d8dc8a" stroked="false">
              <v:path arrowok="t"/>
              <v:fill type="solid"/>
            </v:shape>
            <v:line style="position:absolute" from="11962,7862" to="12401,7862" stroked="true" strokeweight=".998pt" strokecolor="#6f2770">
              <v:stroke dashstyle="solid"/>
            </v:line>
            <v:line style="position:absolute" from="11962,7910" to="12339,7910" stroked="true" strokeweight=".999pt" strokecolor="#6f2770">
              <v:stroke dashstyle="solid"/>
            </v:line>
            <v:shape style="position:absolute;left:11875;top:7842;width:70;height:68" coordorigin="11875,7842" coordsize="70,68" path="m11889,7872l11875,7887,11900,7910,11924,7881,11898,7881,11889,7872xm11929,7842l11898,7881,11924,7881,11944,7855,11929,7842xe" filled="true" fillcolor="#6f2770" stroked="false">
              <v:path arrowok="t"/>
              <v:fill type="solid"/>
            </v:shape>
            <v:shape style="position:absolute;left:11961;top:7978;width:440;height:48" coordorigin="11962,7979" coordsize="440,48" path="m11962,7979l12401,7979m11962,8026l12339,8026e" filled="false" stroked="true" strokeweight=".998pt" strokecolor="#6f2770">
              <v:path arrowok="t"/>
              <v:stroke dashstyle="solid"/>
            </v:shape>
            <v:shape style="position:absolute;left:11875;top:7958;width:70;height:68" coordorigin="11875,7959" coordsize="70,68" path="m11889,7989l11875,8003,11900,8027,11923,7997,11898,7997,11889,7989xm11929,7959l11898,7997,11923,7997,11944,7971,11929,7959xe" filled="true" fillcolor="#6f2770" stroked="false">
              <v:path arrowok="t"/>
              <v:fill type="solid"/>
            </v:shape>
            <v:shape style="position:absolute;left:13994;top:7993;width:153;height:165" type="#_x0000_t75" stroked="false">
              <v:imagedata r:id="rId94" o:title=""/>
            </v:shape>
            <v:shape style="position:absolute;left:12498;top:7258;width:178;height:178" type="#_x0000_t75" stroked="false">
              <v:imagedata r:id="rId95" o:title=""/>
            </v:shape>
            <v:shape style="position:absolute;left:14288;top:7846;width:191;height:196" type="#_x0000_t75" stroked="false">
              <v:imagedata r:id="rId96" o:title=""/>
            </v:shape>
            <v:shape style="position:absolute;left:11646;top:8536;width:2292;height:560" coordorigin="11646,8536" coordsize="2292,560" path="m11666,9083l11646,9083,11646,9096,11666,9096,11666,9083m11666,9043l11646,9043,11646,9063,11666,9063,11666,9043m11666,9003l11646,9003,11646,9023,11666,9023,11666,9003m11666,8963l11646,8963,11646,8983,11666,8983,11666,8963m11666,8923l11646,8923,11646,8943,11666,8943,11666,8923m11799,8730l11779,8730,11779,8743,11799,8743,11799,8730m11799,8690l11779,8690,11779,8710,11799,8710,11799,8690m11799,8650l11779,8650,11779,8670,11799,8670,11799,8650m11799,8610l11779,8610,11779,8630,11799,8630,11799,8610m11799,8571l11779,8571,11779,8591,11799,8591,11799,8571m13938,8696l13918,8696,13918,8708,13938,8708,13938,8696m13938,8656l13918,8656,13918,8676,13938,8676,13938,8656m13938,8616l13918,8616,13918,8636,13938,8636,13938,8616m13938,8576l13918,8576,13918,8596,13938,8596,13938,8576m13938,8536l13918,8536,13918,8556,13938,8556,13938,8536e" filled="true" fillcolor="#5d883c" stroked="false">
              <v:path arrowok="t"/>
              <v:fill type="solid"/>
            </v:shape>
            <v:shape style="position:absolute;left:11692;top:7213;width:3267;height:1918" coordorigin="11692,7214" coordsize="3267,1918" path="m11712,8073l11692,8073,11692,8083,11712,8083,11712,8073m11712,8032l11692,8032,11692,8052,11712,8052,11712,8032m11712,7991l11692,7991,11692,8012,11712,8012,11712,7991m11712,7951l11692,7951,11692,7971,11712,7971,11712,7951m11712,7910l11692,7910,11692,7930,11712,7930,11712,7910m11712,7869l11692,7869,11692,7890,11712,7890,11712,7869m11712,7829l11692,7829,11692,7849,11712,7849,11712,7829m11712,7788l11692,7788,11692,7809,11712,7809,11712,7788m11712,7748l11692,7748,11692,7768,11712,7768,11712,7748m11712,7707l11692,7707,11692,7727,11712,7727,11712,7707m11712,7667l11692,7667,11692,7687,11712,7687,11712,7667m11739,9073l11719,9073,11719,9092,11739,9092,11739,9073m11739,9034l11719,9034,11719,9054,11739,9054,11739,9034m11739,8996l11719,8996,11719,9015,11739,9015,11739,8996m11739,8958l11719,8958,11719,8977,11739,8977,11739,8958m11739,8919l11719,8919,11719,8939,11739,8939,11739,8919m11739,8881l11719,8881,11719,8900,11739,8900,11739,8881m11739,8843l11719,8843,11719,8862,11739,8862,11739,8843m11739,8804l11719,8804,11719,8824,11739,8824,11739,8804m11739,8766l11719,8766,11719,8785,11739,8785,11739,8766m11739,8728l11719,8728,11719,8747,11739,8747,11739,8728m11739,8689l11719,8689,11719,8709,11739,8709,11739,8689m11739,8651l11719,8651,11719,8670,11739,8670,11739,8651m11739,8622l11719,8622,11719,8632,11739,8632,11739,8622m11751,7667l11732,7667,11732,7687,11751,7687,11751,7667m11790,7667l11770,7667,11770,7687,11790,7687,11790,7667m11829,7667l11809,7667,11809,7687,11829,7687,11829,7667m11868,7667l11848,7667,11848,7687,11868,7687,11868,7667m11907,7667l11887,7667,11887,7687,11907,7687,11907,7667m11945,7667l11926,7667,11926,7687,11945,7687,11945,7667m11984,7667l11965,7667,11965,7687,11984,7687,11984,7667m12023,7667l12004,7667,12004,7687,12023,7687,12023,7667m12062,7667l12043,7667,12043,7687,12062,7687,12062,7667m12101,7667l12082,7667,12082,7687,12101,7687,12101,7667m12140,7667l12120,7667,12120,7687,12140,7687,12140,7667m12179,7667l12159,7667,12159,7687,12179,7687,12179,7667m12208,7667l12198,7667,12198,7687,12208,7687,12208,7667m14621,9111l14611,9111,14611,9131,14621,9131,14621,9111m14621,7214l14611,7214,14611,7234,14621,7234,14621,7214m14663,9111l14642,9111,14642,9131,14663,9131,14663,9111m14663,7214l14642,7214,14642,7234,14663,7234,14663,7214m14704,9111l14683,9111,14683,9131,14704,9131,14704,9111m14704,7214l14683,7214,14683,7234,14704,7234,14704,7214m14745,9111l14725,9111,14725,9131,14745,9131,14745,9111m14745,7214l14725,7214,14725,7234,14745,7234,14745,7214m14787,9111l14766,9111,14766,9131,14787,9131,14787,9111m14787,7214l14766,7214,14766,7234,14787,7234,14787,7214m14828,9071l14808,9071,14808,9091,14828,9091,14828,9071m14828,9031l14808,9031,14808,9051,14828,9051,14828,9031m14828,8991l14808,8991,14808,9011,14828,9011,14828,8991m14828,8951l14808,8951,14808,8971,14828,8971,14828,8951m14828,8911l14808,8911,14808,8931,14828,8931,14828,8911m14828,8872l14808,8872,14808,8891,14828,8891,14828,8872m14828,8832l14808,8832,14808,8852,14828,8852,14828,8832m14828,8792l14808,8792,14808,8812,14828,8812,14828,8792m14828,8752l14808,8752,14808,8772,14828,8772,14828,8752m14828,8712l14808,8712,14808,8732,14828,8732,14828,8712m14828,8672l14808,8672,14808,8692,14828,8692,14828,8672m14828,8632l14808,8632,14808,8652,14828,8652,14828,8632m14828,8592l14808,8592,14808,8612,14828,8612,14828,8592m14828,8552l14808,8552,14808,8572,14828,8572,14828,8552m14828,8512l14808,8512,14808,8532,14828,8532,14828,8512m14828,8472l14808,8472,14808,8492,14828,8492,14828,8472m14828,8432l14808,8432,14808,8452,14828,8452,14828,8432m14828,8392l14808,8392,14808,8412,14828,8412,14828,8392m14828,8352l14808,8352,14808,8372,14828,8372,14828,8352m14828,8312l14808,8312,14808,8332,14828,8332,14828,8312m14828,8282l14808,8282,14808,8292,14828,8292,14828,8282m14828,7953l14808,7953,14808,7963,14828,7963,14828,7953m14828,7914l14808,7914,14808,7933,14828,7933,14828,7914m14828,7875l14808,7875,14808,7895,14828,7895,14828,7875m14828,7836l14808,7836,14808,7856,14828,7856,14828,7836m14828,7797l14808,7797,14808,7817,14828,7817,14828,7797m14828,7759l14808,7759,14808,7778,14828,7778,14828,7759m14828,7720l14808,7720,14808,7739,14828,7739,14828,7720m14828,7681l14808,7681,14808,7700,14828,7700,14828,7681m14828,7642l14808,7642,14808,7661,14828,7661,14828,7642m14828,7603l14808,7603,14808,7623,14828,7623,14828,7603m14828,7564l14808,7564,14808,7584,14828,7584,14828,7564m14828,7525l14808,7525,14808,7545,14828,7545,14828,7525m14828,7487l14808,7487,14808,7506,14828,7506,14828,7487m14828,7448l14808,7448,14808,7467,14828,7467,14828,7448m14828,7409l14808,7409,14808,7428,14828,7428,14828,7409m14828,7370l14808,7370,14808,7389,14828,7389,14828,7370m14828,7331l14808,7331,14808,7351,14828,7351,14828,7331m14828,7292l14808,7292,14808,7312,14828,7312,14828,7292m14828,7253l14808,7253,14808,7273,14828,7273,14828,7253m14828,7214l14808,7214,14808,7234,14828,7234,14828,7214m14828,9111l14808,9111,14808,9131,14828,9131,14828,9111m14877,8242l14870,8237,14863,8231,14848,8223,14832,8218,14816,8217,14799,8218,14783,8223,14768,8231,14754,8242,14768,8256,14779,8248,14791,8242,14803,8238,14816,8237,14828,8238,14841,8242,14852,8248,14863,8256,14877,8242m14919,8200l14896,8181,14888,8177,14870,8168,14843,8160,14815,8157,14788,8160,14761,8168,14735,8181,14712,8200,14726,8214,14746,8198,14768,8186,14791,8179,14815,8177,14840,8179,14863,8186,14885,8198,14905,8214,14919,8200m14959,8160l14927,8134,14902,8120,14892,8115,14854,8104,14816,8101,14777,8104,14739,8115,14704,8134,14672,8160,14686,8174,14715,8151,14747,8134,14781,8124,14816,8120,14851,8124,14884,8134,14916,8151,14945,8174,14959,8160e" filled="true" fillcolor="#6f2770" stroked="false">
              <v:path arrowok="t"/>
              <v:fill type="solid"/>
            </v:shape>
            <v:shape style="position:absolute;left:14022;top:7096;width:732;height:277" coordorigin="14022,7096" coordsize="732,277" path="m14323,7096l14259,7107,14204,7138,14161,7184,14136,7243,14136,7243,14092,7252,14055,7276,14031,7312,14022,7356,14022,7362,14023,7367,14023,7373,14753,7373,14754,7366,14754,7362,14748,7332,14732,7308,14708,7292,14698,7290,14655,7290,14637,7237,14602,7195,14555,7166,14520,7160,14465,7160,14436,7133,14402,7113,14364,7101,14323,7096xm14678,7286l14670,7286,14662,7288,14655,7290,14698,7290,14678,7286xm14499,7156l14488,7156,14476,7157,14465,7160,14520,7160,14499,7156xe" filled="true" fillcolor="#ffffff" stroked="false">
              <v:path arrowok="t"/>
              <v:fill type="solid"/>
            </v:shape>
            <v:shape style="position:absolute;left:14234;top:7325;width:256;height:10" coordorigin="14235,7325" coordsize="256,10" path="m14235,7335l14491,7335m14235,7325l14471,7325e" filled="false" stroked="true" strokeweight=".5pt" strokecolor="#6f2770">
              <v:path arrowok="t"/>
              <v:stroke dashstyle="solid"/>
            </v:shape>
            <v:rect style="position:absolute;left:14234;top:7188;width:20;height:132" filled="true" fillcolor="#6f2770" stroked="false">
              <v:fill type="solid"/>
            </v:rect>
            <v:line style="position:absolute" from="14235,7178" to="14491,7178" stroked="true" strokeweight="1pt" strokecolor="#6f2770">
              <v:stroke dashstyle="solid"/>
            </v:line>
            <v:shape style="position:absolute;left:14238;top:7177;width:253;height:154" coordorigin="14239,7177" coordsize="253,154" path="m14491,7188l14483,7188,14475,7177,14363,7258,14250,7177,14239,7193,14363,7283,14397,7258,14471,7205,14471,7320,14471,7330,14481,7330,14491,7330,14491,7320,14481,7320,14491,7320,14491,7188e" filled="true" fillcolor="#6f2770" stroked="false">
              <v:path arrowok="t"/>
              <v:fill type="solid"/>
            </v:shape>
            <v:shape style="position:absolute;left:14297;top:7462;width:149;height:305" type="#_x0000_t75" stroked="false">
              <v:imagedata r:id="rId97" o:title=""/>
            </v:shape>
            <v:shape style="position:absolute;left:14071;top:7194;width:202;height:10" coordorigin="14071,7194" coordsize="202,10" path="m14071,7204l14273,7204m14071,7194l14253,7194e" filled="false" stroked="true" strokeweight=".5pt" strokecolor="#6f2770">
              <v:path arrowok="t"/>
              <v:stroke dashstyle="solid"/>
            </v:shape>
            <v:rect style="position:absolute;left:14071;top:7099;width:20;height:90" filled="true" fillcolor="#6f2770" stroked="false">
              <v:fill type="solid"/>
            </v:rect>
            <v:line style="position:absolute" from="14071,7089" to="14273,7089" stroked="true" strokeweight="1pt" strokecolor="#6f2770">
              <v:stroke dashstyle="solid"/>
            </v:line>
            <v:shape style="position:absolute;left:14078;top:7080;width:194;height:124" coordorigin="14079,7080" coordsize="194,124" path="m14273,7099l14260,7099,14265,7095,14253,7081,14253,7106,14253,7178,14210,7142,14253,7106,14253,7081,14252,7080,14172,7148,14092,7080,14079,7095,14134,7142,14079,7189,14092,7204,14149,7155,14172,7175,14195,7155,14252,7204,14256,7199,14263,7199,14273,7199,14273,7190,14264,7190,14273,7189,14273,7099e" filled="true" fillcolor="#6f2770" stroked="false">
              <v:path arrowok="t"/>
              <v:fill type="solid"/>
            </v:shape>
            <v:shape style="position:absolute;left:14245;top:7433;width:20;height:164" coordorigin="14246,7433" coordsize="20,164" path="m14266,7593l14246,7593,14246,7597,14266,7597,14266,7593m14266,7553l14246,7553,14246,7573,14266,7573,14266,7553m14266,7513l14246,7513,14246,7533,14266,7533,14266,7513m14266,7473l14246,7473,14246,7493,14266,7493,14266,7473m14266,7433l14246,7433,14246,7453,14266,7453,14266,7433e" filled="true" fillcolor="#5d883c" stroked="false">
              <v:path arrowok="t"/>
              <v:fill type="solid"/>
            </v:shape>
            <v:shape style="position:absolute;left:12344;top:8885;width:420;height:302" type="#_x0000_t75" stroked="false">
              <v:imagedata r:id="rId98" o:title=""/>
            </v:shape>
            <v:shape style="position:absolute;left:13696;top:8885;width:420;height:302" type="#_x0000_t75" stroked="false">
              <v:imagedata r:id="rId99" o:title=""/>
            </v:shape>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shape style="position:absolute;left:15424;top:1075;width:900;height:904" coordorigin="15424,1076" coordsize="900,904" path="m15874,1076l15424,1526,15424,1529,15874,1979,16324,1529,16324,1526,15874,1076xe" filled="true" fillcolor="#c4cd71" stroked="false">
              <v:path arrowok="t"/>
              <v:fill type="solid"/>
            </v:shape>
            <v:rect style="position:absolute;left:0;top:0;width:2406;height:851" filled="true" fillcolor="#aebd37" stroked="false">
              <v:fill type="solid"/>
            </v:rect>
            <v:rect style="position:absolute;left:4810;top:0;width:2406;height:851" filled="true" fillcolor="#e6e7e8" stroked="false">
              <v:fill type="solid"/>
            </v:rect>
            <v:shape style="position:absolute;left:4810;top:0;width:583;height:583" type="#_x0000_t75" stroked="false">
              <v:imagedata r:id="rId51" o:title=""/>
            </v:shape>
            <v:rect style="position:absolute;left:9621;top:0;width:2406;height:851" filled="true" fillcolor="#bec85c" stroked="false">
              <v:fill type="solid"/>
            </v:rect>
            <v:rect style="position:absolute;left:12026;top:0;width:2406;height:851" filled="true" fillcolor="#b6c247" stroked="false">
              <v:fill type="solid"/>
            </v:rect>
            <v:rect style="position:absolute;left:14432;top:0;width:2406;height:851" filled="true" fillcolor="#aebd37" stroked="false">
              <v:fill type="solid"/>
            </v:rect>
            <v:shape style="position:absolute;left:15263;top:1366;width:161;height:322" type="#_x0000_t75" stroked="false">
              <v:imagedata r:id="rId16" o:title=""/>
            </v:shape>
            <v:shape style="position:absolute;left:16324;top:1366;width:161;height:322" type="#_x0000_t75" stroked="false">
              <v:imagedata r:id="rId11" o:title=""/>
            </v:shape>
            <w10:wrap type="none"/>
          </v:group>
        </w:pict>
      </w:r>
      <w:r>
        <w:rPr>
          <w:color w:val="FFFFFF"/>
          <w:sz w:val="19"/>
        </w:rPr>
        <w:t>Strategic </w:t>
      </w:r>
      <w:r>
        <w:rPr>
          <w:color w:val="FFFFFF"/>
          <w:w w:val="95"/>
          <w:sz w:val="19"/>
        </w:rPr>
        <w:t>Assessment</w:t>
      </w:r>
    </w:p>
    <w:p>
      <w:pPr>
        <w:spacing w:line="249" w:lineRule="auto" w:before="105"/>
        <w:ind w:left="534" w:right="-13" w:firstLine="0"/>
        <w:jc w:val="left"/>
        <w:rPr>
          <w:sz w:val="19"/>
        </w:rPr>
      </w:pPr>
      <w:r>
        <w:rPr/>
        <w:br w:type="column"/>
      </w:r>
      <w:r>
        <w:rPr>
          <w:color w:val="FFFFFF"/>
          <w:w w:val="95"/>
          <w:sz w:val="19"/>
        </w:rPr>
        <w:t>Business </w:t>
      </w:r>
      <w:r>
        <w:rPr>
          <w:color w:val="FFFFFF"/>
          <w:sz w:val="19"/>
        </w:rPr>
        <w:t>Case</w:t>
      </w:r>
    </w:p>
    <w:p>
      <w:pPr>
        <w:spacing w:line="249" w:lineRule="auto" w:before="105"/>
        <w:ind w:left="765" w:right="-8" w:firstLine="0"/>
        <w:jc w:val="left"/>
        <w:rPr>
          <w:sz w:val="19"/>
        </w:rPr>
      </w:pPr>
      <w:r>
        <w:rPr/>
        <w:br w:type="column"/>
      </w:r>
      <w:r>
        <w:rPr>
          <w:color w:val="FFFFFF"/>
          <w:w w:val="90"/>
          <w:sz w:val="19"/>
        </w:rPr>
        <w:t>Readiness </w:t>
      </w:r>
      <w:r>
        <w:rPr>
          <w:color w:val="FFFFFF"/>
          <w:sz w:val="19"/>
        </w:rPr>
        <w:t>for</w:t>
      </w:r>
      <w:r>
        <w:rPr>
          <w:color w:val="FFFFFF"/>
          <w:spacing w:val="-16"/>
          <w:sz w:val="19"/>
        </w:rPr>
        <w:t> </w:t>
      </w:r>
      <w:r>
        <w:rPr>
          <w:color w:val="FFFFFF"/>
          <w:sz w:val="19"/>
        </w:rPr>
        <w:t>Market</w:t>
      </w:r>
    </w:p>
    <w:p>
      <w:pPr>
        <w:spacing w:line="249" w:lineRule="auto" w:before="105"/>
        <w:ind w:left="662" w:right="-15" w:firstLine="0"/>
        <w:jc w:val="left"/>
        <w:rPr>
          <w:sz w:val="19"/>
        </w:rPr>
      </w:pPr>
      <w:r>
        <w:rPr/>
        <w:br w:type="column"/>
      </w:r>
      <w:r>
        <w:rPr>
          <w:color w:val="FFFFFF"/>
          <w:sz w:val="19"/>
        </w:rPr>
        <w:t>Tender </w:t>
      </w:r>
      <w:r>
        <w:rPr>
          <w:color w:val="FFFFFF"/>
          <w:w w:val="95"/>
          <w:sz w:val="19"/>
        </w:rPr>
        <w:t>Decision</w:t>
      </w:r>
    </w:p>
    <w:p>
      <w:pPr>
        <w:spacing w:line="249" w:lineRule="auto" w:before="105"/>
        <w:ind w:left="790" w:right="-11" w:firstLine="0"/>
        <w:jc w:val="left"/>
        <w:rPr>
          <w:sz w:val="19"/>
        </w:rPr>
      </w:pPr>
      <w:r>
        <w:rPr/>
        <w:br w:type="column"/>
      </w:r>
      <w:r>
        <w:rPr>
          <w:color w:val="FFFFFF"/>
          <w:w w:val="95"/>
          <w:sz w:val="19"/>
        </w:rPr>
        <w:t>Readiness </w:t>
      </w:r>
      <w:r>
        <w:rPr>
          <w:color w:val="FFFFFF"/>
          <w:sz w:val="19"/>
        </w:rPr>
        <w:t>for</w:t>
      </w:r>
      <w:r>
        <w:rPr>
          <w:color w:val="FFFFFF"/>
          <w:spacing w:val="-30"/>
          <w:sz w:val="19"/>
        </w:rPr>
        <w:t> </w:t>
      </w:r>
      <w:r>
        <w:rPr>
          <w:color w:val="FFFFFF"/>
          <w:spacing w:val="-3"/>
          <w:sz w:val="19"/>
        </w:rPr>
        <w:t>Service</w:t>
      </w:r>
    </w:p>
    <w:p>
      <w:pPr>
        <w:spacing w:line="249" w:lineRule="auto" w:before="105"/>
        <w:ind w:left="647" w:right="6027" w:firstLine="0"/>
        <w:jc w:val="left"/>
        <w:rPr>
          <w:sz w:val="19"/>
        </w:rPr>
      </w:pPr>
      <w:r>
        <w:rPr/>
        <w:br w:type="column"/>
      </w:r>
      <w:r>
        <w:rPr>
          <w:color w:val="FFFFFF"/>
          <w:sz w:val="19"/>
        </w:rPr>
        <w:t>Benefits </w:t>
      </w:r>
      <w:r>
        <w:rPr>
          <w:color w:val="FFFFFF"/>
          <w:w w:val="90"/>
          <w:sz w:val="19"/>
        </w:rPr>
        <w:t>Realisation</w:t>
      </w:r>
    </w:p>
    <w:p>
      <w:pPr>
        <w:spacing w:after="0" w:line="249" w:lineRule="auto"/>
        <w:jc w:val="left"/>
        <w:rPr>
          <w:sz w:val="19"/>
        </w:rPr>
        <w:sectPr>
          <w:type w:val="continuous"/>
          <w:pgSz w:w="16840" w:h="11910" w:orient="landscape"/>
          <w:pgMar w:top="0" w:bottom="0" w:left="0" w:right="0"/>
          <w:cols w:num="6" w:equalWidth="0">
            <w:col w:w="2547" w:space="40"/>
            <w:col w:w="1274" w:space="39"/>
            <w:col w:w="1617" w:space="39"/>
            <w:col w:w="1360" w:space="40"/>
            <w:col w:w="1657" w:space="40"/>
            <w:col w:w="8187"/>
          </w:cols>
        </w:sectPr>
      </w:pPr>
    </w:p>
    <w:p>
      <w:pPr>
        <w:tabs>
          <w:tab w:pos="9621" w:val="left" w:leader="none"/>
          <w:tab w:pos="14432" w:val="left" w:leader="none"/>
        </w:tabs>
        <w:spacing w:line="240" w:lineRule="auto"/>
        <w:ind w:left="0" w:right="-44" w:firstLine="0"/>
        <w:rPr>
          <w:sz w:val="20"/>
        </w:rPr>
      </w:pPr>
      <w:bookmarkStart w:name="_bookmark7" w:id="8"/>
      <w:bookmarkEnd w:id="8"/>
      <w:r>
        <w:rPr/>
      </w:r>
      <w:r>
        <w:rPr>
          <w:sz w:val="20"/>
        </w:rPr>
        <w:pict>
          <v:group style="width:360.85pt;height:42.55pt;mso-position-horizontal-relative:char;mso-position-vertical-relative:line" coordorigin="0,0" coordsize="7217,851">
            <v:rect style="position:absolute;left:4810;top:0;width:2406;height:851" filled="true" fillcolor="#e6e7e8" stroked="false">
              <v:fill type="solid"/>
            </v:rect>
            <v:shape style="position:absolute;left:4810;top:0;width:583;height:583" type="#_x0000_t75" stroked="false">
              <v:imagedata r:id="rId51" o:title=""/>
            </v:shape>
            <v:shape style="position:absolute;left:4810;top:0;width:2406;height:851"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v:shape style="position:absolute;left:2405;top:0;width:2406;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0;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v:group>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shape>
        </w:pict>
      </w:r>
      <w:r>
        <w:rPr>
          <w:sz w:val="20"/>
        </w:rPr>
      </w:r>
    </w:p>
    <w:p>
      <w:pPr>
        <w:pStyle w:val="BodyText"/>
        <w:rPr>
          <w:sz w:val="20"/>
        </w:rPr>
      </w:pPr>
    </w:p>
    <w:p>
      <w:pPr>
        <w:spacing w:after="0"/>
        <w:rPr>
          <w:sz w:val="20"/>
        </w:rPr>
        <w:sectPr>
          <w:footerReference w:type="default" r:id="rId100"/>
          <w:pgSz w:w="16840" w:h="11910" w:orient="landscape"/>
          <w:pgMar w:footer="0" w:header="0" w:top="0" w:bottom="0" w:left="0" w:right="0"/>
        </w:sectPr>
      </w:pPr>
    </w:p>
    <w:p>
      <w:pPr>
        <w:pStyle w:val="Heading1"/>
        <w:spacing w:before="324"/>
      </w:pPr>
      <w:r>
        <w:rPr>
          <w:color w:val="6F2770"/>
          <w:w w:val="90"/>
        </w:rPr>
        <w:t>Leading Cross-Government</w:t>
      </w:r>
      <w:r>
        <w:rPr>
          <w:color w:val="6F2770"/>
          <w:spacing w:val="95"/>
          <w:w w:val="90"/>
        </w:rPr>
        <w:t> </w:t>
      </w:r>
      <w:r>
        <w:rPr>
          <w:color w:val="6F2770"/>
          <w:w w:val="90"/>
        </w:rPr>
        <w:t>Initiatives</w:t>
      </w:r>
    </w:p>
    <w:p>
      <w:pPr>
        <w:pStyle w:val="BodyText"/>
        <w:spacing w:before="3"/>
      </w:pPr>
      <w:r>
        <w:rPr/>
        <w:br w:type="column"/>
      </w:r>
      <w:r>
        <w:rPr/>
      </w:r>
    </w:p>
    <w:p>
      <w:pPr>
        <w:spacing w:line="208" w:lineRule="auto" w:before="0"/>
        <w:ind w:left="765" w:right="672" w:firstLine="0"/>
        <w:jc w:val="center"/>
        <w:rPr>
          <w:sz w:val="16"/>
        </w:rPr>
      </w:pPr>
      <w:r>
        <w:rPr/>
        <w:pict>
          <v:shape style="position:absolute;margin-left:601.348999pt;margin-top:-68.580612pt;width:120.3pt;height:42.55pt;mso-position-horizontal-relative:page;mso-position-vertical-relative:paragraph;z-index:5080"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360.811798pt;margin-top:-68.580612pt;width:120.3pt;height:42.55pt;mso-position-horizontal-relative:page;mso-position-vertical-relative:paragraph;z-index:5104"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2" w:equalWidth="0">
            <w:col w:w="11947" w:space="2873"/>
            <w:col w:w="2020"/>
          </w:cols>
        </w:sectPr>
      </w:pPr>
    </w:p>
    <w:p>
      <w:pPr>
        <w:pStyle w:val="BodyText"/>
        <w:spacing w:before="7"/>
        <w:rPr>
          <w:sz w:val="29"/>
        </w:rPr>
      </w:pPr>
    </w:p>
    <w:p>
      <w:pPr>
        <w:pStyle w:val="Heading4"/>
        <w:spacing w:line="249" w:lineRule="auto" w:before="111"/>
        <w:ind w:right="1744"/>
      </w:pPr>
      <w:r>
        <w:rPr/>
        <w:pict>
          <v:group style="position:absolute;margin-left:481.080994pt;margin-top:-130.393204pt;width:360.85pt;height:104.75pt;mso-position-horizontal-relative:page;mso-position-vertical-relative:paragraph;z-index:-808648" coordorigin="9622,-2608" coordsize="7217,2095">
            <v:shape style="position:absolute;left:14419;top:-2608;width:1455;height:1745" coordorigin="14419,-2608" coordsize="1455,1745" path="m15219,-2608l15194,-2608,14935,-2458,14901,-2424,15219,-2608m15356,-2608l15331,-2608,14748,-2272,14714,-2238,15356,-2608m15492,-2608l15467,-2608,14562,-2085,14527,-2051,15492,-2608m15629,-2608l15604,-2608,14419,-1924,14428,-1915,15629,-2608m15766,-2608l15741,-2608,14469,-1874,14478,-1865,15766,-2608m15874,-1106l15470,-873,15479,-864,15874,-1092,15874,-1106m15874,-1185l15420,-923,15429,-914,15874,-1171,15874,-1185m15874,-1264l15370,-973,15379,-964,15874,-1250,15874,-1264m15874,-1343l15320,-1023,15329,-1014,15874,-1329,15874,-1343m15874,-1422l15270,-1073,15279,-1064,15874,-1408,15874,-1422m15874,-1501l15220,-1123,15229,-1114,15874,-1486,15874,-1501m15874,-1580l15170,-1173,15179,-1164,15874,-1565,15874,-1580m15874,-1659l15120,-1223,15129,-1214,15874,-1644,15874,-1659m15874,-1738l15070,-1273,15079,-1264,15874,-1723,15874,-1738m15874,-1817l15020,-1323,15029,-1314,15874,-1802,15874,-1817m15874,-1974l14920,-1423,14929,-1414,15874,-1960,15874,-1974m15874,-2053l14870,-1473,14879,-1464,15874,-2039,15874,-2053m15874,-2132l14819,-1523,14829,-1514,15874,-2118,15874,-2132m15874,-2211l14769,-1574,14779,-1564,15874,-2197,15874,-2211m15874,-2290l14719,-1624,14729,-1614,15874,-2276,15874,-2290m15874,-2369l14669,-1674,14679,-1664,15874,-2355,15874,-2369m15874,-2448l14619,-1724,14628,-1714,15874,-2434,15874,-2448m15874,-2606l14519,-1824,14528,-1815,15874,-2591,15874,-2606m15874,-1896l14970,-1373,14979,-1364,15874,-1881,15874,-1896m15874,-2527l14569,-1774,14578,-1765,15874,-2513,15874,-2527e" filled="true" fillcolor="#cdcccd" stroked="false">
              <v:path arrowok="t"/>
              <v:fill type="solid"/>
            </v:shape>
            <v:shape style="position:absolute;left:15520;top:-1028;width:354;height:514" type="#_x0000_t75" stroked="false">
              <v:imagedata r:id="rId42" o:title=""/>
            </v:shape>
            <v:shape style="position:absolute;left:15874;top:-2608;width:338;height:196" type="#_x0000_t75" stroked="false">
              <v:imagedata r:id="rId20" o:title=""/>
            </v:shape>
            <v:shape style="position:absolute;left:15874;top:-2608;width:964;height:1932" coordorigin="15874,-2608" coordsize="964,1932" path="m16349,-2608l16339,-2608,15874,-2340,15874,-2334,16349,-2608m16378,-973l15874,-682,15874,-676,16365,-960,16378,-973m16486,-2608l16476,-2608,15874,-2261,15874,-2255,16486,-2608m16565,-1160l15874,-761,15874,-755,16551,-1146,16565,-1160m16622,-2608l16612,-2608,15874,-2182,15874,-2176,16622,-2608m16699,-2573l16695,-2577,15874,-2103,15874,-2097,16699,-2573m16749,-2523l16745,-2527,15874,-2024,15874,-2018,16749,-2523m16752,-1347l15874,-840,15874,-834,16738,-1333,16752,-1347m16799,-2473l16795,-2477,15874,-1945,15874,-1939,16799,-2473m16838,-1475l15874,-919,15874,-913,16838,-1469,16838,-1475m16838,-1554l15874,-998,15874,-992,16838,-1548,16838,-1554m16838,-1633l15874,-1077,15874,-1071,16838,-1627,16838,-1633m16838,-1712l15874,-1156,15874,-1150,16838,-1706,16838,-1712m16838,-1791l15874,-1235,15874,-1229,16838,-1785,16838,-1791m16838,-1870l15874,-1313,15874,-1308,16838,-1864,16838,-1870m16838,-1949l15874,-1392,15874,-1387,16838,-1943,16838,-1949m16838,-2028l15874,-1471,15874,-1466,16838,-2022,16838,-2028m16838,-2107l15874,-1550,15874,-1544,16838,-2101,16838,-2107m16838,-2186l15874,-1629,15874,-1623,16838,-2180,16838,-2186m16838,-2264l15874,-1708,15874,-1702,16838,-2259,16838,-2264m16838,-2343l15874,-1787,15874,-1781,16838,-2338,16838,-2343m16838,-2422l15874,-1866,15874,-1860,16838,-2417,16838,-2422e" filled="true" fillcolor="#cdcccd" stroked="false">
              <v:path arrowok="t"/>
              <v:fill type="solid"/>
            </v:shape>
            <v:shape style="position:absolute;left:15874;top:-787;width:318;height:269" type="#_x0000_t75" stroked="false">
              <v:imagedata r:id="rId21" o:title=""/>
            </v:shape>
            <v:shape style="position:absolute;left:13676;top:-2236;width:904;height:904" coordorigin="13677,-2235" coordsize="904,904" path="m14128,-2235l13677,-1784,14128,-1332,14580,-1784,14128,-2235xe" filled="true" fillcolor="#ffffff" stroked="false">
              <v:path arrowok="t"/>
              <v:fill type="solid"/>
            </v:shape>
            <v:shape style="position:absolute;left:13225;top:-1784;width:904;height:904" coordorigin="13225,-1784" coordsize="904,904" path="m13677,-1784l13225,-1332,13677,-881,14128,-1332,13677,-1784xe" filled="true" fillcolor="#e8e9c9" stroked="false">
              <v:path arrowok="t"/>
              <v:fill type="solid"/>
            </v:shape>
            <v:shape style="position:absolute;left:11870;top:-2236;width:2710;height:904" coordorigin="11870,-2235" coordsize="2710,904" path="m12774,-1784l12322,-2235,11870,-1784,12322,-1332,12774,-1784m14580,-1784l14128,-2235,13677,-1784,14128,-1332,14580,-1784e" filled="true" fillcolor="#efeeeb" stroked="false">
              <v:path arrowok="t"/>
              <v:fill type="solid"/>
            </v:shape>
            <v:shape style="position:absolute;left:12773;top:-2236;width:904;height:904" coordorigin="12774,-2235" coordsize="904,904" path="m13225,-2235l12774,-1784,13225,-1332,13677,-1784,13225,-2235xe" filled="true" fillcolor="#c0aac2" stroked="false">
              <v:path arrowok="t"/>
              <v:fill type="solid"/>
            </v:shape>
            <v:shape style="position:absolute;left:15424;top:-1533;width:900;height:904" coordorigin="15424,-1532" coordsize="900,904" path="m15874,-1532l15424,-1082,15424,-1079,15874,-629,16324,-1079,16324,-1082,15874,-1532xe" filled="true" fillcolor="#c4cd71" stroked="false">
              <v:path arrowok="t"/>
              <v:fill type="solid"/>
            </v:shape>
            <v:shape style="position:absolute;left:15422;top:-1083;width:2;height:4" coordorigin="15423,-1082" coordsize="2,4" path="m15424,-1082l15423,-1081,15424,-1079,15424,-1082xe" filled="true" fillcolor="#b9c369" stroked="false">
              <v:path arrowok="t"/>
              <v:fill type="solid"/>
            </v:shape>
            <v:shape style="position:absolute;left:16324;top:-1083;width:2;height:4" coordorigin="16324,-1082" coordsize="2,4" path="m16324,-1082l16324,-1079,16326,-1081,16324,-1082xe" filled="true" fillcolor="#bec29e" stroked="false">
              <v:path arrowok="t"/>
              <v:fill type="solid"/>
            </v:shape>
            <v:rect style="position:absolute;left:9621;top:-2608;width:2406;height:851" filled="true" fillcolor="#bec85c" stroked="false">
              <v:fill type="solid"/>
            </v:rect>
            <v:rect style="position:absolute;left:12026;top:-2608;width:2406;height:851" filled="true" fillcolor="#b6c247" stroked="false">
              <v:fill type="solid"/>
            </v:rect>
            <v:rect style="position:absolute;left:14432;top:-2608;width:2406;height:851" filled="true" fillcolor="#aebd37" stroked="false">
              <v:fill type="solid"/>
            </v:rect>
            <v:line style="position:absolute" from="16838,-2608" to="16838,-1757" stroked="true" strokeweight=".001pt" strokecolor="#aebd37">
              <v:stroke dashstyle="solid"/>
            </v:line>
            <v:shape style="position:absolute;left:15263;top:-1242;width:161;height:322" type="#_x0000_t75" stroked="false">
              <v:imagedata r:id="rId16" o:title=""/>
            </v:shape>
            <v:shape style="position:absolute;left:16324;top:-1242;width:161;height:322" type="#_x0000_t75" stroked="false">
              <v:imagedata r:id="rId11" o:title=""/>
            </v:shape>
            <w10:wrap type="none"/>
          </v:group>
        </w:pict>
      </w:r>
      <w:r>
        <w:rPr>
          <w:color w:val="6F2770"/>
        </w:rPr>
        <w:t>The</w:t>
      </w:r>
      <w:r>
        <w:rPr>
          <w:color w:val="6F2770"/>
          <w:spacing w:val="-54"/>
        </w:rPr>
        <w:t> </w:t>
      </w:r>
      <w:r>
        <w:rPr>
          <w:color w:val="6F2770"/>
        </w:rPr>
        <w:t>Department</w:t>
      </w:r>
      <w:r>
        <w:rPr>
          <w:color w:val="6F2770"/>
          <w:spacing w:val="-54"/>
        </w:rPr>
        <w:t> </w:t>
      </w:r>
      <w:r>
        <w:rPr>
          <w:color w:val="6F2770"/>
        </w:rPr>
        <w:t>of</w:t>
      </w:r>
      <w:r>
        <w:rPr>
          <w:color w:val="6F2770"/>
          <w:spacing w:val="-54"/>
        </w:rPr>
        <w:t> </w:t>
      </w:r>
      <w:r>
        <w:rPr>
          <w:color w:val="6F2770"/>
        </w:rPr>
        <w:t>Finance</w:t>
      </w:r>
      <w:r>
        <w:rPr>
          <w:color w:val="6F2770"/>
          <w:spacing w:val="-53"/>
        </w:rPr>
        <w:t> </w:t>
      </w:r>
      <w:r>
        <w:rPr>
          <w:color w:val="6F2770"/>
        </w:rPr>
        <w:t>leads</w:t>
      </w:r>
      <w:r>
        <w:rPr>
          <w:color w:val="6F2770"/>
          <w:spacing w:val="-54"/>
        </w:rPr>
        <w:t> </w:t>
      </w:r>
      <w:r>
        <w:rPr>
          <w:color w:val="6F2770"/>
        </w:rPr>
        <w:t>significant</w:t>
      </w:r>
      <w:r>
        <w:rPr>
          <w:color w:val="6F2770"/>
          <w:spacing w:val="-54"/>
        </w:rPr>
        <w:t> </w:t>
      </w:r>
      <w:r>
        <w:rPr>
          <w:color w:val="6F2770"/>
        </w:rPr>
        <w:t>cross-government</w:t>
      </w:r>
      <w:r>
        <w:rPr>
          <w:color w:val="6F2770"/>
          <w:spacing w:val="-53"/>
        </w:rPr>
        <w:t> </w:t>
      </w:r>
      <w:r>
        <w:rPr>
          <w:color w:val="6F2770"/>
        </w:rPr>
        <w:t>initiatives</w:t>
      </w:r>
      <w:r>
        <w:rPr>
          <w:color w:val="6F2770"/>
          <w:spacing w:val="-54"/>
        </w:rPr>
        <w:t> </w:t>
      </w:r>
      <w:r>
        <w:rPr>
          <w:color w:val="6F2770"/>
        </w:rPr>
        <w:t>to</w:t>
      </w:r>
      <w:r>
        <w:rPr>
          <w:color w:val="6F2770"/>
          <w:spacing w:val="-54"/>
        </w:rPr>
        <w:t> </w:t>
      </w:r>
      <w:r>
        <w:rPr>
          <w:color w:val="6F2770"/>
        </w:rPr>
        <w:t>deliver</w:t>
      </w:r>
      <w:r>
        <w:rPr>
          <w:color w:val="6F2770"/>
          <w:spacing w:val="-53"/>
        </w:rPr>
        <w:t> </w:t>
      </w:r>
      <w:r>
        <w:rPr>
          <w:color w:val="6F2770"/>
        </w:rPr>
        <w:t>enhanced benefits to government, industry and the </w:t>
      </w:r>
      <w:r>
        <w:rPr>
          <w:color w:val="6F2770"/>
          <w:spacing w:val="-4"/>
        </w:rPr>
        <w:t>community.</w:t>
      </w:r>
    </w:p>
    <w:p>
      <w:pPr>
        <w:pStyle w:val="BodyText"/>
        <w:rPr>
          <w:sz w:val="20"/>
        </w:rPr>
      </w:pPr>
    </w:p>
    <w:p>
      <w:pPr>
        <w:spacing w:after="0"/>
        <w:rPr>
          <w:sz w:val="20"/>
        </w:rPr>
        <w:sectPr>
          <w:type w:val="continuous"/>
          <w:pgSz w:w="16840" w:h="11910" w:orient="landscape"/>
          <w:pgMar w:top="0" w:bottom="0" w:left="0" w:right="0"/>
        </w:sectPr>
      </w:pPr>
    </w:p>
    <w:p>
      <w:pPr>
        <w:pStyle w:val="BodyText"/>
        <w:spacing w:before="9"/>
        <w:rPr>
          <w:sz w:val="21"/>
        </w:rPr>
      </w:pPr>
    </w:p>
    <w:p>
      <w:pPr>
        <w:pStyle w:val="BodyText"/>
        <w:spacing w:line="249" w:lineRule="auto"/>
        <w:ind w:left="765" w:right="64"/>
      </w:pPr>
      <w:r>
        <w:rPr/>
        <w:t>In December 2016, Western Australia signed the Intergovernmental</w:t>
      </w:r>
      <w:r>
        <w:rPr>
          <w:spacing w:val="-34"/>
        </w:rPr>
        <w:t> </w:t>
      </w:r>
      <w:r>
        <w:rPr/>
        <w:t>Agreement</w:t>
      </w:r>
      <w:r>
        <w:rPr>
          <w:spacing w:val="-33"/>
        </w:rPr>
        <w:t> </w:t>
      </w:r>
      <w:r>
        <w:rPr/>
        <w:t>on</w:t>
      </w:r>
      <w:r>
        <w:rPr>
          <w:spacing w:val="-34"/>
        </w:rPr>
        <w:t> </w:t>
      </w:r>
      <w:r>
        <w:rPr/>
        <w:t>Competition</w:t>
      </w:r>
      <w:r>
        <w:rPr>
          <w:spacing w:val="-33"/>
        </w:rPr>
        <w:t> </w:t>
      </w:r>
      <w:r>
        <w:rPr/>
        <w:t>and Productivity-enhancing</w:t>
      </w:r>
      <w:r>
        <w:rPr>
          <w:spacing w:val="-24"/>
        </w:rPr>
        <w:t> </w:t>
      </w:r>
      <w:r>
        <w:rPr/>
        <w:t>Reforms.</w:t>
      </w:r>
      <w:r>
        <w:rPr>
          <w:spacing w:val="-23"/>
        </w:rPr>
        <w:t> </w:t>
      </w:r>
      <w:r>
        <w:rPr/>
        <w:t>As</w:t>
      </w:r>
      <w:r>
        <w:rPr>
          <w:spacing w:val="-24"/>
        </w:rPr>
        <w:t> </w:t>
      </w:r>
      <w:r>
        <w:rPr/>
        <w:t>a</w:t>
      </w:r>
      <w:r>
        <w:rPr>
          <w:spacing w:val="-24"/>
        </w:rPr>
        <w:t> </w:t>
      </w:r>
      <w:r>
        <w:rPr/>
        <w:t>Party</w:t>
      </w:r>
      <w:r>
        <w:rPr>
          <w:spacing w:val="-23"/>
        </w:rPr>
        <w:t> </w:t>
      </w:r>
      <w:r>
        <w:rPr/>
        <w:t>to</w:t>
      </w:r>
      <w:r>
        <w:rPr>
          <w:spacing w:val="-24"/>
        </w:rPr>
        <w:t> </w:t>
      </w:r>
      <w:r>
        <w:rPr>
          <w:spacing w:val="-5"/>
        </w:rPr>
        <w:t>this </w:t>
      </w:r>
      <w:r>
        <w:rPr/>
        <w:t>Agreement,</w:t>
      </w:r>
      <w:r>
        <w:rPr>
          <w:spacing w:val="-25"/>
        </w:rPr>
        <w:t> </w:t>
      </w:r>
      <w:r>
        <w:rPr/>
        <w:t>Western</w:t>
      </w:r>
      <w:r>
        <w:rPr>
          <w:spacing w:val="-24"/>
        </w:rPr>
        <w:t> </w:t>
      </w:r>
      <w:r>
        <w:rPr/>
        <w:t>Australia</w:t>
      </w:r>
      <w:r>
        <w:rPr>
          <w:spacing w:val="-24"/>
        </w:rPr>
        <w:t> </w:t>
      </w:r>
      <w:r>
        <w:rPr/>
        <w:t>has</w:t>
      </w:r>
      <w:r>
        <w:rPr>
          <w:spacing w:val="-24"/>
        </w:rPr>
        <w:t> </w:t>
      </w:r>
      <w:r>
        <w:rPr/>
        <w:t>an</w:t>
      </w:r>
      <w:r>
        <w:rPr>
          <w:spacing w:val="-24"/>
        </w:rPr>
        <w:t> </w:t>
      </w:r>
      <w:r>
        <w:rPr/>
        <w:t>opportunity to support competition and innovation</w:t>
      </w:r>
      <w:r>
        <w:rPr>
          <w:spacing w:val="-32"/>
        </w:rPr>
        <w:t> </w:t>
      </w:r>
      <w:r>
        <w:rPr/>
        <w:t>across</w:t>
      </w:r>
    </w:p>
    <w:p>
      <w:pPr>
        <w:pStyle w:val="BodyText"/>
        <w:spacing w:line="249" w:lineRule="auto" w:before="5"/>
        <w:ind w:left="765" w:right="-9"/>
      </w:pPr>
      <w:r>
        <w:rPr/>
        <w:t>the State, to improve outcomes for businesses, communities and overall economic growth. In its role</w:t>
      </w:r>
      <w:r>
        <w:rPr>
          <w:spacing w:val="-24"/>
        </w:rPr>
        <w:t> </w:t>
      </w:r>
      <w:r>
        <w:rPr/>
        <w:t>of</w:t>
      </w:r>
      <w:r>
        <w:rPr>
          <w:spacing w:val="-23"/>
        </w:rPr>
        <w:t> </w:t>
      </w:r>
      <w:r>
        <w:rPr/>
        <w:t>supporting</w:t>
      </w:r>
      <w:r>
        <w:rPr>
          <w:spacing w:val="-23"/>
        </w:rPr>
        <w:t> </w:t>
      </w:r>
      <w:r>
        <w:rPr/>
        <w:t>whole-of-government</w:t>
      </w:r>
      <w:r>
        <w:rPr>
          <w:spacing w:val="-24"/>
        </w:rPr>
        <w:t> </w:t>
      </w:r>
      <w:r>
        <w:rPr/>
        <w:t>regulatory and</w:t>
      </w:r>
      <w:r>
        <w:rPr>
          <w:spacing w:val="-19"/>
        </w:rPr>
        <w:t> </w:t>
      </w:r>
      <w:r>
        <w:rPr/>
        <w:t>microeconomic</w:t>
      </w:r>
      <w:r>
        <w:rPr>
          <w:spacing w:val="-19"/>
        </w:rPr>
        <w:t> </w:t>
      </w:r>
      <w:r>
        <w:rPr/>
        <w:t>initiatives,</w:t>
      </w:r>
      <w:r>
        <w:rPr>
          <w:spacing w:val="-19"/>
        </w:rPr>
        <w:t> </w:t>
      </w:r>
      <w:r>
        <w:rPr>
          <w:b/>
        </w:rPr>
        <w:t>Economic</w:t>
      </w:r>
      <w:r>
        <w:rPr>
          <w:b/>
          <w:spacing w:val="-19"/>
        </w:rPr>
        <w:t> </w:t>
      </w:r>
      <w:r>
        <w:rPr>
          <w:b/>
        </w:rPr>
        <w:t>Reform </w:t>
      </w:r>
      <w:r>
        <w:rPr/>
        <w:t>has been collaborating with the Department of </w:t>
      </w:r>
      <w:r>
        <w:rPr>
          <w:spacing w:val="-4"/>
        </w:rPr>
        <w:t>Treasury</w:t>
      </w:r>
      <w:r>
        <w:rPr>
          <w:spacing w:val="-28"/>
        </w:rPr>
        <w:t> </w:t>
      </w:r>
      <w:r>
        <w:rPr/>
        <w:t>to</w:t>
      </w:r>
      <w:r>
        <w:rPr>
          <w:spacing w:val="-28"/>
        </w:rPr>
        <w:t> </w:t>
      </w:r>
      <w:r>
        <w:rPr/>
        <w:t>coordinate</w:t>
      </w:r>
      <w:r>
        <w:rPr>
          <w:spacing w:val="-27"/>
        </w:rPr>
        <w:t> </w:t>
      </w:r>
      <w:r>
        <w:rPr/>
        <w:t>initial</w:t>
      </w:r>
      <w:r>
        <w:rPr>
          <w:spacing w:val="-28"/>
        </w:rPr>
        <w:t> </w:t>
      </w:r>
      <w:r>
        <w:rPr/>
        <w:t>regulatory</w:t>
      </w:r>
      <w:r>
        <w:rPr>
          <w:spacing w:val="-28"/>
        </w:rPr>
        <w:t> </w:t>
      </w:r>
      <w:r>
        <w:rPr/>
        <w:t>reform</w:t>
      </w:r>
      <w:r>
        <w:rPr>
          <w:spacing w:val="-27"/>
        </w:rPr>
        <w:t> </w:t>
      </w:r>
      <w:r>
        <w:rPr>
          <w:spacing w:val="-5"/>
        </w:rPr>
        <w:t>work </w:t>
      </w:r>
      <w:r>
        <w:rPr/>
        <w:t>under the Agreement, and has reached out to agencies for their</w:t>
      </w:r>
      <w:r>
        <w:rPr>
          <w:spacing w:val="-5"/>
        </w:rPr>
        <w:t> </w:t>
      </w:r>
      <w:r>
        <w:rPr/>
        <w:t>input.</w:t>
      </w:r>
    </w:p>
    <w:p>
      <w:pPr>
        <w:pStyle w:val="BodyText"/>
        <w:spacing w:before="6"/>
        <w:rPr>
          <w:sz w:val="23"/>
        </w:rPr>
      </w:pPr>
    </w:p>
    <w:p>
      <w:pPr>
        <w:pStyle w:val="BodyText"/>
        <w:spacing w:line="249" w:lineRule="auto" w:before="1"/>
        <w:ind w:left="765" w:right="154"/>
      </w:pPr>
      <w:r>
        <w:rPr/>
        <w:t>This</w:t>
      </w:r>
      <w:r>
        <w:rPr>
          <w:spacing w:val="-23"/>
        </w:rPr>
        <w:t> </w:t>
      </w:r>
      <w:r>
        <w:rPr/>
        <w:t>process</w:t>
      </w:r>
      <w:r>
        <w:rPr>
          <w:spacing w:val="-22"/>
        </w:rPr>
        <w:t> </w:t>
      </w:r>
      <w:r>
        <w:rPr/>
        <w:t>of</w:t>
      </w:r>
      <w:r>
        <w:rPr>
          <w:spacing w:val="-22"/>
        </w:rPr>
        <w:t> </w:t>
      </w:r>
      <w:r>
        <w:rPr/>
        <w:t>reviewing</w:t>
      </w:r>
      <w:r>
        <w:rPr>
          <w:spacing w:val="-22"/>
        </w:rPr>
        <w:t> </w:t>
      </w:r>
      <w:r>
        <w:rPr/>
        <w:t>regulation</w:t>
      </w:r>
      <w:r>
        <w:rPr>
          <w:spacing w:val="-22"/>
        </w:rPr>
        <w:t> </w:t>
      </w:r>
      <w:r>
        <w:rPr/>
        <w:t>for</w:t>
      </w:r>
      <w:r>
        <w:rPr>
          <w:spacing w:val="-22"/>
        </w:rPr>
        <w:t> </w:t>
      </w:r>
      <w:r>
        <w:rPr/>
        <w:t>its</w:t>
      </w:r>
      <w:r>
        <w:rPr>
          <w:spacing w:val="-22"/>
        </w:rPr>
        <w:t> </w:t>
      </w:r>
      <w:r>
        <w:rPr>
          <w:spacing w:val="-3"/>
        </w:rPr>
        <w:t>impact </w:t>
      </w:r>
      <w:r>
        <w:rPr/>
        <w:t>on competition also creates an opportunity to examine</w:t>
      </w:r>
      <w:r>
        <w:rPr>
          <w:spacing w:val="-15"/>
        </w:rPr>
        <w:t> </w:t>
      </w:r>
      <w:r>
        <w:rPr/>
        <w:t>regulatory</w:t>
      </w:r>
      <w:r>
        <w:rPr>
          <w:spacing w:val="-15"/>
        </w:rPr>
        <w:t> </w:t>
      </w:r>
      <w:r>
        <w:rPr/>
        <w:t>frameworks</w:t>
      </w:r>
      <w:r>
        <w:rPr>
          <w:spacing w:val="-14"/>
        </w:rPr>
        <w:t> </w:t>
      </w:r>
      <w:r>
        <w:rPr/>
        <w:t>more</w:t>
      </w:r>
      <w:r>
        <w:rPr>
          <w:spacing w:val="-15"/>
        </w:rPr>
        <w:t> </w:t>
      </w:r>
      <w:r>
        <w:rPr>
          <w:spacing w:val="-4"/>
        </w:rPr>
        <w:t>broadly,</w:t>
      </w:r>
    </w:p>
    <w:p>
      <w:pPr>
        <w:pStyle w:val="BodyText"/>
        <w:spacing w:line="249" w:lineRule="auto" w:before="2"/>
        <w:ind w:left="765" w:right="239"/>
      </w:pPr>
      <w:r>
        <w:rPr/>
        <w:t>to reduce red tape and to ensure they are able to accommodate the introduction of new innovations and industry disruptions. Work on this whole-of-government legislative review program</w:t>
      </w:r>
      <w:r>
        <w:rPr>
          <w:spacing w:val="-22"/>
        </w:rPr>
        <w:t> </w:t>
      </w:r>
      <w:r>
        <w:rPr/>
        <w:t>will</w:t>
      </w:r>
      <w:r>
        <w:rPr>
          <w:spacing w:val="-22"/>
        </w:rPr>
        <w:t> </w:t>
      </w:r>
      <w:r>
        <w:rPr/>
        <w:t>continue</w:t>
      </w:r>
      <w:r>
        <w:rPr>
          <w:spacing w:val="-21"/>
        </w:rPr>
        <w:t> </w:t>
      </w:r>
      <w:r>
        <w:rPr/>
        <w:t>into</w:t>
      </w:r>
      <w:r>
        <w:rPr>
          <w:spacing w:val="-22"/>
        </w:rPr>
        <w:t> </w:t>
      </w:r>
      <w:r>
        <w:rPr/>
        <w:t>the</w:t>
      </w:r>
      <w:r>
        <w:rPr>
          <w:spacing w:val="-22"/>
        </w:rPr>
        <w:t> </w:t>
      </w:r>
      <w:r>
        <w:rPr/>
        <w:t>next</w:t>
      </w:r>
      <w:r>
        <w:rPr>
          <w:spacing w:val="-21"/>
        </w:rPr>
        <w:t> </w:t>
      </w:r>
      <w:r>
        <w:rPr/>
        <w:t>financial</w:t>
      </w:r>
      <w:r>
        <w:rPr>
          <w:spacing w:val="-22"/>
        </w:rPr>
        <w:t> </w:t>
      </w:r>
      <w:r>
        <w:rPr>
          <w:spacing w:val="-9"/>
        </w:rPr>
        <w:t>year.</w:t>
      </w:r>
    </w:p>
    <w:p>
      <w:pPr>
        <w:pStyle w:val="BodyText"/>
        <w:spacing w:before="9"/>
        <w:rPr>
          <w:sz w:val="21"/>
        </w:rPr>
      </w:pPr>
      <w:r>
        <w:rPr/>
        <w:br w:type="column"/>
      </w:r>
      <w:r>
        <w:rPr>
          <w:sz w:val="21"/>
        </w:rPr>
      </w:r>
    </w:p>
    <w:p>
      <w:pPr>
        <w:pStyle w:val="BodyText"/>
        <w:spacing w:line="249" w:lineRule="auto"/>
        <w:ind w:left="386"/>
      </w:pPr>
      <w:r>
        <w:rPr>
          <w:spacing w:val="-3"/>
        </w:rPr>
        <w:t>Economic</w:t>
      </w:r>
      <w:r>
        <w:rPr>
          <w:spacing w:val="-20"/>
        </w:rPr>
        <w:t> </w:t>
      </w:r>
      <w:r>
        <w:rPr>
          <w:spacing w:val="-3"/>
        </w:rPr>
        <w:t>Reform</w:t>
      </w:r>
      <w:r>
        <w:rPr>
          <w:spacing w:val="-19"/>
        </w:rPr>
        <w:t> </w:t>
      </w:r>
      <w:r>
        <w:rPr>
          <w:spacing w:val="-3"/>
        </w:rPr>
        <w:t>continues</w:t>
      </w:r>
      <w:r>
        <w:rPr>
          <w:spacing w:val="-19"/>
        </w:rPr>
        <w:t> </w:t>
      </w:r>
      <w:r>
        <w:rPr/>
        <w:t>to</w:t>
      </w:r>
      <w:r>
        <w:rPr>
          <w:spacing w:val="-19"/>
        </w:rPr>
        <w:t> </w:t>
      </w:r>
      <w:r>
        <w:rPr>
          <w:spacing w:val="-3"/>
        </w:rPr>
        <w:t>champion</w:t>
      </w:r>
      <w:r>
        <w:rPr>
          <w:spacing w:val="-19"/>
        </w:rPr>
        <w:t> </w:t>
      </w:r>
      <w:r>
        <w:rPr>
          <w:spacing w:val="-4"/>
        </w:rPr>
        <w:t>red</w:t>
      </w:r>
      <w:r>
        <w:rPr>
          <w:spacing w:val="-19"/>
        </w:rPr>
        <w:t> </w:t>
      </w:r>
      <w:r>
        <w:rPr/>
        <w:t>tape reduction</w:t>
      </w:r>
      <w:r>
        <w:rPr>
          <w:spacing w:val="-18"/>
        </w:rPr>
        <w:t> </w:t>
      </w:r>
      <w:r>
        <w:rPr/>
        <w:t>initiatives</w:t>
      </w:r>
      <w:r>
        <w:rPr>
          <w:spacing w:val="-17"/>
        </w:rPr>
        <w:t> </w:t>
      </w:r>
      <w:r>
        <w:rPr/>
        <w:t>across</w:t>
      </w:r>
      <w:r>
        <w:rPr>
          <w:spacing w:val="-17"/>
        </w:rPr>
        <w:t> </w:t>
      </w:r>
      <w:r>
        <w:rPr/>
        <w:t>the</w:t>
      </w:r>
      <w:r>
        <w:rPr>
          <w:spacing w:val="-17"/>
        </w:rPr>
        <w:t> </w:t>
      </w:r>
      <w:r>
        <w:rPr/>
        <w:t>public</w:t>
      </w:r>
      <w:r>
        <w:rPr>
          <w:spacing w:val="-18"/>
        </w:rPr>
        <w:t> </w:t>
      </w:r>
      <w:r>
        <w:rPr>
          <w:spacing w:val="-3"/>
        </w:rPr>
        <w:t>sector,</w:t>
      </w:r>
      <w:r>
        <w:rPr>
          <w:spacing w:val="-17"/>
        </w:rPr>
        <w:t> </w:t>
      </w:r>
      <w:r>
        <w:rPr/>
        <w:t>and lead</w:t>
      </w:r>
      <w:r>
        <w:rPr>
          <w:spacing w:val="-31"/>
        </w:rPr>
        <w:t> </w:t>
      </w:r>
      <w:r>
        <w:rPr/>
        <w:t>the</w:t>
      </w:r>
      <w:r>
        <w:rPr>
          <w:spacing w:val="-30"/>
        </w:rPr>
        <w:t> </w:t>
      </w:r>
      <w:r>
        <w:rPr/>
        <w:t>Government’s</w:t>
      </w:r>
      <w:r>
        <w:rPr>
          <w:spacing w:val="-30"/>
        </w:rPr>
        <w:t> </w:t>
      </w:r>
      <w:r>
        <w:rPr/>
        <w:t>regulatory</w:t>
      </w:r>
      <w:r>
        <w:rPr>
          <w:spacing w:val="-31"/>
        </w:rPr>
        <w:t> </w:t>
      </w:r>
      <w:r>
        <w:rPr/>
        <w:t>reform</w:t>
      </w:r>
      <w:r>
        <w:rPr>
          <w:spacing w:val="-30"/>
        </w:rPr>
        <w:t> </w:t>
      </w:r>
      <w:r>
        <w:rPr/>
        <w:t>agenda.</w:t>
      </w:r>
    </w:p>
    <w:p>
      <w:pPr>
        <w:pStyle w:val="BodyText"/>
        <w:spacing w:before="2"/>
        <w:rPr>
          <w:sz w:val="23"/>
        </w:rPr>
      </w:pPr>
    </w:p>
    <w:p>
      <w:pPr>
        <w:pStyle w:val="BodyText"/>
        <w:ind w:left="386"/>
      </w:pPr>
      <w:r>
        <w:rPr/>
        <w:t>As part of Repeal Week in October 2016,</w:t>
      </w:r>
    </w:p>
    <w:p>
      <w:pPr>
        <w:pStyle w:val="BodyText"/>
        <w:spacing w:line="249" w:lineRule="auto" w:before="12"/>
        <w:ind w:left="386" w:right="20"/>
      </w:pPr>
      <w:r>
        <w:rPr/>
        <w:t>the Government released its second </w:t>
      </w:r>
      <w:r>
        <w:rPr>
          <w:i/>
        </w:rPr>
        <w:t>Red </w:t>
      </w:r>
      <w:r>
        <w:rPr>
          <w:i/>
          <w:spacing w:val="-6"/>
        </w:rPr>
        <w:t>Tape </w:t>
      </w:r>
      <w:r>
        <w:rPr>
          <w:i/>
        </w:rPr>
        <w:t>Reduction</w:t>
      </w:r>
      <w:r>
        <w:rPr>
          <w:i/>
          <w:spacing w:val="-26"/>
        </w:rPr>
        <w:t> </w:t>
      </w:r>
      <w:r>
        <w:rPr>
          <w:i/>
        </w:rPr>
        <w:t>Report</w:t>
      </w:r>
      <w:r>
        <w:rPr>
          <w:i/>
          <w:spacing w:val="-26"/>
        </w:rPr>
        <w:t> </w:t>
      </w:r>
      <w:r>
        <w:rPr>
          <w:i/>
        </w:rPr>
        <w:t>Card</w:t>
      </w:r>
      <w:r>
        <w:rPr/>
        <w:t>,</w:t>
      </w:r>
      <w:r>
        <w:rPr>
          <w:spacing w:val="-26"/>
        </w:rPr>
        <w:t> </w:t>
      </w:r>
      <w:r>
        <w:rPr/>
        <w:t>highlighting</w:t>
      </w:r>
      <w:r>
        <w:rPr>
          <w:spacing w:val="-26"/>
        </w:rPr>
        <w:t> </w:t>
      </w:r>
      <w:r>
        <w:rPr/>
        <w:t>36</w:t>
      </w:r>
      <w:r>
        <w:rPr>
          <w:spacing w:val="-25"/>
        </w:rPr>
        <w:t> </w:t>
      </w:r>
      <w:r>
        <w:rPr>
          <w:spacing w:val="-3"/>
        </w:rPr>
        <w:t>examples </w:t>
      </w:r>
      <w:r>
        <w:rPr/>
        <w:t>of action to cut red tape that save time, money and</w:t>
      </w:r>
      <w:r>
        <w:rPr>
          <w:spacing w:val="-7"/>
        </w:rPr>
        <w:t> </w:t>
      </w:r>
      <w:r>
        <w:rPr/>
        <w:t>make</w:t>
      </w:r>
      <w:r>
        <w:rPr>
          <w:spacing w:val="-7"/>
        </w:rPr>
        <w:t> </w:t>
      </w:r>
      <w:r>
        <w:rPr/>
        <w:t>life</w:t>
      </w:r>
      <w:r>
        <w:rPr>
          <w:spacing w:val="-7"/>
        </w:rPr>
        <w:t> </w:t>
      </w:r>
      <w:r>
        <w:rPr/>
        <w:t>easier</w:t>
      </w:r>
      <w:r>
        <w:rPr>
          <w:spacing w:val="-7"/>
        </w:rPr>
        <w:t> </w:t>
      </w:r>
      <w:r>
        <w:rPr/>
        <w:t>for</w:t>
      </w:r>
      <w:r>
        <w:rPr>
          <w:spacing w:val="-7"/>
        </w:rPr>
        <w:t> </w:t>
      </w:r>
      <w:r>
        <w:rPr>
          <w:spacing w:val="-3"/>
        </w:rPr>
        <w:t>industry.</w:t>
      </w:r>
      <w:r>
        <w:rPr>
          <w:spacing w:val="-7"/>
        </w:rPr>
        <w:t> </w:t>
      </w:r>
      <w:r>
        <w:rPr/>
        <w:t>In</w:t>
      </w:r>
      <w:r>
        <w:rPr>
          <w:spacing w:val="-7"/>
        </w:rPr>
        <w:t> </w:t>
      </w:r>
      <w:r>
        <w:rPr/>
        <w:t>total,</w:t>
      </w:r>
    </w:p>
    <w:p>
      <w:pPr>
        <w:pStyle w:val="BodyText"/>
        <w:spacing w:line="249" w:lineRule="auto" w:before="3"/>
        <w:ind w:left="386" w:right="345"/>
      </w:pPr>
      <w:r>
        <w:rPr/>
        <w:t>the</w:t>
      </w:r>
      <w:r>
        <w:rPr>
          <w:spacing w:val="-28"/>
        </w:rPr>
        <w:t> </w:t>
      </w:r>
      <w:r>
        <w:rPr/>
        <w:t>identified</w:t>
      </w:r>
      <w:r>
        <w:rPr>
          <w:spacing w:val="-27"/>
        </w:rPr>
        <w:t> </w:t>
      </w:r>
      <w:r>
        <w:rPr/>
        <w:t>initiatives</w:t>
      </w:r>
      <w:r>
        <w:rPr>
          <w:spacing w:val="-27"/>
        </w:rPr>
        <w:t> </w:t>
      </w:r>
      <w:r>
        <w:rPr/>
        <w:t>are</w:t>
      </w:r>
      <w:r>
        <w:rPr>
          <w:spacing w:val="-28"/>
        </w:rPr>
        <w:t> </w:t>
      </w:r>
      <w:r>
        <w:rPr/>
        <w:t>expected</w:t>
      </w:r>
      <w:r>
        <w:rPr>
          <w:spacing w:val="-27"/>
        </w:rPr>
        <w:t> </w:t>
      </w:r>
      <w:r>
        <w:rPr/>
        <w:t>to</w:t>
      </w:r>
      <w:r>
        <w:rPr>
          <w:spacing w:val="-27"/>
        </w:rPr>
        <w:t> </w:t>
      </w:r>
      <w:r>
        <w:rPr>
          <w:spacing w:val="-3"/>
        </w:rPr>
        <w:t>deliver </w:t>
      </w:r>
      <w:r>
        <w:rPr/>
        <w:t>approximately $179 million in savings over </w:t>
      </w:r>
      <w:r>
        <w:rPr>
          <w:w w:val="91"/>
        </w:rPr>
        <w:t>five</w:t>
      </w:r>
      <w:r>
        <w:rPr/>
        <w:t> </w:t>
      </w:r>
      <w:r>
        <w:rPr>
          <w:w w:val="93"/>
        </w:rPr>
        <w:t>year</w:t>
      </w:r>
      <w:r>
        <w:rPr>
          <w:spacing w:val="-1"/>
          <w:w w:val="93"/>
        </w:rPr>
        <w:t>s</w:t>
      </w:r>
      <w:r>
        <w:rPr>
          <w:w w:val="99"/>
          <w:position w:val="8"/>
          <w:sz w:val="10"/>
        </w:rPr>
        <w:t>3</w:t>
      </w:r>
      <w:r>
        <w:rPr>
          <w:w w:val="100"/>
        </w:rPr>
        <w:t>,</w:t>
      </w:r>
      <w:r>
        <w:rPr/>
        <w:t> </w:t>
      </w:r>
      <w:r>
        <w:rPr>
          <w:w w:val="96"/>
        </w:rPr>
        <w:t>h</w:t>
      </w:r>
      <w:r>
        <w:rPr>
          <w:spacing w:val="-1"/>
          <w:w w:val="83"/>
        </w:rPr>
        <w:t>i</w:t>
      </w:r>
      <w:r>
        <w:rPr>
          <w:w w:val="99"/>
        </w:rPr>
        <w:t>g</w:t>
      </w:r>
      <w:r>
        <w:rPr>
          <w:w w:val="96"/>
        </w:rPr>
        <w:t>h</w:t>
      </w:r>
      <w:r>
        <w:rPr>
          <w:w w:val="83"/>
        </w:rPr>
        <w:t>li</w:t>
      </w:r>
      <w:r>
        <w:rPr>
          <w:w w:val="99"/>
        </w:rPr>
        <w:t>g</w:t>
      </w:r>
      <w:r>
        <w:rPr>
          <w:w w:val="96"/>
        </w:rPr>
        <w:t>h</w:t>
      </w:r>
      <w:r>
        <w:rPr>
          <w:w w:val="106"/>
        </w:rPr>
        <w:t>t</w:t>
      </w:r>
      <w:r>
        <w:rPr>
          <w:w w:val="83"/>
        </w:rPr>
        <w:t>i</w:t>
      </w:r>
      <w:r>
        <w:rPr>
          <w:spacing w:val="-1"/>
          <w:w w:val="96"/>
        </w:rPr>
        <w:t>n</w:t>
      </w:r>
      <w:r>
        <w:rPr>
          <w:w w:val="99"/>
        </w:rPr>
        <w:t>g</w:t>
      </w:r>
      <w:r>
        <w:rPr/>
        <w:t> </w:t>
      </w:r>
      <w:r>
        <w:rPr>
          <w:spacing w:val="-7"/>
          <w:w w:val="94"/>
        </w:rPr>
        <w:t>r</w:t>
      </w:r>
      <w:r>
        <w:rPr>
          <w:spacing w:val="-3"/>
          <w:w w:val="95"/>
        </w:rPr>
        <w:t>egulator</w:t>
      </w:r>
      <w:r>
        <w:rPr>
          <w:w w:val="95"/>
        </w:rPr>
        <w:t>y</w:t>
      </w:r>
      <w:r>
        <w:rPr>
          <w:spacing w:val="-6"/>
        </w:rPr>
        <w:t> </w:t>
      </w:r>
      <w:r>
        <w:rPr>
          <w:spacing w:val="-3"/>
          <w:w w:val="97"/>
        </w:rPr>
        <w:t>an</w:t>
      </w:r>
      <w:r>
        <w:rPr>
          <w:w w:val="97"/>
        </w:rPr>
        <w:t>d</w:t>
      </w:r>
      <w:r>
        <w:rPr>
          <w:spacing w:val="-6"/>
        </w:rPr>
        <w:t> </w:t>
      </w:r>
      <w:r>
        <w:rPr>
          <w:spacing w:val="-3"/>
          <w:w w:val="99"/>
        </w:rPr>
        <w:t>p</w:t>
      </w:r>
      <w:r>
        <w:rPr>
          <w:spacing w:val="-7"/>
          <w:w w:val="99"/>
        </w:rPr>
        <w:t>r</w:t>
      </w:r>
      <w:r>
        <w:rPr>
          <w:spacing w:val="-3"/>
          <w:w w:val="97"/>
        </w:rPr>
        <w:t>ocess </w:t>
      </w:r>
      <w:r>
        <w:rPr>
          <w:spacing w:val="-4"/>
        </w:rPr>
        <w:t>improvements</w:t>
      </w:r>
      <w:r>
        <w:rPr>
          <w:spacing w:val="-17"/>
        </w:rPr>
        <w:t> </w:t>
      </w:r>
      <w:r>
        <w:rPr>
          <w:spacing w:val="-4"/>
        </w:rPr>
        <w:t>across</w:t>
      </w:r>
      <w:r>
        <w:rPr>
          <w:spacing w:val="-17"/>
        </w:rPr>
        <w:t> </w:t>
      </w:r>
      <w:r>
        <w:rPr>
          <w:spacing w:val="-3"/>
        </w:rPr>
        <w:t>priority</w:t>
      </w:r>
      <w:r>
        <w:rPr>
          <w:spacing w:val="-14"/>
        </w:rPr>
        <w:t> </w:t>
      </w:r>
      <w:r>
        <w:rPr/>
        <w:t>areas</w:t>
      </w:r>
      <w:r>
        <w:rPr>
          <w:spacing w:val="-12"/>
        </w:rPr>
        <w:t> </w:t>
      </w:r>
      <w:r>
        <w:rPr/>
        <w:t>such</w:t>
      </w:r>
      <w:r>
        <w:rPr>
          <w:spacing w:val="-12"/>
        </w:rPr>
        <w:t> </w:t>
      </w:r>
      <w:r>
        <w:rPr/>
        <w:t>as</w:t>
      </w:r>
    </w:p>
    <w:p>
      <w:pPr>
        <w:pStyle w:val="BodyText"/>
        <w:spacing w:line="249" w:lineRule="auto" w:before="4"/>
        <w:ind w:left="386" w:right="269"/>
      </w:pPr>
      <w:r>
        <w:rPr/>
        <w:t>transport</w:t>
      </w:r>
      <w:r>
        <w:rPr>
          <w:spacing w:val="-20"/>
        </w:rPr>
        <w:t> </w:t>
      </w:r>
      <w:r>
        <w:rPr/>
        <w:t>and</w:t>
      </w:r>
      <w:r>
        <w:rPr>
          <w:spacing w:val="-20"/>
        </w:rPr>
        <w:t> </w:t>
      </w:r>
      <w:r>
        <w:rPr/>
        <w:t>business</w:t>
      </w:r>
      <w:r>
        <w:rPr>
          <w:spacing w:val="-19"/>
        </w:rPr>
        <w:t> </w:t>
      </w:r>
      <w:r>
        <w:rPr/>
        <w:t>licensing.</w:t>
      </w:r>
      <w:r>
        <w:rPr>
          <w:spacing w:val="-20"/>
        </w:rPr>
        <w:t> </w:t>
      </w:r>
      <w:r>
        <w:rPr/>
        <w:t>In</w:t>
      </w:r>
      <w:r>
        <w:rPr>
          <w:spacing w:val="-19"/>
        </w:rPr>
        <w:t> </w:t>
      </w:r>
      <w:r>
        <w:rPr/>
        <w:t>addition</w:t>
      </w:r>
      <w:r>
        <w:rPr>
          <w:spacing w:val="-20"/>
        </w:rPr>
        <w:t> </w:t>
      </w:r>
      <w:r>
        <w:rPr>
          <w:spacing w:val="-9"/>
        </w:rPr>
        <w:t>to </w:t>
      </w:r>
      <w:r>
        <w:rPr/>
        <w:t>the release of the Report Card, two red tape reduction</w:t>
      </w:r>
      <w:r>
        <w:rPr>
          <w:spacing w:val="-20"/>
        </w:rPr>
        <w:t> </w:t>
      </w:r>
      <w:r>
        <w:rPr/>
        <w:t>Bills</w:t>
      </w:r>
      <w:r>
        <w:rPr>
          <w:spacing w:val="-19"/>
        </w:rPr>
        <w:t> </w:t>
      </w:r>
      <w:r>
        <w:rPr/>
        <w:t>were</w:t>
      </w:r>
      <w:r>
        <w:rPr>
          <w:spacing w:val="-19"/>
        </w:rPr>
        <w:t> </w:t>
      </w:r>
      <w:r>
        <w:rPr/>
        <w:t>introduced</w:t>
      </w:r>
      <w:r>
        <w:rPr>
          <w:spacing w:val="-19"/>
        </w:rPr>
        <w:t> </w:t>
      </w:r>
      <w:r>
        <w:rPr/>
        <w:t>to</w:t>
      </w:r>
      <w:r>
        <w:rPr>
          <w:spacing w:val="-20"/>
        </w:rPr>
        <w:t> </w:t>
      </w:r>
      <w:r>
        <w:rPr/>
        <w:t>Parliament. On</w:t>
      </w:r>
      <w:r>
        <w:rPr>
          <w:spacing w:val="-25"/>
        </w:rPr>
        <w:t> </w:t>
      </w:r>
      <w:r>
        <w:rPr/>
        <w:t>28</w:t>
      </w:r>
      <w:r>
        <w:rPr>
          <w:spacing w:val="-24"/>
        </w:rPr>
        <w:t> </w:t>
      </w:r>
      <w:r>
        <w:rPr/>
        <w:t>November</w:t>
      </w:r>
      <w:r>
        <w:rPr>
          <w:spacing w:val="-24"/>
        </w:rPr>
        <w:t> </w:t>
      </w:r>
      <w:r>
        <w:rPr/>
        <w:t>2016,</w:t>
      </w:r>
      <w:r>
        <w:rPr>
          <w:spacing w:val="-24"/>
        </w:rPr>
        <w:t> </w:t>
      </w:r>
      <w:r>
        <w:rPr/>
        <w:t>the</w:t>
      </w:r>
      <w:r>
        <w:rPr>
          <w:spacing w:val="-24"/>
        </w:rPr>
        <w:t> </w:t>
      </w:r>
      <w:r>
        <w:rPr>
          <w:i/>
        </w:rPr>
        <w:t>Statutes</w:t>
      </w:r>
      <w:r>
        <w:rPr>
          <w:i/>
          <w:spacing w:val="-24"/>
        </w:rPr>
        <w:t> </w:t>
      </w:r>
      <w:r>
        <w:rPr>
          <w:i/>
        </w:rPr>
        <w:t>(Repeals) </w:t>
      </w:r>
      <w:r>
        <w:rPr>
          <w:i/>
        </w:rPr>
        <w:t>Bill</w:t>
      </w:r>
      <w:r>
        <w:rPr>
          <w:i/>
          <w:spacing w:val="-8"/>
        </w:rPr>
        <w:t> </w:t>
      </w:r>
      <w:r>
        <w:rPr>
          <w:i/>
        </w:rPr>
        <w:t>2016</w:t>
      </w:r>
      <w:r>
        <w:rPr>
          <w:i/>
          <w:spacing w:val="-8"/>
        </w:rPr>
        <w:t> </w:t>
      </w:r>
      <w:r>
        <w:rPr/>
        <w:t>received</w:t>
      </w:r>
      <w:r>
        <w:rPr>
          <w:spacing w:val="-8"/>
        </w:rPr>
        <w:t> </w:t>
      </w:r>
      <w:r>
        <w:rPr/>
        <w:t>Royal</w:t>
      </w:r>
      <w:r>
        <w:rPr>
          <w:spacing w:val="-8"/>
        </w:rPr>
        <w:t> </w:t>
      </w:r>
      <w:r>
        <w:rPr/>
        <w:t>Assent</w:t>
      </w:r>
      <w:r>
        <w:rPr>
          <w:spacing w:val="-8"/>
        </w:rPr>
        <w:t> </w:t>
      </w:r>
      <w:r>
        <w:rPr/>
        <w:t>and</w:t>
      </w:r>
      <w:r>
        <w:rPr>
          <w:spacing w:val="-8"/>
        </w:rPr>
        <w:t> </w:t>
      </w:r>
      <w:r>
        <w:rPr/>
        <w:t>on</w:t>
      </w:r>
    </w:p>
    <w:p>
      <w:pPr>
        <w:spacing w:line="249" w:lineRule="auto" w:before="4"/>
        <w:ind w:left="386" w:right="36" w:firstLine="0"/>
        <w:jc w:val="left"/>
        <w:rPr>
          <w:sz w:val="22"/>
        </w:rPr>
      </w:pPr>
      <w:r>
        <w:rPr>
          <w:sz w:val="22"/>
        </w:rPr>
        <w:t>1 December 2016, the </w:t>
      </w:r>
      <w:r>
        <w:rPr>
          <w:i/>
          <w:sz w:val="22"/>
        </w:rPr>
        <w:t>Licensing Provisions </w:t>
      </w:r>
      <w:r>
        <w:rPr>
          <w:i/>
          <w:sz w:val="22"/>
        </w:rPr>
        <w:t>Amendment</w:t>
      </w:r>
      <w:r>
        <w:rPr>
          <w:i/>
          <w:spacing w:val="-28"/>
          <w:sz w:val="22"/>
        </w:rPr>
        <w:t> </w:t>
      </w:r>
      <w:r>
        <w:rPr>
          <w:i/>
          <w:sz w:val="22"/>
        </w:rPr>
        <w:t>Bill</w:t>
      </w:r>
      <w:r>
        <w:rPr>
          <w:i/>
          <w:spacing w:val="-27"/>
          <w:sz w:val="22"/>
        </w:rPr>
        <w:t> </w:t>
      </w:r>
      <w:r>
        <w:rPr>
          <w:i/>
          <w:sz w:val="22"/>
        </w:rPr>
        <w:t>2015</w:t>
      </w:r>
      <w:r>
        <w:rPr>
          <w:i/>
          <w:spacing w:val="-27"/>
          <w:sz w:val="22"/>
        </w:rPr>
        <w:t> </w:t>
      </w:r>
      <w:r>
        <w:rPr>
          <w:sz w:val="22"/>
        </w:rPr>
        <w:t>also</w:t>
      </w:r>
      <w:r>
        <w:rPr>
          <w:spacing w:val="-27"/>
          <w:sz w:val="22"/>
        </w:rPr>
        <w:t> </w:t>
      </w:r>
      <w:r>
        <w:rPr>
          <w:sz w:val="22"/>
        </w:rPr>
        <w:t>received</w:t>
      </w:r>
      <w:r>
        <w:rPr>
          <w:spacing w:val="-27"/>
          <w:sz w:val="22"/>
        </w:rPr>
        <w:t> </w:t>
      </w:r>
      <w:r>
        <w:rPr>
          <w:sz w:val="22"/>
        </w:rPr>
        <w:t>Royal</w:t>
      </w:r>
      <w:r>
        <w:rPr>
          <w:spacing w:val="-27"/>
          <w:sz w:val="22"/>
        </w:rPr>
        <w:t> </w:t>
      </w:r>
      <w:r>
        <w:rPr>
          <w:spacing w:val="-3"/>
          <w:sz w:val="22"/>
        </w:rPr>
        <w:t>Assent </w:t>
      </w:r>
      <w:r>
        <w:rPr>
          <w:sz w:val="22"/>
        </w:rPr>
        <w:t>after being introduced into Parliament in November</w:t>
      </w:r>
      <w:r>
        <w:rPr>
          <w:spacing w:val="-1"/>
          <w:sz w:val="22"/>
        </w:rPr>
        <w:t> </w:t>
      </w:r>
      <w:r>
        <w:rPr>
          <w:sz w:val="22"/>
        </w:rPr>
        <w:t>2015.</w:t>
      </w:r>
    </w:p>
    <w:p>
      <w:pPr>
        <w:pStyle w:val="BodyText"/>
        <w:spacing w:before="9"/>
        <w:rPr>
          <w:sz w:val="21"/>
        </w:rPr>
      </w:pPr>
      <w:r>
        <w:rPr/>
        <w:br w:type="column"/>
      </w:r>
      <w:r>
        <w:rPr>
          <w:sz w:val="21"/>
        </w:rPr>
      </w:r>
    </w:p>
    <w:p>
      <w:pPr>
        <w:spacing w:line="249" w:lineRule="auto" w:before="0"/>
        <w:ind w:left="524" w:right="1384" w:firstLine="0"/>
        <w:jc w:val="both"/>
        <w:rPr>
          <w:sz w:val="22"/>
        </w:rPr>
      </w:pPr>
      <w:r>
        <w:rPr>
          <w:b/>
          <w:sz w:val="22"/>
        </w:rPr>
        <w:t>Building Management and Works </w:t>
      </w:r>
      <w:r>
        <w:rPr>
          <w:sz w:val="22"/>
        </w:rPr>
        <w:t>takes a strategic portfolio approach to coordinate whole-of-government</w:t>
      </w:r>
      <w:r>
        <w:rPr>
          <w:spacing w:val="-27"/>
          <w:sz w:val="22"/>
        </w:rPr>
        <w:t> </w:t>
      </w:r>
      <w:r>
        <w:rPr>
          <w:sz w:val="22"/>
        </w:rPr>
        <w:t>office</w:t>
      </w:r>
      <w:r>
        <w:rPr>
          <w:spacing w:val="-26"/>
          <w:sz w:val="22"/>
        </w:rPr>
        <w:t> </w:t>
      </w:r>
      <w:r>
        <w:rPr>
          <w:spacing w:val="-2"/>
          <w:sz w:val="22"/>
        </w:rPr>
        <w:t>accommodation</w:t>
      </w:r>
    </w:p>
    <w:p>
      <w:pPr>
        <w:pStyle w:val="BodyText"/>
        <w:spacing w:line="249" w:lineRule="auto" w:before="3"/>
        <w:ind w:left="524" w:right="875"/>
      </w:pPr>
      <w:r>
        <w:rPr/>
        <w:t>and fitouts for general government agencies. </w:t>
      </w:r>
      <w:r>
        <w:rPr>
          <w:spacing w:val="-5"/>
        </w:rPr>
        <w:t>Taking </w:t>
      </w:r>
      <w:r>
        <w:rPr/>
        <w:t>this portfolio approach has realised significant savings through the co-location of agencies</w:t>
      </w:r>
      <w:r>
        <w:rPr>
          <w:spacing w:val="-30"/>
        </w:rPr>
        <w:t> </w:t>
      </w:r>
      <w:r>
        <w:rPr/>
        <w:t>within</w:t>
      </w:r>
      <w:r>
        <w:rPr>
          <w:spacing w:val="-29"/>
        </w:rPr>
        <w:t> </w:t>
      </w:r>
      <w:r>
        <w:rPr/>
        <w:t>buildings,</w:t>
      </w:r>
      <w:r>
        <w:rPr>
          <w:spacing w:val="-30"/>
        </w:rPr>
        <w:t> </w:t>
      </w:r>
      <w:r>
        <w:rPr/>
        <w:t>reducing</w:t>
      </w:r>
      <w:r>
        <w:rPr>
          <w:spacing w:val="-29"/>
        </w:rPr>
        <w:t> </w:t>
      </w:r>
      <w:r>
        <w:rPr/>
        <w:t>government’s overall</w:t>
      </w:r>
      <w:r>
        <w:rPr>
          <w:spacing w:val="-30"/>
        </w:rPr>
        <w:t> </w:t>
      </w:r>
      <w:r>
        <w:rPr/>
        <w:t>requirement</w:t>
      </w:r>
      <w:r>
        <w:rPr>
          <w:spacing w:val="-29"/>
        </w:rPr>
        <w:t> </w:t>
      </w:r>
      <w:r>
        <w:rPr/>
        <w:t>for</w:t>
      </w:r>
      <w:r>
        <w:rPr>
          <w:spacing w:val="-29"/>
        </w:rPr>
        <w:t> </w:t>
      </w:r>
      <w:r>
        <w:rPr/>
        <w:t>office</w:t>
      </w:r>
      <w:r>
        <w:rPr>
          <w:spacing w:val="-30"/>
        </w:rPr>
        <w:t> </w:t>
      </w:r>
      <w:r>
        <w:rPr/>
        <w:t>space.</w:t>
      </w:r>
      <w:r>
        <w:rPr>
          <w:spacing w:val="-29"/>
        </w:rPr>
        <w:t> </w:t>
      </w:r>
      <w:r>
        <w:rPr/>
        <w:t>This</w:t>
      </w:r>
      <w:r>
        <w:rPr>
          <w:spacing w:val="-29"/>
        </w:rPr>
        <w:t> </w:t>
      </w:r>
      <w:r>
        <w:rPr/>
        <w:t>initiative has the added benefit of enhancing agency collaboration and reducing duplication through the</w:t>
      </w:r>
      <w:r>
        <w:rPr>
          <w:spacing w:val="-25"/>
        </w:rPr>
        <w:t> </w:t>
      </w:r>
      <w:r>
        <w:rPr/>
        <w:t>sharing</w:t>
      </w:r>
      <w:r>
        <w:rPr>
          <w:spacing w:val="-25"/>
        </w:rPr>
        <w:t> </w:t>
      </w:r>
      <w:r>
        <w:rPr/>
        <w:t>of</w:t>
      </w:r>
      <w:r>
        <w:rPr>
          <w:spacing w:val="-25"/>
        </w:rPr>
        <w:t> </w:t>
      </w:r>
      <w:r>
        <w:rPr/>
        <w:t>building</w:t>
      </w:r>
      <w:r>
        <w:rPr>
          <w:spacing w:val="-25"/>
        </w:rPr>
        <w:t> </w:t>
      </w:r>
      <w:r>
        <w:rPr/>
        <w:t>facilities.</w:t>
      </w:r>
      <w:r>
        <w:rPr>
          <w:spacing w:val="-25"/>
        </w:rPr>
        <w:t> </w:t>
      </w:r>
      <w:r>
        <w:rPr/>
        <w:t>These</w:t>
      </w:r>
      <w:r>
        <w:rPr>
          <w:spacing w:val="-25"/>
        </w:rPr>
        <w:t> </w:t>
      </w:r>
      <w:r>
        <w:rPr/>
        <w:t>initiatives, along</w:t>
      </w:r>
      <w:r>
        <w:rPr>
          <w:spacing w:val="-26"/>
        </w:rPr>
        <w:t> </w:t>
      </w:r>
      <w:r>
        <w:rPr/>
        <w:t>with</w:t>
      </w:r>
      <w:r>
        <w:rPr>
          <w:spacing w:val="-25"/>
        </w:rPr>
        <w:t> </w:t>
      </w:r>
      <w:r>
        <w:rPr/>
        <w:t>the</w:t>
      </w:r>
      <w:r>
        <w:rPr>
          <w:spacing w:val="-26"/>
        </w:rPr>
        <w:t> </w:t>
      </w:r>
      <w:r>
        <w:rPr/>
        <w:t>effective</w:t>
      </w:r>
      <w:r>
        <w:rPr>
          <w:spacing w:val="-25"/>
        </w:rPr>
        <w:t> </w:t>
      </w:r>
      <w:r>
        <w:rPr/>
        <w:t>negotiation</w:t>
      </w:r>
      <w:r>
        <w:rPr>
          <w:spacing w:val="-26"/>
        </w:rPr>
        <w:t> </w:t>
      </w:r>
      <w:r>
        <w:rPr/>
        <w:t>of</w:t>
      </w:r>
      <w:r>
        <w:rPr>
          <w:spacing w:val="-25"/>
        </w:rPr>
        <w:t> </w:t>
      </w:r>
      <w:r>
        <w:rPr/>
        <w:t>government office accommodation lease terms all contribute to</w:t>
      </w:r>
      <w:r>
        <w:rPr>
          <w:spacing w:val="-16"/>
        </w:rPr>
        <w:t> </w:t>
      </w:r>
      <w:r>
        <w:rPr/>
        <w:t>realising</w:t>
      </w:r>
      <w:r>
        <w:rPr>
          <w:spacing w:val="-16"/>
        </w:rPr>
        <w:t> </w:t>
      </w:r>
      <w:r>
        <w:rPr/>
        <w:t>significant</w:t>
      </w:r>
      <w:r>
        <w:rPr>
          <w:spacing w:val="-15"/>
        </w:rPr>
        <w:t> </w:t>
      </w:r>
      <w:r>
        <w:rPr/>
        <w:t>savings</w:t>
      </w:r>
      <w:r>
        <w:rPr>
          <w:spacing w:val="-16"/>
        </w:rPr>
        <w:t> </w:t>
      </w:r>
      <w:r>
        <w:rPr/>
        <w:t>for</w:t>
      </w:r>
      <w:r>
        <w:rPr>
          <w:spacing w:val="-15"/>
        </w:rPr>
        <w:t> </w:t>
      </w:r>
      <w:r>
        <w:rPr/>
        <w:t>government.</w:t>
      </w:r>
    </w:p>
    <w:p>
      <w:pPr>
        <w:pStyle w:val="BodyText"/>
        <w:spacing w:before="9"/>
        <w:rPr>
          <w:sz w:val="23"/>
        </w:rPr>
      </w:pPr>
    </w:p>
    <w:p>
      <w:pPr>
        <w:pStyle w:val="BodyText"/>
        <w:spacing w:line="249" w:lineRule="auto"/>
        <w:ind w:left="524" w:right="1047"/>
      </w:pPr>
      <w:r>
        <w:rPr/>
        <w:t>Consistent with the Planning </w:t>
      </w:r>
      <w:r>
        <w:rPr>
          <w:spacing w:val="-3"/>
        </w:rPr>
        <w:t>Commission’s </w:t>
      </w:r>
      <w:hyperlink r:id="rId101">
        <w:r>
          <w:rPr>
            <w:i/>
            <w:color w:val="A7BE39"/>
            <w:u w:val="single" w:color="A7BE39"/>
          </w:rPr>
          <w:t>Directions 2031 and Beyond</w:t>
        </w:r>
        <w:r>
          <w:rPr>
            <w:i/>
            <w:color w:val="A7BE39"/>
          </w:rPr>
          <w:t> </w:t>
        </w:r>
      </w:hyperlink>
      <w:r>
        <w:rPr/>
        <w:t>framework, Building Management and Works has pursued the</w:t>
      </w:r>
      <w:r>
        <w:rPr>
          <w:spacing w:val="-23"/>
        </w:rPr>
        <w:t> </w:t>
      </w:r>
      <w:r>
        <w:rPr/>
        <w:t>development</w:t>
      </w:r>
      <w:r>
        <w:rPr>
          <w:spacing w:val="-23"/>
        </w:rPr>
        <w:t> </w:t>
      </w:r>
      <w:r>
        <w:rPr/>
        <w:t>of</w:t>
      </w:r>
      <w:r>
        <w:rPr>
          <w:spacing w:val="-22"/>
        </w:rPr>
        <w:t> </w:t>
      </w:r>
      <w:r>
        <w:rPr/>
        <w:t>metropolitan</w:t>
      </w:r>
      <w:r>
        <w:rPr>
          <w:spacing w:val="-23"/>
        </w:rPr>
        <w:t> </w:t>
      </w:r>
      <w:r>
        <w:rPr/>
        <w:t>activity</w:t>
      </w:r>
      <w:r>
        <w:rPr>
          <w:spacing w:val="-22"/>
        </w:rPr>
        <w:t> </w:t>
      </w:r>
      <w:r>
        <w:rPr>
          <w:spacing w:val="-4"/>
        </w:rPr>
        <w:t>centres</w:t>
      </w:r>
    </w:p>
    <w:p>
      <w:pPr>
        <w:pStyle w:val="BodyText"/>
        <w:spacing w:line="249" w:lineRule="auto" w:before="4"/>
        <w:ind w:left="524" w:right="889"/>
      </w:pPr>
      <w:r>
        <w:rPr/>
        <w:t>on</w:t>
      </w:r>
      <w:r>
        <w:rPr>
          <w:spacing w:val="-25"/>
        </w:rPr>
        <w:t> </w:t>
      </w:r>
      <w:r>
        <w:rPr/>
        <w:t>rail</w:t>
      </w:r>
      <w:r>
        <w:rPr>
          <w:spacing w:val="-24"/>
        </w:rPr>
        <w:t> </w:t>
      </w:r>
      <w:r>
        <w:rPr/>
        <w:t>routes</w:t>
      </w:r>
      <w:r>
        <w:rPr>
          <w:spacing w:val="-24"/>
        </w:rPr>
        <w:t> </w:t>
      </w:r>
      <w:r>
        <w:rPr/>
        <w:t>through</w:t>
      </w:r>
      <w:r>
        <w:rPr>
          <w:spacing w:val="-24"/>
        </w:rPr>
        <w:t> </w:t>
      </w:r>
      <w:r>
        <w:rPr/>
        <w:t>its</w:t>
      </w:r>
      <w:r>
        <w:rPr>
          <w:spacing w:val="-24"/>
        </w:rPr>
        <w:t> </w:t>
      </w:r>
      <w:r>
        <w:rPr/>
        <w:t>decentralisation</w:t>
      </w:r>
      <w:r>
        <w:rPr>
          <w:spacing w:val="-25"/>
        </w:rPr>
        <w:t> </w:t>
      </w:r>
      <w:r>
        <w:rPr>
          <w:spacing w:val="-5"/>
        </w:rPr>
        <w:t>strategy. </w:t>
      </w:r>
      <w:r>
        <w:rPr/>
        <w:t>In</w:t>
      </w:r>
      <w:r>
        <w:rPr>
          <w:spacing w:val="-9"/>
        </w:rPr>
        <w:t> </w:t>
      </w:r>
      <w:r>
        <w:rPr/>
        <w:t>July</w:t>
      </w:r>
      <w:r>
        <w:rPr>
          <w:spacing w:val="-9"/>
        </w:rPr>
        <w:t> </w:t>
      </w:r>
      <w:r>
        <w:rPr/>
        <w:t>2016,</w:t>
      </w:r>
      <w:r>
        <w:rPr>
          <w:spacing w:val="-9"/>
        </w:rPr>
        <w:t> </w:t>
      </w:r>
      <w:r>
        <w:rPr/>
        <w:t>the</w:t>
      </w:r>
      <w:r>
        <w:rPr>
          <w:spacing w:val="-9"/>
        </w:rPr>
        <w:t> </w:t>
      </w:r>
      <w:r>
        <w:rPr/>
        <w:t>Government</w:t>
      </w:r>
      <w:r>
        <w:rPr>
          <w:spacing w:val="-9"/>
        </w:rPr>
        <w:t> </w:t>
      </w:r>
      <w:r>
        <w:rPr/>
        <w:t>announced</w:t>
      </w:r>
      <w:r>
        <w:rPr>
          <w:spacing w:val="-9"/>
        </w:rPr>
        <w:t> </w:t>
      </w:r>
      <w:r>
        <w:rPr/>
        <w:t>an</w:t>
      </w:r>
    </w:p>
    <w:p>
      <w:pPr>
        <w:spacing w:after="0" w:line="249" w:lineRule="auto"/>
        <w:sectPr>
          <w:type w:val="continuous"/>
          <w:pgSz w:w="16840" w:h="11910" w:orient="landscape"/>
          <w:pgMar w:top="0" w:bottom="0" w:left="0" w:right="0"/>
          <w:cols w:num="3" w:equalWidth="0">
            <w:col w:w="5584" w:space="40"/>
            <w:col w:w="5067" w:space="39"/>
            <w:col w:w="6110"/>
          </w:cols>
        </w:sectPr>
      </w:pPr>
    </w:p>
    <w:p>
      <w:pPr>
        <w:pStyle w:val="BodyText"/>
        <w:rPr>
          <w:sz w:val="20"/>
        </w:rPr>
      </w:pPr>
    </w:p>
    <w:p>
      <w:pPr>
        <w:pStyle w:val="BodyText"/>
        <w:rPr>
          <w:sz w:val="20"/>
        </w:rPr>
      </w:pPr>
    </w:p>
    <w:p>
      <w:pPr>
        <w:pStyle w:val="BodyText"/>
        <w:rPr>
          <w:sz w:val="20"/>
        </w:rPr>
      </w:pPr>
    </w:p>
    <w:p>
      <w:pPr>
        <w:pStyle w:val="BodyText"/>
        <w:spacing w:before="6"/>
      </w:pPr>
    </w:p>
    <w:p>
      <w:pPr>
        <w:spacing w:before="1"/>
        <w:ind w:left="765" w:right="0" w:firstLine="0"/>
        <w:jc w:val="left"/>
        <w:rPr>
          <w:sz w:val="16"/>
        </w:rPr>
      </w:pPr>
      <w:r>
        <w:rPr/>
        <w:pict>
          <v:group style="position:absolute;margin-left:616.448730pt;margin-top:-37.698593pt;width:135.5pt;height:90.35pt;mso-position-horizontal-relative:page;mso-position-vertical-relative:paragraph;z-index:-808624" coordorigin="12329,-754" coordsize="2710,1807">
            <v:shape style="position:absolute;left:12328;top:149;width:2710;height:904" coordorigin="12329,149" coordsize="2710,904" path="m13232,601l12781,149,12329,601,12781,1052,13232,601m14135,601l13684,149,13232,601,13684,1052,14135,601m15038,601l14587,149,14135,601,14587,1052,15038,601e" filled="true" fillcolor="#ffffff" stroked="false">
              <v:path arrowok="t"/>
              <v:fill type="solid"/>
            </v:shape>
            <v:shape style="position:absolute;left:13232;top:-754;width:904;height:904" coordorigin="13232,-754" coordsize="904,904" path="m13684,-754l13232,-302,13684,149,14135,-302,13684,-754xe" filled="true" fillcolor="#d5dac6" stroked="false">
              <v:path arrowok="t"/>
              <v:fill type="solid"/>
            </v:shape>
            <v:shape style="position:absolute;left:12328;top:149;width:2710;height:904" coordorigin="12329,149" coordsize="2710,904" path="m13232,601l12781,149,12329,601,12781,1052,13232,601m15038,601l14587,149,14135,601,14587,1052,15038,601e" filled="true" fillcolor="#efeeeb" stroked="false">
              <v:path arrowok="t"/>
              <v:fill type="solid"/>
            </v:shape>
            <v:shape style="position:absolute;left:13232;top:149;width:904;height:904" coordorigin="13232,149" coordsize="904,904" path="m13684,149l13232,601,13684,1052,14135,601,13684,149xe" filled="true" fillcolor="#c0aac2" stroked="false">
              <v:path arrowok="t"/>
              <v:fill type="solid"/>
            </v:shape>
            <w10:wrap type="none"/>
          </v:group>
        </w:pict>
      </w:r>
      <w:r>
        <w:rPr/>
        <w:pict>
          <v:shape style="position:absolute;margin-left:771.210083pt;margin-top:7.460106pt;width:45.2pt;height:45.2pt;mso-position-horizontal-relative:page;mso-position-vertical-relative:paragraph;z-index:-808600" coordorigin="15424,149" coordsize="904,904" path="m15876,149l15424,601,15876,1052,16327,601,15876,149xe" filled="true" fillcolor="#e8e9c9" stroked="false">
            <v:path arrowok="t"/>
            <v:fill type="solid"/>
            <w10:wrap type="none"/>
          </v:shape>
        </w:pict>
      </w:r>
      <w:r>
        <w:rPr/>
        <w:pict>
          <v:shape style="position:absolute;margin-left:461.606995pt;margin-top:-37.698593pt;width:45.2pt;height:45.2pt;mso-position-horizontal-relative:page;mso-position-vertical-relative:paragraph;z-index:5056" coordorigin="9232,-754" coordsize="904,904" path="m9684,-754l9232,-302,9684,149,10135,-302,9684,-754xe" filled="true" fillcolor="#efeeeb" stroked="false">
            <v:path arrowok="t"/>
            <v:fill opacity="32768f" type="solid"/>
            <w10:wrap type="none"/>
          </v:shape>
        </w:pict>
      </w:r>
      <w:r>
        <w:rPr>
          <w:color w:val="939598"/>
          <w:position w:val="4"/>
          <w:sz w:val="10"/>
        </w:rPr>
        <w:t>3 </w:t>
      </w:r>
      <w:r>
        <w:rPr>
          <w:color w:val="939598"/>
          <w:sz w:val="16"/>
        </w:rPr>
        <w:t>Ministerial Media Statement, 10 October 2016 ‘</w:t>
      </w:r>
      <w:hyperlink r:id="rId37">
        <w:r>
          <w:rPr>
            <w:color w:val="A7BE39"/>
            <w:sz w:val="16"/>
            <w:u w:val="single" w:color="A7BE39"/>
          </w:rPr>
          <w:t>More red tape cut in Repeal Week 2016</w:t>
        </w:r>
      </w:hyperlink>
      <w:r>
        <w:rPr>
          <w:color w:val="939598"/>
          <w:sz w:val="16"/>
        </w:rPr>
        <w:t>’</w:t>
      </w:r>
    </w:p>
    <w:p>
      <w:pPr>
        <w:pStyle w:val="BodyText"/>
        <w:spacing w:before="8"/>
        <w:rPr>
          <w:sz w:val="13"/>
        </w:rPr>
      </w:pPr>
    </w:p>
    <w:p>
      <w:pPr>
        <w:tabs>
          <w:tab w:pos="1227" w:val="left" w:leader="none"/>
          <w:tab w:pos="4671" w:val="left" w:leader="none"/>
          <w:tab w:pos="16072" w:val="left" w:leader="none"/>
        </w:tabs>
        <w:spacing w:before="107"/>
        <w:ind w:left="765" w:right="0" w:firstLine="0"/>
        <w:jc w:val="left"/>
        <w:rPr>
          <w:sz w:val="16"/>
        </w:rPr>
      </w:pPr>
      <w:r>
        <w:rPr>
          <w:b/>
          <w:color w:val="6F2770"/>
          <w:sz w:val="16"/>
        </w:rPr>
        <w:t>12</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spacing w:after="0"/>
        <w:rPr>
          <w:sz w:val="28"/>
        </w:rPr>
        <w:sectPr>
          <w:footerReference w:type="default" r:id="rId102"/>
          <w:pgSz w:w="16840" w:h="11910" w:orient="landscape"/>
          <w:pgMar w:footer="448" w:header="0" w:top="0" w:bottom="640" w:left="0" w:right="0"/>
        </w:sectPr>
      </w:pPr>
    </w:p>
    <w:p>
      <w:pPr>
        <w:pStyle w:val="BodyText"/>
        <w:spacing w:line="249" w:lineRule="auto" w:before="107"/>
        <w:ind w:left="765" w:right="155"/>
      </w:pPr>
      <w:r>
        <w:rPr/>
        <w:pict>
          <v:group style="position:absolute;margin-left:0pt;margin-top:-97.068336pt;width:841.9pt;height:98.95pt;mso-position-horizontal-relative:page;mso-position-vertical-relative:paragraph;z-index:5320" coordorigin="0,-1941" coordsize="16838,1979">
            <v:shape style="position:absolute;left:0;top:-1761;width:11;height:10" coordorigin="0,-1760" coordsize="11,10" path="m7,-1760l0,-1756,0,-1750,11,-1756,7,-1760xe" filled="true" fillcolor="#cdcccd" stroked="false">
              <v:path arrowok="t"/>
              <v:fill type="solid"/>
            </v:shape>
            <v:shape style="position:absolute;left:0;top:-1711;width:362;height:513" type="#_x0000_t75" stroked="false">
              <v:imagedata r:id="rId27" o:title=""/>
            </v:shape>
            <v:shape style="position:absolute;left:0;top:-1360;width:475;height:399" coordorigin="0,-1360" coordsize="475,399" path="m411,-1356l408,-1360,0,-1124,0,-1119,411,-1356m461,-1306l458,-1310,0,-1045,0,-1040,461,-1306m474,-1240l0,-967,0,-961,461,-1227,474,-1240e" filled="true" fillcolor="#cdcccd" stroked="false">
              <v:path arrowok="t"/>
              <v:fill type="solid"/>
            </v:shape>
            <v:shape style="position:absolute;left:0;top:-1054;width:288;height:251" type="#_x0000_t75" stroked="false">
              <v:imagedata r:id="rId28" o:title=""/>
            </v:shape>
            <v:shape style="position:absolute;left:320;top:-1118;width:904;height:904" coordorigin="320,-1117" coordsize="904,904" path="m772,-1117l320,-666,772,-214,1223,-666,772,-1117xe" filled="true" fillcolor="#efeeeb" stroked="false">
              <v:path arrowok="t"/>
              <v:fill opacity="32768f" type="solid"/>
            </v:shape>
            <v:shape style="position:absolute;left:1950;top:-1569;width:904;height:904" coordorigin="1950,-1569" coordsize="904,904" path="m2402,-1569l1950,-1117,2402,-666,2853,-1117,2402,-1569xe" filled="true" fillcolor="#e8e9c9" stroked="false">
              <v:path arrowok="t"/>
              <v:fill type="solid"/>
            </v:shape>
            <v:shape style="position:absolute;left:2853;top:-1569;width:904;height:904" coordorigin="2853,-1569" coordsize="904,904" path="m3305,-1569l2853,-1117,3305,-666,3757,-1117,3305,-1569xe" filled="true" fillcolor="#c0aac2" stroked="false">
              <v:path arrowok="t"/>
              <v:fill type="solid"/>
            </v:shape>
            <v:rect style="position:absolute;left:0;top:-1942;width:2406;height:851" filled="true" fillcolor="#aebd37" stroked="false">
              <v:fill type="solid"/>
            </v:rect>
            <v:rect style="position:absolute;left:4810;top:-1942;width:2406;height:851" filled="true" fillcolor="#e6e7e8" stroked="false">
              <v:fill type="solid"/>
            </v:rect>
            <v:shape style="position:absolute;left:4810;top:-1942;width:583;height:583" type="#_x0000_t75" stroked="false">
              <v:imagedata r:id="rId51" o:title=""/>
            </v:shape>
            <v:rect style="position:absolute;left:2397;top:-1942;width:2406;height:851" filled="true" fillcolor="#b6c247" stroked="false">
              <v:fill type="solid"/>
            </v:rect>
            <v:shape style="position:absolute;left:7483;top:-1569;width:904;height:904" coordorigin="7483,-1569" coordsize="904,904" path="m7935,-1569l7483,-1117,7935,-666,8387,-1117,7935,-1569xe" filled="true" fillcolor="#e8e9c9" stroked="false">
              <v:path arrowok="t"/>
              <v:fill type="solid"/>
            </v:shape>
            <v:rect style="position:absolute;left:7216;top:-1942;width:2406;height:851" filled="true" fillcolor="#c4cd71" stroked="false">
              <v:fill type="solid"/>
            </v:rect>
            <v:shape style="position:absolute;left:13225;top:-1118;width:904;height:904" coordorigin="13225,-1117" coordsize="904,904" path="m13677,-1117l13225,-666,13677,-214,14128,-666,13677,-1117xe" filled="true" fillcolor="#e8e9c9" stroked="false">
              <v:path arrowok="t"/>
              <v:fill type="solid"/>
            </v:shape>
            <v:shape style="position:absolute;left:11870;top:-1569;width:2710;height:904" coordorigin="11870,-1569" coordsize="2710,904" path="m12774,-1117l12322,-1569,11870,-1117,12322,-666,12774,-1117m14580,-1117l14128,-1569,13677,-1117,14128,-666,14580,-1117e" filled="true" fillcolor="#efeeeb" stroked="false">
              <v:path arrowok="t"/>
              <v:fill type="solid"/>
            </v:shape>
            <v:shape style="position:absolute;left:12773;top:-1569;width:904;height:904" coordorigin="12774,-1569" coordsize="904,904" path="m13225,-1569l12774,-1117,13225,-666,13677,-1117,13225,-1569xe" filled="true" fillcolor="#c0aac2" stroked="false">
              <v:path arrowok="t"/>
              <v:fill type="solid"/>
            </v:shape>
            <v:rect style="position:absolute;left:9621;top:-1942;width:2406;height:851" filled="true" fillcolor="#bec85c" stroked="false">
              <v:fill type="solid"/>
            </v:rect>
            <v:rect style="position:absolute;left:12026;top:-1942;width:2406;height:851" filled="true" fillcolor="#b6c247" stroked="false">
              <v:fill type="solid"/>
            </v:rect>
            <v:rect style="position:absolute;left:14432;top:-1942;width:2406;height:851" filled="true" fillcolor="#aebd37" stroked="false">
              <v:fill type="solid"/>
            </v:rect>
            <v:shape style="position:absolute;left:15424;top:-866;width:900;height:904" coordorigin="15424,-866" coordsize="900,904" path="m15874,-866l15424,-416,15424,-413,15874,37,16324,-413,16324,-416,15874,-866xe" filled="true" fillcolor="#c4cd71" stroked="false">
              <v:path arrowok="t"/>
              <v:fill type="solid"/>
            </v:shape>
            <v:shape style="position:absolute;left:15263;top:-575;width:161;height:322" type="#_x0000_t75" stroked="false">
              <v:imagedata r:id="rId16" o:title=""/>
            </v:shape>
            <v:shape style="position:absolute;left:16324;top:-575;width:161;height:322" type="#_x0000_t75" stroked="false">
              <v:imagedata r:id="rId11" o:title=""/>
            </v:shape>
            <v:shape style="position:absolute;left:15585;top:-594;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4432;top:-1942;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942;width:2406;height:851" type="#_x0000_t202" filled="false"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1942;width:2406;height:851"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v:shape style="position:absolute;left:7216;top:-1942;width:2406;height:851" type="#_x0000_t202" filled="false"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w10:wrap type="none"/>
            </v:shape>
            <v:shape style="position:absolute;left:4810;top:-1942;width:2406;height:851"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v:shape style="position:absolute;left:2405;top:-1942;width:2406;height:851" type="#_x0000_t202" filled="false"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w10:wrap type="none"/>
            </v:shape>
            <v:shape style="position:absolute;left:0;top:-1942;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bookmarkStart w:name="_bookmark8" w:id="9"/>
      <w:bookmarkEnd w:id="9"/>
      <w:r>
        <w:rPr/>
      </w:r>
      <w:r>
        <w:rPr/>
        <w:t>agreement for lease and construction of new office</w:t>
      </w:r>
      <w:r>
        <w:rPr>
          <w:spacing w:val="-19"/>
        </w:rPr>
        <w:t> </w:t>
      </w:r>
      <w:r>
        <w:rPr/>
        <w:t>space</w:t>
      </w:r>
      <w:r>
        <w:rPr>
          <w:spacing w:val="-18"/>
        </w:rPr>
        <w:t> </w:t>
      </w:r>
      <w:r>
        <w:rPr/>
        <w:t>in</w:t>
      </w:r>
      <w:r>
        <w:rPr>
          <w:spacing w:val="-18"/>
        </w:rPr>
        <w:t> </w:t>
      </w:r>
      <w:r>
        <w:rPr/>
        <w:t>Joondalup,</w:t>
      </w:r>
      <w:r>
        <w:rPr>
          <w:spacing w:val="-19"/>
        </w:rPr>
        <w:t> </w:t>
      </w:r>
      <w:r>
        <w:rPr/>
        <w:t>located</w:t>
      </w:r>
      <w:r>
        <w:rPr>
          <w:spacing w:val="-18"/>
        </w:rPr>
        <w:t> </w:t>
      </w:r>
      <w:r>
        <w:rPr/>
        <w:t>within</w:t>
      </w:r>
      <w:r>
        <w:rPr>
          <w:spacing w:val="-18"/>
        </w:rPr>
        <w:t> </w:t>
      </w:r>
      <w:r>
        <w:rPr>
          <w:spacing w:val="-3"/>
        </w:rPr>
        <w:t>walking </w:t>
      </w:r>
      <w:r>
        <w:rPr>
          <w:w w:val="97"/>
        </w:rPr>
        <w:t>distance</w:t>
      </w:r>
      <w:r>
        <w:rPr/>
        <w:t> </w:t>
      </w:r>
      <w:r>
        <w:rPr>
          <w:w w:val="97"/>
        </w:rPr>
        <w:t>of</w:t>
      </w:r>
      <w:r>
        <w:rPr/>
        <w:t> </w:t>
      </w:r>
      <w:r>
        <w:rPr>
          <w:w w:val="90"/>
        </w:rPr>
        <w:t>rail</w:t>
      </w:r>
      <w:r>
        <w:rPr/>
        <w:t> </w:t>
      </w:r>
      <w:r>
        <w:rPr>
          <w:w w:val="97"/>
        </w:rPr>
        <w:t>and</w:t>
      </w:r>
      <w:r>
        <w:rPr/>
        <w:t> </w:t>
      </w:r>
      <w:r>
        <w:rPr>
          <w:w w:val="98"/>
        </w:rPr>
        <w:t>bus</w:t>
      </w:r>
      <w:r>
        <w:rPr/>
        <w:t> </w:t>
      </w:r>
      <w:r>
        <w:rPr>
          <w:w w:val="94"/>
        </w:rPr>
        <w:t>facilities</w:t>
      </w:r>
      <w:r>
        <w:rPr>
          <w:spacing w:val="-1"/>
          <w:w w:val="94"/>
        </w:rPr>
        <w:t>.</w:t>
      </w:r>
      <w:r>
        <w:rPr>
          <w:w w:val="99"/>
          <w:position w:val="8"/>
          <w:sz w:val="10"/>
        </w:rPr>
        <w:t>4</w:t>
      </w:r>
      <w:r>
        <w:rPr>
          <w:position w:val="8"/>
          <w:sz w:val="10"/>
        </w:rPr>
        <w:t> </w:t>
      </w:r>
      <w:r>
        <w:rPr>
          <w:spacing w:val="5"/>
          <w:position w:val="8"/>
          <w:sz w:val="10"/>
        </w:rPr>
        <w:t> </w:t>
      </w:r>
      <w:r>
        <w:rPr>
          <w:w w:val="98"/>
        </w:rPr>
        <w:t>Mo</w:t>
      </w:r>
      <w:r>
        <w:rPr>
          <w:spacing w:val="-4"/>
          <w:w w:val="98"/>
        </w:rPr>
        <w:t>r</w:t>
      </w:r>
      <w:r>
        <w:rPr>
          <w:w w:val="93"/>
        </w:rPr>
        <w:t>e</w:t>
      </w:r>
      <w:r>
        <w:rPr/>
        <w:t> </w:t>
      </w:r>
      <w:r>
        <w:rPr>
          <w:w w:val="97"/>
        </w:rPr>
        <w:t>than</w:t>
      </w:r>
    </w:p>
    <w:p>
      <w:pPr>
        <w:pStyle w:val="BodyText"/>
        <w:spacing w:line="249" w:lineRule="auto" w:before="2"/>
        <w:ind w:left="765" w:right="-2"/>
      </w:pPr>
      <w:r>
        <w:rPr/>
        <w:t>800</w:t>
      </w:r>
      <w:r>
        <w:rPr>
          <w:spacing w:val="-17"/>
        </w:rPr>
        <w:t> </w:t>
      </w:r>
      <w:r>
        <w:rPr/>
        <w:t>public</w:t>
      </w:r>
      <w:r>
        <w:rPr>
          <w:spacing w:val="-16"/>
        </w:rPr>
        <w:t> </w:t>
      </w:r>
      <w:r>
        <w:rPr/>
        <w:t>servants</w:t>
      </w:r>
      <w:r>
        <w:rPr>
          <w:spacing w:val="-16"/>
        </w:rPr>
        <w:t> </w:t>
      </w:r>
      <w:r>
        <w:rPr/>
        <w:t>from</w:t>
      </w:r>
      <w:r>
        <w:rPr>
          <w:spacing w:val="-17"/>
        </w:rPr>
        <w:t> </w:t>
      </w:r>
      <w:r>
        <w:rPr/>
        <w:t>the</w:t>
      </w:r>
      <w:r>
        <w:rPr>
          <w:spacing w:val="-16"/>
        </w:rPr>
        <w:t> </w:t>
      </w:r>
      <w:r>
        <w:rPr/>
        <w:t>Department</w:t>
      </w:r>
      <w:r>
        <w:rPr>
          <w:spacing w:val="-16"/>
        </w:rPr>
        <w:t> </w:t>
      </w:r>
      <w:r>
        <w:rPr/>
        <w:t>of</w:t>
      </w:r>
      <w:r>
        <w:rPr>
          <w:spacing w:val="-17"/>
        </w:rPr>
        <w:t> </w:t>
      </w:r>
      <w:r>
        <w:rPr>
          <w:spacing w:val="-9"/>
        </w:rPr>
        <w:t>Water, </w:t>
      </w:r>
      <w:r>
        <w:rPr/>
        <w:t>Department of Environment Regulation and the Office of the Environmental Protection Authority are scheduled to relocate by early</w:t>
      </w:r>
      <w:r>
        <w:rPr>
          <w:spacing w:val="-33"/>
        </w:rPr>
        <w:t> </w:t>
      </w:r>
      <w:r>
        <w:rPr/>
        <w:t>2019.</w:t>
      </w:r>
    </w:p>
    <w:p>
      <w:pPr>
        <w:pStyle w:val="BodyText"/>
        <w:spacing w:before="3"/>
        <w:rPr>
          <w:sz w:val="23"/>
        </w:rPr>
      </w:pPr>
    </w:p>
    <w:p>
      <w:pPr>
        <w:pStyle w:val="BodyText"/>
        <w:spacing w:line="249" w:lineRule="auto" w:before="1"/>
        <w:ind w:left="765" w:right="26"/>
      </w:pPr>
      <w:r>
        <w:rPr/>
        <w:t>In addition, the Department facilitated the negotiation and signing of an agreement for lease and construction of new office space in </w:t>
      </w:r>
      <w:r>
        <w:rPr>
          <w:w w:val="90"/>
        </w:rPr>
        <w:t>F</w:t>
      </w:r>
      <w:r>
        <w:rPr>
          <w:spacing w:val="-4"/>
          <w:w w:val="90"/>
        </w:rPr>
        <w:t>r</w:t>
      </w:r>
      <w:r>
        <w:rPr>
          <w:w w:val="96"/>
        </w:rPr>
        <w:t>emantle,</w:t>
      </w:r>
      <w:r>
        <w:rPr/>
        <w:t> </w:t>
      </w:r>
      <w:r>
        <w:rPr>
          <w:w w:val="94"/>
        </w:rPr>
        <w:t>as</w:t>
      </w:r>
      <w:r>
        <w:rPr/>
        <w:t> </w:t>
      </w:r>
      <w:r>
        <w:rPr>
          <w:w w:val="98"/>
        </w:rPr>
        <w:t>part</w:t>
      </w:r>
      <w:r>
        <w:rPr/>
        <w:t> </w:t>
      </w:r>
      <w:r>
        <w:rPr>
          <w:w w:val="97"/>
        </w:rPr>
        <w:t>of</w:t>
      </w:r>
      <w:r>
        <w:rPr/>
        <w:t> </w:t>
      </w:r>
      <w:r>
        <w:rPr>
          <w:w w:val="97"/>
        </w:rPr>
        <w:t>the</w:t>
      </w:r>
      <w:r>
        <w:rPr/>
        <w:t> </w:t>
      </w:r>
      <w:hyperlink r:id="rId103">
        <w:r>
          <w:rPr>
            <w:color w:val="A7BE39"/>
            <w:w w:val="96"/>
            <w:u w:val="single" w:color="A7BE39"/>
          </w:rPr>
          <w:t>King</w:t>
        </w:r>
        <w:r>
          <w:rPr>
            <w:color w:val="A7BE39"/>
            <w:w w:val="96"/>
            <w:u w:val="single" w:color="A7BE39"/>
          </w:rPr>
          <w:t>s</w:t>
        </w:r>
        <w:r>
          <w:rPr>
            <w:color w:val="A7BE39"/>
            <w:u w:val="single" w:color="A7BE39"/>
          </w:rPr>
          <w:t> </w:t>
        </w:r>
        <w:r>
          <w:rPr>
            <w:color w:val="A7BE39"/>
            <w:w w:val="96"/>
            <w:u w:val="single" w:color="A7BE39"/>
          </w:rPr>
          <w:t>Squa</w:t>
        </w:r>
        <w:r>
          <w:rPr>
            <w:color w:val="A7BE39"/>
            <w:spacing w:val="-4"/>
            <w:w w:val="96"/>
            <w:u w:val="single" w:color="A7BE39"/>
          </w:rPr>
          <w:t>r</w:t>
        </w:r>
        <w:r>
          <w:rPr>
            <w:color w:val="A7BE39"/>
            <w:w w:val="93"/>
            <w:u w:val="single" w:color="A7BE39"/>
          </w:rPr>
          <w:t>e</w:t>
        </w:r>
        <w:r>
          <w:rPr>
            <w:color w:val="A7BE39"/>
            <w:u w:val="single" w:color="A7BE39"/>
          </w:rPr>
          <w:t> </w:t>
        </w:r>
        <w:r>
          <w:rPr>
            <w:color w:val="A7BE39"/>
            <w:w w:val="94"/>
            <w:u w:val="single" w:color="A7BE39"/>
          </w:rPr>
          <w:t>P</w:t>
        </w:r>
        <w:r>
          <w:rPr>
            <w:color w:val="A7BE39"/>
            <w:spacing w:val="-4"/>
            <w:w w:val="94"/>
            <w:u w:val="single" w:color="A7BE39"/>
          </w:rPr>
          <w:t>r</w:t>
        </w:r>
        <w:r>
          <w:rPr>
            <w:color w:val="A7BE39"/>
            <w:w w:val="98"/>
            <w:u w:val="single" w:color="A7BE39"/>
          </w:rPr>
          <w:t>ecinct</w:t>
        </w:r>
      </w:hyperlink>
      <w:r>
        <w:rPr>
          <w:w w:val="100"/>
        </w:rPr>
        <w:t>.</w:t>
      </w:r>
      <w:r>
        <w:rPr>
          <w:w w:val="99"/>
          <w:position w:val="8"/>
          <w:sz w:val="10"/>
        </w:rPr>
        <w:t>5 </w:t>
      </w:r>
      <w:r>
        <w:rPr>
          <w:spacing w:val="-3"/>
        </w:rPr>
        <w:t>Building</w:t>
      </w:r>
      <w:r>
        <w:rPr>
          <w:spacing w:val="-20"/>
        </w:rPr>
        <w:t> </w:t>
      </w:r>
      <w:r>
        <w:rPr>
          <w:spacing w:val="-3"/>
        </w:rPr>
        <w:t>construction</w:t>
      </w:r>
      <w:r>
        <w:rPr>
          <w:spacing w:val="-20"/>
        </w:rPr>
        <w:t> </w:t>
      </w:r>
      <w:r>
        <w:rPr/>
        <w:t>is</w:t>
      </w:r>
      <w:r>
        <w:rPr>
          <w:spacing w:val="-20"/>
        </w:rPr>
        <w:t> </w:t>
      </w:r>
      <w:r>
        <w:rPr>
          <w:spacing w:val="-3"/>
        </w:rPr>
        <w:t>expected</w:t>
      </w:r>
      <w:r>
        <w:rPr>
          <w:spacing w:val="-20"/>
        </w:rPr>
        <w:t> </w:t>
      </w:r>
      <w:r>
        <w:rPr/>
        <w:t>to</w:t>
      </w:r>
      <w:r>
        <w:rPr>
          <w:spacing w:val="-20"/>
        </w:rPr>
        <w:t> </w:t>
      </w:r>
      <w:r>
        <w:rPr/>
        <w:t>get</w:t>
      </w:r>
      <w:r>
        <w:rPr>
          <w:spacing w:val="-19"/>
        </w:rPr>
        <w:t> </w:t>
      </w:r>
      <w:r>
        <w:rPr>
          <w:spacing w:val="-3"/>
        </w:rPr>
        <w:t>underway </w:t>
      </w:r>
      <w:r>
        <w:rPr/>
        <w:t>in the </w:t>
      </w:r>
      <w:r>
        <w:rPr>
          <w:spacing w:val="-3"/>
        </w:rPr>
        <w:t>next financial </w:t>
      </w:r>
      <w:r>
        <w:rPr>
          <w:spacing w:val="-7"/>
        </w:rPr>
        <w:t>year, </w:t>
      </w:r>
      <w:r>
        <w:rPr>
          <w:spacing w:val="-4"/>
        </w:rPr>
        <w:t>where </w:t>
      </w:r>
      <w:r>
        <w:rPr>
          <w:spacing w:val="-3"/>
        </w:rPr>
        <w:t>eventually 1,500 public servants </w:t>
      </w:r>
      <w:r>
        <w:rPr>
          <w:spacing w:val="-4"/>
        </w:rPr>
        <w:t>from </w:t>
      </w:r>
      <w:r>
        <w:rPr/>
        <w:t>the </w:t>
      </w:r>
      <w:r>
        <w:rPr>
          <w:spacing w:val="-3"/>
        </w:rPr>
        <w:t>Housing</w:t>
      </w:r>
      <w:r>
        <w:rPr>
          <w:spacing w:val="-46"/>
        </w:rPr>
        <w:t> </w:t>
      </w:r>
      <w:r>
        <w:rPr>
          <w:spacing w:val="-5"/>
        </w:rPr>
        <w:t>Authority,</w:t>
      </w:r>
    </w:p>
    <w:p>
      <w:pPr>
        <w:pStyle w:val="BodyText"/>
        <w:spacing w:line="249" w:lineRule="auto" w:before="6"/>
        <w:ind w:left="765" w:right="33"/>
        <w:jc w:val="both"/>
      </w:pPr>
      <w:r>
        <w:rPr>
          <w:spacing w:val="-3"/>
        </w:rPr>
        <w:t>Department</w:t>
      </w:r>
      <w:r>
        <w:rPr>
          <w:spacing w:val="-31"/>
        </w:rPr>
        <w:t> </w:t>
      </w:r>
      <w:r>
        <w:rPr/>
        <w:t>of</w:t>
      </w:r>
      <w:r>
        <w:rPr>
          <w:spacing w:val="-31"/>
        </w:rPr>
        <w:t> </w:t>
      </w:r>
      <w:r>
        <w:rPr>
          <w:spacing w:val="-4"/>
        </w:rPr>
        <w:t>Corrective</w:t>
      </w:r>
      <w:r>
        <w:rPr>
          <w:spacing w:val="-31"/>
        </w:rPr>
        <w:t> </w:t>
      </w:r>
      <w:r>
        <w:rPr>
          <w:spacing w:val="-3"/>
        </w:rPr>
        <w:t>Services</w:t>
      </w:r>
      <w:r>
        <w:rPr>
          <w:spacing w:val="-30"/>
        </w:rPr>
        <w:t> </w:t>
      </w:r>
      <w:r>
        <w:rPr/>
        <w:t>and</w:t>
      </w:r>
      <w:r>
        <w:rPr>
          <w:spacing w:val="-31"/>
        </w:rPr>
        <w:t> </w:t>
      </w:r>
      <w:r>
        <w:rPr>
          <w:spacing w:val="-3"/>
        </w:rPr>
        <w:t>Department </w:t>
      </w:r>
      <w:r>
        <w:rPr/>
        <w:t>of</w:t>
      </w:r>
      <w:r>
        <w:rPr>
          <w:spacing w:val="-19"/>
        </w:rPr>
        <w:t> </w:t>
      </w:r>
      <w:r>
        <w:rPr>
          <w:spacing w:val="-5"/>
        </w:rPr>
        <w:t>Transport</w:t>
      </w:r>
      <w:r>
        <w:rPr>
          <w:spacing w:val="-18"/>
        </w:rPr>
        <w:t> </w:t>
      </w:r>
      <w:r>
        <w:rPr>
          <w:spacing w:val="-4"/>
        </w:rPr>
        <w:t>are</w:t>
      </w:r>
      <w:r>
        <w:rPr>
          <w:spacing w:val="-19"/>
        </w:rPr>
        <w:t> </w:t>
      </w:r>
      <w:r>
        <w:rPr>
          <w:spacing w:val="-3"/>
        </w:rPr>
        <w:t>expected</w:t>
      </w:r>
      <w:r>
        <w:rPr>
          <w:spacing w:val="-18"/>
        </w:rPr>
        <w:t> </w:t>
      </w:r>
      <w:r>
        <w:rPr/>
        <w:t>to</w:t>
      </w:r>
      <w:r>
        <w:rPr>
          <w:spacing w:val="-19"/>
        </w:rPr>
        <w:t> </w:t>
      </w:r>
      <w:r>
        <w:rPr>
          <w:spacing w:val="-4"/>
        </w:rPr>
        <w:t>relocate</w:t>
      </w:r>
      <w:r>
        <w:rPr>
          <w:spacing w:val="-18"/>
        </w:rPr>
        <w:t> </w:t>
      </w:r>
      <w:r>
        <w:rPr/>
        <w:t>in</w:t>
      </w:r>
      <w:r>
        <w:rPr>
          <w:spacing w:val="-19"/>
        </w:rPr>
        <w:t> </w:t>
      </w:r>
      <w:r>
        <w:rPr/>
        <w:t>the</w:t>
      </w:r>
      <w:r>
        <w:rPr>
          <w:spacing w:val="-18"/>
        </w:rPr>
        <w:t> </w:t>
      </w:r>
      <w:r>
        <w:rPr>
          <w:spacing w:val="-3"/>
        </w:rPr>
        <w:t>second quarter </w:t>
      </w:r>
      <w:r>
        <w:rPr/>
        <w:t>of</w:t>
      </w:r>
      <w:r>
        <w:rPr>
          <w:spacing w:val="-8"/>
        </w:rPr>
        <w:t> </w:t>
      </w:r>
      <w:r>
        <w:rPr>
          <w:spacing w:val="-3"/>
        </w:rPr>
        <w:t>2020.</w:t>
      </w:r>
    </w:p>
    <w:p>
      <w:pPr>
        <w:pStyle w:val="BodyText"/>
        <w:spacing w:before="2"/>
        <w:rPr>
          <w:sz w:val="23"/>
        </w:rPr>
      </w:pPr>
    </w:p>
    <w:p>
      <w:pPr>
        <w:pStyle w:val="BodyText"/>
        <w:spacing w:line="249" w:lineRule="auto"/>
        <w:ind w:left="765" w:right="808"/>
      </w:pPr>
      <w:r>
        <w:rPr/>
        <w:t>Other government office </w:t>
      </w:r>
      <w:r>
        <w:rPr>
          <w:spacing w:val="-2"/>
        </w:rPr>
        <w:t>accommodation </w:t>
      </w:r>
      <w:r>
        <w:rPr/>
        <w:t>initiatives completed include:</w:t>
      </w:r>
    </w:p>
    <w:p>
      <w:pPr>
        <w:pStyle w:val="BodyText"/>
        <w:spacing w:before="1"/>
        <w:rPr>
          <w:sz w:val="23"/>
        </w:rPr>
      </w:pPr>
    </w:p>
    <w:p>
      <w:pPr>
        <w:pStyle w:val="ListParagraph"/>
        <w:numPr>
          <w:ilvl w:val="1"/>
          <w:numId w:val="2"/>
        </w:numPr>
        <w:tabs>
          <w:tab w:pos="937" w:val="left" w:leader="none"/>
        </w:tabs>
        <w:spacing w:line="249" w:lineRule="auto" w:before="0" w:after="0"/>
        <w:ind w:left="948" w:right="306" w:hanging="183"/>
        <w:jc w:val="left"/>
        <w:rPr>
          <w:sz w:val="22"/>
        </w:rPr>
      </w:pPr>
      <w:r>
        <w:rPr>
          <w:sz w:val="22"/>
        </w:rPr>
        <w:t>The</w:t>
      </w:r>
      <w:r>
        <w:rPr>
          <w:spacing w:val="-25"/>
          <w:sz w:val="22"/>
        </w:rPr>
        <w:t> </w:t>
      </w:r>
      <w:r>
        <w:rPr>
          <w:sz w:val="22"/>
        </w:rPr>
        <w:t>Karratha</w:t>
      </w:r>
      <w:r>
        <w:rPr>
          <w:spacing w:val="-25"/>
          <w:sz w:val="22"/>
        </w:rPr>
        <w:t> </w:t>
      </w:r>
      <w:r>
        <w:rPr>
          <w:sz w:val="22"/>
        </w:rPr>
        <w:t>Quarter</w:t>
      </w:r>
      <w:r>
        <w:rPr>
          <w:spacing w:val="-24"/>
          <w:sz w:val="22"/>
        </w:rPr>
        <w:t> </w:t>
      </w:r>
      <w:r>
        <w:rPr>
          <w:sz w:val="22"/>
        </w:rPr>
        <w:t>project,</w:t>
      </w:r>
      <w:r>
        <w:rPr>
          <w:spacing w:val="-25"/>
          <w:sz w:val="22"/>
        </w:rPr>
        <w:t> </w:t>
      </w:r>
      <w:r>
        <w:rPr>
          <w:sz w:val="22"/>
        </w:rPr>
        <w:t>which</w:t>
      </w:r>
      <w:r>
        <w:rPr>
          <w:spacing w:val="-24"/>
          <w:sz w:val="22"/>
        </w:rPr>
        <w:t> </w:t>
      </w:r>
      <w:r>
        <w:rPr>
          <w:sz w:val="22"/>
        </w:rPr>
        <w:t>has</w:t>
      </w:r>
      <w:r>
        <w:rPr>
          <w:spacing w:val="-25"/>
          <w:sz w:val="22"/>
        </w:rPr>
        <w:t> </w:t>
      </w:r>
      <w:r>
        <w:rPr>
          <w:spacing w:val="-4"/>
          <w:sz w:val="22"/>
        </w:rPr>
        <w:t>seen </w:t>
      </w:r>
      <w:r>
        <w:rPr>
          <w:sz w:val="22"/>
        </w:rPr>
        <w:t>the co-location of 11 agencies into a newly constructed, state-of-the art building in November</w:t>
      </w:r>
      <w:r>
        <w:rPr>
          <w:spacing w:val="-1"/>
          <w:sz w:val="22"/>
        </w:rPr>
        <w:t> </w:t>
      </w:r>
      <w:r>
        <w:rPr>
          <w:sz w:val="22"/>
        </w:rPr>
        <w:t>2016.</w:t>
      </w:r>
    </w:p>
    <w:p>
      <w:pPr>
        <w:pStyle w:val="ListParagraph"/>
        <w:numPr>
          <w:ilvl w:val="1"/>
          <w:numId w:val="2"/>
        </w:numPr>
        <w:tabs>
          <w:tab w:pos="937" w:val="left" w:leader="none"/>
        </w:tabs>
        <w:spacing w:line="249" w:lineRule="auto" w:before="160" w:after="0"/>
        <w:ind w:left="948" w:right="258" w:hanging="183"/>
        <w:jc w:val="left"/>
        <w:rPr>
          <w:sz w:val="22"/>
        </w:rPr>
      </w:pPr>
      <w:r>
        <w:rPr>
          <w:sz w:val="22"/>
        </w:rPr>
        <w:t>The successful relocation and consolidation of</w:t>
      </w:r>
      <w:r>
        <w:rPr>
          <w:spacing w:val="-22"/>
          <w:sz w:val="22"/>
        </w:rPr>
        <w:t> </w:t>
      </w:r>
      <w:r>
        <w:rPr>
          <w:sz w:val="22"/>
        </w:rPr>
        <w:t>elements</w:t>
      </w:r>
      <w:r>
        <w:rPr>
          <w:spacing w:val="-21"/>
          <w:sz w:val="22"/>
        </w:rPr>
        <w:t> </w:t>
      </w:r>
      <w:r>
        <w:rPr>
          <w:sz w:val="22"/>
        </w:rPr>
        <w:t>of</w:t>
      </w:r>
      <w:r>
        <w:rPr>
          <w:spacing w:val="-21"/>
          <w:sz w:val="22"/>
        </w:rPr>
        <w:t> </w:t>
      </w:r>
      <w:r>
        <w:rPr>
          <w:sz w:val="22"/>
        </w:rPr>
        <w:t>corporate</w:t>
      </w:r>
      <w:r>
        <w:rPr>
          <w:spacing w:val="-21"/>
          <w:sz w:val="22"/>
        </w:rPr>
        <w:t> </w:t>
      </w:r>
      <w:r>
        <w:rPr>
          <w:sz w:val="22"/>
        </w:rPr>
        <w:t>services</w:t>
      </w:r>
      <w:r>
        <w:rPr>
          <w:spacing w:val="-22"/>
          <w:sz w:val="22"/>
        </w:rPr>
        <w:t> </w:t>
      </w:r>
      <w:r>
        <w:rPr>
          <w:sz w:val="22"/>
        </w:rPr>
        <w:t>for</w:t>
      </w:r>
      <w:r>
        <w:rPr>
          <w:spacing w:val="-21"/>
          <w:sz w:val="22"/>
        </w:rPr>
        <w:t> </w:t>
      </w:r>
      <w:r>
        <w:rPr>
          <w:sz w:val="22"/>
        </w:rPr>
        <w:t>Western Australia</w:t>
      </w:r>
      <w:r>
        <w:rPr>
          <w:spacing w:val="-27"/>
          <w:sz w:val="22"/>
        </w:rPr>
        <w:t> </w:t>
      </w:r>
      <w:r>
        <w:rPr>
          <w:sz w:val="22"/>
        </w:rPr>
        <w:t>Police</w:t>
      </w:r>
      <w:r>
        <w:rPr>
          <w:spacing w:val="-27"/>
          <w:sz w:val="22"/>
        </w:rPr>
        <w:t> </w:t>
      </w:r>
      <w:r>
        <w:rPr>
          <w:sz w:val="22"/>
        </w:rPr>
        <w:t>into</w:t>
      </w:r>
      <w:r>
        <w:rPr>
          <w:spacing w:val="-27"/>
          <w:sz w:val="22"/>
        </w:rPr>
        <w:t> </w:t>
      </w:r>
      <w:r>
        <w:rPr>
          <w:sz w:val="22"/>
        </w:rPr>
        <w:t>vacant</w:t>
      </w:r>
      <w:r>
        <w:rPr>
          <w:spacing w:val="-27"/>
          <w:sz w:val="22"/>
        </w:rPr>
        <w:t> </w:t>
      </w:r>
      <w:r>
        <w:rPr>
          <w:sz w:val="22"/>
        </w:rPr>
        <w:t>space</w:t>
      </w:r>
      <w:r>
        <w:rPr>
          <w:spacing w:val="-27"/>
          <w:sz w:val="22"/>
        </w:rPr>
        <w:t> </w:t>
      </w:r>
      <w:r>
        <w:rPr>
          <w:sz w:val="22"/>
        </w:rPr>
        <w:t>at</w:t>
      </w:r>
      <w:r>
        <w:rPr>
          <w:spacing w:val="-27"/>
          <w:sz w:val="22"/>
        </w:rPr>
        <w:t> </w:t>
      </w:r>
      <w:r>
        <w:rPr>
          <w:spacing w:val="-3"/>
          <w:sz w:val="22"/>
        </w:rPr>
        <w:t>Westralia </w:t>
      </w:r>
      <w:r>
        <w:rPr>
          <w:sz w:val="22"/>
        </w:rPr>
        <w:t>Square during October</w:t>
      </w:r>
      <w:r>
        <w:rPr>
          <w:spacing w:val="-7"/>
          <w:sz w:val="22"/>
        </w:rPr>
        <w:t> </w:t>
      </w:r>
      <w:r>
        <w:rPr>
          <w:sz w:val="22"/>
        </w:rPr>
        <w:t>2016.</w:t>
      </w:r>
    </w:p>
    <w:p>
      <w:pPr>
        <w:pStyle w:val="ListParagraph"/>
        <w:numPr>
          <w:ilvl w:val="0"/>
          <w:numId w:val="3"/>
        </w:numPr>
        <w:tabs>
          <w:tab w:pos="600" w:val="left" w:leader="none"/>
        </w:tabs>
        <w:spacing w:line="249" w:lineRule="auto" w:before="107" w:after="0"/>
        <w:ind w:left="611" w:right="0" w:hanging="183"/>
        <w:jc w:val="left"/>
        <w:rPr>
          <w:sz w:val="22"/>
        </w:rPr>
      </w:pPr>
      <w:r>
        <w:rPr>
          <w:w w:val="93"/>
          <w:sz w:val="22"/>
        </w:rPr>
        <w:br w:type="column"/>
      </w:r>
      <w:r>
        <w:rPr>
          <w:sz w:val="22"/>
        </w:rPr>
        <w:t>The relocation of the Department of Commerce into existing tenancies at the Mason Bird Building</w:t>
      </w:r>
      <w:r>
        <w:rPr>
          <w:spacing w:val="-29"/>
          <w:sz w:val="22"/>
        </w:rPr>
        <w:t> </w:t>
      </w:r>
      <w:r>
        <w:rPr>
          <w:sz w:val="22"/>
        </w:rPr>
        <w:t>in</w:t>
      </w:r>
      <w:r>
        <w:rPr>
          <w:spacing w:val="-29"/>
          <w:sz w:val="22"/>
        </w:rPr>
        <w:t> </w:t>
      </w:r>
      <w:r>
        <w:rPr>
          <w:sz w:val="22"/>
        </w:rPr>
        <w:t>Cannington,</w:t>
      </w:r>
      <w:r>
        <w:rPr>
          <w:spacing w:val="-28"/>
          <w:sz w:val="22"/>
        </w:rPr>
        <w:t> </w:t>
      </w:r>
      <w:r>
        <w:rPr>
          <w:sz w:val="22"/>
        </w:rPr>
        <w:t>and</w:t>
      </w:r>
      <w:r>
        <w:rPr>
          <w:spacing w:val="-29"/>
          <w:sz w:val="22"/>
        </w:rPr>
        <w:t> </w:t>
      </w:r>
      <w:r>
        <w:rPr>
          <w:sz w:val="22"/>
        </w:rPr>
        <w:t>Gordon</w:t>
      </w:r>
      <w:r>
        <w:rPr>
          <w:spacing w:val="-28"/>
          <w:sz w:val="22"/>
        </w:rPr>
        <w:t> </w:t>
      </w:r>
      <w:r>
        <w:rPr>
          <w:sz w:val="22"/>
        </w:rPr>
        <w:t>Stephenson House in</w:t>
      </w:r>
      <w:r>
        <w:rPr>
          <w:spacing w:val="-3"/>
          <w:sz w:val="22"/>
        </w:rPr>
        <w:t> </w:t>
      </w:r>
      <w:r>
        <w:rPr>
          <w:sz w:val="22"/>
        </w:rPr>
        <w:t>Perth.</w:t>
      </w:r>
    </w:p>
    <w:p>
      <w:pPr>
        <w:pStyle w:val="ListParagraph"/>
        <w:numPr>
          <w:ilvl w:val="0"/>
          <w:numId w:val="3"/>
        </w:numPr>
        <w:tabs>
          <w:tab w:pos="600" w:val="left" w:leader="none"/>
        </w:tabs>
        <w:spacing w:line="249" w:lineRule="auto" w:before="159" w:after="0"/>
        <w:ind w:left="611" w:right="392" w:hanging="183"/>
        <w:jc w:val="left"/>
        <w:rPr>
          <w:sz w:val="22"/>
        </w:rPr>
      </w:pPr>
      <w:r>
        <w:rPr>
          <w:sz w:val="22"/>
        </w:rPr>
        <w:t>The successful negotiation of favourable lease</w:t>
      </w:r>
      <w:r>
        <w:rPr>
          <w:spacing w:val="-22"/>
          <w:sz w:val="22"/>
        </w:rPr>
        <w:t> </w:t>
      </w:r>
      <w:r>
        <w:rPr>
          <w:sz w:val="22"/>
        </w:rPr>
        <w:t>terms</w:t>
      </w:r>
      <w:r>
        <w:rPr>
          <w:spacing w:val="-21"/>
          <w:sz w:val="22"/>
        </w:rPr>
        <w:t> </w:t>
      </w:r>
      <w:r>
        <w:rPr>
          <w:sz w:val="22"/>
        </w:rPr>
        <w:t>for</w:t>
      </w:r>
      <w:r>
        <w:rPr>
          <w:spacing w:val="-21"/>
          <w:sz w:val="22"/>
        </w:rPr>
        <w:t> </w:t>
      </w:r>
      <w:r>
        <w:rPr>
          <w:sz w:val="22"/>
        </w:rPr>
        <w:t>QBE</w:t>
      </w:r>
      <w:r>
        <w:rPr>
          <w:spacing w:val="-21"/>
          <w:sz w:val="22"/>
        </w:rPr>
        <w:t> </w:t>
      </w:r>
      <w:r>
        <w:rPr>
          <w:sz w:val="22"/>
        </w:rPr>
        <w:t>House</w:t>
      </w:r>
      <w:r>
        <w:rPr>
          <w:spacing w:val="-21"/>
          <w:sz w:val="22"/>
        </w:rPr>
        <w:t> </w:t>
      </w:r>
      <w:r>
        <w:rPr>
          <w:sz w:val="22"/>
        </w:rPr>
        <w:t>(200</w:t>
      </w:r>
      <w:r>
        <w:rPr>
          <w:spacing w:val="-21"/>
          <w:sz w:val="22"/>
        </w:rPr>
        <w:t> </w:t>
      </w:r>
      <w:r>
        <w:rPr>
          <w:sz w:val="22"/>
        </w:rPr>
        <w:t>St</w:t>
      </w:r>
      <w:r>
        <w:rPr>
          <w:spacing w:val="-21"/>
          <w:sz w:val="22"/>
        </w:rPr>
        <w:t> </w:t>
      </w:r>
      <w:r>
        <w:rPr>
          <w:spacing w:val="-3"/>
          <w:sz w:val="22"/>
        </w:rPr>
        <w:t>Georges</w:t>
      </w:r>
    </w:p>
    <w:p>
      <w:pPr>
        <w:pStyle w:val="BodyText"/>
        <w:spacing w:line="249" w:lineRule="auto" w:before="2"/>
        <w:ind w:left="611" w:right="12"/>
      </w:pPr>
      <w:r>
        <w:rPr>
          <w:spacing w:val="-4"/>
        </w:rPr>
        <w:t>Terrace,</w:t>
      </w:r>
      <w:r>
        <w:rPr>
          <w:spacing w:val="-19"/>
        </w:rPr>
        <w:t> </w:t>
      </w:r>
      <w:r>
        <w:rPr/>
        <w:t>Perth)</w:t>
      </w:r>
      <w:r>
        <w:rPr>
          <w:spacing w:val="-19"/>
        </w:rPr>
        <w:t> </w:t>
      </w:r>
      <w:r>
        <w:rPr/>
        <w:t>which,</w:t>
      </w:r>
      <w:r>
        <w:rPr>
          <w:spacing w:val="-18"/>
        </w:rPr>
        <w:t> </w:t>
      </w:r>
      <w:r>
        <w:rPr/>
        <w:t>in</w:t>
      </w:r>
      <w:r>
        <w:rPr>
          <w:spacing w:val="-19"/>
        </w:rPr>
        <w:t> </w:t>
      </w:r>
      <w:r>
        <w:rPr/>
        <w:t>conjunction</w:t>
      </w:r>
      <w:r>
        <w:rPr>
          <w:spacing w:val="-19"/>
        </w:rPr>
        <w:t> </w:t>
      </w:r>
      <w:r>
        <w:rPr/>
        <w:t>with</w:t>
      </w:r>
      <w:r>
        <w:rPr>
          <w:spacing w:val="-19"/>
        </w:rPr>
        <w:t> </w:t>
      </w:r>
      <w:r>
        <w:rPr/>
        <w:t>space rationalisation,</w:t>
      </w:r>
      <w:r>
        <w:rPr>
          <w:spacing w:val="-19"/>
        </w:rPr>
        <w:t> </w:t>
      </w:r>
      <w:r>
        <w:rPr/>
        <w:t>is</w:t>
      </w:r>
      <w:r>
        <w:rPr>
          <w:spacing w:val="-19"/>
        </w:rPr>
        <w:t> </w:t>
      </w:r>
      <w:r>
        <w:rPr/>
        <w:t>anticipated</w:t>
      </w:r>
      <w:r>
        <w:rPr>
          <w:spacing w:val="-19"/>
        </w:rPr>
        <w:t> </w:t>
      </w:r>
      <w:r>
        <w:rPr/>
        <w:t>to</w:t>
      </w:r>
      <w:r>
        <w:rPr>
          <w:spacing w:val="-19"/>
        </w:rPr>
        <w:t> </w:t>
      </w:r>
      <w:r>
        <w:rPr/>
        <w:t>result</w:t>
      </w:r>
      <w:r>
        <w:rPr>
          <w:spacing w:val="-18"/>
        </w:rPr>
        <w:t> </w:t>
      </w:r>
      <w:r>
        <w:rPr/>
        <w:t>in</w:t>
      </w:r>
      <w:r>
        <w:rPr>
          <w:spacing w:val="-19"/>
        </w:rPr>
        <w:t> </w:t>
      </w:r>
      <w:r>
        <w:rPr/>
        <w:t>a</w:t>
      </w:r>
      <w:r>
        <w:rPr>
          <w:spacing w:val="-19"/>
        </w:rPr>
        <w:t> </w:t>
      </w:r>
      <w:r>
        <w:rPr/>
        <w:t>20</w:t>
      </w:r>
      <w:r>
        <w:rPr>
          <w:spacing w:val="-19"/>
        </w:rPr>
        <w:t> </w:t>
      </w:r>
      <w:r>
        <w:rPr/>
        <w:t>per cent</w:t>
      </w:r>
      <w:r>
        <w:rPr>
          <w:spacing w:val="-13"/>
        </w:rPr>
        <w:t> </w:t>
      </w:r>
      <w:r>
        <w:rPr/>
        <w:t>reduction</w:t>
      </w:r>
      <w:r>
        <w:rPr>
          <w:spacing w:val="-13"/>
        </w:rPr>
        <w:t> </w:t>
      </w:r>
      <w:r>
        <w:rPr/>
        <w:t>in</w:t>
      </w:r>
      <w:r>
        <w:rPr>
          <w:spacing w:val="-13"/>
        </w:rPr>
        <w:t> </w:t>
      </w:r>
      <w:r>
        <w:rPr/>
        <w:t>the</w:t>
      </w:r>
      <w:r>
        <w:rPr>
          <w:spacing w:val="-13"/>
        </w:rPr>
        <w:t> </w:t>
      </w:r>
      <w:r>
        <w:rPr/>
        <w:t>leased</w:t>
      </w:r>
      <w:r>
        <w:rPr>
          <w:spacing w:val="-13"/>
        </w:rPr>
        <w:t> </w:t>
      </w:r>
      <w:r>
        <w:rPr/>
        <w:t>area</w:t>
      </w:r>
      <w:r>
        <w:rPr>
          <w:spacing w:val="-13"/>
        </w:rPr>
        <w:t> </w:t>
      </w:r>
      <w:r>
        <w:rPr/>
        <w:t>to</w:t>
      </w:r>
      <w:r>
        <w:rPr>
          <w:spacing w:val="-13"/>
        </w:rPr>
        <w:t> </w:t>
      </w:r>
      <w:r>
        <w:rPr/>
        <w:t>be</w:t>
      </w:r>
      <w:r>
        <w:rPr>
          <w:spacing w:val="-13"/>
        </w:rPr>
        <w:t> </w:t>
      </w:r>
      <w:r>
        <w:rPr>
          <w:spacing w:val="-3"/>
        </w:rPr>
        <w:t>occupied </w:t>
      </w:r>
      <w:r>
        <w:rPr/>
        <w:t>by </w:t>
      </w:r>
      <w:r>
        <w:rPr>
          <w:b/>
        </w:rPr>
        <w:t>State Revenue</w:t>
      </w:r>
      <w:r>
        <w:rPr/>
        <w:t>, and over $19 million in avoided</w:t>
      </w:r>
      <w:r>
        <w:rPr>
          <w:spacing w:val="-13"/>
        </w:rPr>
        <w:t> </w:t>
      </w:r>
      <w:r>
        <w:rPr/>
        <w:t>costs</w:t>
      </w:r>
      <w:r>
        <w:rPr>
          <w:spacing w:val="-12"/>
        </w:rPr>
        <w:t> </w:t>
      </w:r>
      <w:r>
        <w:rPr/>
        <w:t>to</w:t>
      </w:r>
      <w:r>
        <w:rPr>
          <w:spacing w:val="-12"/>
        </w:rPr>
        <w:t> </w:t>
      </w:r>
      <w:r>
        <w:rPr/>
        <w:t>the</w:t>
      </w:r>
      <w:r>
        <w:rPr>
          <w:spacing w:val="-13"/>
        </w:rPr>
        <w:t> </w:t>
      </w:r>
      <w:r>
        <w:rPr/>
        <w:t>Government</w:t>
      </w:r>
      <w:r>
        <w:rPr>
          <w:spacing w:val="-12"/>
        </w:rPr>
        <w:t> </w:t>
      </w:r>
      <w:r>
        <w:rPr/>
        <w:t>over</w:t>
      </w:r>
      <w:r>
        <w:rPr>
          <w:spacing w:val="-12"/>
        </w:rPr>
        <w:t> </w:t>
      </w:r>
      <w:r>
        <w:rPr/>
        <w:t>the</w:t>
      </w:r>
      <w:r>
        <w:rPr>
          <w:spacing w:val="-12"/>
        </w:rPr>
        <w:t> </w:t>
      </w:r>
      <w:r>
        <w:rPr/>
        <w:t>term of the</w:t>
      </w:r>
      <w:r>
        <w:rPr>
          <w:spacing w:val="-2"/>
        </w:rPr>
        <w:t> </w:t>
      </w:r>
      <w:r>
        <w:rPr/>
        <w:t>lease.</w:t>
      </w:r>
    </w:p>
    <w:p>
      <w:pPr>
        <w:pStyle w:val="BodyText"/>
        <w:spacing w:before="5"/>
        <w:rPr>
          <w:sz w:val="23"/>
        </w:rPr>
      </w:pPr>
    </w:p>
    <w:p>
      <w:pPr>
        <w:pStyle w:val="BodyText"/>
        <w:spacing w:line="249" w:lineRule="auto"/>
        <w:ind w:left="428" w:right="284"/>
      </w:pPr>
      <w:r>
        <w:rPr>
          <w:b/>
          <w:spacing w:val="-3"/>
        </w:rPr>
        <w:t>Government </w:t>
      </w:r>
      <w:r>
        <w:rPr>
          <w:b/>
          <w:spacing w:val="-4"/>
        </w:rPr>
        <w:t>Procurement </w:t>
      </w:r>
      <w:r>
        <w:rPr>
          <w:spacing w:val="-3"/>
        </w:rPr>
        <w:t>continues </w:t>
      </w:r>
      <w:r>
        <w:rPr/>
        <w:t>to </w:t>
      </w:r>
      <w:r>
        <w:rPr>
          <w:spacing w:val="-4"/>
        </w:rPr>
        <w:t>offer </w:t>
      </w:r>
      <w:r>
        <w:rPr>
          <w:spacing w:val="-3"/>
        </w:rPr>
        <w:t>extensive</w:t>
      </w:r>
      <w:r>
        <w:rPr>
          <w:spacing w:val="-23"/>
        </w:rPr>
        <w:t> </w:t>
      </w:r>
      <w:r>
        <w:rPr>
          <w:spacing w:val="-3"/>
        </w:rPr>
        <w:t>advice</w:t>
      </w:r>
      <w:r>
        <w:rPr>
          <w:spacing w:val="-22"/>
        </w:rPr>
        <w:t> </w:t>
      </w:r>
      <w:r>
        <w:rPr/>
        <w:t>and</w:t>
      </w:r>
      <w:r>
        <w:rPr>
          <w:spacing w:val="-22"/>
        </w:rPr>
        <w:t> </w:t>
      </w:r>
      <w:r>
        <w:rPr>
          <w:spacing w:val="-3"/>
        </w:rPr>
        <w:t>support</w:t>
      </w:r>
      <w:r>
        <w:rPr>
          <w:spacing w:val="-23"/>
        </w:rPr>
        <w:t> </w:t>
      </w:r>
      <w:r>
        <w:rPr/>
        <w:t>to</w:t>
      </w:r>
      <w:r>
        <w:rPr>
          <w:spacing w:val="-22"/>
        </w:rPr>
        <w:t> </w:t>
      </w:r>
      <w:r>
        <w:rPr/>
        <w:t>the</w:t>
      </w:r>
      <w:r>
        <w:rPr>
          <w:spacing w:val="-22"/>
        </w:rPr>
        <w:t> </w:t>
      </w:r>
      <w:r>
        <w:rPr>
          <w:spacing w:val="-3"/>
        </w:rPr>
        <w:t>Department </w:t>
      </w:r>
      <w:r>
        <w:rPr/>
        <w:t>of </w:t>
      </w:r>
      <w:r>
        <w:rPr>
          <w:spacing w:val="-6"/>
        </w:rPr>
        <w:t>Finance’s </w:t>
      </w:r>
      <w:r>
        <w:rPr>
          <w:spacing w:val="-3"/>
        </w:rPr>
        <w:t>sub-department, </w:t>
      </w:r>
      <w:r>
        <w:rPr/>
        <w:t>the </w:t>
      </w:r>
      <w:r>
        <w:rPr>
          <w:spacing w:val="-4"/>
        </w:rPr>
        <w:t>Office </w:t>
      </w:r>
      <w:r>
        <w:rPr/>
        <w:t>of </w:t>
      </w:r>
      <w:r>
        <w:rPr>
          <w:spacing w:val="-3"/>
        </w:rPr>
        <w:t>the Government</w:t>
      </w:r>
      <w:r>
        <w:rPr>
          <w:spacing w:val="-32"/>
        </w:rPr>
        <w:t> </w:t>
      </w:r>
      <w:r>
        <w:rPr>
          <w:spacing w:val="-3"/>
        </w:rPr>
        <w:t>Chief</w:t>
      </w:r>
      <w:r>
        <w:rPr>
          <w:spacing w:val="-31"/>
        </w:rPr>
        <w:t> </w:t>
      </w:r>
      <w:r>
        <w:rPr>
          <w:spacing w:val="-3"/>
        </w:rPr>
        <w:t>Information</w:t>
      </w:r>
      <w:r>
        <w:rPr>
          <w:spacing w:val="-31"/>
        </w:rPr>
        <w:t> </w:t>
      </w:r>
      <w:r>
        <w:rPr>
          <w:spacing w:val="-6"/>
        </w:rPr>
        <w:t>Officer,</w:t>
      </w:r>
      <w:r>
        <w:rPr>
          <w:spacing w:val="-31"/>
        </w:rPr>
        <w:t> </w:t>
      </w:r>
      <w:r>
        <w:rPr>
          <w:spacing w:val="-4"/>
        </w:rPr>
        <w:t>regarding </w:t>
      </w:r>
      <w:r>
        <w:rPr/>
        <w:t>the </w:t>
      </w:r>
      <w:r>
        <w:rPr>
          <w:spacing w:val="-3"/>
        </w:rPr>
        <w:t>GovNext-ICT </w:t>
      </w:r>
      <w:r>
        <w:rPr>
          <w:spacing w:val="-4"/>
        </w:rPr>
        <w:t>Program. </w:t>
      </w:r>
      <w:r>
        <w:rPr/>
        <w:t>In </w:t>
      </w:r>
      <w:r>
        <w:rPr>
          <w:spacing w:val="-3"/>
        </w:rPr>
        <w:t>January 2017, government </w:t>
      </w:r>
      <w:r>
        <w:rPr>
          <w:spacing w:val="-4"/>
        </w:rPr>
        <w:t>awarded </w:t>
      </w:r>
      <w:r>
        <w:rPr>
          <w:spacing w:val="-3"/>
        </w:rPr>
        <w:t>contracts </w:t>
      </w:r>
      <w:r>
        <w:rPr/>
        <w:t>to </w:t>
      </w:r>
      <w:r>
        <w:rPr>
          <w:spacing w:val="-3"/>
        </w:rPr>
        <w:t>supply information</w:t>
      </w:r>
      <w:r>
        <w:rPr>
          <w:spacing w:val="-40"/>
        </w:rPr>
        <w:t> </w:t>
      </w:r>
      <w:r>
        <w:rPr/>
        <w:t>and</w:t>
      </w:r>
      <w:r>
        <w:rPr>
          <w:spacing w:val="-40"/>
        </w:rPr>
        <w:t> </w:t>
      </w:r>
      <w:r>
        <w:rPr>
          <w:spacing w:val="-3"/>
        </w:rPr>
        <w:t>communication</w:t>
      </w:r>
      <w:r>
        <w:rPr>
          <w:spacing w:val="-39"/>
        </w:rPr>
        <w:t> </w:t>
      </w:r>
      <w:r>
        <w:rPr>
          <w:spacing w:val="-3"/>
        </w:rPr>
        <w:t>technology</w:t>
      </w:r>
      <w:r>
        <w:rPr>
          <w:spacing w:val="-40"/>
        </w:rPr>
        <w:t> </w:t>
      </w:r>
      <w:r>
        <w:rPr>
          <w:spacing w:val="-3"/>
        </w:rPr>
        <w:t>(ICT) </w:t>
      </w:r>
      <w:r>
        <w:rPr>
          <w:spacing w:val="-4"/>
        </w:rPr>
        <w:t>infrastructure</w:t>
      </w:r>
      <w:r>
        <w:rPr>
          <w:spacing w:val="-19"/>
        </w:rPr>
        <w:t> </w:t>
      </w:r>
      <w:r>
        <w:rPr/>
        <w:t>as</w:t>
      </w:r>
      <w:r>
        <w:rPr>
          <w:spacing w:val="-18"/>
        </w:rPr>
        <w:t> </w:t>
      </w:r>
      <w:r>
        <w:rPr/>
        <w:t>a</w:t>
      </w:r>
      <w:r>
        <w:rPr>
          <w:spacing w:val="-19"/>
        </w:rPr>
        <w:t> </w:t>
      </w:r>
      <w:r>
        <w:rPr>
          <w:spacing w:val="-3"/>
        </w:rPr>
        <w:t>service</w:t>
      </w:r>
      <w:r>
        <w:rPr>
          <w:spacing w:val="-18"/>
        </w:rPr>
        <w:t> </w:t>
      </w:r>
      <w:r>
        <w:rPr>
          <w:spacing w:val="-4"/>
        </w:rPr>
        <w:t>across</w:t>
      </w:r>
      <w:r>
        <w:rPr>
          <w:spacing w:val="-19"/>
        </w:rPr>
        <w:t> </w:t>
      </w:r>
      <w:r>
        <w:rPr>
          <w:spacing w:val="-3"/>
        </w:rPr>
        <w:t>government,</w:t>
      </w:r>
    </w:p>
    <w:p>
      <w:pPr>
        <w:pStyle w:val="BodyText"/>
        <w:spacing w:line="249" w:lineRule="auto" w:before="7"/>
        <w:ind w:left="428" w:right="12"/>
      </w:pPr>
      <w:r>
        <w:rPr/>
        <w:t>for</w:t>
      </w:r>
      <w:r>
        <w:rPr>
          <w:spacing w:val="-22"/>
        </w:rPr>
        <w:t> </w:t>
      </w:r>
      <w:r>
        <w:rPr/>
        <w:t>the</w:t>
      </w:r>
      <w:r>
        <w:rPr>
          <w:spacing w:val="-21"/>
        </w:rPr>
        <w:t> </w:t>
      </w:r>
      <w:r>
        <w:rPr>
          <w:spacing w:val="-3"/>
        </w:rPr>
        <w:t>next</w:t>
      </w:r>
      <w:r>
        <w:rPr>
          <w:spacing w:val="-22"/>
        </w:rPr>
        <w:t> </w:t>
      </w:r>
      <w:r>
        <w:rPr>
          <w:spacing w:val="-3"/>
        </w:rPr>
        <w:t>five</w:t>
      </w:r>
      <w:r>
        <w:rPr>
          <w:spacing w:val="-21"/>
        </w:rPr>
        <w:t> </w:t>
      </w:r>
      <w:r>
        <w:rPr>
          <w:spacing w:val="-3"/>
        </w:rPr>
        <w:t>years.</w:t>
      </w:r>
      <w:r>
        <w:rPr>
          <w:spacing w:val="-22"/>
        </w:rPr>
        <w:t> </w:t>
      </w:r>
      <w:r>
        <w:rPr/>
        <w:t>It</w:t>
      </w:r>
      <w:r>
        <w:rPr>
          <w:spacing w:val="-21"/>
        </w:rPr>
        <w:t> </w:t>
      </w:r>
      <w:r>
        <w:rPr/>
        <w:t>is</w:t>
      </w:r>
      <w:r>
        <w:rPr>
          <w:spacing w:val="-22"/>
        </w:rPr>
        <w:t> </w:t>
      </w:r>
      <w:r>
        <w:rPr>
          <w:spacing w:val="-3"/>
        </w:rPr>
        <w:t>estimated</w:t>
      </w:r>
      <w:r>
        <w:rPr>
          <w:spacing w:val="-21"/>
        </w:rPr>
        <w:t> </w:t>
      </w:r>
      <w:r>
        <w:rPr>
          <w:spacing w:val="-3"/>
        </w:rPr>
        <w:t>this</w:t>
      </w:r>
      <w:r>
        <w:rPr>
          <w:spacing w:val="-22"/>
        </w:rPr>
        <w:t> </w:t>
      </w:r>
      <w:r>
        <w:rPr>
          <w:spacing w:val="-3"/>
        </w:rPr>
        <w:t>Common </w:t>
      </w:r>
      <w:r>
        <w:rPr/>
        <w:t>Use</w:t>
      </w:r>
      <w:r>
        <w:rPr>
          <w:spacing w:val="-25"/>
        </w:rPr>
        <w:t> </w:t>
      </w:r>
      <w:r>
        <w:rPr>
          <w:spacing w:val="-3"/>
        </w:rPr>
        <w:t>Arrangement</w:t>
      </w:r>
      <w:r>
        <w:rPr>
          <w:spacing w:val="-24"/>
        </w:rPr>
        <w:t> </w:t>
      </w:r>
      <w:r>
        <w:rPr>
          <w:spacing w:val="-3"/>
        </w:rPr>
        <w:t>will</w:t>
      </w:r>
      <w:r>
        <w:rPr>
          <w:spacing w:val="-25"/>
        </w:rPr>
        <w:t> </w:t>
      </w:r>
      <w:r>
        <w:rPr>
          <w:spacing w:val="-3"/>
        </w:rPr>
        <w:t>generate</w:t>
      </w:r>
      <w:r>
        <w:rPr>
          <w:spacing w:val="-24"/>
        </w:rPr>
        <w:t> </w:t>
      </w:r>
      <w:r>
        <w:rPr>
          <w:spacing w:val="-3"/>
        </w:rPr>
        <w:t>annual</w:t>
      </w:r>
      <w:r>
        <w:rPr>
          <w:spacing w:val="-25"/>
        </w:rPr>
        <w:t> </w:t>
      </w:r>
      <w:r>
        <w:rPr>
          <w:spacing w:val="-3"/>
        </w:rPr>
        <w:t>savings</w:t>
      </w:r>
      <w:r>
        <w:rPr>
          <w:spacing w:val="-24"/>
        </w:rPr>
        <w:t> </w:t>
      </w:r>
      <w:r>
        <w:rPr>
          <w:spacing w:val="-3"/>
        </w:rPr>
        <w:t>of</w:t>
      </w:r>
    </w:p>
    <w:p>
      <w:pPr>
        <w:pStyle w:val="BodyText"/>
        <w:spacing w:line="249" w:lineRule="auto" w:before="2"/>
        <w:ind w:left="428" w:right="185"/>
      </w:pPr>
      <w:r>
        <w:rPr>
          <w:spacing w:val="-3"/>
          <w:w w:val="99"/>
        </w:rPr>
        <w:t>$6</w:t>
      </w:r>
      <w:r>
        <w:rPr>
          <w:w w:val="99"/>
        </w:rPr>
        <w:t>5</w:t>
      </w:r>
      <w:r>
        <w:rPr/>
        <w:t> </w:t>
      </w:r>
      <w:r>
        <w:rPr>
          <w:spacing w:val="-3"/>
          <w:w w:val="102"/>
        </w:rPr>
        <w:t>t</w:t>
      </w:r>
      <w:r>
        <w:rPr>
          <w:w w:val="102"/>
        </w:rPr>
        <w:t>o</w:t>
      </w:r>
      <w:r>
        <w:rPr/>
        <w:t> </w:t>
      </w:r>
      <w:r>
        <w:rPr>
          <w:spacing w:val="-3"/>
          <w:w w:val="99"/>
        </w:rPr>
        <w:t>$8</w:t>
      </w:r>
      <w:r>
        <w:rPr>
          <w:w w:val="99"/>
        </w:rPr>
        <w:t>0</w:t>
      </w:r>
      <w:r>
        <w:rPr/>
        <w:t> </w:t>
      </w:r>
      <w:r>
        <w:rPr>
          <w:spacing w:val="-3"/>
          <w:w w:val="94"/>
        </w:rPr>
        <w:t>million</w:t>
      </w:r>
      <w:r>
        <w:rPr>
          <w:w w:val="99"/>
          <w:position w:val="8"/>
          <w:sz w:val="10"/>
        </w:rPr>
        <w:t>6</w:t>
      </w:r>
      <w:r>
        <w:rPr>
          <w:position w:val="8"/>
          <w:sz w:val="10"/>
        </w:rPr>
        <w:t>  </w:t>
      </w:r>
      <w:r>
        <w:rPr>
          <w:spacing w:val="-3"/>
          <w:w w:val="94"/>
        </w:rPr>
        <w:t>a</w:t>
      </w:r>
      <w:r>
        <w:rPr>
          <w:w w:val="94"/>
        </w:rPr>
        <w:t>s</w:t>
      </w:r>
      <w:r>
        <w:rPr/>
        <w:t> </w:t>
      </w:r>
      <w:r>
        <w:rPr>
          <w:spacing w:val="-3"/>
          <w:w w:val="96"/>
        </w:rPr>
        <w:t>gove</w:t>
      </w:r>
      <w:r>
        <w:rPr>
          <w:spacing w:val="1"/>
          <w:w w:val="96"/>
        </w:rPr>
        <w:t>r</w:t>
      </w:r>
      <w:r>
        <w:rPr>
          <w:spacing w:val="-3"/>
          <w:w w:val="97"/>
        </w:rPr>
        <w:t>nmen</w:t>
      </w:r>
      <w:r>
        <w:rPr>
          <w:w w:val="97"/>
        </w:rPr>
        <w:t>t</w:t>
      </w:r>
      <w:r>
        <w:rPr/>
        <w:t> </w:t>
      </w:r>
      <w:r>
        <w:rPr>
          <w:spacing w:val="-3"/>
          <w:w w:val="96"/>
        </w:rPr>
        <w:t>transition</w:t>
      </w:r>
      <w:r>
        <w:rPr>
          <w:w w:val="96"/>
        </w:rPr>
        <w:t>s</w:t>
      </w:r>
      <w:r>
        <w:rPr/>
        <w:t> </w:t>
      </w:r>
      <w:r>
        <w:rPr>
          <w:spacing w:val="-3"/>
          <w:w w:val="102"/>
        </w:rPr>
        <w:t>t</w:t>
      </w:r>
      <w:r>
        <w:rPr>
          <w:w w:val="102"/>
        </w:rPr>
        <w:t>o</w:t>
      </w:r>
      <w:r>
        <w:rPr/>
        <w:t> </w:t>
      </w:r>
      <w:r>
        <w:rPr>
          <w:w w:val="93"/>
        </w:rPr>
        <w:t>a </w:t>
      </w:r>
      <w:r>
        <w:rPr>
          <w:spacing w:val="-4"/>
        </w:rPr>
        <w:t>regime where </w:t>
      </w:r>
      <w:r>
        <w:rPr>
          <w:spacing w:val="-3"/>
        </w:rPr>
        <w:t>agencies </w:t>
      </w:r>
      <w:r>
        <w:rPr/>
        <w:t>pay for </w:t>
      </w:r>
      <w:r>
        <w:rPr>
          <w:spacing w:val="-3"/>
        </w:rPr>
        <w:t>what they use.</w:t>
      </w:r>
    </w:p>
    <w:p>
      <w:pPr>
        <w:pStyle w:val="BodyText"/>
        <w:spacing w:before="1"/>
        <w:rPr>
          <w:sz w:val="23"/>
        </w:rPr>
      </w:pPr>
    </w:p>
    <w:p>
      <w:pPr>
        <w:pStyle w:val="BodyText"/>
        <w:spacing w:line="249" w:lineRule="auto"/>
        <w:ind w:left="428" w:right="270"/>
      </w:pPr>
      <w:r>
        <w:rPr/>
        <w:t>Under the new arrangement, government agencies will purchase through one contract from three vendors which will continuously compete</w:t>
      </w:r>
      <w:r>
        <w:rPr>
          <w:spacing w:val="-30"/>
        </w:rPr>
        <w:t> </w:t>
      </w:r>
      <w:r>
        <w:rPr/>
        <w:t>to</w:t>
      </w:r>
      <w:r>
        <w:rPr>
          <w:spacing w:val="-29"/>
        </w:rPr>
        <w:t> </w:t>
      </w:r>
      <w:r>
        <w:rPr/>
        <w:t>sell</w:t>
      </w:r>
      <w:r>
        <w:rPr>
          <w:spacing w:val="-29"/>
        </w:rPr>
        <w:t> </w:t>
      </w:r>
      <w:r>
        <w:rPr/>
        <w:t>their</w:t>
      </w:r>
      <w:r>
        <w:rPr>
          <w:spacing w:val="-29"/>
        </w:rPr>
        <w:t> </w:t>
      </w:r>
      <w:r>
        <w:rPr/>
        <w:t>ICT</w:t>
      </w:r>
      <w:r>
        <w:rPr>
          <w:spacing w:val="-29"/>
        </w:rPr>
        <w:t> </w:t>
      </w:r>
      <w:r>
        <w:rPr/>
        <w:t>infrastructure</w:t>
      </w:r>
      <w:r>
        <w:rPr>
          <w:spacing w:val="-30"/>
        </w:rPr>
        <w:t> </w:t>
      </w:r>
      <w:r>
        <w:rPr/>
        <w:t>services,</w:t>
      </w:r>
    </w:p>
    <w:p>
      <w:pPr>
        <w:pStyle w:val="BodyText"/>
        <w:spacing w:line="249" w:lineRule="auto" w:before="107"/>
        <w:ind w:left="432" w:right="938"/>
      </w:pPr>
      <w:r>
        <w:rPr/>
        <w:br w:type="column"/>
      </w:r>
      <w:r>
        <w:rPr/>
        <w:t>reducing procurement costs and delays for </w:t>
      </w:r>
      <w:r>
        <w:rPr>
          <w:spacing w:val="-5"/>
        </w:rPr>
        <w:t>both </w:t>
      </w:r>
      <w:r>
        <w:rPr/>
        <w:t>government and suppliers.</w:t>
      </w:r>
    </w:p>
    <w:p>
      <w:pPr>
        <w:pStyle w:val="BodyText"/>
        <w:spacing w:before="1"/>
        <w:rPr>
          <w:sz w:val="23"/>
        </w:rPr>
      </w:pPr>
    </w:p>
    <w:p>
      <w:pPr>
        <w:pStyle w:val="BodyText"/>
        <w:spacing w:line="249" w:lineRule="auto"/>
        <w:ind w:left="432" w:right="764"/>
      </w:pPr>
      <w:r>
        <w:rPr>
          <w:spacing w:val="-3"/>
        </w:rPr>
        <w:t>Government</w:t>
      </w:r>
      <w:r>
        <w:rPr>
          <w:spacing w:val="-34"/>
        </w:rPr>
        <w:t> </w:t>
      </w:r>
      <w:r>
        <w:rPr>
          <w:spacing w:val="-6"/>
        </w:rPr>
        <w:t>Procurement’s</w:t>
      </w:r>
      <w:r>
        <w:rPr>
          <w:spacing w:val="-34"/>
        </w:rPr>
        <w:t> </w:t>
      </w:r>
      <w:r>
        <w:rPr>
          <w:spacing w:val="-3"/>
        </w:rPr>
        <w:t>advice</w:t>
      </w:r>
      <w:r>
        <w:rPr>
          <w:spacing w:val="-34"/>
        </w:rPr>
        <w:t> </w:t>
      </w:r>
      <w:r>
        <w:rPr/>
        <w:t>was</w:t>
      </w:r>
      <w:r>
        <w:rPr>
          <w:spacing w:val="-33"/>
        </w:rPr>
        <w:t> </w:t>
      </w:r>
      <w:r>
        <w:rPr>
          <w:spacing w:val="-3"/>
        </w:rPr>
        <w:t>instrumental </w:t>
      </w:r>
      <w:r>
        <w:rPr/>
        <w:t>in </w:t>
      </w:r>
      <w:r>
        <w:rPr>
          <w:spacing w:val="-3"/>
        </w:rPr>
        <w:t>ensuring </w:t>
      </w:r>
      <w:r>
        <w:rPr/>
        <w:t>the </w:t>
      </w:r>
      <w:r>
        <w:rPr>
          <w:spacing w:val="-3"/>
        </w:rPr>
        <w:t>contract could operate </w:t>
      </w:r>
      <w:r>
        <w:rPr>
          <w:spacing w:val="-4"/>
        </w:rPr>
        <w:t>effectively </w:t>
      </w:r>
      <w:r>
        <w:rPr>
          <w:spacing w:val="-3"/>
        </w:rPr>
        <w:t>within </w:t>
      </w:r>
      <w:r>
        <w:rPr>
          <w:spacing w:val="-5"/>
        </w:rPr>
        <w:t>government’s </w:t>
      </w:r>
      <w:r>
        <w:rPr>
          <w:spacing w:val="-3"/>
        </w:rPr>
        <w:t>existing </w:t>
      </w:r>
      <w:r>
        <w:rPr>
          <w:spacing w:val="-4"/>
        </w:rPr>
        <w:t>procurement </w:t>
      </w:r>
      <w:r>
        <w:rPr>
          <w:spacing w:val="-3"/>
        </w:rPr>
        <w:t>framework, while supporting agencies </w:t>
      </w:r>
      <w:r>
        <w:rPr/>
        <w:t>as </w:t>
      </w:r>
      <w:r>
        <w:rPr>
          <w:spacing w:val="-3"/>
        </w:rPr>
        <w:t>they transition</w:t>
      </w:r>
      <w:r>
        <w:rPr>
          <w:spacing w:val="-11"/>
        </w:rPr>
        <w:t> </w:t>
      </w:r>
      <w:r>
        <w:rPr/>
        <w:t>to</w:t>
      </w:r>
      <w:r>
        <w:rPr>
          <w:spacing w:val="-11"/>
        </w:rPr>
        <w:t> </w:t>
      </w:r>
      <w:r>
        <w:rPr/>
        <w:t>the</w:t>
      </w:r>
      <w:r>
        <w:rPr>
          <w:spacing w:val="-10"/>
        </w:rPr>
        <w:t> </w:t>
      </w:r>
      <w:r>
        <w:rPr/>
        <w:t>new</w:t>
      </w:r>
      <w:r>
        <w:rPr>
          <w:spacing w:val="-11"/>
        </w:rPr>
        <w:t> </w:t>
      </w:r>
      <w:r>
        <w:rPr>
          <w:spacing w:val="-3"/>
        </w:rPr>
        <w:t>contract</w:t>
      </w:r>
      <w:r>
        <w:rPr>
          <w:spacing w:val="-11"/>
        </w:rPr>
        <w:t> </w:t>
      </w:r>
      <w:r>
        <w:rPr>
          <w:spacing w:val="-3"/>
        </w:rPr>
        <w:t>arrangements.</w:t>
      </w:r>
    </w:p>
    <w:p>
      <w:pPr>
        <w:pStyle w:val="BodyText"/>
        <w:spacing w:before="4"/>
        <w:rPr>
          <w:sz w:val="23"/>
        </w:rPr>
      </w:pPr>
    </w:p>
    <w:p>
      <w:pPr>
        <w:pStyle w:val="BodyText"/>
        <w:spacing w:line="249" w:lineRule="auto"/>
        <w:ind w:left="432" w:right="783"/>
      </w:pPr>
      <w:r>
        <w:rPr/>
        <w:t>In </w:t>
      </w:r>
      <w:r>
        <w:rPr>
          <w:spacing w:val="-3"/>
        </w:rPr>
        <w:t>parallel, Government </w:t>
      </w:r>
      <w:r>
        <w:rPr>
          <w:spacing w:val="-4"/>
        </w:rPr>
        <w:t>Procurement </w:t>
      </w:r>
      <w:r>
        <w:rPr>
          <w:spacing w:val="-3"/>
        </w:rPr>
        <w:t>continues to enable agencies </w:t>
      </w:r>
      <w:r>
        <w:rPr>
          <w:spacing w:val="-4"/>
        </w:rPr>
        <w:t>across </w:t>
      </w:r>
      <w:r>
        <w:rPr/>
        <w:t>the </w:t>
      </w:r>
      <w:r>
        <w:rPr>
          <w:spacing w:val="-3"/>
        </w:rPr>
        <w:t>public sector </w:t>
      </w:r>
      <w:r>
        <w:rPr/>
        <w:t>to </w:t>
      </w:r>
      <w:r>
        <w:rPr>
          <w:spacing w:val="-4"/>
        </w:rPr>
        <w:t>realise </w:t>
      </w:r>
      <w:r>
        <w:rPr>
          <w:spacing w:val="-3"/>
        </w:rPr>
        <w:t>value </w:t>
      </w:r>
      <w:r>
        <w:rPr>
          <w:spacing w:val="-4"/>
        </w:rPr>
        <w:t>through </w:t>
      </w:r>
      <w:r>
        <w:rPr/>
        <w:t>its </w:t>
      </w:r>
      <w:r>
        <w:rPr>
          <w:spacing w:val="-3"/>
        </w:rPr>
        <w:t>ongoing management </w:t>
      </w:r>
      <w:r>
        <w:rPr/>
        <w:t>of </w:t>
      </w:r>
      <w:r>
        <w:rPr>
          <w:spacing w:val="-3"/>
        </w:rPr>
        <w:t>39 Common</w:t>
      </w:r>
      <w:r>
        <w:rPr>
          <w:spacing w:val="-30"/>
        </w:rPr>
        <w:t> </w:t>
      </w:r>
      <w:r>
        <w:rPr/>
        <w:t>Use</w:t>
      </w:r>
      <w:r>
        <w:rPr>
          <w:spacing w:val="-29"/>
        </w:rPr>
        <w:t> </w:t>
      </w:r>
      <w:r>
        <w:rPr>
          <w:spacing w:val="-3"/>
        </w:rPr>
        <w:t>Arrangements.</w:t>
      </w:r>
      <w:r>
        <w:rPr>
          <w:spacing w:val="-30"/>
        </w:rPr>
        <w:t> </w:t>
      </w:r>
      <w:r>
        <w:rPr>
          <w:spacing w:val="-3"/>
        </w:rPr>
        <w:t>These</w:t>
      </w:r>
      <w:r>
        <w:rPr>
          <w:spacing w:val="-29"/>
        </w:rPr>
        <w:t> </w:t>
      </w:r>
      <w:r>
        <w:rPr>
          <w:spacing w:val="-3"/>
        </w:rPr>
        <w:t>arrangements </w:t>
      </w:r>
      <w:r>
        <w:rPr>
          <w:spacing w:val="-4"/>
        </w:rPr>
        <w:t>streamline</w:t>
      </w:r>
      <w:r>
        <w:rPr>
          <w:spacing w:val="-26"/>
        </w:rPr>
        <w:t> </w:t>
      </w:r>
      <w:r>
        <w:rPr/>
        <w:t>the</w:t>
      </w:r>
      <w:r>
        <w:rPr>
          <w:spacing w:val="-26"/>
        </w:rPr>
        <w:t> </w:t>
      </w:r>
      <w:r>
        <w:rPr>
          <w:spacing w:val="-3"/>
        </w:rPr>
        <w:t>easy</w:t>
      </w:r>
      <w:r>
        <w:rPr>
          <w:spacing w:val="-25"/>
        </w:rPr>
        <w:t> </w:t>
      </w:r>
      <w:r>
        <w:rPr>
          <w:spacing w:val="-4"/>
        </w:rPr>
        <w:t>purchase</w:t>
      </w:r>
      <w:r>
        <w:rPr>
          <w:spacing w:val="-26"/>
        </w:rPr>
        <w:t> </w:t>
      </w:r>
      <w:r>
        <w:rPr/>
        <w:t>of</w:t>
      </w:r>
      <w:r>
        <w:rPr>
          <w:spacing w:val="-25"/>
        </w:rPr>
        <w:t> </w:t>
      </w:r>
      <w:r>
        <w:rPr>
          <w:spacing w:val="-3"/>
        </w:rPr>
        <w:t>goods</w:t>
      </w:r>
      <w:r>
        <w:rPr>
          <w:spacing w:val="-26"/>
        </w:rPr>
        <w:t> </w:t>
      </w:r>
      <w:r>
        <w:rPr/>
        <w:t>and</w:t>
      </w:r>
      <w:r>
        <w:rPr>
          <w:spacing w:val="-26"/>
        </w:rPr>
        <w:t> </w:t>
      </w:r>
      <w:r>
        <w:rPr>
          <w:spacing w:val="-3"/>
        </w:rPr>
        <w:t>services commonly used within government agencies, </w:t>
      </w:r>
      <w:r>
        <w:rPr>
          <w:spacing w:val="-4"/>
        </w:rPr>
        <w:t>streamlining </w:t>
      </w:r>
      <w:r>
        <w:rPr>
          <w:spacing w:val="-3"/>
        </w:rPr>
        <w:t>public sector </w:t>
      </w:r>
      <w:r>
        <w:rPr>
          <w:spacing w:val="-4"/>
        </w:rPr>
        <w:t>purchasing </w:t>
      </w:r>
      <w:r>
        <w:rPr/>
        <w:t>of </w:t>
      </w:r>
      <w:r>
        <w:rPr>
          <w:spacing w:val="-3"/>
        </w:rPr>
        <w:t>items like fuel,</w:t>
      </w:r>
      <w:r>
        <w:rPr>
          <w:spacing w:val="-16"/>
        </w:rPr>
        <w:t> </w:t>
      </w:r>
      <w:r>
        <w:rPr>
          <w:spacing w:val="-3"/>
        </w:rPr>
        <w:t>courier</w:t>
      </w:r>
      <w:r>
        <w:rPr>
          <w:spacing w:val="-15"/>
        </w:rPr>
        <w:t> </w:t>
      </w:r>
      <w:r>
        <w:rPr>
          <w:spacing w:val="-3"/>
        </w:rPr>
        <w:t>services,</w:t>
      </w:r>
      <w:r>
        <w:rPr>
          <w:spacing w:val="-16"/>
        </w:rPr>
        <w:t> </w:t>
      </w:r>
      <w:r>
        <w:rPr>
          <w:spacing w:val="-3"/>
        </w:rPr>
        <w:t>computers</w:t>
      </w:r>
      <w:r>
        <w:rPr>
          <w:spacing w:val="-15"/>
        </w:rPr>
        <w:t> </w:t>
      </w:r>
      <w:r>
        <w:rPr/>
        <w:t>and</w:t>
      </w:r>
      <w:r>
        <w:rPr>
          <w:spacing w:val="-16"/>
        </w:rPr>
        <w:t> </w:t>
      </w:r>
      <w:r>
        <w:rPr>
          <w:spacing w:val="-5"/>
        </w:rPr>
        <w:t>stationery.</w:t>
      </w:r>
    </w:p>
    <w:p>
      <w:pPr>
        <w:pStyle w:val="BodyText"/>
        <w:spacing w:before="7"/>
        <w:rPr>
          <w:sz w:val="23"/>
        </w:rPr>
      </w:pPr>
    </w:p>
    <w:p>
      <w:pPr>
        <w:pStyle w:val="BodyText"/>
        <w:spacing w:line="249" w:lineRule="auto"/>
        <w:ind w:left="432" w:right="1132"/>
      </w:pPr>
      <w:r>
        <w:rPr/>
        <w:t>This</w:t>
      </w:r>
      <w:r>
        <w:rPr>
          <w:spacing w:val="-24"/>
        </w:rPr>
        <w:t> </w:t>
      </w:r>
      <w:r>
        <w:rPr>
          <w:spacing w:val="-6"/>
        </w:rPr>
        <w:t>year,</w:t>
      </w:r>
      <w:r>
        <w:rPr>
          <w:spacing w:val="-24"/>
        </w:rPr>
        <w:t> </w:t>
      </w:r>
      <w:r>
        <w:rPr>
          <w:spacing w:val="-3"/>
        </w:rPr>
        <w:t>there</w:t>
      </w:r>
      <w:r>
        <w:rPr>
          <w:spacing w:val="-23"/>
        </w:rPr>
        <w:t> </w:t>
      </w:r>
      <w:r>
        <w:rPr/>
        <w:t>has</w:t>
      </w:r>
      <w:r>
        <w:rPr>
          <w:spacing w:val="-24"/>
        </w:rPr>
        <w:t> </w:t>
      </w:r>
      <w:r>
        <w:rPr/>
        <w:t>been</w:t>
      </w:r>
      <w:r>
        <w:rPr>
          <w:spacing w:val="-23"/>
        </w:rPr>
        <w:t> </w:t>
      </w:r>
      <w:r>
        <w:rPr/>
        <w:t>a</w:t>
      </w:r>
      <w:r>
        <w:rPr>
          <w:spacing w:val="-24"/>
        </w:rPr>
        <w:t> </w:t>
      </w:r>
      <w:r>
        <w:rPr/>
        <w:t>shift</w:t>
      </w:r>
      <w:r>
        <w:rPr>
          <w:spacing w:val="-24"/>
        </w:rPr>
        <w:t> </w:t>
      </w:r>
      <w:r>
        <w:rPr/>
        <w:t>in</w:t>
      </w:r>
      <w:r>
        <w:rPr>
          <w:spacing w:val="-23"/>
        </w:rPr>
        <w:t> </w:t>
      </w:r>
      <w:r>
        <w:rPr>
          <w:spacing w:val="-2"/>
        </w:rPr>
        <w:t>Common </w:t>
      </w:r>
      <w:r>
        <w:rPr/>
        <w:t>Use</w:t>
      </w:r>
      <w:r>
        <w:rPr>
          <w:spacing w:val="-35"/>
        </w:rPr>
        <w:t> </w:t>
      </w:r>
      <w:r>
        <w:rPr/>
        <w:t>Arrangements</w:t>
      </w:r>
      <w:r>
        <w:rPr>
          <w:spacing w:val="-35"/>
        </w:rPr>
        <w:t> </w:t>
      </w:r>
      <w:r>
        <w:rPr/>
        <w:t>service</w:t>
      </w:r>
      <w:r>
        <w:rPr>
          <w:spacing w:val="-35"/>
        </w:rPr>
        <w:t> </w:t>
      </w:r>
      <w:r>
        <w:rPr/>
        <w:t>delivery</w:t>
      </w:r>
      <w:r>
        <w:rPr>
          <w:spacing w:val="-35"/>
        </w:rPr>
        <w:t> </w:t>
      </w:r>
      <w:r>
        <w:rPr/>
        <w:t>with</w:t>
      </w:r>
      <w:r>
        <w:rPr>
          <w:spacing w:val="-35"/>
        </w:rPr>
        <w:t> </w:t>
      </w:r>
      <w:r>
        <w:rPr>
          <w:spacing w:val="-2"/>
        </w:rPr>
        <w:t>the </w:t>
      </w:r>
      <w:r>
        <w:rPr/>
        <w:t>implementation</w:t>
      </w:r>
      <w:r>
        <w:rPr>
          <w:spacing w:val="-28"/>
        </w:rPr>
        <w:t> </w:t>
      </w:r>
      <w:r>
        <w:rPr/>
        <w:t>of</w:t>
      </w:r>
      <w:r>
        <w:rPr>
          <w:spacing w:val="-27"/>
        </w:rPr>
        <w:t> </w:t>
      </w:r>
      <w:r>
        <w:rPr/>
        <w:t>category</w:t>
      </w:r>
      <w:r>
        <w:rPr>
          <w:spacing w:val="-27"/>
        </w:rPr>
        <w:t> </w:t>
      </w:r>
      <w:r>
        <w:rPr/>
        <w:t>management,</w:t>
      </w:r>
    </w:p>
    <w:p>
      <w:pPr>
        <w:pStyle w:val="BodyText"/>
        <w:spacing w:line="249" w:lineRule="auto" w:before="3"/>
        <w:ind w:left="432" w:right="763"/>
      </w:pPr>
      <w:r>
        <w:rPr/>
        <w:t>a strategic and </w:t>
      </w:r>
      <w:r>
        <w:rPr>
          <w:spacing w:val="-3"/>
        </w:rPr>
        <w:t>structured approach </w:t>
      </w:r>
      <w:r>
        <w:rPr/>
        <w:t>that </w:t>
      </w:r>
      <w:r>
        <w:rPr>
          <w:spacing w:val="-3"/>
        </w:rPr>
        <w:t>groups </w:t>
      </w:r>
      <w:r>
        <w:rPr/>
        <w:t>together </w:t>
      </w:r>
      <w:r>
        <w:rPr>
          <w:spacing w:val="-3"/>
        </w:rPr>
        <w:t>related </w:t>
      </w:r>
      <w:r>
        <w:rPr/>
        <w:t>goods/services to focus on specific</w:t>
      </w:r>
      <w:r>
        <w:rPr>
          <w:spacing w:val="-37"/>
        </w:rPr>
        <w:t> </w:t>
      </w:r>
      <w:r>
        <w:rPr>
          <w:spacing w:val="-3"/>
        </w:rPr>
        <w:t>areas</w:t>
      </w:r>
      <w:r>
        <w:rPr>
          <w:spacing w:val="-36"/>
        </w:rPr>
        <w:t> </w:t>
      </w:r>
      <w:r>
        <w:rPr/>
        <w:t>of</w:t>
      </w:r>
      <w:r>
        <w:rPr>
          <w:spacing w:val="-36"/>
        </w:rPr>
        <w:t> </w:t>
      </w:r>
      <w:r>
        <w:rPr/>
        <w:t>spend.</w:t>
      </w:r>
      <w:r>
        <w:rPr>
          <w:spacing w:val="-36"/>
        </w:rPr>
        <w:t> </w:t>
      </w:r>
      <w:r>
        <w:rPr>
          <w:spacing w:val="-4"/>
        </w:rPr>
        <w:t>Consequently,</w:t>
      </w:r>
      <w:r>
        <w:rPr>
          <w:spacing w:val="-36"/>
        </w:rPr>
        <w:t> </w:t>
      </w:r>
      <w:r>
        <w:rPr/>
        <w:t>Government </w:t>
      </w:r>
      <w:r>
        <w:rPr>
          <w:spacing w:val="-3"/>
        </w:rPr>
        <w:t>Procurement</w:t>
      </w:r>
      <w:r>
        <w:rPr>
          <w:spacing w:val="-12"/>
        </w:rPr>
        <w:t> </w:t>
      </w:r>
      <w:r>
        <w:rPr/>
        <w:t>has</w:t>
      </w:r>
      <w:r>
        <w:rPr>
          <w:spacing w:val="-12"/>
        </w:rPr>
        <w:t> </w:t>
      </w:r>
      <w:r>
        <w:rPr>
          <w:spacing w:val="-3"/>
        </w:rPr>
        <w:t>structured</w:t>
      </w:r>
      <w:r>
        <w:rPr>
          <w:spacing w:val="-12"/>
        </w:rPr>
        <w:t> </w:t>
      </w:r>
      <w:r>
        <w:rPr/>
        <w:t>its</w:t>
      </w:r>
      <w:r>
        <w:rPr>
          <w:spacing w:val="-11"/>
        </w:rPr>
        <w:t> </w:t>
      </w:r>
      <w:r>
        <w:rPr/>
        <w:t>service</w:t>
      </w:r>
      <w:r>
        <w:rPr>
          <w:spacing w:val="-12"/>
        </w:rPr>
        <w:t> </w:t>
      </w:r>
      <w:r>
        <w:rPr/>
        <w:t>model</w:t>
      </w:r>
    </w:p>
    <w:p>
      <w:pPr>
        <w:pStyle w:val="BodyText"/>
        <w:spacing w:line="249" w:lineRule="auto" w:before="3"/>
        <w:ind w:left="432" w:right="764"/>
      </w:pPr>
      <w:r>
        <w:rPr/>
        <w:t>into seven new categories. The benefits of </w:t>
      </w:r>
      <w:r>
        <w:rPr>
          <w:spacing w:val="-2"/>
        </w:rPr>
        <w:t>the </w:t>
      </w:r>
      <w:r>
        <w:rPr/>
        <w:t>new </w:t>
      </w:r>
      <w:r>
        <w:rPr>
          <w:spacing w:val="-3"/>
        </w:rPr>
        <w:t>structure </w:t>
      </w:r>
      <w:r>
        <w:rPr/>
        <w:t>include closer engagement </w:t>
      </w:r>
      <w:r>
        <w:rPr>
          <w:spacing w:val="-2"/>
        </w:rPr>
        <w:t>and </w:t>
      </w:r>
      <w:r>
        <w:rPr/>
        <w:t>teamwork</w:t>
      </w:r>
      <w:r>
        <w:rPr>
          <w:spacing w:val="-32"/>
        </w:rPr>
        <w:t> </w:t>
      </w:r>
      <w:r>
        <w:rPr/>
        <w:t>with</w:t>
      </w:r>
      <w:r>
        <w:rPr>
          <w:spacing w:val="-32"/>
        </w:rPr>
        <w:t> </w:t>
      </w:r>
      <w:r>
        <w:rPr/>
        <w:t>stakeholders</w:t>
      </w:r>
      <w:r>
        <w:rPr>
          <w:spacing w:val="-31"/>
        </w:rPr>
        <w:t> </w:t>
      </w:r>
      <w:r>
        <w:rPr/>
        <w:t>and</w:t>
      </w:r>
      <w:r>
        <w:rPr>
          <w:spacing w:val="-32"/>
        </w:rPr>
        <w:t> </w:t>
      </w:r>
      <w:r>
        <w:rPr/>
        <w:t>suppliers,</w:t>
      </w:r>
      <w:r>
        <w:rPr>
          <w:spacing w:val="-32"/>
        </w:rPr>
        <w:t> </w:t>
      </w:r>
      <w:r>
        <w:rPr/>
        <w:t>and</w:t>
      </w:r>
      <w:r>
        <w:rPr>
          <w:spacing w:val="-31"/>
        </w:rPr>
        <w:t> </w:t>
      </w:r>
      <w:r>
        <w:rPr/>
        <w:t>an enhanced depth of category specific knowledge and</w:t>
      </w:r>
      <w:r>
        <w:rPr>
          <w:spacing w:val="-24"/>
        </w:rPr>
        <w:t> </w:t>
      </w:r>
      <w:r>
        <w:rPr/>
        <w:t>expertise,</w:t>
      </w:r>
      <w:r>
        <w:rPr>
          <w:spacing w:val="-23"/>
        </w:rPr>
        <w:t> </w:t>
      </w:r>
      <w:r>
        <w:rPr/>
        <w:t>with</w:t>
      </w:r>
      <w:r>
        <w:rPr>
          <w:spacing w:val="-23"/>
        </w:rPr>
        <w:t> </w:t>
      </w:r>
      <w:r>
        <w:rPr/>
        <w:t>an</w:t>
      </w:r>
      <w:r>
        <w:rPr>
          <w:spacing w:val="-24"/>
        </w:rPr>
        <w:t> </w:t>
      </w:r>
      <w:r>
        <w:rPr/>
        <w:t>emphasis</w:t>
      </w:r>
      <w:r>
        <w:rPr>
          <w:spacing w:val="-23"/>
        </w:rPr>
        <w:t> </w:t>
      </w:r>
      <w:r>
        <w:rPr/>
        <w:t>on</w:t>
      </w:r>
      <w:r>
        <w:rPr>
          <w:spacing w:val="-23"/>
        </w:rPr>
        <w:t> </w:t>
      </w:r>
      <w:r>
        <w:rPr/>
        <w:t>planning</w:t>
      </w:r>
      <w:r>
        <w:rPr>
          <w:spacing w:val="-24"/>
        </w:rPr>
        <w:t> </w:t>
      </w:r>
      <w:r>
        <w:rPr>
          <w:spacing w:val="-2"/>
        </w:rPr>
        <w:t>and </w:t>
      </w:r>
      <w:r>
        <w:rPr/>
        <w:t>ongoing use of analytical</w:t>
      </w:r>
      <w:r>
        <w:rPr>
          <w:spacing w:val="-27"/>
        </w:rPr>
        <w:t> </w:t>
      </w:r>
      <w:r>
        <w:rPr>
          <w:spacing w:val="-2"/>
        </w:rPr>
        <w:t>tools.</w:t>
      </w:r>
    </w:p>
    <w:p>
      <w:pPr>
        <w:spacing w:after="0" w:line="249" w:lineRule="auto"/>
        <w:sectPr>
          <w:type w:val="continuous"/>
          <w:pgSz w:w="16840" w:h="11910" w:orient="landscape"/>
          <w:pgMar w:top="0" w:bottom="0" w:left="0" w:right="0"/>
          <w:cols w:num="3" w:equalWidth="0">
            <w:col w:w="5542" w:space="40"/>
            <w:col w:w="5201" w:space="39"/>
            <w:col w:w="6018"/>
          </w:cols>
        </w:sectPr>
      </w:pPr>
    </w:p>
    <w:p>
      <w:pPr>
        <w:pStyle w:val="BodyText"/>
        <w:spacing w:before="8"/>
        <w:rPr>
          <w:sz w:val="17"/>
        </w:rPr>
      </w:pPr>
    </w:p>
    <w:p>
      <w:pPr>
        <w:spacing w:before="1"/>
        <w:ind w:left="765" w:right="0" w:firstLine="0"/>
        <w:jc w:val="left"/>
        <w:rPr>
          <w:sz w:val="16"/>
        </w:rPr>
      </w:pPr>
      <w:r>
        <w:rPr>
          <w:color w:val="939598"/>
          <w:position w:val="4"/>
          <w:sz w:val="10"/>
        </w:rPr>
        <w:t>4 </w:t>
      </w:r>
      <w:r>
        <w:rPr>
          <w:color w:val="939598"/>
          <w:sz w:val="16"/>
        </w:rPr>
        <w:t>Ministerial Media Statement, 14 July 2016 ‘</w:t>
      </w:r>
      <w:hyperlink r:id="rId104">
        <w:r>
          <w:rPr>
            <w:color w:val="A7BE39"/>
            <w:sz w:val="16"/>
            <w:u w:val="single" w:color="A7BE39"/>
          </w:rPr>
          <w:t>New public sector offices for Joondalup</w:t>
        </w:r>
      </w:hyperlink>
      <w:r>
        <w:rPr>
          <w:color w:val="939598"/>
          <w:sz w:val="16"/>
        </w:rPr>
        <w:t>’</w:t>
      </w:r>
    </w:p>
    <w:p>
      <w:pPr>
        <w:spacing w:before="8"/>
        <w:ind w:left="765" w:right="0" w:firstLine="0"/>
        <w:jc w:val="left"/>
        <w:rPr>
          <w:sz w:val="16"/>
        </w:rPr>
      </w:pPr>
      <w:r>
        <w:rPr>
          <w:color w:val="939598"/>
          <w:position w:val="4"/>
          <w:sz w:val="10"/>
        </w:rPr>
        <w:t>5 </w:t>
      </w:r>
      <w:r>
        <w:rPr>
          <w:color w:val="939598"/>
          <w:sz w:val="16"/>
        </w:rPr>
        <w:t>Ministerial Media Statement, 10 November 2016 ‘</w:t>
      </w:r>
      <w:hyperlink r:id="rId105">
        <w:r>
          <w:rPr>
            <w:color w:val="A7BE39"/>
            <w:sz w:val="16"/>
            <w:u w:val="single" w:color="A7BE39"/>
          </w:rPr>
          <w:t>New public sector offices for Fremantle</w:t>
        </w:r>
      </w:hyperlink>
      <w:r>
        <w:rPr>
          <w:color w:val="939598"/>
          <w:sz w:val="16"/>
        </w:rPr>
        <w:t>’</w:t>
      </w:r>
    </w:p>
    <w:p>
      <w:pPr>
        <w:spacing w:before="8"/>
        <w:ind w:left="765" w:right="0" w:firstLine="0"/>
        <w:jc w:val="left"/>
        <w:rPr>
          <w:sz w:val="16"/>
        </w:rPr>
      </w:pPr>
      <w:r>
        <w:rPr>
          <w:color w:val="939598"/>
          <w:position w:val="4"/>
          <w:sz w:val="10"/>
        </w:rPr>
        <w:t>6 </w:t>
      </w:r>
      <w:r>
        <w:rPr>
          <w:color w:val="939598"/>
          <w:sz w:val="16"/>
        </w:rPr>
        <w:t>Ministerial Media Statement, 20 January 2017 ‘</w:t>
      </w:r>
      <w:hyperlink r:id="rId106">
        <w:r>
          <w:rPr>
            <w:color w:val="A7BE39"/>
            <w:sz w:val="16"/>
            <w:u w:val="single" w:color="A7BE39"/>
          </w:rPr>
          <w:t>Government ICT contracts to deliver savings</w:t>
        </w:r>
      </w:hyperlink>
      <w:r>
        <w:rPr>
          <w:color w:val="939598"/>
          <w:sz w:val="16"/>
        </w:rPr>
        <w:t>’</w:t>
      </w:r>
    </w:p>
    <w:p>
      <w:pPr>
        <w:spacing w:after="0"/>
        <w:jc w:val="left"/>
        <w:rPr>
          <w:sz w:val="16"/>
        </w:rPr>
        <w:sectPr>
          <w:type w:val="continuous"/>
          <w:pgSz w:w="16840" w:h="11910" w:orient="landscape"/>
          <w:pgMar w:top="0" w:bottom="0" w:left="0" w:right="0"/>
        </w:sectPr>
      </w:pPr>
    </w:p>
    <w:p>
      <w:pPr>
        <w:tabs>
          <w:tab w:pos="9621" w:val="left" w:leader="none"/>
          <w:tab w:pos="14432" w:val="left" w:leader="none"/>
        </w:tabs>
        <w:spacing w:line="240" w:lineRule="auto"/>
        <w:ind w:left="2405" w:right="-44" w:firstLine="0"/>
        <w:rPr>
          <w:sz w:val="20"/>
        </w:rPr>
      </w:pPr>
      <w:bookmarkStart w:name="_bookmark9" w:id="10"/>
      <w:bookmarkEnd w:id="10"/>
      <w:r>
        <w:rPr/>
      </w:r>
      <w:r>
        <w:rPr>
          <w:sz w:val="20"/>
        </w:rPr>
        <w:pict>
          <v:shape style="width:120.3pt;height:42.55pt;mso-position-horizontal-relative:char;mso-position-vertical-relative:line" type="#_x0000_t202" filled="true" fillcolor="#b6c247" stroked="false">
            <w10:anchorlock/>
            <v:textbox inset="0,0,0,0">
              <w:txbxContent>
                <w:p>
                  <w:pPr>
                    <w:pStyle w:val="BodyText"/>
                    <w:spacing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shape>
        </w:pict>
      </w:r>
      <w:r>
        <w:rPr>
          <w:sz w:val="20"/>
        </w:rPr>
      </w:r>
    </w:p>
    <w:p>
      <w:pPr>
        <w:pStyle w:val="BodyText"/>
        <w:rPr>
          <w:sz w:val="20"/>
        </w:rPr>
      </w:pPr>
    </w:p>
    <w:p>
      <w:pPr>
        <w:spacing w:after="0"/>
        <w:rPr>
          <w:sz w:val="20"/>
        </w:rPr>
        <w:sectPr>
          <w:footerReference w:type="default" r:id="rId107"/>
          <w:pgSz w:w="16840" w:h="11910" w:orient="landscape"/>
          <w:pgMar w:footer="0" w:header="0" w:top="0" w:bottom="280" w:left="0" w:right="0"/>
        </w:sectPr>
      </w:pPr>
    </w:p>
    <w:p>
      <w:pPr>
        <w:pStyle w:val="BodyText"/>
        <w:spacing w:before="7"/>
        <w:rPr>
          <w:sz w:val="76"/>
        </w:rPr>
      </w:pPr>
    </w:p>
    <w:p>
      <w:pPr>
        <w:spacing w:before="0"/>
        <w:ind w:left="1162" w:right="0" w:firstLine="0"/>
        <w:jc w:val="left"/>
        <w:rPr>
          <w:b/>
          <w:sz w:val="52"/>
        </w:rPr>
      </w:pPr>
      <w:r>
        <w:rPr>
          <w:b/>
          <w:color w:val="6F2770"/>
          <w:sz w:val="52"/>
        </w:rPr>
        <w:t>90-Day Regulatory Mapping and Reform Project</w:t>
      </w:r>
      <w:r>
        <w:rPr>
          <w:b/>
          <w:color w:val="6F2770"/>
          <w:spacing w:val="60"/>
          <w:sz w:val="52"/>
        </w:rPr>
        <w:t> </w:t>
      </w:r>
      <w:r>
        <w:rPr>
          <w:b/>
          <w:color w:val="6F2770"/>
          <w:sz w:val="52"/>
        </w:rPr>
        <w:t>–</w:t>
      </w:r>
    </w:p>
    <w:p>
      <w:pPr>
        <w:spacing w:before="56"/>
        <w:ind w:left="1162" w:right="0" w:firstLine="0"/>
        <w:jc w:val="left"/>
        <w:rPr>
          <w:b/>
          <w:sz w:val="42"/>
        </w:rPr>
      </w:pPr>
      <w:r>
        <w:rPr>
          <w:b/>
          <w:color w:val="6F2770"/>
          <w:sz w:val="42"/>
        </w:rPr>
        <w:t>Making it easier for the business of aquaculture in WA</w:t>
      </w:r>
    </w:p>
    <w:p>
      <w:pPr>
        <w:pStyle w:val="BodyText"/>
        <w:spacing w:before="1"/>
        <w:rPr>
          <w:b/>
          <w:sz w:val="23"/>
        </w:rPr>
      </w:pPr>
      <w:r>
        <w:rPr/>
        <w:br w:type="column"/>
      </w:r>
      <w:r>
        <w:rPr>
          <w:b/>
          <w:sz w:val="23"/>
        </w:rPr>
      </w:r>
    </w:p>
    <w:p>
      <w:pPr>
        <w:spacing w:line="208" w:lineRule="auto" w:before="0"/>
        <w:ind w:left="1298" w:right="660" w:hanging="137"/>
        <w:jc w:val="left"/>
        <w:rPr>
          <w:sz w:val="16"/>
        </w:rPr>
      </w:pPr>
      <w:r>
        <w:rPr/>
        <w:pict>
          <v:shape style="position:absolute;margin-left:601.348999pt;margin-top:-68.580612pt;width:120.3pt;height:42.55pt;mso-position-horizontal-relative:page;mso-position-vertical-relative:paragraph;z-index:5440"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360.811798pt;margin-top:-68.580612pt;width:120.3pt;height:42.55pt;mso-position-horizontal-relative:page;mso-position-vertical-relative:paragraph;z-index:5464"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pict>
          <v:shape style="position:absolute;margin-left:240.541pt;margin-top:-68.580612pt;width:120.3pt;height:42.55pt;mso-position-horizontal-relative:page;mso-position-vertical-relative:paragraph;z-index:5488"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w:pict>
      </w:r>
      <w:r>
        <w:rPr/>
        <w:pict>
          <v:shape style="position:absolute;margin-left:0pt;margin-top:-68.580612pt;width:120.3pt;height:42.55pt;mso-position-horizontal-relative:page;mso-position-vertical-relative:paragraph;z-index:5512" type="#_x0000_t202" filled="true" fillcolor="#aebd37" stroked="false">
            <v:textbox inset="0,0,0,0">
              <w:txbxContent>
                <w:p>
                  <w:pPr>
                    <w:pStyle w:val="BodyText"/>
                    <w:spacing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pict>
      </w:r>
      <w:r>
        <w:rPr>
          <w:color w:val="FFFFFF"/>
          <w:w w:val="95"/>
          <w:sz w:val="16"/>
        </w:rPr>
        <w:t>previous </w:t>
      </w:r>
      <w:r>
        <w:rPr>
          <w:color w:val="FFFFFF"/>
          <w:sz w:val="16"/>
        </w:rPr>
        <w:t>view</w:t>
      </w:r>
    </w:p>
    <w:p>
      <w:pPr>
        <w:spacing w:after="0" w:line="208" w:lineRule="auto"/>
        <w:jc w:val="left"/>
        <w:rPr>
          <w:sz w:val="16"/>
        </w:rPr>
        <w:sectPr>
          <w:type w:val="continuous"/>
          <w:pgSz w:w="16840" w:h="11910" w:orient="landscape"/>
          <w:pgMar w:top="0" w:bottom="0" w:left="0" w:right="0"/>
          <w:cols w:num="2" w:equalWidth="0">
            <w:col w:w="13490" w:space="934"/>
            <w:col w:w="2416"/>
          </w:cols>
        </w:sectPr>
      </w:pPr>
    </w:p>
    <w:p>
      <w:pPr>
        <w:pStyle w:val="BodyText"/>
        <w:spacing w:before="5"/>
        <w:rPr>
          <w:sz w:val="15"/>
        </w:rPr>
      </w:pPr>
    </w:p>
    <w:p>
      <w:pPr>
        <w:spacing w:after="0"/>
        <w:rPr>
          <w:sz w:val="15"/>
        </w:rPr>
        <w:sectPr>
          <w:type w:val="continuous"/>
          <w:pgSz w:w="16840" w:h="11910" w:orient="landscape"/>
          <w:pgMar w:top="0" w:bottom="0" w:left="0" w:right="0"/>
        </w:sectPr>
      </w:pPr>
    </w:p>
    <w:p>
      <w:pPr>
        <w:pStyle w:val="BodyText"/>
        <w:spacing w:line="249" w:lineRule="auto" w:before="108"/>
        <w:ind w:left="1162" w:right="218"/>
      </w:pPr>
      <w:r>
        <w:rPr>
          <w:b/>
        </w:rPr>
        <w:t>Economic Reform </w:t>
      </w:r>
      <w:r>
        <w:rPr/>
        <w:t>has been undertaking a series</w:t>
      </w:r>
      <w:r>
        <w:rPr>
          <w:spacing w:val="-23"/>
        </w:rPr>
        <w:t> </w:t>
      </w:r>
      <w:r>
        <w:rPr/>
        <w:t>of</w:t>
      </w:r>
      <w:r>
        <w:rPr>
          <w:spacing w:val="-23"/>
        </w:rPr>
        <w:t> </w:t>
      </w:r>
      <w:r>
        <w:rPr/>
        <w:t>90-Day</w:t>
      </w:r>
      <w:r>
        <w:rPr>
          <w:spacing w:val="-23"/>
        </w:rPr>
        <w:t> </w:t>
      </w:r>
      <w:r>
        <w:rPr/>
        <w:t>regulatory</w:t>
      </w:r>
      <w:r>
        <w:rPr>
          <w:spacing w:val="-22"/>
        </w:rPr>
        <w:t> </w:t>
      </w:r>
      <w:r>
        <w:rPr/>
        <w:t>mapping</w:t>
      </w:r>
      <w:r>
        <w:rPr>
          <w:spacing w:val="-23"/>
        </w:rPr>
        <w:t> </w:t>
      </w:r>
      <w:r>
        <w:rPr>
          <w:spacing w:val="-3"/>
        </w:rPr>
        <w:t>projects, </w:t>
      </w:r>
      <w:r>
        <w:rPr/>
        <w:t>with each project focussing on identifying and reducing red tape in a specific sector or </w:t>
      </w:r>
      <w:r>
        <w:rPr>
          <w:spacing w:val="-3"/>
        </w:rPr>
        <w:t>industry. </w:t>
      </w:r>
      <w:r>
        <w:rPr/>
        <w:t>In October 2016, the first 90-Day Regulatory</w:t>
      </w:r>
      <w:r>
        <w:rPr>
          <w:spacing w:val="-20"/>
        </w:rPr>
        <w:t> </w:t>
      </w:r>
      <w:r>
        <w:rPr/>
        <w:t>Mapping</w:t>
      </w:r>
      <w:r>
        <w:rPr>
          <w:spacing w:val="-19"/>
        </w:rPr>
        <w:t> </w:t>
      </w:r>
      <w:r>
        <w:rPr/>
        <w:t>and</w:t>
      </w:r>
      <w:r>
        <w:rPr>
          <w:spacing w:val="-19"/>
        </w:rPr>
        <w:t> </w:t>
      </w:r>
      <w:r>
        <w:rPr/>
        <w:t>Reform</w:t>
      </w:r>
      <w:r>
        <w:rPr>
          <w:spacing w:val="-19"/>
        </w:rPr>
        <w:t> </w:t>
      </w:r>
      <w:r>
        <w:rPr/>
        <w:t>project</w:t>
      </w:r>
      <w:r>
        <w:rPr>
          <w:spacing w:val="-19"/>
        </w:rPr>
        <w:t> </w:t>
      </w:r>
      <w:r>
        <w:rPr/>
        <w:t>was</w:t>
      </w:r>
    </w:p>
    <w:p>
      <w:pPr>
        <w:pStyle w:val="BodyText"/>
        <w:spacing w:line="249" w:lineRule="auto" w:before="5"/>
        <w:ind w:left="1162" w:right="-5"/>
      </w:pPr>
      <w:r>
        <w:rPr/>
        <w:t>completed</w:t>
      </w:r>
      <w:r>
        <w:rPr>
          <w:spacing w:val="-17"/>
        </w:rPr>
        <w:t> </w:t>
      </w:r>
      <w:r>
        <w:rPr/>
        <w:t>–</w:t>
      </w:r>
      <w:r>
        <w:rPr>
          <w:spacing w:val="-17"/>
        </w:rPr>
        <w:t> </w:t>
      </w:r>
      <w:r>
        <w:rPr/>
        <w:t>identifying</w:t>
      </w:r>
      <w:r>
        <w:rPr>
          <w:spacing w:val="-17"/>
        </w:rPr>
        <w:t> </w:t>
      </w:r>
      <w:r>
        <w:rPr/>
        <w:t>ways</w:t>
      </w:r>
      <w:r>
        <w:rPr>
          <w:spacing w:val="-17"/>
        </w:rPr>
        <w:t> </w:t>
      </w:r>
      <w:r>
        <w:rPr/>
        <w:t>to</w:t>
      </w:r>
      <w:r>
        <w:rPr>
          <w:spacing w:val="-17"/>
        </w:rPr>
        <w:t> </w:t>
      </w:r>
      <w:r>
        <w:rPr/>
        <w:t>reduce</w:t>
      </w:r>
      <w:r>
        <w:rPr>
          <w:spacing w:val="-17"/>
        </w:rPr>
        <w:t> </w:t>
      </w:r>
      <w:r>
        <w:rPr/>
        <w:t>red</w:t>
      </w:r>
      <w:r>
        <w:rPr>
          <w:spacing w:val="-17"/>
        </w:rPr>
        <w:t> </w:t>
      </w:r>
      <w:r>
        <w:rPr>
          <w:spacing w:val="-5"/>
        </w:rPr>
        <w:t>tape </w:t>
      </w:r>
      <w:r>
        <w:rPr/>
        <w:t>and improve regulatory interactions between government and the aquaculture</w:t>
      </w:r>
      <w:r>
        <w:rPr>
          <w:spacing w:val="-31"/>
        </w:rPr>
        <w:t> </w:t>
      </w:r>
      <w:r>
        <w:rPr>
          <w:spacing w:val="-3"/>
        </w:rPr>
        <w:t>industry.</w:t>
      </w:r>
    </w:p>
    <w:p>
      <w:pPr>
        <w:pStyle w:val="BodyText"/>
        <w:spacing w:before="2"/>
        <w:rPr>
          <w:sz w:val="23"/>
        </w:rPr>
      </w:pPr>
    </w:p>
    <w:p>
      <w:pPr>
        <w:pStyle w:val="BodyText"/>
        <w:spacing w:line="249" w:lineRule="auto" w:before="1"/>
        <w:ind w:left="1162" w:right="96"/>
      </w:pPr>
      <w:r>
        <w:rPr/>
        <w:t>This project was completed in collaboration with the Department of Fisheries and other government</w:t>
      </w:r>
      <w:r>
        <w:rPr>
          <w:spacing w:val="-21"/>
        </w:rPr>
        <w:t> </w:t>
      </w:r>
      <w:r>
        <w:rPr/>
        <w:t>agencies</w:t>
      </w:r>
      <w:r>
        <w:rPr>
          <w:spacing w:val="-21"/>
        </w:rPr>
        <w:t> </w:t>
      </w:r>
      <w:r>
        <w:rPr/>
        <w:t>as</w:t>
      </w:r>
      <w:r>
        <w:rPr>
          <w:spacing w:val="-21"/>
        </w:rPr>
        <w:t> </w:t>
      </w:r>
      <w:r>
        <w:rPr/>
        <w:t>well</w:t>
      </w:r>
      <w:r>
        <w:rPr>
          <w:spacing w:val="-20"/>
        </w:rPr>
        <w:t> </w:t>
      </w:r>
      <w:r>
        <w:rPr/>
        <w:t>as</w:t>
      </w:r>
      <w:r>
        <w:rPr>
          <w:spacing w:val="-21"/>
        </w:rPr>
        <w:t> </w:t>
      </w:r>
      <w:r>
        <w:rPr/>
        <w:t>stakeholders representing</w:t>
      </w:r>
      <w:r>
        <w:rPr>
          <w:spacing w:val="-25"/>
        </w:rPr>
        <w:t> </w:t>
      </w:r>
      <w:r>
        <w:rPr/>
        <w:t>producers,</w:t>
      </w:r>
      <w:r>
        <w:rPr>
          <w:spacing w:val="-25"/>
        </w:rPr>
        <w:t> </w:t>
      </w:r>
      <w:r>
        <w:rPr/>
        <w:t>industry</w:t>
      </w:r>
      <w:r>
        <w:rPr>
          <w:spacing w:val="-24"/>
        </w:rPr>
        <w:t> </w:t>
      </w:r>
      <w:r>
        <w:rPr/>
        <w:t>bodies,</w:t>
      </w:r>
      <w:r>
        <w:rPr>
          <w:spacing w:val="-25"/>
        </w:rPr>
        <w:t> </w:t>
      </w:r>
      <w:r>
        <w:rPr>
          <w:spacing w:val="-3"/>
        </w:rPr>
        <w:t>ports, </w:t>
      </w:r>
      <w:r>
        <w:rPr/>
        <w:t>regional development commissions, industry consultants, community groups and research agencies. Industry participants identified regulatory impediments in licence application and approvals processes, environment compliance</w:t>
      </w:r>
      <w:r>
        <w:rPr>
          <w:spacing w:val="-19"/>
        </w:rPr>
        <w:t> </w:t>
      </w:r>
      <w:r>
        <w:rPr/>
        <w:t>and</w:t>
      </w:r>
      <w:r>
        <w:rPr>
          <w:spacing w:val="-19"/>
        </w:rPr>
        <w:t> </w:t>
      </w:r>
      <w:r>
        <w:rPr/>
        <w:t>monitoring,</w:t>
      </w:r>
      <w:r>
        <w:rPr>
          <w:spacing w:val="-18"/>
        </w:rPr>
        <w:t> </w:t>
      </w:r>
      <w:r>
        <w:rPr/>
        <w:t>periodic</w:t>
      </w:r>
      <w:r>
        <w:rPr>
          <w:spacing w:val="-19"/>
        </w:rPr>
        <w:t> </w:t>
      </w:r>
      <w:r>
        <w:rPr/>
        <w:t>reporting requirements, and in some cases tenure </w:t>
      </w:r>
      <w:r>
        <w:rPr>
          <w:spacing w:val="-3"/>
        </w:rPr>
        <w:t>security, </w:t>
      </w:r>
      <w:r>
        <w:rPr/>
        <w:t>which discourages investment and innovation through delays, added cost and uncertainty.</w:t>
      </w:r>
    </w:p>
    <w:p>
      <w:pPr>
        <w:pStyle w:val="BodyText"/>
        <w:spacing w:line="249" w:lineRule="auto" w:before="108"/>
        <w:ind w:left="272" w:right="290"/>
      </w:pPr>
      <w:r>
        <w:rPr/>
        <w:br w:type="column"/>
      </w:r>
      <w:r>
        <w:rPr/>
        <w:t>The </w:t>
      </w:r>
      <w:r>
        <w:rPr>
          <w:spacing w:val="-4"/>
        </w:rPr>
        <w:t>project’s </w:t>
      </w:r>
      <w:r>
        <w:rPr/>
        <w:t>recommendations aim to provide</w:t>
      </w:r>
      <w:r>
        <w:rPr>
          <w:spacing w:val="-26"/>
        </w:rPr>
        <w:t> </w:t>
      </w:r>
      <w:r>
        <w:rPr/>
        <w:t>for</w:t>
      </w:r>
      <w:r>
        <w:rPr>
          <w:spacing w:val="-25"/>
        </w:rPr>
        <w:t> </w:t>
      </w:r>
      <w:r>
        <w:rPr/>
        <w:t>a</w:t>
      </w:r>
      <w:r>
        <w:rPr>
          <w:spacing w:val="-25"/>
        </w:rPr>
        <w:t> </w:t>
      </w:r>
      <w:r>
        <w:rPr>
          <w:spacing w:val="-4"/>
        </w:rPr>
        <w:t>clearer,</w:t>
      </w:r>
      <w:r>
        <w:rPr>
          <w:spacing w:val="-25"/>
        </w:rPr>
        <w:t> </w:t>
      </w:r>
      <w:r>
        <w:rPr/>
        <w:t>more</w:t>
      </w:r>
      <w:r>
        <w:rPr>
          <w:spacing w:val="-25"/>
        </w:rPr>
        <w:t> </w:t>
      </w:r>
      <w:r>
        <w:rPr/>
        <w:t>efficient</w:t>
      </w:r>
      <w:r>
        <w:rPr>
          <w:spacing w:val="-25"/>
        </w:rPr>
        <w:t> </w:t>
      </w:r>
      <w:r>
        <w:rPr>
          <w:spacing w:val="-3"/>
        </w:rPr>
        <w:t>regulatory </w:t>
      </w:r>
      <w:r>
        <w:rPr/>
        <w:t>framework to support future</w:t>
      </w:r>
      <w:r>
        <w:rPr>
          <w:spacing w:val="-30"/>
        </w:rPr>
        <w:t> </w:t>
      </w:r>
      <w:r>
        <w:rPr/>
        <w:t>investment.</w:t>
      </w:r>
    </w:p>
    <w:p>
      <w:pPr>
        <w:pStyle w:val="BodyText"/>
        <w:spacing w:line="249" w:lineRule="auto" w:before="3"/>
        <w:ind w:left="272"/>
      </w:pPr>
      <w:r>
        <w:rPr/>
        <w:t>Some</w:t>
      </w:r>
      <w:r>
        <w:rPr>
          <w:spacing w:val="-21"/>
        </w:rPr>
        <w:t> </w:t>
      </w:r>
      <w:r>
        <w:rPr/>
        <w:t>of</w:t>
      </w:r>
      <w:r>
        <w:rPr>
          <w:spacing w:val="-21"/>
        </w:rPr>
        <w:t> </w:t>
      </w:r>
      <w:r>
        <w:rPr/>
        <w:t>the</w:t>
      </w:r>
      <w:r>
        <w:rPr>
          <w:spacing w:val="-21"/>
        </w:rPr>
        <w:t> </w:t>
      </w:r>
      <w:r>
        <w:rPr/>
        <w:t>recommendations</w:t>
      </w:r>
      <w:r>
        <w:rPr>
          <w:spacing w:val="-21"/>
        </w:rPr>
        <w:t> </w:t>
      </w:r>
      <w:r>
        <w:rPr/>
        <w:t>include</w:t>
      </w:r>
      <w:r>
        <w:rPr>
          <w:spacing w:val="-21"/>
        </w:rPr>
        <w:t> </w:t>
      </w:r>
      <w:r>
        <w:rPr>
          <w:spacing w:val="-4"/>
        </w:rPr>
        <w:t>reducing </w:t>
      </w:r>
      <w:r>
        <w:rPr/>
        <w:t>marine-based licence application times</w:t>
      </w:r>
      <w:r>
        <w:rPr>
          <w:spacing w:val="-35"/>
        </w:rPr>
        <w:t> </w:t>
      </w:r>
      <w:r>
        <w:rPr/>
        <w:t>by</w:t>
      </w:r>
    </w:p>
    <w:p>
      <w:pPr>
        <w:pStyle w:val="BodyText"/>
        <w:spacing w:before="1"/>
        <w:ind w:left="272"/>
      </w:pPr>
      <w:r>
        <w:rPr/>
        <w:t>one-third (an initiative that has already been</w:t>
      </w:r>
    </w:p>
    <w:p>
      <w:pPr>
        <w:pStyle w:val="BodyText"/>
        <w:spacing w:line="249" w:lineRule="auto" w:before="108"/>
        <w:ind w:left="468" w:right="1474"/>
        <w:jc w:val="both"/>
      </w:pPr>
      <w:r>
        <w:rPr/>
        <w:br w:type="column"/>
      </w:r>
      <w:r>
        <w:rPr/>
        <w:t>implemented</w:t>
      </w:r>
      <w:r>
        <w:rPr>
          <w:spacing w:val="-32"/>
        </w:rPr>
        <w:t> </w:t>
      </w:r>
      <w:r>
        <w:rPr/>
        <w:t>by</w:t>
      </w:r>
      <w:r>
        <w:rPr>
          <w:spacing w:val="-31"/>
        </w:rPr>
        <w:t> </w:t>
      </w:r>
      <w:r>
        <w:rPr/>
        <w:t>the</w:t>
      </w:r>
      <w:r>
        <w:rPr>
          <w:spacing w:val="-32"/>
        </w:rPr>
        <w:t> </w:t>
      </w:r>
      <w:r>
        <w:rPr/>
        <w:t>Department</w:t>
      </w:r>
      <w:r>
        <w:rPr>
          <w:spacing w:val="-31"/>
        </w:rPr>
        <w:t> </w:t>
      </w:r>
      <w:r>
        <w:rPr/>
        <w:t>of</w:t>
      </w:r>
      <w:r>
        <w:rPr>
          <w:spacing w:val="-32"/>
        </w:rPr>
        <w:t> </w:t>
      </w:r>
      <w:r>
        <w:rPr/>
        <w:t>Fisheries), reducing</w:t>
      </w:r>
      <w:r>
        <w:rPr>
          <w:spacing w:val="-21"/>
        </w:rPr>
        <w:t> </w:t>
      </w:r>
      <w:r>
        <w:rPr/>
        <w:t>the</w:t>
      </w:r>
      <w:r>
        <w:rPr>
          <w:spacing w:val="-21"/>
        </w:rPr>
        <w:t> </w:t>
      </w:r>
      <w:r>
        <w:rPr/>
        <w:t>reporting</w:t>
      </w:r>
      <w:r>
        <w:rPr>
          <w:spacing w:val="-21"/>
        </w:rPr>
        <w:t> </w:t>
      </w:r>
      <w:r>
        <w:rPr/>
        <w:t>burden</w:t>
      </w:r>
      <w:r>
        <w:rPr>
          <w:spacing w:val="-21"/>
        </w:rPr>
        <w:t> </w:t>
      </w:r>
      <w:r>
        <w:rPr/>
        <w:t>and</w:t>
      </w:r>
      <w:r>
        <w:rPr>
          <w:spacing w:val="-21"/>
        </w:rPr>
        <w:t> </w:t>
      </w:r>
      <w:r>
        <w:rPr/>
        <w:t>supporting investment certainty through</w:t>
      </w:r>
      <w:r>
        <w:rPr>
          <w:spacing w:val="-23"/>
        </w:rPr>
        <w:t> </w:t>
      </w:r>
      <w:r>
        <w:rPr/>
        <w:t>improved</w:t>
      </w:r>
    </w:p>
    <w:p>
      <w:pPr>
        <w:pStyle w:val="BodyText"/>
        <w:spacing w:line="249" w:lineRule="auto" w:before="3"/>
        <w:ind w:left="468" w:right="1333"/>
      </w:pPr>
      <w:r>
        <w:rPr/>
        <w:t>tenure arrangements, improved guidance on environmental</w:t>
      </w:r>
      <w:r>
        <w:rPr>
          <w:spacing w:val="-20"/>
        </w:rPr>
        <w:t> </w:t>
      </w:r>
      <w:r>
        <w:rPr/>
        <w:t>factors</w:t>
      </w:r>
      <w:r>
        <w:rPr>
          <w:spacing w:val="-20"/>
        </w:rPr>
        <w:t> </w:t>
      </w:r>
      <w:r>
        <w:rPr/>
        <w:t>and</w:t>
      </w:r>
      <w:r>
        <w:rPr>
          <w:spacing w:val="-20"/>
        </w:rPr>
        <w:t> </w:t>
      </w:r>
      <w:r>
        <w:rPr/>
        <w:t>longer</w:t>
      </w:r>
      <w:r>
        <w:rPr>
          <w:spacing w:val="-20"/>
        </w:rPr>
        <w:t> </w:t>
      </w:r>
      <w:r>
        <w:rPr/>
        <w:t>term</w:t>
      </w:r>
      <w:r>
        <w:rPr>
          <w:spacing w:val="-20"/>
        </w:rPr>
        <w:t> </w:t>
      </w:r>
      <w:r>
        <w:rPr/>
        <w:t>licence options.</w:t>
      </w:r>
      <w:r>
        <w:rPr>
          <w:spacing w:val="-18"/>
        </w:rPr>
        <w:t> </w:t>
      </w:r>
      <w:r>
        <w:rPr/>
        <w:t>The</w:t>
      </w:r>
      <w:r>
        <w:rPr>
          <w:spacing w:val="-17"/>
        </w:rPr>
        <w:t> </w:t>
      </w:r>
      <w:r>
        <w:rPr/>
        <w:t>final</w:t>
      </w:r>
      <w:r>
        <w:rPr>
          <w:spacing w:val="-18"/>
        </w:rPr>
        <w:t> </w:t>
      </w:r>
      <w:r>
        <w:rPr/>
        <w:t>report</w:t>
      </w:r>
      <w:r>
        <w:rPr>
          <w:spacing w:val="-17"/>
        </w:rPr>
        <w:t> </w:t>
      </w:r>
      <w:r>
        <w:rPr/>
        <w:t>can</w:t>
      </w:r>
      <w:r>
        <w:rPr>
          <w:spacing w:val="-18"/>
        </w:rPr>
        <w:t> </w:t>
      </w:r>
      <w:r>
        <w:rPr/>
        <w:t>be</w:t>
      </w:r>
      <w:r>
        <w:rPr>
          <w:spacing w:val="-17"/>
        </w:rPr>
        <w:t> </w:t>
      </w:r>
      <w:r>
        <w:rPr/>
        <w:t>accessed</w:t>
      </w:r>
      <w:r>
        <w:rPr>
          <w:spacing w:val="-18"/>
        </w:rPr>
        <w:t> </w:t>
      </w:r>
      <w:hyperlink r:id="rId108">
        <w:r>
          <w:rPr>
            <w:color w:val="A7BE39"/>
            <w:spacing w:val="-6"/>
            <w:u w:val="single" w:color="A7BE39"/>
          </w:rPr>
          <w:t>here</w:t>
        </w:r>
      </w:hyperlink>
      <w:r>
        <w:rPr>
          <w:spacing w:val="-6"/>
        </w:rPr>
        <w:t>.</w:t>
      </w:r>
    </w:p>
    <w:p>
      <w:pPr>
        <w:spacing w:after="0" w:line="249" w:lineRule="auto"/>
        <w:sectPr>
          <w:type w:val="continuous"/>
          <w:pgSz w:w="16840" w:h="11910" w:orient="landscape"/>
          <w:pgMar w:top="0" w:bottom="0" w:left="0" w:right="0"/>
          <w:cols w:num="3" w:equalWidth="0">
            <w:col w:w="5698" w:space="40"/>
            <w:col w:w="4808" w:space="39"/>
            <w:col w:w="6255"/>
          </w:cols>
        </w:sectPr>
      </w:pPr>
    </w:p>
    <w:p>
      <w:pPr>
        <w:pStyle w:val="BodyText"/>
        <w:rPr>
          <w:sz w:val="20"/>
        </w:rPr>
      </w:pPr>
      <w:r>
        <w:rPr/>
        <w:pict>
          <v:group style="position:absolute;margin-left:38.268002pt;margin-top:.000001pt;width:803.65pt;height:595.3pt;mso-position-horizontal-relative:page;mso-position-vertical-relative:page;z-index:-808216" coordorigin="765,0" coordsize="16073,11906">
            <v:rect style="position:absolute;left:765;top:1729;width:15308;height:8848" filled="true" fillcolor="#f0eee8" stroked="false">
              <v:fill type="solid"/>
            </v:rect>
            <v:shape style="position:absolute;left:13539;top:5582;width:1455;height:2532" coordorigin="13539,5582" coordsize="1455,2532" path="m14994,7871l14590,8104,14599,8114,14994,7886,14994,7871m14994,7792l14540,8054,14549,8064,14994,7807,14994,7792m14994,7713l14490,8004,14499,8014,14994,7728,14994,7713m14994,7634l14440,7954,14449,7964,14994,7649,14994,7634m14994,7555l14390,7904,14399,7913,14994,7570,14994,7555m14994,7477l14340,7854,14349,7863,14994,7491,14994,7477m14994,7398l14290,7804,14299,7813,14994,7412,14994,7398m14994,7319l14240,7754,14249,7763,14994,7333,14994,7319m14994,7240l14190,7704,14199,7713,14994,7254,14994,7240m14994,7161l14140,7654,14149,7663,14994,7175,14994,7161m14994,7003l14040,7554,14049,7563,14994,7017,14994,7003m14994,6924l13990,7504,13999,7513,14994,6939,14994,6924m14994,6845l13939,7454,13949,7463,14994,6860,14994,6845m14994,6766l13889,7404,13899,7413,14994,6781,14994,6766m14994,6687l13839,7354,13849,7363,14994,6702,14994,6687m14994,6608l13789,7304,13799,7313,14994,6623,14994,6608m14994,6529l13739,7254,13748,7263,14994,6544,14994,6529m14994,6372l13639,7154,13648,7163,14994,6386,14994,6372m14994,6293l13589,7104,13598,7113,14994,6307,14994,6293m14994,6214l13539,7054,13548,7063,14994,6228,14994,6214m14994,6135l13682,6893,13647,6927,14994,6149,14994,6135m14994,5977l14055,6519,14021,6553,14994,5991,14994,5977m14994,5819l14429,6146,14394,6180,14994,5834,14994,5819m14994,5661l14802,5772,14768,5806,14994,5676,14994,5661m14994,5582l14989,5585,14955,5619,14994,5597,14994,5582m14994,7082l14090,7604,14099,7613,14994,7096,14994,7082m14994,6451l13689,7204,13698,7213,14994,6465,14994,6451m14994,6056l13868,6706,13834,6740,14994,6070,14994,6056m14994,5898l14242,6332,14208,6366,14994,5912,14994,5898m14994,5740l14615,5959,14581,5993,14994,5755,14994,5740e" filled="true" fillcolor="#cdcccd" stroked="false">
              <v:path arrowok="t"/>
              <v:fill type="solid"/>
            </v:shape>
            <v:shape style="position:absolute;left:14640;top:7950;width:354;height:514" type="#_x0000_t75" stroked="false">
              <v:imagedata r:id="rId109" o:title=""/>
            </v:shape>
            <v:shape style="position:absolute;left:14994;top:5600;width:24;height:18" coordorigin="14994,5600" coordsize="24,18" path="m15014,5600l14994,5612,14994,5618,15018,5604,15014,5600xe" filled="true" fillcolor="#cdcccd" stroked="false">
              <v:path arrowok="t"/>
              <v:fill type="solid"/>
            </v:shape>
            <v:shape style="position:absolute;left:14994;top:5650;width:375;height:520" type="#_x0000_t75" stroked="false">
              <v:imagedata r:id="rId110" o:title=""/>
            </v:shape>
            <v:shape style="position:absolute;left:14994;top:6000;width:1438;height:2301" coordorigin="14994,6000" coordsize="1438,2301" path="m15418,6004l15415,6000,14994,6243,14994,6249,15418,6004m15468,6054l15465,6051,14994,6322,14994,6328,15468,6054m15498,8004l14994,8295,14994,8301,15485,8018,15498,8004m15518,6104l15515,6101,14994,6401,14994,6407,15518,6104m15568,6154l15565,6151,14994,6480,14994,6486,15568,6154m15618,6204l15615,6201,14994,6559,14994,6565,15618,6204m15668,6254l15665,6251,14994,6638,14994,6644,15668,6254m15685,7818l14994,8217,14994,8222,15671,7831,15685,7818m15719,6304l15715,6301,14994,6717,14994,6723,15719,6304m15769,6354l15765,6351,14994,6796,14994,6802,15769,6354m15819,6404l15815,6401,14994,6875,14994,6880,15819,6404m15869,6455l15865,6451,14994,6954,14994,6959,15869,6455m15872,7631l14994,8138,14994,8143,15858,7645,15872,7631m15919,6505l15915,6501,14994,7033,14994,7038,15919,6505m15969,6555l15965,6551,14994,7111,14994,7117,15969,6555m16019,6605l16015,6601,14994,7190,14994,7196,16019,6605m16059,7444l14994,8059,14994,8064,16045,7458,16059,7444m16069,6655l16065,6651,14994,7269,14994,7275,16069,6655m16119,6705l16115,6701,14994,7348,14994,7354,16119,6705m16169,6755l16165,6751,14994,7427,14994,7433,16169,6755m16219,6805l16215,6801,14994,7506,14994,7512,16219,6805m16245,7257l14994,7980,14994,7986,16232,7271,16245,7257m16269,6855l16265,6851,14994,7585,14994,7591,16269,6855m16319,6905l16315,6901,14994,7664,14994,7670,16319,6905m16369,6955l16365,6951,14994,7743,14994,7749,16369,6955m16419,7005l16415,7001,14994,7822,14994,7828,16419,7005m16432,7071l14994,7901,14994,7907,16418,7084,16432,7071e" filled="true" fillcolor="#cdcccd" stroked="false">
              <v:path arrowok="t"/>
              <v:fill type="solid"/>
            </v:shape>
            <v:shape style="position:absolute;left:14994;top:8191;width:318;height:269" type="#_x0000_t75" stroked="false">
              <v:imagedata r:id="rId111" o:title=""/>
            </v:shape>
            <v:shape style="position:absolute;left:8414;top:5471;width:5106;height:2553" coordorigin="8415,5471" coordsize="5106,2553" path="m10967,5471l12243,6748,10967,8024,8415,8024,8415,8024,13520,8024,13520,8024,10967,8024,9691,6748,12243,6748,10967,5471xm13520,8024l10967,8024,10967,8024,13520,8024xe" filled="true" fillcolor="#aebd37" stroked="false">
              <v:path arrowok="t"/>
              <v:fill type="solid"/>
            </v:shape>
            <v:shape style="position:absolute;left:10967;top:8024;width:5106;height:3882" coordorigin="10967,8024" coordsize="5106,3882" path="m13520,10577l10967,10577,13520,10577,13520,11906,14744,11906,14796,11853,14796,11853,13520,10577xm16072,10577l14796,11853,14796,11853,16072,10577xm13520,8024l13520,10577,13520,10577,14796,9300,13520,8024xe" filled="true" fillcolor="#6f2770" stroked="false">
              <v:path arrowok="t"/>
              <v:fill type="solid"/>
            </v:shape>
            <v:shape style="position:absolute;left:7138;top:8024;width:1277;height:3882" coordorigin="7138,8024" coordsize="1277,3882" path="m8415,8024l7138,9300,8415,10577,7138,11853,7191,11906,8415,11906,8415,8024xe" filled="true" fillcolor="#5d883c" stroked="false">
              <v:path arrowok="t"/>
              <v:fill type="solid"/>
            </v:shape>
            <v:shape style="position:absolute;left:8414;top:8024;width:2553;height:2553" coordorigin="8415,8024" coordsize="2553,2553" path="m10967,10577l10967,10577,10967,10577,10967,10577xm8415,8024l8415,8024,10967,10577,10967,10577,8415,8024xe" filled="true" fillcolor="#aebd37" stroked="false">
              <v:path arrowok="t"/>
              <v:fill type="solid"/>
            </v:shape>
            <v:shape style="position:absolute;left:8414;top:8024;width:2553;height:2553" coordorigin="8415,8024" coordsize="2553,2553" path="m10967,8024l8415,8024,10967,10577,10967,8024xe" filled="true" fillcolor="#7aa142" stroked="false">
              <v:path arrowok="t"/>
              <v:fill type="solid"/>
            </v:shape>
            <v:shape style="position:absolute;left:8414;top:8024;width:2553;height:2553" coordorigin="8415,8024" coordsize="2553,2553" path="m8415,8024l8415,10577,10967,10577,8415,8024xe" filled="true" fillcolor="#41793d" stroked="false">
              <v:path arrowok="t"/>
              <v:fill type="solid"/>
            </v:shape>
            <v:shape style="position:absolute;left:10967;top:8024;width:2553;height:2553" coordorigin="10967,8024" coordsize="2553,2553" path="m13520,8024l10967,10577,13520,8024xe" filled="true" fillcolor="#6f2770" stroked="false">
              <v:path arrowok="t"/>
              <v:fill type="solid"/>
            </v:shape>
            <v:shape style="position:absolute;left:10967;top:8024;width:2553;height:2553" coordorigin="10967,8024" coordsize="2553,2553" path="m13520,8024l10967,8024,10967,10577,13520,8024xe" filled="true" fillcolor="#5b2e31" stroked="false">
              <v:path arrowok="t"/>
              <v:fill type="solid"/>
            </v:shape>
            <v:shape style="position:absolute;left:10967;top:8024;width:2553;height:2553" coordorigin="10967,8024" coordsize="2553,2553" path="m13520,8024l10967,10577,13520,10577,13520,8024xe" filled="true" fillcolor="#42285e" stroked="false">
              <v:path arrowok="t"/>
              <v:fill type="solid"/>
            </v:shape>
            <v:shape style="position:absolute;left:9638;top:10576;width:1329;height:1329" coordorigin="9638,10577" coordsize="1329,1329" path="m10967,10577l9638,11906,10967,10577xe" filled="true" fillcolor="#5d883c" stroked="false">
              <v:path arrowok="t"/>
              <v:fill type="solid"/>
            </v:shape>
            <v:shape style="position:absolute;left:8414;top:10576;width:2553;height:1329" coordorigin="8415,10577" coordsize="2553,1329" path="m10967,10577l8415,10577,8415,11906,9638,11906,10967,10577xe" filled="true" fillcolor="#226237" stroked="false">
              <v:path arrowok="t"/>
              <v:fill type="solid"/>
            </v:shape>
            <v:shape style="position:absolute;left:9638;top:10576;width:1329;height:1329" coordorigin="9638,10577" coordsize="1329,1329" path="m10967,10577l9638,11906,10967,11906,10967,10577xe" filled="true" fillcolor="#1e0f13" stroked="false">
              <v:path arrowok="t"/>
              <v:fill type="solid"/>
            </v:shape>
            <v:shape style="position:absolute;left:10967;top:10576;width:1329;height:1329" coordorigin="10967,10577" coordsize="1329,1329" path="m10967,10577l12296,11906,10967,10577xe" filled="true" fillcolor="#360e3f" stroked="false">
              <v:path arrowok="t"/>
              <v:fill type="solid"/>
            </v:shape>
            <v:shape style="position:absolute;left:10967;top:10576;width:2553;height:1329" coordorigin="10967,10577" coordsize="2553,1329" path="m13520,10577l10967,10577,12296,11906,13520,11906,13520,10577xe" filled="true" fillcolor="#200d34" stroked="false">
              <v:path arrowok="t"/>
              <v:fill type="solid"/>
            </v:shape>
            <v:shape style="position:absolute;left:10967;top:10576;width:1329;height:1329" coordorigin="10967,10577" coordsize="1329,1329" path="m10967,10577l10967,11906,12296,11906,10967,10577xe" filled="true" fillcolor="#050019" stroked="false">
              <v:path arrowok="t"/>
              <v:fill type="solid"/>
            </v:shape>
            <v:shape style="position:absolute;left:9690;top:5471;width:2553;height:2553" coordorigin="9691,5471" coordsize="2553,2553" path="m10967,5471l9691,6748,10967,8024,12243,6748,10967,5471xe" filled="true" fillcolor="#89993e" stroked="false">
              <v:path arrowok="t"/>
              <v:fill type="solid"/>
            </v:shape>
            <v:shape style="position:absolute;left:5861;top:9300;width:1277;height:1277" coordorigin="5862,9300" coordsize="1277,1277" path="m7138,9300l5862,10577,7138,9300xe" filled="true" fillcolor="#bbbcbb" stroked="false">
              <v:path arrowok="t"/>
              <v:fill type="solid"/>
            </v:shape>
            <v:shape style="position:absolute;left:5861;top:9300;width:2553;height:2553" coordorigin="5862,9300" coordsize="2553,2553" path="m7138,9300l5862,10577,7138,11853,8415,10577,7138,9300xe" filled="true" fillcolor="#4f743b" stroked="false">
              <v:path arrowok="t"/>
              <v:fill type="solid"/>
            </v:shape>
            <v:shape style="position:absolute;left:13519;top:9300;width:2553;height:2553" coordorigin="13520,9300" coordsize="2553,2553" path="m14796,9300l13520,10577,14796,11853,16072,10577,14796,9300xe" filled="true" fillcolor="#602a63" stroked="false">
              <v:path arrowok="t"/>
              <v:fill type="solid"/>
            </v:shape>
            <v:shape style="position:absolute;left:6551;top:6160;width:8833;height:5745" coordorigin="6551,6161" coordsize="8833,5745" path="m10967,6161l6551,10577,7880,11906,14054,11906,15383,10577,10967,6161xe" filled="true" fillcolor="#ffffff" stroked="false">
              <v:path arrowok="t"/>
              <v:fill type="solid"/>
            </v:shape>
            <v:shape style="position:absolute;left:13225;top:824;width:904;height:904" coordorigin="13225,824" coordsize="904,904" path="m13677,824l13225,1276,13677,1727,14128,1276,13677,824xe" filled="true" fillcolor="#e8e9c9" stroked="false">
              <v:path arrowok="t"/>
              <v:fill type="solid"/>
            </v:shape>
            <v:shape style="position:absolute;left:12773;top:1275;width:904;height:904" coordorigin="12774,1276" coordsize="904,904" path="m13225,1276l12774,1727,13225,2179,13677,1727,13225,1276xe" filled="true" fillcolor="#d5dac6" stroked="false">
              <v:path arrowok="t"/>
              <v:fill type="solid"/>
            </v:shape>
            <v:shape style="position:absolute;left:11870;top:372;width:2710;height:904" coordorigin="11870,372" coordsize="2710,904" path="m12774,824l12322,372,11870,824,12322,1276,12774,824m14580,824l14128,372,13677,824,14128,1276,14580,824e" filled="true" fillcolor="#efeeeb" stroked="false">
              <v:path arrowok="t"/>
              <v:fill type="solid"/>
            </v:shape>
            <v:shape style="position:absolute;left:12773;top:372;width:904;height:904" coordorigin="12774,372" coordsize="904,904" path="m13225,372l12774,824,13225,1276,13677,824,13225,372xe" filled="true" fillcolor="#c0aac2" stroked="false">
              <v:path arrowok="t"/>
              <v:fill type="solid"/>
            </v:shape>
            <v:shape style="position:absolute;left:6096;top:5617;width:3487;height:3487" type="#_x0000_t75" stroked="false">
              <v:imagedata r:id="rId112" o:title=""/>
            </v:shape>
            <v:shape style="position:absolute;left:6343;top:5952;width:9248;height:5953" type="#_x0000_t75" stroked="false">
              <v:imagedata r:id="rId113" o:title=""/>
            </v:shape>
            <v:rect style="position:absolute;left:765;top:10576;width:15308;height:1330" filled="true" fillcolor="#ffffff" stroked="false">
              <v:fill type="solid"/>
            </v:rect>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shape style="position:absolute;left:15424;top:1075;width:900;height:904" coordorigin="15424,1076" coordsize="900,904" path="m15874,1076l15424,1526,15424,1529,15874,1979,16324,1529,16324,1526,15874,1076xe" filled="true" fillcolor="#c4cd71" stroked="false">
              <v:path arrowok="t"/>
              <v:fill type="solid"/>
            </v:shape>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rect style="position:absolute;left:4810;top:0;width:2406;height:851" filled="true" fillcolor="#e6e7e8" stroked="false">
              <v:fill type="solid"/>
            </v:rect>
            <v:shape style="position:absolute;left:4810;top:0;width:583;height:583" type="#_x0000_t75" stroked="false">
              <v:imagedata r:id="rId51" o:title=""/>
            </v:shape>
            <v:rect style="position:absolute;left:9621;top:0;width:2406;height:851" filled="true" fillcolor="#bec85c" stroked="false">
              <v:fill type="solid"/>
            </v:rect>
            <v:rect style="position:absolute;left:12026;top:0;width:2406;height:851" filled="true" fillcolor="#b6c247" stroked="false">
              <v:fill type="solid"/>
            </v:rect>
            <v:rect style="position:absolute;left:14432;top:0;width:2406;height:851" filled="true" fillcolor="#aebd37" stroked="false">
              <v:fill type="solid"/>
            </v:rect>
            <v:line style="position:absolute" from="16838,0" to="16838,850" stroked="true" strokeweight=".001pt" strokecolor="#aebd37">
              <v:stroke dashstyle="solid"/>
            </v:line>
            <v:shape style="position:absolute;left:15263;top:1366;width:161;height:322" type="#_x0000_t75" stroked="false">
              <v:imagedata r:id="rId16" o:title=""/>
            </v:shape>
            <v:shape style="position:absolute;left:16324;top:1366;width:161;height:322" type="#_x0000_t75" stroked="false">
              <v:imagedata r:id="rId11" o:title=""/>
            </v:shape>
            <w10:wrap type="none"/>
          </v:group>
        </w:pict>
      </w:r>
    </w:p>
    <w:p>
      <w:pPr>
        <w:pStyle w:val="BodyText"/>
        <w:rPr>
          <w:sz w:val="20"/>
        </w:rPr>
      </w:pPr>
    </w:p>
    <w:p>
      <w:pPr>
        <w:pStyle w:val="BodyText"/>
        <w:rPr>
          <w:sz w:val="20"/>
        </w:rPr>
      </w:pPr>
    </w:p>
    <w:p>
      <w:pPr>
        <w:pStyle w:val="BodyText"/>
        <w:spacing w:before="1"/>
        <w:rPr>
          <w:sz w:val="19"/>
        </w:rPr>
      </w:pPr>
    </w:p>
    <w:p>
      <w:pPr>
        <w:spacing w:before="0"/>
        <w:ind w:left="765" w:right="0" w:firstLine="0"/>
        <w:jc w:val="left"/>
        <w:rPr>
          <w:i/>
          <w:sz w:val="16"/>
        </w:rPr>
      </w:pPr>
      <w:r>
        <w:rPr>
          <w:i/>
          <w:color w:val="939598"/>
          <w:sz w:val="16"/>
        </w:rPr>
        <w:t>Images courtesy of ABC Online and Marine Produce Australia</w:t>
      </w:r>
    </w:p>
    <w:p>
      <w:pPr>
        <w:pStyle w:val="BodyText"/>
        <w:spacing w:before="9"/>
        <w:rPr>
          <w:i/>
          <w:sz w:val="28"/>
        </w:rPr>
      </w:pPr>
    </w:p>
    <w:p>
      <w:pPr>
        <w:tabs>
          <w:tab w:pos="1227" w:val="left" w:leader="none"/>
          <w:tab w:pos="4671" w:val="left" w:leader="none"/>
          <w:tab w:pos="16072" w:val="left" w:leader="none"/>
        </w:tabs>
        <w:spacing w:before="106"/>
        <w:ind w:left="765" w:right="0" w:firstLine="0"/>
        <w:jc w:val="left"/>
        <w:rPr>
          <w:sz w:val="16"/>
        </w:rPr>
      </w:pPr>
      <w:r>
        <w:rPr>
          <w:b/>
          <w:color w:val="6F2770"/>
          <w:sz w:val="16"/>
        </w:rPr>
        <w:t>14</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pStyle w:val="BodyText"/>
        <w:rPr>
          <w:sz w:val="20"/>
        </w:rPr>
      </w:pPr>
      <w:bookmarkStart w:name="_bookmark10" w:id="11"/>
      <w:bookmarkEnd w:id="11"/>
      <w:r>
        <w:rPr/>
      </w:r>
      <w:r>
        <w:rPr>
          <w:sz w:val="20"/>
        </w:rPr>
        <w:pict>
          <v:group style="width:360.85pt;height:42.55pt;mso-position-horizontal-relative:char;mso-position-vertical-relative:line" coordorigin="0,0" coordsize="7217,851">
            <v:rect style="position:absolute;left:4810;top:0;width:2406;height:851" filled="true" fillcolor="#e6e7e8" stroked="false">
              <v:fill type="solid"/>
            </v:rect>
            <v:shape style="position:absolute;left:4810;top:0;width:583;height:583" type="#_x0000_t75" stroked="false">
              <v:imagedata r:id="rId51" o:title=""/>
            </v:shape>
            <v:shape style="position:absolute;left:4810;top:0;width:2406;height:851"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v:shape style="position:absolute;left:2405;top:0;width:2406;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0;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v:group>
        </w:pict>
      </w:r>
      <w:r>
        <w:rPr>
          <w:sz w:val="20"/>
        </w:rPr>
      </w:r>
    </w:p>
    <w:p>
      <w:pPr>
        <w:pStyle w:val="BodyText"/>
        <w:rPr>
          <w:sz w:val="20"/>
        </w:rPr>
      </w:pPr>
    </w:p>
    <w:p>
      <w:pPr>
        <w:pStyle w:val="BodyText"/>
        <w:spacing w:before="1"/>
        <w:rPr>
          <w:sz w:val="20"/>
        </w:rPr>
      </w:pPr>
    </w:p>
    <w:p>
      <w:pPr>
        <w:pStyle w:val="Heading1"/>
        <w:spacing w:before="93"/>
      </w:pPr>
      <w:r>
        <w:rPr/>
        <w:pict>
          <v:group style="position:absolute;margin-left:360.811798pt;margin-top:-67.324211pt;width:481.1pt;height:108.95pt;mso-position-horizontal-relative:page;mso-position-vertical-relative:paragraph;z-index:5752" coordorigin="7216,-1346" coordsize="9622,2179">
            <v:shape style="position:absolute;left:14419;top:-1347;width:1455;height:1745" coordorigin="14419,-1346" coordsize="1455,1745" path="m15219,-1346l15194,-1346,14935,-1197,14901,-1163,15219,-1346m15356,-1346l15331,-1346,14748,-1010,14714,-976,15356,-1346m15492,-1346l15467,-1346,14562,-824,14527,-789,15492,-1346m15629,-1346l15604,-1346,14419,-662,14428,-653,15629,-1346m15766,-1346l15741,-1346,14469,-612,14478,-603,15766,-1346m15874,155l15470,388,15479,398,15874,170,15874,155m15874,76l15420,338,15429,348,15874,91,15874,76m15874,-3l15370,288,15379,297,15874,12,15874,-3m15874,-82l15320,238,15329,247,15874,-67,15874,-82m15874,-161l15270,188,15279,197,15874,-146,15874,-161m15874,-240l15220,138,15229,147,15874,-225,15874,-240m15874,-318l15170,88,15179,97,15874,-304,15874,-318m15874,-397l15120,38,15129,47,15874,-383,15874,-397m15874,-476l15070,-12,15079,-3,15874,-462,15874,-476m15874,-555l15020,-62,15029,-53,15874,-541,15874,-555m15874,-713l14920,-162,14929,-153,15874,-699,15874,-713m15874,-792l14870,-212,14879,-203,15874,-778,15874,-792m15874,-871l14819,-262,14829,-253,15874,-856,15874,-871m15874,-950l14769,-312,14779,-303,15874,-935,15874,-950m15874,-1029l14719,-362,14729,-353,15874,-1014,15874,-1029m15874,-1108l14669,-412,14679,-403,15874,-1093,15874,-1108m15874,-1187l14619,-462,14628,-453,15874,-1172,15874,-1187m15874,-1345l14519,-562,14528,-553,15874,-1330,15874,-1345m15874,-634l14970,-112,14979,-103,15874,-620,15874,-634m15874,-1266l14569,-512,14578,-503,15874,-1251,15874,-1266e" filled="true" fillcolor="#cdcccd" stroked="false">
              <v:path arrowok="t"/>
              <v:fill type="solid"/>
            </v:shape>
            <v:shape style="position:absolute;left:15520;top:234;width:354;height:514" type="#_x0000_t75" stroked="false">
              <v:imagedata r:id="rId42" o:title=""/>
            </v:shape>
            <v:shape style="position:absolute;left:15874;top:-1347;width:338;height:196" type="#_x0000_t75" stroked="false">
              <v:imagedata r:id="rId20" o:title=""/>
            </v:shape>
            <v:shape style="position:absolute;left:15874;top:-1347;width:964;height:1932" coordorigin="15874,-1346" coordsize="964,1932" path="m16349,-1346l16339,-1346,15874,-1078,15874,-1072,16349,-1346m16378,288l15874,579,15874,585,16365,302,16378,288m16486,-1346l16476,-1346,15874,-999,15874,-993,16486,-1346m16565,101l15874,500,15874,506,16551,115,16565,101m16622,-1346l16612,-1346,15874,-920,15874,-915,16622,-1346m16699,-1312l16695,-1315,15874,-841,15874,-836,16699,-1312m16749,-1262l16745,-1265,15874,-762,15874,-757,16749,-1262m16752,-85l15874,421,15874,427,16738,-72,16752,-85m16799,-1212l16795,-1215,15874,-684,15874,-678,16799,-1212m16838,-214l15874,343,15874,348,16838,-208,16838,-214m16838,-293l15874,264,15874,269,16838,-287,16838,-293m16838,-372l15874,185,15874,190,16838,-366,16838,-372m16838,-451l15874,106,15874,112,16838,-445,16838,-451m16838,-530l15874,27,15874,33,16838,-524,16838,-530m16838,-608l15874,-52,15874,-46,16838,-603,16838,-608m16838,-687l15874,-131,15874,-125,16838,-682,16838,-687m16838,-766l15874,-210,15874,-204,16838,-761,16838,-766m16838,-845l15874,-289,15874,-283,16838,-839,16838,-845m16838,-924l15874,-368,15874,-362,16838,-918,16838,-924m16838,-1003l15874,-447,15874,-441,16838,-997,16838,-1003m16838,-1082l15874,-526,15874,-520,16838,-1076,16838,-1082m16838,-1161l15874,-605,15874,-599,16838,-1155,16838,-1161e" filled="true" fillcolor="#cdcccd" stroked="false">
              <v:path arrowok="t"/>
              <v:fill type="solid"/>
            </v:shape>
            <v:shape style="position:absolute;left:15874;top:474;width:318;height:269" type="#_x0000_t75" stroked="false">
              <v:imagedata r:id="rId21" o:title=""/>
            </v:shape>
            <v:shape style="position:absolute;left:13676;top:-975;width:904;height:904" coordorigin="13677,-974" coordsize="904,904" path="m14128,-974l13677,-522,14128,-71,14580,-522,14128,-974xe" filled="true" fillcolor="#ffffff" stroked="false">
              <v:path arrowok="t"/>
              <v:fill type="solid"/>
            </v:shape>
            <v:shape style="position:absolute;left:13225;top:-523;width:904;height:904" coordorigin="13225,-522" coordsize="904,904" path="m13677,-522l13225,-71,13677,381,14128,-71,13677,-522xe" filled="true" fillcolor="#e8e9c9" stroked="false">
              <v:path arrowok="t"/>
              <v:fill type="solid"/>
            </v:shape>
            <v:shape style="position:absolute;left:12773;top:-71;width:904;height:904" coordorigin="12774,-71" coordsize="904,904" path="m13225,-71l12774,381,13225,832,13677,381,13225,-71xe" filled="true" fillcolor="#d5dac6" stroked="false">
              <v:path arrowok="t"/>
              <v:fill type="solid"/>
            </v:shape>
            <v:shape style="position:absolute;left:11870;top:-975;width:2710;height:904" coordorigin="11870,-974" coordsize="2710,904" path="m12774,-522l12322,-974,11870,-522,12322,-71,12774,-522m14580,-522l14128,-974,13677,-522,14128,-71,14580,-522e" filled="true" fillcolor="#efeeeb" stroked="false">
              <v:path arrowok="t"/>
              <v:fill type="solid"/>
            </v:shape>
            <v:shape style="position:absolute;left:12773;top:-975;width:904;height:904" coordorigin="12774,-974" coordsize="904,904" path="m13225,-974l12774,-522,13225,-71,13677,-522,13225,-974xe" filled="true" fillcolor="#c0aac2" stroked="false">
              <v:path arrowok="t"/>
              <v:fill type="solid"/>
            </v:shape>
            <v:shape style="position:absolute;left:15424;top:-271;width:900;height:904" coordorigin="15424,-271" coordsize="900,904" path="m15874,-271l15424,179,15424,182,15874,632,16324,182,16324,179,15874,-271xe" filled="true" fillcolor="#c4cd71" stroked="false">
              <v:path arrowok="t"/>
              <v:fill type="solid"/>
            </v:shape>
            <v:rect style="position:absolute;left:9621;top:-1347;width:2406;height:851" filled="true" fillcolor="#bec85c" stroked="false">
              <v:fill type="solid"/>
            </v:rect>
            <v:rect style="position:absolute;left:12026;top:-1347;width:2406;height:851" filled="true" fillcolor="#b6c247" stroked="false">
              <v:fill type="solid"/>
            </v:rect>
            <v:rect style="position:absolute;left:14432;top:-1347;width:2406;height:851" filled="true" fillcolor="#aebd37" stroked="false">
              <v:fill type="solid"/>
            </v:rect>
            <v:shape style="position:absolute;left:15263;top:19;width:161;height:322" type="#_x0000_t75" stroked="false">
              <v:imagedata r:id="rId16" o:title=""/>
            </v:shape>
            <v:shape style="position:absolute;left:16324;top:19;width:161;height:322" type="#_x0000_t75" stroked="false">
              <v:imagedata r:id="rId11" o:title=""/>
            </v:shape>
            <v:shape style="position:absolute;left:15585;top:0;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4432;top:-13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47;width:2406;height:851" type="#_x0000_t202" filled="false"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1347;width:2406;height:851"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v:shape style="position:absolute;left:7216;top:-1347;width:2406;height:851"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10:wrap type="none"/>
          </v:group>
        </w:pict>
      </w:r>
      <w:r>
        <w:rPr>
          <w:color w:val="6F2770"/>
        </w:rPr>
        <w:t>Quality Services</w:t>
      </w:r>
    </w:p>
    <w:p>
      <w:pPr>
        <w:pStyle w:val="BodyText"/>
        <w:spacing w:before="7"/>
        <w:rPr>
          <w:sz w:val="29"/>
        </w:rPr>
      </w:pPr>
    </w:p>
    <w:p>
      <w:pPr>
        <w:pStyle w:val="Heading4"/>
        <w:spacing w:line="249" w:lineRule="auto" w:before="111"/>
        <w:ind w:right="1480"/>
      </w:pPr>
      <w:r>
        <w:rPr>
          <w:color w:val="6F2770"/>
        </w:rPr>
        <w:t>The</w:t>
      </w:r>
      <w:r>
        <w:rPr>
          <w:color w:val="6F2770"/>
          <w:spacing w:val="-40"/>
        </w:rPr>
        <w:t> </w:t>
      </w:r>
      <w:r>
        <w:rPr>
          <w:color w:val="6F2770"/>
        </w:rPr>
        <w:t>Department</w:t>
      </w:r>
      <w:r>
        <w:rPr>
          <w:color w:val="6F2770"/>
          <w:spacing w:val="-39"/>
        </w:rPr>
        <w:t> </w:t>
      </w:r>
      <w:r>
        <w:rPr>
          <w:color w:val="6F2770"/>
        </w:rPr>
        <w:t>of</w:t>
      </w:r>
      <w:r>
        <w:rPr>
          <w:color w:val="6F2770"/>
          <w:spacing w:val="-40"/>
        </w:rPr>
        <w:t> </w:t>
      </w:r>
      <w:r>
        <w:rPr>
          <w:color w:val="6F2770"/>
        </w:rPr>
        <w:t>Finance</w:t>
      </w:r>
      <w:r>
        <w:rPr>
          <w:color w:val="6F2770"/>
          <w:spacing w:val="-39"/>
        </w:rPr>
        <w:t> </w:t>
      </w:r>
      <w:r>
        <w:rPr>
          <w:color w:val="6F2770"/>
        </w:rPr>
        <w:t>is</w:t>
      </w:r>
      <w:r>
        <w:rPr>
          <w:color w:val="6F2770"/>
          <w:spacing w:val="-39"/>
        </w:rPr>
        <w:t> </w:t>
      </w:r>
      <w:r>
        <w:rPr>
          <w:color w:val="6F2770"/>
        </w:rPr>
        <w:t>committed</w:t>
      </w:r>
      <w:r>
        <w:rPr>
          <w:color w:val="6F2770"/>
          <w:spacing w:val="-40"/>
        </w:rPr>
        <w:t> </w:t>
      </w:r>
      <w:r>
        <w:rPr>
          <w:color w:val="6F2770"/>
        </w:rPr>
        <w:t>to</w:t>
      </w:r>
      <w:r>
        <w:rPr>
          <w:color w:val="6F2770"/>
          <w:spacing w:val="-39"/>
        </w:rPr>
        <w:t> </w:t>
      </w:r>
      <w:r>
        <w:rPr>
          <w:color w:val="6F2770"/>
        </w:rPr>
        <w:t>providing</w:t>
      </w:r>
      <w:r>
        <w:rPr>
          <w:color w:val="6F2770"/>
          <w:spacing w:val="-39"/>
        </w:rPr>
        <w:t> </w:t>
      </w:r>
      <w:r>
        <w:rPr>
          <w:color w:val="6F2770"/>
        </w:rPr>
        <w:t>exceptional</w:t>
      </w:r>
      <w:r>
        <w:rPr>
          <w:color w:val="6F2770"/>
          <w:spacing w:val="-40"/>
        </w:rPr>
        <w:t> </w:t>
      </w:r>
      <w:r>
        <w:rPr>
          <w:color w:val="6F2770"/>
        </w:rPr>
        <w:t>services</w:t>
      </w:r>
      <w:r>
        <w:rPr>
          <w:color w:val="6F2770"/>
          <w:spacing w:val="-39"/>
        </w:rPr>
        <w:t> </w:t>
      </w:r>
      <w:r>
        <w:rPr>
          <w:color w:val="6F2770"/>
        </w:rPr>
        <w:t>to</w:t>
      </w:r>
      <w:r>
        <w:rPr>
          <w:color w:val="6F2770"/>
          <w:spacing w:val="-39"/>
        </w:rPr>
        <w:t> </w:t>
      </w:r>
      <w:r>
        <w:rPr>
          <w:color w:val="6F2770"/>
        </w:rPr>
        <w:t>deliver</w:t>
      </w:r>
      <w:r>
        <w:rPr>
          <w:color w:val="6F2770"/>
          <w:spacing w:val="-40"/>
        </w:rPr>
        <w:t> </w:t>
      </w:r>
      <w:r>
        <w:rPr>
          <w:color w:val="6F2770"/>
        </w:rPr>
        <w:t>enhanced stakeholder</w:t>
      </w:r>
      <w:r>
        <w:rPr>
          <w:color w:val="6F2770"/>
          <w:spacing w:val="-2"/>
        </w:rPr>
        <w:t> </w:t>
      </w:r>
      <w:r>
        <w:rPr>
          <w:color w:val="6F2770"/>
        </w:rPr>
        <w:t>value.</w:t>
      </w:r>
    </w:p>
    <w:p>
      <w:pPr>
        <w:pStyle w:val="BodyText"/>
        <w:rPr>
          <w:sz w:val="20"/>
        </w:rPr>
      </w:pPr>
    </w:p>
    <w:p>
      <w:pPr>
        <w:spacing w:after="0"/>
        <w:rPr>
          <w:sz w:val="20"/>
        </w:rPr>
        <w:sectPr>
          <w:footerReference w:type="default" r:id="rId114"/>
          <w:pgSz w:w="16840" w:h="11910" w:orient="landscape"/>
          <w:pgMar w:footer="448" w:header="0" w:top="0" w:bottom="640" w:left="0" w:right="0"/>
        </w:sectPr>
      </w:pPr>
    </w:p>
    <w:p>
      <w:pPr>
        <w:pStyle w:val="BodyText"/>
        <w:spacing w:before="9"/>
        <w:rPr>
          <w:sz w:val="21"/>
        </w:rPr>
      </w:pPr>
    </w:p>
    <w:p>
      <w:pPr>
        <w:pStyle w:val="BodyText"/>
        <w:spacing w:line="249" w:lineRule="auto"/>
        <w:ind w:left="765" w:right="221"/>
      </w:pPr>
      <w:r>
        <w:rPr>
          <w:b/>
        </w:rPr>
        <w:t>Government Procurement </w:t>
      </w:r>
      <w:r>
        <w:rPr/>
        <w:t>continues to focus its services to assist client agencies in the</w:t>
      </w:r>
      <w:r>
        <w:rPr>
          <w:spacing w:val="-15"/>
        </w:rPr>
        <w:t> </w:t>
      </w:r>
      <w:r>
        <w:rPr/>
        <w:t>procurement</w:t>
      </w:r>
      <w:r>
        <w:rPr>
          <w:spacing w:val="-14"/>
        </w:rPr>
        <w:t> </w:t>
      </w:r>
      <w:r>
        <w:rPr/>
        <w:t>of</w:t>
      </w:r>
      <w:r>
        <w:rPr>
          <w:spacing w:val="-15"/>
        </w:rPr>
        <w:t> </w:t>
      </w:r>
      <w:r>
        <w:rPr/>
        <w:t>major</w:t>
      </w:r>
      <w:r>
        <w:rPr>
          <w:spacing w:val="-14"/>
        </w:rPr>
        <w:t> </w:t>
      </w:r>
      <w:r>
        <w:rPr/>
        <w:t>contracts.</w:t>
      </w:r>
      <w:r>
        <w:rPr>
          <w:spacing w:val="-15"/>
        </w:rPr>
        <w:t> </w:t>
      </w:r>
      <w:r>
        <w:rPr/>
        <w:t>In</w:t>
      </w:r>
      <w:r>
        <w:rPr>
          <w:spacing w:val="-14"/>
        </w:rPr>
        <w:t> </w:t>
      </w:r>
      <w:r>
        <w:rPr>
          <w:spacing w:val="-3"/>
        </w:rPr>
        <w:t>addition </w:t>
      </w:r>
      <w:r>
        <w:rPr/>
        <w:t>to the ongoing collaboration with the Office of the Government Chief Information Officer on the GovNext-ICT Common Use Arrangement, the</w:t>
      </w:r>
      <w:r>
        <w:rPr>
          <w:spacing w:val="-9"/>
        </w:rPr>
        <w:t> </w:t>
      </w:r>
      <w:r>
        <w:rPr/>
        <w:t>team</w:t>
      </w:r>
      <w:r>
        <w:rPr>
          <w:spacing w:val="-8"/>
        </w:rPr>
        <w:t> </w:t>
      </w:r>
      <w:r>
        <w:rPr/>
        <w:t>has</w:t>
      </w:r>
      <w:r>
        <w:rPr>
          <w:spacing w:val="-8"/>
        </w:rPr>
        <w:t> </w:t>
      </w:r>
      <w:r>
        <w:rPr/>
        <w:t>worked</w:t>
      </w:r>
      <w:r>
        <w:rPr>
          <w:spacing w:val="-8"/>
        </w:rPr>
        <w:t> </w:t>
      </w:r>
      <w:r>
        <w:rPr/>
        <w:t>with</w:t>
      </w:r>
      <w:r>
        <w:rPr>
          <w:spacing w:val="-8"/>
        </w:rPr>
        <w:t> </w:t>
      </w:r>
      <w:r>
        <w:rPr/>
        <w:t>the</w:t>
      </w:r>
      <w:r>
        <w:rPr>
          <w:spacing w:val="-8"/>
        </w:rPr>
        <w:t> </w:t>
      </w:r>
      <w:r>
        <w:rPr/>
        <w:t>Department</w:t>
      </w:r>
      <w:r>
        <w:rPr>
          <w:spacing w:val="-9"/>
        </w:rPr>
        <w:t> </w:t>
      </w:r>
      <w:r>
        <w:rPr/>
        <w:t>of</w:t>
      </w:r>
    </w:p>
    <w:p>
      <w:pPr>
        <w:pStyle w:val="BodyText"/>
        <w:spacing w:line="249" w:lineRule="auto" w:before="7"/>
        <w:ind w:left="765" w:right="134"/>
      </w:pPr>
      <w:r>
        <w:rPr/>
        <w:t>Corrective</w:t>
      </w:r>
      <w:r>
        <w:rPr>
          <w:spacing w:val="-32"/>
        </w:rPr>
        <w:t> </w:t>
      </w:r>
      <w:r>
        <w:rPr/>
        <w:t>Services</w:t>
      </w:r>
      <w:r>
        <w:rPr>
          <w:spacing w:val="-32"/>
        </w:rPr>
        <w:t> </w:t>
      </w:r>
      <w:r>
        <w:rPr/>
        <w:t>regarding</w:t>
      </w:r>
      <w:r>
        <w:rPr>
          <w:spacing w:val="-31"/>
        </w:rPr>
        <w:t> </w:t>
      </w:r>
      <w:r>
        <w:rPr/>
        <w:t>the</w:t>
      </w:r>
      <w:r>
        <w:rPr>
          <w:spacing w:val="-32"/>
        </w:rPr>
        <w:t> </w:t>
      </w:r>
      <w:r>
        <w:rPr/>
        <w:t>Court</w:t>
      </w:r>
      <w:r>
        <w:rPr>
          <w:spacing w:val="-31"/>
        </w:rPr>
        <w:t> </w:t>
      </w:r>
      <w:r>
        <w:rPr>
          <w:spacing w:val="-3"/>
        </w:rPr>
        <w:t>Security </w:t>
      </w:r>
      <w:r>
        <w:rPr/>
        <w:t>and</w:t>
      </w:r>
      <w:r>
        <w:rPr>
          <w:spacing w:val="-10"/>
        </w:rPr>
        <w:t> </w:t>
      </w:r>
      <w:r>
        <w:rPr/>
        <w:t>Custodial</w:t>
      </w:r>
      <w:r>
        <w:rPr>
          <w:spacing w:val="-9"/>
        </w:rPr>
        <w:t> </w:t>
      </w:r>
      <w:r>
        <w:rPr/>
        <w:t>Services</w:t>
      </w:r>
      <w:r>
        <w:rPr>
          <w:spacing w:val="-10"/>
        </w:rPr>
        <w:t> </w:t>
      </w:r>
      <w:r>
        <w:rPr/>
        <w:t>Contract,</w:t>
      </w:r>
      <w:r>
        <w:rPr>
          <w:spacing w:val="-9"/>
        </w:rPr>
        <w:t> </w:t>
      </w:r>
      <w:r>
        <w:rPr/>
        <w:t>valued</w:t>
      </w:r>
      <w:r>
        <w:rPr>
          <w:spacing w:val="-10"/>
        </w:rPr>
        <w:t> </w:t>
      </w:r>
      <w:r>
        <w:rPr/>
        <w:t>at</w:t>
      </w:r>
    </w:p>
    <w:p>
      <w:pPr>
        <w:pStyle w:val="BodyText"/>
        <w:spacing w:line="249" w:lineRule="auto" w:before="1"/>
        <w:ind w:left="765" w:right="27"/>
      </w:pPr>
      <w:r>
        <w:rPr/>
        <w:t>$720</w:t>
      </w:r>
      <w:r>
        <w:rPr>
          <w:spacing w:val="-24"/>
        </w:rPr>
        <w:t> </w:t>
      </w:r>
      <w:r>
        <w:rPr/>
        <w:t>million.</w:t>
      </w:r>
      <w:r>
        <w:rPr>
          <w:spacing w:val="-24"/>
        </w:rPr>
        <w:t> </w:t>
      </w:r>
      <w:r>
        <w:rPr/>
        <w:t>As</w:t>
      </w:r>
      <w:r>
        <w:rPr>
          <w:spacing w:val="-23"/>
        </w:rPr>
        <w:t> </w:t>
      </w:r>
      <w:r>
        <w:rPr/>
        <w:t>part</w:t>
      </w:r>
      <w:r>
        <w:rPr>
          <w:spacing w:val="-24"/>
        </w:rPr>
        <w:t> </w:t>
      </w:r>
      <w:r>
        <w:rPr/>
        <w:t>of</w:t>
      </w:r>
      <w:r>
        <w:rPr>
          <w:spacing w:val="-24"/>
        </w:rPr>
        <w:t> </w:t>
      </w:r>
      <w:r>
        <w:rPr/>
        <w:t>the</w:t>
      </w:r>
      <w:r>
        <w:rPr>
          <w:spacing w:val="-23"/>
        </w:rPr>
        <w:t> </w:t>
      </w:r>
      <w:hyperlink r:id="rId115">
        <w:r>
          <w:rPr>
            <w:i/>
            <w:color w:val="A7BE39"/>
            <w:u w:val="single" w:color="A7BE39"/>
          </w:rPr>
          <w:t>Delivering</w:t>
        </w:r>
        <w:r>
          <w:rPr>
            <w:i/>
            <w:color w:val="A7BE39"/>
            <w:spacing w:val="-24"/>
            <w:u w:val="single" w:color="A7BE39"/>
          </w:rPr>
          <w:t> </w:t>
        </w:r>
        <w:r>
          <w:rPr>
            <w:i/>
            <w:color w:val="A7BE39"/>
            <w:u w:val="single" w:color="A7BE39"/>
          </w:rPr>
          <w:t>Community</w:t>
        </w:r>
      </w:hyperlink>
      <w:r>
        <w:rPr>
          <w:i/>
          <w:color w:val="A7BE39"/>
        </w:rPr>
        <w:t> </w:t>
      </w:r>
      <w:hyperlink r:id="rId115">
        <w:r>
          <w:rPr>
            <w:i/>
            <w:color w:val="A7BE39"/>
            <w:u w:val="single" w:color="A7BE39"/>
          </w:rPr>
          <w:t>Services in Partnership Policy</w:t>
        </w:r>
      </w:hyperlink>
      <w:r>
        <w:rPr/>
        <w:t>, Government Procurement also supported the Department of Local Government and Communities to procure State-wide</w:t>
      </w:r>
      <w:r>
        <w:rPr>
          <w:spacing w:val="-20"/>
        </w:rPr>
        <w:t> </w:t>
      </w:r>
      <w:r>
        <w:rPr/>
        <w:t>parenting</w:t>
      </w:r>
      <w:r>
        <w:rPr>
          <w:spacing w:val="-19"/>
        </w:rPr>
        <w:t> </w:t>
      </w:r>
      <w:r>
        <w:rPr/>
        <w:t>centres,</w:t>
      </w:r>
      <w:r>
        <w:rPr>
          <w:spacing w:val="-19"/>
        </w:rPr>
        <w:t> </w:t>
      </w:r>
      <w:r>
        <w:rPr/>
        <w:t>offering</w:t>
      </w:r>
      <w:r>
        <w:rPr>
          <w:spacing w:val="-19"/>
        </w:rPr>
        <w:t> </w:t>
      </w:r>
      <w:r>
        <w:rPr/>
        <w:t>a</w:t>
      </w:r>
      <w:r>
        <w:rPr>
          <w:spacing w:val="-19"/>
        </w:rPr>
        <w:t> </w:t>
      </w:r>
      <w:r>
        <w:rPr/>
        <w:t>range</w:t>
      </w:r>
      <w:r>
        <w:rPr>
          <w:spacing w:val="-20"/>
        </w:rPr>
        <w:t> </w:t>
      </w:r>
      <w:r>
        <w:rPr/>
        <w:t>of community services for</w:t>
      </w:r>
      <w:r>
        <w:rPr>
          <w:spacing w:val="-12"/>
        </w:rPr>
        <w:t> </w:t>
      </w:r>
      <w:r>
        <w:rPr/>
        <w:t>families.</w:t>
      </w:r>
    </w:p>
    <w:p>
      <w:pPr>
        <w:pStyle w:val="BodyText"/>
        <w:spacing w:before="5"/>
        <w:rPr>
          <w:sz w:val="23"/>
        </w:rPr>
      </w:pPr>
    </w:p>
    <w:p>
      <w:pPr>
        <w:pStyle w:val="BodyText"/>
        <w:spacing w:line="249" w:lineRule="auto"/>
        <w:ind w:left="765" w:right="145"/>
      </w:pPr>
      <w:r>
        <w:rPr/>
        <w:t>Government</w:t>
      </w:r>
      <w:r>
        <w:rPr>
          <w:spacing w:val="-32"/>
        </w:rPr>
        <w:t> </w:t>
      </w:r>
      <w:r>
        <w:rPr/>
        <w:t>Procurement</w:t>
      </w:r>
      <w:r>
        <w:rPr>
          <w:spacing w:val="-32"/>
        </w:rPr>
        <w:t> </w:t>
      </w:r>
      <w:r>
        <w:rPr/>
        <w:t>has</w:t>
      </w:r>
      <w:r>
        <w:rPr>
          <w:spacing w:val="-31"/>
        </w:rPr>
        <w:t> </w:t>
      </w:r>
      <w:r>
        <w:rPr/>
        <w:t>also</w:t>
      </w:r>
      <w:r>
        <w:rPr>
          <w:spacing w:val="-32"/>
        </w:rPr>
        <w:t> </w:t>
      </w:r>
      <w:r>
        <w:rPr>
          <w:spacing w:val="-2"/>
        </w:rPr>
        <w:t>collaborated </w:t>
      </w:r>
      <w:r>
        <w:rPr/>
        <w:t>with the Department of Health to develop a contract for the provision of Community Based Renal</w:t>
      </w:r>
      <w:r>
        <w:rPr>
          <w:spacing w:val="-37"/>
        </w:rPr>
        <w:t> </w:t>
      </w:r>
      <w:r>
        <w:rPr/>
        <w:t>Dialysis</w:t>
      </w:r>
      <w:r>
        <w:rPr>
          <w:spacing w:val="-36"/>
        </w:rPr>
        <w:t> </w:t>
      </w:r>
      <w:r>
        <w:rPr/>
        <w:t>Services.</w:t>
      </w:r>
      <w:r>
        <w:rPr>
          <w:spacing w:val="-36"/>
        </w:rPr>
        <w:t> </w:t>
      </w:r>
      <w:r>
        <w:rPr/>
        <w:t>The</w:t>
      </w:r>
      <w:r>
        <w:rPr>
          <w:spacing w:val="-36"/>
        </w:rPr>
        <w:t> </w:t>
      </w:r>
      <w:r>
        <w:rPr/>
        <w:t>contract</w:t>
      </w:r>
      <w:r>
        <w:rPr>
          <w:spacing w:val="-36"/>
        </w:rPr>
        <w:t> </w:t>
      </w:r>
      <w:r>
        <w:rPr/>
        <w:t>comprises the</w:t>
      </w:r>
      <w:r>
        <w:rPr>
          <w:spacing w:val="-19"/>
        </w:rPr>
        <w:t> </w:t>
      </w:r>
      <w:r>
        <w:rPr/>
        <w:t>services</w:t>
      </w:r>
      <w:r>
        <w:rPr>
          <w:spacing w:val="-19"/>
        </w:rPr>
        <w:t> </w:t>
      </w:r>
      <w:r>
        <w:rPr/>
        <w:t>of</w:t>
      </w:r>
      <w:r>
        <w:rPr>
          <w:spacing w:val="-18"/>
        </w:rPr>
        <w:t> </w:t>
      </w:r>
      <w:r>
        <w:rPr/>
        <w:t>five</w:t>
      </w:r>
      <w:r>
        <w:rPr>
          <w:spacing w:val="-19"/>
        </w:rPr>
        <w:t> </w:t>
      </w:r>
      <w:r>
        <w:rPr/>
        <w:t>satellite</w:t>
      </w:r>
      <w:r>
        <w:rPr>
          <w:spacing w:val="-18"/>
        </w:rPr>
        <w:t> </w:t>
      </w:r>
      <w:r>
        <w:rPr/>
        <w:t>dialysis</w:t>
      </w:r>
      <w:r>
        <w:rPr>
          <w:spacing w:val="-19"/>
        </w:rPr>
        <w:t> </w:t>
      </w:r>
      <w:r>
        <w:rPr/>
        <w:t>units</w:t>
      </w:r>
      <w:r>
        <w:rPr>
          <w:spacing w:val="-18"/>
        </w:rPr>
        <w:t> </w:t>
      </w:r>
      <w:r>
        <w:rPr/>
        <w:t>in</w:t>
      </w:r>
      <w:r>
        <w:rPr>
          <w:spacing w:val="-19"/>
        </w:rPr>
        <w:t> </w:t>
      </w:r>
      <w:r>
        <w:rPr/>
        <w:t>the Perth metropolitan area and a</w:t>
      </w:r>
      <w:r>
        <w:rPr>
          <w:spacing w:val="-39"/>
        </w:rPr>
        <w:t> </w:t>
      </w:r>
      <w:r>
        <w:rPr/>
        <w:t>State-wide</w:t>
      </w:r>
    </w:p>
    <w:p>
      <w:pPr>
        <w:pStyle w:val="BodyText"/>
        <w:spacing w:before="6"/>
        <w:ind w:left="765"/>
      </w:pPr>
      <w:r>
        <w:rPr/>
        <w:t>‘home</w:t>
      </w:r>
      <w:r>
        <w:rPr>
          <w:spacing w:val="-18"/>
        </w:rPr>
        <w:t> </w:t>
      </w:r>
      <w:r>
        <w:rPr/>
        <w:t>therapies</w:t>
      </w:r>
      <w:r>
        <w:rPr>
          <w:spacing w:val="-17"/>
        </w:rPr>
        <w:t> </w:t>
      </w:r>
      <w:r>
        <w:rPr/>
        <w:t>program’,</w:t>
      </w:r>
      <w:r>
        <w:rPr>
          <w:spacing w:val="-18"/>
        </w:rPr>
        <w:t> </w:t>
      </w:r>
      <w:r>
        <w:rPr/>
        <w:t>valued</w:t>
      </w:r>
      <w:r>
        <w:rPr>
          <w:spacing w:val="-17"/>
        </w:rPr>
        <w:t> </w:t>
      </w:r>
      <w:r>
        <w:rPr/>
        <w:t>at</w:t>
      </w:r>
      <w:r>
        <w:rPr>
          <w:spacing w:val="-18"/>
        </w:rPr>
        <w:t> </w:t>
      </w:r>
      <w:r>
        <w:rPr/>
        <w:t>$269</w:t>
      </w:r>
      <w:r>
        <w:rPr>
          <w:spacing w:val="-17"/>
        </w:rPr>
        <w:t> </w:t>
      </w:r>
      <w:r>
        <w:rPr>
          <w:spacing w:val="-3"/>
        </w:rPr>
        <w:t>million.</w:t>
      </w:r>
    </w:p>
    <w:p>
      <w:pPr>
        <w:pStyle w:val="BodyText"/>
        <w:spacing w:before="9"/>
        <w:rPr>
          <w:sz w:val="21"/>
        </w:rPr>
      </w:pPr>
      <w:r>
        <w:rPr/>
        <w:br w:type="column"/>
      </w:r>
      <w:r>
        <w:rPr>
          <w:sz w:val="21"/>
        </w:rPr>
      </w:r>
    </w:p>
    <w:p>
      <w:pPr>
        <w:pStyle w:val="BodyText"/>
        <w:spacing w:line="249" w:lineRule="auto"/>
        <w:ind w:left="513" w:right="6"/>
      </w:pPr>
      <w:r>
        <w:rPr/>
        <w:t>The team has also supported Health during the procurement process for a </w:t>
      </w:r>
      <w:r>
        <w:rPr>
          <w:spacing w:val="-3"/>
        </w:rPr>
        <w:t>Transition </w:t>
      </w:r>
      <w:r>
        <w:rPr/>
        <w:t>Care Program,</w:t>
      </w:r>
      <w:r>
        <w:rPr>
          <w:spacing w:val="-23"/>
        </w:rPr>
        <w:t> </w:t>
      </w:r>
      <w:r>
        <w:rPr/>
        <w:t>providing</w:t>
      </w:r>
      <w:r>
        <w:rPr>
          <w:spacing w:val="-23"/>
        </w:rPr>
        <w:t> </w:t>
      </w:r>
      <w:r>
        <w:rPr/>
        <w:t>older</w:t>
      </w:r>
      <w:r>
        <w:rPr>
          <w:spacing w:val="-23"/>
        </w:rPr>
        <w:t> </w:t>
      </w:r>
      <w:r>
        <w:rPr/>
        <w:t>people</w:t>
      </w:r>
      <w:r>
        <w:rPr>
          <w:spacing w:val="-23"/>
        </w:rPr>
        <w:t> </w:t>
      </w:r>
      <w:r>
        <w:rPr/>
        <w:t>in</w:t>
      </w:r>
      <w:r>
        <w:rPr>
          <w:spacing w:val="-22"/>
        </w:rPr>
        <w:t> </w:t>
      </w:r>
      <w:r>
        <w:rPr/>
        <w:t>our</w:t>
      </w:r>
      <w:r>
        <w:rPr>
          <w:spacing w:val="-23"/>
        </w:rPr>
        <w:t> </w:t>
      </w:r>
      <w:r>
        <w:rPr/>
        <w:t>community more</w:t>
      </w:r>
      <w:r>
        <w:rPr>
          <w:spacing w:val="-16"/>
        </w:rPr>
        <w:t> </w:t>
      </w:r>
      <w:r>
        <w:rPr/>
        <w:t>time</w:t>
      </w:r>
      <w:r>
        <w:rPr>
          <w:spacing w:val="-16"/>
        </w:rPr>
        <w:t> </w:t>
      </w:r>
      <w:r>
        <w:rPr/>
        <w:t>and</w:t>
      </w:r>
      <w:r>
        <w:rPr>
          <w:spacing w:val="-16"/>
        </w:rPr>
        <w:t> </w:t>
      </w:r>
      <w:r>
        <w:rPr/>
        <w:t>care</w:t>
      </w:r>
      <w:r>
        <w:rPr>
          <w:spacing w:val="-15"/>
        </w:rPr>
        <w:t> </w:t>
      </w:r>
      <w:r>
        <w:rPr/>
        <w:t>after</w:t>
      </w:r>
      <w:r>
        <w:rPr>
          <w:spacing w:val="-16"/>
        </w:rPr>
        <w:t> </w:t>
      </w:r>
      <w:r>
        <w:rPr/>
        <w:t>their</w:t>
      </w:r>
      <w:r>
        <w:rPr>
          <w:spacing w:val="-16"/>
        </w:rPr>
        <w:t> </w:t>
      </w:r>
      <w:r>
        <w:rPr/>
        <w:t>hospital</w:t>
      </w:r>
      <w:r>
        <w:rPr>
          <w:spacing w:val="-15"/>
        </w:rPr>
        <w:t> </w:t>
      </w:r>
      <w:r>
        <w:rPr>
          <w:spacing w:val="-5"/>
        </w:rPr>
        <w:t>stay,</w:t>
      </w:r>
      <w:r>
        <w:rPr>
          <w:spacing w:val="-16"/>
        </w:rPr>
        <w:t> </w:t>
      </w:r>
      <w:r>
        <w:rPr/>
        <w:t>while enabling families to make longer term support arrangements. This step-up, step-down program provides care in a non-hospital environment and reduces pressure on the </w:t>
      </w:r>
      <w:r>
        <w:rPr>
          <w:spacing w:val="-4"/>
        </w:rPr>
        <w:t>State’s</w:t>
      </w:r>
      <w:r>
        <w:rPr>
          <w:spacing w:val="-32"/>
        </w:rPr>
        <w:t> </w:t>
      </w:r>
      <w:r>
        <w:rPr/>
        <w:t>hospitals.</w:t>
      </w:r>
    </w:p>
    <w:p>
      <w:pPr>
        <w:pStyle w:val="BodyText"/>
        <w:spacing w:before="7"/>
        <w:rPr>
          <w:sz w:val="23"/>
        </w:rPr>
      </w:pPr>
    </w:p>
    <w:p>
      <w:pPr>
        <w:pStyle w:val="BodyText"/>
        <w:spacing w:line="249" w:lineRule="auto"/>
        <w:ind w:left="513" w:right="13"/>
      </w:pPr>
      <w:r>
        <w:rPr/>
        <w:t>With regard to managing the Government’s fleet of vehicles, the challenge has been to realise efficiencies without compromising day-to-day agency</w:t>
      </w:r>
      <w:r>
        <w:rPr>
          <w:spacing w:val="-24"/>
        </w:rPr>
        <w:t> </w:t>
      </w:r>
      <w:r>
        <w:rPr/>
        <w:t>operations.</w:t>
      </w:r>
      <w:r>
        <w:rPr>
          <w:spacing w:val="-24"/>
        </w:rPr>
        <w:t> </w:t>
      </w:r>
      <w:r>
        <w:rPr/>
        <w:t>With</w:t>
      </w:r>
      <w:r>
        <w:rPr>
          <w:spacing w:val="-24"/>
        </w:rPr>
        <w:t> </w:t>
      </w:r>
      <w:r>
        <w:rPr/>
        <w:t>this</w:t>
      </w:r>
      <w:r>
        <w:rPr>
          <w:spacing w:val="-24"/>
        </w:rPr>
        <w:t> </w:t>
      </w:r>
      <w:r>
        <w:rPr/>
        <w:t>in</w:t>
      </w:r>
      <w:r>
        <w:rPr>
          <w:spacing w:val="-24"/>
        </w:rPr>
        <w:t> </w:t>
      </w:r>
      <w:r>
        <w:rPr/>
        <w:t>mind,</w:t>
      </w:r>
      <w:r>
        <w:rPr>
          <w:spacing w:val="-24"/>
        </w:rPr>
        <w:t> </w:t>
      </w:r>
      <w:r>
        <w:rPr/>
        <w:t>Government Procurement has engaged agencies to better understand their fleet requirements, and offer tailored solutions in order to rationalise vehicle numbers and reduce related</w:t>
      </w:r>
      <w:r>
        <w:rPr>
          <w:spacing w:val="-11"/>
        </w:rPr>
        <w:t> </w:t>
      </w:r>
      <w:r>
        <w:rPr/>
        <w:t>debt.</w:t>
      </w:r>
    </w:p>
    <w:p>
      <w:pPr>
        <w:pStyle w:val="BodyText"/>
        <w:spacing w:before="7"/>
        <w:rPr>
          <w:sz w:val="23"/>
        </w:rPr>
      </w:pPr>
    </w:p>
    <w:p>
      <w:pPr>
        <w:pStyle w:val="BodyText"/>
        <w:spacing w:line="249" w:lineRule="auto"/>
        <w:ind w:left="513" w:right="72"/>
      </w:pPr>
      <w:r>
        <w:rPr>
          <w:spacing w:val="-13"/>
        </w:rPr>
        <w:t>To</w:t>
      </w:r>
      <w:r>
        <w:rPr>
          <w:spacing w:val="-21"/>
        </w:rPr>
        <w:t> </w:t>
      </w:r>
      <w:r>
        <w:rPr/>
        <w:t>better</w:t>
      </w:r>
      <w:r>
        <w:rPr>
          <w:spacing w:val="-21"/>
        </w:rPr>
        <w:t> </w:t>
      </w:r>
      <w:r>
        <w:rPr/>
        <w:t>reflect</w:t>
      </w:r>
      <w:r>
        <w:rPr>
          <w:spacing w:val="-20"/>
        </w:rPr>
        <w:t> </w:t>
      </w:r>
      <w:r>
        <w:rPr/>
        <w:t>the</w:t>
      </w:r>
      <w:r>
        <w:rPr>
          <w:spacing w:val="-21"/>
        </w:rPr>
        <w:t> </w:t>
      </w:r>
      <w:r>
        <w:rPr/>
        <w:t>effort</w:t>
      </w:r>
      <w:r>
        <w:rPr>
          <w:spacing w:val="-20"/>
        </w:rPr>
        <w:t> </w:t>
      </w:r>
      <w:r>
        <w:rPr/>
        <w:t>that</w:t>
      </w:r>
      <w:r>
        <w:rPr>
          <w:spacing w:val="-21"/>
        </w:rPr>
        <w:t> </w:t>
      </w:r>
      <w:r>
        <w:rPr/>
        <w:t>goes</w:t>
      </w:r>
      <w:r>
        <w:rPr>
          <w:spacing w:val="-20"/>
        </w:rPr>
        <w:t> </w:t>
      </w:r>
      <w:r>
        <w:rPr/>
        <w:t>into</w:t>
      </w:r>
      <w:r>
        <w:rPr>
          <w:spacing w:val="-21"/>
        </w:rPr>
        <w:t> </w:t>
      </w:r>
      <w:r>
        <w:rPr/>
        <w:t>delivering new</w:t>
      </w:r>
      <w:r>
        <w:rPr>
          <w:spacing w:val="-11"/>
        </w:rPr>
        <w:t> </w:t>
      </w:r>
      <w:r>
        <w:rPr/>
        <w:t>government</w:t>
      </w:r>
      <w:r>
        <w:rPr>
          <w:spacing w:val="-10"/>
        </w:rPr>
        <w:t> </w:t>
      </w:r>
      <w:r>
        <w:rPr/>
        <w:t>buildings</w:t>
      </w:r>
      <w:r>
        <w:rPr>
          <w:spacing w:val="-11"/>
        </w:rPr>
        <w:t> </w:t>
      </w:r>
      <w:r>
        <w:rPr/>
        <w:t>for</w:t>
      </w:r>
      <w:r>
        <w:rPr>
          <w:spacing w:val="-10"/>
        </w:rPr>
        <w:t> </w:t>
      </w:r>
      <w:r>
        <w:rPr/>
        <w:t>agencies,</w:t>
      </w:r>
      <w:r>
        <w:rPr>
          <w:spacing w:val="-10"/>
        </w:rPr>
        <w:t> </w:t>
      </w:r>
      <w:r>
        <w:rPr/>
        <w:t>as</w:t>
      </w:r>
      <w:r>
        <w:rPr>
          <w:spacing w:val="-11"/>
        </w:rPr>
        <w:t> </w:t>
      </w:r>
      <w:r>
        <w:rPr/>
        <w:t>of</w:t>
      </w:r>
    </w:p>
    <w:p>
      <w:pPr>
        <w:spacing w:line="249" w:lineRule="auto" w:before="2"/>
        <w:ind w:left="513" w:right="6" w:firstLine="0"/>
        <w:jc w:val="left"/>
        <w:rPr>
          <w:sz w:val="22"/>
        </w:rPr>
      </w:pPr>
      <w:r>
        <w:rPr>
          <w:sz w:val="22"/>
        </w:rPr>
        <w:t>1 July 2016 </w:t>
      </w:r>
      <w:r>
        <w:rPr>
          <w:b/>
          <w:sz w:val="22"/>
        </w:rPr>
        <w:t>Building Management and Works </w:t>
      </w:r>
      <w:r>
        <w:rPr>
          <w:sz w:val="22"/>
        </w:rPr>
        <w:t>initiated a change to the way it charges client agencies for managing capital works projects.</w:t>
      </w:r>
    </w:p>
    <w:p>
      <w:pPr>
        <w:pStyle w:val="BodyText"/>
        <w:spacing w:line="249" w:lineRule="auto" w:before="2"/>
        <w:ind w:left="513" w:right="-4"/>
      </w:pPr>
      <w:r>
        <w:rPr/>
        <w:t>The new arrangements are designed to reflect actual</w:t>
      </w:r>
      <w:r>
        <w:rPr>
          <w:spacing w:val="-16"/>
        </w:rPr>
        <w:t> </w:t>
      </w:r>
      <w:r>
        <w:rPr/>
        <w:t>costs</w:t>
      </w:r>
      <w:r>
        <w:rPr>
          <w:spacing w:val="-15"/>
        </w:rPr>
        <w:t> </w:t>
      </w:r>
      <w:r>
        <w:rPr/>
        <w:t>incurred,</w:t>
      </w:r>
      <w:r>
        <w:rPr>
          <w:spacing w:val="-15"/>
        </w:rPr>
        <w:t> </w:t>
      </w:r>
      <w:r>
        <w:rPr/>
        <w:t>and</w:t>
      </w:r>
      <w:r>
        <w:rPr>
          <w:spacing w:val="-15"/>
        </w:rPr>
        <w:t> </w:t>
      </w:r>
      <w:r>
        <w:rPr/>
        <w:t>are</w:t>
      </w:r>
      <w:r>
        <w:rPr>
          <w:spacing w:val="-15"/>
        </w:rPr>
        <w:t> </w:t>
      </w:r>
      <w:r>
        <w:rPr/>
        <w:t>consistent</w:t>
      </w:r>
      <w:r>
        <w:rPr>
          <w:spacing w:val="-15"/>
        </w:rPr>
        <w:t> </w:t>
      </w:r>
      <w:r>
        <w:rPr/>
        <w:t>with</w:t>
      </w:r>
      <w:r>
        <w:rPr>
          <w:spacing w:val="-16"/>
        </w:rPr>
        <w:t> </w:t>
      </w:r>
      <w:r>
        <w:rPr>
          <w:spacing w:val="-5"/>
        </w:rPr>
        <w:t>best </w:t>
      </w:r>
      <w:r>
        <w:rPr/>
        <w:t>practice,</w:t>
      </w:r>
      <w:r>
        <w:rPr>
          <w:spacing w:val="-20"/>
        </w:rPr>
        <w:t> </w:t>
      </w:r>
      <w:r>
        <w:rPr/>
        <w:t>enhancing</w:t>
      </w:r>
      <w:r>
        <w:rPr>
          <w:spacing w:val="-20"/>
        </w:rPr>
        <w:t> </w:t>
      </w:r>
      <w:r>
        <w:rPr/>
        <w:t>transparency</w:t>
      </w:r>
      <w:r>
        <w:rPr>
          <w:spacing w:val="-20"/>
        </w:rPr>
        <w:t> </w:t>
      </w:r>
      <w:r>
        <w:rPr/>
        <w:t>and</w:t>
      </w:r>
      <w:r>
        <w:rPr>
          <w:spacing w:val="-20"/>
        </w:rPr>
        <w:t> </w:t>
      </w:r>
      <w:r>
        <w:rPr/>
        <w:t>flexibility.</w:t>
      </w:r>
    </w:p>
    <w:p>
      <w:pPr>
        <w:pStyle w:val="BodyText"/>
        <w:spacing w:before="9"/>
        <w:rPr>
          <w:sz w:val="21"/>
        </w:rPr>
      </w:pPr>
      <w:r>
        <w:rPr/>
        <w:br w:type="column"/>
      </w:r>
      <w:r>
        <w:rPr>
          <w:sz w:val="21"/>
        </w:rPr>
      </w:r>
    </w:p>
    <w:p>
      <w:pPr>
        <w:pStyle w:val="BodyText"/>
        <w:spacing w:line="249" w:lineRule="auto"/>
        <w:ind w:left="448" w:right="839"/>
      </w:pPr>
      <w:r>
        <w:rPr/>
        <w:t>Over</w:t>
      </w:r>
      <w:r>
        <w:rPr>
          <w:spacing w:val="-26"/>
        </w:rPr>
        <w:t> </w:t>
      </w:r>
      <w:r>
        <w:rPr/>
        <w:t>the</w:t>
      </w:r>
      <w:r>
        <w:rPr>
          <w:spacing w:val="-26"/>
        </w:rPr>
        <w:t> </w:t>
      </w:r>
      <w:r>
        <w:rPr>
          <w:spacing w:val="-5"/>
        </w:rPr>
        <w:t>year,</w:t>
      </w:r>
      <w:r>
        <w:rPr>
          <w:spacing w:val="-25"/>
        </w:rPr>
        <w:t> </w:t>
      </w:r>
      <w:r>
        <w:rPr/>
        <w:t>these</w:t>
      </w:r>
      <w:r>
        <w:rPr>
          <w:spacing w:val="-26"/>
        </w:rPr>
        <w:t> </w:t>
      </w:r>
      <w:r>
        <w:rPr/>
        <w:t>new</w:t>
      </w:r>
      <w:r>
        <w:rPr>
          <w:spacing w:val="-26"/>
        </w:rPr>
        <w:t> </w:t>
      </w:r>
      <w:r>
        <w:rPr/>
        <w:t>arrangements</w:t>
      </w:r>
      <w:r>
        <w:rPr>
          <w:spacing w:val="-25"/>
        </w:rPr>
        <w:t> </w:t>
      </w:r>
      <w:r>
        <w:rPr/>
        <w:t>have</w:t>
      </w:r>
      <w:r>
        <w:rPr>
          <w:spacing w:val="-26"/>
        </w:rPr>
        <w:t> </w:t>
      </w:r>
      <w:r>
        <w:rPr>
          <w:spacing w:val="-5"/>
        </w:rPr>
        <w:t>seen </w:t>
      </w:r>
      <w:r>
        <w:rPr/>
        <w:t>a reduction in fees charged to agencies for most capital works projects, with agencies able to influence</w:t>
      </w:r>
      <w:r>
        <w:rPr>
          <w:spacing w:val="-11"/>
        </w:rPr>
        <w:t> </w:t>
      </w:r>
      <w:r>
        <w:rPr/>
        <w:t>charges</w:t>
      </w:r>
      <w:r>
        <w:rPr>
          <w:spacing w:val="-10"/>
        </w:rPr>
        <w:t> </w:t>
      </w:r>
      <w:r>
        <w:rPr/>
        <w:t>by</w:t>
      </w:r>
      <w:r>
        <w:rPr>
          <w:spacing w:val="-10"/>
        </w:rPr>
        <w:t> </w:t>
      </w:r>
      <w:r>
        <w:rPr/>
        <w:t>working</w:t>
      </w:r>
      <w:r>
        <w:rPr>
          <w:spacing w:val="-11"/>
        </w:rPr>
        <w:t> </w:t>
      </w:r>
      <w:r>
        <w:rPr/>
        <w:t>in</w:t>
      </w:r>
      <w:r>
        <w:rPr>
          <w:spacing w:val="-10"/>
        </w:rPr>
        <w:t> </w:t>
      </w:r>
      <w:r>
        <w:rPr/>
        <w:t>collaboration</w:t>
      </w:r>
    </w:p>
    <w:p>
      <w:pPr>
        <w:pStyle w:val="BodyText"/>
        <w:spacing w:line="249" w:lineRule="auto" w:before="4"/>
        <w:ind w:left="448" w:right="1065"/>
      </w:pPr>
      <w:r>
        <w:rPr/>
        <w:t>with</w:t>
      </w:r>
      <w:r>
        <w:rPr>
          <w:spacing w:val="-23"/>
        </w:rPr>
        <w:t> </w:t>
      </w:r>
      <w:r>
        <w:rPr/>
        <w:t>Building</w:t>
      </w:r>
      <w:r>
        <w:rPr>
          <w:spacing w:val="-23"/>
        </w:rPr>
        <w:t> </w:t>
      </w:r>
      <w:r>
        <w:rPr/>
        <w:t>Management</w:t>
      </w:r>
      <w:r>
        <w:rPr>
          <w:spacing w:val="-22"/>
        </w:rPr>
        <w:t> </w:t>
      </w:r>
      <w:r>
        <w:rPr/>
        <w:t>and</w:t>
      </w:r>
      <w:r>
        <w:rPr>
          <w:spacing w:val="-23"/>
        </w:rPr>
        <w:t> </w:t>
      </w:r>
      <w:r>
        <w:rPr/>
        <w:t>Works.</w:t>
      </w:r>
      <w:r>
        <w:rPr>
          <w:spacing w:val="-22"/>
        </w:rPr>
        <w:t> </w:t>
      </w:r>
      <w:r>
        <w:rPr/>
        <w:t>A</w:t>
      </w:r>
      <w:r>
        <w:rPr>
          <w:spacing w:val="-23"/>
        </w:rPr>
        <w:t> </w:t>
      </w:r>
      <w:r>
        <w:rPr>
          <w:spacing w:val="-3"/>
        </w:rPr>
        <w:t>similar </w:t>
      </w:r>
      <w:r>
        <w:rPr/>
        <w:t>approach has been taken in the development of</w:t>
      </w:r>
      <w:r>
        <w:rPr>
          <w:spacing w:val="-7"/>
        </w:rPr>
        <w:t> </w:t>
      </w:r>
      <w:r>
        <w:rPr/>
        <w:t>a</w:t>
      </w:r>
      <w:r>
        <w:rPr>
          <w:spacing w:val="-6"/>
        </w:rPr>
        <w:t> </w:t>
      </w:r>
      <w:r>
        <w:rPr/>
        <w:t>funding</w:t>
      </w:r>
      <w:r>
        <w:rPr>
          <w:spacing w:val="-7"/>
        </w:rPr>
        <w:t> </w:t>
      </w:r>
      <w:r>
        <w:rPr/>
        <w:t>model</w:t>
      </w:r>
      <w:r>
        <w:rPr>
          <w:spacing w:val="-6"/>
        </w:rPr>
        <w:t> </w:t>
      </w:r>
      <w:r>
        <w:rPr/>
        <w:t>to</w:t>
      </w:r>
      <w:r>
        <w:rPr>
          <w:spacing w:val="-7"/>
        </w:rPr>
        <w:t> </w:t>
      </w:r>
      <w:r>
        <w:rPr/>
        <w:t>be</w:t>
      </w:r>
      <w:r>
        <w:rPr>
          <w:spacing w:val="-6"/>
        </w:rPr>
        <w:t> </w:t>
      </w:r>
      <w:r>
        <w:rPr/>
        <w:t>applied</w:t>
      </w:r>
      <w:r>
        <w:rPr>
          <w:spacing w:val="-6"/>
        </w:rPr>
        <w:t> </w:t>
      </w:r>
      <w:r>
        <w:rPr/>
        <w:t>to</w:t>
      </w:r>
      <w:r>
        <w:rPr>
          <w:spacing w:val="-7"/>
        </w:rPr>
        <w:t> </w:t>
      </w:r>
      <w:r>
        <w:rPr/>
        <w:t>Building</w:t>
      </w:r>
    </w:p>
    <w:p>
      <w:pPr>
        <w:pStyle w:val="BodyText"/>
        <w:spacing w:line="249" w:lineRule="auto" w:before="3"/>
        <w:ind w:left="448" w:right="859"/>
      </w:pPr>
      <w:r>
        <w:rPr/>
        <w:t>Management</w:t>
      </w:r>
      <w:r>
        <w:rPr>
          <w:spacing w:val="-31"/>
        </w:rPr>
        <w:t> </w:t>
      </w:r>
      <w:r>
        <w:rPr/>
        <w:t>and</w:t>
      </w:r>
      <w:r>
        <w:rPr>
          <w:spacing w:val="-30"/>
        </w:rPr>
        <w:t> </w:t>
      </w:r>
      <w:r>
        <w:rPr/>
        <w:t>Works</w:t>
      </w:r>
      <w:r>
        <w:rPr>
          <w:spacing w:val="-31"/>
        </w:rPr>
        <w:t> </w:t>
      </w:r>
      <w:r>
        <w:rPr/>
        <w:t>maintenance</w:t>
      </w:r>
      <w:r>
        <w:rPr>
          <w:spacing w:val="-30"/>
        </w:rPr>
        <w:t> </w:t>
      </w:r>
      <w:r>
        <w:rPr/>
        <w:t>services</w:t>
      </w:r>
      <w:r>
        <w:rPr>
          <w:spacing w:val="-31"/>
        </w:rPr>
        <w:t> </w:t>
      </w:r>
      <w:r>
        <w:rPr>
          <w:spacing w:val="-9"/>
        </w:rPr>
        <w:t>as </w:t>
      </w:r>
      <w:r>
        <w:rPr/>
        <w:t>of 1 July</w:t>
      </w:r>
      <w:r>
        <w:rPr>
          <w:spacing w:val="-2"/>
        </w:rPr>
        <w:t> </w:t>
      </w:r>
      <w:r>
        <w:rPr/>
        <w:t>2017.</w:t>
      </w:r>
    </w:p>
    <w:p>
      <w:pPr>
        <w:pStyle w:val="BodyText"/>
        <w:spacing w:before="1"/>
        <w:rPr>
          <w:sz w:val="23"/>
        </w:rPr>
      </w:pPr>
    </w:p>
    <w:p>
      <w:pPr>
        <w:pStyle w:val="BodyText"/>
        <w:spacing w:line="249" w:lineRule="auto"/>
        <w:ind w:left="448" w:right="866"/>
      </w:pPr>
      <w:r>
        <w:rPr/>
        <w:t>Quickly</w:t>
      </w:r>
      <w:r>
        <w:rPr>
          <w:spacing w:val="-24"/>
        </w:rPr>
        <w:t> </w:t>
      </w:r>
      <w:r>
        <w:rPr/>
        <w:t>implementing</w:t>
      </w:r>
      <w:r>
        <w:rPr>
          <w:spacing w:val="-23"/>
        </w:rPr>
        <w:t> </w:t>
      </w:r>
      <w:r>
        <w:rPr/>
        <w:t>policies</w:t>
      </w:r>
      <w:r>
        <w:rPr>
          <w:spacing w:val="-23"/>
        </w:rPr>
        <w:t> </w:t>
      </w:r>
      <w:r>
        <w:rPr/>
        <w:t>of</w:t>
      </w:r>
      <w:r>
        <w:rPr>
          <w:spacing w:val="-23"/>
        </w:rPr>
        <w:t> </w:t>
      </w:r>
      <w:r>
        <w:rPr/>
        <w:t>the</w:t>
      </w:r>
      <w:r>
        <w:rPr>
          <w:spacing w:val="-23"/>
        </w:rPr>
        <w:t> </w:t>
      </w:r>
      <w:r>
        <w:rPr/>
        <w:t>Government in</w:t>
      </w:r>
      <w:r>
        <w:rPr>
          <w:spacing w:val="-16"/>
        </w:rPr>
        <w:t> </w:t>
      </w:r>
      <w:r>
        <w:rPr/>
        <w:t>a</w:t>
      </w:r>
      <w:r>
        <w:rPr>
          <w:spacing w:val="-16"/>
        </w:rPr>
        <w:t> </w:t>
      </w:r>
      <w:r>
        <w:rPr/>
        <w:t>way</w:t>
      </w:r>
      <w:r>
        <w:rPr>
          <w:spacing w:val="-16"/>
        </w:rPr>
        <w:t> </w:t>
      </w:r>
      <w:r>
        <w:rPr/>
        <w:t>that</w:t>
      </w:r>
      <w:r>
        <w:rPr>
          <w:spacing w:val="-16"/>
        </w:rPr>
        <w:t> </w:t>
      </w:r>
      <w:r>
        <w:rPr/>
        <w:t>enhances</w:t>
      </w:r>
      <w:r>
        <w:rPr>
          <w:spacing w:val="-15"/>
        </w:rPr>
        <w:t> </w:t>
      </w:r>
      <w:r>
        <w:rPr/>
        <w:t>clarity</w:t>
      </w:r>
      <w:r>
        <w:rPr>
          <w:spacing w:val="-16"/>
        </w:rPr>
        <w:t> </w:t>
      </w:r>
      <w:r>
        <w:rPr/>
        <w:t>for</w:t>
      </w:r>
      <w:r>
        <w:rPr>
          <w:spacing w:val="-16"/>
        </w:rPr>
        <w:t> </w:t>
      </w:r>
      <w:r>
        <w:rPr/>
        <w:t>stakeholders</w:t>
      </w:r>
      <w:r>
        <w:rPr>
          <w:spacing w:val="-16"/>
        </w:rPr>
        <w:t> </w:t>
      </w:r>
      <w:r>
        <w:rPr/>
        <w:t>is an</w:t>
      </w:r>
      <w:r>
        <w:rPr>
          <w:spacing w:val="-19"/>
        </w:rPr>
        <w:t> </w:t>
      </w:r>
      <w:r>
        <w:rPr/>
        <w:t>example</w:t>
      </w:r>
      <w:r>
        <w:rPr>
          <w:spacing w:val="-18"/>
        </w:rPr>
        <w:t> </w:t>
      </w:r>
      <w:r>
        <w:rPr/>
        <w:t>of</w:t>
      </w:r>
      <w:r>
        <w:rPr>
          <w:spacing w:val="-18"/>
        </w:rPr>
        <w:t> </w:t>
      </w:r>
      <w:r>
        <w:rPr/>
        <w:t>the</w:t>
      </w:r>
      <w:r>
        <w:rPr>
          <w:spacing w:val="-18"/>
        </w:rPr>
        <w:t> </w:t>
      </w:r>
      <w:r>
        <w:rPr/>
        <w:t>way</w:t>
      </w:r>
      <w:r>
        <w:rPr>
          <w:spacing w:val="-19"/>
        </w:rPr>
        <w:t> </w:t>
      </w:r>
      <w:r>
        <w:rPr/>
        <w:t>the</w:t>
      </w:r>
      <w:r>
        <w:rPr>
          <w:spacing w:val="-18"/>
        </w:rPr>
        <w:t> </w:t>
      </w:r>
      <w:r>
        <w:rPr/>
        <w:t>Department</w:t>
      </w:r>
      <w:r>
        <w:rPr>
          <w:spacing w:val="-18"/>
        </w:rPr>
        <w:t> </w:t>
      </w:r>
      <w:r>
        <w:rPr/>
        <w:t>of</w:t>
      </w:r>
      <w:r>
        <w:rPr>
          <w:spacing w:val="-18"/>
        </w:rPr>
        <w:t> </w:t>
      </w:r>
      <w:r>
        <w:rPr>
          <w:spacing w:val="-3"/>
        </w:rPr>
        <w:t>Finance </w:t>
      </w:r>
      <w:r>
        <w:rPr/>
        <w:t>is committed to providing quality</w:t>
      </w:r>
      <w:r>
        <w:rPr>
          <w:spacing w:val="-31"/>
        </w:rPr>
        <w:t> </w:t>
      </w:r>
      <w:r>
        <w:rPr/>
        <w:t>services.</w:t>
      </w:r>
    </w:p>
    <w:p>
      <w:pPr>
        <w:pStyle w:val="BodyText"/>
        <w:spacing w:line="249" w:lineRule="auto" w:before="4"/>
        <w:ind w:left="448" w:right="1300"/>
      </w:pPr>
      <w:r>
        <w:rPr/>
        <w:t>In</w:t>
      </w:r>
      <w:r>
        <w:rPr>
          <w:spacing w:val="-15"/>
        </w:rPr>
        <w:t> </w:t>
      </w:r>
      <w:r>
        <w:rPr/>
        <w:t>relation</w:t>
      </w:r>
      <w:r>
        <w:rPr>
          <w:spacing w:val="-14"/>
        </w:rPr>
        <w:t> </w:t>
      </w:r>
      <w:r>
        <w:rPr/>
        <w:t>to</w:t>
      </w:r>
      <w:r>
        <w:rPr>
          <w:spacing w:val="-15"/>
        </w:rPr>
        <w:t> </w:t>
      </w:r>
      <w:r>
        <w:rPr/>
        <w:t>changes</w:t>
      </w:r>
      <w:r>
        <w:rPr>
          <w:spacing w:val="-14"/>
        </w:rPr>
        <w:t> </w:t>
      </w:r>
      <w:r>
        <w:rPr/>
        <w:t>to</w:t>
      </w:r>
      <w:r>
        <w:rPr>
          <w:spacing w:val="-15"/>
        </w:rPr>
        <w:t> </w:t>
      </w:r>
      <w:r>
        <w:rPr/>
        <w:t>the</w:t>
      </w:r>
      <w:r>
        <w:rPr>
          <w:spacing w:val="-14"/>
        </w:rPr>
        <w:t> </w:t>
      </w:r>
      <w:r>
        <w:rPr/>
        <w:t>first</w:t>
      </w:r>
      <w:r>
        <w:rPr>
          <w:spacing w:val="-14"/>
        </w:rPr>
        <w:t> </w:t>
      </w:r>
      <w:r>
        <w:rPr/>
        <w:t>home</w:t>
      </w:r>
      <w:r>
        <w:rPr>
          <w:spacing w:val="-15"/>
        </w:rPr>
        <w:t> </w:t>
      </w:r>
      <w:r>
        <w:rPr>
          <w:spacing w:val="-4"/>
        </w:rPr>
        <w:t>owner </w:t>
      </w:r>
      <w:r>
        <w:rPr/>
        <w:t>grant</w:t>
      </w:r>
      <w:r>
        <w:rPr>
          <w:spacing w:val="-11"/>
        </w:rPr>
        <w:t> </w:t>
      </w:r>
      <w:r>
        <w:rPr/>
        <w:t>policy</w:t>
      </w:r>
      <w:r>
        <w:rPr>
          <w:spacing w:val="-10"/>
        </w:rPr>
        <w:t> </w:t>
      </w:r>
      <w:r>
        <w:rPr/>
        <w:t>that</w:t>
      </w:r>
      <w:r>
        <w:rPr>
          <w:spacing w:val="-10"/>
        </w:rPr>
        <w:t> </w:t>
      </w:r>
      <w:r>
        <w:rPr/>
        <w:t>have</w:t>
      </w:r>
      <w:r>
        <w:rPr>
          <w:spacing w:val="-10"/>
        </w:rPr>
        <w:t> </w:t>
      </w:r>
      <w:r>
        <w:rPr/>
        <w:t>been</w:t>
      </w:r>
      <w:r>
        <w:rPr>
          <w:spacing w:val="-10"/>
        </w:rPr>
        <w:t> </w:t>
      </w:r>
      <w:r>
        <w:rPr/>
        <w:t>made</w:t>
      </w:r>
      <w:r>
        <w:rPr>
          <w:spacing w:val="-10"/>
        </w:rPr>
        <w:t> </w:t>
      </w:r>
      <w:r>
        <w:rPr/>
        <w:t>over</w:t>
      </w:r>
      <w:r>
        <w:rPr>
          <w:spacing w:val="-10"/>
        </w:rPr>
        <w:t> </w:t>
      </w:r>
      <w:r>
        <w:rPr/>
        <w:t>the</w:t>
      </w:r>
    </w:p>
    <w:p>
      <w:pPr>
        <w:pStyle w:val="BodyText"/>
        <w:spacing w:line="249" w:lineRule="auto" w:before="1"/>
        <w:ind w:left="448" w:right="810"/>
      </w:pPr>
      <w:r>
        <w:rPr/>
        <w:t>last </w:t>
      </w:r>
      <w:r>
        <w:rPr>
          <w:spacing w:val="-5"/>
        </w:rPr>
        <w:t>year, </w:t>
      </w:r>
      <w:r>
        <w:rPr>
          <w:b/>
        </w:rPr>
        <w:t>State Revenue </w:t>
      </w:r>
      <w:r>
        <w:rPr/>
        <w:t>supported prospective first home buyers by providing a comprehensive first home owner grant information guide online. With the first home owner grant policy changes seeing</w:t>
      </w:r>
      <w:r>
        <w:rPr>
          <w:spacing w:val="-16"/>
        </w:rPr>
        <w:t> </w:t>
      </w:r>
      <w:r>
        <w:rPr/>
        <w:t>an</w:t>
      </w:r>
      <w:r>
        <w:rPr>
          <w:spacing w:val="-15"/>
        </w:rPr>
        <w:t> </w:t>
      </w:r>
      <w:r>
        <w:rPr/>
        <w:t>84</w:t>
      </w:r>
      <w:r>
        <w:rPr>
          <w:spacing w:val="-15"/>
        </w:rPr>
        <w:t> </w:t>
      </w:r>
      <w:r>
        <w:rPr/>
        <w:t>per</w:t>
      </w:r>
      <w:r>
        <w:rPr>
          <w:spacing w:val="-16"/>
        </w:rPr>
        <w:t> </w:t>
      </w:r>
      <w:r>
        <w:rPr/>
        <w:t>cent</w:t>
      </w:r>
      <w:r>
        <w:rPr>
          <w:spacing w:val="-15"/>
        </w:rPr>
        <w:t> </w:t>
      </w:r>
      <w:r>
        <w:rPr/>
        <w:t>increase</w:t>
      </w:r>
      <w:r>
        <w:rPr>
          <w:spacing w:val="-15"/>
        </w:rPr>
        <w:t> </w:t>
      </w:r>
      <w:r>
        <w:rPr/>
        <w:t>in</w:t>
      </w:r>
      <w:r>
        <w:rPr>
          <w:spacing w:val="-15"/>
        </w:rPr>
        <w:t> </w:t>
      </w:r>
      <w:r>
        <w:rPr/>
        <w:t>website</w:t>
      </w:r>
      <w:r>
        <w:rPr>
          <w:spacing w:val="-16"/>
        </w:rPr>
        <w:t> </w:t>
      </w:r>
      <w:r>
        <w:rPr/>
        <w:t>activity and</w:t>
      </w:r>
      <w:r>
        <w:rPr>
          <w:spacing w:val="-12"/>
        </w:rPr>
        <w:t> </w:t>
      </w:r>
      <w:r>
        <w:rPr/>
        <w:t>a</w:t>
      </w:r>
      <w:r>
        <w:rPr>
          <w:spacing w:val="-12"/>
        </w:rPr>
        <w:t> </w:t>
      </w:r>
      <w:r>
        <w:rPr/>
        <w:t>21</w:t>
      </w:r>
      <w:r>
        <w:rPr>
          <w:spacing w:val="-12"/>
        </w:rPr>
        <w:t> </w:t>
      </w:r>
      <w:r>
        <w:rPr/>
        <w:t>per</w:t>
      </w:r>
      <w:r>
        <w:rPr>
          <w:spacing w:val="-12"/>
        </w:rPr>
        <w:t> </w:t>
      </w:r>
      <w:r>
        <w:rPr/>
        <w:t>cent</w:t>
      </w:r>
      <w:r>
        <w:rPr>
          <w:spacing w:val="-11"/>
        </w:rPr>
        <w:t> </w:t>
      </w:r>
      <w:r>
        <w:rPr/>
        <w:t>increase</w:t>
      </w:r>
      <w:r>
        <w:rPr>
          <w:spacing w:val="-12"/>
        </w:rPr>
        <w:t> </w:t>
      </w:r>
      <w:r>
        <w:rPr/>
        <w:t>in</w:t>
      </w:r>
      <w:r>
        <w:rPr>
          <w:spacing w:val="-12"/>
        </w:rPr>
        <w:t> </w:t>
      </w:r>
      <w:r>
        <w:rPr/>
        <w:t>telephone</w:t>
      </w:r>
      <w:r>
        <w:rPr>
          <w:spacing w:val="-12"/>
        </w:rPr>
        <w:t> </w:t>
      </w:r>
      <w:r>
        <w:rPr/>
        <w:t>contact</w:t>
      </w:r>
      <w:r>
        <w:rPr>
          <w:spacing w:val="-11"/>
        </w:rPr>
        <w:t> </w:t>
      </w:r>
      <w:r>
        <w:rPr>
          <w:spacing w:val="-9"/>
        </w:rPr>
        <w:t>to </w:t>
      </w:r>
      <w:r>
        <w:rPr/>
        <w:t>the</w:t>
      </w:r>
      <w:r>
        <w:rPr>
          <w:spacing w:val="-21"/>
        </w:rPr>
        <w:t> </w:t>
      </w:r>
      <w:r>
        <w:rPr/>
        <w:t>call</w:t>
      </w:r>
      <w:r>
        <w:rPr>
          <w:spacing w:val="-20"/>
        </w:rPr>
        <w:t> </w:t>
      </w:r>
      <w:r>
        <w:rPr/>
        <w:t>centre,</w:t>
      </w:r>
      <w:r>
        <w:rPr>
          <w:spacing w:val="-20"/>
        </w:rPr>
        <w:t> </w:t>
      </w:r>
      <w:r>
        <w:rPr/>
        <w:t>this</w:t>
      </w:r>
      <w:r>
        <w:rPr>
          <w:spacing w:val="-20"/>
        </w:rPr>
        <w:t> </w:t>
      </w:r>
      <w:r>
        <w:rPr/>
        <w:t>information</w:t>
      </w:r>
      <w:r>
        <w:rPr>
          <w:spacing w:val="-20"/>
        </w:rPr>
        <w:t> </w:t>
      </w:r>
      <w:r>
        <w:rPr/>
        <w:t>has</w:t>
      </w:r>
      <w:r>
        <w:rPr>
          <w:spacing w:val="-20"/>
        </w:rPr>
        <w:t> </w:t>
      </w:r>
      <w:r>
        <w:rPr/>
        <w:t>been</w:t>
      </w:r>
      <w:r>
        <w:rPr>
          <w:spacing w:val="-20"/>
        </w:rPr>
        <w:t> </w:t>
      </w:r>
      <w:r>
        <w:rPr/>
        <w:t>valuable in supporting those impacted by the policy changes.</w:t>
      </w:r>
    </w:p>
    <w:p>
      <w:pPr>
        <w:spacing w:after="0" w:line="249" w:lineRule="auto"/>
        <w:sectPr>
          <w:type w:val="continuous"/>
          <w:pgSz w:w="16840" w:h="11910" w:orient="landscape"/>
          <w:pgMar w:top="0" w:bottom="0" w:left="0" w:right="0"/>
          <w:cols w:num="3" w:equalWidth="0">
            <w:col w:w="5457" w:space="40"/>
            <w:col w:w="5269" w:space="39"/>
            <w:col w:w="6035"/>
          </w:cols>
        </w:sectPr>
      </w:pPr>
    </w:p>
    <w:p>
      <w:pPr>
        <w:tabs>
          <w:tab w:pos="9621" w:val="left" w:leader="none"/>
          <w:tab w:pos="14432" w:val="left" w:leader="none"/>
        </w:tabs>
        <w:spacing w:line="240" w:lineRule="auto"/>
        <w:ind w:left="0" w:right="-58" w:firstLine="0"/>
        <w:rPr>
          <w:sz w:val="20"/>
        </w:rPr>
      </w:pPr>
      <w:bookmarkStart w:name="_bookmark11" w:id="12"/>
      <w:bookmarkEnd w:id="12"/>
      <w:r>
        <w:rPr/>
      </w:r>
      <w:r>
        <w:rPr>
          <w:sz w:val="20"/>
        </w:rPr>
        <w:pict>
          <v:group style="width:360.85pt;height:42.55pt;mso-position-horizontal-relative:char;mso-position-vertical-relative:line" coordorigin="0,0" coordsize="7217,851">
            <v:rect style="position:absolute;left:4810;top:0;width:2406;height:851" filled="true" fillcolor="#e6e7e8" stroked="false">
              <v:fill type="solid"/>
            </v:rect>
            <v:shape style="position:absolute;left:4810;top:0;width:583;height:583" type="#_x0000_t75" stroked="false">
              <v:imagedata r:id="rId51" o:title=""/>
            </v:shape>
            <v:shape style="position:absolute;left:4810;top:0;width:2406;height:851"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v:shape style="position:absolute;left:2405;top:0;width:2406;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0;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v:group>
        </w:pict>
      </w:r>
      <w:r>
        <w:rPr>
          <w:sz w:val="20"/>
        </w:rPr>
      </w:r>
      <w:r>
        <w:rPr>
          <w:sz w:val="20"/>
        </w:rPr>
        <w:tab/>
      </w: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spacing w:before="6"/>
        <w:rPr>
          <w:sz w:val="20"/>
        </w:rPr>
      </w:pPr>
    </w:p>
    <w:p>
      <w:pPr>
        <w:spacing w:after="0"/>
        <w:rPr>
          <w:sz w:val="20"/>
        </w:rPr>
        <w:sectPr>
          <w:footerReference w:type="default" r:id="rId116"/>
          <w:pgSz w:w="16840" w:h="11910" w:orient="landscape"/>
          <w:pgMar w:footer="0" w:header="0" w:top="0" w:bottom="0" w:left="0" w:right="0"/>
        </w:sectPr>
      </w:pPr>
    </w:p>
    <w:p>
      <w:pPr>
        <w:pStyle w:val="BodyText"/>
        <w:spacing w:line="249" w:lineRule="auto" w:before="108"/>
        <w:ind w:left="765" w:right="-8"/>
      </w:pPr>
      <w:r>
        <w:rPr/>
        <w:pict>
          <v:shape style="position:absolute;margin-left:601.348999pt;margin-top:-91.349113pt;width:120.3pt;height:42.55pt;mso-position-horizontal-relative:page;mso-position-vertical-relative:paragraph;z-index:6088"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pict>
          <v:shape style="position:absolute;margin-left:360.811798pt;margin-top:-91.349113pt;width:120.3pt;height:42.55pt;mso-position-horizontal-relative:page;mso-position-vertical-relative:paragraph;z-index:6112"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t>The </w:t>
      </w:r>
      <w:r>
        <w:rPr>
          <w:b/>
          <w:spacing w:val="-3"/>
        </w:rPr>
        <w:t>Public Utilities </w:t>
      </w:r>
      <w:r>
        <w:rPr>
          <w:b/>
          <w:spacing w:val="-4"/>
        </w:rPr>
        <w:t>Office </w:t>
      </w:r>
      <w:r>
        <w:rPr>
          <w:spacing w:val="-3"/>
        </w:rPr>
        <w:t>continued </w:t>
      </w:r>
      <w:r>
        <w:rPr/>
        <w:t>to </w:t>
      </w:r>
      <w:r>
        <w:rPr>
          <w:spacing w:val="-4"/>
        </w:rPr>
        <w:t>provide </w:t>
      </w:r>
      <w:r>
        <w:rPr>
          <w:spacing w:val="-3"/>
        </w:rPr>
        <w:t>quality advice </w:t>
      </w:r>
      <w:r>
        <w:rPr/>
        <w:t>and </w:t>
      </w:r>
      <w:r>
        <w:rPr>
          <w:spacing w:val="-3"/>
        </w:rPr>
        <w:t>services </w:t>
      </w:r>
      <w:r>
        <w:rPr>
          <w:spacing w:val="-4"/>
        </w:rPr>
        <w:t>regarding </w:t>
      </w:r>
      <w:r>
        <w:rPr/>
        <w:t>the </w:t>
      </w:r>
      <w:r>
        <w:rPr>
          <w:spacing w:val="-6"/>
        </w:rPr>
        <w:t>State’s </w:t>
      </w:r>
      <w:r>
        <w:rPr>
          <w:spacing w:val="-3"/>
        </w:rPr>
        <w:t>energy </w:t>
      </w:r>
      <w:r>
        <w:rPr>
          <w:spacing w:val="-6"/>
        </w:rPr>
        <w:t>sector. </w:t>
      </w:r>
      <w:r>
        <w:rPr/>
        <w:t>In </w:t>
      </w:r>
      <w:r>
        <w:rPr>
          <w:spacing w:val="-4"/>
        </w:rPr>
        <w:t>order </w:t>
      </w:r>
      <w:r>
        <w:rPr/>
        <w:t>to </w:t>
      </w:r>
      <w:r>
        <w:rPr>
          <w:spacing w:val="-4"/>
        </w:rPr>
        <w:t>provide </w:t>
      </w:r>
      <w:r>
        <w:rPr>
          <w:spacing w:val="-3"/>
        </w:rPr>
        <w:t>continuity for electricity</w:t>
      </w:r>
      <w:r>
        <w:rPr>
          <w:spacing w:val="-26"/>
        </w:rPr>
        <w:t> </w:t>
      </w:r>
      <w:r>
        <w:rPr>
          <w:spacing w:val="-3"/>
        </w:rPr>
        <w:t>market</w:t>
      </w:r>
      <w:r>
        <w:rPr>
          <w:spacing w:val="-25"/>
        </w:rPr>
        <w:t> </w:t>
      </w:r>
      <w:r>
        <w:rPr>
          <w:spacing w:val="-3"/>
        </w:rPr>
        <w:t>participants,</w:t>
      </w:r>
      <w:r>
        <w:rPr>
          <w:spacing w:val="-26"/>
        </w:rPr>
        <w:t> </w:t>
      </w:r>
      <w:r>
        <w:rPr>
          <w:spacing w:val="-4"/>
        </w:rPr>
        <w:t>regulatory</w:t>
      </w:r>
      <w:r>
        <w:rPr>
          <w:spacing w:val="-26"/>
        </w:rPr>
        <w:t> </w:t>
      </w:r>
      <w:r>
        <w:rPr>
          <w:spacing w:val="-3"/>
        </w:rPr>
        <w:t>changes</w:t>
      </w:r>
      <w:r>
        <w:rPr>
          <w:spacing w:val="-25"/>
        </w:rPr>
        <w:t> </w:t>
      </w:r>
      <w:r>
        <w:rPr>
          <w:spacing w:val="-3"/>
        </w:rPr>
        <w:t>to transfer </w:t>
      </w:r>
      <w:r>
        <w:rPr/>
        <w:t>the </w:t>
      </w:r>
      <w:r>
        <w:rPr>
          <w:spacing w:val="-3"/>
        </w:rPr>
        <w:t>compliance </w:t>
      </w:r>
      <w:r>
        <w:rPr/>
        <w:t>and </w:t>
      </w:r>
      <w:r>
        <w:rPr>
          <w:spacing w:val="-4"/>
        </w:rPr>
        <w:t>enforcement </w:t>
      </w:r>
      <w:r>
        <w:rPr>
          <w:spacing w:val="-3"/>
        </w:rPr>
        <w:t>functions </w:t>
      </w:r>
      <w:r>
        <w:rPr>
          <w:spacing w:val="-4"/>
        </w:rPr>
        <w:t>from </w:t>
      </w:r>
      <w:r>
        <w:rPr/>
        <w:t>the </w:t>
      </w:r>
      <w:r>
        <w:rPr>
          <w:spacing w:val="-3"/>
        </w:rPr>
        <w:t>Independent Market Operator </w:t>
      </w:r>
      <w:r>
        <w:rPr/>
        <w:t>to </w:t>
      </w:r>
      <w:r>
        <w:rPr>
          <w:spacing w:val="-3"/>
        </w:rPr>
        <w:t>local </w:t>
      </w:r>
      <w:r>
        <w:rPr>
          <w:spacing w:val="-4"/>
        </w:rPr>
        <w:t>regulator</w:t>
      </w:r>
      <w:r>
        <w:rPr>
          <w:spacing w:val="-32"/>
        </w:rPr>
        <w:t> </w:t>
      </w:r>
      <w:r>
        <w:rPr/>
        <w:t>the</w:t>
      </w:r>
      <w:r>
        <w:rPr>
          <w:spacing w:val="-31"/>
        </w:rPr>
        <w:t> </w:t>
      </w:r>
      <w:r>
        <w:rPr>
          <w:spacing w:val="-3"/>
        </w:rPr>
        <w:t>Economic</w:t>
      </w:r>
      <w:r>
        <w:rPr>
          <w:spacing w:val="-31"/>
        </w:rPr>
        <w:t> </w:t>
      </w:r>
      <w:r>
        <w:rPr>
          <w:spacing w:val="-3"/>
        </w:rPr>
        <w:t>Regulation</w:t>
      </w:r>
      <w:r>
        <w:rPr>
          <w:spacing w:val="-32"/>
        </w:rPr>
        <w:t> </w:t>
      </w:r>
      <w:r>
        <w:rPr>
          <w:spacing w:val="-3"/>
        </w:rPr>
        <w:t>Authority</w:t>
      </w:r>
      <w:r>
        <w:rPr>
          <w:spacing w:val="-31"/>
        </w:rPr>
        <w:t> </w:t>
      </w:r>
      <w:r>
        <w:rPr>
          <w:spacing w:val="-3"/>
        </w:rPr>
        <w:t>(ERA), took</w:t>
      </w:r>
      <w:r>
        <w:rPr>
          <w:spacing w:val="-18"/>
        </w:rPr>
        <w:t> </w:t>
      </w:r>
      <w:r>
        <w:rPr>
          <w:spacing w:val="-4"/>
        </w:rPr>
        <w:t>effect</w:t>
      </w:r>
      <w:r>
        <w:rPr>
          <w:spacing w:val="-18"/>
        </w:rPr>
        <w:t> </w:t>
      </w:r>
      <w:r>
        <w:rPr/>
        <w:t>on</w:t>
      </w:r>
      <w:r>
        <w:rPr>
          <w:spacing w:val="-17"/>
        </w:rPr>
        <w:t> </w:t>
      </w:r>
      <w:r>
        <w:rPr/>
        <w:t>1</w:t>
      </w:r>
      <w:r>
        <w:rPr>
          <w:spacing w:val="-18"/>
        </w:rPr>
        <w:t> </w:t>
      </w:r>
      <w:r>
        <w:rPr>
          <w:spacing w:val="-3"/>
        </w:rPr>
        <w:t>July</w:t>
      </w:r>
      <w:r>
        <w:rPr>
          <w:spacing w:val="-17"/>
        </w:rPr>
        <w:t> </w:t>
      </w:r>
      <w:r>
        <w:rPr>
          <w:spacing w:val="-3"/>
        </w:rPr>
        <w:t>2016.</w:t>
      </w:r>
      <w:r>
        <w:rPr>
          <w:spacing w:val="-18"/>
        </w:rPr>
        <w:t> </w:t>
      </w:r>
      <w:r>
        <w:rPr>
          <w:spacing w:val="-3"/>
        </w:rPr>
        <w:t>This</w:t>
      </w:r>
      <w:r>
        <w:rPr>
          <w:spacing w:val="-17"/>
        </w:rPr>
        <w:t> </w:t>
      </w:r>
      <w:r>
        <w:rPr>
          <w:spacing w:val="-3"/>
        </w:rPr>
        <w:t>move</w:t>
      </w:r>
      <w:r>
        <w:rPr>
          <w:spacing w:val="-18"/>
        </w:rPr>
        <w:t> </w:t>
      </w:r>
      <w:r>
        <w:rPr/>
        <w:t>has</w:t>
      </w:r>
      <w:r>
        <w:rPr>
          <w:spacing w:val="-18"/>
        </w:rPr>
        <w:t> </w:t>
      </w:r>
      <w:r>
        <w:rPr>
          <w:spacing w:val="-4"/>
        </w:rPr>
        <w:t>increased </w:t>
      </w:r>
      <w:r>
        <w:rPr/>
        <w:t>the </w:t>
      </w:r>
      <w:r>
        <w:rPr>
          <w:spacing w:val="-4"/>
        </w:rPr>
        <w:t>efficiency </w:t>
      </w:r>
      <w:r>
        <w:rPr/>
        <w:t>and </w:t>
      </w:r>
      <w:r>
        <w:rPr>
          <w:spacing w:val="-4"/>
        </w:rPr>
        <w:t>effectiveness </w:t>
      </w:r>
      <w:r>
        <w:rPr/>
        <w:t>of </w:t>
      </w:r>
      <w:r>
        <w:rPr>
          <w:spacing w:val="-3"/>
        </w:rPr>
        <w:t>institutional arrangements </w:t>
      </w:r>
      <w:r>
        <w:rPr/>
        <w:t>and </w:t>
      </w:r>
      <w:r>
        <w:rPr>
          <w:spacing w:val="-3"/>
        </w:rPr>
        <w:t>governance </w:t>
      </w:r>
      <w:r>
        <w:rPr>
          <w:spacing w:val="-4"/>
        </w:rPr>
        <w:t>structures </w:t>
      </w:r>
      <w:r>
        <w:rPr/>
        <w:t>of </w:t>
      </w:r>
      <w:r>
        <w:rPr>
          <w:spacing w:val="-3"/>
        </w:rPr>
        <w:t>the electricity</w:t>
      </w:r>
      <w:r>
        <w:rPr>
          <w:spacing w:val="-15"/>
        </w:rPr>
        <w:t> </w:t>
      </w:r>
      <w:r>
        <w:rPr>
          <w:spacing w:val="-3"/>
        </w:rPr>
        <w:t>market</w:t>
      </w:r>
      <w:r>
        <w:rPr>
          <w:spacing w:val="-14"/>
        </w:rPr>
        <w:t> </w:t>
      </w:r>
      <w:r>
        <w:rPr/>
        <w:t>in</w:t>
      </w:r>
      <w:r>
        <w:rPr>
          <w:spacing w:val="-14"/>
        </w:rPr>
        <w:t> </w:t>
      </w:r>
      <w:r>
        <w:rPr/>
        <w:t>the</w:t>
      </w:r>
      <w:r>
        <w:rPr>
          <w:spacing w:val="-14"/>
        </w:rPr>
        <w:t> </w:t>
      </w:r>
      <w:r>
        <w:rPr>
          <w:spacing w:val="-4"/>
        </w:rPr>
        <w:t>South-West</w:t>
      </w:r>
      <w:r>
        <w:rPr>
          <w:spacing w:val="-14"/>
        </w:rPr>
        <w:t> </w:t>
      </w:r>
      <w:r>
        <w:rPr/>
        <w:t>of</w:t>
      </w:r>
      <w:r>
        <w:rPr>
          <w:spacing w:val="-15"/>
        </w:rPr>
        <w:t> </w:t>
      </w:r>
      <w:r>
        <w:rPr/>
        <w:t>the</w:t>
      </w:r>
      <w:r>
        <w:rPr>
          <w:spacing w:val="-14"/>
        </w:rPr>
        <w:t> </w:t>
      </w:r>
      <w:r>
        <w:rPr>
          <w:spacing w:val="-3"/>
        </w:rPr>
        <w:t>State.</w:t>
      </w:r>
    </w:p>
    <w:p>
      <w:pPr>
        <w:pStyle w:val="BodyText"/>
        <w:spacing w:line="249" w:lineRule="auto" w:before="10"/>
        <w:ind w:left="765" w:right="102"/>
      </w:pPr>
      <w:r>
        <w:rPr/>
        <w:t>In </w:t>
      </w:r>
      <w:r>
        <w:rPr>
          <w:spacing w:val="-3"/>
        </w:rPr>
        <w:t>this </w:t>
      </w:r>
      <w:r>
        <w:rPr/>
        <w:t>new </w:t>
      </w:r>
      <w:r>
        <w:rPr>
          <w:spacing w:val="-4"/>
        </w:rPr>
        <w:t>role, </w:t>
      </w:r>
      <w:r>
        <w:rPr/>
        <w:t>the ERA </w:t>
      </w:r>
      <w:r>
        <w:rPr>
          <w:spacing w:val="-3"/>
        </w:rPr>
        <w:t>monitors participant compliance</w:t>
      </w:r>
      <w:r>
        <w:rPr>
          <w:spacing w:val="-30"/>
        </w:rPr>
        <w:t> </w:t>
      </w:r>
      <w:r>
        <w:rPr>
          <w:spacing w:val="-3"/>
        </w:rPr>
        <w:t>under</w:t>
      </w:r>
      <w:r>
        <w:rPr>
          <w:spacing w:val="-29"/>
        </w:rPr>
        <w:t> </w:t>
      </w:r>
      <w:r>
        <w:rPr/>
        <w:t>the</w:t>
      </w:r>
      <w:r>
        <w:rPr>
          <w:spacing w:val="-29"/>
        </w:rPr>
        <w:t> </w:t>
      </w:r>
      <w:r>
        <w:rPr>
          <w:spacing w:val="-3"/>
        </w:rPr>
        <w:t>Wholesale</w:t>
      </w:r>
      <w:r>
        <w:rPr>
          <w:spacing w:val="-29"/>
        </w:rPr>
        <w:t> </w:t>
      </w:r>
      <w:r>
        <w:rPr>
          <w:spacing w:val="-3"/>
        </w:rPr>
        <w:t>Electricity</w:t>
      </w:r>
      <w:r>
        <w:rPr>
          <w:spacing w:val="-29"/>
        </w:rPr>
        <w:t> </w:t>
      </w:r>
      <w:r>
        <w:rPr>
          <w:spacing w:val="-3"/>
        </w:rPr>
        <w:t>Market Rules</w:t>
      </w:r>
      <w:r>
        <w:rPr>
          <w:spacing w:val="-35"/>
        </w:rPr>
        <w:t> </w:t>
      </w:r>
      <w:r>
        <w:rPr/>
        <w:t>and</w:t>
      </w:r>
      <w:r>
        <w:rPr>
          <w:spacing w:val="-34"/>
        </w:rPr>
        <w:t> </w:t>
      </w:r>
      <w:r>
        <w:rPr>
          <w:spacing w:val="-3"/>
        </w:rPr>
        <w:t>also</w:t>
      </w:r>
      <w:r>
        <w:rPr>
          <w:spacing w:val="-34"/>
        </w:rPr>
        <w:t> </w:t>
      </w:r>
      <w:r>
        <w:rPr/>
        <w:t>the</w:t>
      </w:r>
      <w:r>
        <w:rPr>
          <w:spacing w:val="-34"/>
        </w:rPr>
        <w:t> </w:t>
      </w:r>
      <w:r>
        <w:rPr/>
        <w:t>Gas</w:t>
      </w:r>
      <w:r>
        <w:rPr>
          <w:spacing w:val="-35"/>
        </w:rPr>
        <w:t> </w:t>
      </w:r>
      <w:r>
        <w:rPr>
          <w:spacing w:val="-3"/>
        </w:rPr>
        <w:t>Services</w:t>
      </w:r>
      <w:r>
        <w:rPr>
          <w:spacing w:val="-34"/>
        </w:rPr>
        <w:t> </w:t>
      </w:r>
      <w:r>
        <w:rPr>
          <w:spacing w:val="-3"/>
        </w:rPr>
        <w:t>Information</w:t>
      </w:r>
      <w:r>
        <w:rPr>
          <w:spacing w:val="-34"/>
        </w:rPr>
        <w:t> </w:t>
      </w:r>
      <w:r>
        <w:rPr>
          <w:spacing w:val="-3"/>
        </w:rPr>
        <w:t>Rules, investigates potential </w:t>
      </w:r>
      <w:r>
        <w:rPr>
          <w:spacing w:val="-4"/>
        </w:rPr>
        <w:t>breaches </w:t>
      </w:r>
      <w:r>
        <w:rPr/>
        <w:t>of the </w:t>
      </w:r>
      <w:r>
        <w:rPr>
          <w:spacing w:val="-3"/>
        </w:rPr>
        <w:t>rules, and takes </w:t>
      </w:r>
      <w:r>
        <w:rPr>
          <w:spacing w:val="-4"/>
        </w:rPr>
        <w:t>enforcement </w:t>
      </w:r>
      <w:r>
        <w:rPr>
          <w:spacing w:val="-3"/>
        </w:rPr>
        <w:t>action </w:t>
      </w:r>
      <w:r>
        <w:rPr>
          <w:spacing w:val="-4"/>
        </w:rPr>
        <w:t>where</w:t>
      </w:r>
      <w:r>
        <w:rPr>
          <w:spacing w:val="-32"/>
        </w:rPr>
        <w:t> </w:t>
      </w:r>
      <w:r>
        <w:rPr>
          <w:spacing w:val="-4"/>
        </w:rPr>
        <w:t>appropriate.</w:t>
      </w:r>
    </w:p>
    <w:p>
      <w:pPr>
        <w:pStyle w:val="BodyText"/>
        <w:spacing w:before="4"/>
        <w:rPr>
          <w:sz w:val="23"/>
        </w:rPr>
      </w:pPr>
    </w:p>
    <w:p>
      <w:pPr>
        <w:pStyle w:val="BodyText"/>
        <w:spacing w:line="249" w:lineRule="auto"/>
        <w:ind w:left="765" w:right="141"/>
      </w:pPr>
      <w:r>
        <w:rPr/>
        <w:t>Legislative and regulatory changes to transfer electricity system management responsibilities from Western Power to the Australian Energy Market</w:t>
      </w:r>
      <w:r>
        <w:rPr>
          <w:spacing w:val="-11"/>
        </w:rPr>
        <w:t> </w:t>
      </w:r>
      <w:r>
        <w:rPr/>
        <w:t>Operator</w:t>
      </w:r>
      <w:r>
        <w:rPr>
          <w:spacing w:val="-11"/>
        </w:rPr>
        <w:t> </w:t>
      </w:r>
      <w:r>
        <w:rPr/>
        <w:t>also</w:t>
      </w:r>
      <w:r>
        <w:rPr>
          <w:spacing w:val="-11"/>
        </w:rPr>
        <w:t> </w:t>
      </w:r>
      <w:r>
        <w:rPr/>
        <w:t>took</w:t>
      </w:r>
      <w:r>
        <w:rPr>
          <w:spacing w:val="-11"/>
        </w:rPr>
        <w:t> </w:t>
      </w:r>
      <w:r>
        <w:rPr/>
        <w:t>effect</w:t>
      </w:r>
      <w:r>
        <w:rPr>
          <w:spacing w:val="-11"/>
        </w:rPr>
        <w:t> </w:t>
      </w:r>
      <w:r>
        <w:rPr/>
        <w:t>on</w:t>
      </w:r>
      <w:r>
        <w:rPr>
          <w:spacing w:val="-11"/>
        </w:rPr>
        <w:t> </w:t>
      </w:r>
      <w:r>
        <w:rPr/>
        <w:t>1</w:t>
      </w:r>
      <w:r>
        <w:rPr>
          <w:spacing w:val="-11"/>
        </w:rPr>
        <w:t> </w:t>
      </w:r>
      <w:r>
        <w:rPr/>
        <w:t>July</w:t>
      </w:r>
      <w:r>
        <w:rPr>
          <w:spacing w:val="-11"/>
        </w:rPr>
        <w:t> </w:t>
      </w:r>
      <w:r>
        <w:rPr/>
        <w:t>2016. These changes enhance the coordination of electricity</w:t>
      </w:r>
      <w:r>
        <w:rPr>
          <w:spacing w:val="-24"/>
        </w:rPr>
        <w:t> </w:t>
      </w:r>
      <w:r>
        <w:rPr/>
        <w:t>system</w:t>
      </w:r>
      <w:r>
        <w:rPr>
          <w:spacing w:val="-24"/>
        </w:rPr>
        <w:t> </w:t>
      </w:r>
      <w:r>
        <w:rPr/>
        <w:t>management</w:t>
      </w:r>
      <w:r>
        <w:rPr>
          <w:spacing w:val="-24"/>
        </w:rPr>
        <w:t> </w:t>
      </w:r>
      <w:r>
        <w:rPr/>
        <w:t>functions</w:t>
      </w:r>
      <w:r>
        <w:rPr>
          <w:spacing w:val="-23"/>
        </w:rPr>
        <w:t> </w:t>
      </w:r>
      <w:r>
        <w:rPr/>
        <w:t>with</w:t>
      </w:r>
      <w:r>
        <w:rPr>
          <w:spacing w:val="-24"/>
        </w:rPr>
        <w:t> </w:t>
      </w:r>
      <w:r>
        <w:rPr/>
        <w:t>the day-to-day</w:t>
      </w:r>
      <w:r>
        <w:rPr>
          <w:spacing w:val="-18"/>
        </w:rPr>
        <w:t> </w:t>
      </w:r>
      <w:r>
        <w:rPr/>
        <w:t>operations</w:t>
      </w:r>
      <w:r>
        <w:rPr>
          <w:spacing w:val="-18"/>
        </w:rPr>
        <w:t> </w:t>
      </w:r>
      <w:r>
        <w:rPr/>
        <w:t>and</w:t>
      </w:r>
      <w:r>
        <w:rPr>
          <w:spacing w:val="-17"/>
        </w:rPr>
        <w:t> </w:t>
      </w:r>
      <w:r>
        <w:rPr/>
        <w:t>commercial</w:t>
      </w:r>
      <w:r>
        <w:rPr>
          <w:spacing w:val="-18"/>
        </w:rPr>
        <w:t> </w:t>
      </w:r>
      <w:r>
        <w:rPr>
          <w:spacing w:val="-3"/>
        </w:rPr>
        <w:t>outcomes </w:t>
      </w:r>
      <w:r>
        <w:rPr/>
        <w:t>of the Wholesale Electricity</w:t>
      </w:r>
      <w:r>
        <w:rPr>
          <w:spacing w:val="-20"/>
        </w:rPr>
        <w:t> </w:t>
      </w:r>
      <w:r>
        <w:rPr/>
        <w:t>Market.</w:t>
      </w:r>
    </w:p>
    <w:p>
      <w:pPr>
        <w:pStyle w:val="BodyText"/>
        <w:spacing w:line="249" w:lineRule="auto" w:before="108"/>
        <w:ind w:left="386" w:right="651"/>
      </w:pPr>
      <w:r>
        <w:rPr/>
        <w:br w:type="column"/>
      </w:r>
      <w:r>
        <w:rPr/>
        <w:t>As a result of further regulatory changes, the</w:t>
      </w:r>
      <w:r>
        <w:rPr>
          <w:spacing w:val="-28"/>
        </w:rPr>
        <w:t> </w:t>
      </w:r>
      <w:r>
        <w:rPr/>
        <w:t>Public</w:t>
      </w:r>
      <w:r>
        <w:rPr>
          <w:spacing w:val="-28"/>
        </w:rPr>
        <w:t> </w:t>
      </w:r>
      <w:r>
        <w:rPr/>
        <w:t>Utilities</w:t>
      </w:r>
      <w:r>
        <w:rPr>
          <w:spacing w:val="-28"/>
        </w:rPr>
        <w:t> </w:t>
      </w:r>
      <w:r>
        <w:rPr/>
        <w:t>Office</w:t>
      </w:r>
      <w:r>
        <w:rPr>
          <w:spacing w:val="-28"/>
        </w:rPr>
        <w:t> </w:t>
      </w:r>
      <w:r>
        <w:rPr/>
        <w:t>has</w:t>
      </w:r>
      <w:r>
        <w:rPr>
          <w:spacing w:val="-28"/>
        </w:rPr>
        <w:t> </w:t>
      </w:r>
      <w:r>
        <w:rPr/>
        <w:t>facilitated</w:t>
      </w:r>
      <w:r>
        <w:rPr>
          <w:spacing w:val="-28"/>
        </w:rPr>
        <w:t> </w:t>
      </w:r>
      <w:r>
        <w:rPr>
          <w:spacing w:val="-6"/>
        </w:rPr>
        <w:t>the</w:t>
      </w:r>
    </w:p>
    <w:p>
      <w:pPr>
        <w:pStyle w:val="BodyText"/>
        <w:spacing w:line="249" w:lineRule="auto" w:before="2"/>
        <w:ind w:left="386" w:right="270"/>
      </w:pPr>
      <w:r>
        <w:rPr/>
        <w:t>establishment</w:t>
      </w:r>
      <w:r>
        <w:rPr>
          <w:spacing w:val="-29"/>
        </w:rPr>
        <w:t> </w:t>
      </w:r>
      <w:r>
        <w:rPr/>
        <w:t>of</w:t>
      </w:r>
      <w:r>
        <w:rPr>
          <w:spacing w:val="-28"/>
        </w:rPr>
        <w:t> </w:t>
      </w:r>
      <w:r>
        <w:rPr/>
        <w:t>an</w:t>
      </w:r>
      <w:r>
        <w:rPr>
          <w:spacing w:val="-29"/>
        </w:rPr>
        <w:t> </w:t>
      </w:r>
      <w:r>
        <w:rPr/>
        <w:t>independent</w:t>
      </w:r>
      <w:r>
        <w:rPr>
          <w:spacing w:val="-28"/>
        </w:rPr>
        <w:t> </w:t>
      </w:r>
      <w:r>
        <w:rPr/>
        <w:t>Rule</w:t>
      </w:r>
      <w:r>
        <w:rPr>
          <w:spacing w:val="-29"/>
        </w:rPr>
        <w:t> </w:t>
      </w:r>
      <w:r>
        <w:rPr>
          <w:spacing w:val="-3"/>
        </w:rPr>
        <w:t>Change </w:t>
      </w:r>
      <w:r>
        <w:rPr/>
        <w:t>Panel, to undertake the administration and decision-making functions for changes to the Wholesale</w:t>
      </w:r>
      <w:r>
        <w:rPr>
          <w:spacing w:val="-16"/>
        </w:rPr>
        <w:t> </w:t>
      </w:r>
      <w:r>
        <w:rPr/>
        <w:t>Electricity</w:t>
      </w:r>
      <w:r>
        <w:rPr>
          <w:spacing w:val="-16"/>
        </w:rPr>
        <w:t> </w:t>
      </w:r>
      <w:r>
        <w:rPr/>
        <w:t>Market</w:t>
      </w:r>
      <w:r>
        <w:rPr>
          <w:spacing w:val="-15"/>
        </w:rPr>
        <w:t> </w:t>
      </w:r>
      <w:r>
        <w:rPr/>
        <w:t>Rules</w:t>
      </w:r>
      <w:r>
        <w:rPr>
          <w:spacing w:val="-16"/>
        </w:rPr>
        <w:t> </w:t>
      </w:r>
      <w:r>
        <w:rPr/>
        <w:t>and</w:t>
      </w:r>
      <w:r>
        <w:rPr>
          <w:spacing w:val="-16"/>
        </w:rPr>
        <w:t> </w:t>
      </w:r>
      <w:r>
        <w:rPr/>
        <w:t>the</w:t>
      </w:r>
    </w:p>
    <w:p>
      <w:pPr>
        <w:pStyle w:val="BodyText"/>
        <w:spacing w:line="249" w:lineRule="auto" w:before="4"/>
        <w:ind w:left="386" w:right="-10"/>
      </w:pPr>
      <w:r>
        <w:rPr/>
        <w:t>Gas</w:t>
      </w:r>
      <w:r>
        <w:rPr>
          <w:spacing w:val="-30"/>
        </w:rPr>
        <w:t> </w:t>
      </w:r>
      <w:r>
        <w:rPr/>
        <w:t>Services</w:t>
      </w:r>
      <w:r>
        <w:rPr>
          <w:spacing w:val="-30"/>
        </w:rPr>
        <w:t> </w:t>
      </w:r>
      <w:r>
        <w:rPr/>
        <w:t>Information</w:t>
      </w:r>
      <w:r>
        <w:rPr>
          <w:spacing w:val="-30"/>
        </w:rPr>
        <w:t> </w:t>
      </w:r>
      <w:r>
        <w:rPr/>
        <w:t>Rules.</w:t>
      </w:r>
      <w:r>
        <w:rPr>
          <w:spacing w:val="-30"/>
        </w:rPr>
        <w:t> </w:t>
      </w:r>
      <w:r>
        <w:rPr/>
        <w:t>Appointments</w:t>
      </w:r>
      <w:r>
        <w:rPr>
          <w:spacing w:val="-30"/>
        </w:rPr>
        <w:t> </w:t>
      </w:r>
      <w:r>
        <w:rPr>
          <w:spacing w:val="-10"/>
        </w:rPr>
        <w:t>to </w:t>
      </w:r>
      <w:r>
        <w:rPr/>
        <w:t>the</w:t>
      </w:r>
      <w:r>
        <w:rPr>
          <w:spacing w:val="-11"/>
        </w:rPr>
        <w:t> </w:t>
      </w:r>
      <w:hyperlink r:id="rId117">
        <w:r>
          <w:rPr>
            <w:color w:val="A7BE39"/>
            <w:u w:val="single" w:color="A7BE39"/>
          </w:rPr>
          <w:t>Rule</w:t>
        </w:r>
        <w:r>
          <w:rPr>
            <w:color w:val="A7BE39"/>
            <w:spacing w:val="-11"/>
            <w:u w:val="single" w:color="A7BE39"/>
          </w:rPr>
          <w:t> </w:t>
        </w:r>
        <w:r>
          <w:rPr>
            <w:color w:val="A7BE39"/>
            <w:u w:val="single" w:color="A7BE39"/>
          </w:rPr>
          <w:t>Change</w:t>
        </w:r>
        <w:r>
          <w:rPr>
            <w:color w:val="A7BE39"/>
            <w:spacing w:val="-10"/>
            <w:u w:val="single" w:color="A7BE39"/>
          </w:rPr>
          <w:t> </w:t>
        </w:r>
        <w:r>
          <w:rPr>
            <w:color w:val="A7BE39"/>
            <w:u w:val="single" w:color="A7BE39"/>
          </w:rPr>
          <w:t>Panel</w:t>
        </w:r>
        <w:r>
          <w:rPr>
            <w:color w:val="A7BE39"/>
            <w:spacing w:val="-11"/>
          </w:rPr>
          <w:t> </w:t>
        </w:r>
      </w:hyperlink>
      <w:r>
        <w:rPr/>
        <w:t>were</w:t>
      </w:r>
      <w:r>
        <w:rPr>
          <w:spacing w:val="-11"/>
        </w:rPr>
        <w:t> </w:t>
      </w:r>
      <w:r>
        <w:rPr/>
        <w:t>announced</w:t>
      </w:r>
      <w:r>
        <w:rPr>
          <w:spacing w:val="-10"/>
        </w:rPr>
        <w:t> </w:t>
      </w:r>
      <w:r>
        <w:rPr/>
        <w:t>on</w:t>
      </w:r>
    </w:p>
    <w:p>
      <w:pPr>
        <w:pStyle w:val="BodyText"/>
        <w:spacing w:before="1"/>
        <w:ind w:left="386"/>
      </w:pPr>
      <w:r>
        <w:rPr/>
        <w:t>1 January 2017, and rule-making functions</w:t>
      </w:r>
    </w:p>
    <w:p>
      <w:pPr>
        <w:pStyle w:val="BodyText"/>
        <w:spacing w:before="11"/>
        <w:ind w:left="386"/>
      </w:pPr>
      <w:r>
        <w:rPr/>
        <w:t>commenced on 3 April 2017.</w:t>
      </w:r>
    </w:p>
    <w:p>
      <w:pPr>
        <w:pStyle w:val="BodyText"/>
        <w:spacing w:before="11"/>
        <w:rPr>
          <w:sz w:val="23"/>
        </w:rPr>
      </w:pPr>
    </w:p>
    <w:p>
      <w:pPr>
        <w:pStyle w:val="BodyText"/>
        <w:spacing w:line="249" w:lineRule="auto"/>
        <w:ind w:left="386" w:right="135"/>
      </w:pPr>
      <w:r>
        <w:rPr/>
        <w:t>The Public Utilities Office is also focussed on cutting red tape for the </w:t>
      </w:r>
      <w:r>
        <w:rPr>
          <w:spacing w:val="-4"/>
        </w:rPr>
        <w:t>State’s </w:t>
      </w:r>
      <w:r>
        <w:rPr/>
        <w:t>growing solar </w:t>
      </w:r>
      <w:r>
        <w:rPr>
          <w:spacing w:val="-3"/>
        </w:rPr>
        <w:t>industry, </w:t>
      </w:r>
      <w:r>
        <w:rPr/>
        <w:t>and this year facilitated access to a new licence exemption to make it easier for solar</w:t>
      </w:r>
      <w:r>
        <w:rPr>
          <w:spacing w:val="-18"/>
        </w:rPr>
        <w:t> </w:t>
      </w:r>
      <w:r>
        <w:rPr/>
        <w:t>companies</w:t>
      </w:r>
      <w:r>
        <w:rPr>
          <w:spacing w:val="-17"/>
        </w:rPr>
        <w:t> </w:t>
      </w:r>
      <w:r>
        <w:rPr/>
        <w:t>to</w:t>
      </w:r>
      <w:r>
        <w:rPr>
          <w:spacing w:val="-17"/>
        </w:rPr>
        <w:t> </w:t>
      </w:r>
      <w:r>
        <w:rPr/>
        <w:t>provide</w:t>
      </w:r>
      <w:r>
        <w:rPr>
          <w:spacing w:val="-17"/>
        </w:rPr>
        <w:t> </w:t>
      </w:r>
      <w:r>
        <w:rPr/>
        <w:t>energy</w:t>
      </w:r>
      <w:r>
        <w:rPr>
          <w:spacing w:val="-17"/>
        </w:rPr>
        <w:t> </w:t>
      </w:r>
      <w:r>
        <w:rPr/>
        <w:t>solutions</w:t>
      </w:r>
      <w:r>
        <w:rPr>
          <w:spacing w:val="-17"/>
        </w:rPr>
        <w:t> </w:t>
      </w:r>
      <w:r>
        <w:rPr/>
        <w:t>to consumers.</w:t>
      </w:r>
      <w:r>
        <w:rPr>
          <w:spacing w:val="-27"/>
        </w:rPr>
        <w:t> </w:t>
      </w:r>
      <w:r>
        <w:rPr/>
        <w:t>The</w:t>
      </w:r>
      <w:r>
        <w:rPr>
          <w:spacing w:val="-27"/>
        </w:rPr>
        <w:t> </w:t>
      </w:r>
      <w:r>
        <w:rPr/>
        <w:t>benefits</w:t>
      </w:r>
      <w:r>
        <w:rPr>
          <w:spacing w:val="-26"/>
        </w:rPr>
        <w:t> </w:t>
      </w:r>
      <w:r>
        <w:rPr/>
        <w:t>of</w:t>
      </w:r>
      <w:r>
        <w:rPr>
          <w:spacing w:val="-27"/>
        </w:rPr>
        <w:t> </w:t>
      </w:r>
      <w:r>
        <w:rPr/>
        <w:t>this</w:t>
      </w:r>
      <w:r>
        <w:rPr>
          <w:spacing w:val="-27"/>
        </w:rPr>
        <w:t> </w:t>
      </w:r>
      <w:r>
        <w:rPr/>
        <w:t>initiative</w:t>
      </w:r>
      <w:r>
        <w:rPr>
          <w:spacing w:val="-26"/>
        </w:rPr>
        <w:t> </w:t>
      </w:r>
      <w:r>
        <w:rPr>
          <w:spacing w:val="-3"/>
        </w:rPr>
        <w:t>include </w:t>
      </w:r>
      <w:r>
        <w:rPr/>
        <w:t>greater choice and access for consumers to solar</w:t>
      </w:r>
      <w:r>
        <w:rPr>
          <w:spacing w:val="-22"/>
        </w:rPr>
        <w:t> </w:t>
      </w:r>
      <w:r>
        <w:rPr/>
        <w:t>energy</w:t>
      </w:r>
      <w:r>
        <w:rPr>
          <w:spacing w:val="-21"/>
        </w:rPr>
        <w:t> </w:t>
      </w:r>
      <w:r>
        <w:rPr/>
        <w:t>technology.</w:t>
      </w:r>
      <w:r>
        <w:rPr>
          <w:spacing w:val="18"/>
        </w:rPr>
        <w:t> </w:t>
      </w:r>
      <w:r>
        <w:rPr>
          <w:spacing w:val="-3"/>
        </w:rPr>
        <w:t>Previously,</w:t>
      </w:r>
      <w:r>
        <w:rPr>
          <w:spacing w:val="-21"/>
        </w:rPr>
        <w:t> </w:t>
      </w:r>
      <w:r>
        <w:rPr/>
        <w:t>the</w:t>
      </w:r>
      <w:r>
        <w:rPr>
          <w:spacing w:val="-22"/>
        </w:rPr>
        <w:t> </w:t>
      </w:r>
      <w:r>
        <w:rPr/>
        <w:t>cost</w:t>
      </w:r>
      <w:r>
        <w:rPr>
          <w:spacing w:val="-21"/>
        </w:rPr>
        <w:t> </w:t>
      </w:r>
      <w:r>
        <w:rPr/>
        <w:t>to business of obtaining a licence and complying with</w:t>
      </w:r>
      <w:r>
        <w:rPr>
          <w:spacing w:val="-20"/>
        </w:rPr>
        <w:t> </w:t>
      </w:r>
      <w:r>
        <w:rPr/>
        <w:t>its</w:t>
      </w:r>
      <w:r>
        <w:rPr>
          <w:spacing w:val="-20"/>
        </w:rPr>
        <w:t> </w:t>
      </w:r>
      <w:r>
        <w:rPr/>
        <w:t>requirements</w:t>
      </w:r>
      <w:r>
        <w:rPr>
          <w:spacing w:val="-20"/>
        </w:rPr>
        <w:t> </w:t>
      </w:r>
      <w:r>
        <w:rPr/>
        <w:t>had</w:t>
      </w:r>
      <w:r>
        <w:rPr>
          <w:spacing w:val="-20"/>
        </w:rPr>
        <w:t> </w:t>
      </w:r>
      <w:r>
        <w:rPr/>
        <w:t>proven</w:t>
      </w:r>
      <w:r>
        <w:rPr>
          <w:spacing w:val="-20"/>
        </w:rPr>
        <w:t> </w:t>
      </w:r>
      <w:r>
        <w:rPr/>
        <w:t>prohibitive</w:t>
      </w:r>
      <w:r>
        <w:rPr>
          <w:spacing w:val="-20"/>
        </w:rPr>
        <w:t> </w:t>
      </w:r>
      <w:r>
        <w:rPr/>
        <w:t>for companies intending to sell energy</w:t>
      </w:r>
      <w:r>
        <w:rPr>
          <w:spacing w:val="-37"/>
        </w:rPr>
        <w:t> </w:t>
      </w:r>
      <w:r>
        <w:rPr/>
        <w:t>from</w:t>
      </w:r>
    </w:p>
    <w:p>
      <w:pPr>
        <w:pStyle w:val="BodyText"/>
        <w:spacing w:line="249" w:lineRule="auto" w:before="10"/>
        <w:ind w:left="386" w:right="135"/>
      </w:pPr>
      <w:r>
        <w:rPr/>
        <w:t>roof-top</w:t>
      </w:r>
      <w:r>
        <w:rPr>
          <w:spacing w:val="-15"/>
        </w:rPr>
        <w:t> </w:t>
      </w:r>
      <w:r>
        <w:rPr/>
        <w:t>solar</w:t>
      </w:r>
      <w:r>
        <w:rPr>
          <w:spacing w:val="-15"/>
        </w:rPr>
        <w:t> </w:t>
      </w:r>
      <w:r>
        <w:rPr/>
        <w:t>systems</w:t>
      </w:r>
      <w:r>
        <w:rPr>
          <w:spacing w:val="-15"/>
        </w:rPr>
        <w:t> </w:t>
      </w:r>
      <w:r>
        <w:rPr/>
        <w:t>through</w:t>
      </w:r>
      <w:r>
        <w:rPr>
          <w:spacing w:val="-15"/>
        </w:rPr>
        <w:t> </w:t>
      </w:r>
      <w:r>
        <w:rPr/>
        <w:t>power</w:t>
      </w:r>
      <w:r>
        <w:rPr>
          <w:spacing w:val="-15"/>
        </w:rPr>
        <w:t> </w:t>
      </w:r>
      <w:r>
        <w:rPr>
          <w:spacing w:val="-4"/>
        </w:rPr>
        <w:t>purchase </w:t>
      </w:r>
      <w:r>
        <w:rPr/>
        <w:t>agreements,</w:t>
      </w:r>
      <w:r>
        <w:rPr>
          <w:spacing w:val="-18"/>
        </w:rPr>
        <w:t> </w:t>
      </w:r>
      <w:r>
        <w:rPr/>
        <w:t>acting</w:t>
      </w:r>
      <w:r>
        <w:rPr>
          <w:spacing w:val="-17"/>
        </w:rPr>
        <w:t> </w:t>
      </w:r>
      <w:r>
        <w:rPr/>
        <w:t>as</w:t>
      </w:r>
      <w:r>
        <w:rPr>
          <w:spacing w:val="-17"/>
        </w:rPr>
        <w:t> </w:t>
      </w:r>
      <w:r>
        <w:rPr/>
        <w:t>a</w:t>
      </w:r>
      <w:r>
        <w:rPr>
          <w:spacing w:val="-17"/>
        </w:rPr>
        <w:t> </w:t>
      </w:r>
      <w:r>
        <w:rPr/>
        <w:t>barrier</w:t>
      </w:r>
      <w:r>
        <w:rPr>
          <w:spacing w:val="-17"/>
        </w:rPr>
        <w:t> </w:t>
      </w:r>
      <w:r>
        <w:rPr/>
        <w:t>to</w:t>
      </w:r>
      <w:r>
        <w:rPr>
          <w:spacing w:val="-17"/>
        </w:rPr>
        <w:t> </w:t>
      </w:r>
      <w:r>
        <w:rPr/>
        <w:t>entry</w:t>
      </w:r>
      <w:r>
        <w:rPr>
          <w:spacing w:val="-17"/>
        </w:rPr>
        <w:t> </w:t>
      </w:r>
      <w:r>
        <w:rPr/>
        <w:t>into</w:t>
      </w:r>
      <w:r>
        <w:rPr>
          <w:spacing w:val="-17"/>
        </w:rPr>
        <w:t> </w:t>
      </w:r>
      <w:r>
        <w:rPr/>
        <w:t>the emerging market. By cutting red tape through implementing the exemption, the</w:t>
      </w:r>
      <w:r>
        <w:rPr>
          <w:spacing w:val="-41"/>
        </w:rPr>
        <w:t> </w:t>
      </w:r>
      <w:r>
        <w:rPr/>
        <w:t>emerging</w:t>
      </w:r>
    </w:p>
    <w:p>
      <w:pPr>
        <w:pStyle w:val="BodyText"/>
        <w:spacing w:line="249" w:lineRule="auto" w:before="108"/>
        <w:ind w:left="571" w:right="885"/>
      </w:pPr>
      <w:r>
        <w:rPr/>
        <w:br w:type="column"/>
      </w:r>
      <w:r>
        <w:rPr/>
        <w:t>market has the opportunity to develop, enhancing</w:t>
      </w:r>
      <w:r>
        <w:rPr>
          <w:spacing w:val="-24"/>
        </w:rPr>
        <w:t> </w:t>
      </w:r>
      <w:r>
        <w:rPr/>
        <w:t>consumer</w:t>
      </w:r>
      <w:r>
        <w:rPr>
          <w:spacing w:val="-24"/>
        </w:rPr>
        <w:t> </w:t>
      </w:r>
      <w:r>
        <w:rPr/>
        <w:t>choice</w:t>
      </w:r>
      <w:r>
        <w:rPr>
          <w:spacing w:val="-24"/>
        </w:rPr>
        <w:t> </w:t>
      </w:r>
      <w:r>
        <w:rPr/>
        <w:t>to</w:t>
      </w:r>
      <w:r>
        <w:rPr>
          <w:spacing w:val="-24"/>
        </w:rPr>
        <w:t> </w:t>
      </w:r>
      <w:r>
        <w:rPr/>
        <w:t>access</w:t>
      </w:r>
      <w:r>
        <w:rPr>
          <w:spacing w:val="-24"/>
        </w:rPr>
        <w:t> </w:t>
      </w:r>
      <w:r>
        <w:rPr/>
        <w:t>innovative renewable sources of electricity at an affordable price.</w:t>
      </w:r>
      <w:r>
        <w:rPr>
          <w:spacing w:val="-15"/>
        </w:rPr>
        <w:t> </w:t>
      </w:r>
      <w:r>
        <w:rPr>
          <w:spacing w:val="-13"/>
        </w:rPr>
        <w:t>To</w:t>
      </w:r>
      <w:r>
        <w:rPr>
          <w:spacing w:val="-15"/>
        </w:rPr>
        <w:t> </w:t>
      </w:r>
      <w:r>
        <w:rPr/>
        <w:t>date,</w:t>
      </w:r>
      <w:r>
        <w:rPr>
          <w:spacing w:val="-14"/>
        </w:rPr>
        <w:t> </w:t>
      </w:r>
      <w:r>
        <w:rPr/>
        <w:t>14</w:t>
      </w:r>
      <w:r>
        <w:rPr>
          <w:spacing w:val="-15"/>
        </w:rPr>
        <w:t> </w:t>
      </w:r>
      <w:r>
        <w:rPr/>
        <w:t>companies</w:t>
      </w:r>
      <w:r>
        <w:rPr>
          <w:spacing w:val="-14"/>
        </w:rPr>
        <w:t> </w:t>
      </w:r>
      <w:r>
        <w:rPr/>
        <w:t>have</w:t>
      </w:r>
      <w:r>
        <w:rPr>
          <w:spacing w:val="-15"/>
        </w:rPr>
        <w:t> </w:t>
      </w:r>
      <w:r>
        <w:rPr/>
        <w:t>been</w:t>
      </w:r>
      <w:r>
        <w:rPr>
          <w:spacing w:val="-15"/>
        </w:rPr>
        <w:t> </w:t>
      </w:r>
      <w:r>
        <w:rPr>
          <w:spacing w:val="-4"/>
        </w:rPr>
        <w:t>provided </w:t>
      </w:r>
      <w:r>
        <w:rPr/>
        <w:t>with this form of licence</w:t>
      </w:r>
      <w:r>
        <w:rPr>
          <w:spacing w:val="-16"/>
        </w:rPr>
        <w:t> </w:t>
      </w:r>
      <w:r>
        <w:rPr/>
        <w:t>exemption.</w:t>
      </w:r>
    </w:p>
    <w:p>
      <w:pPr>
        <w:spacing w:after="0" w:line="249" w:lineRule="auto"/>
        <w:sectPr>
          <w:type w:val="continuous"/>
          <w:pgSz w:w="16840" w:h="11910" w:orient="landscape"/>
          <w:pgMar w:top="0" w:bottom="0" w:left="0" w:right="0"/>
          <w:cols w:num="3" w:equalWidth="0">
            <w:col w:w="5583" w:space="40"/>
            <w:col w:w="5032" w:space="39"/>
            <w:col w:w="6146"/>
          </w:cols>
        </w:sectPr>
      </w:pPr>
    </w:p>
    <w:p>
      <w:pPr>
        <w:pStyle w:val="BodyText"/>
        <w:rPr>
          <w:sz w:val="20"/>
        </w:rPr>
      </w:pPr>
      <w:r>
        <w:rPr/>
        <w:pict>
          <v:group style="position:absolute;margin-left:563.283997pt;margin-top:196.688904pt;width:240.35pt;height:251.9pt;mso-position-horizontal-relative:page;mso-position-vertical-relative:page;z-index:5968" coordorigin="11266,3934" coordsize="4807,5038">
            <v:shape style="position:absolute;left:11265;top:4776;width:4807;height:4184" type="#_x0000_t75" stroked="false">
              <v:imagedata r:id="rId118" o:title=""/>
            </v:shape>
            <v:shape style="position:absolute;left:13021;top:7209;width:3052;height:1762" coordorigin="13021,7210" coordsize="3052,1762" path="m16072,8672l15554,8972,15564,8972,16072,8678,16072,8672m16072,8477l15217,8972,15227,8972,16072,8483,16072,8477m16072,8380l15048,8972,15058,8972,16072,8386,16072,8380m16072,7990l14372,8972,14382,8972,16072,7996,16072,7990m16072,7795l14034,8972,14044,8972,16072,7801,16072,7795m16072,7502l13528,8972,13538,8972,16072,7508,16072,7502m16072,8575l15385,8972,15395,8972,16072,8581,16072,8575m16072,8282l14879,8972,14889,8972,16072,8288,16072,8282m16072,8185l14710,8972,14720,8972,16072,8191,16072,8185m16072,8087l14541,8972,14551,8972,16072,8093,16072,8087m16072,7892l14203,8972,14213,8972,16072,7898,16072,7892m16072,7697l13866,8972,13876,8972,16072,7703,16072,7697m16072,7600l13697,8972,13707,8972,16072,7606,16072,7600m16072,7405l13359,8972,13369,8972,16072,7411,16072,7405m16072,7307l13190,8972,13200,8972,16072,7313,16072,7307m16072,7210l13021,8972,13031,8972,16072,7216,16072,7210e" filled="true" fillcolor="#ffffff" stroked="false">
              <v:path arrowok="t"/>
              <v:fill type="solid"/>
            </v:shape>
            <v:shape style="position:absolute;left:15723;top:8769;width:350;height:202" type="#_x0000_t75" stroked="false">
              <v:imagedata r:id="rId75" o:title=""/>
            </v:shape>
            <v:shape style="position:absolute;left:11961;top:3933;width:3416;height:3120" type="#_x0000_t75" stroked="false">
              <v:imagedata r:id="rId119" o:title=""/>
            </v:shape>
            <v:shape style="position:absolute;left:11265;top:3933;width:4807;height:5038" type="#_x0000_t202" filled="false" stroked="false">
              <v:textbox inset="0,0,0,0">
                <w:txbxContent>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9" w:lineRule="auto" w:before="216"/>
                      <w:ind w:left="271" w:right="281" w:firstLine="0"/>
                      <w:jc w:val="center"/>
                      <w:rPr>
                        <w:b/>
                        <w:sz w:val="28"/>
                      </w:rPr>
                    </w:pPr>
                    <w:r>
                      <w:rPr>
                        <w:b/>
                        <w:color w:val="6F2770"/>
                        <w:sz w:val="28"/>
                      </w:rPr>
                      <w:t>Distributed over $78 million to eligible WA First Home Owner Grant recipients</w:t>
                    </w:r>
                  </w:p>
                </w:txbxContent>
              </v:textbox>
              <w10:wrap type="none"/>
            </v:shape>
            <w10:wrap type="none"/>
          </v:group>
        </w:pict>
      </w:r>
      <w:r>
        <w:rPr/>
        <w:pict>
          <v:group style="position:absolute;margin-left:763.172119pt;margin-top:53.780003pt;width:61.1pt;height:45.2pt;mso-position-horizontal-relative:page;mso-position-vertical-relative:page;z-index:-807568" coordorigin="15263,1076" coordsize="1222,904">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shape style="position:absolute;left:15424;top:1075;width:900;height:904" coordorigin="15424,1076" coordsize="900,904" path="m15874,1076l15424,1526,15424,1529,15874,1979,16324,1529,16324,1526,15874,1076xe" filled="true" fillcolor="#c4cd71" stroked="false">
              <v:path arrowok="t"/>
              <v:fill type="solid"/>
            </v:shape>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shape style="position:absolute;left:15263;top:1366;width:161;height:322" type="#_x0000_t75" stroked="false">
              <v:imagedata r:id="rId16" o:title=""/>
            </v:shape>
            <v:shape style="position:absolute;left:16324;top:1366;width:161;height:322" type="#_x0000_t75" stroked="false">
              <v:imagedata r:id="rId11" o:title=""/>
            </v:shape>
            <v:shape style="position:absolute;left:15263;top:1075;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p>
    <w:p>
      <w:pPr>
        <w:pStyle w:val="BodyText"/>
        <w:spacing w:before="5"/>
        <w:rPr>
          <w:sz w:val="11"/>
        </w:rPr>
      </w:pPr>
    </w:p>
    <w:p>
      <w:pPr>
        <w:pStyle w:val="BodyText"/>
        <w:rPr>
          <w:sz w:val="20"/>
        </w:rPr>
      </w:pPr>
      <w:r>
        <w:rPr>
          <w:sz w:val="20"/>
        </w:rPr>
        <w:pict>
          <v:group style="width:112.75pt;height:90.35pt;mso-position-horizontal-relative:char;mso-position-vertical-relative:line" coordorigin="0,0" coordsize="2255,1807">
            <v:shape style="position:absolute;left:899;top:451;width:904;height:904" coordorigin="899,452" coordsize="904,904" path="m1351,452l899,903,1351,1355,1803,903,1351,452xe" filled="true" fillcolor="#e8e9c9" stroked="false">
              <v:path arrowok="t"/>
              <v:fill type="solid"/>
            </v:shape>
            <v:shape style="position:absolute;left:447;top:903;width:904;height:904" coordorigin="448,903" coordsize="904,904" path="m899,903l448,1355,899,1806,1351,1355,899,903xe" filled="true" fillcolor="#d5dac6" stroked="false">
              <v:path arrowok="t"/>
              <v:fill type="solid"/>
            </v:shape>
            <v:shape style="position:absolute;left:1351;top:0;width:904;height:904" coordorigin="1351,0" coordsize="904,904" path="m1803,0l1351,452,1803,903,2254,452,1803,0xe" filled="true" fillcolor="#efeeeb" stroked="false">
              <v:path arrowok="t"/>
              <v:fill type="solid"/>
            </v:shape>
            <v:shape style="position:absolute;left:0;top:3;width:448;height:896" coordorigin="0,4" coordsize="448,896" path="m0,4l0,899,448,452,0,4xe" filled="true" fillcolor="#efeeeb" stroked="false">
              <v:path arrowok="t"/>
              <v:fill type="solid"/>
            </v:shape>
            <v:shape style="position:absolute;left:447;top:0;width:904;height:904" coordorigin="448,0" coordsize="904,904" path="m899,0l448,452,899,903,1351,452,899,0xe" filled="true" fillcolor="#c0aac2" stroked="false">
              <v:path arrowok="t"/>
              <v:fill type="solid"/>
            </v:shape>
          </v:group>
        </w:pict>
      </w:r>
      <w:r>
        <w:rPr>
          <w:sz w:val="20"/>
        </w:rPr>
      </w:r>
    </w:p>
    <w:p>
      <w:pPr>
        <w:pStyle w:val="BodyText"/>
        <w:spacing w:before="10"/>
        <w:rPr>
          <w:sz w:val="13"/>
        </w:rPr>
      </w:pPr>
    </w:p>
    <w:p>
      <w:pPr>
        <w:tabs>
          <w:tab w:pos="1227" w:val="left" w:leader="none"/>
          <w:tab w:pos="4671" w:val="left" w:leader="none"/>
          <w:tab w:pos="16072" w:val="left" w:leader="none"/>
        </w:tabs>
        <w:spacing w:before="106"/>
        <w:ind w:left="765" w:right="0" w:firstLine="0"/>
        <w:jc w:val="left"/>
        <w:rPr>
          <w:sz w:val="16"/>
        </w:rPr>
      </w:pPr>
      <w:r>
        <w:rPr/>
        <w:pict>
          <v:group style="position:absolute;margin-left:203.1633pt;margin-top:-108.781494pt;width:323.150pt;height:144.3pt;mso-position-horizontal-relative:page;mso-position-vertical-relative:paragraph;z-index:-807640" coordorigin="4063,-2176" coordsize="6463,2886">
            <v:shape style="position:absolute;left:4063;top:-2176;width:1455;height:2532" coordorigin="4063,-2176" coordsize="1455,2532" path="m5518,113l5114,347,5123,356,5518,128,5518,113m5518,34l5064,297,5073,306,5518,49,5518,34m5518,-45l5014,247,5023,256,5518,-30,5518,-45m5518,-123l4964,196,4973,206,5518,-109,5518,-123m5518,-202l4914,146,4923,156,5518,-188,5518,-202m5518,-281l4864,96,4873,106,5518,-267,5518,-281m5518,-360l4814,46,4823,55,5518,-346,5518,-360m5518,-439l4764,-4,4773,5,5518,-425,5518,-439m5518,-518l4714,-54,4723,-45,5518,-504,5518,-518m5518,-597l4664,-104,4673,-95,5518,-583,5518,-597m5518,-676l4614,-154,4623,-145,5518,-662,5518,-676m5518,-755l4564,-204,4573,-195,5518,-740,5518,-755m5518,-834l4514,-254,4523,-245,5518,-819,5518,-834m5518,-913l4464,-304,4473,-295,5518,-898,5518,-913m5518,-992l4414,-354,4423,-345,5518,-977,5518,-992m5518,-1071l4364,-404,4373,-395,5518,-1056,5518,-1071m5518,-1150l4313,-454,4323,-445,5518,-1135,5518,-1150m5518,-1228l4263,-504,4273,-495,5518,-1214,5518,-1228m5518,-1307l4213,-554,4223,-545,5518,-1293,5518,-1307m5518,-1386l4163,-604,4173,-595,5518,-1372,5518,-1386m5518,-1465l4113,-654,4122,-645,5518,-1451,5518,-1465m5518,-1544l4063,-704,4072,-695,5518,-1530,5518,-1544m5518,-1623l4206,-865,4171,-831,5518,-1609,5518,-1623m5518,-1781l4579,-1239,4545,-1205,5518,-1767,5518,-1781m5518,-1939l4953,-1612,4918,-1578,5518,-1924,5518,-1939m5518,-2097l5326,-1986,5292,-1952,5518,-2082,5518,-2097m5518,-2176l5513,-2173,5479,-2138,5518,-2161,5518,-2176m5518,-1702l4392,-1052,4358,-1018,5518,-1688,5518,-1702m5518,-1860l4766,-1426,4732,-1391,5518,-1845,5518,-1860m5518,-2018l5139,-1799,5105,-1765,5518,-2003,5518,-2018e" filled="true" fillcolor="#cdcccd" stroked="false">
              <v:path arrowok="t"/>
              <v:fill opacity="32768f" type="solid"/>
            </v:shape>
            <v:shape style="position:absolute;left:5164;top:192;width:354;height:514" type="#_x0000_t75" stroked="false">
              <v:imagedata r:id="rId120" o:title=""/>
            </v:shape>
            <v:shape style="position:absolute;left:5518;top:-2158;width:24;height:18" coordorigin="5518,-2158" coordsize="24,18" path="m5538,-2158l5518,-2146,5518,-2140,5542,-2154,5538,-2158xe" filled="true" fillcolor="#cdcccd" stroked="false">
              <v:path arrowok="t"/>
              <v:fill opacity="32768f" type="solid"/>
            </v:shape>
            <v:shape style="position:absolute;left:5518;top:-2108;width:375;height:520" type="#_x0000_t75" stroked="false">
              <v:imagedata r:id="rId121" o:title=""/>
            </v:shape>
            <v:shape style="position:absolute;left:5518;top:-1758;width:1438;height:2301" coordorigin="5518,-1757" coordsize="1438,2301" path="m5942,-1754l5939,-1757,5518,-1515,5518,-1509,5942,-1754m5992,-1704l5989,-1707,5518,-1436,5518,-1430,5992,-1704m6022,246l5518,538,5518,543,6009,260,6022,246m6042,-1654l6039,-1657,5518,-1357,5518,-1351,6042,-1654m6092,-1604l6089,-1607,5518,-1278,5518,-1272,6092,-1604m6143,-1554l6139,-1557,5518,-1199,5518,-1193,6143,-1554m6193,-1504l6189,-1507,5518,-1120,5518,-1114,6193,-1504m6209,60l5518,459,5518,464,6196,73,6209,60m6243,-1454l6239,-1457,5518,-1041,5518,-1035,6243,-1454m6293,-1403l6289,-1407,5518,-962,5518,-956,6293,-1403m6343,-1353l6339,-1357,5518,-883,5518,-877,6343,-1353m6393,-1303l6389,-1307,5518,-804,5518,-799,6393,-1303m6396,-127l5518,380,5518,385,6382,-113,6396,-127m6443,-1253l6439,-1257,5518,-725,5518,-720,6443,-1253m6493,-1203l6489,-1207,5518,-646,5518,-641,6493,-1203m6543,-1153l6539,-1157,5518,-568,5518,-562,6543,-1153m6583,-314l5518,301,5518,307,6569,-300,6583,-314m6593,-1103l6589,-1107,5518,-489,5518,-483,6593,-1103m6643,-1053l6639,-1057,5518,-410,5518,-404,6643,-1053m6693,-1003l6689,-1007,5518,-331,5518,-325,6693,-1003m6743,-953l6739,-957,5518,-252,5518,-246,6743,-953m6769,-501l5518,222,5518,228,6756,-487,6769,-501m6793,-903l6789,-907,5518,-173,5518,-167,6793,-903m6843,-853l6839,-857,5518,-94,5518,-88,6843,-853m6893,-803l6889,-807,5518,-15,5518,-9,6893,-803m6943,-753l6940,-757,5518,64,5518,70,6943,-753m6956,-687l5518,143,5518,149,6943,-674,6956,-687e" filled="true" fillcolor="#cdcccd" stroked="false">
              <v:path arrowok="t"/>
              <v:fill opacity="32768f" type="solid"/>
            </v:shape>
            <v:shape style="position:absolute;left:5518;top:433;width:318;height:269" type="#_x0000_t75" stroked="false">
              <v:imagedata r:id="rId122" o:title=""/>
            </v:shape>
            <v:shape style="position:absolute;left:6009;top:-194;width:4516;height:904" coordorigin="6009,-194" coordsize="4516,904" path="m6913,258l6461,-194,6009,258,6461,710,6913,258m7816,258l7364,-194,6913,258,7364,710,7816,258m8719,258l8267,-194,8267,-194,7816,258,8267,710,8719,258m9622,258l9171,-194,8719,258,9171,710,9622,258m10525,258l10074,-194,9622,258,10074,710,10525,258e" filled="true" fillcolor="#ffffff" stroked="false">
              <v:path arrowok="t"/>
              <v:fill type="solid"/>
            </v:shape>
            <v:shape style="position:absolute;left:7815;top:-1097;width:904;height:904" coordorigin="7816,-1097" coordsize="904,904" path="m8267,-1097l7816,-645,8267,-194,8719,-645,8267,-1097xe" filled="true" fillcolor="#96ac7a" stroked="false">
              <v:path arrowok="t"/>
              <v:fill opacity="32768f" type="solid"/>
            </v:shape>
            <v:shape style="position:absolute;left:6009;top:-194;width:904;height:904" coordorigin="6009,-194" coordsize="904,904" path="m6461,-194l6009,258,6461,710,6913,258,6461,-194xe" filled="true" fillcolor="#513457" stroked="false">
              <v:path arrowok="t"/>
              <v:fill opacity="32768f" type="solid"/>
            </v:shape>
            <v:shape style="position:absolute;left:7364;top:-646;width:904;height:904" coordorigin="7364,-645" coordsize="904,904" path="m7816,-645l7364,-194,7816,258,8267,-194,7816,-645xe" filled="true" fillcolor="#c4cd71" stroked="false">
              <v:path arrowok="t"/>
              <v:fill opacity="32768f" type="solid"/>
            </v:shape>
            <v:shape style="position:absolute;left:6912;top:-194;width:904;height:904" coordorigin="6913,-194" coordsize="904,904" path="m7364,-194l6913,258,7364,710,7816,258,7364,-194xe" filled="true" fillcolor="#d4d4d3" stroked="false">
              <v:path arrowok="t"/>
              <v:fill opacity="32768f" type="solid"/>
            </v:shape>
            <v:shape style="position:absolute;left:9622;top:-194;width:904;height:904" coordorigin="9622,-194" coordsize="904,904" path="m10074,-194l9622,258,10074,710,10525,258,10074,-194xe" filled="true" fillcolor="#c4cd71" stroked="false">
              <v:path arrowok="t"/>
              <v:fill opacity="32768f" type="solid"/>
            </v:shape>
            <v:shape style="position:absolute;left:8718;top:-194;width:904;height:904" coordorigin="8719,-194" coordsize="904,904" path="m9171,-194l8719,258,9171,710,9622,258,9171,-194xe" filled="true" fillcolor="#d4d4d3" stroked="false">
              <v:path arrowok="t"/>
              <v:fill opacity="32768f" type="solid"/>
            </v:shape>
            <v:shape style="position:absolute;left:7815;top:-194;width:904;height:904" coordorigin="7816,-194" coordsize="904,904" path="m8267,-194l7816,258,8267,710,8719,258,8267,-194xe" filled="true" fillcolor="#783a79" stroked="false">
              <v:path arrowok="t"/>
              <v:fill opacity="32768f" type="solid"/>
            </v:shape>
            <v:shape style="position:absolute;left:7815;top:-194;width:452;height:452" coordorigin="7816,-194" coordsize="452,452" path="m8267,-194l7816,258,8267,-194xe" filled="true" fillcolor="#753972" stroked="false">
              <v:path arrowok="t"/>
              <v:fill opacity="32768f" type="solid"/>
            </v:shape>
            <w10:wrap type="none"/>
          </v:group>
        </w:pict>
      </w:r>
      <w:r>
        <w:rPr/>
        <w:pict>
          <v:group style="position:absolute;margin-left:703.360901pt;margin-top:-30.892195pt;width:136.65pt;height:68.350pt;mso-position-horizontal-relative:page;mso-position-vertical-relative:paragraph;z-index:-807616" coordorigin="14067,-618" coordsize="2733,1367">
            <v:shape style="position:absolute;left:14551;top:-177;width:1765;height:442" coordorigin="14551,-177" coordsize="1765,442" path="m14992,-177l14551,264,14551,264,14992,264,15213,44,14992,-177xm15875,-177l15654,44,15875,264,16316,264,16316,264,15875,-177xe" filled="true" fillcolor="#aebd37" stroked="false">
              <v:path arrowok="t"/>
              <v:fill type="solid"/>
            </v:shape>
            <v:shape style="position:absolute;left:14110;top:264;width:442;height:485" coordorigin="14110,264" coordsize="442,485" path="m14551,264l14110,705,14153,748,14508,748,14551,705,14551,264xe" filled="true" fillcolor="#6f2770" stroked="false">
              <v:path arrowok="t"/>
              <v:fill type="solid"/>
            </v:shape>
            <v:shape style="position:absolute;left:16315;top:264;width:442;height:485" coordorigin="16316,264" coordsize="442,485" path="m16316,264l16316,264,16316,264,16316,264m16757,705l16316,264,16316,264,16316,264,16316,705,16359,748,16714,748,16757,705,16757,705e" filled="true" fillcolor="#5d883c" stroked="false">
              <v:path arrowok="t"/>
              <v:fill type="solid"/>
            </v:shape>
            <v:shape style="position:absolute;left:15874;top:264;width:441;height:221" coordorigin="15875,264" coordsize="441,221" path="m16316,264l15875,264,16095,485,16316,264xe" filled="true" fillcolor="#7aa142" stroked="false">
              <v:path arrowok="t"/>
              <v:fill type="solid"/>
            </v:shape>
            <v:shape style="position:absolute;left:16095;top:264;width:221;height:441" coordorigin="16095,264" coordsize="221,441" path="m16316,264l16095,485,16316,705,16316,264xe" filled="true" fillcolor="#41793d" stroked="false">
              <v:path arrowok="t"/>
              <v:fill type="solid"/>
            </v:shape>
            <v:shape style="position:absolute;left:14551;top:264;width:221;height:221" coordorigin="14551,264" coordsize="221,221" path="m14551,264l14772,485,14551,264xe" filled="true" fillcolor="#6f2770" stroked="false">
              <v:path arrowok="t"/>
              <v:fill type="solid"/>
            </v:shape>
            <v:shape style="position:absolute;left:14551;top:264;width:441;height:221" coordorigin="14551,264" coordsize="441,221" path="m14992,264l14551,264,14772,485,14992,264xe" filled="true" fillcolor="#5b2e31" stroked="false">
              <v:path arrowok="t"/>
              <v:fill type="solid"/>
            </v:shape>
            <v:shape style="position:absolute;left:14551;top:264;width:221;height:441" coordorigin="14551,264" coordsize="221,441" path="m14551,264l14551,705,14772,485,14551,264xe" filled="true" fillcolor="#42285e" stroked="false">
              <v:path arrowok="t"/>
              <v:fill type="solid"/>
            </v:shape>
            <v:shape style="position:absolute;left:14992;top:-618;width:883;height:662" coordorigin="14992,-618" coordsize="883,662" path="m15433,-618l14992,-177,15213,44,15433,-177,15874,-177,15433,-618xm15874,-177l15433,-177,15654,44,15875,-177,15874,-177xe" filled="true" fillcolor="#89993e" stroked="false">
              <v:path arrowok="t"/>
              <v:fill type="solid"/>
            </v:shape>
            <v:shape style="position:absolute;left:16713;top:705;width:87;height:44" coordorigin="16714,705" coordsize="87,44" path="m16757,705l16714,748,16800,748,16757,705xe" filled="true" fillcolor="#4f743b" stroked="false">
              <v:path arrowok="t"/>
              <v:fill type="solid"/>
            </v:shape>
            <v:shape style="position:absolute;left:14067;top:705;width:87;height:44" coordorigin="14067,705" coordsize="87,44" path="m14110,705l14067,748,14153,748,14110,705xe" filled="true" fillcolor="#602a63" stroked="false">
              <v:path arrowok="t"/>
              <v:fill type="solid"/>
            </v:shape>
            <v:shape style="position:absolute;left:14992;top:43;width:883;height:221" coordorigin="14992,44" coordsize="883,221" path="m15654,44l15434,264,14992,264,15875,264,15434,264,15213,44,15654,44xe" filled="true" fillcolor="#f8f7f0" stroked="false">
              <v:path arrowok="t"/>
              <v:fill type="solid"/>
            </v:shape>
            <v:shape style="position:absolute;left:14508;top:705;width:44;height:44" coordorigin="14508,705" coordsize="44,44" path="m14551,705l14508,748,14551,748,14551,705xe" filled="true" fillcolor="#f1edf3" stroked="false">
              <v:path arrowok="t"/>
              <v:fill type="solid"/>
            </v:shape>
            <v:shape style="position:absolute;left:16315;top:705;width:44;height:44" coordorigin="16316,705" coordsize="44,44" path="m16316,705l16316,748,16359,748,16316,705xe" filled="true" fillcolor="#f2f3ee" stroked="false">
              <v:path arrowok="t"/>
              <v:fill type="solid"/>
            </v:shape>
            <v:shape style="position:absolute;left:15433;top:264;width:662;height:485" coordorigin="15434,264" coordsize="662,485" path="m15875,264l15434,264,15434,748,15832,748,16095,485,15875,264xe" filled="true" fillcolor="#f5f6f0" stroked="false">
              <v:path arrowok="t"/>
              <v:fill type="solid"/>
            </v:shape>
            <v:shape style="position:absolute;left:15831;top:484;width:485;height:264" coordorigin="15832,485" coordsize="485,264" path="m16095,485l15832,748,16316,748,16316,705,16095,485xe" filled="true" fillcolor="#f2f3ee" stroked="false">
              <v:path arrowok="t"/>
              <v:fill type="solid"/>
            </v:shape>
            <v:shape style="position:absolute;left:14771;top:264;width:662;height:485" coordorigin="14772,264" coordsize="662,485" path="m15434,264l14992,264,14772,485,15035,748,15434,748,15434,264xe" filled="true" fillcolor="#f1edea" stroked="false">
              <v:path arrowok="t"/>
              <v:fill type="solid"/>
            </v:shape>
            <v:shape style="position:absolute;left:14551;top:484;width:485;height:264" coordorigin="14551,485" coordsize="485,264" path="m14772,485l14551,705,14551,748,15035,748,14772,485xe" filled="true" fillcolor="#ebe9ed" stroked="false">
              <v:path arrowok="t"/>
              <v:fill type="solid"/>
            </v:shape>
            <v:shape style="position:absolute;left:15212;top:-177;width:442;height:442" coordorigin="15213,-177" coordsize="442,442" path="m15433,-177l15213,44,15433,264,15654,44,15433,-177xe" filled="true" fillcolor="#f5f4ee" stroked="false">
              <v:path arrowok="t"/>
              <v:fill type="solid"/>
            </v:shape>
            <w10:wrap type="none"/>
          </v:group>
        </w:pict>
      </w:r>
      <w:r>
        <w:rPr>
          <w:b/>
          <w:color w:val="6F2770"/>
          <w:sz w:val="16"/>
        </w:rPr>
        <w:t>16</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tabs>
          <w:tab w:pos="9621" w:val="left" w:leader="none"/>
          <w:tab w:pos="14432" w:val="left" w:leader="none"/>
        </w:tabs>
        <w:spacing w:line="240" w:lineRule="auto"/>
        <w:ind w:left="2405" w:right="-44" w:firstLine="0"/>
        <w:rPr>
          <w:sz w:val="20"/>
        </w:rPr>
      </w:pPr>
      <w:bookmarkStart w:name="_bookmark12" w:id="13"/>
      <w:bookmarkEnd w:id="13"/>
      <w:r>
        <w:rPr/>
      </w:r>
      <w:r>
        <w:rPr>
          <w:sz w:val="20"/>
        </w:rPr>
        <w:pict>
          <v:shape style="width:120.3pt;height:42.55pt;mso-position-horizontal-relative:char;mso-position-vertical-relative:line" type="#_x0000_t202" filled="true" fillcolor="#b6c247" stroked="false">
            <w10:anchorlock/>
            <v:textbox inset="0,0,0,0">
              <w:txbxContent>
                <w:p>
                  <w:pPr>
                    <w:pStyle w:val="BodyText"/>
                    <w:spacing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shape>
        </w:pict>
      </w:r>
      <w:r>
        <w:rPr>
          <w:sz w:val="20"/>
        </w:rPr>
      </w:r>
    </w:p>
    <w:p>
      <w:pPr>
        <w:pStyle w:val="BodyText"/>
        <w:rPr>
          <w:sz w:val="20"/>
        </w:rPr>
      </w:pPr>
    </w:p>
    <w:p>
      <w:pPr>
        <w:spacing w:after="0"/>
        <w:rPr>
          <w:sz w:val="20"/>
        </w:rPr>
        <w:sectPr>
          <w:footerReference w:type="default" r:id="rId123"/>
          <w:pgSz w:w="16840" w:h="11910" w:orient="landscape"/>
          <w:pgMar w:footer="448" w:header="0" w:top="0" w:bottom="640" w:left="0" w:right="0"/>
        </w:sectPr>
      </w:pPr>
    </w:p>
    <w:p>
      <w:pPr>
        <w:pStyle w:val="BodyText"/>
        <w:spacing w:before="7"/>
        <w:rPr>
          <w:sz w:val="76"/>
        </w:rPr>
      </w:pPr>
    </w:p>
    <w:p>
      <w:pPr>
        <w:spacing w:before="0"/>
        <w:ind w:left="1162" w:right="0" w:firstLine="0"/>
        <w:jc w:val="left"/>
        <w:rPr>
          <w:b/>
          <w:sz w:val="52"/>
        </w:rPr>
      </w:pPr>
      <w:r>
        <w:rPr>
          <w:b/>
          <w:color w:val="6F2770"/>
          <w:sz w:val="52"/>
        </w:rPr>
        <w:t>State Revenue Continues</w:t>
      </w:r>
    </w:p>
    <w:p>
      <w:pPr>
        <w:spacing w:before="26"/>
        <w:ind w:left="1162" w:right="0" w:firstLine="0"/>
        <w:jc w:val="left"/>
        <w:rPr>
          <w:b/>
          <w:sz w:val="52"/>
        </w:rPr>
      </w:pPr>
      <w:r>
        <w:rPr>
          <w:b/>
          <w:color w:val="6F2770"/>
          <w:sz w:val="52"/>
        </w:rPr>
        <w:t>to Enhance its Digital Services</w:t>
      </w:r>
    </w:p>
    <w:p>
      <w:pPr>
        <w:pStyle w:val="BodyText"/>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9"/>
        </w:rPr>
      </w:pPr>
    </w:p>
    <w:p>
      <w:pPr>
        <w:spacing w:line="170" w:lineRule="exact" w:before="0"/>
        <w:ind w:left="1162" w:right="0" w:firstLine="0"/>
        <w:jc w:val="left"/>
        <w:rPr>
          <w:sz w:val="17"/>
        </w:rPr>
      </w:pPr>
      <w:r>
        <w:rPr>
          <w:spacing w:val="-2"/>
          <w:w w:val="95"/>
          <w:sz w:val="17"/>
        </w:rPr>
        <w:t>Transaction</w:t>
      </w:r>
    </w:p>
    <w:p>
      <w:pPr>
        <w:pStyle w:val="BodyText"/>
        <w:spacing w:before="1"/>
        <w:rPr>
          <w:sz w:val="23"/>
        </w:rPr>
      </w:pPr>
      <w:r>
        <w:rPr/>
        <w:br w:type="column"/>
      </w:r>
      <w:r>
        <w:rPr>
          <w:sz w:val="23"/>
        </w:rPr>
      </w:r>
    </w:p>
    <w:p>
      <w:pPr>
        <w:spacing w:line="208" w:lineRule="auto" w:before="0"/>
        <w:ind w:left="727" w:right="672" w:firstLine="0"/>
        <w:jc w:val="center"/>
        <w:rPr>
          <w:sz w:val="16"/>
        </w:rPr>
      </w:pPr>
      <w:r>
        <w:rPr/>
        <w:pict>
          <v:shape style="position:absolute;margin-left:601.348999pt;margin-top:-68.580612pt;width:120.3pt;height:42.55pt;mso-position-horizontal-relative:page;mso-position-vertical-relative:paragraph;z-index:6232"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360.811798pt;margin-top:-68.580612pt;width:120.3pt;height:42.55pt;mso-position-horizontal-relative:page;mso-position-vertical-relative:paragraph;z-index:6256"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pict>
          <v:shape style="position:absolute;margin-left:240.541pt;margin-top:-68.580612pt;width:120.3pt;height:42.55pt;mso-position-horizontal-relative:page;mso-position-vertical-relative:paragraph;z-index:6280"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w:pict>
      </w:r>
      <w:r>
        <w:rPr/>
        <w:pict>
          <v:shape style="position:absolute;margin-left:0pt;margin-top:-68.580612pt;width:120.3pt;height:42.55pt;mso-position-horizontal-relative:page;mso-position-vertical-relative:paragraph;z-index:6304" type="#_x0000_t202" filled="true" fillcolor="#aebd37" stroked="false">
            <v:textbox inset="0,0,0,0">
              <w:txbxContent>
                <w:p>
                  <w:pPr>
                    <w:pStyle w:val="BodyText"/>
                    <w:spacing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pict>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3" w:equalWidth="0">
            <w:col w:w="8742" w:space="4077"/>
            <w:col w:w="2000" w:space="39"/>
            <w:col w:w="1982"/>
          </w:cols>
        </w:sectPr>
      </w:pPr>
    </w:p>
    <w:p>
      <w:pPr>
        <w:pStyle w:val="BodyText"/>
        <w:spacing w:line="249" w:lineRule="auto" w:before="8"/>
        <w:ind w:left="1162" w:right="257"/>
      </w:pPr>
      <w:r>
        <w:rPr/>
        <w:pict>
          <v:group style="position:absolute;margin-left:38.268002pt;margin-top:.000001pt;width:803.65pt;height:528.85pt;mso-position-horizontal-relative:page;mso-position-vertical-relative:page;z-index:-807424" coordorigin="765,0" coordsize="16073,10577">
            <v:rect style="position:absolute;left:765;top:1729;width:15308;height:8848" filled="true" fillcolor="#f0eee8" stroked="false">
              <v:fill type="solid"/>
            </v:rect>
            <v:shape style="position:absolute;left:14419;top:0;width:1455;height:1745" coordorigin="14419,0" coordsize="1455,1745" path="m15219,0l15194,0,14935,149,14901,184,15219,0m15356,0l15331,0,14748,336,14714,370,15356,0m15492,0l15467,0,14562,523,14527,557,15492,0m15629,0l15604,0,14419,684,14428,693,15629,0m15766,0l15741,0,14469,734,14478,743,15766,0m15874,1502l15470,1735,15479,1744,15874,1516,15874,1502m15874,1423l15420,1685,15429,1694,15874,1437,15874,1423m15874,1344l15370,1635,15379,1644,15874,1358,15874,1344m15874,1265l15320,1585,15329,1594,15874,1279,15874,1265m15874,1186l15270,1535,15279,1544,15874,1200,15874,1186m15874,1107l15220,1485,15229,1494,15874,1121,15874,1107m15874,1028l15170,1435,15179,1444,15874,1042,15874,1028m15874,949l15120,1385,15129,1394,15874,964,15874,949m15874,870l15070,1335,15079,1344,15874,885,15874,870m15874,791l15020,1285,15029,1294,15874,806,15874,791m15874,633l14920,1184,14929,1194,15874,648,15874,633m15874,554l14870,1134,14879,1144,15874,569,15874,554m15874,476l14819,1084,14829,1094,15874,490,15874,476m15874,397l14769,1034,14779,1043,15874,411,15874,397m15874,318l14719,984,14729,993,15874,332,15874,318m15874,239l14669,934,14679,943,15874,253,15874,239m15874,160l14619,884,14628,893,15874,174,15874,160m15874,2l14519,784,14528,793,15874,16,15874,2m15874,712l14970,1235,14979,1244,15874,727,15874,712m15874,81l14569,834,14578,843,15874,95,15874,81e" filled="true" fillcolor="#cdcccd" stroked="false">
              <v:path arrowok="t"/>
              <v:fill type="solid"/>
            </v:shape>
            <v:shape style="position:absolute;left:15520;top:1580;width:354;height:514" type="#_x0000_t75" stroked="false">
              <v:imagedata r:id="rId42" o:title=""/>
            </v:shape>
            <v:shape style="position:absolute;left:15874;top:0;width:338;height:196" type="#_x0000_t75" stroked="false">
              <v:imagedata r:id="rId20" o:title=""/>
            </v:shape>
            <v:shape style="position:absolute;left:15874;top:0;width:964;height:1932" coordorigin="15874,0" coordsize="964,1932" path="m16349,0l16339,0,15874,268,15874,274,16349,0m16378,1635l15874,1926,15874,1932,16365,1648,16378,1635m16486,0l16476,0,15874,347,15874,353,16486,0m16565,1448l15874,1847,15874,1853,16551,1462,16565,1448m16622,0l16612,0,15874,426,15874,432,16622,0m16699,35l16695,31,15874,505,15874,511,16699,35m16749,85l16745,81,15874,584,15874,590,16749,85m16752,1261l15874,1768,15874,1774,16738,1275,16752,1261m16799,135l16795,131,15874,663,15874,669,16799,135m16838,1133l15874,1689,15874,1695,16838,1138,16838,1133m16838,1054l15874,1610,15874,1616,16838,1060,16838,1054m16838,975l15874,1531,15874,1537,16838,981,16838,975m16838,896l15874,1452,15874,1458,16838,902,16838,896m16838,817l15874,1373,15874,1379,16838,823,16838,817m16838,738l15874,1294,15874,1300,16838,744,16838,738m16838,659l15874,1215,15874,1221,16838,665,16838,659m16838,580l15874,1137,15874,1142,16838,586,16838,580m16838,501l15874,1058,15874,1063,16838,507,16838,501m16838,422l15874,979,15874,984,16838,428,16838,422m16838,343l15874,900,15874,906,16838,349,16838,343m16838,264l15874,821,15874,827,16838,270,16838,264m16838,186l15874,742,15874,748,16838,191,16838,186e" filled="true" fillcolor="#cdcccd" stroked="false">
              <v:path arrowok="t"/>
              <v:fill type="solid"/>
            </v:shape>
            <v:shape style="position:absolute;left:15874;top:1821;width:318;height:269" type="#_x0000_t75" stroked="false">
              <v:imagedata r:id="rId21" o:title=""/>
            </v:shape>
            <v:shape style="position:absolute;left:13676;top:372;width:904;height:904" coordorigin="13677,372" coordsize="904,904" path="m14128,372l13677,824,14128,1276,14580,824,14128,372xe" filled="true" fillcolor="#ffffff" stroked="false">
              <v:path arrowok="t"/>
              <v:fill type="solid"/>
            </v:shape>
            <v:shape style="position:absolute;left:13225;top:824;width:904;height:904" coordorigin="13225,824" coordsize="904,904" path="m13677,824l13225,1276,13677,1727,14128,1276,13677,824xe" filled="true" fillcolor="#e8e9c9" stroked="false">
              <v:path arrowok="t"/>
              <v:fill type="solid"/>
            </v:shape>
            <v:shape style="position:absolute;left:12773;top:1275;width:904;height:904" coordorigin="12774,1276" coordsize="904,904" path="m13225,1276l12774,1727,13225,2179,13677,1727,13225,1276xe" filled="true" fillcolor="#d5dac6" stroked="false">
              <v:path arrowok="t"/>
              <v:fill type="solid"/>
            </v:shape>
            <v:shape style="position:absolute;left:11870;top:372;width:2710;height:904" coordorigin="11870,372" coordsize="2710,904" path="m12774,824l12322,372,11870,824,12322,1276,12774,824m14580,824l14128,372,13677,824,14128,1276,14580,824e" filled="true" fillcolor="#efeeeb" stroked="false">
              <v:path arrowok="t"/>
              <v:fill type="solid"/>
            </v:shape>
            <v:shape style="position:absolute;left:12773;top:372;width:904;height:904" coordorigin="12774,372" coordsize="904,904" path="m13225,372l12774,824,13225,1276,13677,824,13225,372xe" filled="true" fillcolor="#c0aac2" stroked="false">
              <v:path arrowok="t"/>
              <v:fill type="solid"/>
            </v:shape>
            <v:shape style="position:absolute;left:6192;top:2871;width:9365;height:7486" type="#_x0000_t75" stroked="false">
              <v:imagedata r:id="rId124" o:title=""/>
            </v:shape>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shape style="position:absolute;left:6192;top:7881;width:2316;height:2316" coordorigin="6193,7881" coordsize="2316,2316" path="m7351,7881l6193,9039,7351,10197,8509,9039,7351,7881xe" filled="false" stroked="true" strokeweight=".5pt" strokecolor="#bbbcbb">
              <v:path arrowok="t"/>
              <v:stroke dashstyle="solid"/>
            </v:shape>
            <v:shape style="position:absolute;left:6192;top:5376;width:2316;height:2316" coordorigin="6193,5376" coordsize="2316,2316" path="m7351,5376l6193,6534,7351,7692,8509,6534,7351,5376xe" filled="false" stroked="true" strokeweight=".5pt" strokecolor="#bbbcbb">
              <v:path arrowok="t"/>
              <v:stroke dashstyle="solid"/>
            </v:shape>
            <v:shape style="position:absolute;left:13241;top:5376;width:2316;height:2316" coordorigin="13241,5376" coordsize="2316,2316" path="m14399,5376l15557,6534,14399,7692,13241,6534,14399,5376xe" filled="false" stroked="true" strokeweight=".5pt" strokecolor="#bbbcbb">
              <v:path arrowok="t"/>
              <v:stroke dashstyle="solid"/>
            </v:shape>
            <v:shape style="position:absolute;left:13241;top:2871;width:2316;height:2316" coordorigin="13241,2871" coordsize="2316,2316" path="m14399,2871l15557,4029,14399,5187,13241,4029,14399,2871xe" filled="false" stroked="true" strokeweight=".5pt" strokecolor="#bbbcbb">
              <v:path arrowok="t"/>
              <v:stroke dashstyle="solid"/>
            </v:shape>
            <v:shape style="position:absolute;left:13241;top:7881;width:2316;height:2316" coordorigin="13241,7881" coordsize="2316,2316" path="m14399,7881l15557,9039,14399,10197,13241,9039,14399,7881xe" filled="false" stroked="true" strokeweight=".5pt" strokecolor="#bbbcbb">
              <v:path arrowok="t"/>
              <v:stroke dashstyle="solid"/>
            </v:shape>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shape style="position:absolute;left:15424;top:1075;width:900;height:904" coordorigin="15424,1076" coordsize="900,904" path="m15874,1076l15424,1526,15424,1529,15874,1979,16324,1529,16324,1526,15874,1076xe" filled="true" fillcolor="#c4cd71" stroked="false">
              <v:path arrowok="t"/>
              <v:fill type="solid"/>
            </v:shape>
            <v:rect style="position:absolute;left:4810;top:0;width:2406;height:851" filled="true" fillcolor="#e6e7e8" stroked="false">
              <v:fill type="solid"/>
            </v:rect>
            <v:shape style="position:absolute;left:4810;top:0;width:583;height:583" type="#_x0000_t75" stroked="false">
              <v:imagedata r:id="rId51" o:title=""/>
            </v:shape>
            <v:rect style="position:absolute;left:9621;top:0;width:2406;height:851" filled="true" fillcolor="#bec85c" stroked="false">
              <v:fill type="solid"/>
            </v:rect>
            <v:rect style="position:absolute;left:12026;top:0;width:2406;height:851" filled="true" fillcolor="#b6c247" stroked="false">
              <v:fill type="solid"/>
            </v:rect>
            <v:rect style="position:absolute;left:14432;top:0;width:2406;height:851" filled="true" fillcolor="#aebd37" stroked="false">
              <v:fill type="solid"/>
            </v:rect>
            <v:shape style="position:absolute;left:15263;top:1366;width:161;height:322" type="#_x0000_t75" stroked="false">
              <v:imagedata r:id="rId16" o:title=""/>
            </v:shape>
            <v:shape style="position:absolute;left:16324;top:1366;width:161;height:322" type="#_x0000_t75" stroked="false">
              <v:imagedata r:id="rId11" o:title=""/>
            </v:shape>
            <w10:wrap type="none"/>
          </v:group>
        </w:pict>
      </w:r>
      <w:r>
        <w:rPr>
          <w:b/>
        </w:rPr>
        <w:t>State Revenue </w:t>
      </w:r>
      <w:r>
        <w:rPr/>
        <w:t>continued to reduce manual</w:t>
      </w:r>
      <w:r>
        <w:rPr>
          <w:spacing w:val="-30"/>
        </w:rPr>
        <w:t> </w:t>
      </w:r>
      <w:r>
        <w:rPr/>
        <w:t>processes</w:t>
      </w:r>
      <w:r>
        <w:rPr>
          <w:spacing w:val="-29"/>
        </w:rPr>
        <w:t> </w:t>
      </w:r>
      <w:r>
        <w:rPr/>
        <w:t>and</w:t>
      </w:r>
      <w:r>
        <w:rPr>
          <w:spacing w:val="-29"/>
        </w:rPr>
        <w:t> </w:t>
      </w:r>
      <w:r>
        <w:rPr/>
        <w:t>improve</w:t>
      </w:r>
      <w:r>
        <w:rPr>
          <w:spacing w:val="-29"/>
        </w:rPr>
        <w:t> </w:t>
      </w:r>
      <w:r>
        <w:rPr/>
        <w:t>efficiency</w:t>
      </w:r>
      <w:r>
        <w:rPr>
          <w:spacing w:val="-29"/>
        </w:rPr>
        <w:t> </w:t>
      </w:r>
      <w:r>
        <w:rPr>
          <w:spacing w:val="-6"/>
        </w:rPr>
        <w:t>for </w:t>
      </w:r>
      <w:r>
        <w:rPr/>
        <w:t>industry</w:t>
      </w:r>
      <w:r>
        <w:rPr>
          <w:spacing w:val="-19"/>
        </w:rPr>
        <w:t> </w:t>
      </w:r>
      <w:r>
        <w:rPr/>
        <w:t>members</w:t>
      </w:r>
      <w:r>
        <w:rPr>
          <w:spacing w:val="-18"/>
        </w:rPr>
        <w:t> </w:t>
      </w:r>
      <w:r>
        <w:rPr/>
        <w:t>by</w:t>
      </w:r>
      <w:r>
        <w:rPr>
          <w:spacing w:val="-18"/>
        </w:rPr>
        <w:t> </w:t>
      </w:r>
      <w:r>
        <w:rPr/>
        <w:t>allowing</w:t>
      </w:r>
      <w:r>
        <w:rPr>
          <w:spacing w:val="-18"/>
        </w:rPr>
        <w:t> </w:t>
      </w:r>
      <w:r>
        <w:rPr/>
        <w:t>more</w:t>
      </w:r>
      <w:r>
        <w:rPr>
          <w:spacing w:val="-18"/>
        </w:rPr>
        <w:t> </w:t>
      </w:r>
      <w:r>
        <w:rPr/>
        <w:t>types</w:t>
      </w:r>
      <w:r>
        <w:rPr>
          <w:spacing w:val="-18"/>
        </w:rPr>
        <w:t> </w:t>
      </w:r>
      <w:r>
        <w:rPr/>
        <w:t>of dutiable</w:t>
      </w:r>
      <w:r>
        <w:rPr>
          <w:spacing w:val="-16"/>
        </w:rPr>
        <w:t> </w:t>
      </w:r>
      <w:r>
        <w:rPr/>
        <w:t>transactions</w:t>
      </w:r>
      <w:r>
        <w:rPr>
          <w:spacing w:val="-16"/>
        </w:rPr>
        <w:t> </w:t>
      </w:r>
      <w:r>
        <w:rPr/>
        <w:t>to</w:t>
      </w:r>
      <w:r>
        <w:rPr>
          <w:spacing w:val="-16"/>
        </w:rPr>
        <w:t> </w:t>
      </w:r>
      <w:r>
        <w:rPr/>
        <w:t>be</w:t>
      </w:r>
      <w:r>
        <w:rPr>
          <w:spacing w:val="-16"/>
        </w:rPr>
        <w:t> </w:t>
      </w:r>
      <w:r>
        <w:rPr/>
        <w:t>lodged</w:t>
      </w:r>
      <w:r>
        <w:rPr>
          <w:spacing w:val="-15"/>
        </w:rPr>
        <w:t> </w:t>
      </w:r>
      <w:r>
        <w:rPr/>
        <w:t>online</w:t>
      </w:r>
      <w:r>
        <w:rPr>
          <w:spacing w:val="-16"/>
        </w:rPr>
        <w:t> </w:t>
      </w:r>
      <w:r>
        <w:rPr/>
        <w:t>for assessment.</w:t>
      </w:r>
      <w:r>
        <w:rPr>
          <w:spacing w:val="-25"/>
        </w:rPr>
        <w:t> </w:t>
      </w:r>
      <w:r>
        <w:rPr/>
        <w:t>This</w:t>
      </w:r>
      <w:r>
        <w:rPr>
          <w:spacing w:val="-24"/>
        </w:rPr>
        <w:t> </w:t>
      </w:r>
      <w:r>
        <w:rPr/>
        <w:t>further</w:t>
      </w:r>
      <w:r>
        <w:rPr>
          <w:spacing w:val="-24"/>
        </w:rPr>
        <w:t> </w:t>
      </w:r>
      <w:r>
        <w:rPr/>
        <w:t>streamlining</w:t>
      </w:r>
      <w:r>
        <w:rPr>
          <w:spacing w:val="-24"/>
        </w:rPr>
        <w:t> </w:t>
      </w:r>
      <w:r>
        <w:rPr/>
        <w:t>to</w:t>
      </w:r>
      <w:r>
        <w:rPr>
          <w:spacing w:val="-25"/>
        </w:rPr>
        <w:t> </w:t>
      </w:r>
      <w:r>
        <w:rPr/>
        <w:t>the </w:t>
      </w:r>
      <w:r>
        <w:rPr>
          <w:spacing w:val="-4"/>
        </w:rPr>
        <w:t>State’s</w:t>
      </w:r>
      <w:r>
        <w:rPr>
          <w:spacing w:val="-25"/>
        </w:rPr>
        <w:t> </w:t>
      </w:r>
      <w:r>
        <w:rPr/>
        <w:t>online</w:t>
      </w:r>
      <w:r>
        <w:rPr>
          <w:spacing w:val="-25"/>
        </w:rPr>
        <w:t> </w:t>
      </w:r>
      <w:r>
        <w:rPr/>
        <w:t>revenue</w:t>
      </w:r>
      <w:r>
        <w:rPr>
          <w:spacing w:val="-25"/>
        </w:rPr>
        <w:t> </w:t>
      </w:r>
      <w:r>
        <w:rPr/>
        <w:t>collection</w:t>
      </w:r>
      <w:r>
        <w:rPr>
          <w:spacing w:val="-25"/>
        </w:rPr>
        <w:t> </w:t>
      </w:r>
      <w:r>
        <w:rPr/>
        <w:t>application</w:t>
      </w:r>
    </w:p>
    <w:p>
      <w:pPr>
        <w:pStyle w:val="BodyText"/>
        <w:spacing w:line="249" w:lineRule="auto" w:before="6"/>
        <w:ind w:left="1162" w:right="-17"/>
      </w:pPr>
      <w:hyperlink r:id="rId125">
        <w:r>
          <w:rPr>
            <w:color w:val="A7BE39"/>
            <w:u w:val="single" w:color="A7BE39"/>
          </w:rPr>
          <w:t>Revenue Online</w:t>
        </w:r>
        <w:r>
          <w:rPr>
            <w:color w:val="A7BE39"/>
          </w:rPr>
          <w:t> </w:t>
        </w:r>
      </w:hyperlink>
      <w:r>
        <w:rPr/>
        <w:t>enables industry members to complete</w:t>
      </w:r>
      <w:r>
        <w:rPr>
          <w:spacing w:val="-21"/>
        </w:rPr>
        <w:t> </w:t>
      </w:r>
      <w:r>
        <w:rPr/>
        <w:t>a</w:t>
      </w:r>
      <w:r>
        <w:rPr>
          <w:spacing w:val="-20"/>
        </w:rPr>
        <w:t> </w:t>
      </w:r>
      <w:r>
        <w:rPr/>
        <w:t>greater</w:t>
      </w:r>
      <w:r>
        <w:rPr>
          <w:spacing w:val="-20"/>
        </w:rPr>
        <w:t> </w:t>
      </w:r>
      <w:r>
        <w:rPr/>
        <w:t>range</w:t>
      </w:r>
      <w:r>
        <w:rPr>
          <w:spacing w:val="-20"/>
        </w:rPr>
        <w:t> </w:t>
      </w:r>
      <w:r>
        <w:rPr/>
        <w:t>of</w:t>
      </w:r>
      <w:r>
        <w:rPr>
          <w:spacing w:val="-20"/>
        </w:rPr>
        <w:t> </w:t>
      </w:r>
      <w:r>
        <w:rPr/>
        <w:t>duties</w:t>
      </w:r>
      <w:r>
        <w:rPr>
          <w:spacing w:val="-20"/>
        </w:rPr>
        <w:t> </w:t>
      </w:r>
      <w:r>
        <w:rPr>
          <w:spacing w:val="-2"/>
        </w:rPr>
        <w:t>transactions </w:t>
      </w:r>
      <w:r>
        <w:rPr>
          <w:spacing w:val="-3"/>
        </w:rPr>
        <w:t>digitally, </w:t>
      </w:r>
      <w:r>
        <w:rPr/>
        <w:t>overcoming the need to lodge paper records for assessment, saving time and </w:t>
      </w:r>
      <w:r>
        <w:rPr>
          <w:spacing w:val="-4"/>
        </w:rPr>
        <w:t>money.</w:t>
      </w:r>
    </w:p>
    <w:p>
      <w:pPr>
        <w:pStyle w:val="BodyText"/>
        <w:spacing w:before="3"/>
        <w:rPr>
          <w:sz w:val="23"/>
        </w:rPr>
      </w:pPr>
    </w:p>
    <w:p>
      <w:pPr>
        <w:pStyle w:val="BodyText"/>
        <w:spacing w:line="249" w:lineRule="auto" w:before="1"/>
        <w:ind w:left="1162" w:right="36"/>
      </w:pPr>
      <w:r>
        <w:rPr>
          <w:spacing w:val="-3"/>
        </w:rPr>
        <w:t>Previously, </w:t>
      </w:r>
      <w:r>
        <w:rPr/>
        <w:t>around 70 per cent of dutiable transactions</w:t>
      </w:r>
      <w:r>
        <w:rPr>
          <w:spacing w:val="-18"/>
        </w:rPr>
        <w:t> </w:t>
      </w:r>
      <w:r>
        <w:rPr/>
        <w:t>were</w:t>
      </w:r>
      <w:r>
        <w:rPr>
          <w:spacing w:val="-18"/>
        </w:rPr>
        <w:t> </w:t>
      </w:r>
      <w:r>
        <w:rPr/>
        <w:t>able</w:t>
      </w:r>
      <w:r>
        <w:rPr>
          <w:spacing w:val="-17"/>
        </w:rPr>
        <w:t> </w:t>
      </w:r>
      <w:r>
        <w:rPr/>
        <w:t>to</w:t>
      </w:r>
      <w:r>
        <w:rPr>
          <w:spacing w:val="-18"/>
        </w:rPr>
        <w:t> </w:t>
      </w:r>
      <w:r>
        <w:rPr/>
        <w:t>be</w:t>
      </w:r>
      <w:r>
        <w:rPr>
          <w:spacing w:val="-18"/>
        </w:rPr>
        <w:t> </w:t>
      </w:r>
      <w:r>
        <w:rPr/>
        <w:t>completed</w:t>
      </w:r>
      <w:r>
        <w:rPr>
          <w:spacing w:val="-17"/>
        </w:rPr>
        <w:t> </w:t>
      </w:r>
      <w:r>
        <w:rPr>
          <w:spacing w:val="-3"/>
        </w:rPr>
        <w:t>online, </w:t>
      </w:r>
      <w:r>
        <w:rPr/>
        <w:t>with</w:t>
      </w:r>
      <w:r>
        <w:rPr>
          <w:spacing w:val="-12"/>
        </w:rPr>
        <w:t> </w:t>
      </w:r>
      <w:r>
        <w:rPr/>
        <w:t>the</w:t>
      </w:r>
      <w:r>
        <w:rPr>
          <w:spacing w:val="-11"/>
        </w:rPr>
        <w:t> </w:t>
      </w:r>
      <w:r>
        <w:rPr/>
        <w:t>remaining</w:t>
      </w:r>
      <w:r>
        <w:rPr>
          <w:spacing w:val="-12"/>
        </w:rPr>
        <w:t> </w:t>
      </w:r>
      <w:r>
        <w:rPr/>
        <w:t>30</w:t>
      </w:r>
      <w:r>
        <w:rPr>
          <w:spacing w:val="-11"/>
        </w:rPr>
        <w:t> </w:t>
      </w:r>
      <w:r>
        <w:rPr/>
        <w:t>per</w:t>
      </w:r>
      <w:r>
        <w:rPr>
          <w:spacing w:val="-12"/>
        </w:rPr>
        <w:t> </w:t>
      </w:r>
      <w:r>
        <w:rPr/>
        <w:t>cent</w:t>
      </w:r>
      <w:r>
        <w:rPr>
          <w:spacing w:val="-11"/>
        </w:rPr>
        <w:t> </w:t>
      </w:r>
      <w:r>
        <w:rPr/>
        <w:t>still</w:t>
      </w:r>
      <w:r>
        <w:rPr>
          <w:spacing w:val="-11"/>
        </w:rPr>
        <w:t> </w:t>
      </w:r>
      <w:r>
        <w:rPr/>
        <w:t>requiring</w:t>
      </w:r>
    </w:p>
    <w:p>
      <w:pPr>
        <w:pStyle w:val="BodyText"/>
        <w:spacing w:line="249" w:lineRule="auto" w:before="2"/>
        <w:ind w:left="1162" w:right="345"/>
      </w:pPr>
      <w:r>
        <w:rPr/>
        <w:t>a</w:t>
      </w:r>
      <w:r>
        <w:rPr>
          <w:spacing w:val="-14"/>
        </w:rPr>
        <w:t> </w:t>
      </w:r>
      <w:r>
        <w:rPr/>
        <w:t>paper</w:t>
      </w:r>
      <w:r>
        <w:rPr>
          <w:spacing w:val="-13"/>
        </w:rPr>
        <w:t> </w:t>
      </w:r>
      <w:r>
        <w:rPr/>
        <w:t>lodgement,</w:t>
      </w:r>
      <w:r>
        <w:rPr>
          <w:spacing w:val="-14"/>
        </w:rPr>
        <w:t> </w:t>
      </w:r>
      <w:r>
        <w:rPr/>
        <w:t>due</w:t>
      </w:r>
      <w:r>
        <w:rPr>
          <w:spacing w:val="-13"/>
        </w:rPr>
        <w:t> </w:t>
      </w:r>
      <w:r>
        <w:rPr/>
        <w:t>to</w:t>
      </w:r>
      <w:r>
        <w:rPr>
          <w:spacing w:val="-14"/>
        </w:rPr>
        <w:t> </w:t>
      </w:r>
      <w:r>
        <w:rPr/>
        <w:t>their</w:t>
      </w:r>
      <w:r>
        <w:rPr>
          <w:spacing w:val="-13"/>
        </w:rPr>
        <w:t> </w:t>
      </w:r>
      <w:r>
        <w:rPr>
          <w:spacing w:val="-4"/>
        </w:rPr>
        <w:t>complexity. </w:t>
      </w:r>
      <w:r>
        <w:rPr/>
        <w:t>Now over 95 per cent of transactions can be completed </w:t>
      </w:r>
      <w:r>
        <w:rPr>
          <w:spacing w:val="-3"/>
        </w:rPr>
        <w:t>digitally, </w:t>
      </w:r>
      <w:r>
        <w:rPr/>
        <w:t>regardless of the transaction’s</w:t>
      </w:r>
      <w:r>
        <w:rPr>
          <w:spacing w:val="-36"/>
        </w:rPr>
        <w:t> </w:t>
      </w:r>
      <w:r>
        <w:rPr/>
        <w:t>complexity,</w:t>
      </w:r>
      <w:r>
        <w:rPr>
          <w:spacing w:val="-35"/>
        </w:rPr>
        <w:t> </w:t>
      </w:r>
      <w:r>
        <w:rPr/>
        <w:t>with</w:t>
      </w:r>
      <w:r>
        <w:rPr>
          <w:spacing w:val="-35"/>
        </w:rPr>
        <w:t> </w:t>
      </w:r>
      <w:r>
        <w:rPr/>
        <w:t>the</w:t>
      </w:r>
      <w:r>
        <w:rPr>
          <w:spacing w:val="-35"/>
        </w:rPr>
        <w:t> </w:t>
      </w:r>
      <w:r>
        <w:rPr/>
        <w:t>remaining transactions moving online in</w:t>
      </w:r>
      <w:r>
        <w:rPr>
          <w:spacing w:val="-33"/>
        </w:rPr>
        <w:t> </w:t>
      </w:r>
      <w:r>
        <w:rPr/>
        <w:t>2017-18.</w:t>
      </w:r>
    </w:p>
    <w:p>
      <w:pPr>
        <w:pStyle w:val="BodyText"/>
        <w:spacing w:before="4"/>
        <w:rPr>
          <w:sz w:val="23"/>
        </w:rPr>
      </w:pPr>
    </w:p>
    <w:p>
      <w:pPr>
        <w:pStyle w:val="BodyText"/>
        <w:spacing w:line="249" w:lineRule="auto"/>
        <w:ind w:left="1162" w:right="77"/>
      </w:pPr>
      <w:r>
        <w:rPr/>
        <w:t>The</w:t>
      </w:r>
      <w:r>
        <w:rPr>
          <w:spacing w:val="-19"/>
        </w:rPr>
        <w:t> </w:t>
      </w:r>
      <w:hyperlink r:id="rId126">
        <w:r>
          <w:rPr>
            <w:color w:val="A7BE39"/>
            <w:u w:val="single" w:color="A7BE39"/>
          </w:rPr>
          <w:t>Duties</w:t>
        </w:r>
        <w:r>
          <w:rPr>
            <w:color w:val="A7BE39"/>
            <w:spacing w:val="-18"/>
            <w:u w:val="single" w:color="A7BE39"/>
          </w:rPr>
          <w:t> </w:t>
        </w:r>
        <w:r>
          <w:rPr>
            <w:color w:val="A7BE39"/>
            <w:u w:val="single" w:color="A7BE39"/>
          </w:rPr>
          <w:t>Online</w:t>
        </w:r>
        <w:r>
          <w:rPr>
            <w:color w:val="A7BE39"/>
            <w:spacing w:val="-18"/>
            <w:u w:val="single" w:color="A7BE39"/>
          </w:rPr>
          <w:t> </w:t>
        </w:r>
        <w:r>
          <w:rPr>
            <w:color w:val="A7BE39"/>
            <w:u w:val="single" w:color="A7BE39"/>
          </w:rPr>
          <w:t>Lodgment</w:t>
        </w:r>
        <w:r>
          <w:rPr>
            <w:color w:val="A7BE39"/>
            <w:spacing w:val="-19"/>
            <w:u w:val="single" w:color="A7BE39"/>
          </w:rPr>
          <w:t> </w:t>
        </w:r>
        <w:r>
          <w:rPr>
            <w:color w:val="A7BE39"/>
            <w:u w:val="single" w:color="A7BE39"/>
          </w:rPr>
          <w:t>portal</w:t>
        </w:r>
        <w:r>
          <w:rPr>
            <w:color w:val="A7BE39"/>
            <w:spacing w:val="-18"/>
          </w:rPr>
          <w:t> </w:t>
        </w:r>
      </w:hyperlink>
      <w:r>
        <w:rPr/>
        <w:t>allows</w:t>
      </w:r>
      <w:r>
        <w:rPr>
          <w:spacing w:val="-18"/>
        </w:rPr>
        <w:t> </w:t>
      </w:r>
      <w:r>
        <w:rPr/>
        <w:t>for the lodgement, assessment and payment of transactions</w:t>
      </w:r>
      <w:r>
        <w:rPr>
          <w:spacing w:val="-25"/>
        </w:rPr>
        <w:t> </w:t>
      </w:r>
      <w:r>
        <w:rPr/>
        <w:t>not</w:t>
      </w:r>
      <w:r>
        <w:rPr>
          <w:spacing w:val="-25"/>
        </w:rPr>
        <w:t> </w:t>
      </w:r>
      <w:r>
        <w:rPr/>
        <w:t>approved</w:t>
      </w:r>
      <w:r>
        <w:rPr>
          <w:spacing w:val="-25"/>
        </w:rPr>
        <w:t> </w:t>
      </w:r>
      <w:r>
        <w:rPr/>
        <w:t>for</w:t>
      </w:r>
      <w:r>
        <w:rPr>
          <w:spacing w:val="-25"/>
        </w:rPr>
        <w:t> </w:t>
      </w:r>
      <w:r>
        <w:rPr>
          <w:spacing w:val="-2"/>
        </w:rPr>
        <w:t>self-assessment </w:t>
      </w:r>
      <w:r>
        <w:rPr/>
        <w:t>to</w:t>
      </w:r>
      <w:r>
        <w:rPr>
          <w:spacing w:val="-24"/>
        </w:rPr>
        <w:t> </w:t>
      </w:r>
      <w:r>
        <w:rPr/>
        <w:t>be</w:t>
      </w:r>
      <w:r>
        <w:rPr>
          <w:spacing w:val="-23"/>
        </w:rPr>
        <w:t> </w:t>
      </w:r>
      <w:r>
        <w:rPr/>
        <w:t>completed</w:t>
      </w:r>
      <w:r>
        <w:rPr>
          <w:spacing w:val="-23"/>
        </w:rPr>
        <w:t> </w:t>
      </w:r>
      <w:r>
        <w:rPr/>
        <w:t>using</w:t>
      </w:r>
      <w:r>
        <w:rPr>
          <w:spacing w:val="-23"/>
        </w:rPr>
        <w:t> </w:t>
      </w:r>
      <w:r>
        <w:rPr/>
        <w:t>Revenue</w:t>
      </w:r>
      <w:r>
        <w:rPr>
          <w:spacing w:val="-23"/>
        </w:rPr>
        <w:t> </w:t>
      </w:r>
      <w:r>
        <w:rPr/>
        <w:t>Online,</w:t>
      </w:r>
      <w:r>
        <w:rPr>
          <w:spacing w:val="-23"/>
        </w:rPr>
        <w:t> </w:t>
      </w:r>
      <w:r>
        <w:rPr/>
        <w:t>rather</w:t>
      </w:r>
    </w:p>
    <w:p>
      <w:pPr>
        <w:pStyle w:val="BodyText"/>
        <w:spacing w:line="249" w:lineRule="auto" w:before="8"/>
        <w:ind w:left="340" w:right="-7"/>
      </w:pPr>
      <w:r>
        <w:rPr/>
        <w:br w:type="column"/>
      </w:r>
      <w:r>
        <w:rPr/>
        <w:t>than a paper lodgement, reducing assessment times by around 15 days. This initiative is another example of State Revenue’s </w:t>
      </w:r>
      <w:r>
        <w:rPr>
          <w:w w:val="95"/>
        </w:rPr>
        <w:t>commitment to deliver innovative online solutions </w:t>
      </w:r>
      <w:r>
        <w:rPr/>
        <w:t>to cut red tape and meet industry requirements via a secure and reliable digital platform.</w:t>
      </w:r>
    </w:p>
    <w:p>
      <w:pPr>
        <w:pStyle w:val="BodyText"/>
        <w:rPr>
          <w:sz w:val="26"/>
        </w:rPr>
      </w:pPr>
    </w:p>
    <w:p>
      <w:pPr>
        <w:pStyle w:val="BodyText"/>
        <w:spacing w:before="6"/>
        <w:rPr>
          <w:sz w:val="25"/>
        </w:rPr>
      </w:pPr>
    </w:p>
    <w:p>
      <w:pPr>
        <w:spacing w:line="249" w:lineRule="auto" w:before="1"/>
        <w:ind w:left="1049" w:right="2597" w:hanging="1"/>
        <w:jc w:val="center"/>
        <w:rPr>
          <w:sz w:val="17"/>
        </w:rPr>
      </w:pPr>
      <w:r>
        <w:rPr>
          <w:sz w:val="17"/>
        </w:rPr>
        <w:t>Electric document reviewed</w:t>
      </w:r>
      <w:r>
        <w:rPr>
          <w:spacing w:val="-26"/>
          <w:sz w:val="17"/>
        </w:rPr>
        <w:t> </w:t>
      </w:r>
      <w:r>
        <w:rPr>
          <w:sz w:val="17"/>
        </w:rPr>
        <w:t>by</w:t>
      </w:r>
      <w:r>
        <w:rPr>
          <w:spacing w:val="-25"/>
          <w:sz w:val="17"/>
        </w:rPr>
        <w:t> </w:t>
      </w:r>
      <w:r>
        <w:rPr>
          <w:spacing w:val="-6"/>
          <w:sz w:val="17"/>
        </w:rPr>
        <w:t>OSR</w:t>
      </w:r>
    </w:p>
    <w:p>
      <w:pPr>
        <w:pStyle w:val="BodyText"/>
        <w:spacing w:before="10"/>
        <w:rPr>
          <w:sz w:val="17"/>
        </w:rPr>
      </w:pPr>
    </w:p>
    <w:p>
      <w:pPr>
        <w:spacing w:line="249" w:lineRule="auto" w:before="0"/>
        <w:ind w:left="1092" w:right="2640" w:hanging="1"/>
        <w:jc w:val="center"/>
        <w:rPr>
          <w:sz w:val="17"/>
        </w:rPr>
      </w:pPr>
      <w:r>
        <w:rPr/>
        <w:pict>
          <v:shape style="position:absolute;margin-left:460.843384pt;margin-top:40.217327pt;width:22.35pt;height:42.65pt;mso-position-horizontal-relative:page;mso-position-vertical-relative:paragraph;z-index:6328" type="#_x0000_t202" filled="false" stroked="false">
            <v:textbox inset="0,0,0,0" style="layout-flow:vertical">
              <w:txbxContent>
                <w:p>
                  <w:pPr>
                    <w:spacing w:line="249" w:lineRule="auto" w:before="26"/>
                    <w:ind w:left="20" w:right="0" w:firstLine="146"/>
                    <w:jc w:val="left"/>
                    <w:rPr>
                      <w:b/>
                      <w:sz w:val="17"/>
                    </w:rPr>
                  </w:pPr>
                  <w:r>
                    <w:rPr>
                      <w:b/>
                      <w:color w:val="6F2770"/>
                      <w:sz w:val="17"/>
                    </w:rPr>
                    <w:t>STATE </w:t>
                  </w:r>
                  <w:r>
                    <w:rPr>
                      <w:b/>
                      <w:color w:val="6F2770"/>
                      <w:w w:val="95"/>
                      <w:sz w:val="17"/>
                    </w:rPr>
                    <w:t>REVENUE</w:t>
                  </w:r>
                </w:p>
              </w:txbxContent>
            </v:textbox>
            <w10:wrap type="none"/>
          </v:shape>
        </w:pict>
      </w:r>
      <w:r>
        <w:rPr>
          <w:w w:val="95"/>
          <w:sz w:val="17"/>
        </w:rPr>
        <w:t>Correspondece </w:t>
      </w:r>
      <w:r>
        <w:rPr>
          <w:sz w:val="17"/>
        </w:rPr>
        <w:t>issued</w:t>
      </w:r>
      <w:r>
        <w:rPr>
          <w:spacing w:val="-22"/>
          <w:sz w:val="17"/>
        </w:rPr>
        <w:t> </w:t>
      </w:r>
      <w:r>
        <w:rPr>
          <w:sz w:val="17"/>
        </w:rPr>
        <w:t>via</w:t>
      </w:r>
      <w:r>
        <w:rPr>
          <w:spacing w:val="-21"/>
          <w:sz w:val="17"/>
        </w:rPr>
        <w:t> </w:t>
      </w:r>
      <w:r>
        <w:rPr>
          <w:spacing w:val="-3"/>
          <w:sz w:val="17"/>
        </w:rPr>
        <w:t>portal </w:t>
      </w:r>
      <w:r>
        <w:rPr>
          <w:sz w:val="17"/>
        </w:rPr>
        <w:t>in real</w:t>
      </w:r>
      <w:r>
        <w:rPr>
          <w:spacing w:val="-15"/>
          <w:sz w:val="17"/>
        </w:rPr>
        <w:t> </w:t>
      </w:r>
      <w:r>
        <w:rPr>
          <w:sz w:val="17"/>
        </w:rPr>
        <w:t>time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49" w:lineRule="auto" w:before="141"/>
        <w:ind w:left="1168" w:right="2717" w:firstLine="66"/>
        <w:jc w:val="both"/>
        <w:rPr>
          <w:sz w:val="17"/>
        </w:rPr>
      </w:pPr>
      <w:r>
        <w:rPr>
          <w:sz w:val="17"/>
        </w:rPr>
        <w:t>Assessment notice issued through</w:t>
      </w:r>
      <w:r>
        <w:rPr>
          <w:spacing w:val="-15"/>
          <w:sz w:val="17"/>
        </w:rPr>
        <w:t> </w:t>
      </w:r>
      <w:r>
        <w:rPr>
          <w:spacing w:val="-3"/>
          <w:sz w:val="17"/>
        </w:rPr>
        <w:t>portal</w:t>
      </w:r>
    </w:p>
    <w:p>
      <w:pPr>
        <w:spacing w:line="249" w:lineRule="auto" w:before="34"/>
        <w:ind w:left="1162" w:right="1557" w:hanging="1"/>
        <w:jc w:val="center"/>
        <w:rPr>
          <w:sz w:val="17"/>
        </w:rPr>
      </w:pPr>
      <w:r>
        <w:rPr/>
        <w:br w:type="column"/>
      </w:r>
      <w:r>
        <w:rPr>
          <w:sz w:val="17"/>
        </w:rPr>
        <w:t>lodged by agent </w:t>
      </w:r>
      <w:r>
        <w:rPr>
          <w:w w:val="95"/>
          <w:sz w:val="17"/>
        </w:rPr>
        <w:t>through Revenue</w:t>
      </w:r>
      <w:r>
        <w:rPr>
          <w:spacing w:val="6"/>
          <w:w w:val="95"/>
          <w:sz w:val="17"/>
        </w:rPr>
        <w:t> </w:t>
      </w:r>
      <w:r>
        <w:rPr>
          <w:spacing w:val="-3"/>
          <w:w w:val="95"/>
          <w:sz w:val="17"/>
        </w:rPr>
        <w:t>Online</w:t>
      </w:r>
    </w:p>
    <w:p>
      <w:pPr>
        <w:pStyle w:val="BodyText"/>
        <w:spacing w:before="9"/>
        <w:rPr>
          <w:sz w:val="17"/>
        </w:rPr>
      </w:pPr>
    </w:p>
    <w:p>
      <w:pPr>
        <w:spacing w:line="249" w:lineRule="auto" w:before="1"/>
        <w:ind w:left="1236" w:right="1632" w:firstLine="0"/>
        <w:jc w:val="center"/>
        <w:rPr>
          <w:sz w:val="17"/>
        </w:rPr>
      </w:pPr>
      <w:r>
        <w:rPr>
          <w:sz w:val="17"/>
        </w:rPr>
        <w:t>Documents retained by agent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spacing w:line="249" w:lineRule="auto" w:before="0"/>
        <w:ind w:left="1236" w:right="1632" w:firstLine="0"/>
        <w:jc w:val="center"/>
        <w:rPr>
          <w:sz w:val="17"/>
        </w:rPr>
      </w:pPr>
      <w:r>
        <w:rPr/>
        <w:pict>
          <v:shape style="position:absolute;margin-left:605.577148pt;margin-top:69.677567pt;width:12.15pt;height:31.3pt;mso-position-horizontal-relative:page;mso-position-vertical-relative:paragraph;z-index:6352" type="#_x0000_t202" filled="false" stroked="false">
            <v:textbox inset="0,0,0,0" style="layout-flow:vertical;mso-layout-flow-alt:bottom-to-top">
              <w:txbxContent>
                <w:p>
                  <w:pPr>
                    <w:spacing w:before="26"/>
                    <w:ind w:left="20" w:right="0" w:firstLine="0"/>
                    <w:jc w:val="left"/>
                    <w:rPr>
                      <w:b/>
                      <w:sz w:val="17"/>
                    </w:rPr>
                  </w:pPr>
                  <w:r>
                    <w:rPr>
                      <w:b/>
                      <w:color w:val="6F2770"/>
                      <w:sz w:val="17"/>
                    </w:rPr>
                    <w:t>AGENT</w:t>
                  </w:r>
                </w:p>
              </w:txbxContent>
            </v:textbox>
            <w10:wrap type="none"/>
          </v:shape>
        </w:pict>
      </w:r>
      <w:r>
        <w:rPr>
          <w:sz w:val="17"/>
        </w:rPr>
        <w:t>Documents and correspondence sent via agent through portal in real time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49" w:lineRule="auto" w:before="133"/>
        <w:ind w:left="1342" w:right="1668" w:firstLine="374"/>
        <w:jc w:val="left"/>
        <w:rPr>
          <w:sz w:val="17"/>
        </w:rPr>
      </w:pPr>
      <w:r>
        <w:rPr>
          <w:sz w:val="17"/>
        </w:rPr>
        <w:t>Payment made electronically</w:t>
      </w:r>
    </w:p>
    <w:p>
      <w:pPr>
        <w:pStyle w:val="BodyText"/>
        <w:spacing w:before="9"/>
        <w:rPr>
          <w:sz w:val="17"/>
        </w:rPr>
      </w:pPr>
    </w:p>
    <w:p>
      <w:pPr>
        <w:spacing w:line="249" w:lineRule="auto" w:before="0"/>
        <w:ind w:left="1369" w:right="1765" w:firstLine="0"/>
        <w:jc w:val="center"/>
        <w:rPr>
          <w:sz w:val="17"/>
        </w:rPr>
      </w:pPr>
      <w:r>
        <w:rPr>
          <w:sz w:val="17"/>
        </w:rPr>
        <w:t>Certificate of duty printed by agent from portal</w:t>
      </w:r>
    </w:p>
    <w:p>
      <w:pPr>
        <w:spacing w:after="0" w:line="249" w:lineRule="auto"/>
        <w:jc w:val="center"/>
        <w:rPr>
          <w:sz w:val="17"/>
        </w:rPr>
        <w:sectPr>
          <w:type w:val="continuous"/>
          <w:pgSz w:w="16840" w:h="11910" w:orient="landscape"/>
          <w:pgMar w:top="0" w:bottom="0" w:left="0" w:right="0"/>
          <w:cols w:num="3" w:equalWidth="0">
            <w:col w:w="5629" w:space="40"/>
            <w:col w:w="4915" w:space="1775"/>
            <w:col w:w="4481"/>
          </w:cols>
        </w:sectPr>
      </w:pPr>
    </w:p>
    <w:p>
      <w:pPr>
        <w:pStyle w:val="BodyText"/>
        <w:spacing w:before="1"/>
        <w:rPr>
          <w:sz w:val="17"/>
        </w:rPr>
      </w:pPr>
    </w:p>
    <w:p>
      <w:pPr>
        <w:spacing w:before="106"/>
        <w:ind w:left="0" w:right="734" w:firstLine="0"/>
        <w:jc w:val="right"/>
        <w:rPr>
          <w:sz w:val="20"/>
        </w:rPr>
      </w:pPr>
      <w:r>
        <w:rPr/>
        <w:pict>
          <v:group style="position:absolute;margin-left:240.541pt;margin-top:-10.120531pt;width:601.35pt;height:108.95pt;mso-position-horizontal-relative:page;mso-position-vertical-relative:paragraph;z-index:-807184" coordorigin="4811,-202" coordsize="12027,2179">
            <v:shape style="position:absolute;left:13225;top:621;width:904;height:904" coordorigin="13225,622" coordsize="904,904" path="m13677,622l13225,1073,13677,1525,14128,1073,13677,622xe" filled="true" fillcolor="#e8e9c9" stroked="false">
              <v:path arrowok="t"/>
              <v:fill type="solid"/>
            </v:shape>
            <v:shape style="position:absolute;left:12773;top:1073;width:904;height:904" coordorigin="12774,1073" coordsize="904,904" path="m13225,1073l12774,1525,13225,1976,13677,1525,13225,1073xe" filled="true" fillcolor="#d5dac6" stroked="false">
              <v:path arrowok="t"/>
              <v:fill type="solid"/>
            </v:shape>
            <v:shape style="position:absolute;left:11870;top:170;width:2710;height:904" coordorigin="11870,170" coordsize="2710,904" path="m12774,622l12322,170,11870,622,12322,1073,12774,622m14580,622l14128,170,13677,622,14128,1073,14580,622e" filled="true" fillcolor="#efeeeb" stroked="false">
              <v:path arrowok="t"/>
              <v:fill type="solid"/>
            </v:shape>
            <v:shape style="position:absolute;left:12773;top:170;width:904;height:904" coordorigin="12774,170" coordsize="904,904" path="m13225,170l12774,622,13225,1073,13677,622,13225,170xe" filled="true" fillcolor="#c0aac2" stroked="false">
              <v:path arrowok="t"/>
              <v:fill type="solid"/>
            </v:shape>
            <v:shape style="position:absolute;left:8519;top:-203;width:1455;height:1745" coordorigin="8519,-202" coordsize="1455,1745" path="m9319,-202l9294,-202,9035,-53,9001,-19,9319,-202m9456,-202l9431,-202,8848,134,8814,168,9456,-202m9592,-202l9567,-202,8662,321,8627,355,9592,-202m9729,-202l9704,-202,8519,482,8528,491,9729,-202m9866,-202l9841,-202,8569,532,8578,541,9866,-202m9974,1299l9570,1532,9579,1542,9974,1314,9974,1299m9974,1220l9520,1482,9529,1492,9974,1235,9974,1220m9974,1141l9470,1432,9479,1442,9974,1156,9974,1141m9974,1062l9420,1382,9429,1392,9974,1077,9974,1062m9974,983l9370,1332,9379,1341,9974,998,9974,983m9974,905l9320,1282,9329,1291,9974,919,9974,905m9974,826l9270,1232,9279,1241,9974,840,9974,826m9974,747l9220,1182,9229,1191,9974,761,9974,747m9974,668l9170,1132,9179,1141,9974,682,9974,668m9974,589l9120,1082,9129,1091,9974,603,9974,589m9974,510l9070,1032,9079,1041,9974,524,9974,510m9974,431l9020,982,9029,991,9974,445,9974,431m9974,352l8970,932,8979,941,9974,367,9974,352m9974,194l8869,832,8879,841,9974,209,9974,194m9974,115l8819,782,8829,791,9974,130,9974,115m9974,36l8769,732,8779,741,9974,51,9974,36m9974,-43l8719,682,8728,691,9974,-28,9974,-43m9974,-121l8669,632,8678,641,9974,-107,9974,-121m9974,-200l8619,582,8628,591,9974,-186,9974,-200m9974,273l8920,882,8929,891,9974,288,9974,273e" filled="true" fillcolor="#cdcccd" stroked="false">
              <v:path arrowok="t"/>
              <v:fill type="solid"/>
            </v:shape>
            <v:shape style="position:absolute;left:9620;top:1378;width:354;height:514" type="#_x0000_t75" stroked="false">
              <v:imagedata r:id="rId128" o:title=""/>
            </v:shape>
            <v:shape style="position:absolute;left:9974;top:-203;width:338;height:196" type="#_x0000_t75" stroked="false">
              <v:imagedata r:id="rId20" o:title=""/>
            </v:shape>
            <v:shape style="position:absolute;left:9974;top:-203;width:1438;height:1932" coordorigin="9974,-202" coordsize="1438,1932" path="m10449,-202l10439,-202,9974,66,9974,72,10449,-202m10478,1432l9974,1723,9974,1729,10465,1446,10478,1432m10586,-202l10576,-202,9974,145,9974,151,10586,-202m10665,1246l9974,1645,9974,1650,10651,1259,10665,1246m10722,-202l10712,-202,9974,224,9974,230,10722,-202m10799,-168l10795,-171,9974,303,9974,308,10799,-168m10849,-117l10845,-121,9974,382,9974,387,10849,-117m10852,1059l9974,1566,9974,1571,10838,1073,10852,1059m10899,-67l10895,-71,9974,461,9974,466,10899,-67m10949,-17l10945,-21,9974,539,9974,545,10949,-17m10999,33l10995,29,9974,618,9974,624,10999,33m11039,872l9974,1487,9974,1492,11025,886,11039,872m11049,83l11045,79,9974,697,9974,703,11049,83m11099,133l11095,129,9974,776,9974,782,11099,133m11149,183l11145,179,9974,855,9974,861,11149,183m11199,233l11195,229,9974,934,9974,940,11199,233m11225,685l9974,1408,9974,1414,11212,699,11225,685m11249,283l11245,279,9974,1013,9974,1019,11249,283m11299,333l11295,329,9974,1092,9974,1098,11299,333m11349,383l11345,379,9974,1171,9974,1177,11349,383m11399,433l11395,429,9974,1250,9974,1256,11399,433m11412,499l9974,1329,9974,1335,11398,512,11412,499e" filled="true" fillcolor="#cdcccd" stroked="false">
              <v:path arrowok="t"/>
              <v:fill type="solid"/>
            </v:shape>
            <v:shape style="position:absolute;left:9974;top:1619;width:318;height:269" type="#_x0000_t75" stroked="false">
              <v:imagedata r:id="rId129" o:title=""/>
            </v:shape>
            <v:rect style="position:absolute;left:4810;top:-203;width:2406;height:851" filled="true" fillcolor="#e6e7e8" stroked="false">
              <v:fill type="solid"/>
            </v:rect>
            <v:shape style="position:absolute;left:4810;top:-203;width:583;height:583" type="#_x0000_t75" stroked="false">
              <v:imagedata r:id="rId51" o:title=""/>
            </v:shape>
            <v:rect style="position:absolute;left:7216;top:-203;width:2406;height:851" filled="true" fillcolor="#c4cd71" stroked="false">
              <v:fill type="solid"/>
            </v:rect>
            <v:rect style="position:absolute;left:9621;top:-203;width:2406;height:851" filled="true" fillcolor="#bec85c" stroked="false">
              <v:fill type="solid"/>
            </v:rect>
            <v:rect style="position:absolute;left:12026;top:-203;width:2406;height:851" filled="true" fillcolor="#b6c247" stroked="false">
              <v:fill type="solid"/>
            </v:rect>
            <v:rect style="position:absolute;left:14432;top:-203;width:2406;height:851" filled="true" fillcolor="#aebd37" stroked="false">
              <v:fill type="solid"/>
            </v:rect>
            <v:line style="position:absolute" from="16838,-202" to="16838,648" stroked="true" strokeweight=".001pt" strokecolor="#aebd37">
              <v:stroke dashstyle="solid"/>
            </v:line>
            <v:shape style="position:absolute;left:15424;top:873;width:900;height:904" coordorigin="15424,873" coordsize="900,904" path="m15874,873l15424,1323,15424,1326,15874,1776,16324,1326,16324,1323,15874,873xe" filled="true" fillcolor="#c4cd71" stroked="false">
              <v:path arrowok="t"/>
              <v:fill type="solid"/>
            </v:shape>
            <v:shape style="position:absolute;left:15422;top:1323;width:2;height:4" coordorigin="15423,1323" coordsize="2,4" path="m15424,1323l15423,1325,15424,1326,15424,1323xe" filled="true" fillcolor="#b9c369" stroked="false">
              <v:path arrowok="t"/>
              <v:fill type="solid"/>
            </v:shape>
            <v:shape style="position:absolute;left:16324;top:1323;width:2;height:4" coordorigin="16324,1323" coordsize="2,4" path="m16324,1323l16324,1326,16326,1325,16324,1323xe" filled="true" fillcolor="#bec29e" stroked="false">
              <v:path arrowok="t"/>
              <v:fill type="solid"/>
            </v:shape>
            <v:shape style="position:absolute;left:15263;top:1164;width:161;height:322" type="#_x0000_t75" stroked="false">
              <v:imagedata r:id="rId16" o:title=""/>
            </v:shape>
            <v:shape style="position:absolute;left:16324;top:1163;width:161;height:322" type="#_x0000_t75" stroked="false">
              <v:imagedata r:id="rId11" o:title=""/>
            </v:shape>
            <w10:wrap type="none"/>
          </v:group>
        </w:pict>
      </w:r>
      <w:r>
        <w:rPr/>
        <w:pict>
          <v:group style="position:absolute;margin-left:0pt;margin-top:-10.120531pt;width:240.55pt;height:42.55pt;mso-position-horizontal-relative:page;mso-position-vertical-relative:paragraph;z-index:6520" coordorigin="0,-202" coordsize="4811,851">
            <v:rect style="position:absolute;left:0;top:-203;width:2406;height:851" filled="true" fillcolor="#aebd37" stroked="false">
              <v:fill type="solid"/>
            </v:rect>
            <v:shape style="position:absolute;left:0;top:-203;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shape style="position:absolute;left:2397;top:-203;width:2414;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w10:wrap type="none"/>
          </v:group>
        </w:pict>
      </w:r>
      <w:r>
        <w:rPr/>
        <w:pict>
          <v:shape style="position:absolute;margin-left:601.348999pt;margin-top:-10.120531pt;width:120.3pt;height:42.55pt;mso-position-horizontal-relative:page;mso-position-vertical-relative:paragraph;z-index:6544"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481.079803pt;margin-top:-10.120531pt;width:120.3pt;height:42.55pt;mso-position-horizontal-relative:page;mso-position-vertical-relative:paragraph;z-index:6568"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w:pict>
      </w:r>
      <w:r>
        <w:rPr/>
        <w:pict>
          <v:shape style="position:absolute;margin-left:360.811798pt;margin-top:-10.120531pt;width:120.3pt;height:42.55pt;mso-position-horizontal-relative:page;mso-position-vertical-relative:paragraph;z-index:6592" type="#_x0000_t202" filled="false"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w10:wrap type="none"/>
          </v:shape>
        </w:pict>
      </w:r>
      <w:r>
        <w:rPr/>
        <w:pict>
          <v:shape style="position:absolute;margin-left:240.541pt;margin-top:-10.120531pt;width:120.3pt;height:42.55pt;mso-position-horizontal-relative:page;mso-position-vertical-relative:paragraph;z-index:6616"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w:pict>
      </w:r>
      <w:bookmarkStart w:name="_bookmark13" w:id="14"/>
      <w:bookmarkEnd w:id="14"/>
      <w:r>
        <w:rPr/>
      </w:r>
      <w:hyperlink w:history="true" w:anchor="_bookmark73">
        <w:r>
          <w:rPr>
            <w:color w:val="FFFFFF"/>
            <w:w w:val="90"/>
            <w:sz w:val="20"/>
          </w:rPr>
          <w:t>APPENDIX</w:t>
        </w:r>
      </w:hyperlink>
    </w:p>
    <w:p>
      <w:pPr>
        <w:pStyle w:val="BodyText"/>
        <w:rPr>
          <w:sz w:val="20"/>
        </w:rPr>
      </w:pPr>
    </w:p>
    <w:p>
      <w:pPr>
        <w:pStyle w:val="BodyText"/>
        <w:rPr>
          <w:sz w:val="20"/>
        </w:rPr>
      </w:pPr>
    </w:p>
    <w:p>
      <w:pPr>
        <w:pStyle w:val="BodyText"/>
        <w:spacing w:before="8"/>
        <w:rPr>
          <w:sz w:val="21"/>
        </w:rPr>
      </w:pPr>
    </w:p>
    <w:p>
      <w:pPr>
        <w:spacing w:after="0"/>
        <w:rPr>
          <w:sz w:val="21"/>
        </w:rPr>
        <w:sectPr>
          <w:footerReference w:type="default" r:id="rId127"/>
          <w:pgSz w:w="16840" w:h="11910" w:orient="landscape"/>
          <w:pgMar w:footer="448" w:header="0" w:top="0" w:bottom="640" w:left="0" w:right="0"/>
        </w:sectPr>
      </w:pPr>
    </w:p>
    <w:p>
      <w:pPr>
        <w:pStyle w:val="Heading1"/>
        <w:spacing w:before="192"/>
      </w:pPr>
      <w:r>
        <w:rPr>
          <w:color w:val="6F2770"/>
          <w:w w:val="95"/>
        </w:rPr>
        <w:t>Building for the</w:t>
      </w:r>
      <w:r>
        <w:rPr>
          <w:color w:val="6F2770"/>
          <w:spacing w:val="-141"/>
          <w:w w:val="95"/>
        </w:rPr>
        <w:t> </w:t>
      </w:r>
      <w:r>
        <w:rPr>
          <w:color w:val="6F2770"/>
          <w:w w:val="95"/>
        </w:rPr>
        <w:t>Community</w:t>
      </w:r>
    </w:p>
    <w:p>
      <w:pPr>
        <w:spacing w:line="208" w:lineRule="auto" w:before="124"/>
        <w:ind w:left="765" w:right="672" w:firstLine="0"/>
        <w:jc w:val="center"/>
        <w:rPr>
          <w:sz w:val="16"/>
        </w:rPr>
      </w:pPr>
      <w:r>
        <w:rPr/>
        <w:br w:type="column"/>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2" w:equalWidth="0">
            <w:col w:w="8866" w:space="5954"/>
            <w:col w:w="2020"/>
          </w:cols>
        </w:sectPr>
      </w:pPr>
    </w:p>
    <w:p>
      <w:pPr>
        <w:pStyle w:val="BodyText"/>
        <w:spacing w:before="7"/>
        <w:rPr>
          <w:sz w:val="29"/>
        </w:rPr>
      </w:pPr>
    </w:p>
    <w:p>
      <w:pPr>
        <w:pStyle w:val="Heading4"/>
        <w:spacing w:line="249" w:lineRule="auto" w:before="111"/>
        <w:ind w:right="1471"/>
      </w:pPr>
      <w:r>
        <w:rPr>
          <w:color w:val="6F2770"/>
        </w:rPr>
        <w:t>The</w:t>
      </w:r>
      <w:r>
        <w:rPr>
          <w:color w:val="6F2770"/>
          <w:spacing w:val="-51"/>
        </w:rPr>
        <w:t> </w:t>
      </w:r>
      <w:r>
        <w:rPr>
          <w:color w:val="6F2770"/>
        </w:rPr>
        <w:t>Department</w:t>
      </w:r>
      <w:r>
        <w:rPr>
          <w:color w:val="6F2770"/>
          <w:spacing w:val="-50"/>
        </w:rPr>
        <w:t> </w:t>
      </w:r>
      <w:r>
        <w:rPr>
          <w:color w:val="6F2770"/>
        </w:rPr>
        <w:t>of</w:t>
      </w:r>
      <w:r>
        <w:rPr>
          <w:color w:val="6F2770"/>
          <w:spacing w:val="-50"/>
        </w:rPr>
        <w:t> </w:t>
      </w:r>
      <w:r>
        <w:rPr>
          <w:color w:val="6F2770"/>
        </w:rPr>
        <w:t>Finance</w:t>
      </w:r>
      <w:r>
        <w:rPr>
          <w:color w:val="6F2770"/>
          <w:spacing w:val="-50"/>
        </w:rPr>
        <w:t> </w:t>
      </w:r>
      <w:r>
        <w:rPr>
          <w:color w:val="6F2770"/>
        </w:rPr>
        <w:t>continues</w:t>
      </w:r>
      <w:r>
        <w:rPr>
          <w:color w:val="6F2770"/>
          <w:spacing w:val="-51"/>
        </w:rPr>
        <w:t> </w:t>
      </w:r>
      <w:r>
        <w:rPr>
          <w:color w:val="6F2770"/>
        </w:rPr>
        <w:t>to</w:t>
      </w:r>
      <w:r>
        <w:rPr>
          <w:color w:val="6F2770"/>
          <w:spacing w:val="-50"/>
        </w:rPr>
        <w:t> </w:t>
      </w:r>
      <w:r>
        <w:rPr>
          <w:color w:val="6F2770"/>
        </w:rPr>
        <w:t>deliver</w:t>
      </w:r>
      <w:r>
        <w:rPr>
          <w:color w:val="6F2770"/>
          <w:spacing w:val="-50"/>
        </w:rPr>
        <w:t> </w:t>
      </w:r>
      <w:r>
        <w:rPr>
          <w:color w:val="6F2770"/>
        </w:rPr>
        <w:t>facilities</w:t>
      </w:r>
      <w:r>
        <w:rPr>
          <w:color w:val="6F2770"/>
          <w:spacing w:val="-50"/>
        </w:rPr>
        <w:t> </w:t>
      </w:r>
      <w:r>
        <w:rPr>
          <w:color w:val="6F2770"/>
        </w:rPr>
        <w:t>and</w:t>
      </w:r>
      <w:r>
        <w:rPr>
          <w:color w:val="6F2770"/>
          <w:spacing w:val="-51"/>
        </w:rPr>
        <w:t> </w:t>
      </w:r>
      <w:r>
        <w:rPr>
          <w:color w:val="6F2770"/>
        </w:rPr>
        <w:t>services</w:t>
      </w:r>
      <w:r>
        <w:rPr>
          <w:color w:val="6F2770"/>
          <w:spacing w:val="-50"/>
        </w:rPr>
        <w:t> </w:t>
      </w:r>
      <w:r>
        <w:rPr>
          <w:color w:val="6F2770"/>
        </w:rPr>
        <w:t>across</w:t>
      </w:r>
      <w:r>
        <w:rPr>
          <w:color w:val="6F2770"/>
          <w:spacing w:val="-50"/>
        </w:rPr>
        <w:t> </w:t>
      </w:r>
      <w:r>
        <w:rPr>
          <w:color w:val="6F2770"/>
        </w:rPr>
        <w:t>Western</w:t>
      </w:r>
      <w:r>
        <w:rPr>
          <w:color w:val="6F2770"/>
          <w:spacing w:val="-50"/>
        </w:rPr>
        <w:t> </w:t>
      </w:r>
      <w:r>
        <w:rPr>
          <w:color w:val="6F2770"/>
        </w:rPr>
        <w:t>Australia through the provision of physical, social and economic</w:t>
      </w:r>
      <w:r>
        <w:rPr>
          <w:color w:val="6F2770"/>
          <w:spacing w:val="-54"/>
        </w:rPr>
        <w:t> </w:t>
      </w:r>
      <w:r>
        <w:rPr>
          <w:color w:val="6F2770"/>
        </w:rPr>
        <w:t>infrastructure.</w:t>
      </w:r>
    </w:p>
    <w:p>
      <w:pPr>
        <w:pStyle w:val="BodyText"/>
        <w:rPr>
          <w:sz w:val="20"/>
        </w:rPr>
      </w:pPr>
    </w:p>
    <w:p>
      <w:pPr>
        <w:spacing w:after="0"/>
        <w:rPr>
          <w:sz w:val="20"/>
        </w:rPr>
        <w:sectPr>
          <w:type w:val="continuous"/>
          <w:pgSz w:w="16840" w:h="11910" w:orient="landscape"/>
          <w:pgMar w:top="0" w:bottom="0" w:left="0" w:right="0"/>
        </w:sectPr>
      </w:pPr>
    </w:p>
    <w:p>
      <w:pPr>
        <w:pStyle w:val="BodyText"/>
        <w:spacing w:before="9"/>
        <w:rPr>
          <w:sz w:val="21"/>
        </w:rPr>
      </w:pPr>
    </w:p>
    <w:p>
      <w:pPr>
        <w:spacing w:line="249" w:lineRule="auto" w:before="0"/>
        <w:ind w:left="765" w:right="213" w:firstLine="0"/>
        <w:jc w:val="left"/>
        <w:rPr>
          <w:sz w:val="22"/>
        </w:rPr>
      </w:pPr>
      <w:r>
        <w:rPr>
          <w:sz w:val="22"/>
        </w:rPr>
        <w:t>This year, </w:t>
      </w:r>
      <w:r>
        <w:rPr>
          <w:b/>
          <w:sz w:val="22"/>
        </w:rPr>
        <w:t>Building Management and Works </w:t>
      </w:r>
      <w:r>
        <w:rPr>
          <w:sz w:val="22"/>
        </w:rPr>
        <w:t>has overseen the on-time, on-budget delivery of many significant projects including:</w:t>
      </w:r>
    </w:p>
    <w:p>
      <w:pPr>
        <w:pStyle w:val="BodyText"/>
        <w:spacing w:before="2"/>
        <w:rPr>
          <w:sz w:val="23"/>
        </w:rPr>
      </w:pPr>
    </w:p>
    <w:p>
      <w:pPr>
        <w:pStyle w:val="ListParagraph"/>
        <w:numPr>
          <w:ilvl w:val="1"/>
          <w:numId w:val="3"/>
        </w:numPr>
        <w:tabs>
          <w:tab w:pos="937" w:val="left" w:leader="none"/>
        </w:tabs>
        <w:spacing w:line="249" w:lineRule="auto" w:before="1" w:after="0"/>
        <w:ind w:left="948" w:right="1179" w:hanging="183"/>
        <w:jc w:val="left"/>
        <w:rPr>
          <w:sz w:val="22"/>
        </w:rPr>
      </w:pPr>
      <w:r>
        <w:rPr>
          <w:sz w:val="22"/>
        </w:rPr>
        <w:t>Three</w:t>
      </w:r>
      <w:r>
        <w:rPr>
          <w:spacing w:val="-19"/>
          <w:sz w:val="22"/>
        </w:rPr>
        <w:t> </w:t>
      </w:r>
      <w:r>
        <w:rPr>
          <w:sz w:val="22"/>
        </w:rPr>
        <w:t>high</w:t>
      </w:r>
      <w:r>
        <w:rPr>
          <w:spacing w:val="-19"/>
          <w:sz w:val="22"/>
        </w:rPr>
        <w:t> </w:t>
      </w:r>
      <w:r>
        <w:rPr>
          <w:sz w:val="22"/>
        </w:rPr>
        <w:t>schools,</w:t>
      </w:r>
      <w:r>
        <w:rPr>
          <w:spacing w:val="-18"/>
          <w:sz w:val="22"/>
        </w:rPr>
        <w:t> </w:t>
      </w:r>
      <w:r>
        <w:rPr>
          <w:sz w:val="22"/>
        </w:rPr>
        <w:t>on</w:t>
      </w:r>
      <w:r>
        <w:rPr>
          <w:spacing w:val="-19"/>
          <w:sz w:val="22"/>
        </w:rPr>
        <w:t> </w:t>
      </w:r>
      <w:r>
        <w:rPr>
          <w:sz w:val="22"/>
        </w:rPr>
        <w:t>behalf</w:t>
      </w:r>
      <w:r>
        <w:rPr>
          <w:spacing w:val="-19"/>
          <w:sz w:val="22"/>
        </w:rPr>
        <w:t> </w:t>
      </w:r>
      <w:r>
        <w:rPr>
          <w:sz w:val="22"/>
        </w:rPr>
        <w:t>of</w:t>
      </w:r>
      <w:r>
        <w:rPr>
          <w:spacing w:val="-18"/>
          <w:sz w:val="22"/>
        </w:rPr>
        <w:t> </w:t>
      </w:r>
      <w:r>
        <w:rPr>
          <w:spacing w:val="-6"/>
          <w:sz w:val="22"/>
        </w:rPr>
        <w:t>the </w:t>
      </w:r>
      <w:r>
        <w:rPr>
          <w:sz w:val="22"/>
        </w:rPr>
        <w:t>Department of</w:t>
      </w:r>
      <w:r>
        <w:rPr>
          <w:spacing w:val="-8"/>
          <w:sz w:val="22"/>
        </w:rPr>
        <w:t> </w:t>
      </w:r>
      <w:r>
        <w:rPr>
          <w:sz w:val="22"/>
        </w:rPr>
        <w:t>Education:</w:t>
      </w:r>
    </w:p>
    <w:p>
      <w:pPr>
        <w:pStyle w:val="ListParagraph"/>
        <w:numPr>
          <w:ilvl w:val="2"/>
          <w:numId w:val="3"/>
        </w:numPr>
        <w:tabs>
          <w:tab w:pos="1275" w:val="left" w:leader="none"/>
        </w:tabs>
        <w:spacing w:line="240" w:lineRule="auto" w:before="97" w:after="0"/>
        <w:ind w:left="1254" w:right="0" w:hanging="122"/>
        <w:jc w:val="left"/>
        <w:rPr>
          <w:sz w:val="22"/>
        </w:rPr>
      </w:pPr>
      <w:r>
        <w:rPr>
          <w:w w:val="95"/>
          <w:sz w:val="22"/>
        </w:rPr>
        <w:t>Harrisdale Secondary College ($51</w:t>
      </w:r>
      <w:r>
        <w:rPr>
          <w:spacing w:val="9"/>
          <w:w w:val="95"/>
          <w:sz w:val="22"/>
        </w:rPr>
        <w:t> </w:t>
      </w:r>
      <w:r>
        <w:rPr>
          <w:w w:val="95"/>
          <w:sz w:val="22"/>
        </w:rPr>
        <w:t>million)</w:t>
      </w:r>
    </w:p>
    <w:p>
      <w:pPr>
        <w:pStyle w:val="ListParagraph"/>
        <w:numPr>
          <w:ilvl w:val="2"/>
          <w:numId w:val="3"/>
        </w:numPr>
        <w:tabs>
          <w:tab w:pos="1275" w:val="left" w:leader="none"/>
        </w:tabs>
        <w:spacing w:line="240" w:lineRule="auto" w:before="107" w:after="0"/>
        <w:ind w:left="1254" w:right="0" w:hanging="122"/>
        <w:jc w:val="left"/>
        <w:rPr>
          <w:sz w:val="22"/>
        </w:rPr>
      </w:pPr>
      <w:r>
        <w:rPr>
          <w:sz w:val="22"/>
        </w:rPr>
        <w:t>Willetton</w:t>
      </w:r>
      <w:r>
        <w:rPr>
          <w:spacing w:val="-30"/>
          <w:sz w:val="22"/>
        </w:rPr>
        <w:t> </w:t>
      </w:r>
      <w:r>
        <w:rPr>
          <w:sz w:val="22"/>
        </w:rPr>
        <w:t>Senior</w:t>
      </w:r>
      <w:r>
        <w:rPr>
          <w:spacing w:val="-30"/>
          <w:sz w:val="22"/>
        </w:rPr>
        <w:t> </w:t>
      </w:r>
      <w:r>
        <w:rPr>
          <w:sz w:val="22"/>
        </w:rPr>
        <w:t>High</w:t>
      </w:r>
      <w:r>
        <w:rPr>
          <w:spacing w:val="-30"/>
          <w:sz w:val="22"/>
        </w:rPr>
        <w:t> </w:t>
      </w:r>
      <w:r>
        <w:rPr>
          <w:sz w:val="22"/>
        </w:rPr>
        <w:t>Stage</w:t>
      </w:r>
      <w:r>
        <w:rPr>
          <w:spacing w:val="-30"/>
          <w:sz w:val="22"/>
        </w:rPr>
        <w:t> </w:t>
      </w:r>
      <w:r>
        <w:rPr>
          <w:sz w:val="22"/>
        </w:rPr>
        <w:t>2</w:t>
      </w:r>
      <w:r>
        <w:rPr>
          <w:spacing w:val="-30"/>
          <w:sz w:val="22"/>
        </w:rPr>
        <w:t> </w:t>
      </w:r>
      <w:r>
        <w:rPr>
          <w:sz w:val="22"/>
        </w:rPr>
        <w:t>($14</w:t>
      </w:r>
      <w:r>
        <w:rPr>
          <w:spacing w:val="-30"/>
          <w:sz w:val="22"/>
        </w:rPr>
        <w:t> </w:t>
      </w:r>
      <w:r>
        <w:rPr>
          <w:sz w:val="22"/>
        </w:rPr>
        <w:t>million)</w:t>
      </w:r>
    </w:p>
    <w:p>
      <w:pPr>
        <w:pStyle w:val="ListParagraph"/>
        <w:numPr>
          <w:ilvl w:val="2"/>
          <w:numId w:val="3"/>
        </w:numPr>
        <w:tabs>
          <w:tab w:pos="1275" w:val="left" w:leader="none"/>
        </w:tabs>
        <w:spacing w:line="249" w:lineRule="auto" w:before="107" w:after="0"/>
        <w:ind w:left="1254" w:right="217" w:hanging="122"/>
        <w:jc w:val="left"/>
        <w:rPr>
          <w:sz w:val="22"/>
        </w:rPr>
      </w:pPr>
      <w:r>
        <w:rPr>
          <w:sz w:val="22"/>
        </w:rPr>
        <w:t>Joseph</w:t>
      </w:r>
      <w:r>
        <w:rPr>
          <w:spacing w:val="-23"/>
          <w:sz w:val="22"/>
        </w:rPr>
        <w:t> </w:t>
      </w:r>
      <w:r>
        <w:rPr>
          <w:sz w:val="22"/>
        </w:rPr>
        <w:t>Banks</w:t>
      </w:r>
      <w:r>
        <w:rPr>
          <w:spacing w:val="-22"/>
          <w:sz w:val="22"/>
        </w:rPr>
        <w:t> </w:t>
      </w:r>
      <w:r>
        <w:rPr>
          <w:sz w:val="22"/>
        </w:rPr>
        <w:t>Secondary</w:t>
      </w:r>
      <w:r>
        <w:rPr>
          <w:spacing w:val="-22"/>
          <w:sz w:val="22"/>
        </w:rPr>
        <w:t> </w:t>
      </w:r>
      <w:r>
        <w:rPr>
          <w:sz w:val="22"/>
        </w:rPr>
        <w:t>College</w:t>
      </w:r>
      <w:r>
        <w:rPr>
          <w:spacing w:val="-23"/>
          <w:sz w:val="22"/>
        </w:rPr>
        <w:t> </w:t>
      </w:r>
      <w:r>
        <w:rPr>
          <w:sz w:val="22"/>
        </w:rPr>
        <w:t>Stage</w:t>
      </w:r>
      <w:r>
        <w:rPr>
          <w:spacing w:val="-22"/>
          <w:sz w:val="22"/>
        </w:rPr>
        <w:t> </w:t>
      </w:r>
      <w:r>
        <w:rPr>
          <w:spacing w:val="-17"/>
          <w:sz w:val="22"/>
        </w:rPr>
        <w:t>2 </w:t>
      </w:r>
      <w:r>
        <w:rPr>
          <w:sz w:val="22"/>
        </w:rPr>
        <w:t>($19</w:t>
      </w:r>
      <w:r>
        <w:rPr>
          <w:spacing w:val="-2"/>
          <w:sz w:val="22"/>
        </w:rPr>
        <w:t> </w:t>
      </w:r>
      <w:r>
        <w:rPr>
          <w:sz w:val="22"/>
        </w:rPr>
        <w:t>million);</w:t>
      </w:r>
    </w:p>
    <w:p>
      <w:pPr>
        <w:pStyle w:val="ListParagraph"/>
        <w:numPr>
          <w:ilvl w:val="1"/>
          <w:numId w:val="3"/>
        </w:numPr>
        <w:tabs>
          <w:tab w:pos="937" w:val="left" w:leader="none"/>
        </w:tabs>
        <w:spacing w:line="249" w:lineRule="auto" w:before="158" w:after="0"/>
        <w:ind w:left="948" w:right="1432" w:hanging="183"/>
        <w:jc w:val="left"/>
        <w:rPr>
          <w:sz w:val="22"/>
        </w:rPr>
      </w:pPr>
      <w:r>
        <w:rPr>
          <w:sz w:val="22"/>
        </w:rPr>
        <w:t>Three</w:t>
      </w:r>
      <w:r>
        <w:rPr>
          <w:spacing w:val="-22"/>
          <w:sz w:val="22"/>
        </w:rPr>
        <w:t> </w:t>
      </w:r>
      <w:r>
        <w:rPr>
          <w:sz w:val="22"/>
        </w:rPr>
        <w:t>police</w:t>
      </w:r>
      <w:r>
        <w:rPr>
          <w:spacing w:val="-21"/>
          <w:sz w:val="22"/>
        </w:rPr>
        <w:t> </w:t>
      </w:r>
      <w:r>
        <w:rPr>
          <w:sz w:val="22"/>
        </w:rPr>
        <w:t>stations</w:t>
      </w:r>
      <w:r>
        <w:rPr>
          <w:spacing w:val="-22"/>
          <w:sz w:val="22"/>
        </w:rPr>
        <w:t> </w:t>
      </w:r>
      <w:r>
        <w:rPr>
          <w:sz w:val="22"/>
        </w:rPr>
        <w:t>on</w:t>
      </w:r>
      <w:r>
        <w:rPr>
          <w:spacing w:val="-21"/>
          <w:sz w:val="22"/>
        </w:rPr>
        <w:t> </w:t>
      </w:r>
      <w:r>
        <w:rPr>
          <w:sz w:val="22"/>
        </w:rPr>
        <w:t>behalf</w:t>
      </w:r>
      <w:r>
        <w:rPr>
          <w:spacing w:val="-21"/>
          <w:sz w:val="22"/>
        </w:rPr>
        <w:t> </w:t>
      </w:r>
      <w:r>
        <w:rPr>
          <w:spacing w:val="-9"/>
          <w:sz w:val="22"/>
        </w:rPr>
        <w:t>of </w:t>
      </w:r>
      <w:r>
        <w:rPr>
          <w:sz w:val="22"/>
        </w:rPr>
        <w:t>Western Australia</w:t>
      </w:r>
      <w:r>
        <w:rPr>
          <w:spacing w:val="-16"/>
          <w:sz w:val="22"/>
        </w:rPr>
        <w:t> </w:t>
      </w:r>
      <w:r>
        <w:rPr>
          <w:sz w:val="22"/>
        </w:rPr>
        <w:t>Police:</w:t>
      </w:r>
    </w:p>
    <w:p>
      <w:pPr>
        <w:pStyle w:val="ListParagraph"/>
        <w:numPr>
          <w:ilvl w:val="2"/>
          <w:numId w:val="3"/>
        </w:numPr>
        <w:tabs>
          <w:tab w:pos="1275" w:val="left" w:leader="none"/>
        </w:tabs>
        <w:spacing w:line="240" w:lineRule="auto" w:before="98" w:after="0"/>
        <w:ind w:left="1274" w:right="0" w:hanging="142"/>
        <w:jc w:val="left"/>
        <w:rPr>
          <w:sz w:val="22"/>
        </w:rPr>
      </w:pPr>
      <w:r>
        <w:rPr>
          <w:sz w:val="22"/>
        </w:rPr>
        <w:t>Cockburn ($20</w:t>
      </w:r>
      <w:r>
        <w:rPr>
          <w:spacing w:val="-5"/>
          <w:sz w:val="22"/>
        </w:rPr>
        <w:t> </w:t>
      </w:r>
      <w:r>
        <w:rPr>
          <w:sz w:val="22"/>
        </w:rPr>
        <w:t>million)</w:t>
      </w:r>
    </w:p>
    <w:p>
      <w:pPr>
        <w:pStyle w:val="ListParagraph"/>
        <w:numPr>
          <w:ilvl w:val="2"/>
          <w:numId w:val="3"/>
        </w:numPr>
        <w:tabs>
          <w:tab w:pos="1275" w:val="left" w:leader="none"/>
        </w:tabs>
        <w:spacing w:line="240" w:lineRule="auto" w:before="107" w:after="0"/>
        <w:ind w:left="1274" w:right="0" w:hanging="142"/>
        <w:jc w:val="left"/>
        <w:rPr>
          <w:sz w:val="22"/>
        </w:rPr>
      </w:pPr>
      <w:r>
        <w:rPr>
          <w:sz w:val="22"/>
        </w:rPr>
        <w:t>Ballajura ($8</w:t>
      </w:r>
      <w:r>
        <w:rPr>
          <w:spacing w:val="-7"/>
          <w:sz w:val="22"/>
        </w:rPr>
        <w:t> </w:t>
      </w:r>
      <w:r>
        <w:rPr>
          <w:sz w:val="22"/>
        </w:rPr>
        <w:t>million)</w:t>
      </w:r>
    </w:p>
    <w:p>
      <w:pPr>
        <w:pStyle w:val="ListParagraph"/>
        <w:numPr>
          <w:ilvl w:val="2"/>
          <w:numId w:val="3"/>
        </w:numPr>
        <w:tabs>
          <w:tab w:pos="1275" w:val="left" w:leader="none"/>
        </w:tabs>
        <w:spacing w:line="240" w:lineRule="auto" w:before="107" w:after="0"/>
        <w:ind w:left="1274" w:right="0" w:hanging="142"/>
        <w:jc w:val="left"/>
        <w:rPr>
          <w:sz w:val="22"/>
        </w:rPr>
      </w:pPr>
      <w:r>
        <w:rPr>
          <w:sz w:val="22"/>
        </w:rPr>
        <w:t>Mundijong ($9</w:t>
      </w:r>
      <w:r>
        <w:rPr>
          <w:spacing w:val="-6"/>
          <w:sz w:val="22"/>
        </w:rPr>
        <w:t> </w:t>
      </w:r>
      <w:r>
        <w:rPr>
          <w:sz w:val="22"/>
        </w:rPr>
        <w:t>million);</w:t>
      </w:r>
    </w:p>
    <w:p>
      <w:pPr>
        <w:pStyle w:val="ListParagraph"/>
        <w:numPr>
          <w:ilvl w:val="1"/>
          <w:numId w:val="3"/>
        </w:numPr>
        <w:tabs>
          <w:tab w:pos="937" w:val="left" w:leader="none"/>
        </w:tabs>
        <w:spacing w:line="249" w:lineRule="auto" w:before="167" w:after="0"/>
        <w:ind w:left="948" w:right="907" w:hanging="183"/>
        <w:jc w:val="left"/>
        <w:rPr>
          <w:sz w:val="22"/>
        </w:rPr>
      </w:pPr>
      <w:r>
        <w:rPr>
          <w:w w:val="95"/>
          <w:sz w:val="22"/>
        </w:rPr>
        <w:t>Western Australian Museum Collection </w:t>
      </w:r>
      <w:r>
        <w:rPr>
          <w:sz w:val="22"/>
        </w:rPr>
        <w:t>Resource Centre ($17.4</w:t>
      </w:r>
      <w:r>
        <w:rPr>
          <w:spacing w:val="-34"/>
          <w:sz w:val="22"/>
        </w:rPr>
        <w:t> </w:t>
      </w:r>
      <w:r>
        <w:rPr>
          <w:sz w:val="22"/>
        </w:rPr>
        <w:t>million);</w:t>
      </w:r>
    </w:p>
    <w:p>
      <w:pPr>
        <w:pStyle w:val="ListParagraph"/>
        <w:numPr>
          <w:ilvl w:val="1"/>
          <w:numId w:val="3"/>
        </w:numPr>
        <w:tabs>
          <w:tab w:pos="937" w:val="left" w:leader="none"/>
        </w:tabs>
        <w:spacing w:line="240" w:lineRule="auto" w:before="157" w:after="0"/>
        <w:ind w:left="936" w:right="0" w:hanging="171"/>
        <w:jc w:val="left"/>
        <w:rPr>
          <w:sz w:val="22"/>
        </w:rPr>
      </w:pPr>
      <w:r>
        <w:rPr>
          <w:spacing w:val="-5"/>
          <w:sz w:val="22"/>
        </w:rPr>
        <w:t>Women’s</w:t>
      </w:r>
      <w:r>
        <w:rPr>
          <w:spacing w:val="-16"/>
          <w:sz w:val="22"/>
        </w:rPr>
        <w:t> </w:t>
      </w:r>
      <w:r>
        <w:rPr>
          <w:sz w:val="22"/>
        </w:rPr>
        <w:t>Remand</w:t>
      </w:r>
      <w:r>
        <w:rPr>
          <w:spacing w:val="-16"/>
          <w:sz w:val="22"/>
        </w:rPr>
        <w:t> </w:t>
      </w:r>
      <w:r>
        <w:rPr>
          <w:sz w:val="22"/>
        </w:rPr>
        <w:t>Centre</w:t>
      </w:r>
      <w:r>
        <w:rPr>
          <w:spacing w:val="-15"/>
          <w:sz w:val="22"/>
        </w:rPr>
        <w:t> </w:t>
      </w:r>
      <w:r>
        <w:rPr>
          <w:sz w:val="22"/>
        </w:rPr>
        <w:t>($24.3</w:t>
      </w:r>
      <w:r>
        <w:rPr>
          <w:spacing w:val="-16"/>
          <w:sz w:val="22"/>
        </w:rPr>
        <w:t> </w:t>
      </w:r>
      <w:r>
        <w:rPr>
          <w:sz w:val="22"/>
        </w:rPr>
        <w:t>million);</w:t>
      </w:r>
      <w:r>
        <w:rPr>
          <w:spacing w:val="-15"/>
          <w:sz w:val="22"/>
        </w:rPr>
        <w:t> </w:t>
      </w:r>
      <w:r>
        <w:rPr>
          <w:sz w:val="22"/>
        </w:rPr>
        <w:t>and</w:t>
      </w:r>
    </w:p>
    <w:p>
      <w:pPr>
        <w:pStyle w:val="ListParagraph"/>
        <w:numPr>
          <w:ilvl w:val="1"/>
          <w:numId w:val="3"/>
        </w:numPr>
        <w:tabs>
          <w:tab w:pos="937" w:val="left" w:leader="none"/>
        </w:tabs>
        <w:spacing w:line="249" w:lineRule="auto" w:before="167" w:after="0"/>
        <w:ind w:left="948" w:right="0" w:hanging="183"/>
        <w:jc w:val="left"/>
        <w:rPr>
          <w:sz w:val="22"/>
        </w:rPr>
      </w:pPr>
      <w:r>
        <w:rPr>
          <w:sz w:val="22"/>
        </w:rPr>
        <w:t>Additional core library facilities for the Department</w:t>
      </w:r>
      <w:r>
        <w:rPr>
          <w:spacing w:val="-28"/>
          <w:sz w:val="22"/>
        </w:rPr>
        <w:t> </w:t>
      </w:r>
      <w:r>
        <w:rPr>
          <w:sz w:val="22"/>
        </w:rPr>
        <w:t>of</w:t>
      </w:r>
      <w:r>
        <w:rPr>
          <w:spacing w:val="-28"/>
          <w:sz w:val="22"/>
        </w:rPr>
        <w:t> </w:t>
      </w:r>
      <w:r>
        <w:rPr>
          <w:sz w:val="22"/>
        </w:rPr>
        <w:t>Mines</w:t>
      </w:r>
      <w:r>
        <w:rPr>
          <w:spacing w:val="-28"/>
          <w:sz w:val="22"/>
        </w:rPr>
        <w:t> </w:t>
      </w:r>
      <w:r>
        <w:rPr>
          <w:sz w:val="22"/>
        </w:rPr>
        <w:t>and</w:t>
      </w:r>
      <w:r>
        <w:rPr>
          <w:spacing w:val="-28"/>
          <w:sz w:val="22"/>
        </w:rPr>
        <w:t> </w:t>
      </w:r>
      <w:r>
        <w:rPr>
          <w:sz w:val="22"/>
        </w:rPr>
        <w:t>Petroleum</w:t>
      </w:r>
      <w:r>
        <w:rPr>
          <w:spacing w:val="-28"/>
          <w:sz w:val="22"/>
        </w:rPr>
        <w:t> </w:t>
      </w:r>
      <w:r>
        <w:rPr>
          <w:sz w:val="22"/>
        </w:rPr>
        <w:t>($8</w:t>
      </w:r>
      <w:r>
        <w:rPr>
          <w:spacing w:val="-28"/>
          <w:sz w:val="22"/>
        </w:rPr>
        <w:t> </w:t>
      </w:r>
      <w:r>
        <w:rPr>
          <w:spacing w:val="-3"/>
          <w:sz w:val="22"/>
        </w:rPr>
        <w:t>million).</w:t>
      </w:r>
    </w:p>
    <w:p>
      <w:pPr>
        <w:pStyle w:val="BodyText"/>
        <w:spacing w:before="8"/>
        <w:rPr>
          <w:sz w:val="21"/>
        </w:rPr>
      </w:pPr>
      <w:r>
        <w:rPr/>
        <w:br w:type="column"/>
      </w:r>
      <w:r>
        <w:rPr>
          <w:sz w:val="21"/>
        </w:rPr>
      </w:r>
    </w:p>
    <w:p>
      <w:pPr>
        <w:pStyle w:val="BodyText"/>
        <w:spacing w:line="249" w:lineRule="auto" w:before="1"/>
        <w:ind w:left="473" w:right="129"/>
      </w:pPr>
      <w:r>
        <w:rPr/>
        <w:t>These along with a range of other projects covering some 15 government agencies have contributed</w:t>
      </w:r>
      <w:r>
        <w:rPr>
          <w:spacing w:val="-20"/>
        </w:rPr>
        <w:t> </w:t>
      </w:r>
      <w:r>
        <w:rPr/>
        <w:t>to</w:t>
      </w:r>
      <w:r>
        <w:rPr>
          <w:spacing w:val="-20"/>
        </w:rPr>
        <w:t> </w:t>
      </w:r>
      <w:r>
        <w:rPr/>
        <w:t>the</w:t>
      </w:r>
      <w:r>
        <w:rPr>
          <w:spacing w:val="-20"/>
        </w:rPr>
        <w:t> </w:t>
      </w:r>
      <w:r>
        <w:rPr/>
        <w:t>delivery</w:t>
      </w:r>
      <w:r>
        <w:rPr>
          <w:spacing w:val="-19"/>
        </w:rPr>
        <w:t> </w:t>
      </w:r>
      <w:r>
        <w:rPr/>
        <w:t>of</w:t>
      </w:r>
      <w:r>
        <w:rPr>
          <w:spacing w:val="-20"/>
        </w:rPr>
        <w:t> </w:t>
      </w:r>
      <w:r>
        <w:rPr/>
        <w:t>improved</w:t>
      </w:r>
      <w:r>
        <w:rPr>
          <w:spacing w:val="-20"/>
        </w:rPr>
        <w:t> </w:t>
      </w:r>
      <w:r>
        <w:rPr>
          <w:spacing w:val="-3"/>
        </w:rPr>
        <w:t>services </w:t>
      </w:r>
      <w:r>
        <w:rPr/>
        <w:t>to the Western Australian</w:t>
      </w:r>
      <w:r>
        <w:rPr>
          <w:spacing w:val="-21"/>
        </w:rPr>
        <w:t> </w:t>
      </w:r>
      <w:r>
        <w:rPr>
          <w:spacing w:val="-3"/>
        </w:rPr>
        <w:t>community.</w:t>
      </w:r>
    </w:p>
    <w:p>
      <w:pPr>
        <w:pStyle w:val="BodyText"/>
        <w:spacing w:before="3"/>
        <w:rPr>
          <w:sz w:val="23"/>
        </w:rPr>
      </w:pPr>
    </w:p>
    <w:p>
      <w:pPr>
        <w:pStyle w:val="BodyText"/>
        <w:spacing w:line="249" w:lineRule="auto"/>
        <w:ind w:left="473" w:right="-9"/>
      </w:pPr>
      <w:r>
        <w:rPr/>
        <w:t>In collaboration with the Western Australian Country Health Service, Building Management and Works continues to deliver a $330 million capital works program across regional areas. The</w:t>
      </w:r>
      <w:r>
        <w:rPr>
          <w:spacing w:val="-32"/>
        </w:rPr>
        <w:t> </w:t>
      </w:r>
      <w:r>
        <w:rPr/>
        <w:t>Southern</w:t>
      </w:r>
      <w:r>
        <w:rPr>
          <w:spacing w:val="-32"/>
        </w:rPr>
        <w:t> </w:t>
      </w:r>
      <w:r>
        <w:rPr/>
        <w:t>Inland</w:t>
      </w:r>
      <w:r>
        <w:rPr>
          <w:spacing w:val="-32"/>
        </w:rPr>
        <w:t> </w:t>
      </w:r>
      <w:r>
        <w:rPr/>
        <w:t>Health</w:t>
      </w:r>
      <w:r>
        <w:rPr>
          <w:spacing w:val="-32"/>
        </w:rPr>
        <w:t> </w:t>
      </w:r>
      <w:r>
        <w:rPr/>
        <w:t>Initiative</w:t>
      </w:r>
      <w:r>
        <w:rPr>
          <w:spacing w:val="-32"/>
        </w:rPr>
        <w:t> </w:t>
      </w:r>
      <w:r>
        <w:rPr/>
        <w:t>will</w:t>
      </w:r>
      <w:r>
        <w:rPr>
          <w:spacing w:val="-31"/>
        </w:rPr>
        <w:t> </w:t>
      </w:r>
      <w:r>
        <w:rPr/>
        <w:t>improve hospital infrastructure in 36 towns across the Wheatbelt,</w:t>
      </w:r>
      <w:r>
        <w:rPr>
          <w:spacing w:val="-22"/>
        </w:rPr>
        <w:t> </w:t>
      </w:r>
      <w:r>
        <w:rPr/>
        <w:t>Great</w:t>
      </w:r>
      <w:r>
        <w:rPr>
          <w:spacing w:val="-21"/>
        </w:rPr>
        <w:t> </w:t>
      </w:r>
      <w:r>
        <w:rPr/>
        <w:t>Southern,</w:t>
      </w:r>
      <w:r>
        <w:rPr>
          <w:spacing w:val="-21"/>
        </w:rPr>
        <w:t> </w:t>
      </w:r>
      <w:r>
        <w:rPr/>
        <w:t>Mid</w:t>
      </w:r>
      <w:r>
        <w:rPr>
          <w:spacing w:val="-21"/>
        </w:rPr>
        <w:t> </w:t>
      </w:r>
      <w:r>
        <w:rPr/>
        <w:t>West</w:t>
      </w:r>
      <w:r>
        <w:rPr>
          <w:spacing w:val="-22"/>
        </w:rPr>
        <w:t> </w:t>
      </w:r>
      <w:r>
        <w:rPr/>
        <w:t>and</w:t>
      </w:r>
      <w:r>
        <w:rPr>
          <w:spacing w:val="-21"/>
        </w:rPr>
        <w:t> </w:t>
      </w:r>
      <w:r>
        <w:rPr/>
        <w:t>South West.</w:t>
      </w:r>
      <w:r>
        <w:rPr>
          <w:spacing w:val="-18"/>
        </w:rPr>
        <w:t> </w:t>
      </w:r>
      <w:r>
        <w:rPr/>
        <w:t>The</w:t>
      </w:r>
      <w:r>
        <w:rPr>
          <w:spacing w:val="-17"/>
        </w:rPr>
        <w:t> </w:t>
      </w:r>
      <w:r>
        <w:rPr/>
        <w:t>project</w:t>
      </w:r>
      <w:r>
        <w:rPr>
          <w:spacing w:val="-17"/>
        </w:rPr>
        <w:t> </w:t>
      </w:r>
      <w:r>
        <w:rPr/>
        <w:t>includes</w:t>
      </w:r>
      <w:r>
        <w:rPr>
          <w:spacing w:val="-17"/>
        </w:rPr>
        <w:t> </w:t>
      </w:r>
      <w:r>
        <w:rPr/>
        <w:t>upgrades</w:t>
      </w:r>
      <w:r>
        <w:rPr>
          <w:spacing w:val="-18"/>
        </w:rPr>
        <w:t> </w:t>
      </w:r>
      <w:r>
        <w:rPr/>
        <w:t>to</w:t>
      </w:r>
      <w:r>
        <w:rPr>
          <w:spacing w:val="-17"/>
        </w:rPr>
        <w:t> </w:t>
      </w:r>
      <w:r>
        <w:rPr/>
        <w:t>26</w:t>
      </w:r>
      <w:r>
        <w:rPr>
          <w:spacing w:val="-17"/>
        </w:rPr>
        <w:t> </w:t>
      </w:r>
      <w:r>
        <w:rPr/>
        <w:t>small hospitals</w:t>
      </w:r>
      <w:r>
        <w:rPr>
          <w:spacing w:val="-18"/>
        </w:rPr>
        <w:t> </w:t>
      </w:r>
      <w:r>
        <w:rPr/>
        <w:t>and</w:t>
      </w:r>
      <w:r>
        <w:rPr>
          <w:spacing w:val="-18"/>
        </w:rPr>
        <w:t> </w:t>
      </w:r>
      <w:r>
        <w:rPr/>
        <w:t>nursing</w:t>
      </w:r>
      <w:r>
        <w:rPr>
          <w:spacing w:val="-18"/>
        </w:rPr>
        <w:t> </w:t>
      </w:r>
      <w:r>
        <w:rPr/>
        <w:t>posts</w:t>
      </w:r>
      <w:r>
        <w:rPr>
          <w:spacing w:val="-18"/>
        </w:rPr>
        <w:t> </w:t>
      </w:r>
      <w:r>
        <w:rPr/>
        <w:t>across</w:t>
      </w:r>
      <w:r>
        <w:rPr>
          <w:spacing w:val="-17"/>
        </w:rPr>
        <w:t> </w:t>
      </w:r>
      <w:r>
        <w:rPr/>
        <w:t>inland</w:t>
      </w:r>
      <w:r>
        <w:rPr>
          <w:spacing w:val="-18"/>
        </w:rPr>
        <w:t> </w:t>
      </w:r>
      <w:r>
        <w:rPr>
          <w:spacing w:val="-4"/>
        </w:rPr>
        <w:t>towns, </w:t>
      </w:r>
      <w:r>
        <w:rPr/>
        <w:t>as well as the development of a brand new hospital in</w:t>
      </w:r>
      <w:r>
        <w:rPr>
          <w:spacing w:val="-3"/>
        </w:rPr>
        <w:t> </w:t>
      </w:r>
      <w:r>
        <w:rPr/>
        <w:t>Manjimup.</w:t>
      </w:r>
    </w:p>
    <w:p>
      <w:pPr>
        <w:pStyle w:val="BodyText"/>
        <w:spacing w:before="9"/>
        <w:rPr>
          <w:sz w:val="23"/>
        </w:rPr>
      </w:pPr>
    </w:p>
    <w:p>
      <w:pPr>
        <w:pStyle w:val="BodyText"/>
        <w:spacing w:line="249" w:lineRule="auto"/>
        <w:ind w:left="473" w:right="91"/>
      </w:pPr>
      <w:r>
        <w:rPr/>
        <w:t>In addition, five district hospitals in Collie, Katanning, Merredin, Narrogin, and Northam are</w:t>
      </w:r>
      <w:r>
        <w:rPr>
          <w:spacing w:val="-35"/>
        </w:rPr>
        <w:t> </w:t>
      </w:r>
      <w:r>
        <w:rPr/>
        <w:t>being</w:t>
      </w:r>
      <w:r>
        <w:rPr>
          <w:spacing w:val="-34"/>
        </w:rPr>
        <w:t> </w:t>
      </w:r>
      <w:r>
        <w:rPr/>
        <w:t>redeveloped.</w:t>
      </w:r>
      <w:r>
        <w:rPr>
          <w:spacing w:val="-34"/>
        </w:rPr>
        <w:t> </w:t>
      </w:r>
      <w:r>
        <w:rPr/>
        <w:t>The</w:t>
      </w:r>
      <w:r>
        <w:rPr>
          <w:spacing w:val="-34"/>
        </w:rPr>
        <w:t> </w:t>
      </w:r>
      <w:r>
        <w:rPr/>
        <w:t>redevelopments</w:t>
      </w:r>
      <w:r>
        <w:rPr>
          <w:spacing w:val="-34"/>
        </w:rPr>
        <w:t> </w:t>
      </w:r>
      <w:r>
        <w:rPr>
          <w:spacing w:val="-5"/>
        </w:rPr>
        <w:t>will </w:t>
      </w:r>
      <w:r>
        <w:rPr/>
        <w:t>include new integrated primary health centre facilities,</w:t>
      </w:r>
      <w:r>
        <w:rPr>
          <w:spacing w:val="-34"/>
        </w:rPr>
        <w:t> </w:t>
      </w:r>
      <w:r>
        <w:rPr/>
        <w:t>expanded</w:t>
      </w:r>
      <w:r>
        <w:rPr>
          <w:spacing w:val="-33"/>
        </w:rPr>
        <w:t> </w:t>
      </w:r>
      <w:r>
        <w:rPr/>
        <w:t>and</w:t>
      </w:r>
      <w:r>
        <w:rPr>
          <w:spacing w:val="-33"/>
        </w:rPr>
        <w:t> </w:t>
      </w:r>
      <w:r>
        <w:rPr/>
        <w:t>refurbished</w:t>
      </w:r>
      <w:r>
        <w:rPr>
          <w:spacing w:val="-33"/>
        </w:rPr>
        <w:t> </w:t>
      </w:r>
      <w:r>
        <w:rPr/>
        <w:t>emergency departments, as well as upgraded treatment, surgical,</w:t>
      </w:r>
      <w:r>
        <w:rPr>
          <w:spacing w:val="-12"/>
        </w:rPr>
        <w:t> </w:t>
      </w:r>
      <w:r>
        <w:rPr/>
        <w:t>waiting</w:t>
      </w:r>
      <w:r>
        <w:rPr>
          <w:spacing w:val="-12"/>
        </w:rPr>
        <w:t> </w:t>
      </w:r>
      <w:r>
        <w:rPr/>
        <w:t>and</w:t>
      </w:r>
      <w:r>
        <w:rPr>
          <w:spacing w:val="-11"/>
        </w:rPr>
        <w:t> </w:t>
      </w:r>
      <w:r>
        <w:rPr/>
        <w:t>administrative</w:t>
      </w:r>
      <w:r>
        <w:rPr>
          <w:spacing w:val="-12"/>
        </w:rPr>
        <w:t> </w:t>
      </w:r>
      <w:r>
        <w:rPr/>
        <w:t>areas.</w:t>
      </w:r>
    </w:p>
    <w:p>
      <w:pPr>
        <w:pStyle w:val="BodyText"/>
        <w:spacing w:before="8"/>
        <w:rPr>
          <w:sz w:val="21"/>
        </w:rPr>
      </w:pPr>
      <w:r>
        <w:rPr/>
        <w:br w:type="column"/>
      </w:r>
      <w:r>
        <w:rPr>
          <w:sz w:val="21"/>
        </w:rPr>
      </w:r>
    </w:p>
    <w:p>
      <w:pPr>
        <w:pStyle w:val="BodyText"/>
        <w:spacing w:line="249" w:lineRule="auto" w:before="1"/>
        <w:ind w:left="600" w:right="911"/>
      </w:pPr>
      <w:r>
        <w:rPr/>
        <w:pict>
          <v:group style="position:absolute;margin-left:563.283997pt;margin-top:96.396423pt;width:240.35pt;height:220.25pt;mso-position-horizontal-relative:page;mso-position-vertical-relative:paragraph;z-index:6424" coordorigin="11266,1928" coordsize="4807,4405">
            <v:shape style="position:absolute;left:11265;top:2659;width:4807;height:3662" type="#_x0000_t75" stroked="false">
              <v:imagedata r:id="rId130" o:title=""/>
            </v:shape>
            <v:shape style="position:absolute;left:13021;top:4570;width:3052;height:1762" coordorigin="13021,4571" coordsize="3052,1762" path="m16072,6033l15554,6332,15564,6332,16072,6039,16072,6033m16072,5838l15217,6332,15227,6332,16072,5844,16072,5838m16072,5741l15048,6332,15058,6332,16072,5746,16072,5741m16072,5351l14372,6332,14382,6332,16072,5356,16072,5351m16072,5156l14034,6332,14044,6332,16072,5161,16072,5156m16072,4863l13528,6332,13538,6332,16072,4869,16072,4863m16072,5936l15385,6332,15395,6332,16072,5941,16072,5936m16072,5643l14879,6332,14889,6332,16072,5649,16072,5643m16072,5546l14710,6332,14720,6332,16072,5551,16072,5546m16072,5448l14541,6332,14551,6332,16072,5454,16072,5448m16072,5253l14203,6332,14213,6332,16072,5259,16072,5253m16072,5058l13866,6332,13876,6332,16072,5064,16072,5058m16072,4961l13697,6332,13707,6332,16072,4966,16072,4961m16072,4766l13359,6332,13369,6332,16072,4771,16072,4766m16072,4668l13190,6332,13200,6332,16072,4674,16072,4668m16072,4571l13021,6332,13031,6332,16072,4576,16072,4571e" filled="true" fillcolor="#ffffff" stroked="false">
              <v:path arrowok="t"/>
              <v:fill type="solid"/>
            </v:shape>
            <v:shape style="position:absolute;left:15723;top:6130;width:350;height:202" type="#_x0000_t75" stroked="false">
              <v:imagedata r:id="rId75" o:title=""/>
            </v:shape>
            <v:shape style="position:absolute;left:12207;top:2588;width:2684;height:248" coordorigin="12207,2589" coordsize="2684,248" path="m13299,2589l12314,2589,12207,2837,13193,2837,13193,2694,13299,2589m14891,2837l14784,2589,13799,2589,13905,2694,13905,2837,14891,2837e" filled="true" fillcolor="#e7e7e7" stroked="false">
              <v:path arrowok="t"/>
              <v:fill type="solid"/>
            </v:shape>
            <v:shape style="position:absolute;left:12209;top:2591;width:1088;height:243" coordorigin="12209,2591" coordsize="1088,243" path="m13191,2834l12209,2834,12316,2591,13297,2591,13191,2694,13191,2834xe" filled="false" stroked="true" strokeweight="1.5pt" strokecolor="#000101">
              <v:path arrowok="t"/>
              <v:stroke dashstyle="solid"/>
            </v:shape>
            <v:rect style="position:absolute;left:13907;top:2839;width:893;height:851" filled="true" fillcolor="#d2d3d3" stroked="false">
              <v:fill type="solid"/>
            </v:rect>
            <v:rect style="position:absolute;left:13907;top:2839;width:893;height:851" filled="false" stroked="true" strokeweight="1.5pt" strokecolor="#000101">
              <v:stroke dashstyle="solid"/>
            </v:rect>
            <v:shape style="position:absolute;left:14038;top:2949;width:651;height:637" coordorigin="14039,2949" coordsize="651,637" path="m14307,3313l14039,3313,14039,3586,14307,3586,14307,3313m14307,2949l14039,2949,14039,3223,14307,3223,14307,2949m14690,3313l14422,3313,14422,3586,14690,3586,14690,3313m14690,2949l14422,2949,14422,3223,14690,3223,14690,2949e" filled="true" fillcolor="#ffffff" stroked="false">
              <v:path arrowok="t"/>
              <v:fill type="solid"/>
            </v:shape>
            <v:rect style="position:absolute;left:13907;top:2822;width:894;height:30" filled="true" fillcolor="#000101" stroked="false">
              <v:fill type="solid"/>
            </v:rect>
            <v:shape style="position:absolute;left:-1000;top:7599;width:1088;height:631" coordorigin="-1000,7600" coordsize="1088,631" path="m13907,2838l14889,2838,14782,2591,13801,2591,13907,2696,13907,2838xm14040,3222l14307,3222,14307,2950,14040,2950,14040,3222xe" filled="false" stroked="true" strokeweight="1.5pt" strokecolor="#000101">
              <v:path arrowok="t"/>
              <v:stroke dashstyle="solid"/>
            </v:shape>
            <v:rect style="position:absolute;left:14040;top:3030;width:267;height:30" filled="true" fillcolor="#000101" stroked="false">
              <v:fill type="solid"/>
            </v:rect>
            <v:shape style="position:absolute;left:-678;top:7958;width:566;height:272" coordorigin="-678,7959" coordsize="566,272" path="m14224,3222l14224,3045m14123,3222l14123,3045m14421,3222l14688,3222,14688,2950,14421,2950,14421,3222xe" filled="false" stroked="true" strokeweight="1.5pt" strokecolor="#000101">
              <v:path arrowok="t"/>
              <v:stroke dashstyle="solid"/>
            </v:shape>
            <v:rect style="position:absolute;left:14421;top:3030;width:267;height:30" filled="true" fillcolor="#000101" stroked="false">
              <v:fill type="solid"/>
            </v:rect>
            <v:shape style="position:absolute;left:-761;top:8053;width:566;height:539" coordorigin="-760,8053" coordsize="566,539" path="m14605,3222l14605,3045m14504,3222l14504,3045m14040,3584l14307,3584,14307,3312,14040,3312,14040,3584xe" filled="false" stroked="true" strokeweight="1.5pt" strokecolor="#000101">
              <v:path arrowok="t"/>
              <v:stroke dashstyle="solid"/>
            </v:shape>
            <v:rect style="position:absolute;left:14040;top:3391;width:267;height:30" filled="true" fillcolor="#000101" stroked="false">
              <v:fill type="solid"/>
            </v:rect>
            <v:shape style="position:absolute;left:-678;top:8320;width:566;height:272" coordorigin="-678,8320" coordsize="566,272" path="m14224,3584l14224,3407m14123,3584l14123,3407m14421,3584l14688,3584,14688,3312,14421,3312,14421,3584xe" filled="false" stroked="true" strokeweight="1.5pt" strokecolor="#000101">
              <v:path arrowok="t"/>
              <v:stroke dashstyle="solid"/>
            </v:shape>
            <v:rect style="position:absolute;left:14421;top:3391;width:267;height:30" filled="true" fillcolor="#000101" stroked="false">
              <v:fill type="solid"/>
            </v:rect>
            <v:shape style="position:absolute;left:-297;top:8415;width:102;height:177" coordorigin="-297,8415" coordsize="102,177" path="m14605,3584l14605,3407m14504,3584l14504,3407e" filled="false" stroked="true" strokeweight="1.5pt" strokecolor="#000101">
              <v:path arrowok="t"/>
              <v:stroke dashstyle="solid"/>
            </v:shape>
            <v:rect style="position:absolute;left:12297;top:2839;width:893;height:851" filled="true" fillcolor="#d2d3d3" stroked="false">
              <v:fill type="solid"/>
            </v:rect>
            <v:rect style="position:absolute;left:12297;top:2839;width:893;height:851" filled="false" stroked="true" strokeweight="1.5pt" strokecolor="#000101">
              <v:stroke dashstyle="solid"/>
            </v:rect>
            <v:shape style="position:absolute;left:12408;top:2949;width:651;height:637" coordorigin="12409,2949" coordsize="651,637" path="m12676,3313l12409,3313,12409,3586,12676,3586,12676,3313m12676,2949l12409,2949,12409,3223,12676,3223,12676,2949m13059,3313l12791,3313,12791,3586,13059,3586,13059,3313m13059,2949l12791,2949,12791,3223,13059,3223,13059,2949e" filled="true" fillcolor="#ffffff" stroked="false">
              <v:path arrowok="t"/>
              <v:fill type="solid"/>
            </v:shape>
            <v:shape style="position:absolute;left:13192;top:2342;width:713;height:1350" coordorigin="13193,2343" coordsize="713,1350" path="m13549,2343l13193,2694,13193,3692,13905,3692,13905,2694,13549,2343xe" filled="true" fillcolor="#dadd9e" stroked="false">
              <v:path arrowok="t"/>
              <v:fill type="solid"/>
            </v:shape>
            <v:shape style="position:absolute;left:13195;top:2345;width:708;height:1345" coordorigin="13195,2345" coordsize="708,1345" path="m13549,2345l13195,2695,13195,3690,13903,3690,13903,2695,13549,2345xe" filled="false" stroked="true" strokeweight="1.5pt" strokecolor="#000101">
              <v:path arrowok="t"/>
              <v:stroke dashstyle="solid"/>
            </v:shape>
            <v:rect style="position:absolute;left:13432;top:3264;width:233;height:428" filled="true" fillcolor="#6f2770" stroked="false">
              <v:fill type="solid"/>
            </v:rect>
            <v:rect style="position:absolute;left:13433;top:3263;width:232;height:427" filled="false" stroked="true" strokeweight="1.5pt" strokecolor="#000101">
              <v:stroke dashstyle="solid"/>
            </v:rect>
            <v:rect style="position:absolute;left:12297;top:2822;width:879;height:30" filled="true" fillcolor="#000101" stroked="false">
              <v:fill type="solid"/>
            </v:rect>
            <v:shape style="position:absolute;left:12115;top:2340;width:2851;height:1350" coordorigin="12116,2340" coordsize="2851,1350" path="m12116,3690l14966,3690m13130,2758l13549,2340m13968,2758l13549,2340e" filled="false" stroked="true" strokeweight="1.5pt" strokecolor="#000101">
              <v:path arrowok="t"/>
              <v:stroke dashstyle="solid"/>
            </v:shape>
            <v:shape style="position:absolute;left:13257;top:2985;width:583;height:105" coordorigin="13258,2986" coordsize="583,105" path="m13791,2987l13776,2987,13775,2988,13775,3088,13776,3089,13840,3089,13841,3088,13841,3074,13840,3073,13792,3073,13792,2988,13791,2987xm13312,3090l13289,3090,13293,3090,13297,3091,13305,3091,13308,3090,13312,3090xm13273,3052l13260,3053,13258,3053,13258,3054,13258,3059,13258,3062,13260,3069,13261,3071,13265,3077,13267,3079,13272,3084,13275,3085,13281,3088,13285,3089,13289,3090,13289,3090,13312,3090,13315,3089,13318,3088,13324,3085,13327,3084,13331,3080,13333,3078,13335,3075,13298,3075,13296,3075,13291,3074,13289,3073,13285,3071,13283,3070,13280,3068,13279,3067,13277,3064,13276,3062,13275,3059,13274,3057,13274,3053,13273,3052xm13302,2986l13295,2986,13291,2986,13285,2987,13282,2988,13276,2990,13274,2992,13269,2995,13267,2997,13264,3002,13263,3004,13262,3010,13261,3011,13261,3018,13262,3020,13263,3024,13264,3026,13266,3030,13268,3032,13272,3035,13274,3037,13278,3039,13281,3040,13287,3042,13291,3043,13300,3045,13304,3046,13309,3048,13312,3048,13315,3050,13316,3050,13319,3052,13320,3053,13321,3055,13322,3056,13323,3058,13323,3063,13322,3065,13321,3066,13321,3067,13321,3068,13320,3069,13319,3070,13316,3071,13315,3072,13311,3073,13309,3074,13307,3074,13305,3075,13303,3075,13335,3075,13337,3073,13338,3070,13339,3065,13340,3063,13339,3054,13339,3054,13338,3049,13337,3047,13334,3042,13332,3040,13327,3037,13325,3035,13320,3033,13317,3032,13310,3030,13305,3029,13295,3026,13290,3025,13284,3023,13282,3022,13280,3020,13279,3019,13278,3017,13278,3015,13278,3012,13278,3011,13280,3008,13281,3007,13286,3003,13291,3002,13332,3002,13330,2998,13328,2996,13326,2994,13324,2992,13321,2991,13315,2988,13312,2987,13305,2986,13302,2986xm13332,3002l13302,3002,13305,3002,13310,3003,13312,3004,13316,3007,13317,3009,13319,3013,13320,3015,13320,3018,13320,3019,13321,3020,13336,3019,13337,3018,13337,3014,13336,3011,13335,3006,13333,3003,13332,3002xm13405,2986l13396,2986,13391,2986,13383,2988,13379,2990,13372,2994,13368,2996,13362,3003,13360,3006,13356,3014,13354,3018,13352,3027,13352,3031,13352,3042,13352,3047,13354,3055,13354,3056,13355,3060,13359,3069,13361,3072,13366,3079,13370,3082,13377,3086,13381,3088,13390,3090,13394,3091,13405,3091,13410,3090,13415,3088,13419,3087,13423,3085,13431,3079,13434,3075,13396,3075,13393,3075,13388,3074,13386,3072,13381,3070,13379,3068,13377,3066,13376,3064,13374,3061,13372,3055,13371,3052,13370,3045,13370,3042,13370,3031,13371,3025,13372,3022,13374,3017,13375,3014,13378,3010,13380,3008,13385,3004,13387,3003,13393,3002,13396,3001,13434,3001,13433,2999,13430,2996,13423,2991,13419,2989,13414,2988,13410,2986,13405,2986xm13427,3050l13426,3051,13424,3056,13423,3060,13420,3065,13418,3068,13414,3071,13411,3073,13405,3075,13402,3075,13434,3075,13439,3067,13441,3062,13443,3055,13442,3054,13428,3051,13427,3050xm13434,3001l13403,3001,13406,3001,13411,3003,13413,3004,13417,3007,13419,3009,13420,3011,13422,3014,13423,3017,13424,3021,13425,3022,13439,3018,13441,3018,13441,3017,13439,3011,13438,3007,13434,3001xm13474,2987l13458,2987,13457,2988,13457,3088,13458,3089,13474,3089,13475,3088,13475,3043,13538,3043,13538,3027,13475,3027,13475,2988,13474,2987xm13538,3043l13521,3043,13521,3088,13522,3089,13537,3089,13538,3088,13538,3043xm13537,2987l13522,2987,13521,2988,13521,3027,13538,3027,13538,2988,13537,2987xm13608,2986l13596,2986,13589,2987,13577,2992,13572,2995,13563,3005,13560,3011,13555,3024,13554,3031,13554,3045,13554,3048,13556,3057,13558,3061,13562,3069,13564,3072,13570,3079,13573,3081,13581,3086,13585,3088,13594,3090,13598,3091,13607,3091,13612,3090,13620,3088,13624,3086,13632,3082,13635,3080,13639,3075,13598,3075,13594,3074,13591,3073,13587,3071,13584,3069,13578,3063,13575,3059,13573,3050,13572,3045,13572,3031,13573,3027,13576,3017,13578,3013,13587,3004,13595,3001,13639,3001,13636,2997,13632,2995,13625,2990,13621,2989,13612,2986,13608,2986xm13639,3001l13606,3001,13609,3002,13614,3003,13617,3004,13622,3007,13624,3009,13628,3013,13629,3016,13632,3021,13633,3024,13634,3031,13634,3045,13633,3050,13630,3059,13628,3063,13625,3066,13622,3069,13619,3071,13612,3074,13607,3075,13639,3075,13641,3073,13644,3070,13648,3062,13649,3057,13651,3048,13652,3044,13652,3031,13652,3029,13650,3020,13648,3015,13644,3007,13642,3004,13639,3001xm13717,2986l13705,2986,13698,2987,13686,2992,13681,2995,13672,3005,13668,3011,13664,3024,13663,3031,13663,3045,13663,3048,13665,3057,13667,3061,13671,3069,13673,3072,13679,3079,13682,3081,13690,3086,13694,3088,13702,3090,13707,3091,13716,3091,13721,3090,13729,3088,13733,3086,13740,3082,13744,3080,13748,3075,13707,3075,13703,3074,13699,3073,13696,3071,13692,3069,13687,3063,13684,3059,13681,3050,13681,3045,13681,3031,13681,3027,13684,3017,13687,3013,13696,3004,13703,3001,13748,3001,13745,2997,13741,2995,13734,2990,13730,2989,13721,2986,13717,2986xm13748,3001l13715,3001,13718,3002,13723,3003,13726,3004,13731,3007,13733,3009,13736,3013,13738,3016,13740,3021,13741,3024,13743,3031,13743,3045,13742,3050,13739,3059,13737,3063,13731,3069,13728,3071,13720,3074,13716,3075,13748,3075,13750,3073,13752,3070,13757,3062,13758,3057,13760,3048,13761,3044,13761,3031,13760,3029,13758,3020,13757,3015,13753,3007,13750,3004,13748,3001xe" filled="true" fillcolor="#000101" stroked="false">
              <v:path arrowok="t"/>
              <v:fill type="solid"/>
            </v:shape>
            <v:shape style="position:absolute;left:13255;top:2983;width:588;height:110" type="#_x0000_t75" stroked="false">
              <v:imagedata r:id="rId131" o:title=""/>
            </v:shape>
            <v:shape style="position:absolute;left:13396;top:2552;width:301;height:301" type="#_x0000_t75" stroked="false">
              <v:imagedata r:id="rId132" o:title=""/>
            </v:shape>
            <v:rect style="position:absolute;left:12792;top:2950;width:267;height:272" filled="false" stroked="true" strokeweight="1.5pt" strokecolor="#000101">
              <v:stroke dashstyle="solid"/>
            </v:rect>
            <v:rect style="position:absolute;left:12792;top:3029;width:267;height:30" filled="true" fillcolor="#000101" stroked="false">
              <v:fill type="solid"/>
            </v:rect>
            <v:shape style="position:absolute;left:-1137;top:7958;width:566;height:272" coordorigin="-1136,7958" coordsize="566,272" path="m12875,3222l12875,3045m12977,3222l12977,3045m12411,3222l12678,3222,12678,2950,12411,2950,12411,3222xe" filled="false" stroked="true" strokeweight="1.5pt" strokecolor="#000101">
              <v:path arrowok="t"/>
              <v:stroke dashstyle="solid"/>
            </v:shape>
            <v:rect style="position:absolute;left:12410;top:3029;width:267;height:30" filled="true" fillcolor="#000101" stroked="false">
              <v:fill type="solid"/>
            </v:rect>
            <v:shape style="position:absolute;left:-1054;top:8053;width:566;height:539" coordorigin="-1054,8053" coordsize="566,539" path="m12494,3222l12494,3045m12595,3222l12595,3045m12792,3584l13059,3584,13059,3312,12792,3312,12792,3584xe" filled="false" stroked="true" strokeweight="1.5pt" strokecolor="#000101">
              <v:path arrowok="t"/>
              <v:stroke dashstyle="solid"/>
            </v:shape>
            <v:rect style="position:absolute;left:12792;top:3391;width:267;height:30" filled="true" fillcolor="#000101" stroked="false">
              <v:fill type="solid"/>
            </v:rect>
            <v:shape style="position:absolute;left:-1137;top:8320;width:566;height:272" coordorigin="-1136,8320" coordsize="566,272" path="m12875,3584l12875,3407m12977,3584l12977,3407m12411,3584l12678,3584,12678,3312,12411,3312,12411,3584xe" filled="false" stroked="true" strokeweight="1.5pt" strokecolor="#000101">
              <v:path arrowok="t"/>
              <v:stroke dashstyle="solid"/>
            </v:shape>
            <v:rect style="position:absolute;left:12410;top:3391;width:267;height:30" filled="true" fillcolor="#000101" stroked="false">
              <v:fill type="solid"/>
            </v:rect>
            <v:shape style="position:absolute;left:-1054;top:8414;width:102;height:177" coordorigin="-1054,8415" coordsize="102,177" path="m12494,3584l12494,3407m12595,3584l12595,3407e" filled="false" stroked="true" strokeweight="1.5pt" strokecolor="#000101">
              <v:path arrowok="t"/>
              <v:stroke dashstyle="solid"/>
            </v:shape>
            <v:shape style="position:absolute;left:11489;top:2523;width:420;height:696" coordorigin="11489,2523" coordsize="420,696" path="m11693,2523l11662,2561,11591,2658,11521,2787,11489,2922,11499,3019,11526,3100,11568,3164,11623,3204,11688,3219,11745,3209,11842,3135,11877,3075,11900,3003,11909,2922,11905,2819,11882,2744,11818,2657,11693,2523xe" filled="true" fillcolor="#aebd37" stroked="false">
              <v:path arrowok="t"/>
              <v:fill type="solid"/>
            </v:shape>
            <v:shape style="position:absolute;left:11717;top:3221;width:685;height:478" coordorigin="11717,3222" coordsize="685,478" path="m11985,3222l11919,3233,11864,3265,11824,3313,11804,3373,11777,3389,11752,3410,11732,3435,11717,3463,11829,3691,11843,3695,11857,3697,11871,3699,11886,3700,12220,3700,12291,3686,12348,3649,12387,3594,12402,3527,12387,3460,12348,3405,12291,3368,12265,3363,12163,3363,12141,3307,12102,3262,12048,3232,11985,3222xm12220,3354l12205,3355,12191,3357,12177,3359,12163,3363,12265,3363,12220,3354xe" filled="true" fillcolor="#dadd9e" stroked="false">
              <v:path arrowok="t"/>
              <v:fill type="solid"/>
            </v:shape>
            <v:shape style="position:absolute;left:11523;top:3452;width:358;height:246" type="#_x0000_t75" stroked="false">
              <v:imagedata r:id="rId133" o:title=""/>
            </v:shape>
            <v:shape style="position:absolute;left:14891;top:2496;width:741;height:651" coordorigin="14892,2496" coordsize="741,651" path="m15317,2496l15237,2502,15165,2520,15112,2549,15092,2589,15092,2597,15093,2601,15060,2622,15034,2652,15017,2687,15011,2728,15012,2743,15014,2757,15018,2770,15023,2784,14970,2811,14929,2850,14902,2898,14892,2953,14907,3027,14953,3088,15022,3130,15107,3146,15262,3147,15412,3147,15478,3136,15536,3107,15582,3062,15612,3005,15622,2939,15620,2907,15613,2877,15601,2848,15585,2822,15605,2799,15619,2772,15628,2742,15632,2710,15619,2650,15586,2600,15537,2567,15477,2554,15474,2554,15448,2522,15391,2503,15317,2496xm15477,2554l15474,2554,15477,2554,15477,2554xe" filled="true" fillcolor="#475b29" stroked="false">
              <v:path arrowok="t"/>
              <v:fill type="solid"/>
            </v:shape>
            <v:shape style="position:absolute;left:15331;top:2896;width:561;height:384" coordorigin="15331,2896" coordsize="561,384" path="m15556,2896l15503,2906,15459,2931,15427,2970,15411,3018,15379,3039,15353,3068,15337,3103,15331,3141,15343,3195,15374,3240,15420,3269,15477,3280,15745,3280,15802,3269,15848,3240,15880,3195,15891,3141,15880,3088,15848,3043,15802,3014,15781,3010,15700,3010,15682,2965,15650,2929,15607,2905,15556,2896xm15745,3003l15733,3003,15722,3005,15711,3007,15700,3010,15781,3010,15745,3003xe" filled="true" fillcolor="#aebd37" stroked="false">
              <v:path arrowok="t"/>
              <v:fill type="solid"/>
            </v:shape>
            <v:shape style="position:absolute;left:14773;top:3302;width:613;height:396" coordorigin="14773,3302" coordsize="613,396" path="m14933,3412l14871,3423,14820,3454,14786,3499,14773,3555,14786,3611,14820,3656,14871,3687,14933,3698,15226,3698,15288,3687,15339,3656,15373,3611,15385,3555,15379,3515,15361,3479,15333,3449,15298,3427,15295,3419,14982,3419,14971,3416,14958,3414,14946,3413,14933,3412xm15139,3302l15084,3311,15037,3336,15002,3373,14982,3419,15295,3419,15280,3378,15245,3338,15197,3312,15139,3302xe" filled="true" fillcolor="#dadd9e" stroked="false">
              <v:path arrowok="t"/>
              <v:fill type="solid"/>
            </v:shape>
            <v:shape style="position:absolute;left:14726;top:2484;width:1138;height:1225" coordorigin="14726,2485" coordsize="1138,1225" path="m15863,3142l15851,3083,15840,3068,15840,3142,15830,3191,15801,3231,15758,3259,15706,3269,15438,3269,15385,3259,15343,3231,15314,3191,15303,3142,15308,3107,15323,3075,15346,3048,15377,3028,15383,3025,15383,3019,15398,2975,15428,2940,15469,2916,15517,2908,15563,2916,15603,2937,15633,2970,15649,3012,15652,3024,15664,3021,15674,3018,15685,3016,15695,3015,15706,3014,15758,3024,15801,3052,15830,3092,15840,3142,15840,3068,15817,3035,15784,3014,15767,3003,15727,2995,15706,2991,15693,2991,15681,2993,15669,2995,15647,2951,15613,2916,15597,2908,15586,2902,15586,2894,15580,2870,15570,2847,15556,2823,15575,2798,15588,2771,15596,2742,15599,2711,15587,2647,15576,2631,15576,2711,15574,2739,15565,2766,15552,2791,15533,2814,15527,2820,15532,2828,15544,2847,15553,2864,15560,2881,15561,2892,15517,2885,15462,2894,15415,2920,15380,2960,15362,3010,15328,3034,15302,3065,15286,3101,15281,3135,15218,3135,15088,3135,14983,3119,14918,3080,14874,3022,14859,2953,14869,2903,14894,2858,14933,2821,14983,2794,14994,2790,14990,2779,14979,2728,14984,2692,14999,2659,15023,2631,15054,2612,15061,2608,15060,2597,15127,2530,15195,2513,15270,2508,15328,2511,15374,2521,15405,2537,15419,2556,15421,2566,15433,2566,15489,2577,15534,2608,15565,2654,15576,2711,15576,2631,15553,2594,15513,2566,15502,2558,15439,2543,15416,2516,15397,2508,15375,2498,15325,2488,15270,2485,15185,2491,15110,2511,15057,2544,15037,2589,15037,2594,15003,2618,14978,2650,14962,2687,14956,2728,14956,2739,14957,2742,14958,2753,14961,2765,14964,2777,14912,2808,14872,2849,14846,2898,14836,2952,14847,3016,14878,3072,14927,3116,14990,3146,15063,3158,15212,3158,15212,3326,15188,3314,15163,3301,15104,3291,15048,3299,14999,3323,14962,3359,14938,3405,14928,3403,14918,3402,14907,3401,14897,3401,14831,3413,14776,3446,14739,3495,14726,3555,14739,3615,14776,3664,14831,3697,14897,3709,15190,3709,15257,3697,15274,3686,15311,3664,15348,3615,15361,3555,15355,3514,15338,3478,15338,3555,15327,3606,15295,3648,15248,3676,15190,3686,14897,3686,14840,3676,14792,3648,14761,3606,14749,3555,14761,3504,14792,3462,14840,3434,14897,3424,14909,3424,14920,3425,14932,3427,14944,3430,14955,3434,14958,3424,14958,3421,14965,3405,14976,3378,15009,3344,15052,3322,15104,3314,15157,3323,15202,3347,15234,3383,15251,3429,15251,3435,15257,3438,15291,3459,15316,3486,15333,3519,15338,3555,15338,3478,15337,3476,15309,3444,15272,3420,15252,3368,15235,3350,15235,3158,15275,3158,15284,3158,15293,3200,15326,3248,15377,3280,15438,3292,15560,3292,15563,3693,15569,3698,15575,3698,15581,3698,15586,3693,15583,3292,15706,3292,15767,3280,15784,3269,15817,3248,15851,3200,15863,3142e" filled="true" fillcolor="#000101" stroked="false">
              <v:path arrowok="t"/>
              <v:fill type="solid"/>
            </v:shape>
            <v:shape style="position:absolute;left:11477;top:3440;width:381;height:269" type="#_x0000_t75" stroked="false">
              <v:imagedata r:id="rId134" o:title=""/>
            </v:shape>
            <v:shape style="position:absolute;left:11447;top:2506;width:933;height:1205" coordorigin="11447,2506" coordsize="933,1205" path="m12379,3527l12364,3455,12322,3397,12274,3366,12261,3357,12216,3349,12186,3343,12174,3343,12162,3344,12150,3346,12138,3349,12112,3293,12069,3249,12039,3233,12014,3220,11951,3210,11883,3222,11825,3254,11783,3304,11760,3365,11732,3383,11708,3405,11688,3430,11681,3443,11681,3230,11681,3228,11744,3207,11748,3206,11748,3205,11805,3160,11850,3094,11879,3013,11889,2922,11874,2832,11866,2815,11866,2922,11857,3006,11831,3080,11791,3141,11740,3184,11681,3205,11681,3087,11704,3043,11707,3037,11784,2888,11781,2881,11770,2875,11763,2877,11681,3037,11681,2704,11676,2699,11663,2699,11658,2704,11658,3043,11573,2877,11566,2875,11555,2881,11553,2888,11658,3093,11658,3207,11658,3207,11657,3207,11596,3193,11544,3154,11505,3094,11479,3015,11470,2922,11482,2846,11512,2768,11552,2693,11596,2627,11636,2574,11663,2541,11692,2574,11733,2627,11780,2693,11823,2768,11854,2846,11866,2922,11866,2815,11835,2741,11784,2657,11732,2586,11690,2537,11662,2506,11654,2516,11597,2586,11547,2657,11499,2741,11462,2832,11447,2922,11454,3007,11474,3081,11506,3143,11549,3190,11657,3230,11658,3230,11658,3230,11658,3459,11663,3464,11670,3464,11670,3465,11673,3472,11685,3476,11691,3474,11694,3468,11708,3442,11726,3418,11749,3399,11775,3383,11781,3380,11782,3374,11801,3318,11838,3274,11890,3244,11951,3233,12009,3243,12060,3270,12097,3312,12118,3365,12120,3378,12133,3374,12146,3370,12159,3368,12172,3366,12186,3366,12252,3378,12306,3413,12343,3464,12356,3527,12343,3590,12306,3641,12252,3675,12186,3688,11852,3688,11792,3678,11786,3681,11782,3693,11785,3700,11791,3702,11806,3706,11821,3709,11837,3710,11852,3711,12186,3711,12261,3697,12274,3688,12322,3657,12364,3599,12379,3527e" filled="true" fillcolor="#000101" stroked="false">
              <v:path arrowok="t"/>
              <v:fill type="solid"/>
            </v:shape>
            <v:shape style="position:absolute;left:11890;top:3696;width:3262;height:91" coordorigin="11891,3696" coordsize="3262,91" path="m15105,3696l11938,3696,11920,3700,11905,3710,11894,3724,11891,3742,11894,3759,11905,3774,11920,3783,11938,3787,15105,3787,15123,3783,15139,3774,15149,3759,15152,3742,15149,3724,15139,3710,15123,3700,15105,3696xe" filled="true" fillcolor="#360f41" stroked="false">
              <v:path arrowok="t"/>
              <v:fill type="solid"/>
            </v:shape>
            <v:shape style="position:absolute;left:11890;top:3696;width:3262;height:91" coordorigin="11891,3696" coordsize="3262,91" path="m15105,3696l15123,3700,15139,3710,15149,3724,15152,3742,15149,3759,15139,3774,15123,3783,15105,3787,11938,3787,11920,3783,11905,3774,11894,3759,11891,3742,11894,3724,11905,3710,11920,3700,11938,3696,15105,3696xe" filled="false" stroked="true" strokeweight="1.5pt" strokecolor="#000101">
              <v:path arrowok="t"/>
              <v:stroke dashstyle="solid"/>
            </v:shape>
            <v:shape style="position:absolute;left:12322;top:3749;width:2181;height:434" type="#_x0000_t75" stroked="false">
              <v:imagedata r:id="rId135" o:title=""/>
            </v:shape>
            <v:shape style="position:absolute;left:13856;top:1942;width:517;height:167" coordorigin="13856,1943" coordsize="517,167" path="m14143,2046l14117,1972,14079,1943,14040,1952,14008,1989,13994,2047,13945,2018,13899,2030,13867,2066,13856,2109,14373,2109,14342,2037,14292,1993,14234,1980,14181,1997,14143,2046xe" filled="false" stroked="true" strokeweight="1.5pt" strokecolor="#000101">
              <v:path arrowok="t"/>
              <v:stroke dashstyle="solid"/>
            </v:shape>
            <v:shape style="position:absolute;left:14426;top:2068;width:103;height:42" coordorigin="14426,2068" coordsize="103,42" path="m14426,2109l14529,2109,14513,2080,14483,2068,14450,2077,14426,2109xe" filled="false" stroked="true" strokeweight="1.5pt" strokecolor="#000101">
              <v:path arrowok="t"/>
              <v:stroke dashstyle="solid"/>
            </v:shape>
            <v:shape style="position:absolute;left:14333;top:2125;width:521;height:154" coordorigin="14334,2125" coordsize="521,154" path="m14402,2196l14365,2206,14341,2240,14334,2279,14854,2279,14850,2254,14842,2247,14775,2247,14770,2228,14448,2228,14402,2196xm14802,2233l14775,2247,14842,2247,14830,2237,14802,2233xm14539,2125l14495,2147,14462,2184,14448,2228,14770,2228,14768,2223,14660,2223,14630,2156,14587,2126,14539,2125xm14732,2182l14693,2185,14660,2223,14768,2223,14764,2206,14732,2182xe" filled="true" fillcolor="#ffffff" stroked="false">
              <v:path arrowok="t"/>
              <v:fill type="solid"/>
            </v:shape>
            <v:shape style="position:absolute;left:14333;top:2125;width:521;height:154" coordorigin="14334,2125" coordsize="521,154" path="m14854,2279l14850,2254,14830,2237,14802,2233,14775,2247,14764,2206,14732,2182,14693,2185,14660,2223,14630,2156,14587,2126,14539,2125,14495,2147,14462,2184,14448,2228,14402,2196,14365,2206,14341,2240,14334,2279,14854,2279xe" filled="false" stroked="true" strokeweight="1.5pt" strokecolor="#000101">
              <v:path arrowok="t"/>
              <v:stroke dashstyle="solid"/>
            </v:shape>
            <v:shape style="position:absolute;left:11965;top:2281;width:690;height:208" coordorigin="11965,2282" coordsize="690,208" path="m12056,2378l12007,2392,11975,2438,11965,2489,12655,2489,12649,2455,12639,2447,12549,2447,12543,2421,12116,2421,12056,2378xm12585,2428l12549,2447,12639,2447,12623,2433,12585,2428xm12285,2282l12238,2285,12193,2304,12154,2336,12127,2376,12116,2421,12543,2421,12541,2415,12398,2415,12370,2343,12331,2300,12285,2282xm12493,2360l12441,2364,12398,2415,12541,2415,12535,2392,12493,2360xe" filled="true" fillcolor="#ffffff" stroked="false">
              <v:path arrowok="t"/>
              <v:fill type="solid"/>
            </v:shape>
            <v:shape style="position:absolute;left:11965;top:2281;width:690;height:208" coordorigin="11965,2282" coordsize="690,208" path="m12655,2489l12649,2455,12623,2433,12585,2428,12549,2447,12535,2392,12493,2360,12441,2364,12398,2415,12370,2343,12331,2300,12285,2282,12238,2285,12193,2304,12154,2336,12127,2376,12116,2421,12056,2378,12007,2392,11975,2438,11965,2489,12655,2489xe" filled="false" stroked="true" strokeweight="1.5pt" strokecolor="#000101">
              <v:path arrowok="t"/>
              <v:stroke dashstyle="solid"/>
            </v:shape>
            <v:shape style="position:absolute;left:11265;top:1927;width:4807;height:4405" type="#_x0000_t202" filled="false" stroked="false">
              <v:textbox inset="0,0,0,0">
                <w:txbxContent>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9"/>
                      <w:rPr>
                        <w:sz w:val="29"/>
                      </w:rPr>
                    </w:pPr>
                  </w:p>
                  <w:p>
                    <w:pPr>
                      <w:spacing w:line="249" w:lineRule="auto" w:before="0"/>
                      <w:ind w:left="271" w:right="281" w:firstLine="0"/>
                      <w:jc w:val="center"/>
                      <w:rPr>
                        <w:b/>
                        <w:sz w:val="28"/>
                      </w:rPr>
                    </w:pPr>
                    <w:r>
                      <w:rPr>
                        <w:b/>
                        <w:color w:val="6F2770"/>
                        <w:sz w:val="28"/>
                      </w:rPr>
                      <w:t>Delivered a construction program valued over $1.6</w:t>
                    </w:r>
                    <w:r>
                      <w:rPr>
                        <w:b/>
                        <w:color w:val="6F2770"/>
                        <w:spacing w:val="-59"/>
                        <w:sz w:val="28"/>
                      </w:rPr>
                      <w:t> </w:t>
                    </w:r>
                    <w:r>
                      <w:rPr>
                        <w:b/>
                        <w:color w:val="6F2770"/>
                        <w:sz w:val="28"/>
                      </w:rPr>
                      <w:t>billion in collaboration with State Government agencies</w:t>
                    </w:r>
                  </w:p>
                </w:txbxContent>
              </v:textbox>
              <w10:wrap type="none"/>
            </v:shape>
            <w10:wrap type="none"/>
          </v:group>
        </w:pict>
      </w:r>
      <w:r>
        <w:rPr/>
        <w:t>New health centres in </w:t>
      </w:r>
      <w:r>
        <w:rPr>
          <w:spacing w:val="-3"/>
        </w:rPr>
        <w:t>Pingelly, </w:t>
      </w:r>
      <w:r>
        <w:rPr/>
        <w:t>Cunderdin and Mullewa are progressing and also form part of the</w:t>
      </w:r>
      <w:r>
        <w:rPr>
          <w:spacing w:val="-19"/>
        </w:rPr>
        <w:t> </w:t>
      </w:r>
      <w:r>
        <w:rPr/>
        <w:t>program.</w:t>
      </w:r>
      <w:r>
        <w:rPr>
          <w:spacing w:val="-19"/>
        </w:rPr>
        <w:t> </w:t>
      </w:r>
      <w:r>
        <w:rPr/>
        <w:t>Work</w:t>
      </w:r>
      <w:r>
        <w:rPr>
          <w:spacing w:val="-19"/>
        </w:rPr>
        <w:t> </w:t>
      </w:r>
      <w:r>
        <w:rPr/>
        <w:t>on</w:t>
      </w:r>
      <w:r>
        <w:rPr>
          <w:spacing w:val="-19"/>
        </w:rPr>
        <w:t> </w:t>
      </w:r>
      <w:r>
        <w:rPr/>
        <w:t>the</w:t>
      </w:r>
      <w:r>
        <w:rPr>
          <w:spacing w:val="-19"/>
        </w:rPr>
        <w:t> </w:t>
      </w:r>
      <w:r>
        <w:rPr/>
        <w:t>Southern</w:t>
      </w:r>
      <w:r>
        <w:rPr>
          <w:spacing w:val="-19"/>
        </w:rPr>
        <w:t> </w:t>
      </w:r>
      <w:r>
        <w:rPr/>
        <w:t>Inland</w:t>
      </w:r>
      <w:r>
        <w:rPr>
          <w:spacing w:val="-19"/>
        </w:rPr>
        <w:t> </w:t>
      </w:r>
      <w:r>
        <w:rPr>
          <w:spacing w:val="-3"/>
        </w:rPr>
        <w:t>Health </w:t>
      </w:r>
      <w:r>
        <w:rPr/>
        <w:t>Initiative will continue into next</w:t>
      </w:r>
      <w:r>
        <w:rPr>
          <w:spacing w:val="-27"/>
        </w:rPr>
        <w:t> </w:t>
      </w:r>
      <w:r>
        <w:rPr>
          <w:spacing w:val="-5"/>
        </w:rPr>
        <w:t>year.</w:t>
      </w:r>
    </w:p>
    <w:p>
      <w:pPr>
        <w:pStyle w:val="BodyText"/>
        <w:rPr>
          <w:sz w:val="20"/>
        </w:rPr>
      </w:pPr>
    </w:p>
    <w:p>
      <w:pPr>
        <w:pStyle w:val="BodyText"/>
        <w:spacing w:before="7"/>
        <w:rPr>
          <w:sz w:val="29"/>
        </w:rPr>
      </w:pPr>
      <w:r>
        <w:rPr/>
        <w:pict>
          <v:group style="position:absolute;margin-left:620.743896pt;margin-top:19.00852pt;width:46.25pt;height:13.1pt;mso-position-horizontal-relative:page;mso-position-vertical-relative:paragraph;z-index:4328;mso-wrap-distance-left:0;mso-wrap-distance-right:0" coordorigin="12415,380" coordsize="925,262">
            <v:shape style="position:absolute;left:12604;top:395;width:720;height:232" coordorigin="12605,395" coordsize="720,232" path="m12789,561l12812,483,12848,430,12892,401,12939,395,12985,410,13026,443,13057,493,13075,559,13112,486,13151,459,13186,471,13214,518,13228,596,13248,573,13277,567,13305,583,13325,626,12605,626,12614,563,12646,521,12702,516,12789,561xe" filled="false" stroked="true" strokeweight="1.5pt" strokecolor="#000101">
              <v:path arrowok="t"/>
              <v:stroke dashstyle="solid"/>
            </v:shape>
            <v:shape style="position:absolute;left:12429;top:551;width:127;height:75" coordorigin="12430,551" coordsize="127,75" path="m12557,626l12430,626,12440,577,12478,551,12524,564,12557,626xe" filled="false" stroked="true" strokeweight="1.5pt" strokecolor="#000101">
              <v:path arrowok="t"/>
              <v:stroke dashstyle="solid"/>
            </v:shape>
            <w10:wrap type="topAndBottom"/>
          </v:group>
        </w:pict>
      </w:r>
    </w:p>
    <w:p>
      <w:pPr>
        <w:spacing w:after="0"/>
        <w:rPr>
          <w:sz w:val="29"/>
        </w:rPr>
        <w:sectPr>
          <w:type w:val="continuous"/>
          <w:pgSz w:w="16840" w:h="11910" w:orient="landscape"/>
          <w:pgMar w:top="0" w:bottom="0" w:left="0" w:right="0"/>
          <w:cols w:num="3" w:equalWidth="0">
            <w:col w:w="5497" w:space="40"/>
            <w:col w:w="5077" w:space="39"/>
            <w:col w:w="6187"/>
          </w:cols>
        </w:sectPr>
      </w:pPr>
    </w:p>
    <w:p>
      <w:pPr>
        <w:tabs>
          <w:tab w:pos="9621" w:val="left" w:leader="none"/>
          <w:tab w:pos="14432" w:val="left" w:leader="none"/>
        </w:tabs>
        <w:spacing w:line="240" w:lineRule="auto"/>
        <w:ind w:left="0" w:right="-44" w:firstLine="0"/>
        <w:rPr>
          <w:sz w:val="20"/>
        </w:rPr>
      </w:pPr>
      <w:r>
        <w:rPr>
          <w:sz w:val="20"/>
        </w:rPr>
        <w:pict>
          <v:group style="width:360.85pt;height:42.55pt;mso-position-horizontal-relative:char;mso-position-vertical-relative:line" coordorigin="0,0" coordsize="7217,851">
            <v:rect style="position:absolute;left:4810;top:0;width:2406;height:851" filled="true" fillcolor="#e6e7e8" stroked="false">
              <v:fill type="solid"/>
            </v:rect>
            <v:shape style="position:absolute;left:4810;top:0;width:583;height:583" type="#_x0000_t75" stroked="false">
              <v:imagedata r:id="rId51" o:title=""/>
            </v:shape>
            <v:shape style="position:absolute;left:4810;top:0;width:2406;height:851"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v:shape style="position:absolute;left:2405;top:0;width:2406;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0;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v:group>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shape>
        </w:pict>
      </w:r>
      <w:r>
        <w:rPr>
          <w:sz w:val="20"/>
        </w:rPr>
      </w:r>
    </w:p>
    <w:p>
      <w:pPr>
        <w:pStyle w:val="BodyText"/>
        <w:rPr>
          <w:sz w:val="20"/>
        </w:rPr>
      </w:pPr>
    </w:p>
    <w:p>
      <w:pPr>
        <w:spacing w:after="0"/>
        <w:rPr>
          <w:sz w:val="20"/>
        </w:rPr>
        <w:sectPr>
          <w:footerReference w:type="default" r:id="rId136"/>
          <w:pgSz w:w="16840" w:h="11910" w:orient="landscape"/>
          <w:pgMar w:footer="0" w:header="0" w:top="0" w:bottom="0" w:left="0" w:right="0"/>
        </w:sectPr>
      </w:pPr>
    </w:p>
    <w:p>
      <w:pPr>
        <w:pStyle w:val="BodyText"/>
        <w:spacing w:before="3"/>
        <w:rPr>
          <w:sz w:val="34"/>
        </w:rPr>
      </w:pPr>
    </w:p>
    <w:p>
      <w:pPr>
        <w:pStyle w:val="BodyText"/>
        <w:spacing w:line="249" w:lineRule="auto"/>
        <w:ind w:left="765" w:right="101"/>
      </w:pPr>
      <w:r>
        <w:rPr/>
        <w:t>In acknowledging concerns raised by industry regarding</w:t>
      </w:r>
      <w:r>
        <w:rPr>
          <w:spacing w:val="-25"/>
        </w:rPr>
        <w:t> </w:t>
      </w:r>
      <w:r>
        <w:rPr/>
        <w:t>security</w:t>
      </w:r>
      <w:r>
        <w:rPr>
          <w:spacing w:val="-25"/>
        </w:rPr>
        <w:t> </w:t>
      </w:r>
      <w:r>
        <w:rPr/>
        <w:t>of</w:t>
      </w:r>
      <w:r>
        <w:rPr>
          <w:spacing w:val="-25"/>
        </w:rPr>
        <w:t> </w:t>
      </w:r>
      <w:r>
        <w:rPr/>
        <w:t>payment</w:t>
      </w:r>
      <w:r>
        <w:rPr>
          <w:spacing w:val="-25"/>
        </w:rPr>
        <w:t> </w:t>
      </w:r>
      <w:r>
        <w:rPr/>
        <w:t>for</w:t>
      </w:r>
      <w:r>
        <w:rPr>
          <w:spacing w:val="-25"/>
        </w:rPr>
        <w:t> </w:t>
      </w:r>
      <w:r>
        <w:rPr/>
        <w:t>subcontractors working on government construction projects, the Department implemented a package of measures across its construction projects </w:t>
      </w:r>
      <w:r>
        <w:rPr>
          <w:w w:val="94"/>
        </w:rPr>
        <w:t>valued</w:t>
      </w:r>
      <w:r>
        <w:rPr/>
        <w:t> </w:t>
      </w:r>
      <w:r>
        <w:rPr>
          <w:w w:val="96"/>
        </w:rPr>
        <w:t>above</w:t>
      </w:r>
      <w:r>
        <w:rPr/>
        <w:t> </w:t>
      </w:r>
      <w:r>
        <w:rPr>
          <w:w w:val="99"/>
        </w:rPr>
        <w:t>$1.5</w:t>
      </w:r>
      <w:r>
        <w:rPr/>
        <w:t> </w:t>
      </w:r>
      <w:r>
        <w:rPr>
          <w:w w:val="94"/>
        </w:rPr>
        <w:t>million</w:t>
      </w:r>
      <w:r>
        <w:rPr>
          <w:spacing w:val="-1"/>
          <w:w w:val="94"/>
        </w:rPr>
        <w:t>.</w:t>
      </w:r>
      <w:r>
        <w:rPr>
          <w:w w:val="99"/>
          <w:position w:val="8"/>
          <w:sz w:val="10"/>
        </w:rPr>
        <w:t>7</w:t>
      </w:r>
      <w:r>
        <w:rPr>
          <w:position w:val="8"/>
          <w:sz w:val="10"/>
        </w:rPr>
        <w:t> </w:t>
      </w:r>
      <w:r>
        <w:rPr>
          <w:spacing w:val="5"/>
          <w:position w:val="8"/>
          <w:sz w:val="10"/>
        </w:rPr>
        <w:t> </w:t>
      </w:r>
      <w:r>
        <w:rPr>
          <w:w w:val="93"/>
        </w:rPr>
        <w:t>The</w:t>
      </w:r>
      <w:r>
        <w:rPr/>
        <w:t> </w:t>
      </w:r>
      <w:r>
        <w:rPr>
          <w:w w:val="96"/>
        </w:rPr>
        <w:t>measu</w:t>
      </w:r>
      <w:r>
        <w:rPr>
          <w:spacing w:val="-4"/>
          <w:w w:val="96"/>
        </w:rPr>
        <w:t>r</w:t>
      </w:r>
      <w:r>
        <w:rPr>
          <w:w w:val="94"/>
        </w:rPr>
        <w:t>es </w:t>
      </w:r>
      <w:r>
        <w:rPr/>
        <w:t>included the implementation of project bank accounts, and followed a trial conducted by Building Management and Works to streamline the payment process along the supply chain, improving transparency and</w:t>
      </w:r>
      <w:r>
        <w:rPr>
          <w:spacing w:val="-35"/>
        </w:rPr>
        <w:t> </w:t>
      </w:r>
      <w:r>
        <w:rPr/>
        <w:t>accountability.</w:t>
      </w:r>
    </w:p>
    <w:p>
      <w:pPr>
        <w:pStyle w:val="BodyText"/>
        <w:spacing w:line="249" w:lineRule="auto" w:before="10"/>
        <w:ind w:left="765" w:right="287"/>
      </w:pPr>
      <w:r>
        <w:rPr/>
        <w:t>Western</w:t>
      </w:r>
      <w:r>
        <w:rPr>
          <w:spacing w:val="-24"/>
        </w:rPr>
        <w:t> </w:t>
      </w:r>
      <w:r>
        <w:rPr/>
        <w:t>Australia</w:t>
      </w:r>
      <w:r>
        <w:rPr>
          <w:spacing w:val="-23"/>
        </w:rPr>
        <w:t> </w:t>
      </w:r>
      <w:r>
        <w:rPr/>
        <w:t>became</w:t>
      </w:r>
      <w:r>
        <w:rPr>
          <w:spacing w:val="-23"/>
        </w:rPr>
        <w:t> </w:t>
      </w:r>
      <w:r>
        <w:rPr/>
        <w:t>the</w:t>
      </w:r>
      <w:r>
        <w:rPr>
          <w:spacing w:val="-23"/>
        </w:rPr>
        <w:t> </w:t>
      </w:r>
      <w:r>
        <w:rPr/>
        <w:t>first</w:t>
      </w:r>
      <w:r>
        <w:rPr>
          <w:spacing w:val="-23"/>
        </w:rPr>
        <w:t> </w:t>
      </w:r>
      <w:r>
        <w:rPr/>
        <w:t>jurisdiction in</w:t>
      </w:r>
      <w:r>
        <w:rPr>
          <w:spacing w:val="-18"/>
        </w:rPr>
        <w:t> </w:t>
      </w:r>
      <w:r>
        <w:rPr/>
        <w:t>Australia</w:t>
      </w:r>
      <w:r>
        <w:rPr>
          <w:spacing w:val="-18"/>
        </w:rPr>
        <w:t> </w:t>
      </w:r>
      <w:r>
        <w:rPr/>
        <w:t>to</w:t>
      </w:r>
      <w:r>
        <w:rPr>
          <w:spacing w:val="-17"/>
        </w:rPr>
        <w:t> </w:t>
      </w:r>
      <w:r>
        <w:rPr/>
        <w:t>roll</w:t>
      </w:r>
      <w:r>
        <w:rPr>
          <w:spacing w:val="-18"/>
        </w:rPr>
        <w:t> </w:t>
      </w:r>
      <w:r>
        <w:rPr/>
        <w:t>out</w:t>
      </w:r>
      <w:r>
        <w:rPr>
          <w:spacing w:val="-17"/>
        </w:rPr>
        <w:t> </w:t>
      </w:r>
      <w:r>
        <w:rPr/>
        <w:t>this</w:t>
      </w:r>
      <w:r>
        <w:rPr>
          <w:spacing w:val="-18"/>
        </w:rPr>
        <w:t> </w:t>
      </w:r>
      <w:r>
        <w:rPr/>
        <w:t>initiative</w:t>
      </w:r>
      <w:r>
        <w:rPr>
          <w:spacing w:val="-17"/>
        </w:rPr>
        <w:t> </w:t>
      </w:r>
      <w:r>
        <w:rPr/>
        <w:t>in</w:t>
      </w:r>
      <w:r>
        <w:rPr>
          <w:spacing w:val="-18"/>
        </w:rPr>
        <w:t> </w:t>
      </w:r>
      <w:r>
        <w:rPr/>
        <w:t>support</w:t>
      </w:r>
      <w:r>
        <w:rPr>
          <w:spacing w:val="-18"/>
        </w:rPr>
        <w:t> </w:t>
      </w:r>
      <w:r>
        <w:rPr>
          <w:spacing w:val="-9"/>
        </w:rPr>
        <w:t>of </w:t>
      </w:r>
      <w:r>
        <w:rPr/>
        <w:t>subcontractors,</w:t>
      </w:r>
      <w:r>
        <w:rPr>
          <w:spacing w:val="-14"/>
        </w:rPr>
        <w:t> </w:t>
      </w:r>
      <w:r>
        <w:rPr/>
        <w:t>by</w:t>
      </w:r>
      <w:r>
        <w:rPr>
          <w:spacing w:val="-14"/>
        </w:rPr>
        <w:t> </w:t>
      </w:r>
      <w:r>
        <w:rPr/>
        <w:t>applying</w:t>
      </w:r>
      <w:r>
        <w:rPr>
          <w:spacing w:val="-13"/>
        </w:rPr>
        <w:t> </w:t>
      </w:r>
      <w:r>
        <w:rPr/>
        <w:t>it</w:t>
      </w:r>
      <w:r>
        <w:rPr>
          <w:spacing w:val="-14"/>
        </w:rPr>
        <w:t> </w:t>
      </w:r>
      <w:r>
        <w:rPr/>
        <w:t>to</w:t>
      </w:r>
      <w:r>
        <w:rPr>
          <w:spacing w:val="-13"/>
        </w:rPr>
        <w:t> </w:t>
      </w:r>
      <w:r>
        <w:rPr/>
        <w:t>all</w:t>
      </w:r>
      <w:r>
        <w:rPr>
          <w:spacing w:val="-14"/>
        </w:rPr>
        <w:t> </w:t>
      </w:r>
      <w:r>
        <w:rPr/>
        <w:t>applicable construction projects tendered</w:t>
      </w:r>
      <w:r>
        <w:rPr>
          <w:spacing w:val="-10"/>
        </w:rPr>
        <w:t> </w:t>
      </w:r>
      <w:r>
        <w:rPr/>
        <w:t>from</w:t>
      </w:r>
    </w:p>
    <w:p>
      <w:pPr>
        <w:pStyle w:val="BodyText"/>
        <w:spacing w:line="249" w:lineRule="auto" w:before="4"/>
        <w:ind w:left="765" w:right="386"/>
      </w:pPr>
      <w:r>
        <w:rPr/>
        <w:t>30</w:t>
      </w:r>
      <w:r>
        <w:rPr>
          <w:spacing w:val="-22"/>
        </w:rPr>
        <w:t> </w:t>
      </w:r>
      <w:r>
        <w:rPr/>
        <w:t>September</w:t>
      </w:r>
      <w:r>
        <w:rPr>
          <w:spacing w:val="-21"/>
        </w:rPr>
        <w:t> </w:t>
      </w:r>
      <w:r>
        <w:rPr/>
        <w:t>2016</w:t>
      </w:r>
      <w:r>
        <w:rPr>
          <w:spacing w:val="-21"/>
        </w:rPr>
        <w:t> </w:t>
      </w:r>
      <w:r>
        <w:rPr/>
        <w:t>by</w:t>
      </w:r>
      <w:r>
        <w:rPr>
          <w:spacing w:val="-21"/>
        </w:rPr>
        <w:t> </w:t>
      </w:r>
      <w:r>
        <w:rPr/>
        <w:t>Building</w:t>
      </w:r>
      <w:r>
        <w:rPr>
          <w:spacing w:val="-21"/>
        </w:rPr>
        <w:t> </w:t>
      </w:r>
      <w:r>
        <w:rPr/>
        <w:t>Management and</w:t>
      </w:r>
      <w:r>
        <w:rPr>
          <w:spacing w:val="-1"/>
        </w:rPr>
        <w:t> </w:t>
      </w:r>
      <w:r>
        <w:rPr/>
        <w:t>Works.</w:t>
      </w:r>
    </w:p>
    <w:p>
      <w:pPr>
        <w:pStyle w:val="BodyText"/>
        <w:spacing w:before="1"/>
        <w:rPr>
          <w:sz w:val="23"/>
        </w:rPr>
      </w:pPr>
    </w:p>
    <w:p>
      <w:pPr>
        <w:pStyle w:val="BodyText"/>
        <w:spacing w:line="249" w:lineRule="auto"/>
        <w:ind w:left="765" w:right="458"/>
      </w:pPr>
      <w:r>
        <w:rPr/>
        <w:t>The first contract to be awarded under the new project bank account arrangement </w:t>
      </w:r>
      <w:r>
        <w:rPr>
          <w:spacing w:val="-6"/>
        </w:rPr>
        <w:t>was</w:t>
      </w:r>
    </w:p>
    <w:p>
      <w:pPr>
        <w:pStyle w:val="BodyText"/>
        <w:spacing w:line="249" w:lineRule="auto" w:before="2"/>
        <w:ind w:left="765" w:right="-6"/>
      </w:pPr>
      <w:r>
        <w:rPr>
          <w:spacing w:val="-4"/>
        </w:rPr>
        <w:t>Rapid’s</w:t>
      </w:r>
      <w:r>
        <w:rPr>
          <w:spacing w:val="-27"/>
        </w:rPr>
        <w:t> </w:t>
      </w:r>
      <w:r>
        <w:rPr/>
        <w:t>Landing</w:t>
      </w:r>
      <w:r>
        <w:rPr>
          <w:spacing w:val="-27"/>
        </w:rPr>
        <w:t> </w:t>
      </w:r>
      <w:r>
        <w:rPr/>
        <w:t>Primary</w:t>
      </w:r>
      <w:r>
        <w:rPr>
          <w:spacing w:val="-27"/>
        </w:rPr>
        <w:t> </w:t>
      </w:r>
      <w:r>
        <w:rPr/>
        <w:t>School</w:t>
      </w:r>
      <w:r>
        <w:rPr>
          <w:spacing w:val="-27"/>
        </w:rPr>
        <w:t> </w:t>
      </w:r>
      <w:r>
        <w:rPr/>
        <w:t>in</w:t>
      </w:r>
      <w:r>
        <w:rPr>
          <w:spacing w:val="-27"/>
        </w:rPr>
        <w:t> </w:t>
      </w:r>
      <w:r>
        <w:rPr/>
        <w:t>Margaret</w:t>
      </w:r>
      <w:r>
        <w:rPr>
          <w:spacing w:val="-27"/>
        </w:rPr>
        <w:t> </w:t>
      </w:r>
      <w:r>
        <w:rPr>
          <w:spacing w:val="-8"/>
        </w:rPr>
        <w:t>River, </w:t>
      </w:r>
      <w:r>
        <w:rPr/>
        <w:t>and as of 30 June 2017, more than 20 projects have been awarded using this</w:t>
      </w:r>
      <w:r>
        <w:rPr>
          <w:spacing w:val="-42"/>
        </w:rPr>
        <w:t> </w:t>
      </w:r>
      <w:r>
        <w:rPr/>
        <w:t>mechanism.</w:t>
      </w:r>
    </w:p>
    <w:p>
      <w:pPr>
        <w:pStyle w:val="BodyText"/>
        <w:spacing w:line="249" w:lineRule="auto" w:before="2"/>
        <w:ind w:left="765" w:right="262"/>
      </w:pPr>
      <w:r>
        <w:rPr/>
        <w:t>Building</w:t>
      </w:r>
      <w:r>
        <w:rPr>
          <w:spacing w:val="-21"/>
        </w:rPr>
        <w:t> </w:t>
      </w:r>
      <w:r>
        <w:rPr/>
        <w:t>Management</w:t>
      </w:r>
      <w:r>
        <w:rPr>
          <w:spacing w:val="-20"/>
        </w:rPr>
        <w:t> </w:t>
      </w:r>
      <w:r>
        <w:rPr/>
        <w:t>and</w:t>
      </w:r>
      <w:r>
        <w:rPr>
          <w:spacing w:val="-21"/>
        </w:rPr>
        <w:t> </w:t>
      </w:r>
      <w:r>
        <w:rPr/>
        <w:t>Works</w:t>
      </w:r>
      <w:r>
        <w:rPr>
          <w:spacing w:val="-21"/>
        </w:rPr>
        <w:t> </w:t>
      </w:r>
      <w:r>
        <w:rPr/>
        <w:t>is</w:t>
      </w:r>
      <w:r>
        <w:rPr>
          <w:spacing w:val="-20"/>
        </w:rPr>
        <w:t> </w:t>
      </w:r>
      <w:r>
        <w:rPr/>
        <w:t>committed to continuing to collaborate with industry and other</w:t>
      </w:r>
      <w:r>
        <w:rPr>
          <w:spacing w:val="-21"/>
        </w:rPr>
        <w:t> </w:t>
      </w:r>
      <w:r>
        <w:rPr/>
        <w:t>stakeholders</w:t>
      </w:r>
      <w:r>
        <w:rPr>
          <w:spacing w:val="-20"/>
        </w:rPr>
        <w:t> </w:t>
      </w:r>
      <w:r>
        <w:rPr/>
        <w:t>to</w:t>
      </w:r>
      <w:r>
        <w:rPr>
          <w:spacing w:val="-21"/>
        </w:rPr>
        <w:t> </w:t>
      </w:r>
      <w:r>
        <w:rPr/>
        <w:t>further</w:t>
      </w:r>
      <w:r>
        <w:rPr>
          <w:spacing w:val="-20"/>
        </w:rPr>
        <w:t> </w:t>
      </w:r>
      <w:r>
        <w:rPr/>
        <w:t>simplify</w:t>
      </w:r>
      <w:r>
        <w:rPr>
          <w:spacing w:val="-21"/>
        </w:rPr>
        <w:t> </w:t>
      </w:r>
      <w:r>
        <w:rPr/>
        <w:t>the</w:t>
      </w:r>
      <w:r>
        <w:rPr>
          <w:spacing w:val="-20"/>
        </w:rPr>
        <w:t> </w:t>
      </w:r>
      <w:r>
        <w:rPr>
          <w:spacing w:val="-4"/>
        </w:rPr>
        <w:t>model </w:t>
      </w:r>
      <w:r>
        <w:rPr/>
        <w:t>with</w:t>
      </w:r>
      <w:r>
        <w:rPr>
          <w:spacing w:val="-10"/>
        </w:rPr>
        <w:t> </w:t>
      </w:r>
      <w:r>
        <w:rPr/>
        <w:t>an</w:t>
      </w:r>
      <w:r>
        <w:rPr>
          <w:spacing w:val="-10"/>
        </w:rPr>
        <w:t> </w:t>
      </w:r>
      <w:r>
        <w:rPr/>
        <w:t>aim</w:t>
      </w:r>
      <w:r>
        <w:rPr>
          <w:spacing w:val="-10"/>
        </w:rPr>
        <w:t> </w:t>
      </w:r>
      <w:r>
        <w:rPr/>
        <w:t>to</w:t>
      </w:r>
      <w:r>
        <w:rPr>
          <w:spacing w:val="-9"/>
        </w:rPr>
        <w:t> </w:t>
      </w:r>
      <w:r>
        <w:rPr/>
        <w:t>streamline</w:t>
      </w:r>
      <w:r>
        <w:rPr>
          <w:spacing w:val="-10"/>
        </w:rPr>
        <w:t> </w:t>
      </w:r>
      <w:r>
        <w:rPr/>
        <w:t>administration</w:t>
      </w:r>
      <w:r>
        <w:rPr>
          <w:spacing w:val="-10"/>
        </w:rPr>
        <w:t> </w:t>
      </w:r>
      <w:r>
        <w:rPr/>
        <w:t>of</w:t>
      </w:r>
    </w:p>
    <w:p>
      <w:pPr>
        <w:pStyle w:val="BodyText"/>
        <w:spacing w:before="4"/>
        <w:ind w:left="765"/>
      </w:pPr>
      <w:r>
        <w:rPr/>
        <w:t>the policy.</w:t>
      </w:r>
    </w:p>
    <w:p>
      <w:pPr>
        <w:pStyle w:val="BodyText"/>
        <w:spacing w:before="3"/>
        <w:rPr>
          <w:sz w:val="34"/>
        </w:rPr>
      </w:pPr>
      <w:r>
        <w:rPr/>
        <w:br w:type="column"/>
      </w:r>
      <w:r>
        <w:rPr>
          <w:sz w:val="34"/>
        </w:rPr>
      </w:r>
    </w:p>
    <w:p>
      <w:pPr>
        <w:spacing w:line="249" w:lineRule="auto" w:before="0"/>
        <w:ind w:left="488" w:right="929" w:firstLine="0"/>
        <w:jc w:val="left"/>
        <w:rPr>
          <w:sz w:val="22"/>
        </w:rPr>
      </w:pPr>
      <w:r>
        <w:rPr>
          <w:sz w:val="22"/>
        </w:rPr>
        <w:t>Facilitated</w:t>
      </w:r>
      <w:r>
        <w:rPr>
          <w:spacing w:val="-12"/>
          <w:sz w:val="22"/>
        </w:rPr>
        <w:t> </w:t>
      </w:r>
      <w:r>
        <w:rPr>
          <w:sz w:val="22"/>
        </w:rPr>
        <w:t>by</w:t>
      </w:r>
      <w:r>
        <w:rPr>
          <w:spacing w:val="-12"/>
          <w:sz w:val="22"/>
        </w:rPr>
        <w:t> </w:t>
      </w:r>
      <w:r>
        <w:rPr>
          <w:sz w:val="22"/>
        </w:rPr>
        <w:t>the</w:t>
      </w:r>
      <w:r>
        <w:rPr>
          <w:spacing w:val="-12"/>
          <w:sz w:val="22"/>
        </w:rPr>
        <w:t> </w:t>
      </w:r>
      <w:r>
        <w:rPr>
          <w:b/>
          <w:sz w:val="22"/>
        </w:rPr>
        <w:t>Public</w:t>
      </w:r>
      <w:r>
        <w:rPr>
          <w:b/>
          <w:spacing w:val="-11"/>
          <w:sz w:val="22"/>
        </w:rPr>
        <w:t> </w:t>
      </w:r>
      <w:r>
        <w:rPr>
          <w:b/>
          <w:sz w:val="22"/>
        </w:rPr>
        <w:t>Utilities</w:t>
      </w:r>
      <w:r>
        <w:rPr>
          <w:b/>
          <w:spacing w:val="-12"/>
          <w:sz w:val="22"/>
        </w:rPr>
        <w:t> </w:t>
      </w:r>
      <w:r>
        <w:rPr>
          <w:b/>
          <w:spacing w:val="-3"/>
          <w:sz w:val="22"/>
        </w:rPr>
        <w:t>Office</w:t>
      </w:r>
      <w:r>
        <w:rPr>
          <w:spacing w:val="-3"/>
          <w:sz w:val="22"/>
        </w:rPr>
        <w:t>, </w:t>
      </w:r>
      <w:r>
        <w:rPr>
          <w:sz w:val="22"/>
        </w:rPr>
        <w:t>the</w:t>
      </w:r>
      <w:r>
        <w:rPr>
          <w:spacing w:val="-22"/>
          <w:sz w:val="22"/>
        </w:rPr>
        <w:t> </w:t>
      </w:r>
      <w:r>
        <w:rPr>
          <w:sz w:val="22"/>
        </w:rPr>
        <w:t>State</w:t>
      </w:r>
      <w:r>
        <w:rPr>
          <w:spacing w:val="-21"/>
          <w:sz w:val="22"/>
        </w:rPr>
        <w:t> </w:t>
      </w:r>
      <w:r>
        <w:rPr>
          <w:sz w:val="22"/>
        </w:rPr>
        <w:t>Underground</w:t>
      </w:r>
      <w:r>
        <w:rPr>
          <w:spacing w:val="-21"/>
          <w:sz w:val="22"/>
        </w:rPr>
        <w:t> </w:t>
      </w:r>
      <w:r>
        <w:rPr>
          <w:sz w:val="22"/>
        </w:rPr>
        <w:t>Power</w:t>
      </w:r>
      <w:r>
        <w:rPr>
          <w:spacing w:val="-22"/>
          <w:sz w:val="22"/>
        </w:rPr>
        <w:t> </w:t>
      </w:r>
      <w:r>
        <w:rPr>
          <w:sz w:val="22"/>
        </w:rPr>
        <w:t>Program</w:t>
      </w:r>
      <w:r>
        <w:rPr>
          <w:spacing w:val="-21"/>
          <w:sz w:val="22"/>
        </w:rPr>
        <w:t> </w:t>
      </w:r>
      <w:r>
        <w:rPr>
          <w:spacing w:val="-9"/>
          <w:sz w:val="22"/>
        </w:rPr>
        <w:t>is</w:t>
      </w:r>
    </w:p>
    <w:p>
      <w:pPr>
        <w:pStyle w:val="BodyText"/>
        <w:spacing w:line="249" w:lineRule="auto" w:before="2"/>
        <w:ind w:left="488" w:right="34"/>
      </w:pPr>
      <w:r>
        <w:rPr/>
        <w:t>one of the </w:t>
      </w:r>
      <w:r>
        <w:rPr>
          <w:spacing w:val="-4"/>
        </w:rPr>
        <w:t>State’s </w:t>
      </w:r>
      <w:r>
        <w:rPr/>
        <w:t>most successful energy policy initiatives,</w:t>
      </w:r>
      <w:r>
        <w:rPr>
          <w:spacing w:val="-28"/>
        </w:rPr>
        <w:t> </w:t>
      </w:r>
      <w:r>
        <w:rPr/>
        <w:t>which</w:t>
      </w:r>
      <w:r>
        <w:rPr>
          <w:spacing w:val="-28"/>
        </w:rPr>
        <w:t> </w:t>
      </w:r>
      <w:r>
        <w:rPr/>
        <w:t>has</w:t>
      </w:r>
      <w:r>
        <w:rPr>
          <w:spacing w:val="-28"/>
        </w:rPr>
        <w:t> </w:t>
      </w:r>
      <w:r>
        <w:rPr/>
        <w:t>delivered</w:t>
      </w:r>
      <w:r>
        <w:rPr>
          <w:spacing w:val="-27"/>
        </w:rPr>
        <w:t> </w:t>
      </w:r>
      <w:r>
        <w:rPr/>
        <w:t>underground</w:t>
      </w:r>
      <w:r>
        <w:rPr>
          <w:spacing w:val="-28"/>
        </w:rPr>
        <w:t> </w:t>
      </w:r>
      <w:r>
        <w:rPr/>
        <w:t>power to</w:t>
      </w:r>
      <w:r>
        <w:rPr>
          <w:spacing w:val="-17"/>
        </w:rPr>
        <w:t> </w:t>
      </w:r>
      <w:r>
        <w:rPr/>
        <w:t>over</w:t>
      </w:r>
      <w:r>
        <w:rPr>
          <w:spacing w:val="-16"/>
        </w:rPr>
        <w:t> </w:t>
      </w:r>
      <w:r>
        <w:rPr/>
        <w:t>86,000</w:t>
      </w:r>
      <w:r>
        <w:rPr>
          <w:spacing w:val="-16"/>
        </w:rPr>
        <w:t> </w:t>
      </w:r>
      <w:r>
        <w:rPr/>
        <w:t>properties</w:t>
      </w:r>
      <w:r>
        <w:rPr>
          <w:spacing w:val="-17"/>
        </w:rPr>
        <w:t> </w:t>
      </w:r>
      <w:r>
        <w:rPr/>
        <w:t>since</w:t>
      </w:r>
      <w:r>
        <w:rPr>
          <w:spacing w:val="-16"/>
        </w:rPr>
        <w:t> </w:t>
      </w:r>
      <w:r>
        <w:rPr/>
        <w:t>its</w:t>
      </w:r>
      <w:r>
        <w:rPr>
          <w:spacing w:val="-16"/>
        </w:rPr>
        <w:t> </w:t>
      </w:r>
      <w:r>
        <w:rPr>
          <w:spacing w:val="-2"/>
        </w:rPr>
        <w:t>commencement </w:t>
      </w:r>
      <w:r>
        <w:rPr/>
        <w:t>in</w:t>
      </w:r>
      <w:r>
        <w:rPr>
          <w:spacing w:val="-16"/>
        </w:rPr>
        <w:t> </w:t>
      </w:r>
      <w:r>
        <w:rPr/>
        <w:t>1996.</w:t>
      </w:r>
      <w:r>
        <w:rPr>
          <w:spacing w:val="-16"/>
        </w:rPr>
        <w:t> </w:t>
      </w:r>
      <w:r>
        <w:rPr/>
        <w:t>The</w:t>
      </w:r>
      <w:r>
        <w:rPr>
          <w:spacing w:val="-16"/>
        </w:rPr>
        <w:t> </w:t>
      </w:r>
      <w:r>
        <w:rPr/>
        <w:t>program</w:t>
      </w:r>
      <w:r>
        <w:rPr>
          <w:spacing w:val="-15"/>
        </w:rPr>
        <w:t> </w:t>
      </w:r>
      <w:r>
        <w:rPr/>
        <w:t>is</w:t>
      </w:r>
      <w:r>
        <w:rPr>
          <w:spacing w:val="-16"/>
        </w:rPr>
        <w:t> </w:t>
      </w:r>
      <w:r>
        <w:rPr/>
        <w:t>a</w:t>
      </w:r>
      <w:r>
        <w:rPr>
          <w:spacing w:val="-16"/>
        </w:rPr>
        <w:t> </w:t>
      </w:r>
      <w:r>
        <w:rPr/>
        <w:t>partnership</w:t>
      </w:r>
      <w:r>
        <w:rPr>
          <w:spacing w:val="-15"/>
        </w:rPr>
        <w:t> </w:t>
      </w:r>
      <w:r>
        <w:rPr/>
        <w:t>between</w:t>
      </w:r>
      <w:r>
        <w:rPr>
          <w:spacing w:val="-16"/>
        </w:rPr>
        <w:t> </w:t>
      </w:r>
      <w:r>
        <w:rPr/>
        <w:t>the Western Australian Government, Western Power and</w:t>
      </w:r>
      <w:r>
        <w:rPr>
          <w:spacing w:val="-19"/>
        </w:rPr>
        <w:t> </w:t>
      </w:r>
      <w:r>
        <w:rPr/>
        <w:t>local</w:t>
      </w:r>
      <w:r>
        <w:rPr>
          <w:spacing w:val="-18"/>
        </w:rPr>
        <w:t> </w:t>
      </w:r>
      <w:r>
        <w:rPr/>
        <w:t>governments</w:t>
      </w:r>
      <w:r>
        <w:rPr>
          <w:spacing w:val="-19"/>
        </w:rPr>
        <w:t> </w:t>
      </w:r>
      <w:r>
        <w:rPr/>
        <w:t>to</w:t>
      </w:r>
      <w:r>
        <w:rPr>
          <w:spacing w:val="-18"/>
        </w:rPr>
        <w:t> </w:t>
      </w:r>
      <w:r>
        <w:rPr/>
        <w:t>replace</w:t>
      </w:r>
      <w:r>
        <w:rPr>
          <w:spacing w:val="-18"/>
        </w:rPr>
        <w:t> </w:t>
      </w:r>
      <w:r>
        <w:rPr/>
        <w:t>overhead</w:t>
      </w:r>
      <w:r>
        <w:rPr>
          <w:spacing w:val="-19"/>
        </w:rPr>
        <w:t> </w:t>
      </w:r>
      <w:r>
        <w:rPr/>
        <w:t>power lines</w:t>
      </w:r>
      <w:r>
        <w:rPr>
          <w:spacing w:val="-10"/>
        </w:rPr>
        <w:t> </w:t>
      </w:r>
      <w:r>
        <w:rPr/>
        <w:t>in</w:t>
      </w:r>
      <w:r>
        <w:rPr>
          <w:spacing w:val="-9"/>
        </w:rPr>
        <w:t> </w:t>
      </w:r>
      <w:r>
        <w:rPr/>
        <w:t>established</w:t>
      </w:r>
      <w:r>
        <w:rPr>
          <w:spacing w:val="-9"/>
        </w:rPr>
        <w:t> </w:t>
      </w:r>
      <w:r>
        <w:rPr/>
        <w:t>areas</w:t>
      </w:r>
      <w:r>
        <w:rPr>
          <w:spacing w:val="-9"/>
        </w:rPr>
        <w:t> </w:t>
      </w:r>
      <w:r>
        <w:rPr/>
        <w:t>with</w:t>
      </w:r>
      <w:r>
        <w:rPr>
          <w:spacing w:val="-9"/>
        </w:rPr>
        <w:t> </w:t>
      </w:r>
      <w:r>
        <w:rPr/>
        <w:t>underground</w:t>
      </w:r>
    </w:p>
    <w:p>
      <w:pPr>
        <w:pStyle w:val="BodyText"/>
        <w:spacing w:before="6"/>
        <w:ind w:left="488"/>
      </w:pPr>
      <w:r>
        <w:rPr/>
        <w:pict>
          <v:group style="position:absolute;margin-left:379.2052pt;margin-top:15.629886pt;width:462.7pt;height:385.7pt;mso-position-horizontal-relative:page;mso-position-vertical-relative:paragraph;z-index:-806848" coordorigin="7584,313" coordsize="9254,7714">
            <v:shape style="position:absolute;left:12043;top:1975;width:2495;height:3327" coordorigin="12044,1976" coordsize="2495,3327" path="m14539,3639l12875,3639,12044,4471,12875,5302,12875,3639,14539,3639,14539,3639xm12875,1976l12044,2807,12875,3639,12875,3639,12875,1976xe" filled="true" fillcolor="#aebd37" stroked="false">
              <v:path arrowok="t"/>
              <v:fill type="solid"/>
            </v:shape>
            <v:shape style="position:absolute;left:12875;top:312;width:3327;height:3327" coordorigin="12875,313" coordsize="3327,3327" path="m14539,313l12875,1976,12875,1976,14539,1976,14539,3639,14539,1976,16202,1976,16202,1976,14539,1976,13707,1144,14539,313xm15370,1144l14539,1976,16202,1976,15370,1144xe" filled="true" fillcolor="#6f2770" stroked="false">
              <v:path arrowok="t"/>
              <v:fill type="solid"/>
            </v:shape>
            <v:shape style="position:absolute;left:12875;top:5302;width:3327;height:1664" coordorigin="12875,5302" coordsize="3327,1664" path="m15370,6134l14539,6965,15370,6134,15370,6134xm14539,5302l12875,5302,13707,6134,14539,5302,16202,5302,14539,5302xm16202,5302l14539,5302,15370,6134,16202,5302xe" filled="true" fillcolor="#5d883c" stroked="false">
              <v:path arrowok="t"/>
              <v:fill type="solid"/>
            </v:shape>
            <v:shape style="position:absolute;left:14538;top:1975;width:2300;height:3327" coordorigin="14539,1976" coordsize="2300,3327" path="m16202,3639l14539,3639,14539,3639,16202,3639,16202,5302,16838,4666,16838,4275,16202,3639,16202,3639xm16202,1976l16202,3639,16202,3639,16838,3003,16838,2612,16202,1976xe" filled="true" fillcolor="#360e3f" stroked="false">
              <v:path arrowok="t"/>
              <v:fill type="solid"/>
            </v:shape>
            <v:shape style="position:absolute;left:12875;top:3639;width:1664;height:1664" coordorigin="12875,3639" coordsize="1664,1664" path="m14123,4055l12875,5302,12875,5302,14123,4055xm14539,3639l14123,4055,14539,3639,14539,3639xe" filled="true" fillcolor="#aebd37" stroked="false">
              <v:path arrowok="t"/>
              <v:fill type="solid"/>
            </v:shape>
            <v:shape style="position:absolute;left:12875;top:3639;width:1664;height:1664" coordorigin="12875,3639" coordsize="1664,1664" path="m14539,3639l12875,3639,12875,5302,14539,3639xm14539,3639l14539,3639,14539,3639,14539,3639xe" filled="true" fillcolor="#7aa142" stroked="false">
              <v:path arrowok="t"/>
              <v:fill type="solid"/>
            </v:shape>
            <v:shape style="position:absolute;left:12875;top:3639;width:1664;height:1664" coordorigin="12875,3639" coordsize="1664,1664" path="m14539,3639l12875,5302,14539,5302,14539,3639xe" filled="true" fillcolor="#41793d" stroked="false">
              <v:path arrowok="t"/>
              <v:fill type="solid"/>
            </v:shape>
            <v:shape style="position:absolute;left:12875;top:1975;width:1664;height:1664" coordorigin="12875,1976" coordsize="1664,1664" path="m12875,1976l14539,3639,12875,1976xe" filled="true" fillcolor="#6f2770" stroked="false">
              <v:path arrowok="t"/>
              <v:fill type="solid"/>
            </v:shape>
            <v:shape style="position:absolute;left:12875;top:1975;width:1664;height:1664" coordorigin="12875,1976" coordsize="1664,1664" path="m12875,1976l12875,3639,14539,3639,12875,1976xe" filled="true" fillcolor="#5b2e31" stroked="false">
              <v:path arrowok="t"/>
              <v:fill type="solid"/>
            </v:shape>
            <v:shape style="position:absolute;left:12875;top:1975;width:1664;height:1664" coordorigin="12875,1976" coordsize="1664,1664" path="m14539,1976l12875,1976,14539,3639,14539,1976xe" filled="true" fillcolor="#42285e" stroked="false">
              <v:path arrowok="t"/>
              <v:fill type="solid"/>
            </v:shape>
            <v:shape style="position:absolute;left:14538;top:3639;width:1664;height:1664" coordorigin="14539,3639" coordsize="1664,1664" path="m14539,3639l16202,5302,14539,3639xe" filled="true" fillcolor="#5d883c" stroked="false">
              <v:path arrowok="t"/>
              <v:fill type="solid"/>
            </v:shape>
            <v:shape style="position:absolute;left:14538;top:3639;width:1664;height:1664" coordorigin="14539,3639" coordsize="1664,1664" path="m14539,3639l14539,5302,16202,5302,14539,3639xe" filled="true" fillcolor="#226237" stroked="false">
              <v:path arrowok="t"/>
              <v:fill type="solid"/>
            </v:shape>
            <v:shape style="position:absolute;left:14538;top:3639;width:1664;height:1664" coordorigin="14539,3639" coordsize="1664,1664" path="m16202,3639l14539,3639,16202,5302,16202,3639xe" filled="true" fillcolor="#1e0f13" stroked="false">
              <v:path arrowok="t"/>
              <v:fill type="solid"/>
            </v:shape>
            <v:shape style="position:absolute;left:14538;top:1975;width:1664;height:1664" coordorigin="14539,1976" coordsize="1664,1664" path="m16202,1976l14539,3639,16202,1976xe" filled="true" fillcolor="#360e3f" stroked="false">
              <v:path arrowok="t"/>
              <v:fill type="solid"/>
            </v:shape>
            <v:shape style="position:absolute;left:14538;top:1975;width:1664;height:1664" coordorigin="14539,1976" coordsize="1664,1664" path="m16202,1976l14539,1976,14539,3639,16202,1976xe" filled="true" fillcolor="#200d34" stroked="false">
              <v:path arrowok="t"/>
              <v:fill type="solid"/>
            </v:shape>
            <v:shape style="position:absolute;left:14538;top:1975;width:1664;height:1664" coordorigin="14539,1976" coordsize="1664,1664" path="m16202,1976l14539,3639,16202,3639,16202,1976xe" filled="true" fillcolor="#050019" stroked="false">
              <v:path arrowok="t"/>
              <v:fill type="solid"/>
            </v:shape>
            <v:shape style="position:absolute;left:11212;top:2807;width:832;height:832" coordorigin="11212,2807" coordsize="832,832" path="m12044,2807l11212,3639,12044,2807xe" filled="true" fillcolor="#bbbcbb" stroked="false">
              <v:path arrowok="t"/>
              <v:fill type="solid"/>
            </v:shape>
            <v:shape style="position:absolute;left:11212;top:2807;width:1664;height:1664" coordorigin="11212,2807" coordsize="1664,1664" path="m12044,2807l11212,3639,12044,4471,12875,3639,12044,2807xe" filled="true" fillcolor="#89993e" stroked="false">
              <v:path arrowok="t"/>
              <v:fill type="solid"/>
            </v:shape>
            <v:shape style="position:absolute;left:13706;top:5302;width:1664;height:1664" coordorigin="13707,5302" coordsize="1664,1664" path="m14539,5302l13707,6134,14539,6965,15370,6134,14539,5302xe" filled="true" fillcolor="#4f743b" stroked="false">
              <v:path arrowok="t"/>
              <v:fill type="solid"/>
            </v:shape>
            <v:shape style="position:absolute;left:16201;top:3003;width:636;height:1272" coordorigin="16202,3003" coordsize="636,1272" path="m16838,3003l16202,3639,16838,4275,16838,3003xe" filled="true" fillcolor="#2f1038" stroked="false">
              <v:path arrowok="t"/>
              <v:fill type="solid"/>
            </v:shape>
            <v:shape style="position:absolute;left:13706;top:312;width:1664;height:1664" coordorigin="13707,313" coordsize="1664,1664" path="m14539,313l13707,1144,14539,1976,15370,1144,14539,313xe" filled="true" fillcolor="#602a63" stroked="false">
              <v:path arrowok="t"/>
              <v:fill type="solid"/>
            </v:shape>
            <v:shape style="position:absolute;left:11732;top:833;width:5106;height:5612" coordorigin="11733,833" coordsize="5106,5612" path="m14539,833l11733,3639,14539,6445,16838,4146,16838,3132,14539,833xe" filled="true" fillcolor="#ffffff" stroked="false">
              <v:path arrowok="t"/>
              <v:fill type="solid"/>
            </v:shape>
            <v:shape style="position:absolute;left:10628;top:3942;width:317;height:292" type="#_x0000_t75" stroked="false">
              <v:imagedata r:id="rId137" o:title=""/>
            </v:shape>
            <v:shape style="position:absolute;left:7599;top:4131;width:3347;height:3895" coordorigin="7599,4132" coordsize="3347,3895" path="m10946,7728l10430,8026,10455,8026,10946,7742,10946,7728m10946,7444l9938,8026,9963,8026,10946,7458,10946,7444m10946,7349l9774,8026,9799,8026,10946,7364,10946,7349m10946,7160l9446,8026,9471,8026,10946,7175,10946,7160m10946,6876l8955,8026,8980,8026,10946,6891,10946,6876m10946,6782l8791,8026,8816,8026,10946,6796,10946,6782m10946,6592l8463,8026,8488,8026,10946,6607,10946,6592m10946,6403l8259,7954,8269,7963,10946,6417,10946,6403m10946,6119l8079,7774,8089,7783,10946,6134,10946,6119m10946,5835l7899,7594,7909,7603,10946,5850,10946,5835m10946,5173l7976,6887,7942,6921,10946,5187,10946,5173m10946,5078l8200,6663,8166,6697,10946,5092,10946,5078m10946,4983l8424,6439,8390,6474,10946,4998,10946,4983m10946,4700l9096,5768,9061,5802,10946,4714,10946,4700m10946,4416l9767,5096,9733,5130,10946,4430,10946,4416m10946,7633l10266,8026,10291,8026,10946,7648,10946,7633m10946,7539l10102,8026,10127,8026,10946,7553,10946,7539m10946,7255l9610,8026,9635,8026,10946,7269,10946,7255m10946,7065l9282,8026,9307,8026,10946,7080,10946,7065m10946,6971l9118,8026,9143,8026,10946,6985,10946,6971m10946,6687l8627,8026,8652,8026,10946,6701,10946,6687m10946,6498l8319,8014,8329,8023,10946,6512,10946,6498m10946,6308l8199,7894,8209,7903,10946,6323,10946,6308m10946,6214l8139,7834,8149,7843,10946,6228,10946,6214m10946,6024l8019,7714,8029,7723,10946,6039,10946,6024m10946,5930l7959,7654,7969,7663,10946,5944,10946,5930m10946,5741l7839,7534,7849,7543,10946,5755,10946,5741m10946,5646l7779,7474,7789,7483,10946,5660,10946,5646m10946,5551l7719,7414,7729,7423,10946,5566,10946,5551m10946,5457l7659,7354,7669,7363,10946,5471,10946,5457m10946,5362l7599,7294,7609,7303,10946,5376,10946,5362m10946,5267l7752,7111,7718,7145,10946,5282,10946,5267m10946,4889l8648,6215,8614,6250,10946,4903,10946,4889m10946,4794l8872,5992,8838,6026,10946,4809,10946,4794m10946,4605l9319,5544,9285,5578,10946,4619,10946,4605m10946,4510l9543,5320,9509,5354,10946,4525,10946,4510m10946,4321l9991,4872,9957,4906,10946,4335,10946,4321m10946,4226l10215,4648,10181,4682,10946,4241,10946,4226m10946,4132l10439,4424,10405,4458,10946,4146,10946,4132e" filled="true" fillcolor="#cdcccd" stroked="false">
              <v:path arrowok="t"/>
              <v:fill opacity="32768f" type="solid"/>
            </v:shape>
            <v:shape style="position:absolute;left:10593;top:7822;width:352;height:204" type="#_x0000_t75" stroked="false">
              <v:imagedata r:id="rId138" o:title=""/>
            </v:shape>
            <v:shape style="position:absolute;left:10945;top:3955;width:42;height:28" coordorigin="10946,3955" coordsize="42,28" path="m10983,3955l10946,3977,10946,3983,10987,3959,10983,3955xe" filled="true" fillcolor="#cdcccd" stroked="false">
              <v:path arrowok="t"/>
              <v:fill opacity="32768f" type="solid"/>
            </v:shape>
            <v:shape style="position:absolute;left:10945;top:4015;width:342;height:441" type="#_x0000_t75" stroked="false">
              <v:imagedata r:id="rId139" o:title=""/>
            </v:shape>
            <v:shape style="position:absolute;left:10945;top:4315;width:3342;height:3711" coordorigin="10946,4315" coordsize="3342,3711" path="m11347,4319l11343,4315,10946,4545,10946,4551,11347,4319m11407,4379l11403,4375,10946,4639,10946,4645,11407,4379m11467,4439l11463,4435,10946,4734,10946,4740,11467,4439m11527,4499l11523,4495,10946,4829,10946,4834,11527,4499m11587,4559l11583,4555,10946,4923,10946,4929,11587,4559m11647,4619l11643,4615,10946,5018,10946,5024,11647,4619m11707,4679l11703,4675,10946,5113,10946,5118,11707,4679m11767,4739l11763,4735,10946,5207,10946,5213,11767,4739m11827,4799l11823,4795,10946,5302,10946,5308,11827,4799m11887,4859l11883,4855,10946,5397,10946,5402,11887,4859m11947,4919l11943,4915,10946,5491,10946,5497,11947,4919m12007,4979l12003,4975,10946,5586,10946,5592,12007,4979m12067,5039l12063,5035,10946,5680,10946,5686,12067,5039m12127,5099l12123,5095,10946,5775,10946,5781,12127,5099m12187,5159l12183,5155,10946,5870,10946,5875,12187,5159m12247,5219l12243,5215,10946,5964,10946,5970,12247,5219m12307,5279l12303,5275,10946,6059,10946,6065,12307,5279m12367,5339l12363,5335,10946,6154,10946,6159,12367,5339m12427,5399l12423,5395,10946,6248,10946,6254,12427,5399m12487,5459l12483,5455,10946,6343,10946,6349,12487,5459m12547,5519l12543,5515,10946,6438,10946,6443,12547,5519m12607,5579l12603,5575,10946,6532,10946,6538,12607,5579m12667,5639l12663,5635,10946,6627,10946,6633,12667,5639m12727,5699l12723,5695,10946,6721,10946,6727,12727,5699m12787,5759l12783,5755,10946,6816,10946,6822,12787,5759m12847,5819l12843,5815,10946,6911,10946,6917,12847,5819m12907,5879l12903,5875,10946,7005,10946,7011,12907,5879m12967,5939l12963,5935,10946,7100,10946,7106,12967,5939m13027,5999l13023,5995,10946,7195,10946,7200,13027,5999m13087,6059l13083,6055,10946,7289,10946,7295,13087,6059m13147,6119l13143,6115,10946,7384,10946,7390,13147,6119m13207,6179l13203,6175,10946,7479,10946,7484,13207,6179m13267,6239l13263,6235,10946,7573,10946,7579,13267,6239m13327,6299l13323,6295,10946,7668,10946,7674,13327,6299m13387,6359l13383,6355,10946,7763,10946,7768,13387,6359m13447,6419l13443,6415,10946,7857,10946,7863,13447,6419m13507,6479l13503,6475,10946,7952,10946,7958,13507,6479m13567,6539l13563,6535,10982,8026,10992,8026,13567,6539m13627,6599l13623,6595,11145,8026,11155,8026,13627,6599m13687,6659l13683,6655,11309,8026,11319,8026,13687,6659m13723,7862l13440,8026,13450,8026,13710,7876,13723,7862m13747,6719l13743,6715,11473,8026,11483,8026,13747,6719m13807,6779l13803,6775,11637,8026,11647,8026,13807,6779m13867,6839l13863,6835,11801,8026,11811,8026,13867,6839m13927,6899l13923,6895,11965,8026,11975,8026,13927,6899m13947,7638l13277,8026,13287,8026,13934,7652,13947,7638m13987,6959l13983,6955,12129,8026,12139,8026,13987,6959m14047,7019l14043,7015,12293,8026,12303,8026,14047,7019m14107,7079l14103,7075,12457,8026,12467,8026,14107,7079m14167,7139l14163,7135,12621,8026,12631,8026,14167,7139m14171,7415l13113,8026,13123,8026,14158,7428,14171,7415m14227,7199l14223,7195,12785,8026,12795,8026,14227,7199m14287,7259l14283,7255,12949,8026,12959,8026,14287,7259e" filled="true" fillcolor="#cdcccd" stroked="false">
              <v:path arrowok="t"/>
              <v:fill opacity="32768f" type="solid"/>
            </v:shape>
            <v:shape style="position:absolute;left:7584;top:4113;width:3162;height:2710" coordorigin="7584,4114" coordsize="3162,2710" path="m8487,5469l8036,5017,7584,5469,8036,5920,8487,5469m9390,6372l8939,5920,8487,6372,8939,6823,9390,6372m9390,5469l8939,5017,8487,5469,8939,5920,9390,5469m9390,4565l8939,4114,8487,4565,8939,5017,9390,4565m10745,5017l10294,4566,9842,5017,10294,5469,10745,5017e" filled="true" fillcolor="#ffffff" stroked="false">
              <v:path arrowok="t"/>
              <v:fill type="solid"/>
            </v:shape>
            <v:shape style="position:absolute;left:8487;top:4113;width:904;height:904" coordorigin="8487,4114" coordsize="904,904" path="m8939,4114l8487,4565,8939,5017,9390,4565,8939,4114xe" filled="true" fillcolor="#c4cd71" stroked="false">
              <v:path arrowok="t"/>
              <v:fill opacity="22937f" type="solid"/>
            </v:shape>
            <v:shape style="position:absolute;left:8487;top:5017;width:904;height:904" coordorigin="8487,5017" coordsize="904,904" path="m8939,5017l8487,5469,8939,5920,9390,5469,8939,5017xe" filled="true" fillcolor="#d8dad9" stroked="false">
              <v:path arrowok="t"/>
              <v:fill opacity="22937f" type="solid"/>
            </v:shape>
            <v:shape style="position:absolute;left:7584;top:5017;width:904;height:904" coordorigin="7584,5017" coordsize="904,904" path="m8036,5017l7584,5469,8036,5920,8487,5469,8036,5017xe" filled="true" fillcolor="#e8e9c9" stroked="false">
              <v:path arrowok="t"/>
              <v:fill opacity="22937f" type="solid"/>
            </v:shape>
            <v:shape style="position:absolute;left:9842;top:4565;width:904;height:904" coordorigin="9842,4566" coordsize="904,904" path="m10294,4566l9842,5017,10294,5469,10745,5017,10294,4566xe" filled="true" fillcolor="#360f41" stroked="false">
              <v:path arrowok="t"/>
              <v:fill opacity="22937f" type="solid"/>
            </v:shape>
            <v:shape style="position:absolute;left:8487;top:5920;width:904;height:904" coordorigin="8487,5920" coordsize="904,904" path="m8939,5920l8487,6372,8939,6823,9390,6372,8939,5920xe" filled="true" fillcolor="#96ac7a" stroked="false">
              <v:path arrowok="t"/>
              <v:fill opacity="16056f" type="solid"/>
            </v:shape>
            <w10:wrap type="none"/>
          </v:group>
        </w:pict>
      </w:r>
      <w:r>
        <w:rPr/>
        <w:t>power infrastructure.</w:t>
      </w:r>
    </w:p>
    <w:p>
      <w:pPr>
        <w:pStyle w:val="BodyText"/>
        <w:spacing w:before="10"/>
        <w:rPr>
          <w:sz w:val="23"/>
        </w:rPr>
      </w:pPr>
    </w:p>
    <w:p>
      <w:pPr>
        <w:pStyle w:val="BodyText"/>
        <w:spacing w:line="249" w:lineRule="auto" w:before="1"/>
        <w:ind w:left="488" w:right="251"/>
      </w:pPr>
      <w:r>
        <w:rPr/>
        <w:t>This </w:t>
      </w:r>
      <w:r>
        <w:rPr>
          <w:spacing w:val="-5"/>
        </w:rPr>
        <w:t>year, </w:t>
      </w:r>
      <w:r>
        <w:rPr/>
        <w:t>the Public Utilities Office ran an updated selection process for Round Six of the program.</w:t>
      </w:r>
      <w:r>
        <w:rPr>
          <w:spacing w:val="-25"/>
        </w:rPr>
        <w:t> </w:t>
      </w:r>
      <w:r>
        <w:rPr/>
        <w:t>The</w:t>
      </w:r>
      <w:r>
        <w:rPr>
          <w:spacing w:val="-25"/>
        </w:rPr>
        <w:t> </w:t>
      </w:r>
      <w:r>
        <w:rPr/>
        <w:t>new</w:t>
      </w:r>
      <w:r>
        <w:rPr>
          <w:spacing w:val="-24"/>
        </w:rPr>
        <w:t> </w:t>
      </w:r>
      <w:r>
        <w:rPr/>
        <w:t>selection</w:t>
      </w:r>
      <w:r>
        <w:rPr>
          <w:spacing w:val="-25"/>
        </w:rPr>
        <w:t> </w:t>
      </w:r>
      <w:r>
        <w:rPr/>
        <w:t>criteria</w:t>
      </w:r>
      <w:r>
        <w:rPr>
          <w:spacing w:val="-25"/>
        </w:rPr>
        <w:t> </w:t>
      </w:r>
      <w:r>
        <w:rPr/>
        <w:t>allowed</w:t>
      </w:r>
      <w:r>
        <w:rPr>
          <w:spacing w:val="-24"/>
        </w:rPr>
        <w:t> </w:t>
      </w:r>
      <w:r>
        <w:rPr>
          <w:spacing w:val="-4"/>
        </w:rPr>
        <w:t>local </w:t>
      </w:r>
      <w:r>
        <w:rPr/>
        <w:t>governments to offer to pay a larger share of project</w:t>
      </w:r>
      <w:r>
        <w:rPr>
          <w:spacing w:val="-11"/>
        </w:rPr>
        <w:t> </w:t>
      </w:r>
      <w:r>
        <w:rPr/>
        <w:t>costs</w:t>
      </w:r>
      <w:r>
        <w:rPr>
          <w:spacing w:val="-10"/>
        </w:rPr>
        <w:t> </w:t>
      </w:r>
      <w:r>
        <w:rPr/>
        <w:t>to</w:t>
      </w:r>
      <w:r>
        <w:rPr>
          <w:spacing w:val="-10"/>
        </w:rPr>
        <w:t> </w:t>
      </w:r>
      <w:r>
        <w:rPr/>
        <w:t>increase</w:t>
      </w:r>
      <w:r>
        <w:rPr>
          <w:spacing w:val="-11"/>
        </w:rPr>
        <w:t> </w:t>
      </w:r>
      <w:r>
        <w:rPr/>
        <w:t>the</w:t>
      </w:r>
      <w:r>
        <w:rPr>
          <w:spacing w:val="-10"/>
        </w:rPr>
        <w:t> </w:t>
      </w:r>
      <w:r>
        <w:rPr/>
        <w:t>competitiveness</w:t>
      </w:r>
    </w:p>
    <w:p>
      <w:pPr>
        <w:pStyle w:val="BodyText"/>
        <w:spacing w:line="249" w:lineRule="auto" w:before="4"/>
        <w:ind w:left="488" w:right="331"/>
      </w:pPr>
      <w:r>
        <w:rPr/>
        <w:t>of their proposals. This enabled a greater number</w:t>
      </w:r>
      <w:r>
        <w:rPr>
          <w:spacing w:val="-17"/>
        </w:rPr>
        <w:t> </w:t>
      </w:r>
      <w:r>
        <w:rPr/>
        <w:t>of</w:t>
      </w:r>
      <w:r>
        <w:rPr>
          <w:spacing w:val="-17"/>
        </w:rPr>
        <w:t> </w:t>
      </w:r>
      <w:r>
        <w:rPr/>
        <w:t>underground</w:t>
      </w:r>
      <w:r>
        <w:rPr>
          <w:spacing w:val="-16"/>
        </w:rPr>
        <w:t> </w:t>
      </w:r>
      <w:r>
        <w:rPr/>
        <w:t>projects</w:t>
      </w:r>
      <w:r>
        <w:rPr>
          <w:spacing w:val="-17"/>
        </w:rPr>
        <w:t> </w:t>
      </w:r>
      <w:r>
        <w:rPr/>
        <w:t>to</w:t>
      </w:r>
      <w:r>
        <w:rPr>
          <w:spacing w:val="-17"/>
        </w:rPr>
        <w:t> </w:t>
      </w:r>
      <w:r>
        <w:rPr/>
        <w:t>be</w:t>
      </w:r>
      <w:r>
        <w:rPr>
          <w:spacing w:val="-16"/>
        </w:rPr>
        <w:t> </w:t>
      </w:r>
      <w:r>
        <w:rPr>
          <w:spacing w:val="-3"/>
        </w:rPr>
        <w:t>delivered </w:t>
      </w:r>
      <w:r>
        <w:rPr/>
        <w:t>within</w:t>
      </w:r>
      <w:r>
        <w:rPr>
          <w:spacing w:val="-21"/>
        </w:rPr>
        <w:t> </w:t>
      </w:r>
      <w:r>
        <w:rPr/>
        <w:t>the</w:t>
      </w:r>
      <w:r>
        <w:rPr>
          <w:spacing w:val="-21"/>
        </w:rPr>
        <w:t> </w:t>
      </w:r>
      <w:r>
        <w:rPr/>
        <w:t>State</w:t>
      </w:r>
      <w:r>
        <w:rPr>
          <w:spacing w:val="-21"/>
        </w:rPr>
        <w:t> </w:t>
      </w:r>
      <w:r>
        <w:rPr/>
        <w:t>Government’s</w:t>
      </w:r>
      <w:r>
        <w:rPr>
          <w:spacing w:val="-21"/>
        </w:rPr>
        <w:t> </w:t>
      </w:r>
      <w:r>
        <w:rPr/>
        <w:t>program</w:t>
      </w:r>
      <w:r>
        <w:rPr>
          <w:spacing w:val="-21"/>
        </w:rPr>
        <w:t> </w:t>
      </w:r>
      <w:r>
        <w:rPr/>
        <w:t>budget.</w:t>
      </w:r>
    </w:p>
    <w:p>
      <w:pPr>
        <w:pStyle w:val="BodyText"/>
        <w:spacing w:line="249" w:lineRule="auto" w:before="3"/>
        <w:ind w:left="488" w:right="126"/>
      </w:pPr>
      <w:r>
        <w:rPr/>
        <w:t>On</w:t>
      </w:r>
      <w:r>
        <w:rPr>
          <w:spacing w:val="-22"/>
        </w:rPr>
        <w:t> </w:t>
      </w:r>
      <w:r>
        <w:rPr/>
        <w:t>27</w:t>
      </w:r>
      <w:r>
        <w:rPr>
          <w:spacing w:val="-22"/>
        </w:rPr>
        <w:t> </w:t>
      </w:r>
      <w:r>
        <w:rPr/>
        <w:t>January</w:t>
      </w:r>
      <w:r>
        <w:rPr>
          <w:spacing w:val="-21"/>
        </w:rPr>
        <w:t> </w:t>
      </w:r>
      <w:r>
        <w:rPr/>
        <w:t>2017,</w:t>
      </w:r>
      <w:r>
        <w:rPr>
          <w:spacing w:val="-22"/>
        </w:rPr>
        <w:t> </w:t>
      </w:r>
      <w:r>
        <w:rPr/>
        <w:t>the</w:t>
      </w:r>
      <w:r>
        <w:rPr>
          <w:spacing w:val="-21"/>
        </w:rPr>
        <w:t> </w:t>
      </w:r>
      <w:r>
        <w:rPr/>
        <w:t>Government</w:t>
      </w:r>
      <w:r>
        <w:rPr>
          <w:spacing w:val="-22"/>
        </w:rPr>
        <w:t> </w:t>
      </w:r>
      <w:r>
        <w:rPr/>
        <w:t>announced the</w:t>
      </w:r>
      <w:r>
        <w:rPr>
          <w:spacing w:val="-13"/>
        </w:rPr>
        <w:t> </w:t>
      </w:r>
      <w:r>
        <w:rPr/>
        <w:t>17</w:t>
      </w:r>
      <w:r>
        <w:rPr>
          <w:spacing w:val="-12"/>
        </w:rPr>
        <w:t> </w:t>
      </w:r>
      <w:r>
        <w:rPr/>
        <w:t>successful</w:t>
      </w:r>
      <w:r>
        <w:rPr>
          <w:spacing w:val="-12"/>
        </w:rPr>
        <w:t> </w:t>
      </w:r>
      <w:r>
        <w:rPr/>
        <w:t>residential</w:t>
      </w:r>
      <w:r>
        <w:rPr>
          <w:spacing w:val="-13"/>
        </w:rPr>
        <w:t> </w:t>
      </w:r>
      <w:r>
        <w:rPr/>
        <w:t>projects</w:t>
      </w:r>
      <w:r>
        <w:rPr>
          <w:spacing w:val="-12"/>
        </w:rPr>
        <w:t> </w:t>
      </w:r>
      <w:r>
        <w:rPr/>
        <w:t>selected</w:t>
      </w:r>
    </w:p>
    <w:p>
      <w:pPr>
        <w:pStyle w:val="BodyText"/>
        <w:spacing w:line="249" w:lineRule="auto" w:before="2"/>
        <w:ind w:left="488" w:right="34"/>
      </w:pPr>
      <w:r>
        <w:rPr>
          <w:w w:val="102"/>
        </w:rPr>
        <w:t>to</w:t>
      </w:r>
      <w:r>
        <w:rPr/>
        <w:t> </w:t>
      </w:r>
      <w:r>
        <w:rPr>
          <w:w w:val="94"/>
        </w:rPr>
        <w:t>r</w:t>
      </w:r>
      <w:r>
        <w:rPr>
          <w:w w:val="94"/>
        </w:rPr>
        <w:t>eceive</w:t>
      </w:r>
      <w:r>
        <w:rPr/>
        <w:t> </w:t>
      </w:r>
      <w:r>
        <w:rPr>
          <w:w w:val="97"/>
        </w:rPr>
        <w:t>funding</w:t>
      </w:r>
      <w:r>
        <w:rPr>
          <w:w w:val="99"/>
          <w:position w:val="8"/>
          <w:sz w:val="10"/>
        </w:rPr>
        <w:t>8</w:t>
      </w:r>
      <w:r>
        <w:rPr>
          <w:w w:val="100"/>
        </w:rPr>
        <w:t>,</w:t>
      </w:r>
      <w:r>
        <w:rPr/>
        <w:t> </w:t>
      </w:r>
      <w:r>
        <w:rPr>
          <w:w w:val="93"/>
        </w:rPr>
        <w:t>a</w:t>
      </w:r>
      <w:r>
        <w:rPr/>
        <w:t> </w:t>
      </w:r>
      <w:r>
        <w:rPr>
          <w:w w:val="94"/>
        </w:rPr>
        <w:t>r</w:t>
      </w:r>
      <w:r>
        <w:rPr>
          <w:w w:val="98"/>
        </w:rPr>
        <w:t>ecor</w:t>
      </w:r>
      <w:r>
        <w:rPr>
          <w:w w:val="103"/>
        </w:rPr>
        <w:t>d</w:t>
      </w:r>
      <w:r>
        <w:rPr/>
        <w:t> </w:t>
      </w:r>
      <w:r>
        <w:rPr>
          <w:w w:val="97"/>
        </w:rPr>
        <w:t>number</w:t>
      </w:r>
      <w:r>
        <w:rPr/>
        <w:t> </w:t>
      </w:r>
      <w:r>
        <w:rPr>
          <w:w w:val="96"/>
        </w:rPr>
        <w:t>for</w:t>
      </w:r>
      <w:r>
        <w:rPr/>
        <w:t> </w:t>
      </w:r>
      <w:r>
        <w:rPr>
          <w:w w:val="96"/>
        </w:rPr>
        <w:t>this </w:t>
      </w:r>
      <w:r>
        <w:rPr/>
        <w:t>initiative.</w:t>
      </w:r>
    </w:p>
    <w:p>
      <w:pPr>
        <w:pStyle w:val="BodyText"/>
        <w:spacing w:before="3"/>
      </w:pPr>
      <w:r>
        <w:rPr/>
        <w:br w:type="column"/>
      </w:r>
      <w:r>
        <w:rPr/>
      </w:r>
    </w:p>
    <w:p>
      <w:pPr>
        <w:spacing w:line="208" w:lineRule="auto" w:before="0"/>
        <w:ind w:left="765" w:right="672" w:firstLine="0"/>
        <w:jc w:val="center"/>
        <w:rPr>
          <w:sz w:val="16"/>
        </w:rPr>
      </w:pPr>
      <w:r>
        <w:rPr/>
        <w:pict>
          <v:shape style="position:absolute;margin-left:592.920471pt;margin-top:46.081291pt;width:45.2pt;height:45.2pt;mso-position-horizontal-relative:page;mso-position-vertical-relative:paragraph;z-index:6832" coordorigin="11858,922" coordsize="904,904" path="m12310,922l11858,1373,12310,1825,12762,1373,12310,922xe" filled="true" fillcolor="#96ac7a" stroked="false">
            <v:path arrowok="t"/>
            <v:fill opacity="32768f" type="solid"/>
            <w10:wrap type="none"/>
          </v:shape>
        </w:pict>
      </w:r>
      <w:r>
        <w:rPr/>
        <w:pict>
          <v:shape style="position:absolute;margin-left:601.348999pt;margin-top:-68.580612pt;width:120.3pt;height:42.55pt;mso-position-horizontal-relative:page;mso-position-vertical-relative:paragraph;z-index:6856" type="#_x0000_t202" filled="false" stroked="false">
            <v:textbox inset="0,0,0,0">
              <w:txbxContent>
                <w:p>
                  <w:pPr>
                    <w:pStyle w:val="BodyText"/>
                    <w:spacing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360.811798pt;margin-top:-68.580612pt;width:120.3pt;height:42.55pt;mso-position-horizontal-relative:page;mso-position-vertical-relative:paragraph;z-index:6880"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3" w:equalWidth="0">
            <w:col w:w="5481" w:space="40"/>
            <w:col w:w="5348" w:space="3951"/>
            <w:col w:w="2020"/>
          </w:cols>
        </w:sectPr>
      </w:pPr>
    </w:p>
    <w:p>
      <w:pPr>
        <w:pStyle w:val="BodyText"/>
        <w:rPr>
          <w:sz w:val="20"/>
        </w:rPr>
      </w:pPr>
      <w:r>
        <w:rPr/>
        <w:pict>
          <v:group style="position:absolute;margin-left:481.080994pt;margin-top:.000001pt;width:360.85pt;height:104.75pt;mso-position-horizontal-relative:page;mso-position-vertical-relative:page;z-index:-806824" coordorigin="9622,0" coordsize="7217,2095">
            <v:shape style="position:absolute;left:14419;top:0;width:1455;height:1745" coordorigin="14419,0" coordsize="1455,1745" path="m15219,0l15194,0,14935,149,14901,184,15219,0m15356,0l15331,0,14748,336,14714,370,15356,0m15492,0l15467,0,14562,523,14527,557,15492,0m15629,0l15604,0,14419,684,14428,693,15629,0m15766,0l15741,0,14469,734,14478,743,15766,0m15874,1502l15470,1735,15479,1744,15874,1516,15874,1502m15874,1423l15420,1685,15429,1694,15874,1437,15874,1423m15874,1344l15370,1635,15379,1644,15874,1358,15874,1344m15874,1265l15320,1585,15329,1594,15874,1279,15874,1265m15874,1186l15270,1535,15279,1544,15874,1200,15874,1186m15874,1107l15220,1485,15229,1494,15874,1121,15874,1107m15874,1028l15170,1435,15179,1444,15874,1042,15874,1028m15874,949l15120,1385,15129,1394,15874,964,15874,949m15874,870l15070,1335,15079,1344,15874,885,15874,870m15874,791l15020,1285,15029,1294,15874,806,15874,791m15874,633l14920,1184,14929,1194,15874,648,15874,633m15874,554l14870,1134,14879,1144,15874,569,15874,554m15874,476l14819,1084,14829,1094,15874,490,15874,476m15874,397l14769,1034,14779,1043,15874,411,15874,397m15874,318l14719,984,14729,993,15874,332,15874,318m15874,239l14669,934,14679,943,15874,253,15874,239m15874,160l14619,884,14628,893,15874,174,15874,160m15874,2l14519,784,14528,793,15874,16,15874,2m15874,712l14970,1235,14979,1244,15874,727,15874,712m15874,81l14569,834,14578,843,15874,95,15874,81e" filled="true" fillcolor="#cdcccd" stroked="false">
              <v:path arrowok="t"/>
              <v:fill type="solid"/>
            </v:shape>
            <v:shape style="position:absolute;left:15520;top:1580;width:354;height:514" type="#_x0000_t75" stroked="false">
              <v:imagedata r:id="rId42" o:title=""/>
            </v:shape>
            <v:shape style="position:absolute;left:15874;top:0;width:338;height:196" type="#_x0000_t75" stroked="false">
              <v:imagedata r:id="rId20" o:title=""/>
            </v:shape>
            <v:shape style="position:absolute;left:15874;top:0;width:964;height:1932" coordorigin="15874,0" coordsize="964,1932" path="m16349,0l16339,0,15874,268,15874,274,16349,0m16378,1635l15874,1926,15874,1932,16365,1648,16378,1635m16486,0l16476,0,15874,347,15874,353,16486,0m16565,1448l15874,1847,15874,1853,16551,1462,16565,1448m16622,0l16612,0,15874,426,15874,432,16622,0m16699,35l16695,31,15874,505,15874,511,16699,35m16749,85l16745,81,15874,584,15874,590,16749,85m16752,1261l15874,1768,15874,1774,16738,1275,16752,1261m16799,135l16795,131,15874,663,15874,669,16799,135m16838,1133l15874,1689,15874,1695,16838,1138,16838,1133m16838,1054l15874,1610,15874,1616,16838,1060,16838,1054m16838,975l15874,1531,15874,1537,16838,981,16838,975m16838,896l15874,1452,15874,1458,16838,902,16838,896m16838,817l15874,1373,15874,1379,16838,823,16838,817m16838,738l15874,1294,15874,1300,16838,744,16838,738m16838,659l15874,1215,15874,1221,16838,665,16838,659m16838,580l15874,1137,15874,1142,16838,586,16838,580m16838,501l15874,1058,15874,1063,16838,507,16838,501m16838,422l15874,979,15874,984,16838,428,16838,422m16838,343l15874,900,15874,906,16838,349,16838,343m16838,264l15874,821,15874,827,16838,270,16838,264m16838,186l15874,742,15874,748,16838,191,16838,186e" filled="true" fillcolor="#cdcccd" stroked="false">
              <v:path arrowok="t"/>
              <v:fill type="solid"/>
            </v:shape>
            <v:shape style="position:absolute;left:15874;top:1821;width:318;height:269" type="#_x0000_t75" stroked="false">
              <v:imagedata r:id="rId140" o:title=""/>
            </v:shape>
            <v:shape style="position:absolute;left:14419;top:0;width:1455;height:1745" coordorigin="14419,0" coordsize="1455,1745" path="m15219,0l15194,0,14935,149,14901,184,15219,0m15356,0l15331,0,14748,336,14714,370,15356,0m15492,0l15467,0,14562,523,14527,557,15492,0m15629,0l15604,0,14419,684,14428,693,15629,0m15766,0l15741,0,14469,734,14478,743,15766,0m15874,1502l15470,1735,15479,1744,15874,1516,15874,1502m15874,1423l15420,1685,15429,1694,15874,1437,15874,1423m15874,1344l15370,1635,15379,1644,15874,1358,15874,1344m15874,1265l15320,1585,15329,1594,15874,1279,15874,1265m15874,1186l15270,1535,15279,1544,15874,1200,15874,1186m15874,1107l15220,1485,15229,1494,15874,1121,15874,1107m15874,1028l15170,1435,15179,1444,15874,1042,15874,1028m15874,949l15120,1385,15129,1394,15874,964,15874,949m15874,870l15070,1335,15079,1344,15874,885,15874,870m15874,791l15020,1285,15029,1294,15874,806,15874,791m15874,633l14920,1184,14929,1194,15874,648,15874,633m15874,554l14870,1134,14879,1144,15874,569,15874,554m15874,476l14819,1084,14829,1094,15874,490,15874,476m15874,397l14769,1034,14779,1043,15874,411,15874,397m15874,318l14719,984,14729,993,15874,332,15874,318m15874,239l14669,934,14679,943,15874,253,15874,239m15874,160l14619,884,14628,893,15874,174,15874,160m15874,2l14519,784,14528,793,15874,16,15874,2m15874,712l14970,1235,14979,1244,15874,727,15874,712m15874,81l14569,834,14578,843,15874,95,15874,81e" filled="true" fillcolor="#cdcccd" stroked="false">
              <v:path arrowok="t"/>
              <v:fill type="solid"/>
            </v:shape>
            <v:shape style="position:absolute;left:15520;top:1580;width:354;height:514" type="#_x0000_t75" stroked="false">
              <v:imagedata r:id="rId42" o:title=""/>
            </v:shape>
            <v:shape style="position:absolute;left:15874;top:0;width:338;height:196" type="#_x0000_t75" stroked="false">
              <v:imagedata r:id="rId20" o:title=""/>
            </v:shape>
            <v:shape style="position:absolute;left:15874;top:0;width:964;height:1932" coordorigin="15874,0" coordsize="964,1932" path="m16349,0l16339,0,15874,268,15874,274,16349,0m16378,1635l15874,1926,15874,1932,16365,1648,16378,1635m16486,0l16476,0,15874,347,15874,353,16486,0m16565,1448l15874,1847,15874,1853,16551,1462,16565,1448m16622,0l16612,0,15874,426,15874,432,16622,0m16699,35l16695,31,15874,505,15874,511,16699,35m16749,85l16745,81,15874,584,15874,590,16749,85m16752,1261l15874,1768,15874,1774,16738,1275,16752,1261m16799,135l16795,131,15874,663,15874,669,16799,135m16838,1133l15874,1689,15874,1695,16838,1138,16838,1133m16838,1054l15874,1610,15874,1616,16838,1060,16838,1054m16838,975l15874,1531,15874,1537,16838,981,16838,975m16838,896l15874,1452,15874,1458,16838,902,16838,896m16838,817l15874,1373,15874,1379,16838,823,16838,817m16838,738l15874,1294,15874,1300,16838,744,16838,738m16838,659l15874,1215,15874,1221,16838,665,16838,659m16838,580l15874,1137,15874,1142,16838,586,16838,580m16838,501l15874,1058,15874,1063,16838,507,16838,501m16838,422l15874,979,15874,984,16838,428,16838,422m16838,343l15874,900,15874,906,16838,349,16838,343m16838,264l15874,821,15874,827,16838,270,16838,264m16838,186l15874,742,15874,748,16838,191,16838,186e" filled="true" fillcolor="#cdcccd" stroked="false">
              <v:path arrowok="t"/>
              <v:fill type="solid"/>
            </v:shape>
            <v:shape style="position:absolute;left:15874;top:1821;width:318;height:269" type="#_x0000_t75" stroked="false">
              <v:imagedata r:id="rId140" o:title=""/>
            </v:shape>
            <v:shape style="position:absolute;left:13664;top:377;width:904;height:904" coordorigin="13665,377" coordsize="904,904" path="m14116,377l13665,829,14116,1280,14568,829,14116,377xe" filled="true" fillcolor="#ffffff" stroked="false">
              <v:path arrowok="t"/>
              <v:fill type="solid"/>
            </v:shape>
            <v:shape style="position:absolute;left:13213;top:828;width:904;height:904" coordorigin="13213,829" coordsize="904,904" path="m14116,1280l13665,829,13213,1280,13665,1732,14116,1280e" filled="true" fillcolor="#e8e9c9" stroked="false">
              <v:path arrowok="t"/>
              <v:fill type="solid"/>
            </v:shape>
            <v:shape style="position:absolute;left:13664;top:377;width:904;height:904" coordorigin="13665,377" coordsize="904,904" path="m14116,377l13665,829,14116,1280,14568,829,14116,377xe" filled="true" fillcolor="#efeeeb" stroked="false">
              <v:path arrowok="t"/>
              <v:fill type="solid"/>
            </v:shape>
            <v:shape style="position:absolute;left:13213;top:377;width:445;height:445" coordorigin="13213,377" coordsize="445,445" path="m13605,769l13605,769,13658,822,13658,822,13605,769xm13543,707l13543,707,13596,760,13596,760,13543,707xm13482,645l13482,645,13534,698,13534,698,13482,645xm13420,584l13420,584,13472,636,13472,636,13420,584xm13358,522l13358,522,13411,575,13411,575,13358,522xm13296,460l13296,460,13349,513,13349,513,13296,460xm13234,398l13234,398,13287,451,13234,398xm13213,377l13225,389,13225,389,13213,377xe" filled="true" fillcolor="#c0aac2" stroked="false">
              <v:path arrowok="t"/>
              <v:fill type="solid"/>
            </v:shape>
            <v:shape style="position:absolute;left:13225;top:389;width:440;height:440" coordorigin="13225,389" coordsize="440,440" path="m13234,398l13225,389,13225,389,13234,398,13234,398m13358,522l13349,513,13349,513,13358,522,13358,522m13420,584l13411,574,13411,575,13420,584m13482,645l13472,636,13472,636,13482,645,13482,645m13543,707l13534,698,13534,698,13543,707,13543,707m13605,769l13596,760,13596,760,13605,769m13665,829l13658,822,13658,822,13665,829m13665,829l13665,829,13665,829,13665,829e" filled="true" fillcolor="#ae98af" stroked="false">
              <v:path arrowok="t"/>
              <v:fill type="solid"/>
            </v:shape>
            <v:shape style="position:absolute;left:11858;top:377;width:904;height:904" coordorigin="11858,377" coordsize="904,904" path="m12310,377l11858,829,12310,1280,12762,829,12310,377xe" filled="true" fillcolor="#efeeeb" stroked="false">
              <v:path arrowok="t"/>
              <v:fill type="solid"/>
            </v:shape>
            <v:shape style="position:absolute;left:12761;top:377;width:904;height:904" coordorigin="12762,377" coordsize="904,904" path="m13213,377l12762,829,13213,1280,13665,829,13213,377xe" filled="true" fillcolor="#c0aac2" stroked="false">
              <v:path arrowok="t"/>
              <v:fill type="solid"/>
            </v:shape>
            <v:shape style="position:absolute;left:13213;top:828;width:452;height:452" coordorigin="13213,829" coordsize="452,452" path="m13665,829l13213,1280,13665,829xe" filled="true" fillcolor="#bea7be" stroked="false">
              <v:path arrowok="t"/>
              <v:fill type="solid"/>
            </v:shape>
            <v:shape style="position:absolute;left:15424;top:1075;width:900;height:904" coordorigin="15424,1076" coordsize="900,904" path="m15874,1076l15424,1526,15424,1529,15874,1979,16324,1529,16324,1526,15874,1076xe" filled="true" fillcolor="#c4cd71" stroked="false">
              <v:path arrowok="t"/>
              <v:fill type="solid"/>
            </v:shape>
            <v:rect style="position:absolute;left:9621;top:0;width:2406;height:851" filled="true" fillcolor="#bec85c" stroked="false">
              <v:fill type="solid"/>
            </v:rect>
            <v:rect style="position:absolute;left:12026;top:0;width:2406;height:851" filled="true" fillcolor="#b6c247" stroked="false">
              <v:fill type="solid"/>
            </v:rect>
            <v:rect style="position:absolute;left:14432;top:0;width:2406;height:851" filled="true" fillcolor="#aebd37" stroked="false">
              <v:fill type="solid"/>
            </v:rect>
            <v:shape style="position:absolute;left:15263;top:1366;width:161;height:322" type="#_x0000_t75" stroked="false">
              <v:imagedata r:id="rId16" o:title=""/>
            </v:shape>
            <v:shape style="position:absolute;left:16324;top:1366;width:161;height:322" type="#_x0000_t75" stroked="false">
              <v:imagedata r:id="rId11"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spacing w:before="105"/>
        <w:ind w:left="765" w:right="0" w:firstLine="0"/>
        <w:jc w:val="left"/>
        <w:rPr>
          <w:sz w:val="16"/>
        </w:rPr>
      </w:pPr>
      <w:r>
        <w:rPr>
          <w:color w:val="939598"/>
          <w:position w:val="4"/>
          <w:sz w:val="10"/>
        </w:rPr>
        <w:t>7 </w:t>
      </w:r>
      <w:r>
        <w:rPr>
          <w:color w:val="939598"/>
          <w:sz w:val="16"/>
        </w:rPr>
        <w:t>Ministerial Media Statement, 12 August 2016 ‘</w:t>
      </w:r>
      <w:hyperlink r:id="rId38">
        <w:r>
          <w:rPr>
            <w:color w:val="A7BE39"/>
            <w:sz w:val="16"/>
            <w:u w:val="single" w:color="A7BE39"/>
          </w:rPr>
          <w:t>Greater protection measures for subcontractors</w:t>
        </w:r>
      </w:hyperlink>
      <w:r>
        <w:rPr>
          <w:color w:val="939598"/>
          <w:sz w:val="16"/>
        </w:rPr>
        <w:t>’</w:t>
      </w:r>
    </w:p>
    <w:p>
      <w:pPr>
        <w:spacing w:before="8"/>
        <w:ind w:left="765" w:right="0" w:firstLine="0"/>
        <w:jc w:val="left"/>
        <w:rPr>
          <w:sz w:val="16"/>
        </w:rPr>
      </w:pPr>
      <w:r>
        <w:rPr>
          <w:color w:val="939598"/>
          <w:position w:val="4"/>
          <w:sz w:val="10"/>
        </w:rPr>
        <w:t>8 </w:t>
      </w:r>
      <w:r>
        <w:rPr>
          <w:color w:val="939598"/>
          <w:sz w:val="16"/>
        </w:rPr>
        <w:t>Ministerial Media Statement, 27 January 2017 ‘</w:t>
      </w:r>
      <w:hyperlink r:id="rId141">
        <w:r>
          <w:rPr>
            <w:color w:val="A7BE39"/>
            <w:sz w:val="16"/>
            <w:u w:val="single" w:color="A7BE39"/>
          </w:rPr>
          <w:t>Underground power for record 17 Perth projects</w:t>
        </w:r>
      </w:hyperlink>
      <w:r>
        <w:rPr>
          <w:color w:val="939598"/>
          <w:sz w:val="16"/>
        </w:rPr>
        <w:t>’</w:t>
      </w:r>
    </w:p>
    <w:p>
      <w:pPr>
        <w:pStyle w:val="BodyText"/>
        <w:rPr>
          <w:sz w:val="13"/>
        </w:rPr>
      </w:pPr>
    </w:p>
    <w:p>
      <w:pPr>
        <w:tabs>
          <w:tab w:pos="12166" w:val="left" w:leader="none"/>
          <w:tab w:pos="12373" w:val="left" w:leader="none"/>
          <w:tab w:pos="15894" w:val="left" w:leader="none"/>
        </w:tabs>
        <w:spacing w:before="106"/>
        <w:ind w:left="765" w:right="0" w:firstLine="0"/>
        <w:jc w:val="left"/>
        <w:rPr>
          <w:b/>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3"/>
          <w:sz w:val="16"/>
        </w:rPr>
        <w:t> </w:t>
      </w:r>
      <w:r>
        <w:rPr>
          <w:color w:val="939598"/>
          <w:sz w:val="16"/>
        </w:rPr>
        <w:t>of</w:t>
      </w:r>
      <w:r>
        <w:rPr>
          <w:color w:val="939598"/>
          <w:spacing w:val="-13"/>
          <w:sz w:val="16"/>
        </w:rPr>
        <w:t> </w:t>
      </w:r>
      <w:r>
        <w:rPr>
          <w:color w:val="939598"/>
          <w:sz w:val="16"/>
        </w:rPr>
        <w:t>Finance</w:t>
      </w:r>
      <w:r>
        <w:rPr>
          <w:color w:val="939598"/>
          <w:spacing w:val="-12"/>
          <w:sz w:val="16"/>
        </w:rPr>
        <w:t> </w:t>
      </w:r>
      <w:r>
        <w:rPr>
          <w:color w:val="939598"/>
          <w:sz w:val="16"/>
        </w:rPr>
        <w:t>Annual</w:t>
      </w:r>
      <w:r>
        <w:rPr>
          <w:color w:val="939598"/>
          <w:spacing w:val="-13"/>
          <w:sz w:val="16"/>
        </w:rPr>
        <w:t> </w:t>
      </w:r>
      <w:r>
        <w:rPr>
          <w:color w:val="939598"/>
          <w:sz w:val="16"/>
        </w:rPr>
        <w:t>Report</w:t>
      </w:r>
      <w:r>
        <w:rPr>
          <w:color w:val="939598"/>
          <w:spacing w:val="-13"/>
          <w:sz w:val="16"/>
        </w:rPr>
        <w:t> </w:t>
      </w:r>
      <w:r>
        <w:rPr>
          <w:color w:val="939598"/>
          <w:sz w:val="16"/>
        </w:rPr>
        <w:t>2016-17</w:t>
        <w:tab/>
      </w:r>
      <w:r>
        <w:rPr>
          <w:b/>
          <w:color w:val="6F2770"/>
          <w:sz w:val="16"/>
        </w:rPr>
        <w:t>19</w:t>
      </w:r>
    </w:p>
    <w:p>
      <w:pPr>
        <w:spacing w:after="0"/>
        <w:jc w:val="left"/>
        <w:rPr>
          <w:sz w:val="16"/>
        </w:rPr>
        <w:sectPr>
          <w:type w:val="continuous"/>
          <w:pgSz w:w="16840" w:h="11910" w:orient="landscape"/>
          <w:pgMar w:top="0" w:bottom="0" w:left="0" w:right="0"/>
        </w:sectPr>
      </w:pPr>
    </w:p>
    <w:p>
      <w:pPr>
        <w:tabs>
          <w:tab w:pos="9621" w:val="left" w:leader="none"/>
          <w:tab w:pos="14432" w:val="left" w:leader="none"/>
        </w:tabs>
        <w:spacing w:line="240" w:lineRule="auto"/>
        <w:ind w:left="2405" w:right="-44" w:firstLine="0"/>
        <w:rPr>
          <w:sz w:val="20"/>
        </w:rPr>
      </w:pPr>
      <w:r>
        <w:rPr>
          <w:sz w:val="20"/>
        </w:rPr>
        <w:pict>
          <v:shape style="width:120.3pt;height:42.55pt;mso-position-horizontal-relative:char;mso-position-vertical-relative:line" type="#_x0000_t202" filled="true" fillcolor="#b6c247" stroked="false">
            <w10:anchorlock/>
            <v:textbox inset="0,0,0,0">
              <w:txbxContent>
                <w:p>
                  <w:pPr>
                    <w:pStyle w:val="BodyText"/>
                    <w:spacing w:before="9"/>
                    <w:rPr>
                      <w:b/>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b/>
                      <w:sz w:val="26"/>
                    </w:rPr>
                  </w:pPr>
                </w:p>
                <w:p>
                  <w:pPr>
                    <w:spacing w:before="0"/>
                    <w:ind w:left="735" w:right="0" w:firstLine="0"/>
                    <w:jc w:val="left"/>
                    <w:rPr>
                      <w:sz w:val="20"/>
                    </w:rPr>
                  </w:pPr>
                  <w:hyperlink w:history="true" w:anchor="_bookmark73">
                    <w:r>
                      <w:rPr>
                        <w:color w:val="FFFFFF"/>
                        <w:sz w:val="20"/>
                      </w:rPr>
                      <w:t>APPENDIX</w:t>
                    </w:r>
                  </w:hyperlink>
                </w:p>
              </w:txbxContent>
            </v:textbox>
          </v:shape>
        </w:pict>
      </w:r>
      <w:r>
        <w:rPr>
          <w:sz w:val="20"/>
        </w:rPr>
      </w:r>
    </w:p>
    <w:p>
      <w:pPr>
        <w:pStyle w:val="BodyText"/>
        <w:rPr>
          <w:b/>
          <w:sz w:val="20"/>
        </w:rPr>
      </w:pPr>
    </w:p>
    <w:p>
      <w:pPr>
        <w:spacing w:after="0"/>
        <w:rPr>
          <w:sz w:val="20"/>
        </w:rPr>
        <w:sectPr>
          <w:footerReference w:type="default" r:id="rId142"/>
          <w:pgSz w:w="16840" w:h="11910" w:orient="landscape"/>
          <w:pgMar w:footer="0" w:header="0" w:top="0" w:bottom="280" w:left="0" w:right="0"/>
        </w:sectPr>
      </w:pPr>
    </w:p>
    <w:p>
      <w:pPr>
        <w:pStyle w:val="BodyText"/>
        <w:spacing w:before="7"/>
        <w:rPr>
          <w:b/>
          <w:sz w:val="76"/>
        </w:rPr>
      </w:pPr>
    </w:p>
    <w:p>
      <w:pPr>
        <w:spacing w:line="249" w:lineRule="auto" w:before="0"/>
        <w:ind w:left="1162" w:right="38" w:firstLine="0"/>
        <w:jc w:val="left"/>
        <w:rPr>
          <w:b/>
          <w:sz w:val="52"/>
        </w:rPr>
      </w:pPr>
      <w:r>
        <w:rPr>
          <w:b/>
          <w:color w:val="6F2770"/>
          <w:sz w:val="52"/>
        </w:rPr>
        <w:t>A New Era for the Sunset Heritage</w:t>
      </w:r>
      <w:r>
        <w:rPr>
          <w:b/>
          <w:color w:val="6F2770"/>
          <w:spacing w:val="46"/>
          <w:sz w:val="52"/>
        </w:rPr>
        <w:t> </w:t>
      </w:r>
      <w:r>
        <w:rPr>
          <w:b/>
          <w:color w:val="6F2770"/>
          <w:spacing w:val="-5"/>
          <w:sz w:val="52"/>
        </w:rPr>
        <w:t>Precinct</w:t>
      </w:r>
    </w:p>
    <w:p>
      <w:pPr>
        <w:pStyle w:val="BodyText"/>
        <w:spacing w:before="1"/>
        <w:rPr>
          <w:b/>
          <w:sz w:val="23"/>
        </w:rPr>
      </w:pPr>
      <w:r>
        <w:rPr/>
        <w:br w:type="column"/>
      </w:r>
      <w:r>
        <w:rPr>
          <w:b/>
          <w:sz w:val="23"/>
        </w:rPr>
      </w:r>
    </w:p>
    <w:p>
      <w:pPr>
        <w:spacing w:line="208" w:lineRule="auto" w:before="0"/>
        <w:ind w:left="1298" w:right="661" w:hanging="137"/>
        <w:jc w:val="left"/>
        <w:rPr>
          <w:sz w:val="16"/>
        </w:rPr>
      </w:pPr>
      <w:r>
        <w:rPr/>
        <w:pict>
          <v:shape style="position:absolute;margin-left:601.348999pt;margin-top:-68.580612pt;width:120.3pt;height:42.55pt;mso-position-horizontal-relative:page;mso-position-vertical-relative:paragraph;z-index:7000"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360.811798pt;margin-top:-68.580612pt;width:120.3pt;height:42.55pt;mso-position-horizontal-relative:page;mso-position-vertical-relative:paragraph;z-index:7024" type="#_x0000_t202" filled="false"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w10:wrap type="none"/>
          </v:shape>
        </w:pict>
      </w:r>
      <w:r>
        <w:rPr/>
        <w:pict>
          <v:shape style="position:absolute;margin-left:240.541pt;margin-top:-68.580612pt;width:120.3pt;height:42.55pt;mso-position-horizontal-relative:page;mso-position-vertical-relative:paragraph;z-index:7048"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w:pict>
      </w:r>
      <w:r>
        <w:rPr/>
        <w:pict>
          <v:shape style="position:absolute;margin-left:0pt;margin-top:-68.580612pt;width:120.3pt;height:42.55pt;mso-position-horizontal-relative:page;mso-position-vertical-relative:paragraph;z-index:7072" type="#_x0000_t202" filled="true" fillcolor="#aebd37" stroked="false">
            <v:textbox inset="0,0,0,0">
              <w:txbxContent>
                <w:p>
                  <w:pPr>
                    <w:pStyle w:val="BodyText"/>
                    <w:spacing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pict>
      </w:r>
      <w:r>
        <w:rPr>
          <w:color w:val="FFFFFF"/>
          <w:w w:val="95"/>
          <w:sz w:val="16"/>
        </w:rPr>
        <w:t>previous </w:t>
      </w:r>
      <w:r>
        <w:rPr>
          <w:color w:val="FFFFFF"/>
          <w:sz w:val="16"/>
        </w:rPr>
        <w:t>view</w:t>
      </w:r>
    </w:p>
    <w:p>
      <w:pPr>
        <w:spacing w:after="0" w:line="208" w:lineRule="auto"/>
        <w:jc w:val="left"/>
        <w:rPr>
          <w:sz w:val="16"/>
        </w:rPr>
        <w:sectPr>
          <w:type w:val="continuous"/>
          <w:pgSz w:w="16840" w:h="11910" w:orient="landscape"/>
          <w:pgMar w:top="0" w:bottom="0" w:left="0" w:right="0"/>
          <w:cols w:num="2" w:equalWidth="0">
            <w:col w:w="7385" w:space="7038"/>
            <w:col w:w="2417"/>
          </w:cols>
        </w:sectPr>
      </w:pPr>
    </w:p>
    <w:p>
      <w:pPr>
        <w:pStyle w:val="BodyText"/>
        <w:rPr>
          <w:sz w:val="21"/>
        </w:rPr>
      </w:pPr>
    </w:p>
    <w:p>
      <w:pPr>
        <w:spacing w:after="0"/>
        <w:rPr>
          <w:sz w:val="21"/>
        </w:rPr>
        <w:sectPr>
          <w:type w:val="continuous"/>
          <w:pgSz w:w="16840" w:h="11910" w:orient="landscape"/>
          <w:pgMar w:top="0" w:bottom="0" w:left="0" w:right="0"/>
        </w:sectPr>
      </w:pPr>
    </w:p>
    <w:p>
      <w:pPr>
        <w:pStyle w:val="BodyText"/>
        <w:spacing w:line="249" w:lineRule="auto" w:before="106"/>
        <w:ind w:left="1162" w:right="518"/>
      </w:pPr>
      <w:r>
        <w:rPr/>
        <w:t>The</w:t>
      </w:r>
      <w:r>
        <w:rPr>
          <w:spacing w:val="-25"/>
        </w:rPr>
        <w:t> </w:t>
      </w:r>
      <w:r>
        <w:rPr/>
        <w:t>Sunset</w:t>
      </w:r>
      <w:r>
        <w:rPr>
          <w:spacing w:val="-24"/>
        </w:rPr>
        <w:t> </w:t>
      </w:r>
      <w:r>
        <w:rPr/>
        <w:t>Heritage</w:t>
      </w:r>
      <w:r>
        <w:rPr>
          <w:spacing w:val="-25"/>
        </w:rPr>
        <w:t> </w:t>
      </w:r>
      <w:r>
        <w:rPr/>
        <w:t>Precinct</w:t>
      </w:r>
      <w:r>
        <w:rPr>
          <w:spacing w:val="-24"/>
        </w:rPr>
        <w:t> </w:t>
      </w:r>
      <w:r>
        <w:rPr/>
        <w:t>was</w:t>
      </w:r>
      <w:r>
        <w:rPr>
          <w:spacing w:val="-25"/>
        </w:rPr>
        <w:t> </w:t>
      </w:r>
      <w:r>
        <w:rPr>
          <w:spacing w:val="-3"/>
        </w:rPr>
        <w:t>opened </w:t>
      </w:r>
      <w:r>
        <w:rPr/>
        <w:t>to the community for the first time in its 112-year</w:t>
      </w:r>
      <w:r>
        <w:rPr>
          <w:spacing w:val="-10"/>
        </w:rPr>
        <w:t> </w:t>
      </w:r>
      <w:r>
        <w:rPr/>
        <w:t>history</w:t>
      </w:r>
      <w:r>
        <w:rPr>
          <w:spacing w:val="-10"/>
        </w:rPr>
        <w:t> </w:t>
      </w:r>
      <w:r>
        <w:rPr/>
        <w:t>on</w:t>
      </w:r>
      <w:r>
        <w:rPr>
          <w:spacing w:val="-9"/>
        </w:rPr>
        <w:t> </w:t>
      </w:r>
      <w:r>
        <w:rPr/>
        <w:t>27</w:t>
      </w:r>
      <w:r>
        <w:rPr>
          <w:spacing w:val="-10"/>
        </w:rPr>
        <w:t> </w:t>
      </w:r>
      <w:r>
        <w:rPr/>
        <w:t>November</w:t>
      </w:r>
      <w:r>
        <w:rPr>
          <w:spacing w:val="-9"/>
        </w:rPr>
        <w:t> </w:t>
      </w:r>
      <w:r>
        <w:rPr/>
        <w:t>2016.</w:t>
      </w:r>
    </w:p>
    <w:p>
      <w:pPr>
        <w:pStyle w:val="BodyText"/>
        <w:spacing w:line="249" w:lineRule="auto" w:before="3"/>
        <w:ind w:left="1162" w:right="101"/>
      </w:pPr>
      <w:r>
        <w:rPr/>
        <w:t>The former Sunset Hospital site has been revitalised</w:t>
      </w:r>
      <w:r>
        <w:rPr>
          <w:spacing w:val="-22"/>
        </w:rPr>
        <w:t> </w:t>
      </w:r>
      <w:r>
        <w:rPr/>
        <w:t>by</w:t>
      </w:r>
      <w:r>
        <w:rPr>
          <w:spacing w:val="-21"/>
        </w:rPr>
        <w:t> </w:t>
      </w:r>
      <w:r>
        <w:rPr/>
        <w:t>the</w:t>
      </w:r>
      <w:r>
        <w:rPr>
          <w:spacing w:val="-22"/>
        </w:rPr>
        <w:t> </w:t>
      </w:r>
      <w:r>
        <w:rPr/>
        <w:t>Department</w:t>
      </w:r>
      <w:r>
        <w:rPr>
          <w:spacing w:val="-21"/>
        </w:rPr>
        <w:t> </w:t>
      </w:r>
      <w:r>
        <w:rPr/>
        <w:t>of</w:t>
      </w:r>
      <w:r>
        <w:rPr>
          <w:spacing w:val="-22"/>
        </w:rPr>
        <w:t> </w:t>
      </w:r>
      <w:r>
        <w:rPr/>
        <w:t>Finance</w:t>
      </w:r>
      <w:r>
        <w:rPr>
          <w:spacing w:val="-21"/>
        </w:rPr>
        <w:t> </w:t>
      </w:r>
      <w:r>
        <w:rPr/>
        <w:t>after successfully</w:t>
      </w:r>
      <w:r>
        <w:rPr>
          <w:spacing w:val="-22"/>
        </w:rPr>
        <w:t> </w:t>
      </w:r>
      <w:r>
        <w:rPr/>
        <w:t>completing</w:t>
      </w:r>
      <w:r>
        <w:rPr>
          <w:spacing w:val="-21"/>
        </w:rPr>
        <w:t> </w:t>
      </w:r>
      <w:r>
        <w:rPr/>
        <w:t>Phase</w:t>
      </w:r>
      <w:r>
        <w:rPr>
          <w:spacing w:val="-22"/>
        </w:rPr>
        <w:t> </w:t>
      </w:r>
      <w:r>
        <w:rPr/>
        <w:t>1</w:t>
      </w:r>
      <w:r>
        <w:rPr>
          <w:spacing w:val="-21"/>
        </w:rPr>
        <w:t> </w:t>
      </w:r>
      <w:r>
        <w:rPr/>
        <w:t>of</w:t>
      </w:r>
      <w:r>
        <w:rPr>
          <w:spacing w:val="-22"/>
        </w:rPr>
        <w:t> </w:t>
      </w:r>
      <w:r>
        <w:rPr/>
        <w:t>the</w:t>
      </w:r>
      <w:r>
        <w:rPr>
          <w:spacing w:val="-21"/>
        </w:rPr>
        <w:t> </w:t>
      </w:r>
      <w:r>
        <w:rPr>
          <w:spacing w:val="-3"/>
        </w:rPr>
        <w:t>Sunset </w:t>
      </w:r>
      <w:r>
        <w:rPr/>
        <w:t>Transformation </w:t>
      </w:r>
      <w:r>
        <w:rPr>
          <w:spacing w:val="-3"/>
        </w:rPr>
        <w:t>Strategy, </w:t>
      </w:r>
      <w:r>
        <w:rPr/>
        <w:t>which will ultimately see the Precinct become a hub for arts, cultural and community</w:t>
      </w:r>
      <w:r>
        <w:rPr>
          <w:spacing w:val="-10"/>
        </w:rPr>
        <w:t> </w:t>
      </w:r>
      <w:r>
        <w:rPr/>
        <w:t>purposes.</w:t>
      </w:r>
    </w:p>
    <w:p>
      <w:pPr>
        <w:pStyle w:val="BodyText"/>
        <w:spacing w:before="5"/>
        <w:rPr>
          <w:sz w:val="23"/>
        </w:rPr>
      </w:pPr>
    </w:p>
    <w:p>
      <w:pPr>
        <w:pStyle w:val="BodyText"/>
        <w:spacing w:line="249" w:lineRule="auto"/>
        <w:ind w:left="1162" w:right="-7"/>
      </w:pPr>
      <w:r>
        <w:rPr/>
        <w:t>Enhancements to the site completed by </w:t>
      </w:r>
      <w:r>
        <w:rPr>
          <w:b/>
        </w:rPr>
        <w:t>Building Management and Works </w:t>
      </w:r>
      <w:r>
        <w:rPr/>
        <w:t>includes extensive landscaping across the precinct, enabling</w:t>
      </w:r>
      <w:r>
        <w:rPr>
          <w:spacing w:val="-14"/>
        </w:rPr>
        <w:t> </w:t>
      </w:r>
      <w:r>
        <w:rPr/>
        <w:t>the</w:t>
      </w:r>
      <w:r>
        <w:rPr>
          <w:spacing w:val="-13"/>
        </w:rPr>
        <w:t> </w:t>
      </w:r>
      <w:r>
        <w:rPr/>
        <w:t>public</w:t>
      </w:r>
      <w:r>
        <w:rPr>
          <w:spacing w:val="-13"/>
        </w:rPr>
        <w:t> </w:t>
      </w:r>
      <w:r>
        <w:rPr/>
        <w:t>access</w:t>
      </w:r>
      <w:r>
        <w:rPr>
          <w:spacing w:val="-13"/>
        </w:rPr>
        <w:t> </w:t>
      </w:r>
      <w:r>
        <w:rPr/>
        <w:t>to</w:t>
      </w:r>
      <w:r>
        <w:rPr>
          <w:spacing w:val="-13"/>
        </w:rPr>
        <w:t> </w:t>
      </w:r>
      <w:r>
        <w:rPr/>
        <w:t>the</w:t>
      </w:r>
      <w:r>
        <w:rPr>
          <w:spacing w:val="-13"/>
        </w:rPr>
        <w:t> </w:t>
      </w:r>
      <w:r>
        <w:rPr/>
        <w:t>parklands</w:t>
      </w:r>
      <w:r>
        <w:rPr>
          <w:spacing w:val="-13"/>
        </w:rPr>
        <w:t> </w:t>
      </w:r>
      <w:r>
        <w:rPr/>
        <w:t>for the first time in 20 years. Other upgrades include</w:t>
      </w:r>
      <w:r>
        <w:rPr>
          <w:spacing w:val="-22"/>
        </w:rPr>
        <w:t> </w:t>
      </w:r>
      <w:r>
        <w:rPr/>
        <w:t>new</w:t>
      </w:r>
      <w:r>
        <w:rPr>
          <w:spacing w:val="-21"/>
        </w:rPr>
        <w:t> </w:t>
      </w:r>
      <w:r>
        <w:rPr/>
        <w:t>public</w:t>
      </w:r>
      <w:r>
        <w:rPr>
          <w:spacing w:val="-22"/>
        </w:rPr>
        <w:t> </w:t>
      </w:r>
      <w:r>
        <w:rPr/>
        <w:t>toilet</w:t>
      </w:r>
      <w:r>
        <w:rPr>
          <w:spacing w:val="-21"/>
        </w:rPr>
        <w:t> </w:t>
      </w:r>
      <w:r>
        <w:rPr/>
        <w:t>facilities,</w:t>
      </w:r>
      <w:r>
        <w:rPr>
          <w:spacing w:val="-22"/>
        </w:rPr>
        <w:t> </w:t>
      </w:r>
      <w:r>
        <w:rPr/>
        <w:t>barbeque</w:t>
      </w:r>
      <w:r>
        <w:rPr>
          <w:spacing w:val="-21"/>
        </w:rPr>
        <w:t> </w:t>
      </w:r>
      <w:r>
        <w:rPr>
          <w:spacing w:val="-7"/>
        </w:rPr>
        <w:t>and </w:t>
      </w:r>
      <w:r>
        <w:rPr/>
        <w:t>picnic facilities, and a new nature playground, donated</w:t>
      </w:r>
      <w:r>
        <w:rPr>
          <w:spacing w:val="-9"/>
        </w:rPr>
        <w:t> </w:t>
      </w:r>
      <w:r>
        <w:rPr/>
        <w:t>by</w:t>
      </w:r>
      <w:r>
        <w:rPr>
          <w:spacing w:val="-8"/>
        </w:rPr>
        <w:t> </w:t>
      </w:r>
      <w:r>
        <w:rPr/>
        <w:t>Sultan</w:t>
      </w:r>
      <w:r>
        <w:rPr>
          <w:spacing w:val="-9"/>
        </w:rPr>
        <w:t> </w:t>
      </w:r>
      <w:r>
        <w:rPr/>
        <w:t>Ibrahim</w:t>
      </w:r>
      <w:r>
        <w:rPr>
          <w:spacing w:val="-8"/>
        </w:rPr>
        <w:t> </w:t>
      </w:r>
      <w:r>
        <w:rPr/>
        <w:t>Ismail</w:t>
      </w:r>
      <w:r>
        <w:rPr>
          <w:spacing w:val="-9"/>
        </w:rPr>
        <w:t> </w:t>
      </w:r>
      <w:r>
        <w:rPr/>
        <w:t>of</w:t>
      </w:r>
      <w:r>
        <w:rPr>
          <w:spacing w:val="-8"/>
        </w:rPr>
        <w:t> </w:t>
      </w:r>
      <w:r>
        <w:rPr>
          <w:spacing w:val="-4"/>
        </w:rPr>
        <w:t>Johor.</w:t>
      </w:r>
    </w:p>
    <w:p>
      <w:pPr>
        <w:pStyle w:val="BodyText"/>
        <w:spacing w:before="7"/>
        <w:rPr>
          <w:sz w:val="23"/>
        </w:rPr>
      </w:pPr>
    </w:p>
    <w:p>
      <w:pPr>
        <w:pStyle w:val="BodyText"/>
        <w:spacing w:line="249" w:lineRule="auto"/>
        <w:ind w:left="1162" w:right="233"/>
      </w:pPr>
      <w:r>
        <w:rPr/>
        <w:t>These works complement significant services</w:t>
      </w:r>
      <w:r>
        <w:rPr>
          <w:spacing w:val="-26"/>
        </w:rPr>
        <w:t> </w:t>
      </w:r>
      <w:r>
        <w:rPr/>
        <w:t>infrastructure</w:t>
      </w:r>
      <w:r>
        <w:rPr>
          <w:spacing w:val="-25"/>
        </w:rPr>
        <w:t> </w:t>
      </w:r>
      <w:r>
        <w:rPr/>
        <w:t>upgrades</w:t>
      </w:r>
      <w:r>
        <w:rPr>
          <w:spacing w:val="-26"/>
        </w:rPr>
        <w:t> </w:t>
      </w:r>
      <w:r>
        <w:rPr/>
        <w:t>made</w:t>
      </w:r>
      <w:r>
        <w:rPr>
          <w:spacing w:val="-25"/>
        </w:rPr>
        <w:t> </w:t>
      </w:r>
      <w:r>
        <w:rPr/>
        <w:t>by</w:t>
      </w:r>
      <w:r>
        <w:rPr>
          <w:spacing w:val="-25"/>
        </w:rPr>
        <w:t> </w:t>
      </w:r>
      <w:r>
        <w:rPr>
          <w:spacing w:val="-6"/>
        </w:rPr>
        <w:t>the </w:t>
      </w:r>
      <w:r>
        <w:rPr/>
        <w:t>Department across the site, including </w:t>
      </w:r>
      <w:r>
        <w:rPr>
          <w:spacing w:val="-4"/>
        </w:rPr>
        <w:t>water, </w:t>
      </w:r>
      <w:r>
        <w:rPr/>
        <w:t>sewerage, power and fire</w:t>
      </w:r>
      <w:r>
        <w:rPr>
          <w:spacing w:val="-24"/>
        </w:rPr>
        <w:t> </w:t>
      </w:r>
      <w:r>
        <w:rPr/>
        <w:t>services.</w:t>
      </w:r>
    </w:p>
    <w:p>
      <w:pPr>
        <w:pStyle w:val="BodyText"/>
        <w:spacing w:line="249" w:lineRule="auto" w:before="106"/>
        <w:ind w:left="296" w:right="6561"/>
      </w:pPr>
      <w:r>
        <w:rPr/>
        <w:br w:type="column"/>
      </w:r>
      <w:r>
        <w:rPr/>
        <w:t>Most</w:t>
      </w:r>
      <w:r>
        <w:rPr>
          <w:spacing w:val="-24"/>
        </w:rPr>
        <w:t> </w:t>
      </w:r>
      <w:r>
        <w:rPr/>
        <w:t>of</w:t>
      </w:r>
      <w:r>
        <w:rPr>
          <w:spacing w:val="-23"/>
        </w:rPr>
        <w:t> </w:t>
      </w:r>
      <w:r>
        <w:rPr/>
        <w:t>the</w:t>
      </w:r>
      <w:r>
        <w:rPr>
          <w:spacing w:val="-24"/>
        </w:rPr>
        <w:t> </w:t>
      </w:r>
      <w:r>
        <w:rPr/>
        <w:t>original</w:t>
      </w:r>
      <w:r>
        <w:rPr>
          <w:spacing w:val="-23"/>
        </w:rPr>
        <w:t> </w:t>
      </w:r>
      <w:r>
        <w:rPr/>
        <w:t>heritage</w:t>
      </w:r>
      <w:r>
        <w:rPr>
          <w:spacing w:val="-23"/>
        </w:rPr>
        <w:t> </w:t>
      </w:r>
      <w:r>
        <w:rPr/>
        <w:t>buildings</w:t>
      </w:r>
      <w:r>
        <w:rPr>
          <w:spacing w:val="-24"/>
        </w:rPr>
        <w:t> </w:t>
      </w:r>
      <w:r>
        <w:rPr/>
        <w:t>remain fenced</w:t>
      </w:r>
      <w:r>
        <w:rPr>
          <w:spacing w:val="-25"/>
        </w:rPr>
        <w:t> </w:t>
      </w:r>
      <w:r>
        <w:rPr/>
        <w:t>off</w:t>
      </w:r>
      <w:r>
        <w:rPr>
          <w:spacing w:val="-24"/>
        </w:rPr>
        <w:t> </w:t>
      </w:r>
      <w:r>
        <w:rPr/>
        <w:t>for</w:t>
      </w:r>
      <w:r>
        <w:rPr>
          <w:spacing w:val="-24"/>
        </w:rPr>
        <w:t> </w:t>
      </w:r>
      <w:r>
        <w:rPr/>
        <w:t>safety</w:t>
      </w:r>
      <w:r>
        <w:rPr>
          <w:spacing w:val="-25"/>
        </w:rPr>
        <w:t> </w:t>
      </w:r>
      <w:r>
        <w:rPr/>
        <w:t>reasons.</w:t>
      </w:r>
      <w:r>
        <w:rPr>
          <w:spacing w:val="-24"/>
        </w:rPr>
        <w:t> </w:t>
      </w:r>
      <w:r>
        <w:rPr/>
        <w:t>Their</w:t>
      </w:r>
      <w:r>
        <w:rPr>
          <w:spacing w:val="-24"/>
        </w:rPr>
        <w:t> </w:t>
      </w:r>
      <w:r>
        <w:rPr/>
        <w:t>future</w:t>
      </w:r>
      <w:r>
        <w:rPr>
          <w:spacing w:val="-25"/>
        </w:rPr>
        <w:t> </w:t>
      </w:r>
      <w:r>
        <w:rPr>
          <w:spacing w:val="-6"/>
        </w:rPr>
        <w:t>use </w:t>
      </w:r>
      <w:r>
        <w:rPr/>
        <w:t>and</w:t>
      </w:r>
      <w:r>
        <w:rPr>
          <w:spacing w:val="-14"/>
        </w:rPr>
        <w:t> </w:t>
      </w:r>
      <w:r>
        <w:rPr/>
        <w:t>conservation</w:t>
      </w:r>
      <w:r>
        <w:rPr>
          <w:spacing w:val="-14"/>
        </w:rPr>
        <w:t> </w:t>
      </w:r>
      <w:r>
        <w:rPr/>
        <w:t>will</w:t>
      </w:r>
      <w:r>
        <w:rPr>
          <w:spacing w:val="-14"/>
        </w:rPr>
        <w:t> </w:t>
      </w:r>
      <w:r>
        <w:rPr/>
        <w:t>form</w:t>
      </w:r>
      <w:r>
        <w:rPr>
          <w:spacing w:val="-14"/>
        </w:rPr>
        <w:t> </w:t>
      </w:r>
      <w:r>
        <w:rPr/>
        <w:t>an</w:t>
      </w:r>
      <w:r>
        <w:rPr>
          <w:spacing w:val="-14"/>
        </w:rPr>
        <w:t> </w:t>
      </w:r>
      <w:r>
        <w:rPr/>
        <w:t>important</w:t>
      </w:r>
      <w:r>
        <w:rPr>
          <w:spacing w:val="-14"/>
        </w:rPr>
        <w:t> </w:t>
      </w:r>
      <w:r>
        <w:rPr/>
        <w:t>part of the next phase in the revitalisation of the Precinct.</w:t>
      </w:r>
    </w:p>
    <w:p>
      <w:pPr>
        <w:pStyle w:val="BodyText"/>
        <w:spacing w:before="4"/>
        <w:rPr>
          <w:sz w:val="23"/>
        </w:rPr>
      </w:pPr>
    </w:p>
    <w:p>
      <w:pPr>
        <w:pStyle w:val="BodyText"/>
        <w:spacing w:line="249" w:lineRule="auto"/>
        <w:ind w:left="296" w:right="7160"/>
      </w:pPr>
      <w:r>
        <w:rPr/>
        <w:t>While it will take a number of years to fully</w:t>
      </w:r>
      <w:r>
        <w:rPr>
          <w:spacing w:val="-24"/>
        </w:rPr>
        <w:t> </w:t>
      </w:r>
      <w:r>
        <w:rPr/>
        <w:t>transform</w:t>
      </w:r>
      <w:r>
        <w:rPr>
          <w:spacing w:val="-23"/>
        </w:rPr>
        <w:t> </w:t>
      </w:r>
      <w:r>
        <w:rPr/>
        <w:t>the</w:t>
      </w:r>
      <w:r>
        <w:rPr>
          <w:spacing w:val="-23"/>
        </w:rPr>
        <w:t> </w:t>
      </w:r>
      <w:r>
        <w:rPr/>
        <w:t>site</w:t>
      </w:r>
      <w:r>
        <w:rPr>
          <w:spacing w:val="-24"/>
        </w:rPr>
        <w:t> </w:t>
      </w:r>
      <w:r>
        <w:rPr/>
        <w:t>for</w:t>
      </w:r>
      <w:r>
        <w:rPr>
          <w:spacing w:val="-23"/>
        </w:rPr>
        <w:t> </w:t>
      </w:r>
      <w:r>
        <w:rPr/>
        <w:t>arts,</w:t>
      </w:r>
      <w:r>
        <w:rPr>
          <w:spacing w:val="-23"/>
        </w:rPr>
        <w:t> </w:t>
      </w:r>
      <w:r>
        <w:rPr/>
        <w:t>cultural, community and ancillary commercial purposes, these works to date demonstrate a</w:t>
      </w:r>
      <w:r>
        <w:rPr>
          <w:spacing w:val="-5"/>
        </w:rPr>
        <w:t> </w:t>
      </w:r>
      <w:r>
        <w:rPr/>
        <w:t>commitment</w:t>
      </w:r>
    </w:p>
    <w:p>
      <w:pPr>
        <w:pStyle w:val="BodyText"/>
        <w:spacing w:line="249" w:lineRule="auto" w:before="5"/>
        <w:ind w:left="296" w:right="8365"/>
      </w:pPr>
      <w:r>
        <w:rPr/>
        <w:t>towards the conservation of this unique heritage asset for the future</w:t>
      </w:r>
    </w:p>
    <w:p>
      <w:pPr>
        <w:pStyle w:val="BodyText"/>
        <w:spacing w:line="249" w:lineRule="auto" w:before="3"/>
        <w:ind w:left="296" w:right="9306"/>
      </w:pPr>
      <w:r>
        <w:rPr/>
        <w:t>use and benefit of the wider community.</w:t>
      </w:r>
    </w:p>
    <w:p>
      <w:pPr>
        <w:spacing w:after="0" w:line="249" w:lineRule="auto"/>
        <w:sectPr>
          <w:type w:val="continuous"/>
          <w:pgSz w:w="16840" w:h="11910" w:orient="landscape"/>
          <w:pgMar w:top="0" w:bottom="0" w:left="0" w:right="0"/>
          <w:cols w:num="2" w:equalWidth="0">
            <w:col w:w="5673" w:space="40"/>
            <w:col w:w="11127"/>
          </w:cols>
        </w:sectPr>
      </w:pPr>
    </w:p>
    <w:p>
      <w:pPr>
        <w:pStyle w:val="BodyText"/>
        <w:rPr>
          <w:sz w:val="20"/>
        </w:rPr>
      </w:pPr>
      <w:r>
        <w:rPr/>
        <w:pict>
          <v:group style="position:absolute;margin-left:38.268002pt;margin-top:.000001pt;width:803.65pt;height:595.3pt;mso-position-horizontal-relative:page;mso-position-vertical-relative:page;z-index:-806656" coordorigin="765,0" coordsize="16073,11906">
            <v:rect style="position:absolute;left:765;top:1729;width:15308;height:8848" filled="true" fillcolor="#f0eee8" stroked="false">
              <v:fill type="solid"/>
            </v:rect>
            <v:shape style="position:absolute;left:8077;top:5140;width:5593;height:5593" coordorigin="8077,5141" coordsize="5593,5593" path="m13669,7937l10873,7937,9475,9335,10873,10733,10873,7937,13669,7937,13669,7937xm10873,6539l9475,6539,10873,7937,10873,7937,10873,7937,10873,6539xm10873,5141l8077,7937,9475,6539,10873,6539,10873,5141xe" filled="true" fillcolor="#aebd37" stroked="false">
              <v:path arrowok="t"/>
              <v:fill type="solid"/>
            </v:shape>
            <v:shape style="position:absolute;left:10873;top:2344;width:5593;height:5593" coordorigin="10873,2344" coordsize="5593,5593" path="m13670,2344l10873,5141,10874,5141,13670,5141,13670,7937,13670,5141,16466,5141,16466,5141,13670,5141,12271,3743,13670,2344xm13670,2344l15068,3743,13670,5141,16466,5141,13670,2344xe" filled="true" fillcolor="#6f2770" stroked="false">
              <v:path arrowok="t"/>
              <v:fill type="solid"/>
            </v:shape>
            <v:shape style="position:absolute;left:10873;top:10732;width:5593;height:1173" coordorigin="10873,10733" coordsize="5593,1173" path="m16466,10733l10873,10733,10873,10733,12046,11906,12497,11906,13670,10733,16466,10733,16466,10733xm16466,10733l13670,10733,14842,11906,15293,11906,16466,10733xm16466,10733l16466,10733,16466,10733,16466,10733xe" filled="true" fillcolor="#5d883c" stroked="false">
              <v:path arrowok="t"/>
              <v:fill type="solid"/>
            </v:shape>
            <v:shape style="position:absolute;left:16465;top:5140;width:373;height:5593" coordorigin="16466,5141" coordsize="373,5593" path="m16466,5141l16466,7937,16466,10733,16838,10361,16838,8309,16466,7937,16838,7565,16838,5513,16466,5141xe" filled="true" fillcolor="#360e3f" stroked="false">
              <v:path arrowok="t"/>
              <v:fill type="solid"/>
            </v:shape>
            <v:shape style="position:absolute;left:10873;top:7936;width:2797;height:2797" coordorigin="10873,7937" coordsize="2797,2797" path="m13669,7937l10873,10733,10873,10733,13669,7937xm13670,7937l13669,7937,13670,7937,13670,7937xe" filled="true" fillcolor="#aebd37" stroked="false">
              <v:path arrowok="t"/>
              <v:fill type="solid"/>
            </v:shape>
            <v:shape style="position:absolute;left:10873;top:7936;width:2796;height:2797" coordorigin="10873,7937" coordsize="2796,2797" path="m13669,7937l10873,7937,10873,10733,13669,7937xe" filled="true" fillcolor="#7aa142" stroked="false">
              <v:path arrowok="t"/>
              <v:fill type="solid"/>
            </v:shape>
            <v:shape style="position:absolute;left:10873;top:7936;width:2797;height:2797" coordorigin="10873,7937" coordsize="2797,2797" path="m13670,7937l10873,10733,13670,10733,13670,7937xe" filled="true" fillcolor="#41793d" stroked="false">
              <v:path arrowok="t"/>
              <v:fill type="solid"/>
            </v:shape>
            <v:shape style="position:absolute;left:10873;top:5140;width:2797;height:2797" coordorigin="10873,5141" coordsize="2797,2797" path="m10874,5141l13669,7937,10874,5141xe" filled="true" fillcolor="#6f2770" stroked="false">
              <v:path arrowok="t"/>
              <v:fill type="solid"/>
            </v:shape>
            <v:shape style="position:absolute;left:10873;top:5140;width:2796;height:2797" coordorigin="10873,5141" coordsize="2796,2797" path="m10873,5141l10873,7937,13669,7937,10873,5141xe" filled="true" fillcolor="#5b2e31" stroked="false">
              <v:path arrowok="t"/>
              <v:fill type="solid"/>
            </v:shape>
            <v:shape style="position:absolute;left:10873;top:5140;width:2797;height:2796" coordorigin="10873,5141" coordsize="2797,2796" path="m13670,5141l10873,5141,13670,7937,13670,5141xe" filled="true" fillcolor="#42285e" stroked="false">
              <v:path arrowok="t"/>
              <v:fill type="solid"/>
            </v:shape>
            <v:shape style="position:absolute;left:13669;top:7936;width:2797;height:2797" coordorigin="13670,7937" coordsize="2797,2797" path="m13670,7937l13670,7937,16466,10733,16466,10733,13670,7937xm13670,7937l13670,7937,13670,7937,13670,7937xe" filled="true" fillcolor="#5d883c" stroked="false">
              <v:path arrowok="t"/>
              <v:fill type="solid"/>
            </v:shape>
            <v:shape style="position:absolute;left:13669;top:7936;width:2797;height:2797" coordorigin="13670,7937" coordsize="2797,2797" path="m13670,7937l13670,10733,16466,10733,13670,7937xe" filled="true" fillcolor="#226237" stroked="false">
              <v:path arrowok="t"/>
              <v:fill type="solid"/>
            </v:shape>
            <v:shape style="position:absolute;left:13669;top:7936;width:2796;height:2796" coordorigin="13670,7937" coordsize="2796,2796" path="m16466,7937l13670,7937,16466,10733,16466,7937xe" filled="true" fillcolor="#1e0f13" stroked="false">
              <v:path arrowok="t"/>
              <v:fill type="solid"/>
            </v:shape>
            <v:shape style="position:absolute;left:13669;top:5140;width:2797;height:2797" coordorigin="13670,5141" coordsize="2797,2797" path="m16466,5141l13670,7937,16466,5141xe" filled="true" fillcolor="#360e3f" stroked="false">
              <v:path arrowok="t"/>
              <v:fill type="solid"/>
            </v:shape>
            <v:shape style="position:absolute;left:13669;top:5140;width:2797;height:2797" coordorigin="13670,5141" coordsize="2797,2797" path="m16466,5141l13670,5141,13670,7937,16466,5141xe" filled="true" fillcolor="#200d34" stroked="false">
              <v:path arrowok="t"/>
              <v:fill type="solid"/>
            </v:shape>
            <v:shape style="position:absolute;left:13669;top:5140;width:2796;height:2796" coordorigin="13670,5141" coordsize="2796,2796" path="m16466,5141l13670,7937,16466,7937,16466,5141xe" filled="true" fillcolor="#050019" stroked="false">
              <v:path arrowok="t"/>
              <v:fill type="solid"/>
            </v:shape>
            <v:shape style="position:absolute;left:8077;top:6538;width:2797;height:2797" coordorigin="8077,6539" coordsize="2797,2797" path="m9475,6539l8077,7937,9475,9335,10873,7937,9475,6539xe" filled="true" fillcolor="#89993e" stroked="false">
              <v:path arrowok="t"/>
              <v:fill type="solid"/>
            </v:shape>
            <v:shape style="position:absolute;left:12496;top:10732;width:2346;height:1173" coordorigin="12497,10733" coordsize="2346,1173" path="m13669,10733l12497,11906,14842,11906,13669,10733xe" filled="true" fillcolor="#4f743b" stroked="false">
              <v:path arrowok="t"/>
              <v:fill type="solid"/>
            </v:shape>
            <v:shape style="position:absolute;left:16465;top:7564;width:373;height:745" coordorigin="16466,7565" coordsize="373,745" path="m16838,7565l16466,7937,16838,8309,16838,7565xe" filled="true" fillcolor="#2f1038" stroked="false">
              <v:path arrowok="t"/>
              <v:fill type="solid"/>
            </v:shape>
            <v:shape style="position:absolute;left:12271;top:2344;width:2797;height:2797" coordorigin="12271,2344" coordsize="2797,2797" path="m13670,2344l12271,3743,13670,5141,15068,3743,13670,2344xe" filled="true" fillcolor="#602a63" stroked="false">
              <v:path arrowok="t"/>
              <v:fill type="solid"/>
            </v:shape>
            <v:shape style="position:absolute;left:8832;top:3099;width:8006;height:8807" coordorigin="8832,3099" coordsize="8006,8807" path="m13670,3099l8832,7937,12801,11906,14538,11906,16838,9606,16838,6268,13670,3099xe" filled="true" fillcolor="#ffffff" stroked="false">
              <v:path arrowok="t"/>
              <v:fill type="solid"/>
            </v:shape>
            <v:shape style="position:absolute;left:8627;top:2895;width:8210;height:8673" type="#_x0000_t75" stroked="false">
              <v:imagedata r:id="rId143" o:title=""/>
            </v:shape>
            <v:shape style="position:absolute;left:7454;top:8147;width:326;height:301" type="#_x0000_t75" stroked="false">
              <v:imagedata r:id="rId144" o:title=""/>
            </v:shape>
            <v:shape style="position:absolute;left:4335;top:8342;width:3445;height:3564" coordorigin="4336,8342" coordsize="3445,3564" path="m7780,11657l7350,11906,7375,11906,7780,11672,7780,11657m7780,11560l7181,11906,7206,11906,7780,11574,7780,11560m7780,11462l7012,11906,7037,11906,7780,11477,7780,11462m7780,11365l6843,11906,6868,11906,7780,11379,7780,11365m7780,11267l6674,11906,6699,11906,7780,11282,7780,11267m7780,11170l6506,11906,6531,11906,7780,11184,7780,11170m7780,11072l6337,11906,6362,11906,7780,11087,7780,11072m7780,10975l6168,11906,6193,11906,7780,10989,7780,10975m7780,10877l5999,11906,6024,11906,7780,10892,7780,10877m7780,10780l5830,11906,5855,11906,7780,10794,7780,10780m7780,10585l5492,11906,5517,11906,7780,10599,7780,10585m7780,10487l5323,11906,5348,11906,7780,10502,7780,10487m7780,10390l5154,11906,5180,11906,7780,10404,7780,10390m7780,10292l4986,11906,5011,11906,7780,10307,7780,10292m7780,10195l4817,11906,4842,11906,7780,10209,7780,10195m7780,10097l4648,11906,4673,11906,7780,10112,7780,10097m7780,10000l4580,11847,4589,11856,7780,10014,7780,10000m7780,9902l4518,11785,4527,11794,7780,9917,7780,9902m7780,9805l4456,11724,4466,11733,7780,9819,7780,9805m7780,9707l4395,11662,4404,11671,7780,9722,7780,9707m7780,9610l4336,11598,4336,11603,4342,11609,7780,9624,7780,9610m7780,9512l4489,11412,4455,11446,7780,9527,7780,9512m7780,9415l4720,11181,4686,11215,7780,9429,7780,9415m7780,9317l4951,10951,4917,10985,7780,9332,7780,9317m7780,9220l5181,10720,5147,10754,7780,9234,7780,9220m7780,9122l5412,10489,5378,10523,7780,9137,7780,9122m7780,9025l5643,10259,5609,10293,7780,9039,7780,9025m7780,8927l5873,10028,5839,10062,7780,8942,7780,8927m7780,8732l6335,9567,6301,9601,7780,8747,7780,8732m7780,8635l6566,9336,6531,9370,7780,8649,7780,8635m7780,8537l6796,9105,6762,9139,7780,8552,7780,8537m7780,8440l7027,8874,6993,8909,7780,8454,7780,8440m7780,8342l7258,8644,7223,8678,7780,8357,7780,8342m7780,10682l5661,11906,5686,11906,7780,10697,7780,10682m7780,8830l6104,9797,6070,9831,7780,8844,7780,8830e" filled="true" fillcolor="#d8dad9" stroked="false">
              <v:path arrowok="t"/>
              <v:fill opacity="49152f" type="solid"/>
            </v:shape>
            <v:shape style="position:absolute;left:7518;top:11754;width:262;height:151" type="#_x0000_t75" stroked="false">
              <v:imagedata r:id="rId145" o:title=""/>
            </v:shape>
            <v:shape style="position:absolute;left:7780;top:8160;width:43;height:29" coordorigin="7780,8160" coordsize="43,29" path="m7819,8160l7780,8183,7780,8188,7823,8164,7819,8160xe" filled="true" fillcolor="#d8dad9" stroked="false">
              <v:path arrowok="t"/>
              <v:fill opacity="49152f" type="solid"/>
            </v:shape>
            <v:shape style="position:absolute;left:7780;top:8221;width:352;height:454" type="#_x0000_t75" stroked="false">
              <v:imagedata r:id="rId146" o:title=""/>
            </v:shape>
            <v:shape style="position:absolute;left:7780;top:8531;width:3443;height:3375" coordorigin="7780,8531" coordsize="3443,3375" path="m8194,8535l8190,8531,7780,8768,7780,8773,8194,8535m8255,8597l8252,8593,7780,8865,7780,8871,8255,8597m8317,8658l8314,8655,7780,8963,7780,8968,8317,8658m8379,8720l8375,8716,7780,9060,7780,9066,8379,8720m8441,8782l8437,8778,7780,9158,7780,9163,8441,8782m8503,8844l8499,8840,7780,9255,7780,9261,8503,8844m8564,8906l8561,8902,7780,9353,7780,9358,8564,8906m8626,8967l8623,8964,7780,9450,7780,9456,8626,8967m8688,9029l8684,9026,7780,9548,7780,9553,8688,9029m8750,9091l8746,9087,7780,9645,7780,9651,8750,9091m8812,9153l8808,9149,7780,9743,7780,9748,8812,9153m8874,9215l8870,9211,7780,9840,7780,9846,8874,9215m8935,9276l8932,9273,7780,9938,7780,9943,8935,9276m8997,9338l8993,9335,7780,10035,7780,10041,8997,9338m9059,9400l9055,9396,7780,10133,7780,10138,9059,9400m9121,9462l9117,9458,7780,10230,7780,10236,9121,9462m9183,9524l9179,9520,7780,10328,7780,10333,9183,9524m9244,9586l9241,9582,7780,10425,7780,10431,9244,9586m9306,9647l9303,9644,7780,10523,7780,10528,9306,9647m9368,9709l9364,9705,7780,10620,7780,10626,9368,9709m9430,9771l9426,9767,7780,10718,7780,10723,9430,9771m9492,9833l9488,9829,7780,10815,7780,10821,9492,9833m9553,9895l9550,9891,7780,10913,7780,10918,9553,9895m9615,9956l9612,9953,7780,11010,7780,11016,9615,9956m9677,10018l9673,10015,7780,11108,7780,11113,9677,10018m9739,10080l9735,10076,7780,11205,7780,11211,9739,10080m9801,10142l9797,10138,7780,11303,7780,11308,9801,10142m9863,10204l9859,10200,7780,11400,7780,11406,9863,10204m9924,10265l9921,10262,7780,11498,7780,11503,9924,10265m9986,10327l9983,10324,7780,11595,7780,11601,9986,10327m10048,10389l10044,10385,7780,11693,7780,11698,10048,10389m10110,10451l10106,10447,7780,11790,7780,11796,10110,10451m10172,10513l10168,10509,7780,11888,7780,11893,10172,10513m10233,10575l10230,10571,7918,11906,7928,11906,10233,10575m10295,10636l10292,10633,8087,11906,8097,11906,10295,10636m10357,10698l10353,10695,8256,11906,8266,11906,10357,10698m10419,10760l10415,10756,8425,11906,8435,11906,10419,10760m10481,10822l10477,10818,8594,11906,8604,11906,10481,10822m10543,10884l10539,10880,8762,11906,8773,11906,10543,10884m10604,10945l10601,10942,8931,11906,8941,11906,10604,10945m10666,11007l10663,11004,9100,11906,9110,11906,10666,11007m10728,11069l10724,11065,9269,11906,9279,11906,10728,11069m10790,11131l10786,11127,9438,11906,9448,11906,10790,11131m10852,11193l10848,11189,9607,11906,9617,11906,10852,11193m10913,11255l10910,11251,9776,11906,9786,11906,10913,11255m10975,11316l10972,11313,9945,11906,9955,11906,10975,11316m11037,11378l11033,11374,10114,11906,10124,11906,11037,11378m11099,11440l11095,11436,10282,11906,10292,11906,11099,11440m11103,11724l10789,11906,10799,11906,11089,11738,11103,11724m11161,11502l11157,11498,10451,11906,10461,11906,11161,11502m11222,11564l11219,11560,10620,11906,10630,11906,11222,11564e" filled="true" fillcolor="#d8dad9" stroked="false">
              <v:path arrowok="t"/>
              <v:fill opacity="49152f" type="solid"/>
            </v:shape>
            <v:shape style="position:absolute;left:765;top:1193;width:16073;height:10712" coordorigin="765,1194" coordsize="16073,10712" path="m16838,1194l16072,1194,16072,10576,765,10576,765,11906,16838,11906,16838,11112,16838,10576,16838,1194e" filled="true" fillcolor="#ffffff" stroked="false">
              <v:path arrowok="t"/>
              <v:fill type="solid"/>
            </v:shape>
            <v:shape style="position:absolute;left:13225;top:824;width:904;height:904" coordorigin="13225,824" coordsize="904,904" path="m13677,824l13225,1276,13677,1727,14128,1276,13677,824xe" filled="true" fillcolor="#e8e9c9" stroked="false">
              <v:path arrowok="t"/>
              <v:fill type="solid"/>
            </v:shape>
            <v:shape style="position:absolute;left:12773;top:1275;width:904;height:904" coordorigin="12774,1276" coordsize="904,904" path="m13225,1276l12774,1727,13225,2179,13677,1727,13225,1276xe" filled="true" fillcolor="#d5dac6" stroked="false">
              <v:path arrowok="t"/>
              <v:fill type="solid"/>
            </v:shape>
            <v:shape style="position:absolute;left:11870;top:372;width:2710;height:904" coordorigin="11870,372" coordsize="2710,904" path="m12774,824l12322,372,11870,824,12322,1276,12774,824m14580,824l14128,372,13677,824,14128,1276,14580,824e" filled="true" fillcolor="#efeeeb" stroked="false">
              <v:path arrowok="t"/>
              <v:fill type="solid"/>
            </v:shape>
            <v:shape style="position:absolute;left:12773;top:372;width:904;height:904" coordorigin="12774,372" coordsize="904,904" path="m13225,372l12774,824,13225,1276,13677,824,13225,372xe" filled="true" fillcolor="#c0aac2" stroked="false">
              <v:path arrowok="t"/>
              <v:fill type="solid"/>
            </v:shape>
            <v:shape style="position:absolute;left:8519;top:252;width:1455;height:2532" coordorigin="8519,253" coordsize="1455,2532" path="m9974,2542l9570,2775,9579,2784,9974,2556,9974,2542m9974,2463l9520,2725,9529,2734,9974,2477,9974,2463m9974,2384l9470,2675,9479,2684,9974,2398,9974,2384m9974,2305l9420,2625,9429,2634,9974,2319,9974,2305m9974,2226l9370,2575,9379,2584,9974,2240,9974,2226m9974,2147l9320,2525,9329,2534,9974,2161,9974,2147m9974,2068l9270,2475,9279,2484,9974,2082,9974,2068m9974,1989l9220,2425,9229,2434,9974,2004,9974,1989m9974,1910l9170,2375,9179,2384,9974,1925,9974,1910m9974,1831l9120,2325,9129,2334,9974,1846,9974,1831m9974,1752l9070,2274,9079,2284,9974,1767,9974,1752m9974,1673l9020,2224,9029,2234,9974,1688,9974,1673m9974,1594l8970,2174,8979,2184,9974,1609,9974,1594m9974,1437l8869,2074,8879,2083,9974,1451,9974,1437m9974,1358l8819,2024,8829,2033,9974,1372,9974,1358m9974,1279l8769,1974,8779,1983,9974,1293,9974,1279m9974,1200l8719,1924,8728,1933,9974,1214,9974,1200m9974,1121l8669,1874,8678,1883,9974,1135,9974,1121m9974,1042l8619,1824,8628,1833,9974,1056,9974,1042m9974,963l8569,1774,8578,1783,9974,977,9974,963m9974,884l8519,1724,8528,1733,9974,899,9974,884m9974,805l8662,1563,8627,1597,9974,820,9974,805m9974,647l9035,1189,9001,1224,9974,662,9974,647m9974,489l9409,816,9374,850,9974,504,9974,489m9974,332l9782,442,9748,477,9974,346,9974,332m9974,1516l8920,2124,8929,2134,9974,1530,9974,1516m9974,726l8848,1376,8814,1410,9974,741,9974,726m9974,568l9222,1003,9188,1037,9974,583,9974,568m9974,411l9595,629,9561,663,9974,425,9974,411m9974,253l9969,256,9935,290,9974,267,9974,253e" filled="true" fillcolor="#cdcccd" stroked="false">
              <v:path arrowok="t"/>
              <v:fill type="solid"/>
            </v:shape>
            <v:shape style="position:absolute;left:9620;top:2620;width:354;height:514" type="#_x0000_t75" stroked="false">
              <v:imagedata r:id="rId147" o:title=""/>
            </v:shape>
            <v:shape style="position:absolute;left:9974;top:270;width:24;height:18" coordorigin="9974,271" coordsize="24,18" path="m9994,271l9974,282,9974,288,9998,274,9994,271xe" filled="true" fillcolor="#cdcccd" stroked="false">
              <v:path arrowok="t"/>
              <v:fill type="solid"/>
            </v:shape>
            <v:shape style="position:absolute;left:9974;top:320;width:375;height:520" type="#_x0000_t75" stroked="false">
              <v:imagedata r:id="rId148" o:title=""/>
            </v:shape>
            <v:shape style="position:absolute;left:9974;top:670;width:1438;height:2301" coordorigin="9974,671" coordsize="1438,2301" path="m10398,675l10395,671,9974,914,9974,919,10398,675m10448,725l10445,721,9974,993,9974,998,10448,725m10478,2675l9974,2966,9974,2972,10465,2688,10478,2675m10498,775l10495,771,9974,1071,9974,1077,10498,775m10548,825l10545,821,9974,1150,9974,1156,10548,825m10598,875l10595,871,9974,1229,9974,1235,10598,875m10648,925l10645,921,9974,1308,9974,1314,10648,925m10665,2488l9974,2887,9974,2893,10651,2502,10665,2488m10699,975l10695,971,9974,1387,9974,1393,10699,975m10749,1025l10745,1021,9974,1466,9974,1472,10749,1025m10799,1075l10795,1071,9974,1545,9974,1551,10799,1075m10849,1125l10845,1121,9974,1624,9974,1630,10849,1125m10852,2301l9974,2808,9974,2814,10838,2315,10852,2301m10899,1175l10895,1171,9974,1703,9974,1709,10899,1175m10949,1225l10945,1221,9974,1782,9974,1788,10949,1225m10999,1275l10995,1271,9974,1861,9974,1867,10999,1275m11039,2114l9974,2729,9974,2735,11025,2128,11039,2114m11049,1325l11045,1321,9974,1940,9974,1946,11049,1325m11099,1375l11095,1371,9974,2019,9974,2024,11099,1375m11149,1425l11145,1421,9974,2098,9974,2103,11149,1425m11199,1475l11195,1472,9974,2177,9974,2182,11199,1475m11225,1928l9974,2650,9974,2656,11212,1941,11225,1928m11249,1525l11245,1522,9974,2255,9974,2261,11249,1525m11299,1575l11295,1572,9974,2334,9974,2340,11299,1575m11349,1625l11345,1622,9974,2413,9974,2419,11349,1625m11399,1675l11395,1672,9974,2492,9974,2498,11399,1675m11412,1741l9974,2571,9974,2577,11398,1755,11412,1741e" filled="true" fillcolor="#cdcccd" stroked="false">
              <v:path arrowok="t"/>
              <v:fill type="solid"/>
            </v:shape>
            <v:shape style="position:absolute;left:9974;top:2861;width:318;height:268" type="#_x0000_t75" stroked="false">
              <v:imagedata r:id="rId149" o:title=""/>
            </v:shape>
            <v:shape style="position:absolute;left:15424;top:1075;width:900;height:904" coordorigin="15424,1076" coordsize="900,904" path="m15874,1076l15424,1526,15424,1529,15874,1979,16324,1529,16324,1526,15874,1076xe" filled="true" fillcolor="#c4cd71" stroked="false">
              <v:path arrowok="t"/>
              <v:fill type="solid"/>
            </v:shape>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rect style="position:absolute;left:4810;top:0;width:2406;height:851" filled="true" fillcolor="#e6e7e8" stroked="false">
              <v:fill type="solid"/>
            </v:rect>
            <v:shape style="position:absolute;left:4810;top:0;width:583;height:583" type="#_x0000_t75" stroked="false">
              <v:imagedata r:id="rId51" o:title=""/>
            </v:shape>
            <v:rect style="position:absolute;left:7216;top:0;width:2406;height:851" filled="true" fillcolor="#c4cd71" stroked="false">
              <v:fill type="solid"/>
            </v:rect>
            <v:rect style="position:absolute;left:9621;top:0;width:2406;height:851" filled="true" fillcolor="#bec85c" stroked="false">
              <v:fill type="solid"/>
            </v:rect>
            <v:rect style="position:absolute;left:12026;top:0;width:2406;height:851" filled="true" fillcolor="#b6c247" stroked="false">
              <v:fill type="solid"/>
            </v:rect>
            <v:rect style="position:absolute;left:14432;top:0;width:2406;height:851" filled="true" fillcolor="#aebd37" stroked="false">
              <v:fill type="solid"/>
            </v:rect>
            <v:line style="position:absolute" from="16838,0" to="16838,850" stroked="true" strokeweight=".001pt" strokecolor="#aebd37">
              <v:stroke dashstyle="solid"/>
            </v:line>
            <v:shape style="position:absolute;left:15263;top:1366;width:161;height:322" type="#_x0000_t75" stroked="false">
              <v:imagedata r:id="rId16" o:title=""/>
            </v:shape>
            <v:shape style="position:absolute;left:16324;top:1366;width:161;height:322" type="#_x0000_t75" stroked="false">
              <v:imagedata r:id="rId11"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tabs>
          <w:tab w:pos="1227" w:val="left" w:leader="none"/>
          <w:tab w:pos="4671" w:val="left" w:leader="none"/>
          <w:tab w:pos="16072" w:val="left" w:leader="none"/>
        </w:tabs>
        <w:spacing w:before="0"/>
        <w:ind w:left="765" w:right="0" w:firstLine="0"/>
        <w:jc w:val="left"/>
        <w:rPr>
          <w:sz w:val="16"/>
        </w:rPr>
      </w:pPr>
      <w:r>
        <w:rPr>
          <w:b/>
          <w:color w:val="6F2770"/>
          <w:sz w:val="16"/>
        </w:rPr>
        <w:t>20</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pStyle w:val="BodyText"/>
        <w:rPr>
          <w:sz w:val="20"/>
        </w:rPr>
      </w:pPr>
      <w:bookmarkStart w:name="_bookmark14" w:id="15"/>
      <w:bookmarkEnd w:id="15"/>
      <w:r>
        <w:rPr/>
      </w:r>
      <w:r>
        <w:rPr>
          <w:sz w:val="20"/>
        </w:rPr>
        <w:pict>
          <v:group style="width:360.85pt;height:42.55pt;mso-position-horizontal-relative:char;mso-position-vertical-relative:line" coordorigin="0,0" coordsize="7217,851">
            <v:rect style="position:absolute;left:4810;top:0;width:2406;height:851" filled="true" fillcolor="#e6e7e8" stroked="false">
              <v:fill type="solid"/>
            </v:rect>
            <v:shape style="position:absolute;left:4810;top:0;width:583;height:583" type="#_x0000_t75" stroked="false">
              <v:imagedata r:id="rId51" o:title=""/>
            </v:shape>
            <v:shape style="position:absolute;left:4810;top:0;width:2406;height:851"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v:shape style="position:absolute;left:2405;top:0;width:2406;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0;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v:group>
        </w:pict>
      </w:r>
      <w:r>
        <w:rPr>
          <w:sz w:val="20"/>
        </w:rPr>
      </w:r>
    </w:p>
    <w:p>
      <w:pPr>
        <w:pStyle w:val="BodyText"/>
        <w:rPr>
          <w:sz w:val="20"/>
        </w:rPr>
      </w:pPr>
    </w:p>
    <w:p>
      <w:pPr>
        <w:pStyle w:val="BodyText"/>
        <w:spacing w:before="1"/>
        <w:rPr>
          <w:sz w:val="20"/>
        </w:rPr>
      </w:pPr>
    </w:p>
    <w:p>
      <w:pPr>
        <w:pStyle w:val="Heading1"/>
        <w:spacing w:before="93"/>
      </w:pPr>
      <w:r>
        <w:rPr/>
        <w:pict>
          <v:group style="position:absolute;margin-left:0pt;margin-top:-7.640212pt;width:158.75pt;height:495.95pt;mso-position-horizontal-relative:page;mso-position-vertical-relative:paragraph;z-index:-806440" coordorigin="0,-153" coordsize="3175,9919">
            <v:shape style="position:absolute;left:0;top:4166;width:2425;height:4849" coordorigin="0,4166" coordsize="2425,4849" path="m0,6962l0,9014,1026,7988,0,6962xm1026,5192l1026,5192,2424,6590,1026,5192xm0,4166l0,6218,1026,5192,1026,5192,0,4166xe" filled="true" fillcolor="#360e3f" stroked="false">
              <v:path arrowok="t"/>
              <v:fill type="solid"/>
            </v:shape>
            <v:shape style="position:absolute;left:0;top:5192;width:2425;height:2797" coordorigin="0,5192" coordsize="2425,2797" path="m1026,5192l0,6218,0,6962,1026,7988,2424,6590,1026,5192xe" filled="true" fillcolor="#2f1038" stroked="false">
              <v:path arrowok="t"/>
              <v:fill type="solid"/>
            </v:shape>
            <v:shape style="position:absolute;left:0;top:4921;width:1670;height:3339" coordorigin="0,4921" coordsize="1670,3339" path="m0,4921l0,8259,1669,6590,0,4921xe" filled="true" fillcolor="#ffffff" stroked="false">
              <v:path arrowok="t"/>
              <v:fill type="solid"/>
            </v:shape>
            <v:shape style="position:absolute;left:0;top:4716;width:1874;height:3747" type="#_x0000_t75" stroked="false">
              <v:imagedata r:id="rId151" o:title=""/>
            </v:shape>
            <v:rect style="position:absolute;left:0;top:-153;width:3175;height:9919" filled="true" fillcolor="#ffffff" stroked="false">
              <v:fill type="solid"/>
            </v:rect>
            <w10:wrap type="none"/>
          </v:group>
        </w:pict>
      </w:r>
      <w:r>
        <w:rPr/>
        <w:pict>
          <v:group style="position:absolute;margin-left:360.811798pt;margin-top:-67.324211pt;width:481.1pt;height:108.95pt;mso-position-horizontal-relative:page;mso-position-vertical-relative:paragraph;z-index:7360" coordorigin="7216,-1346" coordsize="9622,2179">
            <v:shape style="position:absolute;left:14419;top:-1347;width:1455;height:1745" coordorigin="14419,-1346" coordsize="1455,1745" path="m15219,-1346l15194,-1346,14935,-1197,14901,-1163,15219,-1346m15356,-1346l15331,-1346,14748,-1010,14714,-976,15356,-1346m15492,-1346l15467,-1346,14562,-824,14527,-789,15492,-1346m15629,-1346l15604,-1346,14419,-662,14428,-653,15629,-1346m15766,-1346l15741,-1346,14469,-612,14478,-603,15766,-1346m15874,155l15470,388,15479,398,15874,170,15874,155m15874,76l15420,338,15429,348,15874,91,15874,76m15874,-3l15370,288,15379,297,15874,12,15874,-3m15874,-82l15320,238,15329,247,15874,-67,15874,-82m15874,-161l15270,188,15279,197,15874,-146,15874,-161m15874,-240l15220,138,15229,147,15874,-225,15874,-240m15874,-318l15170,88,15179,97,15874,-304,15874,-318m15874,-397l15120,38,15129,47,15874,-383,15874,-397m15874,-476l15070,-12,15079,-3,15874,-462,15874,-476m15874,-555l15020,-62,15029,-53,15874,-541,15874,-555m15874,-713l14920,-162,14929,-153,15874,-699,15874,-713m15874,-792l14870,-212,14879,-203,15874,-778,15874,-792m15874,-871l14819,-262,14829,-253,15874,-856,15874,-871m15874,-950l14769,-312,14779,-303,15874,-935,15874,-950m15874,-1029l14719,-362,14729,-353,15874,-1014,15874,-1029m15874,-1108l14669,-412,14679,-403,15874,-1093,15874,-1108m15874,-1187l14619,-462,14628,-453,15874,-1172,15874,-1187m15874,-1345l14519,-562,14528,-553,15874,-1330,15874,-1345m15874,-634l14970,-112,14979,-103,15874,-620,15874,-634m15874,-1266l14569,-512,14578,-503,15874,-1251,15874,-1266e" filled="true" fillcolor="#cdcccd" stroked="false">
              <v:path arrowok="t"/>
              <v:fill type="solid"/>
            </v:shape>
            <v:shape style="position:absolute;left:15520;top:234;width:354;height:514" type="#_x0000_t75" stroked="false">
              <v:imagedata r:id="rId42" o:title=""/>
            </v:shape>
            <v:shape style="position:absolute;left:15874;top:-1347;width:338;height:196" type="#_x0000_t75" stroked="false">
              <v:imagedata r:id="rId20" o:title=""/>
            </v:shape>
            <v:shape style="position:absolute;left:15874;top:-1347;width:964;height:1932" coordorigin="15874,-1346" coordsize="964,1932" path="m16349,-1346l16339,-1346,15874,-1078,15874,-1072,16349,-1346m16378,288l15874,579,15874,585,16365,302,16378,288m16486,-1346l16476,-1346,15874,-999,15874,-993,16486,-1346m16565,101l15874,500,15874,506,16551,115,16565,101m16622,-1346l16612,-1346,15874,-920,15874,-915,16622,-1346m16699,-1312l16695,-1315,15874,-841,15874,-836,16699,-1312m16749,-1262l16745,-1265,15874,-762,15874,-757,16749,-1262m16752,-85l15874,421,15874,427,16738,-72,16752,-85m16799,-1212l16795,-1215,15874,-684,15874,-678,16799,-1212m16838,-214l15874,343,15874,348,16838,-208,16838,-214m16838,-293l15874,264,15874,269,16838,-287,16838,-293m16838,-372l15874,185,15874,190,16838,-366,16838,-372m16838,-451l15874,106,15874,112,16838,-445,16838,-451m16838,-530l15874,27,15874,33,16838,-524,16838,-530m16838,-608l15874,-52,15874,-46,16838,-603,16838,-608m16838,-687l15874,-131,15874,-125,16838,-682,16838,-687m16838,-766l15874,-210,15874,-204,16838,-761,16838,-766m16838,-845l15874,-289,15874,-283,16838,-839,16838,-845m16838,-924l15874,-368,15874,-362,16838,-918,16838,-924m16838,-1003l15874,-447,15874,-441,16838,-997,16838,-1003m16838,-1082l15874,-526,15874,-520,16838,-1076,16838,-1082m16838,-1161l15874,-605,15874,-599,16838,-1155,16838,-1161e" filled="true" fillcolor="#cdcccd" stroked="false">
              <v:path arrowok="t"/>
              <v:fill type="solid"/>
            </v:shape>
            <v:shape style="position:absolute;left:15874;top:474;width:318;height:269" type="#_x0000_t75" stroked="false">
              <v:imagedata r:id="rId152" o:title=""/>
            </v:shape>
            <v:shape style="position:absolute;left:13676;top:-975;width:904;height:904" coordorigin="13677,-974" coordsize="904,904" path="m14128,-974l13677,-522,14128,-71,14580,-522,14128,-974xe" filled="true" fillcolor="#ffffff" stroked="false">
              <v:path arrowok="t"/>
              <v:fill type="solid"/>
            </v:shape>
            <v:shape style="position:absolute;left:13225;top:-523;width:904;height:904" coordorigin="13225,-522" coordsize="904,904" path="m13677,-522l13225,-71,13677,381,14128,-71,13677,-522xe" filled="true" fillcolor="#e8e9c9" stroked="false">
              <v:path arrowok="t"/>
              <v:fill type="solid"/>
            </v:shape>
            <v:shape style="position:absolute;left:12773;top:-71;width:904;height:904" coordorigin="12774,-71" coordsize="904,904" path="m13225,-71l12774,381,13225,832,13677,381,13225,-71xe" filled="true" fillcolor="#d5dac6" stroked="false">
              <v:path arrowok="t"/>
              <v:fill type="solid"/>
            </v:shape>
            <v:shape style="position:absolute;left:11870;top:-975;width:2710;height:904" coordorigin="11870,-974" coordsize="2710,904" path="m12774,-522l12322,-974,11870,-522,12322,-71,12774,-522m14580,-522l14128,-974,13677,-522,14128,-71,14580,-522e" filled="true" fillcolor="#efeeeb" stroked="false">
              <v:path arrowok="t"/>
              <v:fill type="solid"/>
            </v:shape>
            <v:shape style="position:absolute;left:12773;top:-975;width:904;height:904" coordorigin="12774,-974" coordsize="904,904" path="m13225,-974l12774,-522,13225,-71,13677,-522,13225,-974xe" filled="true" fillcolor="#c0aac2" stroked="false">
              <v:path arrowok="t"/>
              <v:fill type="solid"/>
            </v:shape>
            <v:shape style="position:absolute;left:15424;top:-271;width:900;height:904" coordorigin="15424,-271" coordsize="900,904" path="m15874,-271l15424,179,15424,182,15874,632,16324,182,16324,179,15874,-271xe" filled="true" fillcolor="#c4cd71" stroked="false">
              <v:path arrowok="t"/>
              <v:fill type="solid"/>
            </v:shape>
            <v:rect style="position:absolute;left:9621;top:-1347;width:2406;height:851" filled="true" fillcolor="#bec85c" stroked="false">
              <v:fill type="solid"/>
            </v:rect>
            <v:rect style="position:absolute;left:12026;top:-1347;width:2406;height:851" filled="true" fillcolor="#b6c247" stroked="false">
              <v:fill type="solid"/>
            </v:rect>
            <v:rect style="position:absolute;left:14432;top:-1347;width:2406;height:851" filled="true" fillcolor="#aebd37" stroked="false">
              <v:fill type="solid"/>
            </v:rect>
            <v:shape style="position:absolute;left:15263;top:19;width:161;height:322" type="#_x0000_t75" stroked="false">
              <v:imagedata r:id="rId16" o:title=""/>
            </v:shape>
            <v:shape style="position:absolute;left:16324;top:19;width:161;height:322" type="#_x0000_t75" stroked="false">
              <v:imagedata r:id="rId11" o:title=""/>
            </v:shape>
            <v:shape style="position:absolute;left:15585;top:0;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4432;top:-1347;width:2406;height:851" type="#_x0000_t202" filled="false" stroked="false">
              <v:textbox inset="0,0,0,0">
                <w:txbxContent>
                  <w:p>
                    <w:pPr>
                      <w:spacing w:line="240" w:lineRule="auto" w:before="9"/>
                      <w:rPr>
                        <w:b/>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47;width:2406;height:851" type="#_x0000_t202" filled="false" stroked="false">
              <v:textbox inset="0,0,0,0">
                <w:txbxContent>
                  <w:p>
                    <w:pPr>
                      <w:spacing w:line="240" w:lineRule="auto"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1347;width:2406;height:851"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v:shape style="position:absolute;left:7216;top:-1347;width:2406;height:851"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10:wrap type="none"/>
          </v:group>
        </w:pict>
      </w:r>
      <w:r>
        <w:rPr>
          <w:color w:val="6F2770"/>
        </w:rPr>
        <w:t>Our People</w:t>
      </w:r>
    </w:p>
    <w:p>
      <w:pPr>
        <w:pStyle w:val="BodyText"/>
        <w:spacing w:before="7"/>
        <w:rPr>
          <w:sz w:val="29"/>
        </w:rPr>
      </w:pPr>
    </w:p>
    <w:p>
      <w:pPr>
        <w:spacing w:after="0"/>
        <w:rPr>
          <w:sz w:val="29"/>
        </w:rPr>
        <w:sectPr>
          <w:footerReference w:type="default" r:id="rId150"/>
          <w:pgSz w:w="16840" w:h="11910" w:orient="landscape"/>
          <w:pgMar w:footer="0" w:header="0" w:top="0" w:bottom="0" w:left="0" w:right="0"/>
        </w:sectPr>
      </w:pPr>
    </w:p>
    <w:p>
      <w:pPr>
        <w:pStyle w:val="Heading4"/>
        <w:spacing w:line="249" w:lineRule="auto" w:before="111"/>
        <w:ind w:right="32"/>
      </w:pPr>
      <w:r>
        <w:rPr>
          <w:color w:val="6F2770"/>
        </w:rPr>
        <w:t>Our</w:t>
      </w:r>
      <w:r>
        <w:rPr>
          <w:color w:val="6F2770"/>
          <w:spacing w:val="-34"/>
        </w:rPr>
        <w:t> </w:t>
      </w:r>
      <w:r>
        <w:rPr>
          <w:color w:val="6F2770"/>
        </w:rPr>
        <w:t>true</w:t>
      </w:r>
      <w:r>
        <w:rPr>
          <w:color w:val="6F2770"/>
          <w:spacing w:val="-33"/>
        </w:rPr>
        <w:t> </w:t>
      </w:r>
      <w:r>
        <w:rPr>
          <w:color w:val="6F2770"/>
        </w:rPr>
        <w:t>strength</w:t>
      </w:r>
      <w:r>
        <w:rPr>
          <w:color w:val="6F2770"/>
          <w:spacing w:val="-34"/>
        </w:rPr>
        <w:t> </w:t>
      </w:r>
      <w:r>
        <w:rPr>
          <w:color w:val="6F2770"/>
        </w:rPr>
        <w:t>is</w:t>
      </w:r>
      <w:r>
        <w:rPr>
          <w:color w:val="6F2770"/>
          <w:spacing w:val="-33"/>
        </w:rPr>
        <w:t> </w:t>
      </w:r>
      <w:r>
        <w:rPr>
          <w:color w:val="6F2770"/>
        </w:rPr>
        <w:t>our</w:t>
      </w:r>
      <w:r>
        <w:rPr>
          <w:color w:val="6F2770"/>
          <w:spacing w:val="-34"/>
        </w:rPr>
        <w:t> </w:t>
      </w:r>
      <w:r>
        <w:rPr>
          <w:color w:val="6F2770"/>
        </w:rPr>
        <w:t>people</w:t>
      </w:r>
      <w:r>
        <w:rPr>
          <w:color w:val="6F2770"/>
          <w:spacing w:val="-33"/>
        </w:rPr>
        <w:t> </w:t>
      </w:r>
      <w:r>
        <w:rPr>
          <w:color w:val="6F2770"/>
        </w:rPr>
        <w:t>who</w:t>
      </w:r>
      <w:r>
        <w:rPr>
          <w:color w:val="6F2770"/>
          <w:spacing w:val="-33"/>
        </w:rPr>
        <w:t> </w:t>
      </w:r>
      <w:r>
        <w:rPr>
          <w:color w:val="6F2770"/>
        </w:rPr>
        <w:t>demonstrate</w:t>
      </w:r>
      <w:r>
        <w:rPr>
          <w:color w:val="6F2770"/>
          <w:spacing w:val="-34"/>
        </w:rPr>
        <w:t> </w:t>
      </w:r>
      <w:r>
        <w:rPr>
          <w:color w:val="6F2770"/>
        </w:rPr>
        <w:t>leadership, innovation,</w:t>
      </w:r>
      <w:r>
        <w:rPr>
          <w:color w:val="6F2770"/>
          <w:spacing w:val="-13"/>
        </w:rPr>
        <w:t> </w:t>
      </w:r>
      <w:r>
        <w:rPr>
          <w:color w:val="6F2770"/>
        </w:rPr>
        <w:t>commitment</w:t>
      </w:r>
      <w:r>
        <w:rPr>
          <w:color w:val="6F2770"/>
          <w:spacing w:val="-12"/>
        </w:rPr>
        <w:t> </w:t>
      </w:r>
      <w:r>
        <w:rPr>
          <w:color w:val="6F2770"/>
        </w:rPr>
        <w:t>and</w:t>
      </w:r>
      <w:r>
        <w:rPr>
          <w:color w:val="6F2770"/>
          <w:spacing w:val="-12"/>
        </w:rPr>
        <w:t> </w:t>
      </w:r>
      <w:r>
        <w:rPr>
          <w:color w:val="6F2770"/>
        </w:rPr>
        <w:t>flexibility</w:t>
      </w:r>
      <w:r>
        <w:rPr>
          <w:color w:val="6F2770"/>
          <w:spacing w:val="-12"/>
        </w:rPr>
        <w:t> </w:t>
      </w:r>
      <w:r>
        <w:rPr>
          <w:color w:val="6F2770"/>
        </w:rPr>
        <w:t>in</w:t>
      </w:r>
      <w:r>
        <w:rPr>
          <w:color w:val="6F2770"/>
          <w:spacing w:val="-12"/>
        </w:rPr>
        <w:t> </w:t>
      </w:r>
      <w:r>
        <w:rPr>
          <w:color w:val="6F2770"/>
        </w:rPr>
        <w:t>all</w:t>
      </w:r>
      <w:r>
        <w:rPr>
          <w:color w:val="6F2770"/>
          <w:spacing w:val="-12"/>
        </w:rPr>
        <w:t> </w:t>
      </w:r>
      <w:r>
        <w:rPr>
          <w:color w:val="6F2770"/>
        </w:rPr>
        <w:t>they</w:t>
      </w:r>
      <w:r>
        <w:rPr>
          <w:color w:val="6F2770"/>
          <w:spacing w:val="-12"/>
        </w:rPr>
        <w:t> </w:t>
      </w:r>
      <w:r>
        <w:rPr>
          <w:color w:val="6F2770"/>
        </w:rPr>
        <w:t>do</w:t>
      </w:r>
    </w:p>
    <w:p>
      <w:pPr>
        <w:pStyle w:val="BodyText"/>
        <w:spacing w:line="249" w:lineRule="auto" w:before="142"/>
        <w:ind w:left="765" w:right="634"/>
      </w:pPr>
      <w:r>
        <w:rPr/>
        <w:br w:type="column"/>
      </w:r>
      <w:r>
        <w:rPr>
          <w:spacing w:val="-5"/>
        </w:rPr>
        <w:t>The</w:t>
      </w:r>
      <w:r>
        <w:rPr>
          <w:spacing w:val="-35"/>
        </w:rPr>
        <w:t> </w:t>
      </w:r>
      <w:r>
        <w:rPr>
          <w:spacing w:val="-7"/>
        </w:rPr>
        <w:t>Department</w:t>
      </w:r>
      <w:r>
        <w:rPr>
          <w:spacing w:val="-35"/>
        </w:rPr>
        <w:t> </w:t>
      </w:r>
      <w:r>
        <w:rPr>
          <w:spacing w:val="-4"/>
        </w:rPr>
        <w:t>of</w:t>
      </w:r>
      <w:r>
        <w:rPr>
          <w:spacing w:val="-35"/>
        </w:rPr>
        <w:t> </w:t>
      </w:r>
      <w:r>
        <w:rPr>
          <w:spacing w:val="-6"/>
        </w:rPr>
        <w:t>Finance</w:t>
      </w:r>
      <w:r>
        <w:rPr>
          <w:spacing w:val="-35"/>
        </w:rPr>
        <w:t> </w:t>
      </w:r>
      <w:r>
        <w:rPr>
          <w:spacing w:val="-7"/>
        </w:rPr>
        <w:t>Graduate</w:t>
      </w:r>
      <w:r>
        <w:rPr>
          <w:spacing w:val="-35"/>
        </w:rPr>
        <w:t> </w:t>
      </w:r>
      <w:r>
        <w:rPr>
          <w:spacing w:val="-7"/>
        </w:rPr>
        <w:t>Program</w:t>
      </w:r>
      <w:r>
        <w:rPr>
          <w:spacing w:val="-35"/>
        </w:rPr>
        <w:t> </w:t>
      </w:r>
      <w:r>
        <w:rPr>
          <w:spacing w:val="-7"/>
        </w:rPr>
        <w:t>has </w:t>
      </w:r>
      <w:r>
        <w:rPr>
          <w:spacing w:val="-6"/>
        </w:rPr>
        <w:t>been </w:t>
      </w:r>
      <w:r>
        <w:rPr>
          <w:spacing w:val="-7"/>
        </w:rPr>
        <w:t>recognised </w:t>
      </w:r>
      <w:r>
        <w:rPr>
          <w:spacing w:val="-4"/>
        </w:rPr>
        <w:t>as </w:t>
      </w:r>
      <w:r>
        <w:rPr>
          <w:spacing w:val="-5"/>
        </w:rPr>
        <w:t>one </w:t>
      </w:r>
      <w:r>
        <w:rPr>
          <w:spacing w:val="-4"/>
        </w:rPr>
        <w:t>of </w:t>
      </w:r>
      <w:r>
        <w:rPr>
          <w:spacing w:val="-5"/>
        </w:rPr>
        <w:t>the </w:t>
      </w:r>
      <w:r>
        <w:rPr>
          <w:spacing w:val="-6"/>
        </w:rPr>
        <w:t>best </w:t>
      </w:r>
      <w:r>
        <w:rPr>
          <w:spacing w:val="-4"/>
        </w:rPr>
        <w:t>in </w:t>
      </w:r>
      <w:r>
        <w:rPr>
          <w:spacing w:val="-5"/>
        </w:rPr>
        <w:t>the </w:t>
      </w:r>
      <w:r>
        <w:rPr>
          <w:spacing w:val="-7"/>
        </w:rPr>
        <w:t>public </w:t>
      </w:r>
      <w:r>
        <w:rPr>
          <w:spacing w:val="-9"/>
        </w:rPr>
        <w:t>sector, </w:t>
      </w:r>
      <w:r>
        <w:rPr>
          <w:spacing w:val="-6"/>
        </w:rPr>
        <w:t>with many </w:t>
      </w:r>
      <w:r>
        <w:rPr>
          <w:spacing w:val="-7"/>
        </w:rPr>
        <w:t>graduates pursuing successful careers</w:t>
      </w:r>
      <w:r>
        <w:rPr>
          <w:spacing w:val="-33"/>
        </w:rPr>
        <w:t> </w:t>
      </w:r>
      <w:r>
        <w:rPr>
          <w:spacing w:val="-6"/>
        </w:rPr>
        <w:t>within</w:t>
      </w:r>
      <w:r>
        <w:rPr>
          <w:spacing w:val="-32"/>
        </w:rPr>
        <w:t> </w:t>
      </w:r>
      <w:r>
        <w:rPr>
          <w:spacing w:val="-5"/>
        </w:rPr>
        <w:t>the</w:t>
      </w:r>
      <w:r>
        <w:rPr>
          <w:spacing w:val="-32"/>
        </w:rPr>
        <w:t> </w:t>
      </w:r>
      <w:r>
        <w:rPr>
          <w:spacing w:val="-7"/>
        </w:rPr>
        <w:t>Department</w:t>
      </w:r>
      <w:r>
        <w:rPr>
          <w:spacing w:val="-33"/>
        </w:rPr>
        <w:t> </w:t>
      </w:r>
      <w:r>
        <w:rPr>
          <w:spacing w:val="-7"/>
        </w:rPr>
        <w:t>following</w:t>
      </w:r>
      <w:r>
        <w:rPr>
          <w:spacing w:val="-32"/>
        </w:rPr>
        <w:t> </w:t>
      </w:r>
      <w:r>
        <w:rPr>
          <w:spacing w:val="-7"/>
        </w:rPr>
        <w:t>completion</w:t>
      </w:r>
    </w:p>
    <w:p>
      <w:pPr>
        <w:spacing w:after="0" w:line="249" w:lineRule="auto"/>
        <w:sectPr>
          <w:type w:val="continuous"/>
          <w:pgSz w:w="16840" w:h="11910" w:orient="landscape"/>
          <w:pgMar w:top="0" w:bottom="0" w:left="0" w:right="0"/>
          <w:cols w:num="2" w:equalWidth="0">
            <w:col w:w="10155" w:space="334"/>
            <w:col w:w="6351"/>
          </w:cols>
        </w:sectPr>
      </w:pPr>
    </w:p>
    <w:p>
      <w:pPr>
        <w:pStyle w:val="BodyText"/>
        <w:spacing w:line="249" w:lineRule="auto" w:before="30"/>
        <w:ind w:left="765"/>
      </w:pPr>
      <w:r>
        <w:rPr>
          <w:spacing w:val="-5"/>
        </w:rPr>
        <w:t>The</w:t>
      </w:r>
      <w:r>
        <w:rPr>
          <w:spacing w:val="-33"/>
        </w:rPr>
        <w:t> </w:t>
      </w:r>
      <w:r>
        <w:rPr>
          <w:spacing w:val="-7"/>
        </w:rPr>
        <w:t>Department</w:t>
      </w:r>
      <w:r>
        <w:rPr>
          <w:spacing w:val="-33"/>
        </w:rPr>
        <w:t> </w:t>
      </w:r>
      <w:r>
        <w:rPr>
          <w:spacing w:val="-4"/>
        </w:rPr>
        <w:t>of</w:t>
      </w:r>
      <w:r>
        <w:rPr>
          <w:spacing w:val="-32"/>
        </w:rPr>
        <w:t> </w:t>
      </w:r>
      <w:r>
        <w:rPr>
          <w:spacing w:val="-9"/>
        </w:rPr>
        <w:t>Finance’s</w:t>
      </w:r>
      <w:r>
        <w:rPr>
          <w:spacing w:val="-33"/>
        </w:rPr>
        <w:t> </w:t>
      </w:r>
      <w:hyperlink w:history="true" w:anchor="_bookmark5">
        <w:r>
          <w:rPr>
            <w:color w:val="A7BE39"/>
            <w:spacing w:val="-6"/>
            <w:u w:val="single" w:color="A7BE39"/>
          </w:rPr>
          <w:t>value</w:t>
        </w:r>
        <w:r>
          <w:rPr>
            <w:color w:val="A7BE39"/>
            <w:spacing w:val="-32"/>
            <w:u w:val="single" w:color="A7BE39"/>
          </w:rPr>
          <w:t> </w:t>
        </w:r>
        <w:r>
          <w:rPr>
            <w:color w:val="A7BE39"/>
            <w:spacing w:val="-7"/>
            <w:u w:val="single" w:color="A7BE39"/>
          </w:rPr>
          <w:t>proposition</w:t>
        </w:r>
        <w:r>
          <w:rPr>
            <w:color w:val="A7BE39"/>
            <w:spacing w:val="-29"/>
          </w:rPr>
          <w:t> </w:t>
        </w:r>
      </w:hyperlink>
      <w:r>
        <w:rPr>
          <w:spacing w:val="-4"/>
        </w:rPr>
        <w:t>is</w:t>
      </w:r>
      <w:r>
        <w:rPr>
          <w:spacing w:val="-33"/>
        </w:rPr>
        <w:t> </w:t>
      </w:r>
      <w:r>
        <w:rPr>
          <w:spacing w:val="-7"/>
        </w:rPr>
        <w:t>the foundation from </w:t>
      </w:r>
      <w:r>
        <w:rPr>
          <w:spacing w:val="-6"/>
        </w:rPr>
        <w:t>which </w:t>
      </w:r>
      <w:r>
        <w:rPr>
          <w:spacing w:val="-7"/>
        </w:rPr>
        <w:t>staff </w:t>
      </w:r>
      <w:r>
        <w:rPr>
          <w:spacing w:val="-5"/>
        </w:rPr>
        <w:t>can </w:t>
      </w:r>
      <w:r>
        <w:rPr>
          <w:spacing w:val="-7"/>
        </w:rPr>
        <w:t>aspire </w:t>
      </w:r>
      <w:r>
        <w:rPr>
          <w:spacing w:val="-4"/>
        </w:rPr>
        <w:t>to </w:t>
      </w:r>
      <w:r>
        <w:rPr>
          <w:spacing w:val="-7"/>
        </w:rPr>
        <w:t>innovate </w:t>
      </w:r>
      <w:r>
        <w:rPr>
          <w:spacing w:val="-5"/>
        </w:rPr>
        <w:t>and </w:t>
      </w:r>
      <w:r>
        <w:rPr>
          <w:spacing w:val="-4"/>
        </w:rPr>
        <w:t>do </w:t>
      </w:r>
      <w:r>
        <w:rPr>
          <w:spacing w:val="-6"/>
        </w:rPr>
        <w:t>things </w:t>
      </w:r>
      <w:r>
        <w:rPr>
          <w:spacing w:val="-9"/>
        </w:rPr>
        <w:t>better. </w:t>
      </w:r>
      <w:r>
        <w:rPr>
          <w:spacing w:val="-7"/>
        </w:rPr>
        <w:t>Supporting </w:t>
      </w:r>
      <w:r>
        <w:rPr>
          <w:spacing w:val="-6"/>
        </w:rPr>
        <w:t>this </w:t>
      </w:r>
      <w:r>
        <w:rPr>
          <w:spacing w:val="-4"/>
        </w:rPr>
        <w:t>is </w:t>
      </w:r>
      <w:r>
        <w:rPr/>
        <w:t>a</w:t>
      </w:r>
      <w:r>
        <w:rPr>
          <w:spacing w:val="-45"/>
        </w:rPr>
        <w:t> </w:t>
      </w:r>
      <w:r>
        <w:rPr>
          <w:spacing w:val="-8"/>
        </w:rPr>
        <w:t>strong</w:t>
      </w:r>
    </w:p>
    <w:p>
      <w:pPr>
        <w:pStyle w:val="BodyText"/>
        <w:spacing w:line="249" w:lineRule="auto" w:before="3"/>
        <w:ind w:left="765"/>
      </w:pPr>
      <w:r>
        <w:rPr>
          <w:spacing w:val="-7"/>
        </w:rPr>
        <w:t>commitment</w:t>
      </w:r>
      <w:r>
        <w:rPr>
          <w:spacing w:val="-24"/>
        </w:rPr>
        <w:t> </w:t>
      </w:r>
      <w:r>
        <w:rPr>
          <w:spacing w:val="-4"/>
        </w:rPr>
        <w:t>by</w:t>
      </w:r>
      <w:r>
        <w:rPr>
          <w:spacing w:val="-23"/>
        </w:rPr>
        <w:t> </w:t>
      </w:r>
      <w:r>
        <w:rPr>
          <w:spacing w:val="-5"/>
        </w:rPr>
        <w:t>all</w:t>
      </w:r>
      <w:r>
        <w:rPr>
          <w:spacing w:val="-23"/>
        </w:rPr>
        <w:t> </w:t>
      </w:r>
      <w:r>
        <w:rPr>
          <w:spacing w:val="-7"/>
        </w:rPr>
        <w:t>staff</w:t>
      </w:r>
      <w:r>
        <w:rPr>
          <w:spacing w:val="-23"/>
        </w:rPr>
        <w:t> </w:t>
      </w:r>
      <w:r>
        <w:rPr>
          <w:spacing w:val="-4"/>
        </w:rPr>
        <w:t>to</w:t>
      </w:r>
      <w:r>
        <w:rPr>
          <w:spacing w:val="-24"/>
        </w:rPr>
        <w:t> </w:t>
      </w:r>
      <w:r>
        <w:rPr>
          <w:spacing w:val="-6"/>
        </w:rPr>
        <w:t>uphold</w:t>
      </w:r>
      <w:r>
        <w:rPr>
          <w:spacing w:val="-23"/>
        </w:rPr>
        <w:t> </w:t>
      </w:r>
      <w:r>
        <w:rPr>
          <w:spacing w:val="-5"/>
        </w:rPr>
        <w:t>the</w:t>
      </w:r>
      <w:r>
        <w:rPr>
          <w:spacing w:val="-23"/>
        </w:rPr>
        <w:t> </w:t>
      </w:r>
      <w:r>
        <w:rPr>
          <w:spacing w:val="-10"/>
        </w:rPr>
        <w:t>agency’s</w:t>
      </w:r>
      <w:r>
        <w:rPr>
          <w:spacing w:val="-23"/>
        </w:rPr>
        <w:t> </w:t>
      </w:r>
      <w:r>
        <w:rPr>
          <w:spacing w:val="-7"/>
        </w:rPr>
        <w:t>cultural </w:t>
      </w:r>
      <w:r>
        <w:rPr>
          <w:spacing w:val="-6"/>
        </w:rPr>
        <w:t>values </w:t>
      </w:r>
      <w:r>
        <w:rPr>
          <w:spacing w:val="-4"/>
        </w:rPr>
        <w:t>of </w:t>
      </w:r>
      <w:r>
        <w:rPr>
          <w:spacing w:val="-7"/>
        </w:rPr>
        <w:t>Leadership, </w:t>
      </w:r>
      <w:r>
        <w:rPr>
          <w:spacing w:val="-8"/>
        </w:rPr>
        <w:t>Accountability, </w:t>
      </w:r>
      <w:r>
        <w:rPr>
          <w:spacing w:val="-7"/>
        </w:rPr>
        <w:t>Commitment, Listening</w:t>
      </w:r>
      <w:r>
        <w:rPr>
          <w:spacing w:val="-17"/>
        </w:rPr>
        <w:t> </w:t>
      </w:r>
      <w:r>
        <w:rPr>
          <w:spacing w:val="-5"/>
        </w:rPr>
        <w:t>and</w:t>
      </w:r>
      <w:r>
        <w:rPr>
          <w:spacing w:val="-17"/>
        </w:rPr>
        <w:t> </w:t>
      </w:r>
      <w:r>
        <w:rPr>
          <w:spacing w:val="-6"/>
        </w:rPr>
        <w:t>Caring</w:t>
      </w:r>
      <w:r>
        <w:rPr>
          <w:spacing w:val="-16"/>
        </w:rPr>
        <w:t> </w:t>
      </w:r>
      <w:r>
        <w:rPr>
          <w:spacing w:val="-5"/>
        </w:rPr>
        <w:t>and</w:t>
      </w:r>
      <w:r>
        <w:rPr>
          <w:spacing w:val="-17"/>
        </w:rPr>
        <w:t> </w:t>
      </w:r>
      <w:r>
        <w:rPr>
          <w:spacing w:val="-6"/>
        </w:rPr>
        <w:t>People</w:t>
      </w:r>
      <w:r>
        <w:rPr>
          <w:spacing w:val="-16"/>
        </w:rPr>
        <w:t> </w:t>
      </w:r>
      <w:r>
        <w:rPr>
          <w:spacing w:val="-9"/>
        </w:rPr>
        <w:t>Matter.</w:t>
      </w:r>
    </w:p>
    <w:p>
      <w:pPr>
        <w:pStyle w:val="BodyText"/>
        <w:spacing w:before="2"/>
        <w:rPr>
          <w:sz w:val="23"/>
        </w:rPr>
      </w:pPr>
    </w:p>
    <w:p>
      <w:pPr>
        <w:pStyle w:val="BodyText"/>
        <w:ind w:left="765"/>
      </w:pPr>
      <w:r>
        <w:rPr/>
        <w:t>These values, along with the Department’s</w:t>
      </w:r>
    </w:p>
    <w:p>
      <w:pPr>
        <w:pStyle w:val="BodyText"/>
        <w:spacing w:line="249" w:lineRule="auto" w:before="11"/>
        <w:ind w:left="765"/>
      </w:pPr>
      <w:r>
        <w:rPr>
          <w:spacing w:val="-6"/>
        </w:rPr>
        <w:t>ongoing</w:t>
      </w:r>
      <w:r>
        <w:rPr>
          <w:spacing w:val="-23"/>
        </w:rPr>
        <w:t> </w:t>
      </w:r>
      <w:r>
        <w:rPr>
          <w:spacing w:val="-7"/>
        </w:rPr>
        <w:t>commitment</w:t>
      </w:r>
      <w:r>
        <w:rPr>
          <w:spacing w:val="-22"/>
        </w:rPr>
        <w:t> </w:t>
      </w:r>
      <w:r>
        <w:rPr>
          <w:spacing w:val="-4"/>
        </w:rPr>
        <w:t>to</w:t>
      </w:r>
      <w:r>
        <w:rPr>
          <w:spacing w:val="-23"/>
        </w:rPr>
        <w:t> </w:t>
      </w:r>
      <w:r>
        <w:rPr>
          <w:spacing w:val="-7"/>
        </w:rPr>
        <w:t>innovation</w:t>
      </w:r>
      <w:r>
        <w:rPr>
          <w:spacing w:val="-22"/>
        </w:rPr>
        <w:t> </w:t>
      </w:r>
      <w:r>
        <w:rPr>
          <w:spacing w:val="-4"/>
        </w:rPr>
        <w:t>in</w:t>
      </w:r>
      <w:r>
        <w:rPr>
          <w:spacing w:val="-23"/>
        </w:rPr>
        <w:t> </w:t>
      </w:r>
      <w:r>
        <w:rPr>
          <w:spacing w:val="-5"/>
        </w:rPr>
        <w:t>all</w:t>
      </w:r>
      <w:r>
        <w:rPr>
          <w:spacing w:val="-22"/>
        </w:rPr>
        <w:t> </w:t>
      </w:r>
      <w:r>
        <w:rPr>
          <w:spacing w:val="-6"/>
        </w:rPr>
        <w:t>that</w:t>
      </w:r>
      <w:r>
        <w:rPr>
          <w:spacing w:val="-23"/>
        </w:rPr>
        <w:t> </w:t>
      </w:r>
      <w:r>
        <w:rPr>
          <w:spacing w:val="-4"/>
        </w:rPr>
        <w:t>we</w:t>
      </w:r>
      <w:r>
        <w:rPr>
          <w:spacing w:val="-22"/>
        </w:rPr>
        <w:t> </w:t>
      </w:r>
      <w:r>
        <w:rPr>
          <w:spacing w:val="-7"/>
        </w:rPr>
        <w:t>do, </w:t>
      </w:r>
      <w:r>
        <w:rPr>
          <w:spacing w:val="-6"/>
        </w:rPr>
        <w:t>are</w:t>
      </w:r>
      <w:r>
        <w:rPr>
          <w:spacing w:val="-20"/>
        </w:rPr>
        <w:t> </w:t>
      </w:r>
      <w:r>
        <w:rPr>
          <w:spacing w:val="-7"/>
        </w:rPr>
        <w:t>recognised</w:t>
      </w:r>
      <w:r>
        <w:rPr>
          <w:spacing w:val="-19"/>
        </w:rPr>
        <w:t> </w:t>
      </w:r>
      <w:r>
        <w:rPr>
          <w:spacing w:val="-5"/>
        </w:rPr>
        <w:t>and</w:t>
      </w:r>
      <w:r>
        <w:rPr>
          <w:spacing w:val="-19"/>
        </w:rPr>
        <w:t> </w:t>
      </w:r>
      <w:r>
        <w:rPr>
          <w:spacing w:val="-7"/>
        </w:rPr>
        <w:t>promoted</w:t>
      </w:r>
      <w:r>
        <w:rPr>
          <w:spacing w:val="-19"/>
        </w:rPr>
        <w:t> </w:t>
      </w:r>
      <w:r>
        <w:rPr>
          <w:spacing w:val="-4"/>
        </w:rPr>
        <w:t>by</w:t>
      </w:r>
      <w:r>
        <w:rPr>
          <w:spacing w:val="-20"/>
        </w:rPr>
        <w:t> </w:t>
      </w:r>
      <w:r>
        <w:rPr>
          <w:spacing w:val="-7"/>
        </w:rPr>
        <w:t>management</w:t>
      </w:r>
    </w:p>
    <w:p>
      <w:pPr>
        <w:spacing w:line="249" w:lineRule="auto" w:before="2"/>
        <w:ind w:left="765" w:right="383" w:firstLine="0"/>
        <w:jc w:val="left"/>
        <w:rPr>
          <w:sz w:val="22"/>
        </w:rPr>
      </w:pPr>
      <w:r>
        <w:rPr>
          <w:spacing w:val="-5"/>
          <w:sz w:val="22"/>
        </w:rPr>
        <w:t>and </w:t>
      </w:r>
      <w:r>
        <w:rPr>
          <w:spacing w:val="-7"/>
          <w:sz w:val="22"/>
        </w:rPr>
        <w:t>through </w:t>
      </w:r>
      <w:r>
        <w:rPr>
          <w:spacing w:val="-6"/>
          <w:sz w:val="22"/>
        </w:rPr>
        <w:t>formal </w:t>
      </w:r>
      <w:r>
        <w:rPr>
          <w:spacing w:val="-7"/>
          <w:sz w:val="22"/>
        </w:rPr>
        <w:t>programs, </w:t>
      </w:r>
      <w:r>
        <w:rPr>
          <w:spacing w:val="-5"/>
          <w:sz w:val="22"/>
        </w:rPr>
        <w:t>run </w:t>
      </w:r>
      <w:r>
        <w:rPr>
          <w:spacing w:val="-4"/>
          <w:sz w:val="22"/>
        </w:rPr>
        <w:t>by </w:t>
      </w:r>
      <w:r>
        <w:rPr>
          <w:b/>
          <w:spacing w:val="-7"/>
          <w:sz w:val="22"/>
        </w:rPr>
        <w:t>Corporate Services</w:t>
      </w:r>
      <w:r>
        <w:rPr>
          <w:spacing w:val="-7"/>
          <w:sz w:val="22"/>
        </w:rPr>
        <w:t>.</w:t>
      </w:r>
    </w:p>
    <w:p>
      <w:pPr>
        <w:pStyle w:val="BodyText"/>
        <w:spacing w:before="1"/>
        <w:rPr>
          <w:sz w:val="23"/>
        </w:rPr>
      </w:pPr>
    </w:p>
    <w:p>
      <w:pPr>
        <w:pStyle w:val="BodyText"/>
        <w:spacing w:line="249" w:lineRule="auto"/>
        <w:ind w:left="765"/>
      </w:pPr>
      <w:r>
        <w:rPr>
          <w:spacing w:val="-7"/>
        </w:rPr>
        <w:t>Staff from across </w:t>
      </w:r>
      <w:r>
        <w:rPr>
          <w:spacing w:val="-5"/>
        </w:rPr>
        <w:t>the </w:t>
      </w:r>
      <w:r>
        <w:rPr>
          <w:spacing w:val="-7"/>
        </w:rPr>
        <w:t>Department </w:t>
      </w:r>
      <w:r>
        <w:rPr>
          <w:spacing w:val="-6"/>
        </w:rPr>
        <w:t>lead </w:t>
      </w:r>
      <w:r>
        <w:rPr>
          <w:spacing w:val="-9"/>
        </w:rPr>
        <w:t>Finance’s </w:t>
      </w:r>
      <w:r>
        <w:rPr>
          <w:spacing w:val="-7"/>
        </w:rPr>
        <w:t>Innovation</w:t>
      </w:r>
      <w:r>
        <w:rPr>
          <w:spacing w:val="-31"/>
        </w:rPr>
        <w:t> </w:t>
      </w:r>
      <w:r>
        <w:rPr>
          <w:spacing w:val="-9"/>
        </w:rPr>
        <w:t>Champion’s</w:t>
      </w:r>
      <w:r>
        <w:rPr>
          <w:spacing w:val="-30"/>
        </w:rPr>
        <w:t> </w:t>
      </w:r>
      <w:r>
        <w:rPr>
          <w:spacing w:val="-7"/>
        </w:rPr>
        <w:t>Group</w:t>
      </w:r>
      <w:r>
        <w:rPr>
          <w:spacing w:val="-31"/>
        </w:rPr>
        <w:t> </w:t>
      </w:r>
      <w:r>
        <w:rPr>
          <w:spacing w:val="-4"/>
        </w:rPr>
        <w:t>to</w:t>
      </w:r>
      <w:r>
        <w:rPr>
          <w:spacing w:val="-30"/>
        </w:rPr>
        <w:t> </w:t>
      </w:r>
      <w:r>
        <w:rPr>
          <w:spacing w:val="-7"/>
        </w:rPr>
        <w:t>encourage,</w:t>
      </w:r>
      <w:r>
        <w:rPr>
          <w:spacing w:val="-31"/>
        </w:rPr>
        <w:t> </w:t>
      </w:r>
      <w:r>
        <w:rPr>
          <w:spacing w:val="-7"/>
        </w:rPr>
        <w:t>actively promote, </w:t>
      </w:r>
      <w:r>
        <w:rPr>
          <w:spacing w:val="-6"/>
        </w:rPr>
        <w:t>support </w:t>
      </w:r>
      <w:r>
        <w:rPr>
          <w:spacing w:val="-5"/>
        </w:rPr>
        <w:t>the </w:t>
      </w:r>
      <w:r>
        <w:rPr>
          <w:spacing w:val="-7"/>
        </w:rPr>
        <w:t>implementation </w:t>
      </w:r>
      <w:r>
        <w:rPr>
          <w:spacing w:val="-5"/>
        </w:rPr>
        <w:t>of, </w:t>
      </w:r>
      <w:r>
        <w:rPr>
          <w:spacing w:val="-7"/>
        </w:rPr>
        <w:t>and recognise innovative </w:t>
      </w:r>
      <w:r>
        <w:rPr>
          <w:spacing w:val="-6"/>
        </w:rPr>
        <w:t>ideas </w:t>
      </w:r>
      <w:r>
        <w:rPr>
          <w:spacing w:val="-5"/>
        </w:rPr>
        <w:t>and </w:t>
      </w:r>
      <w:r>
        <w:rPr>
          <w:spacing w:val="-7"/>
        </w:rPr>
        <w:t>projects across the </w:t>
      </w:r>
      <w:r>
        <w:rPr>
          <w:spacing w:val="-9"/>
        </w:rPr>
        <w:t>agency.</w:t>
      </w:r>
      <w:r>
        <w:rPr>
          <w:spacing w:val="7"/>
        </w:rPr>
        <w:t> </w:t>
      </w:r>
      <w:r>
        <w:rPr>
          <w:spacing w:val="-5"/>
        </w:rPr>
        <w:t>The</w:t>
      </w:r>
      <w:r>
        <w:rPr>
          <w:spacing w:val="-28"/>
        </w:rPr>
        <w:t> </w:t>
      </w:r>
      <w:r>
        <w:rPr>
          <w:spacing w:val="-7"/>
        </w:rPr>
        <w:t>Group</w:t>
      </w:r>
      <w:r>
        <w:rPr>
          <w:spacing w:val="-29"/>
        </w:rPr>
        <w:t> </w:t>
      </w:r>
      <w:r>
        <w:rPr>
          <w:spacing w:val="-6"/>
        </w:rPr>
        <w:t>also</w:t>
      </w:r>
      <w:r>
        <w:rPr>
          <w:spacing w:val="-29"/>
        </w:rPr>
        <w:t> </w:t>
      </w:r>
      <w:r>
        <w:rPr>
          <w:spacing w:val="-7"/>
        </w:rPr>
        <w:t>actively</w:t>
      </w:r>
      <w:r>
        <w:rPr>
          <w:spacing w:val="-29"/>
        </w:rPr>
        <w:t> </w:t>
      </w:r>
      <w:r>
        <w:rPr>
          <w:spacing w:val="-6"/>
        </w:rPr>
        <w:t>leads</w:t>
      </w:r>
      <w:r>
        <w:rPr>
          <w:spacing w:val="-29"/>
        </w:rPr>
        <w:t> </w:t>
      </w:r>
      <w:r>
        <w:rPr>
          <w:spacing w:val="-5"/>
        </w:rPr>
        <w:t>and</w:t>
      </w:r>
      <w:r>
        <w:rPr>
          <w:spacing w:val="-29"/>
        </w:rPr>
        <w:t> </w:t>
      </w:r>
      <w:r>
        <w:rPr>
          <w:spacing w:val="-8"/>
        </w:rPr>
        <w:t>promotes </w:t>
      </w:r>
      <w:r>
        <w:rPr>
          <w:spacing w:val="-4"/>
        </w:rPr>
        <w:t>an </w:t>
      </w:r>
      <w:r>
        <w:rPr>
          <w:spacing w:val="-7"/>
        </w:rPr>
        <w:t>innovative culture across </w:t>
      </w:r>
      <w:r>
        <w:rPr>
          <w:spacing w:val="-5"/>
        </w:rPr>
        <w:t>the </w:t>
      </w:r>
      <w:r>
        <w:rPr>
          <w:spacing w:val="-7"/>
        </w:rPr>
        <w:t>Department by facilitating </w:t>
      </w:r>
      <w:r>
        <w:rPr>
          <w:spacing w:val="-6"/>
        </w:rPr>
        <w:t>annual </w:t>
      </w:r>
      <w:r>
        <w:rPr>
          <w:i/>
          <w:spacing w:val="-7"/>
        </w:rPr>
        <w:t>FINnovation </w:t>
      </w:r>
      <w:r>
        <w:rPr>
          <w:i/>
          <w:spacing w:val="-6"/>
        </w:rPr>
        <w:t>Awards</w:t>
      </w:r>
      <w:r>
        <w:rPr>
          <w:spacing w:val="-6"/>
        </w:rPr>
        <w:t>, </w:t>
      </w:r>
      <w:r>
        <w:rPr>
          <w:spacing w:val="-8"/>
        </w:rPr>
        <w:t>recognising </w:t>
      </w:r>
      <w:r>
        <w:rPr>
          <w:spacing w:val="-7"/>
        </w:rPr>
        <w:t>staff</w:t>
      </w:r>
      <w:r>
        <w:rPr>
          <w:spacing w:val="-30"/>
        </w:rPr>
        <w:t> </w:t>
      </w:r>
      <w:r>
        <w:rPr>
          <w:spacing w:val="-5"/>
        </w:rPr>
        <w:t>for</w:t>
      </w:r>
      <w:r>
        <w:rPr>
          <w:spacing w:val="-29"/>
        </w:rPr>
        <w:t> </w:t>
      </w:r>
      <w:r>
        <w:rPr>
          <w:spacing w:val="-7"/>
        </w:rPr>
        <w:t>demonstrating</w:t>
      </w:r>
      <w:r>
        <w:rPr>
          <w:spacing w:val="-29"/>
        </w:rPr>
        <w:t> </w:t>
      </w:r>
      <w:r>
        <w:rPr>
          <w:spacing w:val="-7"/>
        </w:rPr>
        <w:t>behaviours</w:t>
      </w:r>
      <w:r>
        <w:rPr>
          <w:spacing w:val="-29"/>
        </w:rPr>
        <w:t> </w:t>
      </w:r>
      <w:r>
        <w:rPr>
          <w:spacing w:val="-6"/>
        </w:rPr>
        <w:t>that</w:t>
      </w:r>
      <w:r>
        <w:rPr>
          <w:spacing w:val="-29"/>
        </w:rPr>
        <w:t> </w:t>
      </w:r>
      <w:r>
        <w:rPr>
          <w:spacing w:val="-7"/>
        </w:rPr>
        <w:t>exemplify</w:t>
      </w:r>
      <w:r>
        <w:rPr>
          <w:spacing w:val="-29"/>
        </w:rPr>
        <w:t> </w:t>
      </w:r>
      <w:r>
        <w:rPr>
          <w:spacing w:val="-7"/>
        </w:rPr>
        <w:t>our values.</w:t>
      </w:r>
    </w:p>
    <w:p>
      <w:pPr>
        <w:pStyle w:val="BodyText"/>
        <w:spacing w:before="8"/>
        <w:rPr>
          <w:sz w:val="23"/>
        </w:rPr>
      </w:pPr>
    </w:p>
    <w:p>
      <w:pPr>
        <w:pStyle w:val="BodyText"/>
        <w:spacing w:line="249" w:lineRule="auto"/>
        <w:ind w:left="765"/>
      </w:pPr>
      <w:r>
        <w:rPr>
          <w:spacing w:val="-6"/>
        </w:rPr>
        <w:t>This</w:t>
      </w:r>
      <w:r>
        <w:rPr>
          <w:spacing w:val="-28"/>
        </w:rPr>
        <w:t> </w:t>
      </w:r>
      <w:r>
        <w:rPr>
          <w:spacing w:val="-6"/>
        </w:rPr>
        <w:t>year</w:t>
      </w:r>
      <w:r>
        <w:rPr>
          <w:spacing w:val="-28"/>
        </w:rPr>
        <w:t> </w:t>
      </w:r>
      <w:r>
        <w:rPr>
          <w:spacing w:val="-5"/>
        </w:rPr>
        <w:t>the</w:t>
      </w:r>
      <w:r>
        <w:rPr>
          <w:spacing w:val="-27"/>
        </w:rPr>
        <w:t> </w:t>
      </w:r>
      <w:r>
        <w:rPr>
          <w:spacing w:val="-7"/>
        </w:rPr>
        <w:t>Group</w:t>
      </w:r>
      <w:r>
        <w:rPr>
          <w:spacing w:val="-28"/>
        </w:rPr>
        <w:t> </w:t>
      </w:r>
      <w:r>
        <w:rPr>
          <w:spacing w:val="-7"/>
        </w:rPr>
        <w:t>sponsored</w:t>
      </w:r>
      <w:r>
        <w:rPr>
          <w:spacing w:val="-28"/>
        </w:rPr>
        <w:t> </w:t>
      </w:r>
      <w:r>
        <w:rPr/>
        <w:t>a</w:t>
      </w:r>
      <w:r>
        <w:rPr>
          <w:spacing w:val="-27"/>
        </w:rPr>
        <w:t> </w:t>
      </w:r>
      <w:r>
        <w:rPr>
          <w:spacing w:val="-6"/>
        </w:rPr>
        <w:t>trial</w:t>
      </w:r>
      <w:r>
        <w:rPr>
          <w:spacing w:val="-28"/>
        </w:rPr>
        <w:t> </w:t>
      </w:r>
      <w:r>
        <w:rPr>
          <w:spacing w:val="-4"/>
        </w:rPr>
        <w:t>to</w:t>
      </w:r>
      <w:r>
        <w:rPr>
          <w:spacing w:val="-28"/>
        </w:rPr>
        <w:t> </w:t>
      </w:r>
      <w:r>
        <w:rPr>
          <w:spacing w:val="-7"/>
        </w:rPr>
        <w:t>optimise </w:t>
      </w:r>
      <w:r>
        <w:rPr>
          <w:spacing w:val="-6"/>
        </w:rPr>
        <w:t>parking</w:t>
      </w:r>
      <w:r>
        <w:rPr>
          <w:spacing w:val="-27"/>
        </w:rPr>
        <w:t> </w:t>
      </w:r>
      <w:r>
        <w:rPr>
          <w:spacing w:val="-5"/>
        </w:rPr>
        <w:t>bay</w:t>
      </w:r>
      <w:r>
        <w:rPr>
          <w:spacing w:val="-26"/>
        </w:rPr>
        <w:t> </w:t>
      </w:r>
      <w:r>
        <w:rPr>
          <w:spacing w:val="-7"/>
        </w:rPr>
        <w:t>utilisation</w:t>
      </w:r>
      <w:r>
        <w:rPr>
          <w:spacing w:val="-27"/>
        </w:rPr>
        <w:t> </w:t>
      </w:r>
      <w:r>
        <w:rPr>
          <w:spacing w:val="-7"/>
        </w:rPr>
        <w:t>through</w:t>
      </w:r>
      <w:r>
        <w:rPr>
          <w:spacing w:val="-26"/>
        </w:rPr>
        <w:t> </w:t>
      </w:r>
      <w:r>
        <w:rPr>
          <w:spacing w:val="-5"/>
        </w:rPr>
        <w:t>the</w:t>
      </w:r>
      <w:r>
        <w:rPr>
          <w:spacing w:val="-26"/>
        </w:rPr>
        <w:t> </w:t>
      </w:r>
      <w:r>
        <w:rPr>
          <w:spacing w:val="-5"/>
        </w:rPr>
        <w:t>use</w:t>
      </w:r>
      <w:r>
        <w:rPr>
          <w:spacing w:val="-27"/>
        </w:rPr>
        <w:t> </w:t>
      </w:r>
      <w:r>
        <w:rPr>
          <w:spacing w:val="-4"/>
        </w:rPr>
        <w:t>of</w:t>
      </w:r>
      <w:r>
        <w:rPr>
          <w:spacing w:val="-26"/>
        </w:rPr>
        <w:t> </w:t>
      </w:r>
      <w:r>
        <w:rPr>
          <w:spacing w:val="-4"/>
        </w:rPr>
        <w:t>an</w:t>
      </w:r>
      <w:r>
        <w:rPr>
          <w:spacing w:val="-27"/>
        </w:rPr>
        <w:t> </w:t>
      </w:r>
      <w:r>
        <w:rPr>
          <w:spacing w:val="-7"/>
        </w:rPr>
        <w:t>app.</w:t>
      </w:r>
    </w:p>
    <w:p>
      <w:pPr>
        <w:pStyle w:val="BodyText"/>
        <w:spacing w:line="249" w:lineRule="auto" w:before="2"/>
        <w:ind w:left="765"/>
      </w:pPr>
      <w:r>
        <w:rPr/>
        <w:pict>
          <v:group style="position:absolute;margin-left:234.645096pt;margin-top:4.044971pt;width:225.8pt;height:69.75pt;mso-position-horizontal-relative:page;mso-position-vertical-relative:paragraph;z-index:-806248" coordorigin="4693,81" coordsize="4516,1395">
            <v:shape style="position:absolute;left:5596;top:532;width:1807;height:943" coordorigin="5596,532" coordsize="1807,943" path="m6499,1436l6048,984,5596,1436,5635,1475,6460,1475,6499,1436m7402,1436l6951,984,6951,984,6499,532,6048,984,6499,1436,6499,1436,6725,1210,6499,1436,6539,1475,7363,1475,7402,1436e" filled="true" fillcolor="#ffffff" stroked="false">
              <v:path arrowok="t"/>
              <v:fill type="solid"/>
            </v:shape>
            <v:shape style="position:absolute;left:6499;top:80;width:904;height:904" coordorigin="6499,81" coordsize="904,904" path="m6951,81l6499,532,6951,984,7402,532,6951,81xe" filled="true" fillcolor="#96ac7a" stroked="false">
              <v:path arrowok="t"/>
              <v:fill opacity="32768f" type="solid"/>
            </v:shape>
            <v:shape style="position:absolute;left:4692;top:984;width:904;height:491" coordorigin="4693,984" coordsize="904,491" path="m5144,984l4693,1436,4732,1475,5557,1475,5596,1436,5144,984xe" filled="true" fillcolor="#513457" stroked="false">
              <v:path arrowok="t"/>
              <v:fill opacity="32768f" type="solid"/>
            </v:shape>
            <v:shape style="position:absolute;left:6047;top:532;width:904;height:904" coordorigin="6048,532" coordsize="904,904" path="m6499,532l6048,984,6499,1436,6951,984,6499,532xe" filled="true" fillcolor="#c4cd71" stroked="false">
              <v:path arrowok="t"/>
              <v:fill opacity="32768f" type="solid"/>
            </v:shape>
            <v:shape style="position:absolute;left:5596;top:984;width:904;height:491" coordorigin="5596,984" coordsize="904,491" path="m6048,984l5596,1436,5635,1475,6460,1475,6499,1436,6048,984xe" filled="true" fillcolor="#d4d4d3" stroked="false">
              <v:path arrowok="t"/>
              <v:fill opacity="32768f" type="solid"/>
            </v:shape>
            <v:shape style="position:absolute;left:8305;top:984;width:904;height:491" coordorigin="8306,984" coordsize="904,491" path="m8757,984l8306,1436,8345,1475,9169,1475,9209,1436,8757,984xe" filled="true" fillcolor="#c4cd71" stroked="false">
              <v:path arrowok="t"/>
              <v:fill opacity="32768f" type="solid"/>
            </v:shape>
            <v:shape style="position:absolute;left:7402;top:984;width:904;height:491" coordorigin="7402,984" coordsize="904,491" path="m7854,984l7402,1436,7442,1475,8266,1475,8306,1436,7854,984xe" filled="true" fillcolor="#d4d4d3" stroked="false">
              <v:path arrowok="t"/>
              <v:fill opacity="32768f" type="solid"/>
            </v:shape>
            <v:shape style="position:absolute;left:6499;top:984;width:904;height:491" coordorigin="6499,984" coordsize="904,491" path="m6951,984l6499,1436,6539,1475,7363,1475,7402,1436,6951,984xe" filled="true" fillcolor="#783a79" stroked="false">
              <v:path arrowok="t"/>
              <v:fill opacity="32768f" type="solid"/>
            </v:shape>
            <v:shape style="position:absolute;left:6499;top:984;width:452;height:452" coordorigin="6499,984" coordsize="452,452" path="m6951,984l6499,1436,6951,984xe" filled="true" fillcolor="#753972" stroked="false">
              <v:path arrowok="t"/>
              <v:fill opacity="32768f" type="solid"/>
            </v:shape>
            <w10:wrap type="none"/>
          </v:group>
        </w:pict>
      </w:r>
      <w:r>
        <w:rPr>
          <w:spacing w:val="-4"/>
        </w:rPr>
        <w:t>If</w:t>
      </w:r>
      <w:r>
        <w:rPr>
          <w:spacing w:val="-34"/>
        </w:rPr>
        <w:t> </w:t>
      </w:r>
      <w:r>
        <w:rPr>
          <w:spacing w:val="-7"/>
        </w:rPr>
        <w:t>successful,</w:t>
      </w:r>
      <w:r>
        <w:rPr>
          <w:spacing w:val="-34"/>
        </w:rPr>
        <w:t> </w:t>
      </w:r>
      <w:r>
        <w:rPr>
          <w:spacing w:val="-6"/>
        </w:rPr>
        <w:t>this</w:t>
      </w:r>
      <w:r>
        <w:rPr>
          <w:spacing w:val="-34"/>
        </w:rPr>
        <w:t> </w:t>
      </w:r>
      <w:r>
        <w:rPr>
          <w:spacing w:val="-7"/>
        </w:rPr>
        <w:t>initiative</w:t>
      </w:r>
      <w:r>
        <w:rPr>
          <w:spacing w:val="-34"/>
        </w:rPr>
        <w:t> </w:t>
      </w:r>
      <w:r>
        <w:rPr>
          <w:spacing w:val="-6"/>
        </w:rPr>
        <w:t>could</w:t>
      </w:r>
      <w:r>
        <w:rPr>
          <w:spacing w:val="-34"/>
        </w:rPr>
        <w:t> </w:t>
      </w:r>
      <w:r>
        <w:rPr>
          <w:spacing w:val="-6"/>
        </w:rPr>
        <w:t>have</w:t>
      </w:r>
      <w:r>
        <w:rPr>
          <w:spacing w:val="-34"/>
        </w:rPr>
        <w:t> </w:t>
      </w:r>
      <w:r>
        <w:rPr>
          <w:spacing w:val="-6"/>
        </w:rPr>
        <w:t>wider</w:t>
      </w:r>
      <w:r>
        <w:rPr>
          <w:spacing w:val="-33"/>
        </w:rPr>
        <w:t> </w:t>
      </w:r>
      <w:r>
        <w:rPr>
          <w:spacing w:val="-7"/>
        </w:rPr>
        <w:t>application across</w:t>
      </w:r>
      <w:r>
        <w:rPr>
          <w:spacing w:val="-14"/>
        </w:rPr>
        <w:t> </w:t>
      </w:r>
      <w:r>
        <w:rPr>
          <w:spacing w:val="-7"/>
        </w:rPr>
        <w:t>government.</w:t>
      </w:r>
    </w:p>
    <w:p>
      <w:pPr>
        <w:pStyle w:val="BodyText"/>
        <w:spacing w:line="249" w:lineRule="auto" w:before="30"/>
        <w:ind w:left="400" w:right="272"/>
      </w:pPr>
      <w:r>
        <w:rPr/>
        <w:br w:type="column"/>
      </w:r>
      <w:r>
        <w:rPr>
          <w:spacing w:val="-5"/>
        </w:rPr>
        <w:t>The </w:t>
      </w:r>
      <w:r>
        <w:rPr>
          <w:spacing w:val="-7"/>
        </w:rPr>
        <w:t>Department </w:t>
      </w:r>
      <w:r>
        <w:rPr>
          <w:spacing w:val="-4"/>
        </w:rPr>
        <w:t>of </w:t>
      </w:r>
      <w:r>
        <w:rPr>
          <w:spacing w:val="-6"/>
        </w:rPr>
        <w:t>Finance </w:t>
      </w:r>
      <w:r>
        <w:rPr>
          <w:spacing w:val="-7"/>
        </w:rPr>
        <w:t>continues </w:t>
      </w:r>
      <w:r>
        <w:rPr>
          <w:spacing w:val="-4"/>
        </w:rPr>
        <w:t>to </w:t>
      </w:r>
      <w:r>
        <w:rPr>
          <w:spacing w:val="-7"/>
        </w:rPr>
        <w:t>lead </w:t>
      </w:r>
      <w:r>
        <w:rPr>
          <w:spacing w:val="-5"/>
        </w:rPr>
        <w:t>and</w:t>
      </w:r>
      <w:r>
        <w:rPr>
          <w:spacing w:val="-25"/>
        </w:rPr>
        <w:t> </w:t>
      </w:r>
      <w:r>
        <w:rPr>
          <w:spacing w:val="-6"/>
        </w:rPr>
        <w:t>support</w:t>
      </w:r>
      <w:r>
        <w:rPr>
          <w:spacing w:val="-25"/>
        </w:rPr>
        <w:t> </w:t>
      </w:r>
      <w:r>
        <w:rPr>
          <w:spacing w:val="-4"/>
        </w:rPr>
        <w:t>an</w:t>
      </w:r>
      <w:r>
        <w:rPr>
          <w:spacing w:val="-25"/>
        </w:rPr>
        <w:t> </w:t>
      </w:r>
      <w:r>
        <w:rPr>
          <w:spacing w:val="-7"/>
        </w:rPr>
        <w:t>interagency</w:t>
      </w:r>
      <w:r>
        <w:rPr>
          <w:spacing w:val="-25"/>
        </w:rPr>
        <w:t> </w:t>
      </w:r>
      <w:r>
        <w:rPr>
          <w:spacing w:val="-7"/>
        </w:rPr>
        <w:t>mentoring</w:t>
      </w:r>
      <w:r>
        <w:rPr>
          <w:spacing w:val="-25"/>
        </w:rPr>
        <w:t> </w:t>
      </w:r>
      <w:r>
        <w:rPr>
          <w:spacing w:val="-8"/>
        </w:rPr>
        <w:t>program. </w:t>
      </w:r>
      <w:r>
        <w:rPr>
          <w:spacing w:val="-5"/>
        </w:rPr>
        <w:t>Six</w:t>
      </w:r>
      <w:r>
        <w:rPr>
          <w:spacing w:val="-30"/>
        </w:rPr>
        <w:t> </w:t>
      </w:r>
      <w:r>
        <w:rPr>
          <w:spacing w:val="-7"/>
        </w:rPr>
        <w:t>agencies</w:t>
      </w:r>
      <w:r>
        <w:rPr>
          <w:spacing w:val="-29"/>
        </w:rPr>
        <w:t> </w:t>
      </w:r>
      <w:r>
        <w:rPr>
          <w:spacing w:val="-7"/>
        </w:rPr>
        <w:t>across</w:t>
      </w:r>
      <w:r>
        <w:rPr>
          <w:spacing w:val="-29"/>
        </w:rPr>
        <w:t> </w:t>
      </w:r>
      <w:r>
        <w:rPr>
          <w:spacing w:val="-5"/>
        </w:rPr>
        <w:t>the</w:t>
      </w:r>
      <w:r>
        <w:rPr>
          <w:spacing w:val="-29"/>
        </w:rPr>
        <w:t> </w:t>
      </w:r>
      <w:r>
        <w:rPr>
          <w:spacing w:val="-6"/>
        </w:rPr>
        <w:t>public</w:t>
      </w:r>
      <w:r>
        <w:rPr>
          <w:spacing w:val="-29"/>
        </w:rPr>
        <w:t> </w:t>
      </w:r>
      <w:r>
        <w:rPr>
          <w:spacing w:val="-6"/>
        </w:rPr>
        <w:t>sector</w:t>
      </w:r>
      <w:r>
        <w:rPr>
          <w:spacing w:val="-29"/>
        </w:rPr>
        <w:t> </w:t>
      </w:r>
      <w:r>
        <w:rPr>
          <w:spacing w:val="-7"/>
        </w:rPr>
        <w:t>participate,</w:t>
      </w:r>
    </w:p>
    <w:p>
      <w:pPr>
        <w:pStyle w:val="BodyText"/>
        <w:spacing w:line="249" w:lineRule="auto" w:before="3"/>
        <w:ind w:left="400" w:right="-6"/>
      </w:pPr>
      <w:r>
        <w:rPr>
          <w:spacing w:val="-7"/>
        </w:rPr>
        <w:t>where</w:t>
      </w:r>
      <w:r>
        <w:rPr>
          <w:spacing w:val="-31"/>
        </w:rPr>
        <w:t> </w:t>
      </w:r>
      <w:r>
        <w:rPr>
          <w:spacing w:val="-6"/>
        </w:rPr>
        <w:t>mentors</w:t>
      </w:r>
      <w:r>
        <w:rPr>
          <w:spacing w:val="-30"/>
        </w:rPr>
        <w:t> </w:t>
      </w:r>
      <w:r>
        <w:rPr>
          <w:spacing w:val="-5"/>
        </w:rPr>
        <w:t>and</w:t>
      </w:r>
      <w:r>
        <w:rPr>
          <w:spacing w:val="-30"/>
        </w:rPr>
        <w:t> </w:t>
      </w:r>
      <w:r>
        <w:rPr>
          <w:spacing w:val="-6"/>
        </w:rPr>
        <w:t>mentees</w:t>
      </w:r>
      <w:r>
        <w:rPr>
          <w:spacing w:val="-30"/>
        </w:rPr>
        <w:t> </w:t>
      </w:r>
      <w:r>
        <w:rPr>
          <w:spacing w:val="-6"/>
        </w:rPr>
        <w:t>are</w:t>
      </w:r>
      <w:r>
        <w:rPr>
          <w:spacing w:val="-30"/>
        </w:rPr>
        <w:t> </w:t>
      </w:r>
      <w:r>
        <w:rPr>
          <w:spacing w:val="-7"/>
        </w:rPr>
        <w:t>paired</w:t>
      </w:r>
      <w:r>
        <w:rPr>
          <w:spacing w:val="-30"/>
        </w:rPr>
        <w:t> </w:t>
      </w:r>
      <w:r>
        <w:rPr>
          <w:spacing w:val="-7"/>
        </w:rPr>
        <w:t>from</w:t>
      </w:r>
      <w:r>
        <w:rPr>
          <w:spacing w:val="-30"/>
        </w:rPr>
        <w:t> </w:t>
      </w:r>
      <w:r>
        <w:rPr>
          <w:spacing w:val="-8"/>
        </w:rPr>
        <w:t>different </w:t>
      </w:r>
      <w:r>
        <w:rPr>
          <w:spacing w:val="-7"/>
        </w:rPr>
        <w:t>agencies, providing opportunities </w:t>
      </w:r>
      <w:r>
        <w:rPr>
          <w:spacing w:val="-4"/>
        </w:rPr>
        <w:t>to </w:t>
      </w:r>
      <w:r>
        <w:rPr>
          <w:spacing w:val="-7"/>
        </w:rPr>
        <w:t>grow employee networks</w:t>
      </w:r>
      <w:r>
        <w:rPr>
          <w:spacing w:val="-32"/>
        </w:rPr>
        <w:t> </w:t>
      </w:r>
      <w:r>
        <w:rPr>
          <w:spacing w:val="-5"/>
        </w:rPr>
        <w:t>and</w:t>
      </w:r>
      <w:r>
        <w:rPr>
          <w:spacing w:val="-31"/>
        </w:rPr>
        <w:t> </w:t>
      </w:r>
      <w:r>
        <w:rPr>
          <w:spacing w:val="-7"/>
        </w:rPr>
        <w:t>facilitate</w:t>
      </w:r>
      <w:r>
        <w:rPr>
          <w:spacing w:val="-32"/>
        </w:rPr>
        <w:t> </w:t>
      </w:r>
      <w:r>
        <w:rPr>
          <w:spacing w:val="-7"/>
        </w:rPr>
        <w:t>future</w:t>
      </w:r>
      <w:r>
        <w:rPr>
          <w:spacing w:val="-31"/>
        </w:rPr>
        <w:t> </w:t>
      </w:r>
      <w:r>
        <w:rPr>
          <w:spacing w:val="-7"/>
        </w:rPr>
        <w:t>collaboration.</w:t>
      </w:r>
      <w:r>
        <w:rPr>
          <w:spacing w:val="-31"/>
        </w:rPr>
        <w:t> </w:t>
      </w:r>
      <w:r>
        <w:rPr>
          <w:spacing w:val="-4"/>
        </w:rPr>
        <w:t>In</w:t>
      </w:r>
      <w:r>
        <w:rPr>
          <w:spacing w:val="-32"/>
        </w:rPr>
        <w:t> </w:t>
      </w:r>
      <w:r>
        <w:rPr>
          <w:spacing w:val="-7"/>
        </w:rPr>
        <w:t>addition </w:t>
      </w:r>
      <w:r>
        <w:rPr>
          <w:spacing w:val="-4"/>
        </w:rPr>
        <w:t>to</w:t>
      </w:r>
      <w:r>
        <w:rPr>
          <w:spacing w:val="-22"/>
        </w:rPr>
        <w:t> </w:t>
      </w:r>
      <w:r>
        <w:rPr>
          <w:spacing w:val="-7"/>
        </w:rPr>
        <w:t>facilitating</w:t>
      </w:r>
      <w:r>
        <w:rPr>
          <w:spacing w:val="-22"/>
        </w:rPr>
        <w:t> </w:t>
      </w:r>
      <w:r>
        <w:rPr>
          <w:spacing w:val="-5"/>
        </w:rPr>
        <w:t>the</w:t>
      </w:r>
      <w:r>
        <w:rPr>
          <w:spacing w:val="-21"/>
        </w:rPr>
        <w:t> </w:t>
      </w:r>
      <w:r>
        <w:rPr>
          <w:spacing w:val="-7"/>
        </w:rPr>
        <w:t>program,</w:t>
      </w:r>
      <w:r>
        <w:rPr>
          <w:spacing w:val="-22"/>
        </w:rPr>
        <w:t> </w:t>
      </w:r>
      <w:r>
        <w:rPr>
          <w:spacing w:val="-6"/>
        </w:rPr>
        <w:t>this</w:t>
      </w:r>
      <w:r>
        <w:rPr>
          <w:spacing w:val="-22"/>
        </w:rPr>
        <w:t> </w:t>
      </w:r>
      <w:r>
        <w:rPr>
          <w:spacing w:val="-6"/>
        </w:rPr>
        <w:t>year</w:t>
      </w:r>
      <w:r>
        <w:rPr>
          <w:spacing w:val="-21"/>
        </w:rPr>
        <w:t> </w:t>
      </w:r>
      <w:r>
        <w:rPr>
          <w:spacing w:val="-4"/>
        </w:rPr>
        <w:t>29</w:t>
      </w:r>
      <w:r>
        <w:rPr>
          <w:spacing w:val="-22"/>
        </w:rPr>
        <w:t> </w:t>
      </w:r>
      <w:r>
        <w:rPr>
          <w:spacing w:val="-7"/>
        </w:rPr>
        <w:t>Department</w:t>
      </w:r>
    </w:p>
    <w:p>
      <w:pPr>
        <w:pStyle w:val="BodyText"/>
        <w:spacing w:line="249" w:lineRule="auto" w:before="3"/>
        <w:ind w:left="400" w:right="705"/>
      </w:pPr>
      <w:r>
        <w:rPr>
          <w:spacing w:val="-4"/>
        </w:rPr>
        <w:t>of</w:t>
      </w:r>
      <w:r>
        <w:rPr>
          <w:spacing w:val="-29"/>
        </w:rPr>
        <w:t> </w:t>
      </w:r>
      <w:r>
        <w:rPr>
          <w:spacing w:val="-6"/>
        </w:rPr>
        <w:t>Finance</w:t>
      </w:r>
      <w:r>
        <w:rPr>
          <w:spacing w:val="-28"/>
        </w:rPr>
        <w:t> </w:t>
      </w:r>
      <w:r>
        <w:rPr>
          <w:spacing w:val="-7"/>
        </w:rPr>
        <w:t>staff</w:t>
      </w:r>
      <w:r>
        <w:rPr>
          <w:spacing w:val="-28"/>
        </w:rPr>
        <w:t> </w:t>
      </w:r>
      <w:r>
        <w:rPr>
          <w:spacing w:val="-7"/>
        </w:rPr>
        <w:t>participated</w:t>
      </w:r>
      <w:r>
        <w:rPr>
          <w:spacing w:val="-28"/>
        </w:rPr>
        <w:t> </w:t>
      </w:r>
      <w:r>
        <w:rPr>
          <w:spacing w:val="-4"/>
        </w:rPr>
        <w:t>in</w:t>
      </w:r>
      <w:r>
        <w:rPr>
          <w:spacing w:val="-29"/>
        </w:rPr>
        <w:t> </w:t>
      </w:r>
      <w:r>
        <w:rPr>
          <w:spacing w:val="-5"/>
        </w:rPr>
        <w:t>the</w:t>
      </w:r>
      <w:r>
        <w:rPr>
          <w:spacing w:val="-28"/>
        </w:rPr>
        <w:t> </w:t>
      </w:r>
      <w:r>
        <w:rPr>
          <w:spacing w:val="-8"/>
        </w:rPr>
        <w:t>program, </w:t>
      </w:r>
      <w:r>
        <w:rPr>
          <w:spacing w:val="-4"/>
        </w:rPr>
        <w:t>13</w:t>
      </w:r>
      <w:r>
        <w:rPr>
          <w:spacing w:val="-17"/>
        </w:rPr>
        <w:t> </w:t>
      </w:r>
      <w:r>
        <w:rPr>
          <w:spacing w:val="-4"/>
        </w:rPr>
        <w:t>as</w:t>
      </w:r>
      <w:r>
        <w:rPr>
          <w:spacing w:val="-16"/>
        </w:rPr>
        <w:t> </w:t>
      </w:r>
      <w:r>
        <w:rPr>
          <w:spacing w:val="-6"/>
        </w:rPr>
        <w:t>mentors</w:t>
      </w:r>
      <w:r>
        <w:rPr>
          <w:spacing w:val="-17"/>
        </w:rPr>
        <w:t> </w:t>
      </w:r>
      <w:r>
        <w:rPr>
          <w:spacing w:val="-5"/>
        </w:rPr>
        <w:t>and</w:t>
      </w:r>
      <w:r>
        <w:rPr>
          <w:spacing w:val="-16"/>
        </w:rPr>
        <w:t> </w:t>
      </w:r>
      <w:r>
        <w:rPr>
          <w:spacing w:val="-4"/>
        </w:rPr>
        <w:t>16</w:t>
      </w:r>
      <w:r>
        <w:rPr>
          <w:spacing w:val="-17"/>
        </w:rPr>
        <w:t> </w:t>
      </w:r>
      <w:r>
        <w:rPr>
          <w:spacing w:val="-4"/>
        </w:rPr>
        <w:t>as</w:t>
      </w:r>
      <w:r>
        <w:rPr>
          <w:spacing w:val="-16"/>
        </w:rPr>
        <w:t> </w:t>
      </w:r>
      <w:r>
        <w:rPr>
          <w:spacing w:val="-7"/>
        </w:rPr>
        <w:t>mentees.</w:t>
      </w:r>
    </w:p>
    <w:p>
      <w:pPr>
        <w:pStyle w:val="BodyText"/>
        <w:spacing w:before="1"/>
        <w:rPr>
          <w:sz w:val="23"/>
        </w:rPr>
      </w:pPr>
    </w:p>
    <w:p>
      <w:pPr>
        <w:pStyle w:val="BodyText"/>
        <w:spacing w:line="249" w:lineRule="auto" w:before="1"/>
        <w:ind w:left="400" w:right="437"/>
      </w:pPr>
      <w:r>
        <w:rPr>
          <w:spacing w:val="-5"/>
        </w:rPr>
        <w:t>The </w:t>
      </w:r>
      <w:r>
        <w:rPr>
          <w:spacing w:val="-7"/>
        </w:rPr>
        <w:t>Department </w:t>
      </w:r>
      <w:r>
        <w:rPr>
          <w:spacing w:val="-4"/>
        </w:rPr>
        <w:t>of </w:t>
      </w:r>
      <w:r>
        <w:rPr>
          <w:spacing w:val="-6"/>
        </w:rPr>
        <w:t>Finance </w:t>
      </w:r>
      <w:r>
        <w:rPr>
          <w:spacing w:val="-7"/>
        </w:rPr>
        <w:t>continues </w:t>
      </w:r>
      <w:r>
        <w:rPr>
          <w:spacing w:val="-4"/>
        </w:rPr>
        <w:t>to </w:t>
      </w:r>
      <w:r>
        <w:rPr>
          <w:spacing w:val="-7"/>
        </w:rPr>
        <w:t>raise awareness</w:t>
      </w:r>
      <w:r>
        <w:rPr>
          <w:spacing w:val="-26"/>
        </w:rPr>
        <w:t> </w:t>
      </w:r>
      <w:r>
        <w:rPr>
          <w:spacing w:val="-5"/>
        </w:rPr>
        <w:t>of,</w:t>
      </w:r>
      <w:r>
        <w:rPr>
          <w:spacing w:val="-26"/>
        </w:rPr>
        <w:t> </w:t>
      </w:r>
      <w:r>
        <w:rPr>
          <w:spacing w:val="-5"/>
        </w:rPr>
        <w:t>and</w:t>
      </w:r>
      <w:r>
        <w:rPr>
          <w:spacing w:val="-25"/>
        </w:rPr>
        <w:t> </w:t>
      </w:r>
      <w:r>
        <w:rPr>
          <w:spacing w:val="-7"/>
        </w:rPr>
        <w:t>encourage</w:t>
      </w:r>
      <w:r>
        <w:rPr>
          <w:spacing w:val="-26"/>
        </w:rPr>
        <w:t> </w:t>
      </w:r>
      <w:r>
        <w:rPr>
          <w:spacing w:val="-7"/>
        </w:rPr>
        <w:t>staff</w:t>
      </w:r>
      <w:r>
        <w:rPr>
          <w:spacing w:val="-25"/>
        </w:rPr>
        <w:t> </w:t>
      </w:r>
      <w:r>
        <w:rPr>
          <w:spacing w:val="-4"/>
        </w:rPr>
        <w:t>to</w:t>
      </w:r>
      <w:r>
        <w:rPr>
          <w:spacing w:val="-26"/>
        </w:rPr>
        <w:t> </w:t>
      </w:r>
      <w:r>
        <w:rPr>
          <w:spacing w:val="-7"/>
        </w:rPr>
        <w:t>contribute </w:t>
      </w:r>
      <w:r>
        <w:rPr>
          <w:spacing w:val="-4"/>
        </w:rPr>
        <w:t>to </w:t>
      </w:r>
      <w:r>
        <w:rPr>
          <w:spacing w:val="-5"/>
        </w:rPr>
        <w:t>our </w:t>
      </w:r>
      <w:r>
        <w:rPr>
          <w:spacing w:val="-7"/>
        </w:rPr>
        <w:t>reconciliation </w:t>
      </w:r>
      <w:r>
        <w:rPr>
          <w:spacing w:val="-9"/>
        </w:rPr>
        <w:t>journey. </w:t>
      </w:r>
      <w:r>
        <w:rPr>
          <w:spacing w:val="-6"/>
        </w:rPr>
        <w:t>This </w:t>
      </w:r>
      <w:r>
        <w:rPr>
          <w:spacing w:val="-10"/>
        </w:rPr>
        <w:t>year, </w:t>
      </w:r>
      <w:r>
        <w:rPr>
          <w:spacing w:val="-7"/>
        </w:rPr>
        <w:t>National </w:t>
      </w:r>
      <w:r>
        <w:rPr>
          <w:spacing w:val="-7"/>
          <w:w w:val="95"/>
        </w:rPr>
        <w:t>Islanders </w:t>
      </w:r>
      <w:r>
        <w:rPr>
          <w:spacing w:val="-5"/>
          <w:w w:val="95"/>
        </w:rPr>
        <w:t>Day </w:t>
      </w:r>
      <w:r>
        <w:rPr>
          <w:spacing w:val="-7"/>
          <w:w w:val="95"/>
        </w:rPr>
        <w:t>Observance Committee</w:t>
      </w:r>
      <w:r>
        <w:rPr>
          <w:spacing w:val="3"/>
          <w:w w:val="95"/>
        </w:rPr>
        <w:t> </w:t>
      </w:r>
      <w:r>
        <w:rPr>
          <w:spacing w:val="-7"/>
          <w:w w:val="95"/>
        </w:rPr>
        <w:t>(NAIDOC)</w:t>
      </w:r>
    </w:p>
    <w:p>
      <w:pPr>
        <w:pStyle w:val="BodyText"/>
        <w:spacing w:line="249" w:lineRule="auto" w:before="3"/>
        <w:ind w:left="400" w:right="-6"/>
      </w:pPr>
      <w:r>
        <w:rPr>
          <w:spacing w:val="-6"/>
        </w:rPr>
        <w:t>week</w:t>
      </w:r>
      <w:r>
        <w:rPr>
          <w:spacing w:val="-25"/>
        </w:rPr>
        <w:t> </w:t>
      </w:r>
      <w:r>
        <w:rPr>
          <w:spacing w:val="-5"/>
        </w:rPr>
        <w:t>was</w:t>
      </w:r>
      <w:r>
        <w:rPr>
          <w:spacing w:val="-24"/>
        </w:rPr>
        <w:t> </w:t>
      </w:r>
      <w:r>
        <w:rPr>
          <w:spacing w:val="-7"/>
        </w:rPr>
        <w:t>celebrated</w:t>
      </w:r>
      <w:r>
        <w:rPr>
          <w:spacing w:val="-25"/>
        </w:rPr>
        <w:t> </w:t>
      </w:r>
      <w:r>
        <w:rPr>
          <w:spacing w:val="-6"/>
        </w:rPr>
        <w:t>with</w:t>
      </w:r>
      <w:r>
        <w:rPr>
          <w:spacing w:val="-24"/>
        </w:rPr>
        <w:t> </w:t>
      </w:r>
      <w:r>
        <w:rPr>
          <w:spacing w:val="-7"/>
        </w:rPr>
        <w:t>staff</w:t>
      </w:r>
      <w:r>
        <w:rPr>
          <w:spacing w:val="-25"/>
        </w:rPr>
        <w:t> </w:t>
      </w:r>
      <w:r>
        <w:rPr>
          <w:spacing w:val="-6"/>
        </w:rPr>
        <w:t>located</w:t>
      </w:r>
      <w:r>
        <w:rPr>
          <w:spacing w:val="-24"/>
        </w:rPr>
        <w:t> </w:t>
      </w:r>
      <w:r>
        <w:rPr>
          <w:spacing w:val="-4"/>
        </w:rPr>
        <w:t>in</w:t>
      </w:r>
      <w:r>
        <w:rPr>
          <w:spacing w:val="-24"/>
        </w:rPr>
        <w:t> </w:t>
      </w:r>
      <w:r>
        <w:rPr>
          <w:spacing w:val="-5"/>
        </w:rPr>
        <w:t>the</w:t>
      </w:r>
      <w:r>
        <w:rPr>
          <w:spacing w:val="-25"/>
        </w:rPr>
        <w:t> </w:t>
      </w:r>
      <w:r>
        <w:rPr>
          <w:spacing w:val="-7"/>
        </w:rPr>
        <w:t>Optima Centre building </w:t>
      </w:r>
      <w:r>
        <w:rPr>
          <w:spacing w:val="-4"/>
        </w:rPr>
        <w:t>in </w:t>
      </w:r>
      <w:r>
        <w:rPr>
          <w:spacing w:val="-6"/>
        </w:rPr>
        <w:t>Osborne Park, </w:t>
      </w:r>
      <w:r>
        <w:rPr>
          <w:spacing w:val="-4"/>
        </w:rPr>
        <w:t>in </w:t>
      </w:r>
      <w:r>
        <w:rPr>
          <w:spacing w:val="-7"/>
        </w:rPr>
        <w:t>collaboration </w:t>
      </w:r>
      <w:r>
        <w:rPr>
          <w:spacing w:val="-6"/>
        </w:rPr>
        <w:t>with </w:t>
      </w:r>
      <w:r>
        <w:rPr>
          <w:spacing w:val="-5"/>
        </w:rPr>
        <w:t>the </w:t>
      </w:r>
      <w:r>
        <w:rPr>
          <w:spacing w:val="-7"/>
        </w:rPr>
        <w:t>Department </w:t>
      </w:r>
      <w:r>
        <w:rPr>
          <w:spacing w:val="-4"/>
        </w:rPr>
        <w:t>of </w:t>
      </w:r>
      <w:r>
        <w:rPr>
          <w:spacing w:val="-9"/>
        </w:rPr>
        <w:t>Training </w:t>
      </w:r>
      <w:r>
        <w:rPr>
          <w:spacing w:val="-5"/>
        </w:rPr>
        <w:t>and </w:t>
      </w:r>
      <w:r>
        <w:rPr>
          <w:spacing w:val="-8"/>
        </w:rPr>
        <w:t>Workforce </w:t>
      </w:r>
      <w:r>
        <w:rPr>
          <w:spacing w:val="-7"/>
        </w:rPr>
        <w:t>Development. </w:t>
      </w:r>
      <w:r>
        <w:rPr>
          <w:spacing w:val="-6"/>
        </w:rPr>
        <w:t>Action taken </w:t>
      </w:r>
      <w:r>
        <w:rPr>
          <w:spacing w:val="-4"/>
        </w:rPr>
        <w:t>by </w:t>
      </w:r>
      <w:r>
        <w:rPr>
          <w:spacing w:val="-5"/>
        </w:rPr>
        <w:t>the </w:t>
      </w:r>
      <w:r>
        <w:rPr>
          <w:spacing w:val="-7"/>
        </w:rPr>
        <w:t>committee</w:t>
      </w:r>
      <w:r>
        <w:rPr>
          <w:spacing w:val="-30"/>
        </w:rPr>
        <w:t> </w:t>
      </w:r>
      <w:r>
        <w:rPr>
          <w:spacing w:val="-7"/>
        </w:rPr>
        <w:t>to</w:t>
      </w:r>
    </w:p>
    <w:p>
      <w:pPr>
        <w:pStyle w:val="BodyText"/>
        <w:spacing w:line="249" w:lineRule="auto" w:before="4"/>
        <w:ind w:left="400" w:right="-6"/>
      </w:pPr>
      <w:r>
        <w:rPr>
          <w:spacing w:val="-7"/>
        </w:rPr>
        <w:t>promote</w:t>
      </w:r>
      <w:r>
        <w:rPr>
          <w:spacing w:val="-27"/>
        </w:rPr>
        <w:t> </w:t>
      </w:r>
      <w:r>
        <w:rPr>
          <w:spacing w:val="-7"/>
        </w:rPr>
        <w:t>opportunities</w:t>
      </w:r>
      <w:r>
        <w:rPr>
          <w:spacing w:val="-26"/>
        </w:rPr>
        <w:t> </w:t>
      </w:r>
      <w:r>
        <w:rPr>
          <w:spacing w:val="-5"/>
        </w:rPr>
        <w:t>and</w:t>
      </w:r>
      <w:r>
        <w:rPr>
          <w:spacing w:val="-27"/>
        </w:rPr>
        <w:t> </w:t>
      </w:r>
      <w:r>
        <w:rPr>
          <w:spacing w:val="-6"/>
        </w:rPr>
        <w:t>support</w:t>
      </w:r>
      <w:r>
        <w:rPr>
          <w:spacing w:val="-26"/>
        </w:rPr>
        <w:t> </w:t>
      </w:r>
      <w:r>
        <w:rPr>
          <w:spacing w:val="-7"/>
        </w:rPr>
        <w:t>staff</w:t>
      </w:r>
      <w:r>
        <w:rPr>
          <w:spacing w:val="-26"/>
        </w:rPr>
        <w:t> </w:t>
      </w:r>
      <w:r>
        <w:rPr>
          <w:spacing w:val="-7"/>
        </w:rPr>
        <w:t>engagement </w:t>
      </w:r>
      <w:r>
        <w:rPr>
          <w:spacing w:val="-5"/>
        </w:rPr>
        <w:t>has </w:t>
      </w:r>
      <w:r>
        <w:rPr>
          <w:spacing w:val="-7"/>
        </w:rPr>
        <w:t>realised meaningful outcomes through the employment </w:t>
      </w:r>
      <w:r>
        <w:rPr>
          <w:spacing w:val="-4"/>
        </w:rPr>
        <w:t>of </w:t>
      </w:r>
      <w:r>
        <w:rPr>
          <w:spacing w:val="-7"/>
        </w:rPr>
        <w:t>Aboriginal businesses </w:t>
      </w:r>
      <w:r>
        <w:rPr>
          <w:spacing w:val="-4"/>
        </w:rPr>
        <w:t>to </w:t>
      </w:r>
      <w:r>
        <w:rPr>
          <w:spacing w:val="-8"/>
        </w:rPr>
        <w:t>provide </w:t>
      </w:r>
      <w:r>
        <w:rPr>
          <w:spacing w:val="-7"/>
        </w:rPr>
        <w:t>stationary products </w:t>
      </w:r>
      <w:r>
        <w:rPr>
          <w:spacing w:val="-5"/>
        </w:rPr>
        <w:t>for the </w:t>
      </w:r>
      <w:r>
        <w:rPr>
          <w:spacing w:val="-9"/>
        </w:rPr>
        <w:t>agency, </w:t>
      </w:r>
      <w:r>
        <w:rPr>
          <w:spacing w:val="-4"/>
        </w:rPr>
        <w:t>as </w:t>
      </w:r>
      <w:r>
        <w:rPr>
          <w:spacing w:val="-6"/>
        </w:rPr>
        <w:t>well </w:t>
      </w:r>
      <w:r>
        <w:rPr>
          <w:spacing w:val="-7"/>
        </w:rPr>
        <w:t>as maintenance</w:t>
      </w:r>
      <w:r>
        <w:rPr>
          <w:spacing w:val="-37"/>
        </w:rPr>
        <w:t> </w:t>
      </w:r>
      <w:r>
        <w:rPr>
          <w:spacing w:val="-7"/>
        </w:rPr>
        <w:t>contracts</w:t>
      </w:r>
      <w:r>
        <w:rPr>
          <w:spacing w:val="-36"/>
        </w:rPr>
        <w:t> </w:t>
      </w:r>
      <w:r>
        <w:rPr>
          <w:spacing w:val="-4"/>
        </w:rPr>
        <w:t>in</w:t>
      </w:r>
      <w:r>
        <w:rPr>
          <w:spacing w:val="-36"/>
        </w:rPr>
        <w:t> </w:t>
      </w:r>
      <w:r>
        <w:rPr>
          <w:spacing w:val="-7"/>
        </w:rPr>
        <w:t>regional</w:t>
      </w:r>
      <w:r>
        <w:rPr>
          <w:spacing w:val="-36"/>
        </w:rPr>
        <w:t> </w:t>
      </w:r>
      <w:r>
        <w:rPr>
          <w:spacing w:val="-6"/>
        </w:rPr>
        <w:t>Western</w:t>
      </w:r>
      <w:r>
        <w:rPr>
          <w:spacing w:val="-36"/>
        </w:rPr>
        <w:t> </w:t>
      </w:r>
      <w:r>
        <w:rPr>
          <w:spacing w:val="-7"/>
        </w:rPr>
        <w:t>Australia. </w:t>
      </w:r>
      <w:r>
        <w:rPr>
          <w:spacing w:val="-6"/>
        </w:rPr>
        <w:t>Find </w:t>
      </w:r>
      <w:r>
        <w:rPr>
          <w:spacing w:val="-5"/>
        </w:rPr>
        <w:t>out </w:t>
      </w:r>
      <w:r>
        <w:rPr>
          <w:spacing w:val="-7"/>
        </w:rPr>
        <w:t>more </w:t>
      </w:r>
      <w:r>
        <w:rPr>
          <w:spacing w:val="-4"/>
        </w:rPr>
        <w:t>on </w:t>
      </w:r>
      <w:r>
        <w:rPr>
          <w:spacing w:val="-6"/>
        </w:rPr>
        <w:t>page</w:t>
      </w:r>
      <w:r>
        <w:rPr>
          <w:spacing w:val="-47"/>
        </w:rPr>
        <w:t> </w:t>
      </w:r>
      <w:hyperlink w:history="true" w:anchor="_bookmark6">
        <w:r>
          <w:rPr>
            <w:color w:val="A7BE39"/>
            <w:spacing w:val="-4"/>
            <w:u w:val="single" w:color="A7BE39"/>
          </w:rPr>
          <w:t>9</w:t>
        </w:r>
      </w:hyperlink>
      <w:r>
        <w:rPr>
          <w:spacing w:val="-4"/>
        </w:rPr>
        <w:t>.</w:t>
      </w:r>
    </w:p>
    <w:p>
      <w:pPr>
        <w:pStyle w:val="BodyText"/>
        <w:spacing w:before="4"/>
        <w:ind w:left="465"/>
      </w:pPr>
      <w:r>
        <w:rPr/>
        <w:br w:type="column"/>
      </w:r>
      <w:r>
        <w:rPr/>
        <w:t>of the program.</w:t>
      </w:r>
    </w:p>
    <w:p>
      <w:pPr>
        <w:pStyle w:val="BodyText"/>
        <w:spacing w:before="10"/>
        <w:rPr>
          <w:sz w:val="23"/>
        </w:rPr>
      </w:pPr>
    </w:p>
    <w:p>
      <w:pPr>
        <w:pStyle w:val="BodyText"/>
        <w:spacing w:line="249" w:lineRule="auto"/>
        <w:ind w:left="465" w:right="943"/>
      </w:pPr>
      <w:r>
        <w:rPr/>
        <w:t>A </w:t>
      </w:r>
      <w:r>
        <w:rPr>
          <w:spacing w:val="-6"/>
        </w:rPr>
        <w:t>unique </w:t>
      </w:r>
      <w:r>
        <w:rPr>
          <w:spacing w:val="-7"/>
        </w:rPr>
        <w:t>approach </w:t>
      </w:r>
      <w:r>
        <w:rPr>
          <w:spacing w:val="-4"/>
        </w:rPr>
        <w:t>in </w:t>
      </w:r>
      <w:r>
        <w:rPr>
          <w:spacing w:val="-7"/>
        </w:rPr>
        <w:t>recruiting </w:t>
      </w:r>
      <w:r>
        <w:rPr>
          <w:spacing w:val="-5"/>
        </w:rPr>
        <w:t>and </w:t>
      </w:r>
      <w:r>
        <w:rPr>
          <w:spacing w:val="-7"/>
        </w:rPr>
        <w:t>selecting candidates</w:t>
      </w:r>
      <w:r>
        <w:rPr>
          <w:spacing w:val="-26"/>
        </w:rPr>
        <w:t> </w:t>
      </w:r>
      <w:r>
        <w:rPr>
          <w:spacing w:val="-5"/>
        </w:rPr>
        <w:t>has</w:t>
      </w:r>
      <w:r>
        <w:rPr>
          <w:spacing w:val="-26"/>
        </w:rPr>
        <w:t> </w:t>
      </w:r>
      <w:r>
        <w:rPr>
          <w:spacing w:val="-6"/>
        </w:rPr>
        <w:t>been</w:t>
      </w:r>
      <w:r>
        <w:rPr>
          <w:spacing w:val="-25"/>
        </w:rPr>
        <w:t> </w:t>
      </w:r>
      <w:r>
        <w:rPr/>
        <w:t>a</w:t>
      </w:r>
      <w:r>
        <w:rPr>
          <w:spacing w:val="-26"/>
        </w:rPr>
        <w:t> </w:t>
      </w:r>
      <w:r>
        <w:rPr>
          <w:spacing w:val="-5"/>
        </w:rPr>
        <w:t>key</w:t>
      </w:r>
      <w:r>
        <w:rPr>
          <w:spacing w:val="-25"/>
        </w:rPr>
        <w:t> </w:t>
      </w:r>
      <w:r>
        <w:rPr>
          <w:spacing w:val="-6"/>
        </w:rPr>
        <w:t>success</w:t>
      </w:r>
      <w:r>
        <w:rPr>
          <w:spacing w:val="-26"/>
        </w:rPr>
        <w:t> </w:t>
      </w:r>
      <w:r>
        <w:rPr>
          <w:spacing w:val="-9"/>
        </w:rPr>
        <w:t>factor,</w:t>
      </w:r>
      <w:r>
        <w:rPr>
          <w:spacing w:val="-26"/>
        </w:rPr>
        <w:t> </w:t>
      </w:r>
      <w:r>
        <w:rPr>
          <w:spacing w:val="-7"/>
        </w:rPr>
        <w:t>where applicants </w:t>
      </w:r>
      <w:r>
        <w:rPr>
          <w:spacing w:val="-6"/>
        </w:rPr>
        <w:t>are asked </w:t>
      </w:r>
      <w:r>
        <w:rPr>
          <w:spacing w:val="-4"/>
        </w:rPr>
        <w:t>to </w:t>
      </w:r>
      <w:r>
        <w:rPr>
          <w:spacing w:val="-6"/>
        </w:rPr>
        <w:t>submit </w:t>
      </w:r>
      <w:r>
        <w:rPr/>
        <w:t>a </w:t>
      </w:r>
      <w:r>
        <w:rPr>
          <w:spacing w:val="-6"/>
        </w:rPr>
        <w:t>short video </w:t>
      </w:r>
      <w:r>
        <w:rPr>
          <w:spacing w:val="-7"/>
        </w:rPr>
        <w:t>as </w:t>
      </w:r>
      <w:r>
        <w:rPr>
          <w:spacing w:val="-6"/>
        </w:rPr>
        <w:t>part </w:t>
      </w:r>
      <w:r>
        <w:rPr>
          <w:spacing w:val="-4"/>
        </w:rPr>
        <w:t>of </w:t>
      </w:r>
      <w:r>
        <w:rPr>
          <w:spacing w:val="-5"/>
        </w:rPr>
        <w:t>the </w:t>
      </w:r>
      <w:r>
        <w:rPr>
          <w:spacing w:val="-7"/>
        </w:rPr>
        <w:t>recruitment process. Applicants </w:t>
      </w:r>
      <w:r>
        <w:rPr>
          <w:spacing w:val="-8"/>
        </w:rPr>
        <w:t>from </w:t>
      </w:r>
      <w:r>
        <w:rPr>
          <w:spacing w:val="-6"/>
        </w:rPr>
        <w:t>diverse</w:t>
      </w:r>
      <w:r>
        <w:rPr>
          <w:spacing w:val="-28"/>
        </w:rPr>
        <w:t> </w:t>
      </w:r>
      <w:r>
        <w:rPr>
          <w:spacing w:val="-7"/>
        </w:rPr>
        <w:t>backgrounds,</w:t>
      </w:r>
      <w:r>
        <w:rPr>
          <w:spacing w:val="-28"/>
        </w:rPr>
        <w:t> </w:t>
      </w:r>
      <w:r>
        <w:rPr>
          <w:spacing w:val="-5"/>
        </w:rPr>
        <w:t>not</w:t>
      </w:r>
      <w:r>
        <w:rPr>
          <w:spacing w:val="-28"/>
        </w:rPr>
        <w:t> </w:t>
      </w:r>
      <w:r>
        <w:rPr>
          <w:spacing w:val="-6"/>
        </w:rPr>
        <w:t>just</w:t>
      </w:r>
      <w:r>
        <w:rPr>
          <w:spacing w:val="-27"/>
        </w:rPr>
        <w:t> </w:t>
      </w:r>
      <w:r>
        <w:rPr>
          <w:spacing w:val="-6"/>
        </w:rPr>
        <w:t>those</w:t>
      </w:r>
      <w:r>
        <w:rPr>
          <w:spacing w:val="-28"/>
        </w:rPr>
        <w:t> </w:t>
      </w:r>
      <w:r>
        <w:rPr>
          <w:spacing w:val="-6"/>
        </w:rPr>
        <w:t>with</w:t>
      </w:r>
      <w:r>
        <w:rPr>
          <w:spacing w:val="-28"/>
        </w:rPr>
        <w:t> </w:t>
      </w:r>
      <w:r>
        <w:rPr>
          <w:spacing w:val="-7"/>
        </w:rPr>
        <w:t>business qualifications, </w:t>
      </w:r>
      <w:r>
        <w:rPr>
          <w:spacing w:val="-6"/>
        </w:rPr>
        <w:t>are </w:t>
      </w:r>
      <w:r>
        <w:rPr>
          <w:spacing w:val="-7"/>
        </w:rPr>
        <w:t>encouraged </w:t>
      </w:r>
      <w:r>
        <w:rPr>
          <w:spacing w:val="-4"/>
        </w:rPr>
        <w:t>to</w:t>
      </w:r>
      <w:r>
        <w:rPr>
          <w:spacing w:val="-47"/>
        </w:rPr>
        <w:t> </w:t>
      </w:r>
      <w:r>
        <w:rPr>
          <w:spacing w:val="-10"/>
        </w:rPr>
        <w:t>apply.</w:t>
      </w:r>
    </w:p>
    <w:p>
      <w:pPr>
        <w:pStyle w:val="BodyText"/>
        <w:spacing w:before="5"/>
        <w:rPr>
          <w:sz w:val="23"/>
        </w:rPr>
      </w:pPr>
    </w:p>
    <w:p>
      <w:pPr>
        <w:pStyle w:val="BodyText"/>
        <w:spacing w:line="249" w:lineRule="auto"/>
        <w:ind w:left="465" w:right="492"/>
      </w:pPr>
      <w:r>
        <w:rPr>
          <w:spacing w:val="-6"/>
        </w:rPr>
        <w:t>This</w:t>
      </w:r>
      <w:r>
        <w:rPr>
          <w:spacing w:val="-28"/>
        </w:rPr>
        <w:t> </w:t>
      </w:r>
      <w:r>
        <w:rPr>
          <w:spacing w:val="-7"/>
        </w:rPr>
        <w:t>approach</w:t>
      </w:r>
      <w:r>
        <w:rPr>
          <w:spacing w:val="-28"/>
        </w:rPr>
        <w:t> </w:t>
      </w:r>
      <w:r>
        <w:rPr>
          <w:spacing w:val="-4"/>
        </w:rPr>
        <w:t>to</w:t>
      </w:r>
      <w:r>
        <w:rPr>
          <w:spacing w:val="-28"/>
        </w:rPr>
        <w:t> </w:t>
      </w:r>
      <w:r>
        <w:rPr>
          <w:spacing w:val="-7"/>
        </w:rPr>
        <w:t>selecting</w:t>
      </w:r>
      <w:r>
        <w:rPr>
          <w:spacing w:val="-28"/>
        </w:rPr>
        <w:t> </w:t>
      </w:r>
      <w:r>
        <w:rPr>
          <w:spacing w:val="-7"/>
        </w:rPr>
        <w:t>candidates</w:t>
      </w:r>
      <w:r>
        <w:rPr>
          <w:spacing w:val="-28"/>
        </w:rPr>
        <w:t> </w:t>
      </w:r>
      <w:r>
        <w:rPr>
          <w:spacing w:val="-6"/>
        </w:rPr>
        <w:t>helps</w:t>
      </w:r>
      <w:r>
        <w:rPr>
          <w:spacing w:val="-28"/>
        </w:rPr>
        <w:t> </w:t>
      </w:r>
      <w:r>
        <w:rPr>
          <w:spacing w:val="-4"/>
        </w:rPr>
        <w:t>to</w:t>
      </w:r>
      <w:r>
        <w:rPr>
          <w:spacing w:val="-28"/>
        </w:rPr>
        <w:t> </w:t>
      </w:r>
      <w:r>
        <w:rPr>
          <w:spacing w:val="-7"/>
        </w:rPr>
        <w:t>ensure applicants </w:t>
      </w:r>
      <w:r>
        <w:rPr>
          <w:spacing w:val="-6"/>
        </w:rPr>
        <w:t>with </w:t>
      </w:r>
      <w:r>
        <w:rPr/>
        <w:t>a </w:t>
      </w:r>
      <w:r>
        <w:rPr>
          <w:spacing w:val="-7"/>
        </w:rPr>
        <w:t>broad </w:t>
      </w:r>
      <w:r>
        <w:rPr>
          <w:spacing w:val="-6"/>
        </w:rPr>
        <w:t>range </w:t>
      </w:r>
      <w:r>
        <w:rPr>
          <w:spacing w:val="-4"/>
        </w:rPr>
        <w:t>of </w:t>
      </w:r>
      <w:r>
        <w:rPr>
          <w:spacing w:val="-6"/>
        </w:rPr>
        <w:t>skills are </w:t>
      </w:r>
      <w:r>
        <w:rPr>
          <w:spacing w:val="-7"/>
        </w:rPr>
        <w:t>selected, complementing</w:t>
      </w:r>
      <w:r>
        <w:rPr>
          <w:spacing w:val="-25"/>
        </w:rPr>
        <w:t> </w:t>
      </w:r>
      <w:r>
        <w:rPr>
          <w:spacing w:val="-5"/>
        </w:rPr>
        <w:t>the</w:t>
      </w:r>
      <w:r>
        <w:rPr>
          <w:spacing w:val="-25"/>
        </w:rPr>
        <w:t> </w:t>
      </w:r>
      <w:r>
        <w:rPr>
          <w:spacing w:val="-6"/>
        </w:rPr>
        <w:t>diverse</w:t>
      </w:r>
      <w:r>
        <w:rPr>
          <w:spacing w:val="-25"/>
        </w:rPr>
        <w:t> </w:t>
      </w:r>
      <w:r>
        <w:rPr>
          <w:spacing w:val="-6"/>
        </w:rPr>
        <w:t>skill</w:t>
      </w:r>
      <w:r>
        <w:rPr>
          <w:spacing w:val="-25"/>
        </w:rPr>
        <w:t> </w:t>
      </w:r>
      <w:r>
        <w:rPr>
          <w:spacing w:val="-6"/>
        </w:rPr>
        <w:t>sets</w:t>
      </w:r>
      <w:r>
        <w:rPr>
          <w:spacing w:val="-25"/>
        </w:rPr>
        <w:t> </w:t>
      </w:r>
      <w:r>
        <w:rPr>
          <w:spacing w:val="-8"/>
        </w:rPr>
        <w:t>required</w:t>
      </w:r>
      <w:r>
        <w:rPr>
          <w:spacing w:val="-25"/>
        </w:rPr>
        <w:t> </w:t>
      </w:r>
      <w:r>
        <w:rPr>
          <w:spacing w:val="-4"/>
        </w:rPr>
        <w:t>to</w:t>
      </w:r>
      <w:r>
        <w:rPr>
          <w:spacing w:val="-25"/>
        </w:rPr>
        <w:t> </w:t>
      </w:r>
      <w:r>
        <w:rPr>
          <w:spacing w:val="-7"/>
        </w:rPr>
        <w:t>work across</w:t>
      </w:r>
      <w:r>
        <w:rPr>
          <w:spacing w:val="-31"/>
        </w:rPr>
        <w:t> </w:t>
      </w:r>
      <w:r>
        <w:rPr>
          <w:spacing w:val="-9"/>
        </w:rPr>
        <w:t>Finance’s</w:t>
      </w:r>
      <w:r>
        <w:rPr>
          <w:spacing w:val="-31"/>
        </w:rPr>
        <w:t> </w:t>
      </w:r>
      <w:r>
        <w:rPr>
          <w:spacing w:val="-6"/>
        </w:rPr>
        <w:t>varied</w:t>
      </w:r>
      <w:r>
        <w:rPr>
          <w:spacing w:val="-31"/>
        </w:rPr>
        <w:t> </w:t>
      </w:r>
      <w:r>
        <w:rPr>
          <w:spacing w:val="-7"/>
        </w:rPr>
        <w:t>business</w:t>
      </w:r>
      <w:r>
        <w:rPr>
          <w:spacing w:val="-30"/>
        </w:rPr>
        <w:t> </w:t>
      </w:r>
      <w:r>
        <w:rPr>
          <w:spacing w:val="-6"/>
        </w:rPr>
        <w:t>units.</w:t>
      </w:r>
      <w:r>
        <w:rPr>
          <w:spacing w:val="4"/>
        </w:rPr>
        <w:t> </w:t>
      </w:r>
      <w:r>
        <w:rPr>
          <w:spacing w:val="-6"/>
        </w:rPr>
        <w:t>Over</w:t>
      </w:r>
      <w:r>
        <w:rPr>
          <w:spacing w:val="-31"/>
        </w:rPr>
        <w:t> </w:t>
      </w:r>
      <w:r>
        <w:rPr>
          <w:spacing w:val="-5"/>
        </w:rPr>
        <w:t>the</w:t>
      </w:r>
      <w:r>
        <w:rPr>
          <w:spacing w:val="-31"/>
        </w:rPr>
        <w:t> </w:t>
      </w:r>
      <w:r>
        <w:rPr>
          <w:spacing w:val="-7"/>
        </w:rPr>
        <w:t>year </w:t>
      </w:r>
      <w:r>
        <w:rPr>
          <w:spacing w:val="-6"/>
        </w:rPr>
        <w:t>long </w:t>
      </w:r>
      <w:r>
        <w:rPr>
          <w:spacing w:val="-7"/>
        </w:rPr>
        <w:t>program, candidates complete three </w:t>
      </w:r>
      <w:r>
        <w:rPr>
          <w:spacing w:val="-8"/>
        </w:rPr>
        <w:t>rotations </w:t>
      </w:r>
      <w:r>
        <w:rPr>
          <w:spacing w:val="-7"/>
        </w:rPr>
        <w:t>across </w:t>
      </w:r>
      <w:r>
        <w:rPr>
          <w:spacing w:val="-9"/>
        </w:rPr>
        <w:t>Finance’s </w:t>
      </w:r>
      <w:r>
        <w:rPr>
          <w:spacing w:val="-6"/>
        </w:rPr>
        <w:t>diverse </w:t>
      </w:r>
      <w:r>
        <w:rPr>
          <w:spacing w:val="-7"/>
        </w:rPr>
        <w:t>business </w:t>
      </w:r>
      <w:r>
        <w:rPr>
          <w:spacing w:val="-6"/>
        </w:rPr>
        <w:t>units, </w:t>
      </w:r>
      <w:r>
        <w:rPr>
          <w:spacing w:val="-8"/>
        </w:rPr>
        <w:t>grounding </w:t>
      </w:r>
      <w:r>
        <w:rPr>
          <w:spacing w:val="-7"/>
        </w:rPr>
        <w:t>participants </w:t>
      </w:r>
      <w:r>
        <w:rPr>
          <w:spacing w:val="-4"/>
        </w:rPr>
        <w:t>in </w:t>
      </w:r>
      <w:r>
        <w:rPr>
          <w:spacing w:val="-5"/>
        </w:rPr>
        <w:t>key</w:t>
      </w:r>
      <w:r>
        <w:rPr>
          <w:spacing w:val="-48"/>
        </w:rPr>
        <w:t> </w:t>
      </w:r>
      <w:r>
        <w:rPr>
          <w:spacing w:val="-7"/>
        </w:rPr>
        <w:t>transferable skills.</w:t>
      </w:r>
    </w:p>
    <w:p>
      <w:pPr>
        <w:spacing w:after="0" w:line="249" w:lineRule="auto"/>
        <w:sectPr>
          <w:type w:val="continuous"/>
          <w:pgSz w:w="16840" w:h="11910" w:orient="landscape"/>
          <w:pgMar w:top="0" w:bottom="0" w:left="0" w:right="0"/>
          <w:cols w:num="3" w:equalWidth="0">
            <w:col w:w="5569" w:space="40"/>
            <w:col w:w="5140" w:space="39"/>
            <w:col w:w="6052"/>
          </w:cols>
        </w:sectPr>
      </w:pPr>
    </w:p>
    <w:p>
      <w:pPr>
        <w:pStyle w:val="BodyText"/>
        <w:spacing w:before="2"/>
        <w:rPr>
          <w:sz w:val="17"/>
        </w:rPr>
      </w:pPr>
    </w:p>
    <w:p>
      <w:pPr>
        <w:tabs>
          <w:tab w:pos="12026" w:val="left" w:leader="none"/>
          <w:tab w:pos="12373" w:val="left" w:leader="none"/>
          <w:tab w:pos="15894" w:val="left" w:leader="none"/>
        </w:tabs>
        <w:spacing w:before="106"/>
        <w:ind w:left="765" w:right="0" w:firstLine="0"/>
        <w:jc w:val="left"/>
        <w:rPr>
          <w:b/>
          <w:sz w:val="16"/>
        </w:rPr>
      </w:pPr>
      <w:r>
        <w:rPr/>
        <w:pict>
          <v:group style="position:absolute;margin-left:537.874023pt;margin-top:-149.1436pt;width:294.1pt;height:186.6pt;mso-position-horizontal-relative:page;mso-position-vertical-relative:paragraph;z-index:-806416" coordorigin="10757,-2983" coordsize="5882,3732">
            <v:shape style="position:absolute;left:13356;top:-2983;width:1455;height:2532" coordorigin="13357,-2983" coordsize="1455,2532" path="m14812,-694l14408,-461,14417,-452,14812,-679,14812,-694m14812,-773l14358,-511,14367,-502,14812,-758,14812,-773m14812,-852l14308,-561,14317,-552,14812,-837,14812,-852m14812,-931l14258,-611,14267,-602,14812,-916,14812,-931m14812,-1010l14208,-661,14217,-652,14812,-995,14812,-1010m14812,-1089l14158,-711,14167,-702,14812,-1074,14812,-1089m14812,-1167l14108,-761,14117,-752,14812,-1153,14812,-1167m14812,-1246l14058,-811,14067,-802,14812,-1232,14812,-1246m14812,-1325l14007,-861,14017,-852,14812,-1311,14812,-1325m14812,-1404l13957,-911,13967,-902,14812,-1390,14812,-1404m14812,-1483l13907,-961,13917,-952,14812,-1469,14812,-1483m14812,-1562l13857,-1011,13867,-1002,14812,-1548,14812,-1562m14812,-1641l13807,-1061,13816,-1052,14812,-1627,14812,-1641m14812,-1799l13707,-1161,13716,-1152,14812,-1784,14812,-1799m14812,-1878l13657,-1211,13666,-1202,14812,-1863,14812,-1878m14812,-1957l13607,-1261,13616,-1252,14812,-1942,14812,-1957m14812,-2036l13557,-1311,13566,-1302,14812,-2021,14812,-2036m14812,-2115l13507,-1361,13516,-1352,14812,-2100,14812,-2115m14812,-2194l13457,-1411,13466,-1402,14812,-2179,14812,-2194m14812,-2273l13407,-1461,13416,-1452,14812,-2258,14812,-2273m14812,-2351l13357,-1511,13366,-1502,14812,-2337,14812,-2351m14812,-2430l13499,-1673,13465,-1638,14812,-2416,14812,-2430m14812,-2746l14246,-2420,14212,-2385,14812,-2732,14812,-2746m14812,-1720l13757,-1111,13766,-1102,14812,-1706,14812,-1720m14812,-2509l13686,-1859,13652,-1825,14812,-2495,14812,-2509m14812,-2588l13873,-2046,13839,-2012,14812,-2574,14812,-2588m14812,-2667l14060,-2233,14025,-2199,14812,-2653,14812,-2667m14812,-2825l14433,-2606,14399,-2572,14812,-2811,14812,-2825m14812,-2904l14620,-2793,14586,-2759,14812,-2890,14812,-2904m14812,-2983l14807,-2980,14772,-2946,14812,-2968,14812,-2983e" filled="true" fillcolor="#cdcccd" stroked="false">
              <v:path arrowok="t"/>
              <v:fill type="solid"/>
            </v:shape>
            <v:shape style="position:absolute;left:14457;top:-615;width:354;height:514" type="#_x0000_t75" stroked="false">
              <v:imagedata r:id="rId153" o:title=""/>
            </v:shape>
            <v:shape style="position:absolute;left:14811;top:-2965;width:24;height:18" coordorigin="14812,-2965" coordsize="24,18" path="m14832,-2965l14812,-2953,14812,-2948,14836,-2961,14832,-2965xe" filled="true" fillcolor="#cdcccd" stroked="false">
              <v:path arrowok="t"/>
              <v:fill type="solid"/>
            </v:shape>
            <v:shape style="position:absolute;left:14811;top:-2915;width:375;height:520" type="#_x0000_t75" stroked="false">
              <v:imagedata r:id="rId154" o:title=""/>
            </v:shape>
            <v:shape style="position:absolute;left:14811;top:-2565;width:1438;height:2301" coordorigin="14812,-2565" coordsize="1438,2301" path="m15236,-2561l15232,-2565,14812,-2322,14812,-2316,15236,-2561m15286,-2511l15282,-2515,14812,-2243,14812,-2237,15286,-2511m15316,-561l14812,-270,14812,-264,15303,-547,15316,-561m15336,-2461l15332,-2465,14812,-2164,14812,-2158,15336,-2461m15386,-2411l15382,-2415,14812,-2085,14812,-2079,15386,-2411m15436,-2361l15433,-2365,14812,-2006,14812,-2000,15436,-2361m15486,-2311l15483,-2314,14812,-1927,14812,-1921,15486,-2311m15503,-748l14812,-349,14812,-343,15489,-734,15503,-748m15536,-2261l15533,-2264,14812,-1848,14812,-1843,15536,-2261m15586,-2211l15583,-2214,14812,-1769,14812,-1764,15586,-2211m15636,-2161l15633,-2164,14812,-1690,14812,-1685,15636,-2161m15686,-2111l15683,-2114,14812,-1612,14812,-1606,15686,-2111m15690,-934l14812,-428,14812,-422,15676,-921,15690,-934m15736,-2061l15733,-2064,14812,-1533,14812,-1527,15736,-2061m15787,-2011l15783,-2014,14812,-1454,14812,-1448,15787,-2011m15837,-1961l15833,-1964,14812,-1375,14812,-1369,15837,-1961m15876,-1121l14812,-507,14812,-501,15863,-1107,15876,-1121m15887,-1910l15883,-1914,14812,-1296,14812,-1290,15887,-1910m15937,-1860l15933,-1864,14812,-1217,14812,-1211,15937,-1860m15987,-1810l15983,-1814,14812,-1138,14812,-1132,15987,-1810m16037,-1760l16033,-1764,14812,-1059,14812,-1053,16037,-1760m16063,-1308l14812,-585,14812,-580,16049,-1294,16063,-1308m16087,-1710l16083,-1714,14812,-980,14812,-974,16087,-1710m16137,-1660l16133,-1664,14812,-901,14812,-895,16137,-1660m16187,-1610l16183,-1614,14812,-822,14812,-816,16187,-1610m16237,-1560l16233,-1564,14812,-743,14812,-738,16237,-1560m16250,-1495l14812,-664,14812,-659,16236,-1481,16250,-1495e" filled="true" fillcolor="#cdcccd" stroked="false">
              <v:path arrowok="t"/>
              <v:fill type="solid"/>
            </v:shape>
            <v:shape style="position:absolute;left:14811;top:-375;width:318;height:268" type="#_x0000_t75" stroked="false">
              <v:imagedata r:id="rId155" o:title=""/>
            </v:shape>
            <v:shape style="position:absolute;left:10757;top:-2934;width:5882;height:3682" type="#_x0000_t75" stroked="false">
              <v:imagedata r:id="rId156" o:title=""/>
            </v:shape>
            <w10:wrap type="none"/>
          </v:group>
        </w:pict>
      </w:r>
      <w:r>
        <w:rPr/>
        <w:pict>
          <v:shape style="position:absolute;margin-left:144.327805pt;margin-top:12.876905pt;width:45.2pt;height:24.55pt;mso-position-horizontal-relative:page;mso-position-vertical-relative:paragraph;z-index:7408" coordorigin="2887,258" coordsize="904,491" path="m3338,258l2887,709,2926,748,3750,748,3790,709,3338,258xe" filled="true" fillcolor="#c4cd71" stroked="false">
            <v:path arrowok="t"/>
            <v:fill opacity="32768f" type="solid"/>
            <w10:wrap type="none"/>
          </v:shape>
        </w:pict>
      </w:r>
      <w:r>
        <w:rPr>
          <w:color w:val="FFFFFF"/>
          <w:w w:val="100"/>
          <w:sz w:val="16"/>
          <w:u w:val="single" w:color="939598"/>
        </w:rPr>
        <w:t> </w:t>
      </w:r>
      <w:r>
        <w:rPr>
          <w:color w:val="FFFFFF"/>
          <w:sz w:val="16"/>
          <w:u w:val="single" w:color="939598"/>
        </w:rPr>
        <w:tab/>
      </w:r>
      <w:r>
        <w:rPr>
          <w:color w:val="FFFFFF"/>
          <w:sz w:val="16"/>
        </w:rPr>
        <w:tab/>
        <w:t>Department</w:t>
      </w:r>
      <w:r>
        <w:rPr>
          <w:color w:val="FFFFFF"/>
          <w:spacing w:val="-13"/>
          <w:sz w:val="16"/>
        </w:rPr>
        <w:t> </w:t>
      </w:r>
      <w:r>
        <w:rPr>
          <w:color w:val="FFFFFF"/>
          <w:sz w:val="16"/>
        </w:rPr>
        <w:t>of</w:t>
      </w:r>
      <w:r>
        <w:rPr>
          <w:color w:val="FFFFFF"/>
          <w:spacing w:val="-13"/>
          <w:sz w:val="16"/>
        </w:rPr>
        <w:t> </w:t>
      </w:r>
      <w:r>
        <w:rPr>
          <w:color w:val="FFFFFF"/>
          <w:sz w:val="16"/>
        </w:rPr>
        <w:t>Finance</w:t>
      </w:r>
      <w:r>
        <w:rPr>
          <w:color w:val="FFFFFF"/>
          <w:spacing w:val="-12"/>
          <w:sz w:val="16"/>
        </w:rPr>
        <w:t> </w:t>
      </w:r>
      <w:r>
        <w:rPr>
          <w:color w:val="FFFFFF"/>
          <w:sz w:val="16"/>
        </w:rPr>
        <w:t>Annual</w:t>
      </w:r>
      <w:r>
        <w:rPr>
          <w:color w:val="FFFFFF"/>
          <w:spacing w:val="-13"/>
          <w:sz w:val="16"/>
        </w:rPr>
        <w:t> </w:t>
      </w:r>
      <w:r>
        <w:rPr>
          <w:color w:val="FFFFFF"/>
          <w:sz w:val="16"/>
        </w:rPr>
        <w:t>Report</w:t>
      </w:r>
      <w:r>
        <w:rPr>
          <w:color w:val="FFFFFF"/>
          <w:spacing w:val="-13"/>
          <w:sz w:val="16"/>
        </w:rPr>
        <w:t> </w:t>
      </w:r>
      <w:r>
        <w:rPr>
          <w:color w:val="FFFFFF"/>
          <w:sz w:val="16"/>
        </w:rPr>
        <w:t>2016-17</w:t>
        <w:tab/>
      </w:r>
      <w:r>
        <w:rPr>
          <w:b/>
          <w:color w:val="FFFFFF"/>
          <w:sz w:val="16"/>
        </w:rPr>
        <w:t>21</w:t>
      </w:r>
    </w:p>
    <w:p>
      <w:pPr>
        <w:spacing w:after="0"/>
        <w:jc w:val="left"/>
        <w:rPr>
          <w:sz w:val="16"/>
        </w:rPr>
        <w:sectPr>
          <w:type w:val="continuous"/>
          <w:pgSz w:w="16840" w:h="11910" w:orient="landscape"/>
          <w:pgMar w:top="0" w:bottom="0" w:left="0" w:right="0"/>
        </w:sectPr>
      </w:pPr>
    </w:p>
    <w:p>
      <w:pPr>
        <w:tabs>
          <w:tab w:pos="9621" w:val="left" w:leader="none"/>
          <w:tab w:pos="14432" w:val="left" w:leader="none"/>
        </w:tabs>
        <w:spacing w:line="240" w:lineRule="auto"/>
        <w:ind w:left="0" w:right="-44" w:firstLine="0"/>
        <w:rPr>
          <w:sz w:val="20"/>
        </w:rPr>
      </w:pPr>
      <w:bookmarkStart w:name="_bookmark15" w:id="16"/>
      <w:bookmarkEnd w:id="16"/>
      <w:r>
        <w:rPr/>
      </w:r>
      <w:r>
        <w:rPr>
          <w:sz w:val="20"/>
        </w:rPr>
        <w:pict>
          <v:group style="width:360.85pt;height:42.55pt;mso-position-horizontal-relative:char;mso-position-vertical-relative:line" coordorigin="0,0" coordsize="7217,851">
            <v:rect style="position:absolute;left:4810;top:0;width:2406;height:851" filled="true" fillcolor="#e6e7e8" stroked="false">
              <v:fill type="solid"/>
            </v:rect>
            <v:shape style="position:absolute;left:4810;top:0;width:583;height:583" type="#_x0000_t75" stroked="false">
              <v:imagedata r:id="rId51" o:title=""/>
            </v:shape>
            <v:shape style="position:absolute;left:4810;top:0;width:2406;height:851"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v:shape style="position:absolute;left:2405;top:0;width:2406;height:851" type="#_x0000_t202" filled="true" fillcolor="#b6c247" stroked="false">
              <v:textbox inset="0,0,0,0">
                <w:txbxContent>
                  <w:p>
                    <w:pPr>
                      <w:spacing w:line="240" w:lineRule="auto" w:before="9"/>
                      <w:rPr>
                        <w:b/>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0;width:2406;height:851" type="#_x0000_t202" filled="true" fillcolor="#aebd37"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v:group>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b/>
                      <w:sz w:val="26"/>
                    </w:rPr>
                  </w:pPr>
                </w:p>
                <w:p>
                  <w:pPr>
                    <w:spacing w:before="0"/>
                    <w:ind w:left="735" w:right="0" w:firstLine="0"/>
                    <w:jc w:val="left"/>
                    <w:rPr>
                      <w:sz w:val="20"/>
                    </w:rPr>
                  </w:pPr>
                  <w:hyperlink w:history="true" w:anchor="_bookmark73">
                    <w:r>
                      <w:rPr>
                        <w:color w:val="FFFFFF"/>
                        <w:sz w:val="20"/>
                      </w:rPr>
                      <w:t>APPENDIX</w:t>
                    </w:r>
                  </w:hyperlink>
                </w:p>
              </w:txbxContent>
            </v:textbox>
          </v:shape>
        </w:pict>
      </w:r>
      <w:r>
        <w:rPr>
          <w:sz w:val="20"/>
        </w:rPr>
      </w:r>
    </w:p>
    <w:p>
      <w:pPr>
        <w:pStyle w:val="BodyText"/>
        <w:rPr>
          <w:b/>
          <w:sz w:val="20"/>
        </w:rPr>
      </w:pPr>
    </w:p>
    <w:p>
      <w:pPr>
        <w:spacing w:after="0"/>
        <w:rPr>
          <w:sz w:val="20"/>
        </w:rPr>
        <w:sectPr>
          <w:footerReference w:type="default" r:id="rId157"/>
          <w:pgSz w:w="16840" w:h="11910" w:orient="landscape"/>
          <w:pgMar w:footer="0" w:header="0" w:top="0" w:bottom="0" w:left="0" w:right="0"/>
        </w:sectPr>
      </w:pPr>
    </w:p>
    <w:p>
      <w:pPr>
        <w:pStyle w:val="Heading1"/>
        <w:spacing w:before="324"/>
      </w:pPr>
      <w:r>
        <w:rPr>
          <w:color w:val="6F2770"/>
          <w:w w:val="95"/>
        </w:rPr>
        <w:t>Significant</w:t>
      </w:r>
      <w:r>
        <w:rPr>
          <w:color w:val="6F2770"/>
          <w:spacing w:val="-70"/>
          <w:w w:val="95"/>
        </w:rPr>
        <w:t> </w:t>
      </w:r>
      <w:r>
        <w:rPr>
          <w:color w:val="6F2770"/>
          <w:w w:val="95"/>
        </w:rPr>
        <w:t>Issues</w:t>
      </w:r>
      <w:r>
        <w:rPr>
          <w:color w:val="6F2770"/>
          <w:spacing w:val="-70"/>
          <w:w w:val="95"/>
        </w:rPr>
        <w:t> </w:t>
      </w:r>
      <w:r>
        <w:rPr>
          <w:color w:val="6F2770"/>
          <w:w w:val="95"/>
        </w:rPr>
        <w:t>and</w:t>
      </w:r>
      <w:r>
        <w:rPr>
          <w:color w:val="6F2770"/>
          <w:spacing w:val="-70"/>
          <w:w w:val="95"/>
        </w:rPr>
        <w:t> </w:t>
      </w:r>
      <w:r>
        <w:rPr>
          <w:color w:val="6F2770"/>
          <w:w w:val="95"/>
        </w:rPr>
        <w:t>Future</w:t>
      </w:r>
      <w:r>
        <w:rPr>
          <w:color w:val="6F2770"/>
          <w:spacing w:val="-70"/>
          <w:w w:val="95"/>
        </w:rPr>
        <w:t> </w:t>
      </w:r>
      <w:r>
        <w:rPr>
          <w:color w:val="6F2770"/>
          <w:w w:val="95"/>
        </w:rPr>
        <w:t>Outlook</w:t>
      </w:r>
    </w:p>
    <w:p>
      <w:pPr>
        <w:pStyle w:val="BodyText"/>
        <w:spacing w:before="3"/>
      </w:pPr>
      <w:r>
        <w:rPr/>
        <w:br w:type="column"/>
      </w:r>
      <w:r>
        <w:rPr/>
      </w:r>
    </w:p>
    <w:p>
      <w:pPr>
        <w:spacing w:line="208" w:lineRule="auto" w:before="0"/>
        <w:ind w:left="765" w:right="672" w:firstLine="0"/>
        <w:jc w:val="center"/>
        <w:rPr>
          <w:sz w:val="16"/>
        </w:rPr>
      </w:pPr>
      <w:r>
        <w:rPr/>
        <w:pict>
          <v:shape style="position:absolute;margin-left:601.348999pt;margin-top:-68.580612pt;width:120.3pt;height:42.55pt;mso-position-horizontal-relative:page;mso-position-vertical-relative:paragraph;z-index:7648"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360.811798pt;margin-top:-68.580612pt;width:120.3pt;height:42.55pt;mso-position-horizontal-relative:page;mso-position-vertical-relative:paragraph;z-index:7672"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2" w:equalWidth="0">
            <w:col w:w="11878" w:space="2942"/>
            <w:col w:w="2020"/>
          </w:cols>
        </w:sectPr>
      </w:pPr>
    </w:p>
    <w:p>
      <w:pPr>
        <w:pStyle w:val="BodyText"/>
        <w:spacing w:before="7"/>
        <w:rPr>
          <w:sz w:val="29"/>
        </w:rPr>
      </w:pPr>
    </w:p>
    <w:p>
      <w:pPr>
        <w:spacing w:after="0"/>
        <w:rPr>
          <w:sz w:val="29"/>
        </w:rPr>
        <w:sectPr>
          <w:type w:val="continuous"/>
          <w:pgSz w:w="16840" w:h="11910" w:orient="landscape"/>
          <w:pgMar w:top="0" w:bottom="0" w:left="0" w:right="0"/>
        </w:sectPr>
      </w:pPr>
    </w:p>
    <w:p>
      <w:pPr>
        <w:pStyle w:val="Heading4"/>
        <w:spacing w:line="249" w:lineRule="auto" w:before="111"/>
        <w:ind w:right="1035"/>
      </w:pPr>
      <w:r>
        <w:rPr/>
        <w:pict>
          <v:group style="position:absolute;margin-left:481.080994pt;margin-top:-130.393295pt;width:360.85pt;height:104.75pt;mso-position-horizontal-relative:page;mso-position-vertical-relative:paragraph;z-index:-806032" coordorigin="9622,-2608" coordsize="7217,2095">
            <v:shape style="position:absolute;left:13225;top:-1772;width:904;height:904" coordorigin="13225,-1771" coordsize="904,904" path="m13677,-1771l13225,-1320,13677,-868,14129,-1320,13677,-1771xe" filled="true" fillcolor="#e8e9c9" stroked="false">
              <v:path arrowok="t"/>
              <v:fill type="solid"/>
            </v:shape>
            <v:shape style="position:absolute;left:11870;top:-2223;width:2710;height:904" coordorigin="11871,-2223" coordsize="2710,904" path="m12774,-1771l12322,-2223,11871,-1771,12322,-1320,12774,-1771m14580,-1771l14129,-2223,13677,-1771,14129,-1320,14580,-1771e" filled="true" fillcolor="#efeeeb" stroked="false">
              <v:path arrowok="t"/>
              <v:fill type="solid"/>
            </v:shape>
            <v:shape style="position:absolute;left:12773;top:-2223;width:904;height:904" coordorigin="12774,-2223" coordsize="904,904" path="m13225,-2223l12774,-1771,13225,-1320,13677,-1771,13225,-2223xe" filled="true" fillcolor="#c0aac2" stroked="false">
              <v:path arrowok="t"/>
              <v:fill type="solid"/>
            </v:shape>
            <v:shape style="position:absolute;left:14419;top:-2608;width:1455;height:1745" coordorigin="14419,-2608" coordsize="1455,1745" path="m15219,-2608l15194,-2608,14935,-2458,14901,-2424,15219,-2608m15356,-2608l15331,-2608,14748,-2272,14714,-2238,15356,-2608m15492,-2608l15467,-2608,14562,-2085,14527,-2051,15492,-2608m15629,-2608l15604,-2608,14419,-1924,14428,-1915,15629,-2608m15766,-2608l15741,-2608,14469,-1874,14478,-1865,15766,-2608m15874,-1106l15470,-873,15479,-864,15874,-1092,15874,-1106m15874,-1185l15420,-923,15429,-914,15874,-1171,15874,-1185m15874,-1264l15370,-973,15379,-964,15874,-1250,15874,-1264m15874,-1343l15320,-1023,15329,-1014,15874,-1329,15874,-1343m15874,-1422l15270,-1073,15279,-1064,15874,-1408,15874,-1422m15874,-1501l15220,-1123,15229,-1114,15874,-1486,15874,-1501m15874,-1580l15170,-1173,15179,-1164,15874,-1565,15874,-1580m15874,-1659l15120,-1223,15129,-1214,15874,-1644,15874,-1659m15874,-1738l15070,-1273,15079,-1264,15874,-1723,15874,-1738m15874,-1817l15020,-1323,15029,-1314,15874,-1802,15874,-1817m15874,-1974l14920,-1423,14929,-1414,15874,-1960,15874,-1974m15874,-2053l14870,-1473,14879,-1464,15874,-2039,15874,-2053m15874,-2132l14819,-1523,14829,-1514,15874,-2118,15874,-2132m15874,-2211l14769,-1574,14779,-1564,15874,-2197,15874,-2211m15874,-2290l14719,-1624,14729,-1614,15874,-2276,15874,-2290m15874,-2369l14669,-1674,14679,-1664,15874,-2355,15874,-2369m15874,-2448l14619,-1724,14628,-1714,15874,-2434,15874,-2448m15874,-2606l14519,-1824,14528,-1815,15874,-2591,15874,-2606m15874,-1896l14970,-1373,14979,-1364,15874,-1881,15874,-1896m15874,-2527l14569,-1774,14578,-1765,15874,-2513,15874,-2527e" filled="true" fillcolor="#cdcccd" stroked="false">
              <v:path arrowok="t"/>
              <v:fill type="solid"/>
            </v:shape>
            <v:shape style="position:absolute;left:15520;top:-1028;width:354;height:514" type="#_x0000_t75" stroked="false">
              <v:imagedata r:id="rId42" o:title=""/>
            </v:shape>
            <v:shape style="position:absolute;left:15874;top:-2608;width:338;height:196" type="#_x0000_t75" stroked="false">
              <v:imagedata r:id="rId20" o:title=""/>
            </v:shape>
            <v:shape style="position:absolute;left:15874;top:-2608;width:964;height:1932" coordorigin="15874,-2608" coordsize="964,1932" path="m16349,-2608l16339,-2608,15874,-2340,15874,-2334,16349,-2608m16378,-973l15874,-682,15874,-676,16365,-960,16378,-973m16486,-2608l16476,-2608,15874,-2261,15874,-2255,16486,-2608m16565,-1160l15874,-761,15874,-755,16551,-1146,16565,-1160m16622,-2608l16612,-2608,15874,-2182,15874,-2176,16622,-2608m16699,-2573l16695,-2577,15874,-2103,15874,-2097,16699,-2573m16749,-2523l16745,-2527,15874,-2024,15874,-2018,16749,-2523m16752,-1347l15874,-840,15874,-834,16738,-1333,16752,-1347m16799,-2473l16795,-2477,15874,-1945,15874,-1939,16799,-2473m16838,-1475l15874,-919,15874,-913,16838,-1469,16838,-1475m16838,-1554l15874,-998,15874,-992,16838,-1548,16838,-1554m16838,-1633l15874,-1077,15874,-1071,16838,-1627,16838,-1633m16838,-1712l15874,-1156,15874,-1150,16838,-1706,16838,-1712m16838,-1791l15874,-1235,15874,-1229,16838,-1785,16838,-1791m16838,-1870l15874,-1313,15874,-1308,16838,-1864,16838,-1870m16838,-1949l15874,-1392,15874,-1387,16838,-1943,16838,-1949m16838,-2028l15874,-1471,15874,-1466,16838,-2022,16838,-2028m16838,-2107l15874,-1550,15874,-1544,16838,-2101,16838,-2107m16838,-2186l15874,-1629,15874,-1623,16838,-2180,16838,-2186m16838,-2264l15874,-1708,15874,-1702,16838,-2259,16838,-2264m16838,-2343l15874,-1787,15874,-1781,16838,-2338,16838,-2343m16838,-2422l15874,-1866,15874,-1860,16838,-2417,16838,-2422e" filled="true" fillcolor="#cdcccd" stroked="false">
              <v:path arrowok="t"/>
              <v:fill type="solid"/>
            </v:shape>
            <v:shape style="position:absolute;left:15874;top:-787;width:318;height:269" type="#_x0000_t75" stroked="false">
              <v:imagedata r:id="rId158" o:title=""/>
            </v:shape>
            <v:shape style="position:absolute;left:15424;top:-1533;width:900;height:904" coordorigin="15424,-1532" coordsize="900,904" path="m15874,-1532l15424,-1082,15424,-1079,15874,-629,16324,-1079,16324,-1082,15874,-1532xe" filled="true" fillcolor="#c4cd71" stroked="false">
              <v:path arrowok="t"/>
              <v:fill type="solid"/>
            </v:shape>
            <v:shape style="position:absolute;left:15422;top:-1083;width:2;height:4" coordorigin="15423,-1082" coordsize="2,4" path="m15424,-1082l15423,-1081,15424,-1079,15424,-1082xe" filled="true" fillcolor="#b9c369" stroked="false">
              <v:path arrowok="t"/>
              <v:fill type="solid"/>
            </v:shape>
            <v:shape style="position:absolute;left:16324;top:-1083;width:2;height:4" coordorigin="16324,-1082" coordsize="2,4" path="m16324,-1082l16324,-1079,16326,-1081,16324,-1082xe" filled="true" fillcolor="#bec29e" stroked="false">
              <v:path arrowok="t"/>
              <v:fill type="solid"/>
            </v:shape>
            <v:rect style="position:absolute;left:9621;top:-2608;width:2406;height:851" filled="true" fillcolor="#bec85c" stroked="false">
              <v:fill type="solid"/>
            </v:rect>
            <v:rect style="position:absolute;left:12026;top:-2608;width:2406;height:851" filled="true" fillcolor="#b6c247" stroked="false">
              <v:fill type="solid"/>
            </v:rect>
            <v:rect style="position:absolute;left:14432;top:-2608;width:2406;height:851" filled="true" fillcolor="#aebd37" stroked="false">
              <v:fill type="solid"/>
            </v:rect>
            <v:line style="position:absolute" from="16838,-2608" to="16838,-1757" stroked="true" strokeweight=".001pt" strokecolor="#aebd37">
              <v:stroke dashstyle="solid"/>
            </v:line>
            <v:shape style="position:absolute;left:15263;top:-1242;width:161;height:322" type="#_x0000_t75" stroked="false">
              <v:imagedata r:id="rId16" o:title=""/>
            </v:shape>
            <v:shape style="position:absolute;left:16324;top:-1242;width:161;height:322" type="#_x0000_t75" stroked="false">
              <v:imagedata r:id="rId11" o:title=""/>
            </v:shape>
            <w10:wrap type="none"/>
          </v:group>
        </w:pict>
      </w:r>
      <w:r>
        <w:rPr>
          <w:color w:val="6F2770"/>
        </w:rPr>
        <w:t>Efficiencies and Opportunities</w:t>
      </w:r>
      <w:r>
        <w:rPr>
          <w:color w:val="6F2770"/>
          <w:spacing w:val="-55"/>
        </w:rPr>
        <w:t> </w:t>
      </w:r>
      <w:r>
        <w:rPr>
          <w:color w:val="6F2770"/>
        </w:rPr>
        <w:t>in</w:t>
      </w:r>
      <w:r>
        <w:rPr>
          <w:color w:val="6F2770"/>
          <w:spacing w:val="-55"/>
        </w:rPr>
        <w:t> </w:t>
      </w:r>
      <w:r>
        <w:rPr>
          <w:color w:val="6F2770"/>
          <w:spacing w:val="-3"/>
        </w:rPr>
        <w:t>Change</w:t>
      </w:r>
    </w:p>
    <w:p>
      <w:pPr>
        <w:pStyle w:val="BodyText"/>
        <w:spacing w:line="249" w:lineRule="auto" w:before="230"/>
        <w:ind w:left="765" w:right="105"/>
      </w:pPr>
      <w:r>
        <w:rPr>
          <w:w w:val="93"/>
        </w:rPr>
        <w:t>The</w:t>
      </w:r>
      <w:r>
        <w:rPr/>
        <w:t> </w:t>
      </w:r>
      <w:r>
        <w:rPr>
          <w:w w:val="95"/>
        </w:rPr>
        <w:t>Gove</w:t>
      </w:r>
      <w:r>
        <w:rPr>
          <w:spacing w:val="3"/>
          <w:w w:val="95"/>
        </w:rPr>
        <w:t>r</w:t>
      </w:r>
      <w:r>
        <w:rPr>
          <w:w w:val="97"/>
        </w:rPr>
        <w:t>nment</w:t>
      </w:r>
      <w:r>
        <w:rPr>
          <w:spacing w:val="-25"/>
          <w:w w:val="125"/>
        </w:rPr>
        <w:t>’</w:t>
      </w:r>
      <w:r>
        <w:rPr>
          <w:w w:val="96"/>
        </w:rPr>
        <w:t>s</w:t>
      </w:r>
      <w:r>
        <w:rPr/>
        <w:t> </w:t>
      </w:r>
      <w:r>
        <w:rPr>
          <w:w w:val="96"/>
        </w:rPr>
        <w:t>Public</w:t>
      </w:r>
      <w:r>
        <w:rPr/>
        <w:t> </w:t>
      </w:r>
      <w:r>
        <w:rPr>
          <w:w w:val="98"/>
        </w:rPr>
        <w:t>Sector</w:t>
      </w:r>
      <w:r>
        <w:rPr/>
        <w:t> </w:t>
      </w:r>
      <w:r>
        <w:rPr>
          <w:w w:val="94"/>
        </w:rPr>
        <w:t>Renewa</w:t>
      </w:r>
      <w:r>
        <w:rPr>
          <w:spacing w:val="-1"/>
          <w:w w:val="94"/>
        </w:rPr>
        <w:t>l</w:t>
      </w:r>
      <w:r>
        <w:rPr>
          <w:w w:val="99"/>
          <w:position w:val="8"/>
          <w:sz w:val="10"/>
        </w:rPr>
        <w:t>9 </w:t>
      </w:r>
      <w:r>
        <w:rPr/>
        <w:t>program</w:t>
      </w:r>
      <w:r>
        <w:rPr>
          <w:spacing w:val="-24"/>
        </w:rPr>
        <w:t> </w:t>
      </w:r>
      <w:r>
        <w:rPr/>
        <w:t>represents</w:t>
      </w:r>
      <w:r>
        <w:rPr>
          <w:spacing w:val="-23"/>
        </w:rPr>
        <w:t> </w:t>
      </w:r>
      <w:r>
        <w:rPr/>
        <w:t>a</w:t>
      </w:r>
      <w:r>
        <w:rPr>
          <w:spacing w:val="-23"/>
        </w:rPr>
        <w:t> </w:t>
      </w:r>
      <w:r>
        <w:rPr/>
        <w:t>period</w:t>
      </w:r>
      <w:r>
        <w:rPr>
          <w:spacing w:val="-23"/>
        </w:rPr>
        <w:t> </w:t>
      </w:r>
      <w:r>
        <w:rPr/>
        <w:t>of</w:t>
      </w:r>
      <w:r>
        <w:rPr>
          <w:spacing w:val="-24"/>
        </w:rPr>
        <w:t> </w:t>
      </w:r>
      <w:r>
        <w:rPr/>
        <w:t>significant</w:t>
      </w:r>
      <w:r>
        <w:rPr>
          <w:spacing w:val="-23"/>
        </w:rPr>
        <w:t> </w:t>
      </w:r>
      <w:r>
        <w:rPr>
          <w:spacing w:val="-3"/>
        </w:rPr>
        <w:t>change </w:t>
      </w:r>
      <w:r>
        <w:rPr/>
        <w:t>and opportunity for the public sector and the Department.</w:t>
      </w:r>
    </w:p>
    <w:p>
      <w:pPr>
        <w:pStyle w:val="BodyText"/>
        <w:spacing w:before="3"/>
        <w:rPr>
          <w:sz w:val="23"/>
        </w:rPr>
      </w:pPr>
    </w:p>
    <w:p>
      <w:pPr>
        <w:pStyle w:val="BodyText"/>
        <w:spacing w:line="249" w:lineRule="auto"/>
        <w:ind w:left="765" w:right="297"/>
      </w:pPr>
      <w:r>
        <w:rPr/>
        <w:t>A key component of the program is the Service Priority Review. As a central </w:t>
      </w:r>
      <w:r>
        <w:rPr>
          <w:spacing w:val="-3"/>
        </w:rPr>
        <w:t>agency, </w:t>
      </w:r>
      <w:r>
        <w:rPr/>
        <w:t>the Department will collaborate with the Service Priority Review on measures that can be implemented to bring about cultural </w:t>
      </w:r>
      <w:r>
        <w:rPr>
          <w:spacing w:val="-3"/>
        </w:rPr>
        <w:t>change </w:t>
      </w:r>
      <w:r>
        <w:rPr/>
        <w:t>and efficiency within the public </w:t>
      </w:r>
      <w:r>
        <w:rPr>
          <w:spacing w:val="-3"/>
        </w:rPr>
        <w:t>sector.</w:t>
      </w:r>
    </w:p>
    <w:p>
      <w:pPr>
        <w:pStyle w:val="BodyText"/>
        <w:spacing w:before="5"/>
        <w:rPr>
          <w:sz w:val="23"/>
        </w:rPr>
      </w:pPr>
    </w:p>
    <w:p>
      <w:pPr>
        <w:pStyle w:val="BodyText"/>
        <w:spacing w:line="249" w:lineRule="auto"/>
        <w:ind w:left="765" w:right="-8"/>
      </w:pPr>
      <w:r>
        <w:rPr/>
        <w:t>In addition, the Department intends to contribute to the Public Sector Renewal program through leadership of a Directors General Working Group on</w:t>
      </w:r>
      <w:r>
        <w:rPr>
          <w:spacing w:val="-24"/>
        </w:rPr>
        <w:t> </w:t>
      </w:r>
      <w:r>
        <w:rPr/>
        <w:t>Public</w:t>
      </w:r>
      <w:r>
        <w:rPr>
          <w:spacing w:val="-23"/>
        </w:rPr>
        <w:t> </w:t>
      </w:r>
      <w:r>
        <w:rPr/>
        <w:t>Sector</w:t>
      </w:r>
      <w:r>
        <w:rPr>
          <w:spacing w:val="-23"/>
        </w:rPr>
        <w:t> </w:t>
      </w:r>
      <w:r>
        <w:rPr>
          <w:spacing w:val="-3"/>
        </w:rPr>
        <w:t>Efficiency.</w:t>
      </w:r>
      <w:r>
        <w:rPr>
          <w:spacing w:val="-23"/>
        </w:rPr>
        <w:t> </w:t>
      </w:r>
      <w:r>
        <w:rPr/>
        <w:t>The</w:t>
      </w:r>
      <w:r>
        <w:rPr>
          <w:spacing w:val="-24"/>
        </w:rPr>
        <w:t> </w:t>
      </w:r>
      <w:r>
        <w:rPr/>
        <w:t>Working</w:t>
      </w:r>
      <w:r>
        <w:rPr>
          <w:spacing w:val="-23"/>
        </w:rPr>
        <w:t> </w:t>
      </w:r>
      <w:r>
        <w:rPr/>
        <w:t>Group</w:t>
      </w:r>
      <w:r>
        <w:rPr>
          <w:spacing w:val="-23"/>
        </w:rPr>
        <w:t> </w:t>
      </w:r>
      <w:r>
        <w:rPr>
          <w:spacing w:val="-5"/>
        </w:rPr>
        <w:t>will </w:t>
      </w:r>
      <w:r>
        <w:rPr/>
        <w:t>focus on reducing internal red tape which adds to costs, restricts innovation and limits performance in the public </w:t>
      </w:r>
      <w:r>
        <w:rPr>
          <w:spacing w:val="-3"/>
        </w:rPr>
        <w:t>sector. </w:t>
      </w:r>
      <w:r>
        <w:rPr/>
        <w:t>The Working Group will recommend</w:t>
      </w:r>
      <w:r>
        <w:rPr>
          <w:spacing w:val="-34"/>
        </w:rPr>
        <w:t> </w:t>
      </w:r>
      <w:r>
        <w:rPr/>
        <w:t>improvements</w:t>
      </w:r>
      <w:r>
        <w:rPr>
          <w:spacing w:val="-33"/>
        </w:rPr>
        <w:t> </w:t>
      </w:r>
      <w:r>
        <w:rPr/>
        <w:t>that</w:t>
      </w:r>
      <w:r>
        <w:rPr>
          <w:spacing w:val="-33"/>
        </w:rPr>
        <w:t> </w:t>
      </w:r>
      <w:r>
        <w:rPr/>
        <w:t>increase</w:t>
      </w:r>
      <w:r>
        <w:rPr>
          <w:spacing w:val="-34"/>
        </w:rPr>
        <w:t> </w:t>
      </w:r>
      <w:r>
        <w:rPr>
          <w:spacing w:val="-3"/>
        </w:rPr>
        <w:t>efficiency, </w:t>
      </w:r>
      <w:r>
        <w:rPr/>
        <w:t>such as the simplification of processes and approvals, as well as the removal of duplicated reporting</w:t>
      </w:r>
      <w:r>
        <w:rPr>
          <w:spacing w:val="-2"/>
        </w:rPr>
        <w:t> </w:t>
      </w:r>
      <w:r>
        <w:rPr/>
        <w:t>requirements.</w:t>
      </w:r>
    </w:p>
    <w:p>
      <w:pPr>
        <w:pStyle w:val="BodyText"/>
        <w:spacing w:line="249" w:lineRule="auto" w:before="142"/>
        <w:ind w:left="394" w:right="72"/>
      </w:pPr>
      <w:r>
        <w:rPr/>
        <w:br w:type="column"/>
      </w:r>
      <w:r>
        <w:rPr/>
        <w:t>As</w:t>
      </w:r>
      <w:r>
        <w:rPr>
          <w:spacing w:val="-21"/>
        </w:rPr>
        <w:t> </w:t>
      </w:r>
      <w:r>
        <w:rPr/>
        <w:t>part</w:t>
      </w:r>
      <w:r>
        <w:rPr>
          <w:spacing w:val="-21"/>
        </w:rPr>
        <w:t> </w:t>
      </w:r>
      <w:r>
        <w:rPr/>
        <w:t>of</w:t>
      </w:r>
      <w:r>
        <w:rPr>
          <w:spacing w:val="-21"/>
        </w:rPr>
        <w:t> </w:t>
      </w:r>
      <w:r>
        <w:rPr/>
        <w:t>Public</w:t>
      </w:r>
      <w:r>
        <w:rPr>
          <w:spacing w:val="-20"/>
        </w:rPr>
        <w:t> </w:t>
      </w:r>
      <w:r>
        <w:rPr/>
        <w:t>Sector</w:t>
      </w:r>
      <w:r>
        <w:rPr>
          <w:spacing w:val="-21"/>
        </w:rPr>
        <w:t> </w:t>
      </w:r>
      <w:r>
        <w:rPr/>
        <w:t>Renewal,</w:t>
      </w:r>
      <w:r>
        <w:rPr>
          <w:spacing w:val="-21"/>
        </w:rPr>
        <w:t> </w:t>
      </w:r>
      <w:r>
        <w:rPr/>
        <w:t>the</w:t>
      </w:r>
      <w:r>
        <w:rPr>
          <w:spacing w:val="-21"/>
        </w:rPr>
        <w:t> </w:t>
      </w:r>
      <w:r>
        <w:rPr/>
        <w:t>Department has also implemented machinery of government changes welcoming </w:t>
      </w:r>
      <w:r>
        <w:rPr>
          <w:b/>
        </w:rPr>
        <w:t>Strategic Projects </w:t>
      </w:r>
      <w:r>
        <w:rPr/>
        <w:t>to the Department</w:t>
      </w:r>
      <w:r>
        <w:rPr>
          <w:spacing w:val="-18"/>
        </w:rPr>
        <w:t> </w:t>
      </w:r>
      <w:r>
        <w:rPr/>
        <w:t>of</w:t>
      </w:r>
      <w:r>
        <w:rPr>
          <w:spacing w:val="-18"/>
        </w:rPr>
        <w:t> </w:t>
      </w:r>
      <w:r>
        <w:rPr/>
        <w:t>Finance</w:t>
      </w:r>
      <w:r>
        <w:rPr>
          <w:spacing w:val="-17"/>
        </w:rPr>
        <w:t> </w:t>
      </w:r>
      <w:r>
        <w:rPr/>
        <w:t>on</w:t>
      </w:r>
      <w:r>
        <w:rPr>
          <w:spacing w:val="-18"/>
        </w:rPr>
        <w:t> </w:t>
      </w:r>
      <w:r>
        <w:rPr/>
        <w:t>1</w:t>
      </w:r>
      <w:r>
        <w:rPr>
          <w:spacing w:val="-17"/>
        </w:rPr>
        <w:t> </w:t>
      </w:r>
      <w:r>
        <w:rPr/>
        <w:t>July</w:t>
      </w:r>
      <w:r>
        <w:rPr>
          <w:spacing w:val="-18"/>
        </w:rPr>
        <w:t> </w:t>
      </w:r>
      <w:r>
        <w:rPr/>
        <w:t>2017.</w:t>
      </w:r>
      <w:r>
        <w:rPr>
          <w:spacing w:val="-17"/>
        </w:rPr>
        <w:t> </w:t>
      </w:r>
      <w:r>
        <w:rPr/>
        <w:t>The</w:t>
      </w:r>
      <w:r>
        <w:rPr>
          <w:spacing w:val="-18"/>
        </w:rPr>
        <w:t> </w:t>
      </w:r>
      <w:r>
        <w:rPr/>
        <w:t>initial focus of this move will be on ensuring continuity in</w:t>
      </w:r>
      <w:r>
        <w:rPr>
          <w:spacing w:val="-12"/>
        </w:rPr>
        <w:t> </w:t>
      </w:r>
      <w:r>
        <w:rPr/>
        <w:t>the</w:t>
      </w:r>
      <w:r>
        <w:rPr>
          <w:spacing w:val="-12"/>
        </w:rPr>
        <w:t> </w:t>
      </w:r>
      <w:r>
        <w:rPr/>
        <w:t>delivery</w:t>
      </w:r>
      <w:r>
        <w:rPr>
          <w:spacing w:val="-11"/>
        </w:rPr>
        <w:t> </w:t>
      </w:r>
      <w:r>
        <w:rPr/>
        <w:t>of</w:t>
      </w:r>
      <w:r>
        <w:rPr>
          <w:spacing w:val="-12"/>
        </w:rPr>
        <w:t> </w:t>
      </w:r>
      <w:r>
        <w:rPr/>
        <w:t>key</w:t>
      </w:r>
      <w:r>
        <w:rPr>
          <w:spacing w:val="-12"/>
        </w:rPr>
        <w:t> </w:t>
      </w:r>
      <w:r>
        <w:rPr/>
        <w:t>projects</w:t>
      </w:r>
      <w:r>
        <w:rPr>
          <w:spacing w:val="-11"/>
        </w:rPr>
        <w:t> </w:t>
      </w:r>
      <w:r>
        <w:rPr/>
        <w:t>such</w:t>
      </w:r>
      <w:r>
        <w:rPr>
          <w:spacing w:val="-12"/>
        </w:rPr>
        <w:t> </w:t>
      </w:r>
      <w:r>
        <w:rPr/>
        <w:t>as</w:t>
      </w:r>
      <w:r>
        <w:rPr>
          <w:spacing w:val="-12"/>
        </w:rPr>
        <w:t> </w:t>
      </w:r>
      <w:r>
        <w:rPr/>
        <w:t>the</w:t>
      </w:r>
      <w:r>
        <w:rPr>
          <w:spacing w:val="-11"/>
        </w:rPr>
        <w:t> </w:t>
      </w:r>
      <w:r>
        <w:rPr/>
        <w:t>Perth</w:t>
      </w:r>
    </w:p>
    <w:p>
      <w:pPr>
        <w:pStyle w:val="BodyText"/>
        <w:spacing w:line="249" w:lineRule="auto" w:before="5"/>
        <w:ind w:left="394" w:right="-8"/>
      </w:pPr>
      <w:r>
        <w:rPr/>
        <w:t>Stadium</w:t>
      </w:r>
      <w:r>
        <w:rPr>
          <w:spacing w:val="-24"/>
        </w:rPr>
        <w:t> </w:t>
      </w:r>
      <w:r>
        <w:rPr/>
        <w:t>and</w:t>
      </w:r>
      <w:r>
        <w:rPr>
          <w:spacing w:val="-24"/>
        </w:rPr>
        <w:t> </w:t>
      </w:r>
      <w:r>
        <w:rPr/>
        <w:t>the</w:t>
      </w:r>
      <w:r>
        <w:rPr>
          <w:spacing w:val="-24"/>
        </w:rPr>
        <w:t> </w:t>
      </w:r>
      <w:r>
        <w:rPr/>
        <w:t>new</w:t>
      </w:r>
      <w:r>
        <w:rPr>
          <w:spacing w:val="-24"/>
        </w:rPr>
        <w:t> </w:t>
      </w:r>
      <w:r>
        <w:rPr/>
        <w:t>Western</w:t>
      </w:r>
      <w:r>
        <w:rPr>
          <w:spacing w:val="-24"/>
        </w:rPr>
        <w:t> </w:t>
      </w:r>
      <w:r>
        <w:rPr/>
        <w:t>Australian</w:t>
      </w:r>
      <w:r>
        <w:rPr>
          <w:spacing w:val="-23"/>
        </w:rPr>
        <w:t> </w:t>
      </w:r>
      <w:r>
        <w:rPr>
          <w:spacing w:val="-3"/>
        </w:rPr>
        <w:t>Museum, </w:t>
      </w:r>
      <w:r>
        <w:rPr/>
        <w:t>as well as understanding the</w:t>
      </w:r>
      <w:r>
        <w:rPr>
          <w:spacing w:val="-27"/>
        </w:rPr>
        <w:t> </w:t>
      </w:r>
      <w:r>
        <w:rPr/>
        <w:t>business.</w:t>
      </w:r>
    </w:p>
    <w:p>
      <w:pPr>
        <w:pStyle w:val="BodyText"/>
        <w:spacing w:before="2"/>
        <w:rPr>
          <w:sz w:val="23"/>
        </w:rPr>
      </w:pPr>
    </w:p>
    <w:p>
      <w:pPr>
        <w:pStyle w:val="BodyText"/>
        <w:spacing w:line="249" w:lineRule="auto"/>
        <w:ind w:left="394" w:right="157"/>
      </w:pPr>
      <w:r>
        <w:rPr/>
        <w:t>Looking further ahead, attention will shift to exploring</w:t>
      </w:r>
      <w:r>
        <w:rPr>
          <w:spacing w:val="-32"/>
        </w:rPr>
        <w:t> </w:t>
      </w:r>
      <w:r>
        <w:rPr/>
        <w:t>synergies</w:t>
      </w:r>
      <w:r>
        <w:rPr>
          <w:spacing w:val="-32"/>
        </w:rPr>
        <w:t> </w:t>
      </w:r>
      <w:r>
        <w:rPr/>
        <w:t>and</w:t>
      </w:r>
      <w:r>
        <w:rPr>
          <w:spacing w:val="-32"/>
        </w:rPr>
        <w:t> </w:t>
      </w:r>
      <w:r>
        <w:rPr/>
        <w:t>leveraging</w:t>
      </w:r>
      <w:r>
        <w:rPr>
          <w:spacing w:val="-31"/>
        </w:rPr>
        <w:t> </w:t>
      </w:r>
      <w:r>
        <w:rPr/>
        <w:t>opportunities across</w:t>
      </w:r>
      <w:r>
        <w:rPr>
          <w:spacing w:val="-25"/>
        </w:rPr>
        <w:t> </w:t>
      </w:r>
      <w:r>
        <w:rPr/>
        <w:t>the</w:t>
      </w:r>
      <w:r>
        <w:rPr>
          <w:spacing w:val="-25"/>
        </w:rPr>
        <w:t> </w:t>
      </w:r>
      <w:r>
        <w:rPr/>
        <w:t>Department</w:t>
      </w:r>
      <w:r>
        <w:rPr>
          <w:spacing w:val="-25"/>
        </w:rPr>
        <w:t> </w:t>
      </w:r>
      <w:r>
        <w:rPr/>
        <w:t>to</w:t>
      </w:r>
      <w:r>
        <w:rPr>
          <w:spacing w:val="-25"/>
        </w:rPr>
        <w:t> </w:t>
      </w:r>
      <w:r>
        <w:rPr/>
        <w:t>deliver</w:t>
      </w:r>
      <w:r>
        <w:rPr>
          <w:spacing w:val="-25"/>
        </w:rPr>
        <w:t> </w:t>
      </w:r>
      <w:r>
        <w:rPr/>
        <w:t>enhanced</w:t>
      </w:r>
      <w:r>
        <w:rPr>
          <w:spacing w:val="-25"/>
        </w:rPr>
        <w:t> </w:t>
      </w:r>
      <w:r>
        <w:rPr>
          <w:spacing w:val="-4"/>
        </w:rPr>
        <w:t>value </w:t>
      </w:r>
      <w:r>
        <w:rPr/>
        <w:t>for government and better</w:t>
      </w:r>
      <w:r>
        <w:rPr>
          <w:spacing w:val="-12"/>
        </w:rPr>
        <w:t> </w:t>
      </w:r>
      <w:r>
        <w:rPr/>
        <w:t>outcomes.</w:t>
      </w:r>
    </w:p>
    <w:p>
      <w:pPr>
        <w:pStyle w:val="BodyText"/>
        <w:spacing w:before="5"/>
        <w:rPr>
          <w:sz w:val="26"/>
        </w:rPr>
      </w:pPr>
    </w:p>
    <w:p>
      <w:pPr>
        <w:pStyle w:val="Heading4"/>
        <w:spacing w:line="249" w:lineRule="auto" w:before="0"/>
        <w:ind w:left="394" w:right="72"/>
      </w:pPr>
      <w:r>
        <w:rPr>
          <w:color w:val="6F2770"/>
        </w:rPr>
        <w:t>Reforms to Support </w:t>
      </w:r>
      <w:r>
        <w:rPr>
          <w:color w:val="6F2770"/>
          <w:w w:val="95"/>
        </w:rPr>
        <w:t>Government Objectives</w:t>
      </w:r>
    </w:p>
    <w:p>
      <w:pPr>
        <w:pStyle w:val="BodyText"/>
        <w:spacing w:line="249" w:lineRule="auto" w:before="230"/>
        <w:ind w:left="394" w:right="39"/>
      </w:pPr>
      <w:r>
        <w:rPr/>
        <w:t>In response to the changing landscape of the </w:t>
      </w:r>
      <w:r>
        <w:rPr>
          <w:spacing w:val="-3"/>
        </w:rPr>
        <w:t>sector, </w:t>
      </w:r>
      <w:r>
        <w:rPr/>
        <w:t>demand for the </w:t>
      </w:r>
      <w:r>
        <w:rPr>
          <w:spacing w:val="-3"/>
        </w:rPr>
        <w:t>Department’s </w:t>
      </w:r>
      <w:r>
        <w:rPr/>
        <w:t>expertise is growing</w:t>
      </w:r>
      <w:r>
        <w:rPr>
          <w:spacing w:val="-18"/>
        </w:rPr>
        <w:t> </w:t>
      </w:r>
      <w:r>
        <w:rPr/>
        <w:t>across</w:t>
      </w:r>
      <w:r>
        <w:rPr>
          <w:spacing w:val="-18"/>
        </w:rPr>
        <w:t> </w:t>
      </w:r>
      <w:r>
        <w:rPr/>
        <w:t>the</w:t>
      </w:r>
      <w:r>
        <w:rPr>
          <w:spacing w:val="-17"/>
        </w:rPr>
        <w:t> </w:t>
      </w:r>
      <w:r>
        <w:rPr/>
        <w:t>breadth</w:t>
      </w:r>
      <w:r>
        <w:rPr>
          <w:spacing w:val="-18"/>
        </w:rPr>
        <w:t> </w:t>
      </w:r>
      <w:r>
        <w:rPr/>
        <w:t>of</w:t>
      </w:r>
      <w:r>
        <w:rPr>
          <w:spacing w:val="-17"/>
        </w:rPr>
        <w:t> </w:t>
      </w:r>
      <w:r>
        <w:rPr/>
        <w:t>services</w:t>
      </w:r>
      <w:r>
        <w:rPr>
          <w:spacing w:val="-18"/>
        </w:rPr>
        <w:t> </w:t>
      </w:r>
      <w:r>
        <w:rPr/>
        <w:t>it</w:t>
      </w:r>
      <w:r>
        <w:rPr>
          <w:spacing w:val="-17"/>
        </w:rPr>
        <w:t> </w:t>
      </w:r>
      <w:r>
        <w:rPr>
          <w:spacing w:val="-3"/>
        </w:rPr>
        <w:t>provides, </w:t>
      </w:r>
      <w:r>
        <w:rPr/>
        <w:t>reflecting the needs of government, agencies, business and</w:t>
      </w:r>
      <w:r>
        <w:rPr>
          <w:spacing w:val="-4"/>
        </w:rPr>
        <w:t> </w:t>
      </w:r>
      <w:r>
        <w:rPr/>
        <w:t>communities.</w:t>
      </w:r>
    </w:p>
    <w:p>
      <w:pPr>
        <w:pStyle w:val="BodyText"/>
        <w:spacing w:line="249" w:lineRule="auto" w:before="142"/>
        <w:ind w:left="404" w:right="1170"/>
      </w:pPr>
      <w:r>
        <w:rPr/>
        <w:br w:type="column"/>
      </w:r>
      <w:r>
        <w:rPr/>
        <w:t>An example is the work of </w:t>
      </w:r>
      <w:r>
        <w:rPr>
          <w:b/>
        </w:rPr>
        <w:t>State Revenue</w:t>
      </w:r>
      <w:r>
        <w:rPr/>
        <w:t>, looking for ways to enhance the efficiency of its</w:t>
      </w:r>
      <w:r>
        <w:rPr>
          <w:spacing w:val="-20"/>
        </w:rPr>
        <w:t> </w:t>
      </w:r>
      <w:r>
        <w:rPr/>
        <w:t>existing</w:t>
      </w:r>
      <w:r>
        <w:rPr>
          <w:spacing w:val="-19"/>
        </w:rPr>
        <w:t> </w:t>
      </w:r>
      <w:r>
        <w:rPr/>
        <w:t>taxation,</w:t>
      </w:r>
      <w:r>
        <w:rPr>
          <w:spacing w:val="-19"/>
        </w:rPr>
        <w:t> </w:t>
      </w:r>
      <w:r>
        <w:rPr/>
        <w:t>grant</w:t>
      </w:r>
      <w:r>
        <w:rPr>
          <w:spacing w:val="-19"/>
        </w:rPr>
        <w:t> </w:t>
      </w:r>
      <w:r>
        <w:rPr/>
        <w:t>and</w:t>
      </w:r>
      <w:r>
        <w:rPr>
          <w:spacing w:val="-20"/>
        </w:rPr>
        <w:t> </w:t>
      </w:r>
      <w:r>
        <w:rPr/>
        <w:t>subsidy</w:t>
      </w:r>
      <w:r>
        <w:rPr>
          <w:spacing w:val="-19"/>
        </w:rPr>
        <w:t> </w:t>
      </w:r>
      <w:r>
        <w:rPr>
          <w:spacing w:val="-3"/>
        </w:rPr>
        <w:t>settings</w:t>
      </w:r>
    </w:p>
    <w:p>
      <w:pPr>
        <w:pStyle w:val="BodyText"/>
        <w:spacing w:line="249" w:lineRule="auto" w:before="3"/>
        <w:ind w:left="404" w:right="809"/>
      </w:pPr>
      <w:r>
        <w:rPr/>
        <w:t>that will assist with budget </w:t>
      </w:r>
      <w:r>
        <w:rPr>
          <w:spacing w:val="-4"/>
        </w:rPr>
        <w:t>repair. </w:t>
      </w:r>
      <w:r>
        <w:rPr/>
        <w:t>State Revenue will seek to ensure taxation related changes are implemented</w:t>
      </w:r>
      <w:r>
        <w:rPr>
          <w:spacing w:val="-22"/>
        </w:rPr>
        <w:t> </w:t>
      </w:r>
      <w:r>
        <w:rPr/>
        <w:t>promptly</w:t>
      </w:r>
      <w:r>
        <w:rPr>
          <w:spacing w:val="-22"/>
        </w:rPr>
        <w:t> </w:t>
      </w:r>
      <w:r>
        <w:rPr/>
        <w:t>in</w:t>
      </w:r>
      <w:r>
        <w:rPr>
          <w:spacing w:val="-21"/>
        </w:rPr>
        <w:t> </w:t>
      </w:r>
      <w:r>
        <w:rPr/>
        <w:t>order</w:t>
      </w:r>
      <w:r>
        <w:rPr>
          <w:spacing w:val="-22"/>
        </w:rPr>
        <w:t> </w:t>
      </w:r>
      <w:r>
        <w:rPr/>
        <w:t>to</w:t>
      </w:r>
      <w:r>
        <w:rPr>
          <w:spacing w:val="-21"/>
        </w:rPr>
        <w:t> </w:t>
      </w:r>
      <w:r>
        <w:rPr/>
        <w:t>improve</w:t>
      </w:r>
      <w:r>
        <w:rPr>
          <w:spacing w:val="-22"/>
        </w:rPr>
        <w:t> </w:t>
      </w:r>
      <w:r>
        <w:rPr>
          <w:spacing w:val="-4"/>
        </w:rPr>
        <w:t>revenue </w:t>
      </w:r>
      <w:r>
        <w:rPr/>
        <w:t>collection</w:t>
      </w:r>
      <w:r>
        <w:rPr>
          <w:spacing w:val="-1"/>
        </w:rPr>
        <w:t> </w:t>
      </w:r>
      <w:r>
        <w:rPr/>
        <w:t>outcomes.</w:t>
      </w:r>
    </w:p>
    <w:p>
      <w:pPr>
        <w:pStyle w:val="BodyText"/>
        <w:spacing w:before="3"/>
        <w:rPr>
          <w:sz w:val="23"/>
        </w:rPr>
      </w:pPr>
    </w:p>
    <w:p>
      <w:pPr>
        <w:pStyle w:val="BodyText"/>
        <w:spacing w:line="249" w:lineRule="auto"/>
        <w:ind w:left="404" w:right="944"/>
      </w:pPr>
      <w:r>
        <w:rPr/>
        <w:t>An</w:t>
      </w:r>
      <w:r>
        <w:rPr>
          <w:spacing w:val="-30"/>
        </w:rPr>
        <w:t> </w:t>
      </w:r>
      <w:r>
        <w:rPr/>
        <w:t>increased</w:t>
      </w:r>
      <w:r>
        <w:rPr>
          <w:spacing w:val="-29"/>
        </w:rPr>
        <w:t> </w:t>
      </w:r>
      <w:r>
        <w:rPr/>
        <w:t>investigation</w:t>
      </w:r>
      <w:r>
        <w:rPr>
          <w:spacing w:val="-29"/>
        </w:rPr>
        <w:t> </w:t>
      </w:r>
      <w:r>
        <w:rPr/>
        <w:t>presence</w:t>
      </w:r>
      <w:r>
        <w:rPr>
          <w:spacing w:val="-29"/>
        </w:rPr>
        <w:t> </w:t>
      </w:r>
      <w:r>
        <w:rPr/>
        <w:t>is</w:t>
      </w:r>
      <w:r>
        <w:rPr>
          <w:spacing w:val="-29"/>
        </w:rPr>
        <w:t> </w:t>
      </w:r>
      <w:r>
        <w:rPr/>
        <w:t>also</w:t>
      </w:r>
      <w:r>
        <w:rPr>
          <w:spacing w:val="-30"/>
        </w:rPr>
        <w:t> </w:t>
      </w:r>
      <w:r>
        <w:rPr>
          <w:spacing w:val="-4"/>
        </w:rPr>
        <w:t>being </w:t>
      </w:r>
      <w:r>
        <w:rPr/>
        <w:t>applied</w:t>
      </w:r>
      <w:r>
        <w:rPr>
          <w:spacing w:val="-16"/>
        </w:rPr>
        <w:t> </w:t>
      </w:r>
      <w:r>
        <w:rPr/>
        <w:t>in</w:t>
      </w:r>
      <w:r>
        <w:rPr>
          <w:spacing w:val="-15"/>
        </w:rPr>
        <w:t> </w:t>
      </w:r>
      <w:r>
        <w:rPr/>
        <w:t>areas</w:t>
      </w:r>
      <w:r>
        <w:rPr>
          <w:spacing w:val="-16"/>
        </w:rPr>
        <w:t> </w:t>
      </w:r>
      <w:r>
        <w:rPr/>
        <w:t>such</w:t>
      </w:r>
      <w:r>
        <w:rPr>
          <w:spacing w:val="-15"/>
        </w:rPr>
        <w:t> </w:t>
      </w:r>
      <w:r>
        <w:rPr/>
        <w:t>as</w:t>
      </w:r>
      <w:r>
        <w:rPr>
          <w:spacing w:val="-16"/>
        </w:rPr>
        <w:t> </w:t>
      </w:r>
      <w:r>
        <w:rPr/>
        <w:t>labour</w:t>
      </w:r>
      <w:r>
        <w:rPr>
          <w:spacing w:val="-15"/>
        </w:rPr>
        <w:t> </w:t>
      </w:r>
      <w:r>
        <w:rPr/>
        <w:t>hire</w:t>
      </w:r>
      <w:r>
        <w:rPr>
          <w:spacing w:val="-15"/>
        </w:rPr>
        <w:t> </w:t>
      </w:r>
      <w:r>
        <w:rPr/>
        <w:t>industries.</w:t>
      </w:r>
    </w:p>
    <w:p>
      <w:pPr>
        <w:pStyle w:val="BodyText"/>
        <w:spacing w:line="249" w:lineRule="auto" w:before="2"/>
        <w:ind w:left="404" w:right="835"/>
      </w:pPr>
      <w:r>
        <w:rPr/>
        <w:t>State Revenue will continue assisting other agencies</w:t>
      </w:r>
      <w:r>
        <w:rPr>
          <w:spacing w:val="-37"/>
        </w:rPr>
        <w:t> </w:t>
      </w:r>
      <w:r>
        <w:rPr/>
        <w:t>by</w:t>
      </w:r>
      <w:r>
        <w:rPr>
          <w:spacing w:val="-37"/>
        </w:rPr>
        <w:t> </w:t>
      </w:r>
      <w:r>
        <w:rPr/>
        <w:t>providing</w:t>
      </w:r>
      <w:r>
        <w:rPr>
          <w:spacing w:val="-37"/>
        </w:rPr>
        <w:t> </w:t>
      </w:r>
      <w:r>
        <w:rPr/>
        <w:t>revenue</w:t>
      </w:r>
      <w:r>
        <w:rPr>
          <w:spacing w:val="-37"/>
        </w:rPr>
        <w:t> </w:t>
      </w:r>
      <w:r>
        <w:rPr/>
        <w:t>collection</w:t>
      </w:r>
      <w:r>
        <w:rPr>
          <w:spacing w:val="-37"/>
        </w:rPr>
        <w:t> </w:t>
      </w:r>
      <w:r>
        <w:rPr/>
        <w:t>expertise to</w:t>
      </w:r>
      <w:r>
        <w:rPr>
          <w:spacing w:val="-13"/>
        </w:rPr>
        <w:t> </w:t>
      </w:r>
      <w:r>
        <w:rPr/>
        <w:t>influence</w:t>
      </w:r>
      <w:r>
        <w:rPr>
          <w:spacing w:val="-13"/>
        </w:rPr>
        <w:t> </w:t>
      </w:r>
      <w:r>
        <w:rPr/>
        <w:t>the</w:t>
      </w:r>
      <w:r>
        <w:rPr>
          <w:spacing w:val="-12"/>
        </w:rPr>
        <w:t> </w:t>
      </w:r>
      <w:r>
        <w:rPr/>
        <w:t>design</w:t>
      </w:r>
      <w:r>
        <w:rPr>
          <w:spacing w:val="-13"/>
        </w:rPr>
        <w:t> </w:t>
      </w:r>
      <w:r>
        <w:rPr/>
        <w:t>of</w:t>
      </w:r>
      <w:r>
        <w:rPr>
          <w:spacing w:val="-12"/>
        </w:rPr>
        <w:t> </w:t>
      </w:r>
      <w:r>
        <w:rPr/>
        <w:t>new</w:t>
      </w:r>
      <w:r>
        <w:rPr>
          <w:spacing w:val="-13"/>
        </w:rPr>
        <w:t> </w:t>
      </w:r>
      <w:r>
        <w:rPr/>
        <w:t>policy</w:t>
      </w:r>
      <w:r>
        <w:rPr>
          <w:spacing w:val="-12"/>
        </w:rPr>
        <w:t> </w:t>
      </w:r>
      <w:r>
        <w:rPr/>
        <w:t>initiatives.</w:t>
      </w:r>
    </w:p>
    <w:p>
      <w:pPr>
        <w:pStyle w:val="BodyText"/>
        <w:spacing w:before="2"/>
        <w:rPr>
          <w:sz w:val="23"/>
        </w:rPr>
      </w:pPr>
    </w:p>
    <w:p>
      <w:pPr>
        <w:pStyle w:val="BodyText"/>
        <w:spacing w:line="249" w:lineRule="auto"/>
        <w:ind w:left="404" w:right="809"/>
      </w:pPr>
      <w:r>
        <w:rPr>
          <w:spacing w:val="-3"/>
        </w:rPr>
        <w:t>This work, coupled with </w:t>
      </w:r>
      <w:r>
        <w:rPr/>
        <w:t>the </w:t>
      </w:r>
      <w:r>
        <w:rPr>
          <w:spacing w:val="-3"/>
        </w:rPr>
        <w:t>ongoing expansion </w:t>
      </w:r>
      <w:r>
        <w:rPr/>
        <w:t>and </w:t>
      </w:r>
      <w:r>
        <w:rPr>
          <w:spacing w:val="-3"/>
        </w:rPr>
        <w:t>enhancements </w:t>
      </w:r>
      <w:r>
        <w:rPr/>
        <w:t>of </w:t>
      </w:r>
      <w:r>
        <w:rPr>
          <w:spacing w:val="-3"/>
        </w:rPr>
        <w:t>online services </w:t>
      </w:r>
      <w:r>
        <w:rPr/>
        <w:t>for </w:t>
      </w:r>
      <w:r>
        <w:rPr>
          <w:spacing w:val="-3"/>
        </w:rPr>
        <w:t>duty assessment,</w:t>
      </w:r>
      <w:r>
        <w:rPr>
          <w:spacing w:val="-30"/>
        </w:rPr>
        <w:t> </w:t>
      </w:r>
      <w:r>
        <w:rPr>
          <w:spacing w:val="-3"/>
        </w:rPr>
        <w:t>continues</w:t>
      </w:r>
      <w:r>
        <w:rPr>
          <w:spacing w:val="-29"/>
        </w:rPr>
        <w:t> </w:t>
      </w:r>
      <w:r>
        <w:rPr/>
        <w:t>to</w:t>
      </w:r>
      <w:r>
        <w:rPr>
          <w:spacing w:val="-29"/>
        </w:rPr>
        <w:t> </w:t>
      </w:r>
      <w:r>
        <w:rPr>
          <w:spacing w:val="-3"/>
        </w:rPr>
        <w:t>sharpen</w:t>
      </w:r>
      <w:r>
        <w:rPr>
          <w:spacing w:val="-30"/>
        </w:rPr>
        <w:t> </w:t>
      </w:r>
      <w:r>
        <w:rPr>
          <w:spacing w:val="-3"/>
        </w:rPr>
        <w:t>State</w:t>
      </w:r>
      <w:r>
        <w:rPr>
          <w:spacing w:val="-29"/>
        </w:rPr>
        <w:t> </w:t>
      </w:r>
      <w:r>
        <w:rPr>
          <w:spacing w:val="-6"/>
        </w:rPr>
        <w:t>Revenue’s </w:t>
      </w:r>
      <w:r>
        <w:rPr>
          <w:spacing w:val="-3"/>
        </w:rPr>
        <w:t>focus</w:t>
      </w:r>
      <w:r>
        <w:rPr>
          <w:spacing w:val="-24"/>
        </w:rPr>
        <w:t> </w:t>
      </w:r>
      <w:r>
        <w:rPr/>
        <w:t>on</w:t>
      </w:r>
      <w:r>
        <w:rPr>
          <w:spacing w:val="-24"/>
        </w:rPr>
        <w:t> </w:t>
      </w:r>
      <w:r>
        <w:rPr/>
        <w:t>the</w:t>
      </w:r>
      <w:r>
        <w:rPr>
          <w:spacing w:val="-24"/>
        </w:rPr>
        <w:t> </w:t>
      </w:r>
      <w:r>
        <w:rPr>
          <w:spacing w:val="-4"/>
        </w:rPr>
        <w:t>efficient</w:t>
      </w:r>
      <w:r>
        <w:rPr>
          <w:spacing w:val="-23"/>
        </w:rPr>
        <w:t> </w:t>
      </w:r>
      <w:r>
        <w:rPr/>
        <w:t>and</w:t>
      </w:r>
      <w:r>
        <w:rPr>
          <w:spacing w:val="-24"/>
        </w:rPr>
        <w:t> </w:t>
      </w:r>
      <w:r>
        <w:rPr>
          <w:spacing w:val="-4"/>
        </w:rPr>
        <w:t>effective</w:t>
      </w:r>
      <w:r>
        <w:rPr>
          <w:spacing w:val="-24"/>
        </w:rPr>
        <w:t> </w:t>
      </w:r>
      <w:r>
        <w:rPr>
          <w:spacing w:val="-3"/>
        </w:rPr>
        <w:t>administration</w:t>
      </w:r>
      <w:r>
        <w:rPr>
          <w:spacing w:val="-24"/>
        </w:rPr>
        <w:t> </w:t>
      </w:r>
      <w:r>
        <w:rPr>
          <w:spacing w:val="-3"/>
        </w:rPr>
        <w:t>of </w:t>
      </w:r>
      <w:r>
        <w:rPr>
          <w:spacing w:val="-4"/>
        </w:rPr>
        <w:t>revenue</w:t>
      </w:r>
      <w:r>
        <w:rPr>
          <w:spacing w:val="-7"/>
        </w:rPr>
        <w:t> </w:t>
      </w:r>
      <w:r>
        <w:rPr>
          <w:spacing w:val="-3"/>
        </w:rPr>
        <w:t>collection.</w:t>
      </w:r>
    </w:p>
    <w:p>
      <w:pPr>
        <w:pStyle w:val="BodyText"/>
        <w:rPr>
          <w:sz w:val="20"/>
        </w:rPr>
      </w:pPr>
    </w:p>
    <w:p>
      <w:pPr>
        <w:pStyle w:val="BodyText"/>
        <w:spacing w:before="9"/>
        <w:rPr>
          <w:sz w:val="15"/>
        </w:rPr>
      </w:pPr>
      <w:r>
        <w:rPr/>
        <w:pict>
          <v:shape style="position:absolute;margin-left:707.244202pt;margin-top:11.031823pt;width:45.2pt;height:45.2pt;mso-position-horizontal-relative:page;mso-position-vertical-relative:paragraph;z-index:5528;mso-wrap-distance-left:0;mso-wrap-distance-right:0" coordorigin="14145,221" coordsize="904,904" path="m14596,221l14145,672,14596,1124,15048,672,14596,221xe" filled="true" fillcolor="#d4d4d3" stroked="false">
            <v:path arrowok="t"/>
            <v:fill opacity="13107f" type="solid"/>
            <w10:wrap type="topAndBottom"/>
          </v:shape>
        </w:pict>
      </w:r>
    </w:p>
    <w:p>
      <w:pPr>
        <w:spacing w:after="0"/>
        <w:rPr>
          <w:sz w:val="15"/>
        </w:rPr>
        <w:sectPr>
          <w:type w:val="continuous"/>
          <w:pgSz w:w="16840" w:h="11910" w:orient="landscape"/>
          <w:pgMar w:top="0" w:bottom="0" w:left="0" w:right="0"/>
          <w:cols w:num="3" w:equalWidth="0">
            <w:col w:w="5575" w:space="40"/>
            <w:col w:w="5195" w:space="39"/>
            <w:col w:w="5991"/>
          </w:cols>
        </w:sectPr>
      </w:pPr>
    </w:p>
    <w:p>
      <w:pPr>
        <w:pStyle w:val="BodyText"/>
        <w:rPr>
          <w:sz w:val="20"/>
        </w:rPr>
      </w:pPr>
    </w:p>
    <w:p>
      <w:pPr>
        <w:pStyle w:val="BodyText"/>
        <w:rPr>
          <w:sz w:val="20"/>
        </w:rPr>
      </w:pPr>
    </w:p>
    <w:p>
      <w:pPr>
        <w:pStyle w:val="BodyText"/>
        <w:rPr>
          <w:sz w:val="20"/>
        </w:rPr>
      </w:pPr>
    </w:p>
    <w:p>
      <w:pPr>
        <w:pStyle w:val="BodyText"/>
        <w:spacing w:before="8"/>
      </w:pPr>
    </w:p>
    <w:p>
      <w:pPr>
        <w:spacing w:before="0"/>
        <w:ind w:left="765" w:right="0" w:firstLine="0"/>
        <w:jc w:val="left"/>
        <w:rPr>
          <w:sz w:val="16"/>
        </w:rPr>
      </w:pPr>
      <w:r>
        <w:rPr/>
        <w:pict>
          <v:group style="position:absolute;margin-left:509.8992pt;margin-top:-57.633793pt;width:262.95pt;height:111.75pt;mso-position-horizontal-relative:page;mso-position-vertical-relative:paragraph;z-index:-806008" coordorigin="10198,-1153" coordsize="5259,2235">
            <v:shape style="position:absolute;left:10987;top:-1153;width:4470;height:2235" coordorigin="10987,-1153" coordsize="4470,2235" path="m13222,-1153l10987,1082,15457,1082,13222,-1153xe" filled="true" fillcolor="#ffffff" stroked="false">
              <v:path arrowok="t"/>
              <v:fill type="solid"/>
            </v:shape>
            <v:shape style="position:absolute;left:11875;top:-480;width:2693;height:674" coordorigin="11876,-480" coordsize="2693,674" path="m12828,-200l12549,-479,12549,-480,11876,194,11876,194,11876,194,12434,194,12828,-200m14568,194l14568,194,13895,-480,13616,-200,14010,194,14568,194,14568,194e" filled="true" fillcolor="#aebd37" stroked="false">
              <v:path arrowok="t"/>
              <v:fill type="solid"/>
            </v:shape>
            <v:shape style="position:absolute;left:14568;top:193;width:674;height:889" coordorigin="14568,194" coordsize="674,889" path="m15241,867l14905,530,14568,194,14568,752,14898,1082,15026,1082,15241,867e" filled="true" fillcolor="#6f2770" stroked="false">
              <v:path arrowok="t"/>
              <v:fill type="solid"/>
            </v:shape>
            <v:shape style="position:absolute;left:10987;top:193;width:889;height:889" coordorigin="10987,194" coordsize="889,889" path="m11126,944l11126,944,10987,1082,11126,944m11876,346l11516,553,11516,553,11386,683,11386,683,11442,651,11442,665,11352,717,11352,717,11160,909,11160,909,11202,867,11214,878,11234,867,11442,747,11442,761,11223,887,11274,939,11442,842,11442,857,11284,948,11335,1000,11442,938,11442,952,11344,1009,11396,1060,11442,1034,11442,1048,11405,1069,11418,1082,11546,1082,11554,1074,11706,922,11442,1074,11442,1068,11502,1034,11598,979,11720,908,11876,752,11876,728,11442,979,11442,973,11502,938,11598,883,11876,722,11876,633,11442,883,11442,877,11502,842,11598,787,11876,627,11876,537,11442,787,11442,781,11502,747,11598,692,11876,531,11876,441,11442,692,11442,686,11502,651,11876,435,11876,346m11876,250l11742,327,11742,327,11530,540,11530,540,11876,340,11876,250m11876,244l11876,194,11756,313,11876,244e" filled="true" fillcolor="#5d883c" stroked="false">
              <v:path arrowok="t"/>
              <v:fill type="solid"/>
            </v:shape>
            <v:shape style="position:absolute;left:11875;top:193;width:2;height:2" coordorigin="11876,194" coordsize="1,1" path="m11876,194xe" filled="true" fillcolor="#41793d" stroked="false">
              <v:path arrowok="t"/>
              <v:fill type="solid"/>
            </v:shape>
            <v:shape style="position:absolute;left:11875;top:193;width:559;height:280" coordorigin="11876,194" coordsize="559,280" path="m12434,194l11876,194,12155,473,12434,194xe" filled="true" fillcolor="#7aa142" stroked="false">
              <v:path arrowok="t"/>
              <v:fill type="solid"/>
            </v:shape>
            <v:shape style="position:absolute;left:11875;top:193;width:280;height:559" coordorigin="11876,194" coordsize="280,559" path="m11932,695l11876,728,11876,752,11932,695xm12152,471l12146,471,12150,474,11876,633,11876,722,11946,682,12155,473,12152,471xm12092,410l12086,410,12089,414,11876,537,11876,627,12146,471,12152,471,12092,410xm12031,349l12025,349,12029,353,11876,441,11876,531,12086,410,12092,410,12031,349xm11970,289l11964,289,11968,292,11876,346,11876,435,12025,349,12031,349,11970,289xm11910,228l11904,228,11907,232,11876,250,11876,340,11964,289,11970,289,11910,228xm11876,194l11876,244,11904,228,11910,228,11876,194xe" filled="true" fillcolor="#41793d" stroked="false">
              <v:path arrowok="t"/>
              <v:fill type="solid"/>
            </v:shape>
            <v:shape style="position:absolute;left:14009;top:193;width:559;height:280" coordorigin="14010,194" coordsize="559,280" path="m14568,194l14010,194,14289,473,14568,194xe" filled="true" fillcolor="#5b2e31" stroked="false">
              <v:path arrowok="t"/>
              <v:fill type="solid"/>
            </v:shape>
            <v:shape style="position:absolute;left:14288;top:193;width:280;height:559" coordorigin="14289,194" coordsize="280,559" path="m14568,194l14289,473,14568,752,14568,194xe" filled="true" fillcolor="#42285e" stroked="false">
              <v:path arrowok="t"/>
              <v:fill type="solid"/>
            </v:shape>
            <v:shape style="position:absolute;left:12548;top:-1153;width:1347;height:953" coordorigin="12549,-1153" coordsize="1347,953" path="m13222,-1153l12549,-479,12828,-200,13222,-594,13780,-594,13222,-1153xm13780,-594l13222,-594,13616,-200,13895,-480,13780,-594xe" filled="true" fillcolor="#89993e" stroked="false">
              <v:path arrowok="t"/>
              <v:fill type="solid"/>
            </v:shape>
            <v:shape style="position:absolute;left:10987;top:866;width:431;height:216" type="#_x0000_t75" stroked="false">
              <v:imagedata r:id="rId159" o:title=""/>
            </v:shape>
            <v:shape style="position:absolute;left:15026;top:866;width:431;height:216" coordorigin="15026,867" coordsize="431,216" path="m15457,1082l15241,867,15026,1082,15457,1082e" filled="true" fillcolor="#602a63" stroked="false">
              <v:path arrowok="t"/>
              <v:fill type="solid"/>
            </v:shape>
            <v:shape style="position:absolute;left:12434;top:-201;width:1576;height:1283" coordorigin="12434,-200" coordsize="1576,1283" path="m13222,194l13222,194,13222,1082,13222,1082,13222,194xm13616,-200l13222,194,12434,194,12434,194,14010,194,14010,194,13222,194,12828,-200,13616,-200xe" filled="true" fillcolor="#f8f7f0" stroked="false">
              <v:path arrowok="t"/>
              <v:fill type="solid"/>
            </v:shape>
            <v:shape style="position:absolute;left:14568;top:752;width:330;height:330" coordorigin="14568,752" coordsize="330,330" path="m14568,752l14568,1082,14898,1082,14568,752xe" filled="true" fillcolor="#f1edf3" stroked="false">
              <v:path arrowok="t"/>
              <v:fill type="solid"/>
            </v:shape>
            <v:shape style="position:absolute;left:11545;top:752;width:330;height:330" type="#_x0000_t75" stroked="false">
              <v:imagedata r:id="rId160" o:title=""/>
            </v:shape>
            <v:shape style="position:absolute;left:12154;top:193;width:1068;height:889" coordorigin="12155,194" coordsize="1068,889" path="m13222,194l12434,194,12155,473,12764,1082,13222,1082,13222,194xe" filled="true" fillcolor="#f5f6f0" stroked="false">
              <v:path arrowok="t"/>
              <v:fill type="solid"/>
            </v:shape>
            <v:shape style="position:absolute;left:11875;top:472;width:889;height:610" coordorigin="11876,473" coordsize="889,610" path="m12395,713l12389,713,12392,717,11876,1015,11876,1082,11915,1082,12449,774,12456,774,12395,713xm12456,774l12449,774,12453,777,11925,1082,12081,1082,12510,834,12516,834,12456,774xm12516,834l12510,834,12514,838,12091,1082,12247,1082,12571,895,12577,895,12516,834xm12577,895l12571,895,12574,899,12257,1082,12412,1082,12631,956,12638,956,12577,895xm12638,956l12631,956,12635,959,12422,1082,12578,1082,12692,1016,12698,1016,12638,956xm12698,1016l12692,1016,12696,1020,12588,1082,12744,1082,12753,1077,12759,1077,12698,1016xm12759,1077l12753,1077,12756,1081,12754,1082,12764,1082,12759,1077xm12334,652l12328,652,12332,656,11876,919,11876,1009,12389,713,12395,713,12334,652xm12274,592l12267,592,12271,595,11876,824,11876,914,12328,652,12334,652,12274,592xm12213,531l12207,531,12210,535,11932,695,11876,752,11876,818,12267,592,12274,592,12213,531xm12155,473l11946,682,12207,531,12213,531,12155,473xe" filled="true" fillcolor="#f2f3ee" stroked="false">
              <v:path arrowok="t"/>
              <v:fill type="solid"/>
            </v:shape>
            <v:shape style="position:absolute;left:13221;top:193;width:1068;height:889" coordorigin="13222,194" coordsize="1068,889" path="m14010,194l13222,194,13222,1082,13680,1082,14289,473,14010,194xe" filled="true" fillcolor="#f1edea" stroked="false">
              <v:path arrowok="t"/>
              <v:fill type="solid"/>
            </v:shape>
            <v:shape style="position:absolute;left:13679;top:472;width:889;height:610" coordorigin="13680,473" coordsize="889,610" path="m14289,473l13680,1082,14568,1082,14568,752,14289,473xe" filled="true" fillcolor="#ebe9ed" stroked="false">
              <v:path arrowok="t"/>
              <v:fill type="solid"/>
            </v:shape>
            <v:shape style="position:absolute;left:12827;top:-595;width:788;height:788" coordorigin="12828,-594" coordsize="788,788" path="m13222,-594l12828,-200,13222,194,13616,-200,13222,-594xe" filled="true" fillcolor="#f5f4ee" stroked="false">
              <v:path arrowok="t"/>
              <v:fill type="solid"/>
            </v:shape>
            <v:shape style="position:absolute;left:11124;top:-210;width:317;height:293" type="#_x0000_t75" stroked="false">
              <v:imagedata r:id="rId161" o:title=""/>
            </v:shape>
            <v:shape style="position:absolute;left:10197;top:-19;width:1244;height:1101" coordorigin="10198,-19" coordsize="1244,1101" path="m11386,683l10695,1082,10720,1082,11352,717,11386,683m11442,555l10529,1082,10554,1082,11442,570,11442,555m11442,460l10364,1082,10389,1082,11442,474,11442,460m11442,364l10198,1082,10223,1082,11442,378,11442,364m11442,268l10254,954,10220,988,11442,283,11442,268m11442,173l10480,728,10446,762,11442,187,11442,173m11442,77l10707,502,10672,536,11442,92,11442,77m11442,-19l10933,275,10899,309,11442,-4,11442,-19e" filled="true" fillcolor="#cdcccd" stroked="false">
              <v:path arrowok="t"/>
              <v:fill type="solid"/>
            </v:shape>
            <v:shape style="position:absolute;left:10860;top:650;width:582;height:432" type="#_x0000_t75" stroked="false">
              <v:imagedata r:id="rId162" o:title=""/>
            </v:shape>
            <v:shape style="position:absolute;left:11441;top:-197;width:41;height:28" coordorigin="11442,-197" coordsize="41,28" path="m11479,-197l11442,-175,11442,-169,11483,-193,11479,-197xe" filled="true" fillcolor="#cdcccd" stroked="false">
              <v:path arrowok="t"/>
              <v:fill type="solid"/>
            </v:shape>
            <v:shape style="position:absolute;left:11441;top:-136;width:345;height:445" type="#_x0000_t75" stroked="false">
              <v:imagedata r:id="rId163" o:title=""/>
            </v:shape>
            <v:shape style="position:absolute;left:11441;top:167;width:405;height:238" coordorigin="11442,167" coordsize="405,238" path="m11843,167l11442,399,11442,405,11847,171,11843,167xe" filled="true" fillcolor="#cdcccd" stroked="false">
              <v:path arrowok="t"/>
              <v:fill type="solid"/>
            </v:shape>
            <v:shape style="position:absolute;left:11441;top:227;width:527;height:368" type="#_x0000_t75" stroked="false">
              <v:imagedata r:id="rId164" o:title=""/>
            </v:shape>
            <v:shape style="position:absolute;left:11441;top:435;width:434;height:257" coordorigin="11442,435" coordsize="434,257" path="m11876,435l11442,686,11442,692,11876,441,11876,435xe" filled="true" fillcolor="#9da990" stroked="false">
              <v:path arrowok="t"/>
              <v:fill type="solid"/>
            </v:shape>
            <v:shape style="position:absolute;left:11875;top:349;width:153;height:92" coordorigin="11876,349" coordsize="153,92" path="m12025,349l11876,435,11876,441,12029,353,12025,349xe" filled="true" fillcolor="#95a38f" stroked="false">
              <v:path arrowok="t"/>
              <v:fill type="solid"/>
            </v:shape>
            <v:shape style="position:absolute;left:11441;top:531;width:434;height:257" coordorigin="11442,531" coordsize="434,257" path="m11876,531l11442,782,11442,787,11876,537,11876,531xe" filled="true" fillcolor="#9da990" stroked="false">
              <v:path arrowok="t"/>
              <v:fill type="solid"/>
            </v:shape>
            <v:shape style="position:absolute;left:11875;top:409;width:214;height:127" coordorigin="11876,410" coordsize="214,127" path="m12086,410l11876,531,11876,537,12089,414,12086,410xe" filled="true" fillcolor="#95a38f" stroked="false">
              <v:path arrowok="t"/>
              <v:fill type="solid"/>
            </v:shape>
            <v:shape style="position:absolute;left:11441;top:626;width:434;height:257" coordorigin="11442,627" coordsize="434,257" path="m11876,627l11442,877,11442,883,11876,633,11876,627xe" filled="true" fillcolor="#9da990" stroked="false">
              <v:path arrowok="t"/>
              <v:fill type="solid"/>
            </v:shape>
            <v:shape style="position:absolute;left:11875;top:470;width:275;height:162" coordorigin="11876,471" coordsize="275,162" path="m12146,471l11876,627,11876,633,12150,474,12146,471xe" filled="true" fillcolor="#95a38f" stroked="false">
              <v:path arrowok="t"/>
              <v:fill type="solid"/>
            </v:shape>
            <v:shape style="position:absolute;left:11441;top:722;width:434;height:257" coordorigin="11442,722" coordsize="434,257" path="m11876,722l11442,973,11442,979,11876,728,11876,722xe" filled="true" fillcolor="#9da990" stroked="false">
              <v:path arrowok="t"/>
              <v:fill type="solid"/>
            </v:shape>
            <v:shape style="position:absolute;left:11875;top:681;width:71;height:47" coordorigin="11876,682" coordsize="71,47" path="m11946,682l11876,722,11876,728,11932,695,11946,682xe" filled="true" fillcolor="#95a38f" stroked="false">
              <v:path arrowok="t"/>
              <v:fill type="solid"/>
            </v:shape>
            <v:shape style="position:absolute;left:11932;top:531;width:279;height:165" coordorigin="11932,531" coordsize="279,165" path="m12207,531l11946,682,11932,695,12210,535,12207,531xe" filled="true" fillcolor="#cbcbc9" stroked="false">
              <v:path arrowok="t"/>
              <v:fill type="solid"/>
            </v:shape>
            <v:shape style="position:absolute;left:11441;top:908;width:278;height:167" coordorigin="11442,908" coordsize="278,167" path="m11720,908l11442,1068,11442,1074,11706,922,11720,908xe" filled="true" fillcolor="#9da990" stroked="false">
              <v:path arrowok="t"/>
              <v:fill type="solid"/>
            </v:shape>
            <v:shape style="position:absolute;left:11583;top:591;width:930;height:491" coordorigin="11584,592" coordsize="930,491" path="m12271,595l12267,592,11876,818,11720,908,11706,922,11876,824,12271,595m12332,656l12328,652,11876,914,11584,1082,11594,1082,11876,919,11876,919,12332,656m12392,717l12389,713,11876,1009,11876,1009,11750,1082,11759,1082,11876,1015,11876,1015,12392,717m12453,777l12449,774,11915,1082,11925,1082,12453,777m12514,838l12510,834,12081,1082,12091,1082,12514,838e" filled="true" fillcolor="#cbcbc9" stroked="false">
              <v:path arrowok="t"/>
              <v:fill type="solid"/>
            </v:shape>
            <v:shape style="position:absolute;left:12246;top:895;width:450;height:188" type="#_x0000_t75" stroked="false">
              <v:imagedata r:id="rId165" o:title=""/>
            </v:shape>
            <v:shape style="position:absolute;left:12743;top:1076;width:13;height:6" coordorigin="12744,1077" coordsize="13,6" path="m12753,1077l12744,1082,12754,1082,12756,1081,12753,1077xe" filled="true" fillcolor="#cbcbc9" stroked="false">
              <v:path arrowok="t"/>
              <v:fill type="solid"/>
            </v:shape>
            <w10:wrap type="none"/>
          </v:group>
        </w:pict>
      </w:r>
      <w:r>
        <w:rPr>
          <w:color w:val="939598"/>
          <w:position w:val="4"/>
          <w:sz w:val="10"/>
        </w:rPr>
        <w:t>9 </w:t>
      </w:r>
      <w:r>
        <w:rPr>
          <w:color w:val="939598"/>
          <w:sz w:val="16"/>
        </w:rPr>
        <w:t>Ministerial Media Statement, 28 April 2017 ‘</w:t>
      </w:r>
      <w:hyperlink r:id="rId166">
        <w:r>
          <w:rPr>
            <w:color w:val="A7BE39"/>
            <w:sz w:val="16"/>
            <w:u w:val="single" w:color="A7BE39"/>
          </w:rPr>
          <w:t>Major changes introduced to create a more efficient public sector</w:t>
        </w:r>
      </w:hyperlink>
      <w:r>
        <w:rPr>
          <w:color w:val="939598"/>
          <w:sz w:val="16"/>
        </w:rPr>
        <w:t>’</w:t>
      </w:r>
    </w:p>
    <w:p>
      <w:pPr>
        <w:pStyle w:val="BodyText"/>
        <w:rPr>
          <w:sz w:val="13"/>
        </w:rPr>
      </w:pPr>
    </w:p>
    <w:p>
      <w:pPr>
        <w:tabs>
          <w:tab w:pos="1227" w:val="left" w:leader="none"/>
          <w:tab w:pos="4671" w:val="left" w:leader="none"/>
          <w:tab w:pos="16072" w:val="left" w:leader="none"/>
        </w:tabs>
        <w:spacing w:before="106"/>
        <w:ind w:left="765" w:right="0" w:firstLine="0"/>
        <w:jc w:val="left"/>
        <w:rPr>
          <w:sz w:val="16"/>
        </w:rPr>
      </w:pPr>
      <w:r>
        <w:rPr>
          <w:b/>
          <w:color w:val="6F2770"/>
          <w:sz w:val="16"/>
        </w:rPr>
        <w:t>22</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tabs>
          <w:tab w:pos="9621" w:val="left" w:leader="none"/>
          <w:tab w:pos="14432" w:val="left" w:leader="none"/>
        </w:tabs>
        <w:spacing w:line="240" w:lineRule="auto"/>
        <w:ind w:left="0" w:right="-58" w:firstLine="0"/>
        <w:rPr>
          <w:sz w:val="20"/>
        </w:rPr>
      </w:pPr>
      <w:r>
        <w:rPr>
          <w:sz w:val="20"/>
        </w:rPr>
        <w:pict>
          <v:group style="width:360.85pt;height:42.55pt;mso-position-horizontal-relative:char;mso-position-vertical-relative:line" coordorigin="0,0" coordsize="7217,851">
            <v:rect style="position:absolute;left:4810;top:0;width:2406;height:851" filled="true" fillcolor="#e6e7e8" stroked="false">
              <v:fill type="solid"/>
            </v:rect>
            <v:shape style="position:absolute;left:4810;top:0;width:583;height:583" type="#_x0000_t75" stroked="false">
              <v:imagedata r:id="rId51" o:title=""/>
            </v:shape>
            <v:shape style="position:absolute;left:4810;top:0;width:2406;height:851"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v:shape style="position:absolute;left:2405;top:0;width:2406;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0;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group>
        </w:pict>
      </w:r>
      <w:r>
        <w:rPr>
          <w:sz w:val="20"/>
        </w:rPr>
      </w:r>
      <w:r>
        <w:rPr>
          <w:sz w:val="20"/>
        </w:rPr>
        <w:tab/>
      </w: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rPr>
          <w:sz w:val="20"/>
        </w:rPr>
      </w:pPr>
    </w:p>
    <w:p>
      <w:pPr>
        <w:pStyle w:val="BodyText"/>
        <w:spacing w:before="11"/>
        <w:rPr>
          <w:sz w:val="21"/>
        </w:rPr>
      </w:pPr>
    </w:p>
    <w:p>
      <w:pPr>
        <w:spacing w:after="0"/>
        <w:rPr>
          <w:sz w:val="21"/>
        </w:rPr>
        <w:sectPr>
          <w:footerReference w:type="default" r:id="rId167"/>
          <w:pgSz w:w="16840" w:h="11910" w:orient="landscape"/>
          <w:pgMar w:footer="0" w:header="0" w:top="0" w:bottom="0" w:left="0" w:right="0"/>
        </w:sectPr>
      </w:pPr>
    </w:p>
    <w:p>
      <w:pPr>
        <w:pStyle w:val="BodyText"/>
        <w:spacing w:line="249" w:lineRule="auto" w:before="142"/>
        <w:ind w:left="765"/>
      </w:pPr>
      <w:r>
        <w:rPr/>
        <w:pict>
          <v:group style="position:absolute;margin-left:0pt;margin-top:-68.389229pt;width:120.3pt;height:56.95pt;mso-position-horizontal-relative:page;mso-position-vertical-relative:paragraph;z-index:-805792" coordorigin="0,-1368" coordsize="2406,1139">
            <v:shape style="position:absolute;left:0;top:-1187;width:11;height:10" coordorigin="0,-1186" coordsize="11,10" path="m7,-1186l0,-1182,0,-1176,11,-1183,7,-1186xe" filled="true" fillcolor="#cdcccd" stroked="false">
              <v:path arrowok="t"/>
              <v:fill type="solid"/>
            </v:shape>
            <v:shape style="position:absolute;left:0;top:-1137;width:362;height:513" type="#_x0000_t75" stroked="false">
              <v:imagedata r:id="rId27" o:title=""/>
            </v:shape>
            <v:shape style="position:absolute;left:0;top:-787;width:475;height:399" coordorigin="0,-786" coordsize="475,399" path="m411,-782l408,-786,0,-551,0,-545,411,-782m461,-732l458,-736,0,-472,0,-466,461,-732m474,-667l0,-393,0,-387,461,-653,474,-667e" filled="true" fillcolor="#cdcccd" stroked="false">
              <v:path arrowok="t"/>
              <v:fill type="solid"/>
            </v:shape>
            <v:shape style="position:absolute;left:0;top:-481;width:288;height:251" type="#_x0000_t75" stroked="false">
              <v:imagedata r:id="rId28" o:title=""/>
            </v:shape>
            <v:rect style="position:absolute;left:0;top:-1368;width:2406;height:851" filled="true" fillcolor="#aebd37" stroked="false">
              <v:fill type="solid"/>
            </v:rect>
            <w10:wrap type="none"/>
          </v:group>
        </w:pict>
      </w:r>
      <w:r>
        <w:rPr/>
        <w:pict>
          <v:shape style="position:absolute;margin-left:601.348999pt;margin-top:-68.389229pt;width:120.3pt;height:42.55pt;mso-position-horizontal-relative:page;mso-position-vertical-relative:paragraph;z-index:7960" type="#_x0000_t202" filled="true" fillcolor="#b6c247" stroked="false">
            <v:textbox inset="0,0,0,0">
              <w:txbxContent>
                <w:p>
                  <w:pPr>
                    <w:pStyle w:val="BodyText"/>
                    <w:spacing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pict>
          <v:shape style="position:absolute;margin-left:360.811798pt;margin-top:-68.389229pt;width:120.3pt;height:42.55pt;mso-position-horizontal-relative:page;mso-position-vertical-relative:paragraph;z-index:7984"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b/>
          <w:spacing w:val="-3"/>
        </w:rPr>
        <w:t>Building</w:t>
      </w:r>
      <w:r>
        <w:rPr>
          <w:b/>
          <w:spacing w:val="-13"/>
        </w:rPr>
        <w:t> </w:t>
      </w:r>
      <w:r>
        <w:rPr>
          <w:b/>
          <w:spacing w:val="-3"/>
        </w:rPr>
        <w:t>Management</w:t>
      </w:r>
      <w:r>
        <w:rPr>
          <w:b/>
          <w:spacing w:val="-13"/>
        </w:rPr>
        <w:t> </w:t>
      </w:r>
      <w:r>
        <w:rPr>
          <w:b/>
        </w:rPr>
        <w:t>and</w:t>
      </w:r>
      <w:r>
        <w:rPr>
          <w:b/>
          <w:spacing w:val="-13"/>
        </w:rPr>
        <w:t> </w:t>
      </w:r>
      <w:r>
        <w:rPr>
          <w:b/>
          <w:spacing w:val="-4"/>
        </w:rPr>
        <w:t>Works</w:t>
      </w:r>
      <w:r>
        <w:rPr>
          <w:b/>
          <w:spacing w:val="-13"/>
        </w:rPr>
        <w:t> </w:t>
      </w:r>
      <w:r>
        <w:rPr/>
        <w:t>is</w:t>
      </w:r>
      <w:r>
        <w:rPr>
          <w:spacing w:val="-12"/>
        </w:rPr>
        <w:t> </w:t>
      </w:r>
      <w:r>
        <w:rPr>
          <w:spacing w:val="-3"/>
        </w:rPr>
        <w:t>also</w:t>
      </w:r>
      <w:r>
        <w:rPr>
          <w:spacing w:val="-13"/>
        </w:rPr>
        <w:t> </w:t>
      </w:r>
      <w:r>
        <w:rPr>
          <w:spacing w:val="-3"/>
        </w:rPr>
        <w:t>thinking </w:t>
      </w:r>
      <w:r>
        <w:rPr>
          <w:spacing w:val="-4"/>
        </w:rPr>
        <w:t>differently</w:t>
      </w:r>
      <w:r>
        <w:rPr>
          <w:spacing w:val="-25"/>
        </w:rPr>
        <w:t> </w:t>
      </w:r>
      <w:r>
        <w:rPr>
          <w:spacing w:val="-3"/>
        </w:rPr>
        <w:t>about</w:t>
      </w:r>
      <w:r>
        <w:rPr>
          <w:spacing w:val="-24"/>
        </w:rPr>
        <w:t> </w:t>
      </w:r>
      <w:r>
        <w:rPr/>
        <w:t>how</w:t>
      </w:r>
      <w:r>
        <w:rPr>
          <w:spacing w:val="-25"/>
        </w:rPr>
        <w:t> </w:t>
      </w:r>
      <w:r>
        <w:rPr>
          <w:spacing w:val="-3"/>
        </w:rPr>
        <w:t>government</w:t>
      </w:r>
      <w:r>
        <w:rPr>
          <w:spacing w:val="-24"/>
        </w:rPr>
        <w:t> </w:t>
      </w:r>
      <w:r>
        <w:rPr>
          <w:spacing w:val="-4"/>
        </w:rPr>
        <w:t>approaches</w:t>
      </w:r>
      <w:r>
        <w:rPr>
          <w:spacing w:val="-25"/>
        </w:rPr>
        <w:t> </w:t>
      </w:r>
      <w:r>
        <w:rPr>
          <w:spacing w:val="-3"/>
        </w:rPr>
        <w:t>asset management, </w:t>
      </w:r>
      <w:r>
        <w:rPr/>
        <w:t>by </w:t>
      </w:r>
      <w:r>
        <w:rPr>
          <w:spacing w:val="-3"/>
        </w:rPr>
        <w:t>building </w:t>
      </w:r>
      <w:r>
        <w:rPr/>
        <w:t>its </w:t>
      </w:r>
      <w:r>
        <w:rPr>
          <w:spacing w:val="-3"/>
        </w:rPr>
        <w:t>capability </w:t>
      </w:r>
      <w:r>
        <w:rPr/>
        <w:t>to </w:t>
      </w:r>
      <w:r>
        <w:rPr>
          <w:spacing w:val="-3"/>
        </w:rPr>
        <w:t>achieve industry best practice. </w:t>
      </w:r>
      <w:r>
        <w:rPr/>
        <w:t>With </w:t>
      </w:r>
      <w:r>
        <w:rPr>
          <w:spacing w:val="-4"/>
        </w:rPr>
        <w:t>office </w:t>
      </w:r>
      <w:r>
        <w:rPr>
          <w:spacing w:val="-3"/>
        </w:rPr>
        <w:t>accommodation </w:t>
      </w:r>
      <w:r>
        <w:rPr/>
        <w:t>the </w:t>
      </w:r>
      <w:r>
        <w:rPr>
          <w:spacing w:val="-3"/>
        </w:rPr>
        <w:t>second largest expense </w:t>
      </w:r>
      <w:r>
        <w:rPr/>
        <w:t>for </w:t>
      </w:r>
      <w:r>
        <w:rPr>
          <w:spacing w:val="-3"/>
        </w:rPr>
        <w:t>most government agencies, </w:t>
      </w:r>
      <w:r>
        <w:rPr/>
        <w:t>the </w:t>
      </w:r>
      <w:r>
        <w:rPr>
          <w:spacing w:val="-3"/>
        </w:rPr>
        <w:t>Department will </w:t>
      </w:r>
      <w:r>
        <w:rPr/>
        <w:t>be </w:t>
      </w:r>
      <w:r>
        <w:rPr>
          <w:spacing w:val="-3"/>
        </w:rPr>
        <w:t>applying </w:t>
      </w:r>
      <w:r>
        <w:rPr/>
        <w:t>a </w:t>
      </w:r>
      <w:r>
        <w:rPr>
          <w:spacing w:val="-3"/>
        </w:rPr>
        <w:t>portfolio </w:t>
      </w:r>
      <w:r>
        <w:rPr>
          <w:spacing w:val="-4"/>
        </w:rPr>
        <w:t>approach across </w:t>
      </w:r>
      <w:r>
        <w:rPr/>
        <w:t>the </w:t>
      </w:r>
      <w:r>
        <w:rPr>
          <w:spacing w:val="-3"/>
        </w:rPr>
        <w:t>public sector to extract</w:t>
      </w:r>
      <w:r>
        <w:rPr>
          <w:spacing w:val="-16"/>
        </w:rPr>
        <w:t> </w:t>
      </w:r>
      <w:r>
        <w:rPr>
          <w:spacing w:val="-3"/>
        </w:rPr>
        <w:t>maximum</w:t>
      </w:r>
      <w:r>
        <w:rPr>
          <w:spacing w:val="-15"/>
        </w:rPr>
        <w:t> </w:t>
      </w:r>
      <w:r>
        <w:rPr>
          <w:spacing w:val="-3"/>
        </w:rPr>
        <w:t>value,</w:t>
      </w:r>
      <w:r>
        <w:rPr>
          <w:spacing w:val="-15"/>
        </w:rPr>
        <w:t> </w:t>
      </w:r>
      <w:r>
        <w:rPr/>
        <w:t>and</w:t>
      </w:r>
      <w:r>
        <w:rPr>
          <w:spacing w:val="-16"/>
        </w:rPr>
        <w:t> </w:t>
      </w:r>
      <w:r>
        <w:rPr>
          <w:spacing w:val="-4"/>
        </w:rPr>
        <w:t>prepare</w:t>
      </w:r>
      <w:r>
        <w:rPr>
          <w:spacing w:val="-15"/>
        </w:rPr>
        <w:t> </w:t>
      </w:r>
      <w:r>
        <w:rPr/>
        <w:t>the</w:t>
      </w:r>
      <w:r>
        <w:rPr>
          <w:spacing w:val="-15"/>
        </w:rPr>
        <w:t> </w:t>
      </w:r>
      <w:r>
        <w:rPr/>
        <w:t>way</w:t>
      </w:r>
      <w:r>
        <w:rPr>
          <w:spacing w:val="-16"/>
        </w:rPr>
        <w:t> </w:t>
      </w:r>
      <w:r>
        <w:rPr>
          <w:spacing w:val="-3"/>
        </w:rPr>
        <w:t>for</w:t>
      </w:r>
    </w:p>
    <w:p>
      <w:pPr>
        <w:pStyle w:val="BodyText"/>
        <w:spacing w:line="249" w:lineRule="auto" w:before="7"/>
        <w:ind w:left="765"/>
      </w:pPr>
      <w:r>
        <w:rPr/>
        <w:t>a </w:t>
      </w:r>
      <w:r>
        <w:rPr>
          <w:spacing w:val="-4"/>
        </w:rPr>
        <w:t>more </w:t>
      </w:r>
      <w:r>
        <w:rPr>
          <w:spacing w:val="-3"/>
        </w:rPr>
        <w:t>agile public service. This </w:t>
      </w:r>
      <w:r>
        <w:rPr>
          <w:spacing w:val="-4"/>
        </w:rPr>
        <w:t>approach </w:t>
      </w:r>
      <w:r>
        <w:rPr>
          <w:spacing w:val="-3"/>
        </w:rPr>
        <w:t>aims to enhance </w:t>
      </w:r>
      <w:r>
        <w:rPr>
          <w:spacing w:val="-4"/>
        </w:rPr>
        <w:t>value-for-money </w:t>
      </w:r>
      <w:r>
        <w:rPr>
          <w:spacing w:val="-3"/>
        </w:rPr>
        <w:t>outcomes </w:t>
      </w:r>
      <w:r>
        <w:rPr/>
        <w:t>for </w:t>
      </w:r>
      <w:r>
        <w:rPr>
          <w:spacing w:val="-3"/>
        </w:rPr>
        <w:t>agencies, </w:t>
      </w:r>
      <w:r>
        <w:rPr/>
        <w:t>and</w:t>
      </w:r>
      <w:r>
        <w:rPr>
          <w:spacing w:val="-30"/>
        </w:rPr>
        <w:t> </w:t>
      </w:r>
      <w:r>
        <w:rPr>
          <w:spacing w:val="-4"/>
        </w:rPr>
        <w:t>provide</w:t>
      </w:r>
      <w:r>
        <w:rPr>
          <w:spacing w:val="-29"/>
        </w:rPr>
        <w:t> </w:t>
      </w:r>
      <w:r>
        <w:rPr>
          <w:spacing w:val="-4"/>
        </w:rPr>
        <w:t>more</w:t>
      </w:r>
      <w:r>
        <w:rPr>
          <w:spacing w:val="-29"/>
        </w:rPr>
        <w:t> </w:t>
      </w:r>
      <w:r>
        <w:rPr>
          <w:spacing w:val="-4"/>
        </w:rPr>
        <w:t>efficient,</w:t>
      </w:r>
      <w:r>
        <w:rPr>
          <w:spacing w:val="-29"/>
        </w:rPr>
        <w:t> </w:t>
      </w:r>
      <w:r>
        <w:rPr>
          <w:spacing w:val="-4"/>
        </w:rPr>
        <w:t>effective</w:t>
      </w:r>
      <w:r>
        <w:rPr>
          <w:spacing w:val="-30"/>
        </w:rPr>
        <w:t> </w:t>
      </w:r>
      <w:r>
        <w:rPr/>
        <w:t>and</w:t>
      </w:r>
      <w:r>
        <w:rPr>
          <w:spacing w:val="-29"/>
        </w:rPr>
        <w:t> </w:t>
      </w:r>
      <w:r>
        <w:rPr>
          <w:spacing w:val="-3"/>
        </w:rPr>
        <w:t>sustainable workplaces that enhance community</w:t>
      </w:r>
      <w:r>
        <w:rPr>
          <w:spacing w:val="-33"/>
        </w:rPr>
        <w:t> </w:t>
      </w:r>
      <w:r>
        <w:rPr>
          <w:spacing w:val="-3"/>
        </w:rPr>
        <w:t>access.</w:t>
      </w:r>
    </w:p>
    <w:p>
      <w:pPr>
        <w:pStyle w:val="BodyText"/>
        <w:spacing w:before="3"/>
        <w:rPr>
          <w:sz w:val="23"/>
        </w:rPr>
      </w:pPr>
    </w:p>
    <w:p>
      <w:pPr>
        <w:pStyle w:val="BodyText"/>
        <w:spacing w:line="249" w:lineRule="auto"/>
        <w:ind w:left="765"/>
      </w:pPr>
      <w:r>
        <w:rPr>
          <w:spacing w:val="-3"/>
        </w:rPr>
        <w:t>Another </w:t>
      </w:r>
      <w:r>
        <w:rPr>
          <w:spacing w:val="-4"/>
        </w:rPr>
        <w:t>area where </w:t>
      </w:r>
      <w:r>
        <w:rPr/>
        <w:t>the </w:t>
      </w:r>
      <w:r>
        <w:rPr>
          <w:spacing w:val="-3"/>
        </w:rPr>
        <w:t>Department </w:t>
      </w:r>
      <w:r>
        <w:rPr/>
        <w:t>can </w:t>
      </w:r>
      <w:r>
        <w:rPr>
          <w:spacing w:val="-3"/>
        </w:rPr>
        <w:t>drive positive</w:t>
      </w:r>
      <w:r>
        <w:rPr>
          <w:spacing w:val="-19"/>
        </w:rPr>
        <w:t> </w:t>
      </w:r>
      <w:r>
        <w:rPr>
          <w:spacing w:val="-3"/>
        </w:rPr>
        <w:t>change</w:t>
      </w:r>
      <w:r>
        <w:rPr>
          <w:spacing w:val="-19"/>
        </w:rPr>
        <w:t> </w:t>
      </w:r>
      <w:r>
        <w:rPr>
          <w:spacing w:val="-4"/>
        </w:rPr>
        <w:t>across</w:t>
      </w:r>
      <w:r>
        <w:rPr>
          <w:spacing w:val="-19"/>
        </w:rPr>
        <w:t> </w:t>
      </w:r>
      <w:r>
        <w:rPr/>
        <w:t>the</w:t>
      </w:r>
      <w:r>
        <w:rPr>
          <w:spacing w:val="-19"/>
        </w:rPr>
        <w:t> </w:t>
      </w:r>
      <w:r>
        <w:rPr>
          <w:spacing w:val="-3"/>
        </w:rPr>
        <w:t>sector</w:t>
      </w:r>
      <w:r>
        <w:rPr>
          <w:spacing w:val="-18"/>
        </w:rPr>
        <w:t> </w:t>
      </w:r>
      <w:r>
        <w:rPr/>
        <w:t>is</w:t>
      </w:r>
      <w:r>
        <w:rPr>
          <w:spacing w:val="-19"/>
        </w:rPr>
        <w:t> </w:t>
      </w:r>
      <w:r>
        <w:rPr>
          <w:spacing w:val="-4"/>
        </w:rPr>
        <w:t>through</w:t>
      </w:r>
      <w:r>
        <w:rPr>
          <w:spacing w:val="-19"/>
        </w:rPr>
        <w:t> </w:t>
      </w:r>
      <w:r>
        <w:rPr>
          <w:spacing w:val="-3"/>
        </w:rPr>
        <w:t>the advice </w:t>
      </w:r>
      <w:r>
        <w:rPr>
          <w:b/>
          <w:spacing w:val="-3"/>
        </w:rPr>
        <w:t>Government </w:t>
      </w:r>
      <w:r>
        <w:rPr>
          <w:b/>
          <w:spacing w:val="-4"/>
        </w:rPr>
        <w:t>Procurement</w:t>
      </w:r>
      <w:r>
        <w:rPr>
          <w:b/>
          <w:spacing w:val="-17"/>
        </w:rPr>
        <w:t> </w:t>
      </w:r>
      <w:r>
        <w:rPr>
          <w:spacing w:val="-4"/>
        </w:rPr>
        <w:t>provides</w:t>
      </w:r>
    </w:p>
    <w:p>
      <w:pPr>
        <w:pStyle w:val="BodyText"/>
        <w:spacing w:line="249" w:lineRule="auto" w:before="3"/>
        <w:ind w:left="765" w:right="59"/>
      </w:pPr>
      <w:r>
        <w:rPr/>
        <w:t>to </w:t>
      </w:r>
      <w:r>
        <w:rPr>
          <w:spacing w:val="-3"/>
        </w:rPr>
        <w:t>agencies. This advice includes ensuring that, </w:t>
      </w:r>
      <w:r>
        <w:rPr>
          <w:spacing w:val="-4"/>
        </w:rPr>
        <w:t>where</w:t>
      </w:r>
      <w:r>
        <w:rPr>
          <w:spacing w:val="-22"/>
        </w:rPr>
        <w:t> </w:t>
      </w:r>
      <w:r>
        <w:rPr>
          <w:spacing w:val="-3"/>
        </w:rPr>
        <w:t>possible,</w:t>
      </w:r>
      <w:r>
        <w:rPr>
          <w:spacing w:val="-21"/>
        </w:rPr>
        <w:t> </w:t>
      </w:r>
      <w:r>
        <w:rPr>
          <w:spacing w:val="-3"/>
        </w:rPr>
        <w:t>goods</w:t>
      </w:r>
      <w:r>
        <w:rPr>
          <w:spacing w:val="-21"/>
        </w:rPr>
        <w:t> </w:t>
      </w:r>
      <w:r>
        <w:rPr/>
        <w:t>and</w:t>
      </w:r>
      <w:r>
        <w:rPr>
          <w:spacing w:val="-21"/>
        </w:rPr>
        <w:t> </w:t>
      </w:r>
      <w:r>
        <w:rPr>
          <w:spacing w:val="-3"/>
        </w:rPr>
        <w:t>services</w:t>
      </w:r>
      <w:r>
        <w:rPr>
          <w:spacing w:val="-21"/>
        </w:rPr>
        <w:t> </w:t>
      </w:r>
      <w:r>
        <w:rPr>
          <w:spacing w:val="-4"/>
        </w:rPr>
        <w:t>are</w:t>
      </w:r>
      <w:r>
        <w:rPr>
          <w:spacing w:val="-21"/>
        </w:rPr>
        <w:t> </w:t>
      </w:r>
      <w:r>
        <w:rPr>
          <w:spacing w:val="-4"/>
        </w:rPr>
        <w:t>purchased from </w:t>
      </w:r>
      <w:r>
        <w:rPr>
          <w:spacing w:val="-3"/>
        </w:rPr>
        <w:t>local businesses </w:t>
      </w:r>
      <w:r>
        <w:rPr/>
        <w:t>to </w:t>
      </w:r>
      <w:r>
        <w:rPr>
          <w:spacing w:val="-3"/>
        </w:rPr>
        <w:t>maximise employment opportunities within </w:t>
      </w:r>
      <w:r>
        <w:rPr/>
        <w:t>the </w:t>
      </w:r>
      <w:r>
        <w:rPr>
          <w:spacing w:val="-3"/>
        </w:rPr>
        <w:t>State. Finance will seek </w:t>
      </w:r>
      <w:r>
        <w:rPr/>
        <w:t>new </w:t>
      </w:r>
      <w:r>
        <w:rPr>
          <w:spacing w:val="-3"/>
        </w:rPr>
        <w:t>ways </w:t>
      </w:r>
      <w:r>
        <w:rPr/>
        <w:t>to </w:t>
      </w:r>
      <w:r>
        <w:rPr>
          <w:spacing w:val="-3"/>
        </w:rPr>
        <w:t>empower agencies </w:t>
      </w:r>
      <w:r>
        <w:rPr/>
        <w:t>to </w:t>
      </w:r>
      <w:r>
        <w:rPr>
          <w:spacing w:val="-3"/>
        </w:rPr>
        <w:t>support the economic participation </w:t>
      </w:r>
      <w:r>
        <w:rPr/>
        <w:t>of not </w:t>
      </w:r>
      <w:r>
        <w:rPr>
          <w:spacing w:val="-3"/>
        </w:rPr>
        <w:t>only local business, </w:t>
      </w:r>
      <w:r>
        <w:rPr/>
        <w:t>but</w:t>
      </w:r>
      <w:r>
        <w:rPr>
          <w:spacing w:val="-36"/>
        </w:rPr>
        <w:t> </w:t>
      </w:r>
      <w:r>
        <w:rPr>
          <w:spacing w:val="-3"/>
        </w:rPr>
        <w:t>Aboriginal</w:t>
      </w:r>
      <w:r>
        <w:rPr>
          <w:spacing w:val="-36"/>
        </w:rPr>
        <w:t> </w:t>
      </w:r>
      <w:r>
        <w:rPr>
          <w:spacing w:val="-3"/>
        </w:rPr>
        <w:t>businesses,</w:t>
      </w:r>
      <w:r>
        <w:rPr>
          <w:spacing w:val="-36"/>
        </w:rPr>
        <w:t> </w:t>
      </w:r>
      <w:r>
        <w:rPr>
          <w:spacing w:val="-3"/>
        </w:rPr>
        <w:t>disability</w:t>
      </w:r>
      <w:r>
        <w:rPr>
          <w:spacing w:val="-36"/>
        </w:rPr>
        <w:t> </w:t>
      </w:r>
      <w:r>
        <w:rPr>
          <w:spacing w:val="-3"/>
        </w:rPr>
        <w:t>enterprises</w:t>
      </w:r>
      <w:r>
        <w:rPr>
          <w:spacing w:val="-35"/>
        </w:rPr>
        <w:t> </w:t>
      </w:r>
      <w:r>
        <w:rPr>
          <w:spacing w:val="-3"/>
        </w:rPr>
        <w:t>and </w:t>
      </w:r>
      <w:r>
        <w:rPr/>
        <w:t>the </w:t>
      </w:r>
      <w:r>
        <w:rPr>
          <w:spacing w:val="-4"/>
        </w:rPr>
        <w:t>not-for-profit</w:t>
      </w:r>
      <w:r>
        <w:rPr>
          <w:spacing w:val="-11"/>
        </w:rPr>
        <w:t> </w:t>
      </w:r>
      <w:r>
        <w:rPr>
          <w:spacing w:val="-6"/>
        </w:rPr>
        <w:t>sector.</w:t>
      </w:r>
    </w:p>
    <w:p>
      <w:pPr>
        <w:pStyle w:val="BodyText"/>
        <w:spacing w:before="6"/>
        <w:rPr>
          <w:sz w:val="23"/>
        </w:rPr>
      </w:pPr>
    </w:p>
    <w:p>
      <w:pPr>
        <w:pStyle w:val="BodyText"/>
        <w:spacing w:line="249" w:lineRule="auto"/>
        <w:ind w:left="765" w:right="59"/>
      </w:pPr>
      <w:r>
        <w:rPr>
          <w:spacing w:val="-3"/>
        </w:rPr>
        <w:t>Extending</w:t>
      </w:r>
      <w:r>
        <w:rPr>
          <w:spacing w:val="-27"/>
        </w:rPr>
        <w:t> </w:t>
      </w:r>
      <w:r>
        <w:rPr/>
        <w:t>the</w:t>
      </w:r>
      <w:r>
        <w:rPr>
          <w:spacing w:val="-27"/>
        </w:rPr>
        <w:t> </w:t>
      </w:r>
      <w:r>
        <w:rPr>
          <w:spacing w:val="-5"/>
        </w:rPr>
        <w:t>Department’s</w:t>
      </w:r>
      <w:r>
        <w:rPr>
          <w:spacing w:val="-27"/>
        </w:rPr>
        <w:t> </w:t>
      </w:r>
      <w:r>
        <w:rPr>
          <w:spacing w:val="-4"/>
        </w:rPr>
        <w:t>current</w:t>
      </w:r>
      <w:r>
        <w:rPr>
          <w:spacing w:val="-27"/>
        </w:rPr>
        <w:t> </w:t>
      </w:r>
      <w:r>
        <w:rPr>
          <w:spacing w:val="-3"/>
        </w:rPr>
        <w:t>data</w:t>
      </w:r>
      <w:r>
        <w:rPr>
          <w:spacing w:val="-26"/>
        </w:rPr>
        <w:t> </w:t>
      </w:r>
      <w:r>
        <w:rPr>
          <w:spacing w:val="-3"/>
        </w:rPr>
        <w:t>analytics capability will </w:t>
      </w:r>
      <w:r>
        <w:rPr/>
        <w:t>be </w:t>
      </w:r>
      <w:r>
        <w:rPr>
          <w:spacing w:val="-3"/>
        </w:rPr>
        <w:t>another </w:t>
      </w:r>
      <w:r>
        <w:rPr>
          <w:spacing w:val="-4"/>
        </w:rPr>
        <w:t>area </w:t>
      </w:r>
      <w:r>
        <w:rPr/>
        <w:t>of </w:t>
      </w:r>
      <w:r>
        <w:rPr>
          <w:spacing w:val="-3"/>
        </w:rPr>
        <w:t>focus that will lead</w:t>
      </w:r>
      <w:r>
        <w:rPr>
          <w:spacing w:val="-11"/>
        </w:rPr>
        <w:t> </w:t>
      </w:r>
      <w:r>
        <w:rPr/>
        <w:t>to</w:t>
      </w:r>
      <w:r>
        <w:rPr>
          <w:spacing w:val="-10"/>
        </w:rPr>
        <w:t> </w:t>
      </w:r>
      <w:r>
        <w:rPr>
          <w:spacing w:val="-4"/>
        </w:rPr>
        <w:t>more</w:t>
      </w:r>
      <w:r>
        <w:rPr>
          <w:spacing w:val="-11"/>
        </w:rPr>
        <w:t> </w:t>
      </w:r>
      <w:r>
        <w:rPr>
          <w:spacing w:val="-3"/>
        </w:rPr>
        <w:t>informed</w:t>
      </w:r>
      <w:r>
        <w:rPr>
          <w:spacing w:val="-10"/>
        </w:rPr>
        <w:t> </w:t>
      </w:r>
      <w:r>
        <w:rPr>
          <w:spacing w:val="-3"/>
        </w:rPr>
        <w:t>decisions</w:t>
      </w:r>
      <w:r>
        <w:rPr>
          <w:spacing w:val="-11"/>
        </w:rPr>
        <w:t> </w:t>
      </w:r>
      <w:r>
        <w:rPr/>
        <w:t>and</w:t>
      </w:r>
      <w:r>
        <w:rPr>
          <w:spacing w:val="-10"/>
        </w:rPr>
        <w:t> </w:t>
      </w:r>
      <w:r>
        <w:rPr>
          <w:spacing w:val="-3"/>
        </w:rPr>
        <w:t>better</w:t>
      </w:r>
    </w:p>
    <w:p>
      <w:pPr>
        <w:pStyle w:val="BodyText"/>
        <w:spacing w:before="3"/>
        <w:ind w:left="765"/>
      </w:pPr>
      <w:r>
        <w:rPr>
          <w:spacing w:val="-4"/>
        </w:rPr>
        <w:t>value-for-money</w:t>
      </w:r>
      <w:r>
        <w:rPr>
          <w:spacing w:val="-36"/>
        </w:rPr>
        <w:t> </w:t>
      </w:r>
      <w:r>
        <w:rPr>
          <w:spacing w:val="-3"/>
        </w:rPr>
        <w:t>outcomes</w:t>
      </w:r>
      <w:r>
        <w:rPr>
          <w:spacing w:val="-36"/>
        </w:rPr>
        <w:t> </w:t>
      </w:r>
      <w:r>
        <w:rPr/>
        <w:t>for</w:t>
      </w:r>
      <w:r>
        <w:rPr>
          <w:spacing w:val="-35"/>
        </w:rPr>
        <w:t> </w:t>
      </w:r>
      <w:r>
        <w:rPr>
          <w:spacing w:val="-3"/>
        </w:rPr>
        <w:t>government.</w:t>
      </w:r>
    </w:p>
    <w:p>
      <w:pPr>
        <w:pStyle w:val="Heading4"/>
        <w:spacing w:line="249" w:lineRule="auto" w:before="110"/>
        <w:ind w:left="388" w:right="389"/>
      </w:pPr>
      <w:r>
        <w:rPr/>
        <w:br w:type="column"/>
      </w:r>
      <w:r>
        <w:rPr>
          <w:color w:val="6F2770"/>
          <w:spacing w:val="-4"/>
        </w:rPr>
        <w:t>Enhancing Organisational </w:t>
      </w:r>
      <w:r>
        <w:rPr>
          <w:color w:val="6F2770"/>
          <w:spacing w:val="-4"/>
          <w:w w:val="95"/>
        </w:rPr>
        <w:t>Performance </w:t>
      </w:r>
      <w:r>
        <w:rPr>
          <w:color w:val="6F2770"/>
          <w:w w:val="95"/>
        </w:rPr>
        <w:t>to </w:t>
      </w:r>
      <w:r>
        <w:rPr>
          <w:color w:val="6F2770"/>
          <w:spacing w:val="-4"/>
          <w:w w:val="95"/>
        </w:rPr>
        <w:t>Deliver</w:t>
      </w:r>
      <w:r>
        <w:rPr>
          <w:color w:val="6F2770"/>
          <w:spacing w:val="-8"/>
          <w:w w:val="95"/>
        </w:rPr>
        <w:t> Value</w:t>
      </w:r>
    </w:p>
    <w:p>
      <w:pPr>
        <w:pStyle w:val="BodyText"/>
        <w:spacing w:line="249" w:lineRule="auto" w:before="230"/>
        <w:ind w:left="388" w:right="317"/>
      </w:pPr>
      <w:r>
        <w:rPr/>
        <w:t>The delivery of these reforms will need to be supported by the ongoing development of the Department’s capability.</w:t>
      </w:r>
    </w:p>
    <w:p>
      <w:pPr>
        <w:pStyle w:val="BodyText"/>
        <w:spacing w:before="2"/>
        <w:rPr>
          <w:sz w:val="23"/>
        </w:rPr>
      </w:pPr>
    </w:p>
    <w:p>
      <w:pPr>
        <w:pStyle w:val="BodyText"/>
        <w:spacing w:line="249" w:lineRule="auto" w:before="1"/>
        <w:ind w:left="388" w:right="123"/>
      </w:pPr>
      <w:r>
        <w:rPr/>
        <w:t>A</w:t>
      </w:r>
      <w:r>
        <w:rPr>
          <w:spacing w:val="-29"/>
        </w:rPr>
        <w:t> </w:t>
      </w:r>
      <w:r>
        <w:rPr/>
        <w:t>key</w:t>
      </w:r>
      <w:r>
        <w:rPr>
          <w:spacing w:val="-28"/>
        </w:rPr>
        <w:t> </w:t>
      </w:r>
      <w:r>
        <w:rPr/>
        <w:t>development</w:t>
      </w:r>
      <w:r>
        <w:rPr>
          <w:spacing w:val="-29"/>
        </w:rPr>
        <w:t> </w:t>
      </w:r>
      <w:r>
        <w:rPr/>
        <w:t>initiative</w:t>
      </w:r>
      <w:r>
        <w:rPr>
          <w:spacing w:val="-28"/>
        </w:rPr>
        <w:t> </w:t>
      </w:r>
      <w:r>
        <w:rPr/>
        <w:t>is</w:t>
      </w:r>
      <w:r>
        <w:rPr>
          <w:spacing w:val="-29"/>
        </w:rPr>
        <w:t> </w:t>
      </w:r>
      <w:r>
        <w:rPr/>
        <w:t>the</w:t>
      </w:r>
      <w:r>
        <w:rPr>
          <w:spacing w:val="-28"/>
        </w:rPr>
        <w:t> </w:t>
      </w:r>
      <w:r>
        <w:rPr/>
        <w:t>Digital</w:t>
      </w:r>
      <w:r>
        <w:rPr>
          <w:spacing w:val="-29"/>
        </w:rPr>
        <w:t> </w:t>
      </w:r>
      <w:r>
        <w:rPr>
          <w:spacing w:val="-3"/>
        </w:rPr>
        <w:t>Finance Transition </w:t>
      </w:r>
      <w:r>
        <w:rPr/>
        <w:t>Program, which will enhance the </w:t>
      </w:r>
      <w:r>
        <w:rPr>
          <w:spacing w:val="-3"/>
        </w:rPr>
        <w:t>Department’s </w:t>
      </w:r>
      <w:r>
        <w:rPr/>
        <w:t>ability to consider</w:t>
      </w:r>
      <w:r>
        <w:rPr>
          <w:spacing w:val="-29"/>
        </w:rPr>
        <w:t> </w:t>
      </w:r>
      <w:r>
        <w:rPr/>
        <w:t>alternative</w:t>
      </w:r>
    </w:p>
    <w:p>
      <w:pPr>
        <w:pStyle w:val="BodyText"/>
        <w:spacing w:line="249" w:lineRule="auto" w:before="2"/>
        <w:ind w:left="388" w:right="-11"/>
      </w:pPr>
      <w:r>
        <w:rPr/>
        <w:t>service</w:t>
      </w:r>
      <w:r>
        <w:rPr>
          <w:spacing w:val="-35"/>
        </w:rPr>
        <w:t> </w:t>
      </w:r>
      <w:r>
        <w:rPr/>
        <w:t>delivery</w:t>
      </w:r>
      <w:r>
        <w:rPr>
          <w:spacing w:val="-34"/>
        </w:rPr>
        <w:t> </w:t>
      </w:r>
      <w:r>
        <w:rPr/>
        <w:t>models</w:t>
      </w:r>
      <w:r>
        <w:rPr>
          <w:spacing w:val="-35"/>
        </w:rPr>
        <w:t> </w:t>
      </w:r>
      <w:r>
        <w:rPr/>
        <w:t>and</w:t>
      </w:r>
      <w:r>
        <w:rPr>
          <w:spacing w:val="-34"/>
        </w:rPr>
        <w:t> </w:t>
      </w:r>
      <w:r>
        <w:rPr/>
        <w:t>implement</w:t>
      </w:r>
      <w:r>
        <w:rPr>
          <w:spacing w:val="-34"/>
        </w:rPr>
        <w:t> </w:t>
      </w:r>
      <w:r>
        <w:rPr/>
        <w:t>technology solutions that automate business</w:t>
      </w:r>
      <w:r>
        <w:rPr>
          <w:spacing w:val="-34"/>
        </w:rPr>
        <w:t> </w:t>
      </w:r>
      <w:r>
        <w:rPr/>
        <w:t>processes</w:t>
      </w:r>
    </w:p>
    <w:p>
      <w:pPr>
        <w:pStyle w:val="BodyText"/>
        <w:spacing w:before="2"/>
        <w:ind w:left="388"/>
      </w:pPr>
      <w:r>
        <w:rPr/>
        <w:t>and</w:t>
      </w:r>
      <w:r>
        <w:rPr>
          <w:spacing w:val="-26"/>
        </w:rPr>
        <w:t> </w:t>
      </w:r>
      <w:r>
        <w:rPr/>
        <w:t>improve</w:t>
      </w:r>
      <w:r>
        <w:rPr>
          <w:spacing w:val="-25"/>
        </w:rPr>
        <w:t> </w:t>
      </w:r>
      <w:r>
        <w:rPr/>
        <w:t>service</w:t>
      </w:r>
      <w:r>
        <w:rPr>
          <w:spacing w:val="-26"/>
        </w:rPr>
        <w:t> </w:t>
      </w:r>
      <w:r>
        <w:rPr/>
        <w:t>efficiency</w:t>
      </w:r>
      <w:r>
        <w:rPr>
          <w:spacing w:val="-25"/>
        </w:rPr>
        <w:t> </w:t>
      </w:r>
      <w:r>
        <w:rPr/>
        <w:t>and</w:t>
      </w:r>
      <w:r>
        <w:rPr>
          <w:spacing w:val="-25"/>
        </w:rPr>
        <w:t> </w:t>
      </w:r>
      <w:r>
        <w:rPr/>
        <w:t>effectiveness.</w:t>
      </w:r>
    </w:p>
    <w:p>
      <w:pPr>
        <w:pStyle w:val="BodyText"/>
        <w:spacing w:before="11"/>
        <w:rPr>
          <w:sz w:val="23"/>
        </w:rPr>
      </w:pPr>
    </w:p>
    <w:p>
      <w:pPr>
        <w:pStyle w:val="BodyText"/>
        <w:spacing w:line="249" w:lineRule="auto"/>
        <w:ind w:left="388" w:right="300"/>
      </w:pPr>
      <w:r>
        <w:rPr/>
        <w:t>Complementing</w:t>
      </w:r>
      <w:r>
        <w:rPr>
          <w:spacing w:val="-20"/>
        </w:rPr>
        <w:t> </w:t>
      </w:r>
      <w:r>
        <w:rPr/>
        <w:t>this,</w:t>
      </w:r>
      <w:r>
        <w:rPr>
          <w:spacing w:val="-19"/>
        </w:rPr>
        <w:t> </w:t>
      </w:r>
      <w:r>
        <w:rPr/>
        <w:t>the</w:t>
      </w:r>
      <w:r>
        <w:rPr>
          <w:spacing w:val="-20"/>
        </w:rPr>
        <w:t> </w:t>
      </w:r>
      <w:r>
        <w:rPr/>
        <w:t>Department</w:t>
      </w:r>
      <w:r>
        <w:rPr>
          <w:spacing w:val="-19"/>
        </w:rPr>
        <w:t> </w:t>
      </w:r>
      <w:r>
        <w:rPr/>
        <w:t>will</w:t>
      </w:r>
      <w:r>
        <w:rPr>
          <w:spacing w:val="-19"/>
        </w:rPr>
        <w:t> </w:t>
      </w:r>
      <w:r>
        <w:rPr/>
        <w:t>seek to embrace more flexible workplace design, initially</w:t>
      </w:r>
      <w:r>
        <w:rPr>
          <w:spacing w:val="-23"/>
        </w:rPr>
        <w:t> </w:t>
      </w:r>
      <w:r>
        <w:rPr/>
        <w:t>at</w:t>
      </w:r>
      <w:r>
        <w:rPr>
          <w:spacing w:val="-23"/>
        </w:rPr>
        <w:t> </w:t>
      </w:r>
      <w:r>
        <w:rPr/>
        <w:t>the</w:t>
      </w:r>
      <w:r>
        <w:rPr>
          <w:spacing w:val="-23"/>
        </w:rPr>
        <w:t> </w:t>
      </w:r>
      <w:r>
        <w:rPr/>
        <w:t>Optima</w:t>
      </w:r>
      <w:r>
        <w:rPr>
          <w:spacing w:val="-23"/>
        </w:rPr>
        <w:t> </w:t>
      </w:r>
      <w:r>
        <w:rPr/>
        <w:t>Centre</w:t>
      </w:r>
      <w:r>
        <w:rPr>
          <w:spacing w:val="-22"/>
        </w:rPr>
        <w:t> </w:t>
      </w:r>
      <w:r>
        <w:rPr/>
        <w:t>Building</w:t>
      </w:r>
      <w:r>
        <w:rPr>
          <w:spacing w:val="-23"/>
        </w:rPr>
        <w:t> </w:t>
      </w:r>
      <w:r>
        <w:rPr/>
        <w:t>located</w:t>
      </w:r>
      <w:r>
        <w:rPr>
          <w:spacing w:val="-23"/>
        </w:rPr>
        <w:t> </w:t>
      </w:r>
      <w:r>
        <w:rPr>
          <w:spacing w:val="-9"/>
        </w:rPr>
        <w:t>in </w:t>
      </w:r>
      <w:r>
        <w:rPr/>
        <w:t>Osborne</w:t>
      </w:r>
      <w:r>
        <w:rPr>
          <w:spacing w:val="-1"/>
        </w:rPr>
        <w:t> </w:t>
      </w:r>
      <w:r>
        <w:rPr/>
        <w:t>Park.</w:t>
      </w:r>
    </w:p>
    <w:p>
      <w:pPr>
        <w:pStyle w:val="BodyText"/>
        <w:spacing w:before="3"/>
        <w:rPr>
          <w:sz w:val="23"/>
        </w:rPr>
      </w:pPr>
    </w:p>
    <w:p>
      <w:pPr>
        <w:pStyle w:val="BodyText"/>
        <w:spacing w:line="249" w:lineRule="auto"/>
        <w:ind w:left="388" w:right="295"/>
      </w:pPr>
      <w:r>
        <w:rPr/>
        <w:t>The</w:t>
      </w:r>
      <w:r>
        <w:rPr>
          <w:spacing w:val="-22"/>
        </w:rPr>
        <w:t> </w:t>
      </w:r>
      <w:r>
        <w:rPr/>
        <w:t>flexible</w:t>
      </w:r>
      <w:r>
        <w:rPr>
          <w:spacing w:val="-22"/>
        </w:rPr>
        <w:t> </w:t>
      </w:r>
      <w:r>
        <w:rPr/>
        <w:t>workplace</w:t>
      </w:r>
      <w:r>
        <w:rPr>
          <w:spacing w:val="-22"/>
        </w:rPr>
        <w:t> </w:t>
      </w:r>
      <w:r>
        <w:rPr/>
        <w:t>design</w:t>
      </w:r>
      <w:r>
        <w:rPr>
          <w:spacing w:val="-22"/>
        </w:rPr>
        <w:t> </w:t>
      </w:r>
      <w:r>
        <w:rPr/>
        <w:t>will</w:t>
      </w:r>
      <w:r>
        <w:rPr>
          <w:spacing w:val="-22"/>
        </w:rPr>
        <w:t> </w:t>
      </w:r>
      <w:r>
        <w:rPr/>
        <w:t>aim</w:t>
      </w:r>
      <w:r>
        <w:rPr>
          <w:spacing w:val="-22"/>
        </w:rPr>
        <w:t> </w:t>
      </w:r>
      <w:r>
        <w:rPr/>
        <w:t>to</w:t>
      </w:r>
      <w:r>
        <w:rPr>
          <w:spacing w:val="-22"/>
        </w:rPr>
        <w:t> </w:t>
      </w:r>
      <w:r>
        <w:rPr/>
        <w:t>create a more collaborative, productive and efficient workplace</w:t>
      </w:r>
      <w:r>
        <w:rPr>
          <w:spacing w:val="-22"/>
        </w:rPr>
        <w:t> </w:t>
      </w:r>
      <w:r>
        <w:rPr/>
        <w:t>by</w:t>
      </w:r>
      <w:r>
        <w:rPr>
          <w:spacing w:val="-22"/>
        </w:rPr>
        <w:t> </w:t>
      </w:r>
      <w:r>
        <w:rPr/>
        <w:t>providing</w:t>
      </w:r>
      <w:r>
        <w:rPr>
          <w:spacing w:val="-21"/>
        </w:rPr>
        <w:t> </w:t>
      </w:r>
      <w:r>
        <w:rPr/>
        <w:t>employees</w:t>
      </w:r>
      <w:r>
        <w:rPr>
          <w:spacing w:val="-22"/>
        </w:rPr>
        <w:t> </w:t>
      </w:r>
      <w:r>
        <w:rPr/>
        <w:t>with</w:t>
      </w:r>
      <w:r>
        <w:rPr>
          <w:spacing w:val="-21"/>
        </w:rPr>
        <w:t> </w:t>
      </w:r>
      <w:r>
        <w:rPr>
          <w:spacing w:val="-4"/>
        </w:rPr>
        <w:t>greater </w:t>
      </w:r>
      <w:r>
        <w:rPr/>
        <w:t>mobility and a choice of workplace settings that</w:t>
      </w:r>
      <w:r>
        <w:rPr>
          <w:spacing w:val="-10"/>
        </w:rPr>
        <w:t> </w:t>
      </w:r>
      <w:r>
        <w:rPr/>
        <w:t>best</w:t>
      </w:r>
      <w:r>
        <w:rPr>
          <w:spacing w:val="-9"/>
        </w:rPr>
        <w:t> </w:t>
      </w:r>
      <w:r>
        <w:rPr/>
        <w:t>suit</w:t>
      </w:r>
      <w:r>
        <w:rPr>
          <w:spacing w:val="-9"/>
        </w:rPr>
        <w:t> </w:t>
      </w:r>
      <w:r>
        <w:rPr/>
        <w:t>different</w:t>
      </w:r>
      <w:r>
        <w:rPr>
          <w:spacing w:val="-9"/>
        </w:rPr>
        <w:t> </w:t>
      </w:r>
      <w:r>
        <w:rPr/>
        <w:t>tasks.</w:t>
      </w:r>
      <w:r>
        <w:rPr>
          <w:spacing w:val="-9"/>
        </w:rPr>
        <w:t> </w:t>
      </w:r>
      <w:r>
        <w:rPr/>
        <w:t>This</w:t>
      </w:r>
      <w:r>
        <w:rPr>
          <w:spacing w:val="-9"/>
        </w:rPr>
        <w:t> </w:t>
      </w:r>
      <w:r>
        <w:rPr/>
        <w:t>builds</w:t>
      </w:r>
      <w:r>
        <w:rPr>
          <w:spacing w:val="-9"/>
        </w:rPr>
        <w:t> </w:t>
      </w:r>
      <w:r>
        <w:rPr/>
        <w:t>on</w:t>
      </w:r>
    </w:p>
    <w:p>
      <w:pPr>
        <w:pStyle w:val="BodyText"/>
        <w:spacing w:line="249" w:lineRule="auto" w:before="4"/>
        <w:ind w:left="388" w:right="75"/>
      </w:pPr>
      <w:r>
        <w:rPr/>
        <w:t>an 18-month trial using the flexible workplace methodology within one of </w:t>
      </w:r>
      <w:r>
        <w:rPr>
          <w:spacing w:val="-3"/>
        </w:rPr>
        <w:t>Finance’s </w:t>
      </w:r>
      <w:r>
        <w:rPr/>
        <w:t>business units.</w:t>
      </w:r>
      <w:r>
        <w:rPr>
          <w:spacing w:val="-20"/>
        </w:rPr>
        <w:t> </w:t>
      </w:r>
      <w:r>
        <w:rPr/>
        <w:t>Key</w:t>
      </w:r>
      <w:r>
        <w:rPr>
          <w:spacing w:val="-19"/>
        </w:rPr>
        <w:t> </w:t>
      </w:r>
      <w:r>
        <w:rPr/>
        <w:t>learnings</w:t>
      </w:r>
      <w:r>
        <w:rPr>
          <w:spacing w:val="-20"/>
        </w:rPr>
        <w:t> </w:t>
      </w:r>
      <w:r>
        <w:rPr/>
        <w:t>from</w:t>
      </w:r>
      <w:r>
        <w:rPr>
          <w:spacing w:val="-19"/>
        </w:rPr>
        <w:t> </w:t>
      </w:r>
      <w:r>
        <w:rPr/>
        <w:t>this</w:t>
      </w:r>
      <w:r>
        <w:rPr>
          <w:spacing w:val="-20"/>
        </w:rPr>
        <w:t> </w:t>
      </w:r>
      <w:r>
        <w:rPr/>
        <w:t>trial,</w:t>
      </w:r>
      <w:r>
        <w:rPr>
          <w:spacing w:val="-19"/>
        </w:rPr>
        <w:t> </w:t>
      </w:r>
      <w:r>
        <w:rPr/>
        <w:t>along</w:t>
      </w:r>
      <w:r>
        <w:rPr>
          <w:spacing w:val="-19"/>
        </w:rPr>
        <w:t> </w:t>
      </w:r>
      <w:r>
        <w:rPr/>
        <w:t>with</w:t>
      </w:r>
      <w:r>
        <w:rPr>
          <w:spacing w:val="-20"/>
        </w:rPr>
        <w:t> </w:t>
      </w:r>
      <w:r>
        <w:rPr>
          <w:spacing w:val="-4"/>
        </w:rPr>
        <w:t>best </w:t>
      </w:r>
      <w:r>
        <w:rPr/>
        <w:t>practice activity-based working concepts will inform</w:t>
      </w:r>
      <w:r>
        <w:rPr>
          <w:spacing w:val="-11"/>
        </w:rPr>
        <w:t> </w:t>
      </w:r>
      <w:r>
        <w:rPr/>
        <w:t>the</w:t>
      </w:r>
      <w:r>
        <w:rPr>
          <w:spacing w:val="-11"/>
        </w:rPr>
        <w:t> </w:t>
      </w:r>
      <w:r>
        <w:rPr/>
        <w:t>future</w:t>
      </w:r>
      <w:r>
        <w:rPr>
          <w:spacing w:val="-10"/>
        </w:rPr>
        <w:t> </w:t>
      </w:r>
      <w:r>
        <w:rPr/>
        <w:t>planning</w:t>
      </w:r>
      <w:r>
        <w:rPr>
          <w:spacing w:val="-11"/>
        </w:rPr>
        <w:t> </w:t>
      </w:r>
      <w:r>
        <w:rPr/>
        <w:t>of</w:t>
      </w:r>
      <w:r>
        <w:rPr>
          <w:spacing w:val="-10"/>
        </w:rPr>
        <w:t> </w:t>
      </w:r>
      <w:r>
        <w:rPr/>
        <w:t>that</w:t>
      </w:r>
      <w:r>
        <w:rPr>
          <w:spacing w:val="-11"/>
        </w:rPr>
        <w:t> </w:t>
      </w:r>
      <w:r>
        <w:rPr/>
        <w:t>office</w:t>
      </w:r>
      <w:r>
        <w:rPr>
          <w:spacing w:val="-10"/>
        </w:rPr>
        <w:t> </w:t>
      </w:r>
      <w:r>
        <w:rPr/>
        <w:t>space,</w:t>
      </w:r>
    </w:p>
    <w:p>
      <w:pPr>
        <w:pStyle w:val="BodyText"/>
        <w:spacing w:before="5"/>
        <w:ind w:left="388"/>
      </w:pPr>
      <w:r>
        <w:rPr/>
        <w:t>in collaboration with staff.</w:t>
      </w:r>
    </w:p>
    <w:p>
      <w:pPr>
        <w:pStyle w:val="BodyText"/>
        <w:spacing w:before="142"/>
        <w:ind w:left="452"/>
      </w:pPr>
      <w:r>
        <w:rPr/>
        <w:br w:type="column"/>
      </w:r>
      <w:r>
        <w:rPr/>
        <w:t>Our commitment to lead a mobile,</w:t>
      </w:r>
    </w:p>
    <w:p>
      <w:pPr>
        <w:pStyle w:val="BodyText"/>
        <w:spacing w:line="249" w:lineRule="auto" w:before="11"/>
        <w:ind w:left="452" w:right="1458"/>
      </w:pPr>
      <w:r>
        <w:rPr/>
        <w:pict>
          <v:group style="position:absolute;margin-left:763.172119pt;margin-top:-34.359116pt;width:61.1pt;height:45.2pt;mso-position-horizontal-relative:page;mso-position-vertical-relative:paragraph;z-index:-805696" coordorigin="15263,-687" coordsize="1222,904">
            <v:shape style="position:absolute;left:15424;top:-688;width:900;height:904" coordorigin="15424,-687" coordsize="900,904" path="m15874,-687l15424,-237,15424,-234,15874,216,16324,-234,16324,-237,15874,-687xe" filled="true" fillcolor="#c4cd71" stroked="false">
              <v:path arrowok="t"/>
              <v:fill type="solid"/>
            </v:shape>
            <v:shape style="position:absolute;left:15263;top:-397;width:161;height:322" type="#_x0000_t75" stroked="false">
              <v:imagedata r:id="rId16" o:title=""/>
            </v:shape>
            <v:shape style="position:absolute;left:16324;top:-397;width:161;height:322" type="#_x0000_t75" stroked="false">
              <v:imagedata r:id="rId11" o:title=""/>
            </v:shape>
            <v:shape style="position:absolute;left:15263;top:-688;width:1222;height:904" type="#_x0000_t202" filled="false" stroked="false">
              <v:textbox inset="0,0,0,0">
                <w:txbxContent>
                  <w:p>
                    <w:pPr>
                      <w:spacing w:line="240" w:lineRule="auto" w:before="8"/>
                      <w:rPr>
                        <w:b/>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t>agile workforce is also supported by our </w:t>
      </w:r>
      <w:r>
        <w:rPr>
          <w:w w:val="95"/>
        </w:rPr>
        <w:t>new organisational performance framework, </w:t>
      </w:r>
      <w:r>
        <w:rPr/>
        <w:t>which better connects individual capability</w:t>
      </w:r>
    </w:p>
    <w:p>
      <w:pPr>
        <w:pStyle w:val="BodyText"/>
        <w:spacing w:before="2"/>
        <w:ind w:left="452"/>
      </w:pPr>
      <w:r>
        <w:rPr/>
        <w:t>with achievement of the Department’s objectives.</w:t>
      </w:r>
    </w:p>
    <w:p>
      <w:pPr>
        <w:pStyle w:val="BodyText"/>
        <w:spacing w:line="249" w:lineRule="auto" w:before="11"/>
        <w:ind w:left="452" w:right="1458"/>
      </w:pPr>
      <w:r>
        <w:rPr/>
        <w:t>The</w:t>
      </w:r>
      <w:r>
        <w:rPr>
          <w:spacing w:val="-21"/>
        </w:rPr>
        <w:t> </w:t>
      </w:r>
      <w:r>
        <w:rPr/>
        <w:t>framework</w:t>
      </w:r>
      <w:r>
        <w:rPr>
          <w:spacing w:val="-20"/>
        </w:rPr>
        <w:t> </w:t>
      </w:r>
      <w:r>
        <w:rPr/>
        <w:t>will</w:t>
      </w:r>
      <w:r>
        <w:rPr>
          <w:spacing w:val="-21"/>
        </w:rPr>
        <w:t> </w:t>
      </w:r>
      <w:r>
        <w:rPr/>
        <w:t>assist</w:t>
      </w:r>
      <w:r>
        <w:rPr>
          <w:spacing w:val="-20"/>
        </w:rPr>
        <w:t> </w:t>
      </w:r>
      <w:r>
        <w:rPr/>
        <w:t>in</w:t>
      </w:r>
      <w:r>
        <w:rPr>
          <w:spacing w:val="-21"/>
        </w:rPr>
        <w:t> </w:t>
      </w:r>
      <w:r>
        <w:rPr/>
        <w:t>developing</w:t>
      </w:r>
      <w:r>
        <w:rPr>
          <w:spacing w:val="-20"/>
        </w:rPr>
        <w:t> </w:t>
      </w:r>
      <w:r>
        <w:rPr/>
        <w:t>the skills needed to sustain high performance, and</w:t>
      </w:r>
      <w:r>
        <w:rPr>
          <w:spacing w:val="-35"/>
        </w:rPr>
        <w:t> </w:t>
      </w:r>
      <w:r>
        <w:rPr/>
        <w:t>reinforces</w:t>
      </w:r>
      <w:r>
        <w:rPr>
          <w:spacing w:val="-34"/>
        </w:rPr>
        <w:t> </w:t>
      </w:r>
      <w:r>
        <w:rPr/>
        <w:t>behaviours</w:t>
      </w:r>
      <w:r>
        <w:rPr>
          <w:spacing w:val="-34"/>
        </w:rPr>
        <w:t> </w:t>
      </w:r>
      <w:r>
        <w:rPr/>
        <w:t>that</w:t>
      </w:r>
      <w:r>
        <w:rPr>
          <w:spacing w:val="-34"/>
        </w:rPr>
        <w:t> </w:t>
      </w:r>
      <w:r>
        <w:rPr/>
        <w:t>demonstrate the </w:t>
      </w:r>
      <w:r>
        <w:rPr>
          <w:spacing w:val="-3"/>
        </w:rPr>
        <w:t>Department’s</w:t>
      </w:r>
      <w:r>
        <w:rPr>
          <w:spacing w:val="-4"/>
        </w:rPr>
        <w:t> </w:t>
      </w:r>
      <w:r>
        <w:rPr/>
        <w:t>values.</w:t>
      </w:r>
    </w:p>
    <w:p>
      <w:pPr>
        <w:pStyle w:val="BodyText"/>
        <w:spacing w:before="3"/>
        <w:rPr>
          <w:sz w:val="23"/>
        </w:rPr>
      </w:pPr>
    </w:p>
    <w:p>
      <w:pPr>
        <w:pStyle w:val="BodyText"/>
        <w:spacing w:line="249" w:lineRule="auto"/>
        <w:ind w:left="452" w:right="1132"/>
      </w:pPr>
      <w:r>
        <w:rPr/>
        <w:t>Through</w:t>
      </w:r>
      <w:r>
        <w:rPr>
          <w:spacing w:val="-30"/>
        </w:rPr>
        <w:t> </w:t>
      </w:r>
      <w:r>
        <w:rPr/>
        <w:t>leading</w:t>
      </w:r>
      <w:r>
        <w:rPr>
          <w:spacing w:val="-29"/>
        </w:rPr>
        <w:t> </w:t>
      </w:r>
      <w:r>
        <w:rPr/>
        <w:t>by</w:t>
      </w:r>
      <w:r>
        <w:rPr>
          <w:spacing w:val="-29"/>
        </w:rPr>
        <w:t> </w:t>
      </w:r>
      <w:r>
        <w:rPr/>
        <w:t>example</w:t>
      </w:r>
      <w:r>
        <w:rPr>
          <w:spacing w:val="-29"/>
        </w:rPr>
        <w:t> </w:t>
      </w:r>
      <w:r>
        <w:rPr/>
        <w:t>in</w:t>
      </w:r>
      <w:r>
        <w:rPr>
          <w:spacing w:val="-30"/>
        </w:rPr>
        <w:t> </w:t>
      </w:r>
      <w:r>
        <w:rPr/>
        <w:t>these</w:t>
      </w:r>
      <w:r>
        <w:rPr>
          <w:spacing w:val="-29"/>
        </w:rPr>
        <w:t> </w:t>
      </w:r>
      <w:r>
        <w:rPr>
          <w:spacing w:val="-2"/>
        </w:rPr>
        <w:t>initiatives, </w:t>
      </w:r>
      <w:r>
        <w:rPr/>
        <w:t>the Department seeks to demonstrate</w:t>
      </w:r>
      <w:r>
        <w:rPr>
          <w:spacing w:val="-43"/>
        </w:rPr>
        <w:t> </w:t>
      </w:r>
      <w:r>
        <w:rPr/>
        <w:t>what</w:t>
      </w:r>
    </w:p>
    <w:p>
      <w:pPr>
        <w:pStyle w:val="BodyText"/>
        <w:spacing w:line="249" w:lineRule="auto" w:before="2"/>
        <w:ind w:left="452" w:right="1013"/>
      </w:pPr>
      <w:r>
        <w:rPr/>
        <w:pict>
          <v:group style="position:absolute;margin-left:562.676819pt;margin-top:67.216774pt;width:279.25pt;height:243.1pt;mso-position-horizontal-relative:page;mso-position-vertical-relative:paragraph;z-index:-805768" coordorigin="11254,1344" coordsize="5585,4862">
            <v:shape style="position:absolute;left:13448;top:1344;width:2433;height:4435" coordorigin="13448,1344" coordsize="2433,4435" path="m15881,5508l15428,5770,15437,5779,15881,5523,15881,5508m15881,5319l15308,5650,15317,5659,15881,5334,15881,5319m15881,5130l15188,5530,15197,5539,15881,5144,15881,5130m15881,5035l15128,5470,15137,5479,15881,5050,15881,5035m15881,4941l15068,5410,15077,5419,15881,4955,15881,4941m15881,4846l15008,5350,15017,5359,15881,4860,15881,4846m15881,4751l14948,5290,14957,5299,15881,4766,15881,4751m15881,4657l14888,5230,14897,5239,15881,4671,15881,4657m15881,4467l14768,5110,14777,5119,15881,4482,15881,4467m15881,4373l14708,5050,14717,5059,15881,4387,15881,4373m15881,4183l14588,4930,14597,4939,15881,4198,15881,4183m15881,4089l14528,4870,14537,4879,15881,4103,15881,4089m15881,3805l14348,4690,14357,4699,15881,3819,15881,3805m15881,3710l14288,4630,14297,4639,15881,3725,15881,3710m15881,3521l14168,4510,14177,4519,15881,3535,15881,3521m15881,2953l13808,4150,13817,4159,15881,2968,15881,2953m15881,2669l13628,3970,13637,3979,15881,2684,15881,2669m15881,2575l13568,3910,13577,3919,15881,2589,15881,2575m15881,2385l13448,3790,13457,3799,15881,2400,15881,2385m15881,2291l13624,3594,13590,3628,15881,2305,15881,2291m15881,2196l13848,3370,13814,3404,15881,2211,15881,2196m15881,2101l14072,3146,14038,3180,15881,2116,15881,2101m15881,2007l14296,2922,14262,2956,15881,2021,15881,2007m15881,1912l14520,2698,14486,2732,15881,1927,15881,1912m15881,1818l14744,2474,14710,2508,15881,1832,15881,1818m15881,1723l14968,2250,14934,2284,15881,1737,15881,1723m15881,1628l15192,2026,15158,2060,15881,1643,15881,1628m15881,1534l15416,1802,15381,1836,15881,1548,15881,1534m15881,1439l15640,1578,15605,1612,15881,1453,15881,1439m15881,1344l15863,1354,15829,1388,15881,1359,15881,1344m15881,5414l15368,5710,15377,5719,15881,5428,15881,5414m15881,5225l15248,5590,15257,5599,15881,5239,15881,5225m15881,4562l14828,5170,14837,5179,15881,4576,15881,4562m15881,4278l14648,4990,14657,4999,15881,4293,15881,4278m15881,3994l14468,4810,14477,4819,15881,4009,15881,3994m15881,3900l14408,4750,14417,4759,15881,3914,15881,3900m15881,3616l14228,4570,14237,4579,15881,3630,15881,3616m15881,3426l14108,4450,14117,4459,15881,3441,15881,3426m15881,3332l14048,4390,14057,4399,15881,3346,15881,3332m15881,3237l13988,4330,13997,4339,15881,3252,15881,3237m15881,3142l13928,4270,13937,4279,15881,3157,15881,3142m15881,3048l13868,4210,13877,4219,15881,3062,15881,3048m15881,2859l13748,4090,13757,4099,15881,2873,15881,2859m15881,2764l13688,4030,13697,4039,15881,2778,15881,2764m15881,2480l13508,3850,13517,3859,15881,2494,15881,2480e" filled="true" fillcolor="#cdcccd" stroked="false">
              <v:path arrowok="t"/>
              <v:fill opacity="45875f" type="solid"/>
            </v:shape>
            <v:shape style="position:absolute;left:15488;top:5603;width:393;height:536" type="#_x0000_t75" stroked="false">
              <v:imagedata r:id="rId168" o:title=""/>
            </v:shape>
            <v:shape style="position:absolute;left:15848;top:1363;width:64;height:4836" coordorigin="15848,1363" coordsize="64,4836" path="m15881,6171l15848,6190,15857,6199,15881,6185,15881,6171m15911,1367l15908,1363,15881,1379,15881,1385,15911,1367e" filled="true" fillcolor="#cdcccd" stroked="false">
              <v:path arrowok="t"/>
              <v:fill opacity="45875f" type="solid"/>
            </v:shape>
            <v:shape style="position:absolute;left:15880;top:1423;width:391;height:529" type="#_x0000_t75" stroked="false">
              <v:imagedata r:id="rId169" o:title=""/>
            </v:shape>
            <v:shape style="position:absolute;left:15880;top:1783;width:957;height:4423" coordorigin="15881,1784" coordsize="957,4423" path="m15921,6182l15881,6206,15881,6206,15890,6206,15907,6196,15921,6182m16145,5958l15881,6111,15881,6117,16131,5972,16145,5958m16331,1787l16328,1784,15881,2041,15881,2047,16331,1787m16369,5735l15881,6016,15881,6022,16355,5748,16369,5735m16391,1847l16388,1844,15881,2136,15881,2142,16391,1847m16451,1907l16448,1903,15881,2231,15881,2236,16451,1907m16511,1967l16508,1964,15881,2325,15881,2331,16511,1967m16571,2027l16568,2024,15881,2420,15881,2426,16571,2027m16593,5511l15881,5922,15881,5927,16579,5524,16593,5511m16631,2087l16628,2084,15881,2515,15881,2520,16631,2087m16691,2147l16688,2143,15881,2609,15881,2615,16691,2147m16751,2207l16748,2204,15881,2704,15881,2710,16751,2207m16811,2267l16808,2264,15881,2798,15881,2804,16811,2267m16817,5287l15881,5827,15881,5833,16803,5300,16817,5287m16838,5180l15881,5732,15881,5738,16838,5186,16838,5180m16838,5085l15881,5638,15881,5643,16838,5091,16838,5085m16838,4991l15881,5543,15881,5549,16838,4996,16838,4991m16838,4896l15881,5448,15881,5454,16838,4902,16838,4896m16838,4801l15881,5354,15881,5360,16838,4807,16838,4801m16838,4707l15881,5259,15881,5265,16838,4712,16838,4707m16838,4612l15881,5164,15881,5170,16838,4618,16838,4612m16838,4517l15881,5070,15881,5076,16838,4523,16838,4517m16838,4423l15881,4975,15881,4981,16838,4429,16838,4423m16838,4328l15881,4881,15881,4886,16838,4334,16838,4328m16838,4233l15881,4786,15881,4792,16838,4239,16838,4233m16838,4139l15881,4691,15881,4697,16838,4145,16838,4139m16838,4044l15881,4597,15881,4602,16838,4050,16838,4044m16838,3950l15881,4502,15881,4508,16838,3955,16838,3950m16838,3855l15881,4407,15881,4413,16838,3861,16838,3855m16838,3760l15881,4313,15881,4318,16838,3766,16838,3760m16838,3666l15881,4218,15881,4224,16838,3671,16838,3666m16838,3571l15881,4123,15881,4129,16838,3577,16838,3571m16838,3476l15881,4029,15881,4035,16838,3482,16838,3476m16838,3382l15881,3934,15881,3940,16838,3387,16838,3382m16838,3287l15881,3840,15881,3845,16838,3293,16838,3287m16838,3192l15881,3745,15881,3751,16838,3198,16838,3192m16838,3098l15881,3650,15881,3656,16838,3104,16838,3098m16838,3003l15881,3556,15881,3561,16838,3009,16838,3003m16838,2909l15881,3461,15881,3467,16838,2914,16838,2909m16838,2814l15881,3366,15881,3372,16838,2820,16838,2814m16838,2719l15881,3272,15881,3277,16838,2725,16838,2719m16838,2625l15881,3177,15881,3183,16838,2630,16838,2625m16838,2530l15881,3082,15881,3088,16838,2536,16838,2530m16838,2435l15881,2988,15881,2994,16838,2441,16838,2435m16838,2341l15881,2893,15881,2899,16838,2346,16838,2341e" filled="true" fillcolor="#cdcccd" stroked="false">
              <v:path arrowok="t"/>
              <v:fill opacity="45875f" type="solid"/>
            </v:shape>
            <v:shape style="position:absolute;left:11253;top:1577;width:3529;height:3529" coordorigin="11254,1577" coordsize="3529,3529" path="m13018,1577l11254,3342,13018,5106,14782,3342,13018,1577xe" filled="true" fillcolor="#ffffff" stroked="false">
              <v:path arrowok="t"/>
              <v:fill type="solid"/>
            </v:shape>
            <v:shape style="position:absolute;left:12135;top:2018;width:1765;height:442" coordorigin="12136,2018" coordsize="1765,442" path="m12577,2018l12136,2459,12136,2460,12577,2460,12797,2239,12577,2018xm13459,2018l13239,2239,13459,2460,13900,2460,13900,2459,13459,2018xe" filled="true" fillcolor="#aebd37" stroked="false">
              <v:path arrowok="t"/>
              <v:fill type="solid"/>
            </v:shape>
            <v:shape style="position:absolute;left:11253;top:2459;width:883;height:1765" coordorigin="11254,2459" coordsize="883,1765" path="m11915,3562l11695,3783,11695,3783,12136,4224,12136,3783,11915,3562xm11254,3342l11254,3342,11695,3783,11695,3783,11254,3342xm12136,2459l11695,2901,11915,3121,12136,2900,12136,2459xe" filled="true" fillcolor="#6f2770" stroked="false">
              <v:path arrowok="t"/>
              <v:fill type="solid"/>
            </v:shape>
            <v:shape style="position:absolute;left:13899;top:2459;width:442;height:1765" coordorigin="13900,2459" coordsize="442,1765" path="m13900,2459l13900,2460,13900,2460,13900,2459m14341,3783l14121,3562,13900,3783,13900,4224,13900,4224,13900,4224,13900,4224,14341,3783m14341,2901l13900,2460,13900,2460,13900,2460,13900,2900,14121,3121,14341,2901,14341,2901e" filled="true" fillcolor="#5d883c" stroked="false">
              <v:path arrowok="t"/>
              <v:fill type="solid"/>
            </v:shape>
            <v:shape style="position:absolute;left:12135;top:4223;width:1765;height:883" coordorigin="12136,4224" coordsize="1765,883" path="m12577,4224l12136,4224,12136,4224,13018,5106,12577,4665,12797,4444,12577,4224xm13900,4224l13459,4224,13239,4444,13459,4665,13018,5106,13900,4224,13900,4224xe" filled="true" fillcolor="#360e3f" stroked="false">
              <v:path arrowok="t"/>
              <v:fill type="solid"/>
            </v:shape>
            <v:shape style="position:absolute;left:13459;top:2459;width:441;height:221" coordorigin="13459,2460" coordsize="441,221" path="m13900,2460l13459,2460,13680,2680,13900,2460xe" filled="true" fillcolor="#7aa142" stroked="false">
              <v:path arrowok="t"/>
              <v:fill type="solid"/>
            </v:shape>
            <v:shape style="position:absolute;left:13679;top:2459;width:221;height:441" coordorigin="13680,2460" coordsize="221,441" path="m13900,2460l13680,2680,13900,2900,13900,2460xe" filled="true" fillcolor="#41793d" stroked="false">
              <v:path arrowok="t"/>
              <v:fill type="solid"/>
            </v:shape>
            <v:shape style="position:absolute;left:12135;top:2459;width:221;height:221" coordorigin="12136,2460" coordsize="221,221" path="m12136,2460l12356,2680,12136,2460xe" filled="true" fillcolor="#6f2770" stroked="false">
              <v:path arrowok="t"/>
              <v:fill type="solid"/>
            </v:shape>
            <v:shape style="position:absolute;left:12135;top:2459;width:441;height:221" coordorigin="12136,2460" coordsize="441,221" path="m12577,2460l12136,2460,12356,2680,12577,2460xe" filled="true" fillcolor="#5b2e31" stroked="false">
              <v:path arrowok="t"/>
              <v:fill type="solid"/>
            </v:shape>
            <v:shape style="position:absolute;left:12135;top:2459;width:221;height:441" coordorigin="12136,2460" coordsize="221,441" path="m12136,2460l12136,2900,12356,2680,12136,2460xe" filled="true" fillcolor="#42285e" stroked="false">
              <v:path arrowok="t"/>
              <v:fill type="solid"/>
            </v:shape>
            <v:shape style="position:absolute;left:13679;top:4003;width:221;height:221" coordorigin="13680,4003" coordsize="221,221" path="m13680,4003l13900,4224,13680,4003xe" filled="true" fillcolor="#5d883c" stroked="false">
              <v:path arrowok="t"/>
              <v:fill type="solid"/>
            </v:shape>
            <v:shape style="position:absolute;left:13679;top:3782;width:221;height:441" coordorigin="13680,3783" coordsize="221,441" path="m13900,3783l13680,4003,13900,4224,13900,3783xe" filled="true" fillcolor="#226237" stroked="false">
              <v:path arrowok="t"/>
              <v:fill type="solid"/>
            </v:shape>
            <v:shape style="position:absolute;left:13459;top:4003;width:441;height:221" coordorigin="13459,4003" coordsize="441,221" path="m13680,4003l13459,4224,13900,4224,13680,4003xe" filled="true" fillcolor="#1e0f13" stroked="false">
              <v:path arrowok="t"/>
              <v:fill type="solid"/>
            </v:shape>
            <v:shape style="position:absolute;left:12135;top:4003;width:221;height:221" coordorigin="12136,4003" coordsize="221,221" path="m12356,4003l12136,4224,12356,4003xe" filled="true" fillcolor="#360e3f" stroked="false">
              <v:path arrowok="t"/>
              <v:fill type="solid"/>
            </v:shape>
            <v:shape style="position:absolute;left:12135;top:3782;width:221;height:441" coordorigin="12136,3783" coordsize="221,441" path="m12136,3783l12136,4224,12356,4003,12136,3783xe" filled="true" fillcolor="#200d34" stroked="false">
              <v:path arrowok="t"/>
              <v:fill type="solid"/>
            </v:shape>
            <v:shape style="position:absolute;left:12135;top:4003;width:441;height:221" coordorigin="12136,4003" coordsize="441,221" path="m12356,4003l12136,4224,12577,4224,12356,4003xe" filled="true" fillcolor="#050019" stroked="false">
              <v:path arrowok="t"/>
              <v:fill type="solid"/>
            </v:shape>
            <v:shape style="position:absolute;left:12576;top:1577;width:883;height:662" coordorigin="12577,1577" coordsize="883,662" path="m13018,1577l12577,2018,12797,2239,13018,2018,13459,2018,13018,1577xm13459,2018l13018,2018,13239,2239,13459,2018,13459,2018xe" filled="true" fillcolor="#89993e" stroked="false">
              <v:path arrowok="t"/>
              <v:fill type="solid"/>
            </v:shape>
            <v:shape style="position:absolute;left:14120;top:2900;width:662;height:883" coordorigin="14121,2901" coordsize="662,883" path="m14782,3342l14341,2901,14606,3165,14341,2901,14121,3121,14341,3342,14121,3562,14341,3783,14782,3342e" filled="true" fillcolor="#4f743b" stroked="false">
              <v:path arrowok="t"/>
              <v:fill type="solid"/>
            </v:shape>
            <v:shape style="position:absolute;left:12576;top:4444;width:883;height:662" coordorigin="12577,4444" coordsize="883,662" path="m12797,4444l12577,4665,13018,5106,13459,4665,13018,4665,12797,4444xm13238,4444l13018,4665,13459,4665,13459,4665,13238,4444xe" filled="true" fillcolor="#2f1038" stroked="false">
              <v:path arrowok="t"/>
              <v:fill type="solid"/>
            </v:shape>
            <v:shape style="position:absolute;left:11253;top:2900;width:662;height:883" coordorigin="11254,2901" coordsize="662,883" path="m11915,3121l11695,2901,11254,3342,11695,3783,11915,3562,11694,3342,11915,3121e" filled="true" fillcolor="#602a63" stroked="false">
              <v:path arrowok="t"/>
              <v:fill type="solid"/>
            </v:shape>
            <v:shape style="position:absolute;left:12576;top:2238;width:883;height:221" coordorigin="12577,2239" coordsize="883,221" path="m13239,2239l13018,2459,12577,2459,13459,2459,13018,2459,12797,2239,13239,2239xe" filled="true" fillcolor="#f8f7f0" stroked="false">
              <v:path arrowok="t"/>
              <v:fill type="solid"/>
            </v:shape>
            <v:shape style="position:absolute;left:13017;top:3341;width:2;height:2" coordorigin="13018,3342" coordsize="1,1" path="m13018,3342xe" filled="true" fillcolor="#ffffff" stroked="false">
              <v:path arrowok="t"/>
              <v:fill type="solid"/>
            </v:shape>
            <v:shape style="position:absolute;left:11915;top:2900;width:1103;height:883" coordorigin="11915,2900" coordsize="1103,883" path="m13018,3342l12136,3342,11915,3562,12136,3783,12136,3342,13018,3342,13018,3342xm12136,2900l11915,3121,12136,3342,12136,3342,12136,2900xe" filled="true" fillcolor="#f1edf3" stroked="false">
              <v:path arrowok="t"/>
              <v:fill type="solid"/>
            </v:shape>
            <v:shape style="position:absolute;left:13900;top:2900;width:221;height:883" coordorigin="13900,2900" coordsize="221,883" path="m13900,2900l13900,3783,14121,3562,13900,3342,14121,3121,13900,2900xe" filled="true" fillcolor="#f2f3ee" stroked="false">
              <v:path arrowok="t"/>
              <v:fill type="solid"/>
            </v:shape>
            <v:shape style="position:absolute;left:12576;top:4223;width:883;height:221" coordorigin="12577,4224" coordsize="883,221" path="m13459,4224l13018,4224,13018,4224,12577,4224,12797,4444,13018,4224,13459,4224,13459,4224xm13459,4224l13018,4224,13239,4444,13459,4224xe" filled="true" fillcolor="#ebe7ea" stroked="false">
              <v:path arrowok="t"/>
              <v:fill type="solid"/>
            </v:shape>
            <v:shape style="position:absolute;left:13017;top:2459;width:662;height:883" coordorigin="13018,2460" coordsize="662,883" path="m13459,2460l13018,2460,13018,3342,13680,2680,13459,2460xe" filled="true" fillcolor="#f5f6f0" stroked="false">
              <v:path arrowok="t"/>
              <v:fill type="solid"/>
            </v:shape>
            <v:shape style="position:absolute;left:13017;top:2679;width:883;height:662" coordorigin="13018,2680" coordsize="883,662" path="m13680,2680l13018,3342,13900,3342,13900,2900,13680,2680xe" filled="true" fillcolor="#f2f3ee" stroked="false">
              <v:path arrowok="t"/>
              <v:fill type="solid"/>
            </v:shape>
            <v:shape style="position:absolute;left:12356;top:2459;width:662;height:883" coordorigin="12356,2460" coordsize="662,883" path="m13018,2460l12577,2460,12356,2680,13018,3342,13018,2460xe" filled="true" fillcolor="#f1edea" stroked="false">
              <v:path arrowok="t"/>
              <v:fill type="solid"/>
            </v:shape>
            <v:shape style="position:absolute;left:12135;top:2679;width:883;height:662" coordorigin="12136,2680" coordsize="883,662" path="m12356,2680l12136,2900,12136,3342,13018,3342,12356,2680xe" filled="true" fillcolor="#ebe9ed" stroked="false">
              <v:path arrowok="t"/>
              <v:fill type="solid"/>
            </v:shape>
            <v:shape style="position:absolute;left:13017;top:3341;width:662;height:662" coordorigin="13018,3342" coordsize="662,662" path="m13018,3342l13680,4003,13018,3342xe" filled="true" fillcolor="#f2f3ee" stroked="false">
              <v:path arrowok="t"/>
              <v:fill type="solid"/>
            </v:shape>
            <v:shape style="position:absolute;left:13017;top:3341;width:883;height:662" coordorigin="13018,3342" coordsize="883,662" path="m13900,3342l13018,3342,13680,4003,13900,3783,13900,3342xe" filled="true" fillcolor="#eceeea" stroked="false">
              <v:path arrowok="t"/>
              <v:fill type="solid"/>
            </v:shape>
            <v:shape style="position:absolute;left:13017;top:3341;width:662;height:883" coordorigin="13018,3342" coordsize="662,883" path="m13018,3342l13018,4224,13459,4224,13680,4003,13018,3342xe" filled="true" fillcolor="#e6e3e2" stroked="false">
              <v:path arrowok="t"/>
              <v:fill type="solid"/>
            </v:shape>
            <v:shape style="position:absolute;left:12356;top:3341;width:662;height:662" coordorigin="12356,3342" coordsize="662,662" path="m13018,3342l12356,4003,13018,3342xe" filled="true" fillcolor="#ebe7ea" stroked="false">
              <v:path arrowok="t"/>
              <v:fill type="solid"/>
            </v:shape>
            <v:shape style="position:absolute;left:12135;top:3341;width:883;height:662" coordorigin="12136,3342" coordsize="883,662" path="m13018,3342l12136,3342,12136,3783,12356,4003,13018,3342xe" filled="true" fillcolor="#e6e4e6" stroked="false">
              <v:path arrowok="t"/>
              <v:fill type="solid"/>
            </v:shape>
            <v:shape style="position:absolute;left:12356;top:3341;width:662;height:883" coordorigin="12356,3342" coordsize="662,883" path="m13018,3342l12356,4003,12577,4224,13018,4224,13018,3342xe" filled="true" fillcolor="#e4e2e4" stroked="false">
              <v:path arrowok="t"/>
              <v:fill type="solid"/>
            </v:shape>
            <v:shape style="position:absolute;left:12797;top:2018;width:442;height:442" coordorigin="12797,2018" coordsize="442,442" path="m13018,2018l12797,2239,13018,2459,13239,2239,13018,2018xe" filled="true" fillcolor="#f5f4ee" stroked="false">
              <v:path arrowok="t"/>
              <v:fill type="solid"/>
            </v:shape>
            <v:shape style="position:absolute;left:13900;top:3121;width:442;height:442" coordorigin="13900,3121" coordsize="442,442" path="m14121,3121l13900,3342,14121,3562,14341,3342,14121,3121xe" filled="true" fillcolor="#f2f3ee" stroked="false">
              <v:path arrowok="t"/>
              <v:fill type="solid"/>
            </v:shape>
            <v:shape style="position:absolute;left:12797;top:4223;width:442;height:442" coordorigin="12797,4224" coordsize="442,442" path="m13018,4224l12797,4444,13018,4665,13239,4444,13018,4224xe" filled="true" fillcolor="#ebe7e8" stroked="false">
              <v:path arrowok="t"/>
              <v:fill type="solid"/>
            </v:shape>
            <v:shape style="position:absolute;left:11694;top:3121;width:442;height:442" coordorigin="11694,3121" coordsize="442,442" path="m11915,3121l11694,3342,11915,3562,12136,3342,11915,3121xe" filled="true" fillcolor="#f1edf0" stroked="false">
              <v:path arrowok="t"/>
              <v:fill type="solid"/>
            </v:shape>
            <w10:wrap type="none"/>
          </v:group>
        </w:pict>
      </w:r>
      <w:r>
        <w:rPr/>
        <w:t>is possible across government. This will create opportunities</w:t>
      </w:r>
      <w:r>
        <w:rPr>
          <w:spacing w:val="-20"/>
        </w:rPr>
        <w:t> </w:t>
      </w:r>
      <w:r>
        <w:rPr/>
        <w:t>to</w:t>
      </w:r>
      <w:r>
        <w:rPr>
          <w:spacing w:val="-20"/>
        </w:rPr>
        <w:t> </w:t>
      </w:r>
      <w:r>
        <w:rPr/>
        <w:t>enhance</w:t>
      </w:r>
      <w:r>
        <w:rPr>
          <w:spacing w:val="-20"/>
        </w:rPr>
        <w:t> </w:t>
      </w:r>
      <w:r>
        <w:rPr/>
        <w:t>public</w:t>
      </w:r>
      <w:r>
        <w:rPr>
          <w:spacing w:val="-20"/>
        </w:rPr>
        <w:t> </w:t>
      </w:r>
      <w:r>
        <w:rPr/>
        <w:t>sector</w:t>
      </w:r>
      <w:r>
        <w:rPr>
          <w:spacing w:val="-20"/>
        </w:rPr>
        <w:t> </w:t>
      </w:r>
      <w:r>
        <w:rPr>
          <w:spacing w:val="-3"/>
        </w:rPr>
        <w:t>efficiency </w:t>
      </w:r>
      <w:r>
        <w:rPr/>
        <w:t>and</w:t>
      </w:r>
      <w:r>
        <w:rPr>
          <w:spacing w:val="-24"/>
        </w:rPr>
        <w:t> </w:t>
      </w:r>
      <w:r>
        <w:rPr/>
        <w:t>improve</w:t>
      </w:r>
      <w:r>
        <w:rPr>
          <w:spacing w:val="-23"/>
        </w:rPr>
        <w:t> </w:t>
      </w:r>
      <w:r>
        <w:rPr/>
        <w:t>the</w:t>
      </w:r>
      <w:r>
        <w:rPr>
          <w:spacing w:val="-24"/>
        </w:rPr>
        <w:t> </w:t>
      </w:r>
      <w:r>
        <w:rPr/>
        <w:t>responsiveness</w:t>
      </w:r>
      <w:r>
        <w:rPr>
          <w:spacing w:val="-23"/>
        </w:rPr>
        <w:t> </w:t>
      </w:r>
      <w:r>
        <w:rPr/>
        <w:t>of</w:t>
      </w:r>
      <w:r>
        <w:rPr>
          <w:spacing w:val="-24"/>
        </w:rPr>
        <w:t> </w:t>
      </w:r>
      <w:r>
        <w:rPr/>
        <w:t>government services delivered across the</w:t>
      </w:r>
      <w:r>
        <w:rPr>
          <w:spacing w:val="-23"/>
        </w:rPr>
        <w:t> </w:t>
      </w:r>
      <w:r>
        <w:rPr/>
        <w:t>State.</w:t>
      </w:r>
    </w:p>
    <w:p>
      <w:pPr>
        <w:spacing w:after="0" w:line="249" w:lineRule="auto"/>
        <w:sectPr>
          <w:type w:val="continuous"/>
          <w:pgSz w:w="16840" w:h="11910" w:orient="landscape"/>
          <w:pgMar w:top="0" w:bottom="0" w:left="0" w:right="0"/>
          <w:cols w:num="3" w:equalWidth="0">
            <w:col w:w="5581" w:space="40"/>
            <w:col w:w="5141" w:space="39"/>
            <w:col w:w="603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tabs>
          <w:tab w:pos="12166" w:val="left" w:leader="none"/>
          <w:tab w:pos="12373" w:val="left" w:leader="none"/>
          <w:tab w:pos="15894" w:val="left" w:leader="none"/>
        </w:tabs>
        <w:spacing w:before="106"/>
        <w:ind w:left="765" w:right="0" w:firstLine="0"/>
        <w:jc w:val="left"/>
        <w:rPr>
          <w:b/>
          <w:sz w:val="16"/>
        </w:rPr>
      </w:pPr>
      <w:r>
        <w:rPr/>
        <w:pict>
          <v:group style="position:absolute;margin-left:445.295197pt;margin-top:-55.467094pt;width:135.5pt;height:90.35pt;mso-position-horizontal-relative:page;mso-position-vertical-relative:paragraph;z-index:-805744" coordorigin="8906,-1109" coordsize="2710,1807">
            <v:shape style="position:absolute;left:8905;top:-207;width:2710;height:904" coordorigin="8906,-206" coordsize="2710,904" path="m9809,245l9358,-206,8906,245,9358,697,9809,245m10712,245l10261,-206,9809,245,10261,697,10712,245m11615,245l11164,-206,10712,245,11164,697,11615,245e" filled="true" fillcolor="#ffffff" stroked="false">
              <v:path arrowok="t"/>
              <v:fill type="solid"/>
            </v:shape>
            <v:shape style="position:absolute;left:9809;top:-1110;width:904;height:904" coordorigin="9809,-1109" coordsize="904,904" path="m10261,-1109l9809,-658,10261,-206,10712,-658,10261,-1109xe" filled="true" fillcolor="#d5dcc7" stroked="false">
              <v:path arrowok="t"/>
              <v:fill type="solid"/>
            </v:shape>
            <v:shape style="position:absolute;left:9357;top:-658;width:904;height:904" coordorigin="9358,-658" coordsize="904,904" path="m9809,-658l9358,-206,9809,245,10261,-206,9809,-658xe" filled="true" fillcolor="#e8e9c9" stroked="false">
              <v:path arrowok="t"/>
              <v:fill type="solid"/>
            </v:shape>
            <v:shape style="position:absolute;left:8905;top:-207;width:2710;height:904" coordorigin="8906,-206" coordsize="2710,904" path="m9809,245l9358,-206,8906,245,9358,697,9809,245m11615,245l11164,-206,10712,245,11164,697,11615,245e" filled="true" fillcolor="#efeeeb" stroked="false">
              <v:path arrowok="t"/>
              <v:fill type="solid"/>
            </v:shape>
            <v:shape style="position:absolute;left:9809;top:-207;width:904;height:904" coordorigin="9809,-206" coordsize="904,904" path="m10261,-206l9809,245,10261,697,10712,245,10261,-206xe" filled="true" fillcolor="#c0aac2" stroked="false">
              <v:path arrowok="t"/>
              <v:fill type="solid"/>
            </v:shape>
            <w10:wrap type="none"/>
          </v:group>
        </w:pict>
      </w:r>
      <w:r>
        <w:rPr>
          <w:color w:val="939598"/>
          <w:w w:val="100"/>
          <w:sz w:val="16"/>
          <w:u w:val="single" w:color="939598"/>
        </w:rPr>
        <w:t> </w:t>
      </w:r>
      <w:r>
        <w:rPr>
          <w:color w:val="939598"/>
          <w:sz w:val="16"/>
          <w:u w:val="single" w:color="939598"/>
        </w:rPr>
        <w:tab/>
      </w:r>
      <w:r>
        <w:rPr>
          <w:color w:val="939598"/>
          <w:sz w:val="16"/>
        </w:rPr>
        <w:tab/>
        <w:t>Department</w:t>
      </w:r>
      <w:r>
        <w:rPr>
          <w:color w:val="939598"/>
          <w:spacing w:val="-13"/>
          <w:sz w:val="16"/>
        </w:rPr>
        <w:t> </w:t>
      </w:r>
      <w:r>
        <w:rPr>
          <w:color w:val="939598"/>
          <w:sz w:val="16"/>
        </w:rPr>
        <w:t>of</w:t>
      </w:r>
      <w:r>
        <w:rPr>
          <w:color w:val="939598"/>
          <w:spacing w:val="-13"/>
          <w:sz w:val="16"/>
        </w:rPr>
        <w:t> </w:t>
      </w:r>
      <w:r>
        <w:rPr>
          <w:color w:val="939598"/>
          <w:sz w:val="16"/>
        </w:rPr>
        <w:t>Finance</w:t>
      </w:r>
      <w:r>
        <w:rPr>
          <w:color w:val="939598"/>
          <w:spacing w:val="-12"/>
          <w:sz w:val="16"/>
        </w:rPr>
        <w:t> </w:t>
      </w:r>
      <w:r>
        <w:rPr>
          <w:color w:val="939598"/>
          <w:sz w:val="16"/>
        </w:rPr>
        <w:t>Annual</w:t>
      </w:r>
      <w:r>
        <w:rPr>
          <w:color w:val="939598"/>
          <w:spacing w:val="-13"/>
          <w:sz w:val="16"/>
        </w:rPr>
        <w:t> </w:t>
      </w:r>
      <w:r>
        <w:rPr>
          <w:color w:val="939598"/>
          <w:sz w:val="16"/>
        </w:rPr>
        <w:t>Report</w:t>
      </w:r>
      <w:r>
        <w:rPr>
          <w:color w:val="939598"/>
          <w:spacing w:val="-13"/>
          <w:sz w:val="16"/>
        </w:rPr>
        <w:t> </w:t>
      </w:r>
      <w:r>
        <w:rPr>
          <w:color w:val="939598"/>
          <w:sz w:val="16"/>
        </w:rPr>
        <w:t>2016-17</w:t>
        <w:tab/>
      </w:r>
      <w:r>
        <w:rPr>
          <w:b/>
          <w:color w:val="6F2770"/>
          <w:sz w:val="16"/>
        </w:rPr>
        <w:t>23</w:t>
      </w:r>
    </w:p>
    <w:p>
      <w:pPr>
        <w:spacing w:after="0"/>
        <w:jc w:val="left"/>
        <w:rPr>
          <w:sz w:val="16"/>
        </w:rPr>
        <w:sectPr>
          <w:type w:val="continuous"/>
          <w:pgSz w:w="16840" w:h="11910" w:orient="landscape"/>
          <w:pgMar w:top="0" w:bottom="0" w:left="0" w:right="0"/>
        </w:sectPr>
      </w:pPr>
    </w:p>
    <w:p>
      <w:pPr>
        <w:pStyle w:val="BodyText"/>
        <w:spacing w:before="1"/>
        <w:rPr>
          <w:b/>
          <w:sz w:val="17"/>
        </w:rPr>
      </w:pPr>
    </w:p>
    <w:p>
      <w:pPr>
        <w:spacing w:before="106"/>
        <w:ind w:left="0" w:right="734" w:firstLine="0"/>
        <w:jc w:val="right"/>
        <w:rPr>
          <w:sz w:val="20"/>
        </w:rPr>
      </w:pPr>
      <w:r>
        <w:rPr/>
        <w:pict>
          <v:group style="position:absolute;margin-left:481.080994pt;margin-top:-10.120531pt;width:360.85pt;height:98.95pt;mso-position-horizontal-relative:page;mso-position-vertical-relative:paragraph;z-index:-805624" coordorigin="9622,-202" coordsize="7217,1979">
            <v:shape style="position:absolute;left:13225;top:621;width:904;height:904" coordorigin="13225,622" coordsize="904,904" path="m13677,622l13225,1073,13677,1525,14128,1073,13677,622xe" filled="true" fillcolor="#e8e9c9" stroked="false">
              <v:path arrowok="t"/>
              <v:fill type="solid"/>
            </v:shape>
            <v:shape style="position:absolute;left:13676;top:170;width:904;height:904" coordorigin="13677,170" coordsize="904,904" path="m14128,170l13677,622,14128,1073,14580,622,14128,170xe" filled="true" fillcolor="#efeeeb" stroked="false">
              <v:path arrowok="t"/>
              <v:fill type="solid"/>
            </v:shape>
            <v:shape style="position:absolute;left:11870;top:170;width:904;height:904" coordorigin="11870,170" coordsize="904,904" path="m12322,170l11870,622,12322,1073,12774,622,12322,170xe" filled="true" fillcolor="#5c873d" stroked="false">
              <v:path arrowok="t"/>
              <v:fill opacity="16384f" type="solid"/>
            </v:shape>
            <v:shape style="position:absolute;left:12773;top:170;width:904;height:904" coordorigin="12774,170" coordsize="904,904" path="m13225,170l12774,622,13225,1073,13677,622,13225,170xe" filled="true" fillcolor="#c0aac2" stroked="false">
              <v:path arrowok="t"/>
              <v:fill type="solid"/>
            </v:shape>
            <v:rect style="position:absolute;left:9621;top:-203;width:2406;height:851" filled="true" fillcolor="#bec85c" stroked="false">
              <v:fill type="solid"/>
            </v:rect>
            <v:rect style="position:absolute;left:12026;top:-203;width:2406;height:851" filled="true" fillcolor="#b6c247" stroked="false">
              <v:fill type="solid"/>
            </v:rect>
            <v:rect style="position:absolute;left:14432;top:-203;width:2406;height:851" filled="true" fillcolor="#aebd37" stroked="false">
              <v:fill type="solid"/>
            </v:rect>
            <v:line style="position:absolute" from="16838,-202" to="16838,648" stroked="true" strokeweight=".001pt" strokecolor="#aebd37">
              <v:stroke dashstyle="solid"/>
            </v:line>
            <v:shape style="position:absolute;left:15424;top:873;width:900;height:904" coordorigin="15424,873" coordsize="900,904" path="m15874,873l15424,1323,15424,1326,15874,1776,16324,1326,16324,1323,15874,873xe" filled="true" fillcolor="#c4cd71" stroked="false">
              <v:path arrowok="t"/>
              <v:fill type="solid"/>
            </v:shape>
            <v:shape style="position:absolute;left:15422;top:1323;width:2;height:4" coordorigin="15423,1323" coordsize="2,4" path="m15424,1323l15423,1325,15424,1326,15424,1323xe" filled="true" fillcolor="#b9c369" stroked="false">
              <v:path arrowok="t"/>
              <v:fill type="solid"/>
            </v:shape>
            <v:shape style="position:absolute;left:16324;top:1323;width:2;height:4" coordorigin="16324,1323" coordsize="2,4" path="m16324,1323l16324,1326,16326,1325,16324,1323xe" filled="true" fillcolor="#bec29e" stroked="false">
              <v:path arrowok="t"/>
              <v:fill type="solid"/>
            </v:shape>
            <v:shape style="position:absolute;left:15263;top:1164;width:161;height:322" type="#_x0000_t75" stroked="false">
              <v:imagedata r:id="rId16" o:title=""/>
            </v:shape>
            <v:shape style="position:absolute;left:16324;top:1163;width:161;height:322" type="#_x0000_t75" stroked="false">
              <v:imagedata r:id="rId11" o:title=""/>
            </v:shape>
            <w10:wrap type="none"/>
          </v:group>
        </w:pict>
      </w:r>
      <w:r>
        <w:rPr/>
        <w:pict>
          <v:group style="position:absolute;margin-left:0pt;margin-top:-10.120531pt;width:120.3pt;height:42.55pt;mso-position-horizontal-relative:page;mso-position-vertical-relative:paragraph;z-index:8080" coordorigin="0,-202" coordsize="2406,851">
            <v:rect style="position:absolute;left:0;top:-203;width:2406;height:851" filled="true" fillcolor="#aebd37" stroked="false">
              <v:fill type="solid"/>
            </v:rect>
            <v:shape style="position:absolute;left:0;top:-203;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119.851196pt;margin-top:-10.120531pt;width:241pt;height:42.55pt;mso-position-horizontal-relative:page;mso-position-vertical-relative:paragraph;z-index:8152" coordorigin="2397,-202" coordsize="4820,851">
            <v:rect style="position:absolute;left:4810;top:-203;width:2406;height:851" filled="true" fillcolor="#e6e7e8" stroked="false">
              <v:fill type="solid"/>
            </v:rect>
            <v:shape style="position:absolute;left:4810;top:-203;width:583;height:583" type="#_x0000_t75" stroked="false">
              <v:imagedata r:id="rId51" o:title=""/>
            </v:shape>
            <v:shape style="position:absolute;left:4810;top:-203;width:2406;height:851"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v:shape style="position:absolute;left:2397;top:-203;width:2414;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w10:wrap type="none"/>
          </v:group>
        </w:pict>
      </w:r>
      <w:r>
        <w:rPr/>
        <w:pict>
          <v:shape style="position:absolute;margin-left:601.348999pt;margin-top:-10.120531pt;width:120.3pt;height:42.55pt;mso-position-horizontal-relative:page;mso-position-vertical-relative:paragraph;z-index:8176"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481.079803pt;margin-top:-10.120531pt;width:120.3pt;height:42.55pt;mso-position-horizontal-relative:page;mso-position-vertical-relative:paragraph;z-index:8200"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w:pict>
      </w:r>
      <w:r>
        <w:rPr/>
        <w:pict>
          <v:shape style="position:absolute;margin-left:360.811798pt;margin-top:-10.120531pt;width:120.3pt;height:42.55pt;mso-position-horizontal-relative:page;mso-position-vertical-relative:paragraph;z-index:8224"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bookmarkStart w:name="_bookmark16" w:id="17"/>
      <w:bookmarkEnd w:id="17"/>
      <w:r>
        <w:rPr/>
      </w:r>
      <w:hyperlink w:history="true" w:anchor="_bookmark73">
        <w:r>
          <w:rPr>
            <w:color w:val="FFFFFF"/>
            <w:w w:val="90"/>
            <w:sz w:val="20"/>
          </w:rPr>
          <w:t>APPENDIX</w:t>
        </w:r>
      </w:hyperlink>
    </w:p>
    <w:p>
      <w:pPr>
        <w:pStyle w:val="BodyText"/>
        <w:rPr>
          <w:sz w:val="20"/>
        </w:rPr>
      </w:pPr>
    </w:p>
    <w:p>
      <w:pPr>
        <w:pStyle w:val="BodyText"/>
        <w:rPr>
          <w:sz w:val="20"/>
        </w:rPr>
      </w:pPr>
    </w:p>
    <w:p>
      <w:pPr>
        <w:pStyle w:val="BodyText"/>
        <w:spacing w:before="8"/>
        <w:rPr>
          <w:sz w:val="21"/>
        </w:rPr>
      </w:pPr>
    </w:p>
    <w:p>
      <w:pPr>
        <w:spacing w:after="0"/>
        <w:rPr>
          <w:sz w:val="21"/>
        </w:rPr>
        <w:sectPr>
          <w:footerReference w:type="default" r:id="rId170"/>
          <w:pgSz w:w="16840" w:h="11910" w:orient="landscape"/>
          <w:pgMar w:footer="0" w:header="0" w:top="0" w:bottom="280" w:left="0" w:right="0"/>
        </w:sectPr>
      </w:pPr>
    </w:p>
    <w:p>
      <w:pPr>
        <w:pStyle w:val="Heading1"/>
        <w:spacing w:before="192"/>
      </w:pPr>
      <w:r>
        <w:rPr>
          <w:color w:val="6F2770"/>
          <w:w w:val="95"/>
        </w:rPr>
        <w:t>Performance</w:t>
      </w:r>
      <w:r>
        <w:rPr>
          <w:color w:val="6F2770"/>
          <w:spacing w:val="-111"/>
          <w:w w:val="95"/>
        </w:rPr>
        <w:t> </w:t>
      </w:r>
      <w:r>
        <w:rPr>
          <w:color w:val="6F2770"/>
          <w:w w:val="95"/>
        </w:rPr>
        <w:t>Management</w:t>
      </w:r>
      <w:r>
        <w:rPr>
          <w:color w:val="6F2770"/>
          <w:spacing w:val="-111"/>
          <w:w w:val="95"/>
        </w:rPr>
        <w:t> </w:t>
      </w:r>
      <w:r>
        <w:rPr>
          <w:color w:val="6F2770"/>
          <w:w w:val="95"/>
        </w:rPr>
        <w:t>Framework</w:t>
      </w:r>
    </w:p>
    <w:p>
      <w:pPr>
        <w:spacing w:line="208" w:lineRule="auto" w:before="124"/>
        <w:ind w:left="765" w:right="672" w:firstLine="0"/>
        <w:jc w:val="center"/>
        <w:rPr>
          <w:sz w:val="16"/>
        </w:rPr>
      </w:pPr>
      <w:r>
        <w:rPr/>
        <w:br w:type="column"/>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2" w:equalWidth="0">
            <w:col w:w="12268" w:space="2552"/>
            <w:col w:w="2020"/>
          </w:cols>
        </w:sectPr>
      </w:pPr>
    </w:p>
    <w:p>
      <w:pPr>
        <w:pStyle w:val="BodyText"/>
        <w:spacing w:before="7"/>
        <w:rPr>
          <w:sz w:val="29"/>
        </w:rPr>
      </w:pPr>
    </w:p>
    <w:p>
      <w:pPr>
        <w:spacing w:after="0"/>
        <w:rPr>
          <w:sz w:val="29"/>
        </w:rPr>
        <w:sectPr>
          <w:type w:val="continuous"/>
          <w:pgSz w:w="16840" w:h="11910" w:orient="landscape"/>
          <w:pgMar w:top="0" w:bottom="0" w:left="0" w:right="0"/>
        </w:sectPr>
      </w:pPr>
    </w:p>
    <w:p>
      <w:pPr>
        <w:pStyle w:val="Heading4"/>
        <w:spacing w:line="249" w:lineRule="auto" w:before="111"/>
        <w:ind w:right="643"/>
      </w:pPr>
      <w:r>
        <w:rPr>
          <w:color w:val="6F2770"/>
        </w:rPr>
        <w:t>Relationship to </w:t>
      </w:r>
      <w:r>
        <w:rPr>
          <w:color w:val="6F2770"/>
          <w:w w:val="95"/>
        </w:rPr>
        <w:t>Government Goals</w:t>
      </w:r>
    </w:p>
    <w:p>
      <w:pPr>
        <w:pStyle w:val="BodyText"/>
        <w:spacing w:line="249" w:lineRule="auto" w:before="230"/>
        <w:ind w:left="765" w:right="50"/>
      </w:pPr>
      <w:r>
        <w:rPr/>
        <w:t>Broad</w:t>
      </w:r>
      <w:r>
        <w:rPr>
          <w:spacing w:val="-19"/>
        </w:rPr>
        <w:t> </w:t>
      </w:r>
      <w:r>
        <w:rPr/>
        <w:t>government</w:t>
      </w:r>
      <w:r>
        <w:rPr>
          <w:spacing w:val="-18"/>
        </w:rPr>
        <w:t> </w:t>
      </w:r>
      <w:r>
        <w:rPr/>
        <w:t>goals</w:t>
      </w:r>
      <w:r>
        <w:rPr>
          <w:spacing w:val="-18"/>
        </w:rPr>
        <w:t> </w:t>
      </w:r>
      <w:r>
        <w:rPr/>
        <w:t>are</w:t>
      </w:r>
      <w:r>
        <w:rPr>
          <w:spacing w:val="-19"/>
        </w:rPr>
        <w:t> </w:t>
      </w:r>
      <w:r>
        <w:rPr/>
        <w:t>supported</w:t>
      </w:r>
      <w:r>
        <w:rPr>
          <w:spacing w:val="-18"/>
        </w:rPr>
        <w:t> </w:t>
      </w:r>
      <w:r>
        <w:rPr/>
        <w:t>at</w:t>
      </w:r>
      <w:r>
        <w:rPr>
          <w:spacing w:val="-18"/>
        </w:rPr>
        <w:t> </w:t>
      </w:r>
      <w:r>
        <w:rPr/>
        <w:t>agency level by specific outcomes. Agencies deliver services</w:t>
      </w:r>
      <w:r>
        <w:rPr>
          <w:spacing w:val="-28"/>
        </w:rPr>
        <w:t> </w:t>
      </w:r>
      <w:r>
        <w:rPr/>
        <w:t>to</w:t>
      </w:r>
      <w:r>
        <w:rPr>
          <w:spacing w:val="-28"/>
        </w:rPr>
        <w:t> </w:t>
      </w:r>
      <w:r>
        <w:rPr/>
        <w:t>achieve</w:t>
      </w:r>
      <w:r>
        <w:rPr>
          <w:spacing w:val="-28"/>
        </w:rPr>
        <w:t> </w:t>
      </w:r>
      <w:r>
        <w:rPr/>
        <w:t>these</w:t>
      </w:r>
      <w:r>
        <w:rPr>
          <w:spacing w:val="-28"/>
        </w:rPr>
        <w:t> </w:t>
      </w:r>
      <w:r>
        <w:rPr/>
        <w:t>outcomes.</w:t>
      </w:r>
      <w:r>
        <w:rPr>
          <w:spacing w:val="-28"/>
        </w:rPr>
        <w:t> </w:t>
      </w:r>
      <w:r>
        <w:rPr/>
        <w:t>The</w:t>
      </w:r>
      <w:r>
        <w:rPr>
          <w:spacing w:val="-28"/>
        </w:rPr>
        <w:t> </w:t>
      </w:r>
      <w:r>
        <w:rPr/>
        <w:t>following table illustrates the relationship between the </w:t>
      </w:r>
      <w:r>
        <w:rPr>
          <w:spacing w:val="-4"/>
        </w:rPr>
        <w:t>agency’s</w:t>
      </w:r>
      <w:r>
        <w:rPr>
          <w:spacing w:val="-13"/>
        </w:rPr>
        <w:t> </w:t>
      </w:r>
      <w:r>
        <w:rPr/>
        <w:t>services,</w:t>
      </w:r>
      <w:r>
        <w:rPr>
          <w:spacing w:val="-13"/>
        </w:rPr>
        <w:t> </w:t>
      </w:r>
      <w:r>
        <w:rPr/>
        <w:t>key</w:t>
      </w:r>
      <w:r>
        <w:rPr>
          <w:spacing w:val="-12"/>
        </w:rPr>
        <w:t> </w:t>
      </w:r>
      <w:r>
        <w:rPr/>
        <w:t>effectiveness</w:t>
      </w:r>
      <w:r>
        <w:rPr>
          <w:spacing w:val="-13"/>
        </w:rPr>
        <w:t> </w:t>
      </w:r>
      <w:r>
        <w:rPr/>
        <w:t>indicator</w:t>
      </w:r>
    </w:p>
    <w:p>
      <w:pPr>
        <w:pStyle w:val="BodyText"/>
        <w:spacing w:line="249" w:lineRule="auto" w:before="5"/>
        <w:ind w:left="765" w:right="643"/>
      </w:pPr>
      <w:r>
        <w:rPr/>
        <w:t>and outcomes, and the Government goal </w:t>
      </w:r>
      <w:r>
        <w:rPr>
          <w:spacing w:val="-8"/>
        </w:rPr>
        <w:t>it </w:t>
      </w:r>
      <w:r>
        <w:rPr/>
        <w:t>contributes to.</w:t>
      </w:r>
    </w:p>
    <w:p>
      <w:pPr>
        <w:pStyle w:val="BodyText"/>
        <w:spacing w:before="3"/>
        <w:rPr>
          <w:sz w:val="26"/>
        </w:rPr>
      </w:pPr>
    </w:p>
    <w:p>
      <w:pPr>
        <w:pStyle w:val="Heading4"/>
        <w:spacing w:line="249" w:lineRule="auto" w:before="0"/>
        <w:ind w:right="1212"/>
      </w:pPr>
      <w:r>
        <w:rPr>
          <w:color w:val="6F2770"/>
          <w:w w:val="95"/>
        </w:rPr>
        <w:t>Shared Responsibilities </w:t>
      </w:r>
      <w:r>
        <w:rPr>
          <w:color w:val="6F2770"/>
        </w:rPr>
        <w:t>with Other Agencies</w:t>
      </w:r>
    </w:p>
    <w:p>
      <w:pPr>
        <w:pStyle w:val="BodyText"/>
        <w:spacing w:line="249" w:lineRule="auto" w:before="230"/>
        <w:ind w:left="765" w:right="50"/>
      </w:pPr>
      <w:r>
        <w:rPr>
          <w:spacing w:val="-4"/>
        </w:rPr>
        <w:t>Integral</w:t>
      </w:r>
      <w:r>
        <w:rPr>
          <w:spacing w:val="-19"/>
        </w:rPr>
        <w:t> </w:t>
      </w:r>
      <w:r>
        <w:rPr/>
        <w:t>to</w:t>
      </w:r>
      <w:r>
        <w:rPr>
          <w:spacing w:val="-19"/>
        </w:rPr>
        <w:t> </w:t>
      </w:r>
      <w:r>
        <w:rPr>
          <w:spacing w:val="-3"/>
        </w:rPr>
        <w:t>the</w:t>
      </w:r>
      <w:r>
        <w:rPr>
          <w:spacing w:val="-19"/>
        </w:rPr>
        <w:t> </w:t>
      </w:r>
      <w:r>
        <w:rPr>
          <w:spacing w:val="-4"/>
        </w:rPr>
        <w:t>success</w:t>
      </w:r>
      <w:r>
        <w:rPr>
          <w:spacing w:val="-19"/>
        </w:rPr>
        <w:t> </w:t>
      </w:r>
      <w:r>
        <w:rPr/>
        <w:t>of</w:t>
      </w:r>
      <w:r>
        <w:rPr>
          <w:spacing w:val="-19"/>
        </w:rPr>
        <w:t> </w:t>
      </w:r>
      <w:r>
        <w:rPr>
          <w:spacing w:val="-3"/>
        </w:rPr>
        <w:t>both</w:t>
      </w:r>
      <w:r>
        <w:rPr>
          <w:spacing w:val="-19"/>
        </w:rPr>
        <w:t> </w:t>
      </w:r>
      <w:r>
        <w:rPr>
          <w:spacing w:val="-3"/>
        </w:rPr>
        <w:t>the</w:t>
      </w:r>
      <w:r>
        <w:rPr>
          <w:spacing w:val="-19"/>
        </w:rPr>
        <w:t> </w:t>
      </w:r>
      <w:r>
        <w:rPr>
          <w:spacing w:val="-4"/>
        </w:rPr>
        <w:t>Department</w:t>
      </w:r>
      <w:r>
        <w:rPr>
          <w:spacing w:val="-19"/>
        </w:rPr>
        <w:t> </w:t>
      </w:r>
      <w:r>
        <w:rPr>
          <w:spacing w:val="-4"/>
        </w:rPr>
        <w:t>and </w:t>
      </w:r>
      <w:r>
        <w:rPr>
          <w:spacing w:val="-3"/>
        </w:rPr>
        <w:t>the</w:t>
      </w:r>
      <w:r>
        <w:rPr>
          <w:spacing w:val="-23"/>
        </w:rPr>
        <w:t> </w:t>
      </w:r>
      <w:r>
        <w:rPr>
          <w:spacing w:val="-4"/>
        </w:rPr>
        <w:t>Government</w:t>
      </w:r>
      <w:r>
        <w:rPr>
          <w:spacing w:val="-22"/>
        </w:rPr>
        <w:t> </w:t>
      </w:r>
      <w:r>
        <w:rPr/>
        <w:t>is</w:t>
      </w:r>
      <w:r>
        <w:rPr>
          <w:spacing w:val="-22"/>
        </w:rPr>
        <w:t> </w:t>
      </w:r>
      <w:r>
        <w:rPr>
          <w:spacing w:val="-3"/>
        </w:rPr>
        <w:t>the</w:t>
      </w:r>
      <w:r>
        <w:rPr>
          <w:spacing w:val="-22"/>
        </w:rPr>
        <w:t> </w:t>
      </w:r>
      <w:r>
        <w:rPr>
          <w:spacing w:val="-4"/>
        </w:rPr>
        <w:t>ability</w:t>
      </w:r>
      <w:r>
        <w:rPr>
          <w:spacing w:val="-22"/>
        </w:rPr>
        <w:t> </w:t>
      </w:r>
      <w:r>
        <w:rPr/>
        <w:t>to</w:t>
      </w:r>
      <w:r>
        <w:rPr>
          <w:spacing w:val="-22"/>
        </w:rPr>
        <w:t> </w:t>
      </w:r>
      <w:r>
        <w:rPr>
          <w:spacing w:val="-4"/>
        </w:rPr>
        <w:t>partner</w:t>
      </w:r>
      <w:r>
        <w:rPr>
          <w:spacing w:val="-22"/>
        </w:rPr>
        <w:t> </w:t>
      </w:r>
      <w:r>
        <w:rPr>
          <w:spacing w:val="-3"/>
        </w:rPr>
        <w:t>with</w:t>
      </w:r>
      <w:r>
        <w:rPr>
          <w:spacing w:val="-22"/>
        </w:rPr>
        <w:t> </w:t>
      </w:r>
      <w:r>
        <w:rPr>
          <w:spacing w:val="-4"/>
        </w:rPr>
        <w:t>others.</w:t>
      </w:r>
    </w:p>
    <w:p>
      <w:pPr>
        <w:pStyle w:val="BodyText"/>
        <w:spacing w:before="1"/>
        <w:rPr>
          <w:sz w:val="23"/>
        </w:rPr>
      </w:pPr>
    </w:p>
    <w:p>
      <w:pPr>
        <w:pStyle w:val="BodyText"/>
        <w:spacing w:line="249" w:lineRule="auto" w:before="1"/>
        <w:ind w:left="765"/>
        <w:jc w:val="both"/>
      </w:pPr>
      <w:r>
        <w:rPr/>
        <w:t>As</w:t>
      </w:r>
      <w:r>
        <w:rPr>
          <w:spacing w:val="-20"/>
        </w:rPr>
        <w:t> </w:t>
      </w:r>
      <w:r>
        <w:rPr/>
        <w:t>a</w:t>
      </w:r>
      <w:r>
        <w:rPr>
          <w:spacing w:val="-19"/>
        </w:rPr>
        <w:t> </w:t>
      </w:r>
      <w:r>
        <w:rPr/>
        <w:t>central</w:t>
      </w:r>
      <w:r>
        <w:rPr>
          <w:spacing w:val="-19"/>
        </w:rPr>
        <w:t> </w:t>
      </w:r>
      <w:r>
        <w:rPr>
          <w:spacing w:val="-3"/>
        </w:rPr>
        <w:t>agency,</w:t>
      </w:r>
      <w:r>
        <w:rPr>
          <w:spacing w:val="-19"/>
        </w:rPr>
        <w:t> </w:t>
      </w:r>
      <w:r>
        <w:rPr/>
        <w:t>the</w:t>
      </w:r>
      <w:r>
        <w:rPr>
          <w:spacing w:val="-19"/>
        </w:rPr>
        <w:t> </w:t>
      </w:r>
      <w:r>
        <w:rPr/>
        <w:t>Department</w:t>
      </w:r>
      <w:r>
        <w:rPr>
          <w:spacing w:val="-19"/>
        </w:rPr>
        <w:t> </w:t>
      </w:r>
      <w:r>
        <w:rPr/>
        <w:t>works</w:t>
      </w:r>
      <w:r>
        <w:rPr>
          <w:spacing w:val="-20"/>
        </w:rPr>
        <w:t> </w:t>
      </w:r>
      <w:r>
        <w:rPr/>
        <w:t>closely across</w:t>
      </w:r>
      <w:r>
        <w:rPr>
          <w:spacing w:val="-20"/>
        </w:rPr>
        <w:t> </w:t>
      </w:r>
      <w:r>
        <w:rPr/>
        <w:t>the</w:t>
      </w:r>
      <w:r>
        <w:rPr>
          <w:spacing w:val="-19"/>
        </w:rPr>
        <w:t> </w:t>
      </w:r>
      <w:r>
        <w:rPr/>
        <w:t>sector</w:t>
      </w:r>
      <w:r>
        <w:rPr>
          <w:spacing w:val="-19"/>
        </w:rPr>
        <w:t> </w:t>
      </w:r>
      <w:r>
        <w:rPr/>
        <w:t>to</w:t>
      </w:r>
      <w:r>
        <w:rPr>
          <w:spacing w:val="-19"/>
        </w:rPr>
        <w:t> </w:t>
      </w:r>
      <w:r>
        <w:rPr/>
        <w:t>facilitate</w:t>
      </w:r>
      <w:r>
        <w:rPr>
          <w:spacing w:val="-19"/>
        </w:rPr>
        <w:t> </w:t>
      </w:r>
      <w:r>
        <w:rPr/>
        <w:t>the</w:t>
      </w:r>
      <w:r>
        <w:rPr>
          <w:spacing w:val="-19"/>
        </w:rPr>
        <w:t> </w:t>
      </w:r>
      <w:r>
        <w:rPr/>
        <w:t>efficient</w:t>
      </w:r>
      <w:r>
        <w:rPr>
          <w:spacing w:val="-20"/>
        </w:rPr>
        <w:t> </w:t>
      </w:r>
      <w:r>
        <w:rPr>
          <w:spacing w:val="-3"/>
        </w:rPr>
        <w:t>operation </w:t>
      </w:r>
      <w:r>
        <w:rPr/>
        <w:t>of government, informed</w:t>
      </w:r>
      <w:r>
        <w:rPr>
          <w:spacing w:val="-17"/>
        </w:rPr>
        <w:t> </w:t>
      </w:r>
      <w:r>
        <w:rPr/>
        <w:t>decision-making</w:t>
      </w:r>
    </w:p>
    <w:p>
      <w:pPr>
        <w:pStyle w:val="BodyText"/>
        <w:spacing w:line="249" w:lineRule="auto" w:before="2"/>
        <w:ind w:left="765" w:right="685"/>
      </w:pPr>
      <w:r>
        <w:rPr/>
        <w:t>and</w:t>
      </w:r>
      <w:r>
        <w:rPr>
          <w:spacing w:val="-26"/>
        </w:rPr>
        <w:t> </w:t>
      </w:r>
      <w:r>
        <w:rPr/>
        <w:t>value-for-money</w:t>
      </w:r>
      <w:r>
        <w:rPr>
          <w:spacing w:val="-25"/>
        </w:rPr>
        <w:t> </w:t>
      </w:r>
      <w:r>
        <w:rPr/>
        <w:t>outcomes</w:t>
      </w:r>
      <w:r>
        <w:rPr>
          <w:spacing w:val="-25"/>
        </w:rPr>
        <w:t> </w:t>
      </w:r>
      <w:r>
        <w:rPr/>
        <w:t>for</w:t>
      </w:r>
      <w:r>
        <w:rPr>
          <w:spacing w:val="-26"/>
        </w:rPr>
        <w:t> </w:t>
      </w:r>
      <w:r>
        <w:rPr>
          <w:spacing w:val="-4"/>
        </w:rPr>
        <w:t>Western </w:t>
      </w:r>
      <w:r>
        <w:rPr/>
        <w:t>Australians.</w:t>
      </w:r>
    </w:p>
    <w:p>
      <w:pPr>
        <w:pStyle w:val="BodyText"/>
        <w:spacing w:before="1"/>
        <w:rPr>
          <w:sz w:val="23"/>
        </w:rPr>
      </w:pPr>
    </w:p>
    <w:p>
      <w:pPr>
        <w:pStyle w:val="BodyText"/>
        <w:spacing w:line="249" w:lineRule="auto" w:before="1"/>
        <w:ind w:left="765" w:right="240"/>
      </w:pPr>
      <w:r>
        <w:rPr/>
        <w:t>This is achieved through providing leadership and</w:t>
      </w:r>
      <w:r>
        <w:rPr>
          <w:spacing w:val="-25"/>
        </w:rPr>
        <w:t> </w:t>
      </w:r>
      <w:r>
        <w:rPr/>
        <w:t>strategic</w:t>
      </w:r>
      <w:r>
        <w:rPr>
          <w:spacing w:val="-25"/>
        </w:rPr>
        <w:t> </w:t>
      </w:r>
      <w:r>
        <w:rPr/>
        <w:t>advice</w:t>
      </w:r>
      <w:r>
        <w:rPr>
          <w:spacing w:val="-25"/>
        </w:rPr>
        <w:t> </w:t>
      </w:r>
      <w:r>
        <w:rPr/>
        <w:t>to</w:t>
      </w:r>
      <w:r>
        <w:rPr>
          <w:spacing w:val="-25"/>
        </w:rPr>
        <w:t> </w:t>
      </w:r>
      <w:r>
        <w:rPr/>
        <w:t>government</w:t>
      </w:r>
      <w:r>
        <w:rPr>
          <w:spacing w:val="-25"/>
        </w:rPr>
        <w:t> </w:t>
      </w:r>
      <w:r>
        <w:rPr/>
        <w:t>on</w:t>
      </w:r>
      <w:r>
        <w:rPr>
          <w:spacing w:val="-25"/>
        </w:rPr>
        <w:t> </w:t>
      </w:r>
      <w:r>
        <w:rPr/>
        <w:t>initiatives to improve the operations and management of services across the public</w:t>
      </w:r>
      <w:r>
        <w:rPr>
          <w:spacing w:val="-13"/>
        </w:rPr>
        <w:t> </w:t>
      </w:r>
      <w:r>
        <w:rPr>
          <w:spacing w:val="-3"/>
        </w:rPr>
        <w:t>sector.</w:t>
      </w:r>
    </w:p>
    <w:p>
      <w:pPr>
        <w:pStyle w:val="Heading6"/>
        <w:tabs>
          <w:tab w:pos="4491" w:val="left" w:leader="none"/>
          <w:tab w:pos="7155" w:val="left" w:leader="none"/>
        </w:tabs>
        <w:spacing w:before="157"/>
        <w:ind w:left="522"/>
      </w:pPr>
      <w:r>
        <w:rPr>
          <w:b w:val="0"/>
        </w:rPr>
        <w:br w:type="column"/>
      </w:r>
      <w:r>
        <w:rPr/>
        <w:t>Government</w:t>
      </w:r>
      <w:r>
        <w:rPr>
          <w:spacing w:val="-4"/>
        </w:rPr>
        <w:t> </w:t>
      </w:r>
      <w:r>
        <w:rPr/>
        <w:t>Goals</w:t>
        <w:tab/>
        <w:t>Desired</w:t>
      </w:r>
      <w:r>
        <w:rPr>
          <w:spacing w:val="3"/>
        </w:rPr>
        <w:t> </w:t>
      </w:r>
      <w:r>
        <w:rPr/>
        <w:t>Outcomes</w:t>
        <w:tab/>
        <w:t>Services</w:t>
      </w:r>
    </w:p>
    <w:p>
      <w:pPr>
        <w:pStyle w:val="BodyText"/>
        <w:spacing w:before="5"/>
        <w:rPr>
          <w:b/>
          <w:sz w:val="2"/>
        </w:rPr>
      </w:pPr>
    </w:p>
    <w:tbl>
      <w:tblPr>
        <w:tblW w:w="0" w:type="auto"/>
        <w:jc w:val="left"/>
        <w:tblInd w:w="4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969"/>
        <w:gridCol w:w="2665"/>
        <w:gridCol w:w="3402"/>
      </w:tblGrid>
      <w:tr>
        <w:trPr>
          <w:trHeight w:val="307" w:hRule="atLeast"/>
        </w:trPr>
        <w:tc>
          <w:tcPr>
            <w:tcW w:w="10036" w:type="dxa"/>
            <w:gridSpan w:val="3"/>
            <w:shd w:val="clear" w:color="auto" w:fill="783A79"/>
          </w:tcPr>
          <w:p>
            <w:pPr>
              <w:pStyle w:val="TableParagraph"/>
              <w:spacing w:before="25"/>
              <w:ind w:left="113"/>
              <w:rPr>
                <w:b/>
                <w:sz w:val="22"/>
              </w:rPr>
            </w:pPr>
            <w:r>
              <w:rPr>
                <w:b/>
                <w:color w:val="FFFFFF"/>
                <w:sz w:val="22"/>
              </w:rPr>
              <w:t>Financial and Economic Responsibility</w:t>
            </w:r>
          </w:p>
        </w:tc>
      </w:tr>
      <w:tr>
        <w:trPr>
          <w:trHeight w:val="1099" w:hRule="atLeast"/>
        </w:trPr>
        <w:tc>
          <w:tcPr>
            <w:tcW w:w="3969" w:type="dxa"/>
            <w:vMerge w:val="restart"/>
            <w:tcBorders>
              <w:left w:val="nil"/>
            </w:tcBorders>
          </w:tcPr>
          <w:p>
            <w:pPr>
              <w:pStyle w:val="TableParagraph"/>
              <w:spacing w:line="249" w:lineRule="auto" w:before="25"/>
              <w:ind w:left="123" w:right="538"/>
              <w:rPr>
                <w:sz w:val="22"/>
              </w:rPr>
            </w:pPr>
            <w:r>
              <w:rPr>
                <w:sz w:val="22"/>
              </w:rPr>
              <w:t>Responsibly managing the </w:t>
            </w:r>
            <w:r>
              <w:rPr>
                <w:spacing w:val="-7"/>
                <w:sz w:val="22"/>
              </w:rPr>
              <w:t>State’s </w:t>
            </w:r>
            <w:r>
              <w:rPr>
                <w:sz w:val="22"/>
              </w:rPr>
              <w:t>finances through the efficient</w:t>
            </w:r>
          </w:p>
          <w:p>
            <w:pPr>
              <w:pStyle w:val="TableParagraph"/>
              <w:spacing w:line="249" w:lineRule="auto" w:before="2"/>
              <w:ind w:left="123" w:right="515"/>
              <w:rPr>
                <w:sz w:val="22"/>
              </w:rPr>
            </w:pPr>
            <w:r>
              <w:rPr>
                <w:sz w:val="22"/>
              </w:rPr>
              <w:t>and effective delivery of services, encouraging</w:t>
            </w:r>
            <w:r>
              <w:rPr>
                <w:spacing w:val="-26"/>
                <w:sz w:val="22"/>
              </w:rPr>
              <w:t> </w:t>
            </w:r>
            <w:r>
              <w:rPr>
                <w:sz w:val="22"/>
              </w:rPr>
              <w:t>economic</w:t>
            </w:r>
            <w:r>
              <w:rPr>
                <w:spacing w:val="-25"/>
                <w:sz w:val="22"/>
              </w:rPr>
              <w:t> </w:t>
            </w:r>
            <w:r>
              <w:rPr>
                <w:sz w:val="22"/>
              </w:rPr>
              <w:t>activity</w:t>
            </w:r>
            <w:r>
              <w:rPr>
                <w:spacing w:val="-26"/>
                <w:sz w:val="22"/>
              </w:rPr>
              <w:t> </w:t>
            </w:r>
            <w:r>
              <w:rPr>
                <w:sz w:val="22"/>
              </w:rPr>
              <w:t>and reducing</w:t>
            </w:r>
            <w:r>
              <w:rPr>
                <w:spacing w:val="-24"/>
                <w:sz w:val="22"/>
              </w:rPr>
              <w:t> </w:t>
            </w:r>
            <w:r>
              <w:rPr>
                <w:sz w:val="22"/>
              </w:rPr>
              <w:t>regulatory</w:t>
            </w:r>
            <w:r>
              <w:rPr>
                <w:spacing w:val="-23"/>
                <w:sz w:val="22"/>
              </w:rPr>
              <w:t> </w:t>
            </w:r>
            <w:r>
              <w:rPr>
                <w:sz w:val="22"/>
              </w:rPr>
              <w:t>burdens</w:t>
            </w:r>
            <w:r>
              <w:rPr>
                <w:spacing w:val="-24"/>
                <w:sz w:val="22"/>
              </w:rPr>
              <w:t> </w:t>
            </w:r>
            <w:r>
              <w:rPr>
                <w:sz w:val="22"/>
              </w:rPr>
              <w:t>on</w:t>
            </w:r>
            <w:r>
              <w:rPr>
                <w:spacing w:val="-23"/>
                <w:sz w:val="22"/>
              </w:rPr>
              <w:t> </w:t>
            </w:r>
            <w:r>
              <w:rPr>
                <w:spacing w:val="-6"/>
                <w:sz w:val="22"/>
              </w:rPr>
              <w:t>the </w:t>
            </w:r>
            <w:r>
              <w:rPr>
                <w:sz w:val="22"/>
              </w:rPr>
              <w:t>private</w:t>
            </w:r>
            <w:r>
              <w:rPr>
                <w:spacing w:val="-2"/>
                <w:sz w:val="22"/>
              </w:rPr>
              <w:t> </w:t>
            </w:r>
            <w:r>
              <w:rPr>
                <w:spacing w:val="-3"/>
                <w:sz w:val="22"/>
              </w:rPr>
              <w:t>sector.</w:t>
            </w:r>
          </w:p>
        </w:tc>
        <w:tc>
          <w:tcPr>
            <w:tcW w:w="2665" w:type="dxa"/>
            <w:shd w:val="clear" w:color="auto" w:fill="F2F3E1"/>
          </w:tcPr>
          <w:p>
            <w:pPr>
              <w:pStyle w:val="TableParagraph"/>
              <w:spacing w:line="249" w:lineRule="auto" w:before="25"/>
              <w:ind w:left="113" w:right="111"/>
              <w:rPr>
                <w:sz w:val="22"/>
              </w:rPr>
            </w:pPr>
            <w:r>
              <w:rPr>
                <w:sz w:val="22"/>
              </w:rPr>
              <w:t>Due</w:t>
            </w:r>
            <w:r>
              <w:rPr>
                <w:spacing w:val="-31"/>
                <w:sz w:val="22"/>
              </w:rPr>
              <w:t> </w:t>
            </w:r>
            <w:r>
              <w:rPr>
                <w:sz w:val="22"/>
              </w:rPr>
              <w:t>and</w:t>
            </w:r>
            <w:r>
              <w:rPr>
                <w:spacing w:val="-30"/>
                <w:sz w:val="22"/>
              </w:rPr>
              <w:t> </w:t>
            </w:r>
            <w:r>
              <w:rPr>
                <w:sz w:val="22"/>
              </w:rPr>
              <w:t>payable</w:t>
            </w:r>
            <w:r>
              <w:rPr>
                <w:spacing w:val="-30"/>
                <w:sz w:val="22"/>
              </w:rPr>
              <w:t> </w:t>
            </w:r>
            <w:r>
              <w:rPr>
                <w:spacing w:val="-4"/>
                <w:sz w:val="22"/>
              </w:rPr>
              <w:t>revenue </w:t>
            </w:r>
            <w:r>
              <w:rPr>
                <w:sz w:val="22"/>
              </w:rPr>
              <w:t>is collected and eligible grants, subsidies and rebates</w:t>
            </w:r>
            <w:r>
              <w:rPr>
                <w:spacing w:val="-2"/>
                <w:sz w:val="22"/>
              </w:rPr>
              <w:t> </w:t>
            </w:r>
            <w:r>
              <w:rPr>
                <w:sz w:val="22"/>
              </w:rPr>
              <w:t>paid.</w:t>
            </w:r>
          </w:p>
        </w:tc>
        <w:tc>
          <w:tcPr>
            <w:tcW w:w="3402" w:type="dxa"/>
            <w:shd w:val="clear" w:color="auto" w:fill="F2F3E1"/>
          </w:tcPr>
          <w:p>
            <w:pPr>
              <w:pStyle w:val="TableParagraph"/>
              <w:spacing w:line="249" w:lineRule="auto" w:before="25"/>
              <w:ind w:left="112" w:right="817"/>
              <w:jc w:val="both"/>
              <w:rPr>
                <w:sz w:val="22"/>
              </w:rPr>
            </w:pPr>
            <w:r>
              <w:rPr>
                <w:w w:val="95"/>
                <w:sz w:val="22"/>
              </w:rPr>
              <w:t>Revenue assessment and </w:t>
            </w:r>
            <w:r>
              <w:rPr>
                <w:sz w:val="22"/>
              </w:rPr>
              <w:t>collection,</w:t>
            </w:r>
            <w:r>
              <w:rPr>
                <w:spacing w:val="-17"/>
                <w:sz w:val="22"/>
              </w:rPr>
              <w:t> </w:t>
            </w:r>
            <w:r>
              <w:rPr>
                <w:sz w:val="22"/>
              </w:rPr>
              <w:t>and</w:t>
            </w:r>
            <w:r>
              <w:rPr>
                <w:spacing w:val="-17"/>
                <w:sz w:val="22"/>
              </w:rPr>
              <w:t> </w:t>
            </w:r>
            <w:r>
              <w:rPr>
                <w:sz w:val="22"/>
              </w:rPr>
              <w:t>grants</w:t>
            </w:r>
            <w:r>
              <w:rPr>
                <w:spacing w:val="-17"/>
                <w:sz w:val="22"/>
              </w:rPr>
              <w:t> </w:t>
            </w:r>
            <w:r>
              <w:rPr>
                <w:spacing w:val="-6"/>
                <w:sz w:val="22"/>
              </w:rPr>
              <w:t>and </w:t>
            </w:r>
            <w:r>
              <w:rPr>
                <w:sz w:val="22"/>
              </w:rPr>
              <w:t>subsidies</w:t>
            </w:r>
            <w:r>
              <w:rPr>
                <w:spacing w:val="-27"/>
                <w:sz w:val="22"/>
              </w:rPr>
              <w:t> </w:t>
            </w:r>
            <w:r>
              <w:rPr>
                <w:sz w:val="22"/>
              </w:rPr>
              <w:t>administration.</w:t>
            </w:r>
          </w:p>
        </w:tc>
      </w:tr>
      <w:tr>
        <w:trPr>
          <w:trHeight w:val="1363" w:hRule="atLeast"/>
        </w:trPr>
        <w:tc>
          <w:tcPr>
            <w:tcW w:w="3969" w:type="dxa"/>
            <w:vMerge/>
            <w:tcBorders>
              <w:top w:val="nil"/>
              <w:left w:val="nil"/>
            </w:tcBorders>
          </w:tcPr>
          <w:p>
            <w:pPr>
              <w:rPr>
                <w:sz w:val="2"/>
                <w:szCs w:val="2"/>
              </w:rPr>
            </w:pPr>
          </w:p>
        </w:tc>
        <w:tc>
          <w:tcPr>
            <w:tcW w:w="2665" w:type="dxa"/>
            <w:shd w:val="clear" w:color="auto" w:fill="E2D9E3"/>
          </w:tcPr>
          <w:p>
            <w:pPr>
              <w:pStyle w:val="TableParagraph"/>
              <w:spacing w:line="249" w:lineRule="auto" w:before="25"/>
              <w:ind w:left="113" w:right="279"/>
              <w:rPr>
                <w:sz w:val="22"/>
              </w:rPr>
            </w:pPr>
            <w:r>
              <w:rPr>
                <w:sz w:val="22"/>
              </w:rPr>
              <w:t>A sustainable, </w:t>
            </w:r>
            <w:r>
              <w:rPr>
                <w:spacing w:val="-3"/>
                <w:sz w:val="22"/>
              </w:rPr>
              <w:t>efficient, </w:t>
            </w:r>
            <w:r>
              <w:rPr>
                <w:sz w:val="22"/>
              </w:rPr>
              <w:t>secure and affordable energy</w:t>
            </w:r>
            <w:r>
              <w:rPr>
                <w:spacing w:val="-3"/>
                <w:sz w:val="22"/>
              </w:rPr>
              <w:t> sector.</w:t>
            </w:r>
          </w:p>
        </w:tc>
        <w:tc>
          <w:tcPr>
            <w:tcW w:w="3402" w:type="dxa"/>
            <w:shd w:val="clear" w:color="auto" w:fill="E2D9E3"/>
          </w:tcPr>
          <w:p>
            <w:pPr>
              <w:pStyle w:val="TableParagraph"/>
              <w:spacing w:line="249" w:lineRule="auto" w:before="25"/>
              <w:ind w:left="112" w:right="89"/>
              <w:rPr>
                <w:sz w:val="22"/>
              </w:rPr>
            </w:pPr>
            <w:r>
              <w:rPr>
                <w:w w:val="95"/>
                <w:sz w:val="22"/>
              </w:rPr>
              <w:t>Development and implementation </w:t>
            </w:r>
            <w:r>
              <w:rPr>
                <w:sz w:val="22"/>
              </w:rPr>
              <w:t>of energy policy and economic reform; assessment of proposed policy changes and the impact on regulatory functions.</w:t>
            </w:r>
          </w:p>
        </w:tc>
      </w:tr>
      <w:tr>
        <w:trPr>
          <w:trHeight w:val="307" w:hRule="atLeast"/>
        </w:trPr>
        <w:tc>
          <w:tcPr>
            <w:tcW w:w="10036" w:type="dxa"/>
            <w:gridSpan w:val="3"/>
            <w:shd w:val="clear" w:color="auto" w:fill="783A79"/>
          </w:tcPr>
          <w:p>
            <w:pPr>
              <w:pStyle w:val="TableParagraph"/>
              <w:spacing w:before="25"/>
              <w:ind w:left="113"/>
              <w:rPr>
                <w:b/>
                <w:sz w:val="22"/>
              </w:rPr>
            </w:pPr>
            <w:r>
              <w:rPr>
                <w:b/>
                <w:color w:val="FFFFFF"/>
                <w:sz w:val="22"/>
              </w:rPr>
              <w:t>Results-Based Service Delivery</w:t>
            </w:r>
          </w:p>
        </w:tc>
      </w:tr>
      <w:tr>
        <w:trPr>
          <w:trHeight w:val="1627" w:hRule="atLeast"/>
        </w:trPr>
        <w:tc>
          <w:tcPr>
            <w:tcW w:w="3969" w:type="dxa"/>
            <w:vMerge w:val="restart"/>
            <w:tcBorders>
              <w:left w:val="nil"/>
            </w:tcBorders>
          </w:tcPr>
          <w:p>
            <w:pPr>
              <w:pStyle w:val="TableParagraph"/>
              <w:spacing w:line="249" w:lineRule="auto" w:before="25"/>
              <w:ind w:left="123" w:right="543"/>
              <w:rPr>
                <w:sz w:val="22"/>
              </w:rPr>
            </w:pPr>
            <w:r>
              <w:rPr>
                <w:sz w:val="22"/>
              </w:rPr>
              <w:t>Greater</w:t>
            </w:r>
            <w:r>
              <w:rPr>
                <w:spacing w:val="-25"/>
                <w:sz w:val="22"/>
              </w:rPr>
              <w:t> </w:t>
            </w:r>
            <w:r>
              <w:rPr>
                <w:sz w:val="22"/>
              </w:rPr>
              <w:t>focus</w:t>
            </w:r>
            <w:r>
              <w:rPr>
                <w:spacing w:val="-25"/>
                <w:sz w:val="22"/>
              </w:rPr>
              <w:t> </w:t>
            </w:r>
            <w:r>
              <w:rPr>
                <w:sz w:val="22"/>
              </w:rPr>
              <w:t>on</w:t>
            </w:r>
            <w:r>
              <w:rPr>
                <w:spacing w:val="-25"/>
                <w:sz w:val="22"/>
              </w:rPr>
              <w:t> </w:t>
            </w:r>
            <w:r>
              <w:rPr>
                <w:sz w:val="22"/>
              </w:rPr>
              <w:t>achieving</w:t>
            </w:r>
            <w:r>
              <w:rPr>
                <w:spacing w:val="-25"/>
                <w:sz w:val="22"/>
              </w:rPr>
              <w:t> </w:t>
            </w:r>
            <w:r>
              <w:rPr>
                <w:sz w:val="22"/>
              </w:rPr>
              <w:t>results in</w:t>
            </w:r>
            <w:r>
              <w:rPr>
                <w:spacing w:val="-27"/>
                <w:sz w:val="22"/>
              </w:rPr>
              <w:t> </w:t>
            </w:r>
            <w:r>
              <w:rPr>
                <w:sz w:val="22"/>
              </w:rPr>
              <w:t>key</w:t>
            </w:r>
            <w:r>
              <w:rPr>
                <w:spacing w:val="-26"/>
                <w:sz w:val="22"/>
              </w:rPr>
              <w:t> </w:t>
            </w:r>
            <w:r>
              <w:rPr>
                <w:sz w:val="22"/>
              </w:rPr>
              <w:t>service</w:t>
            </w:r>
            <w:r>
              <w:rPr>
                <w:spacing w:val="-26"/>
                <w:sz w:val="22"/>
              </w:rPr>
              <w:t> </w:t>
            </w:r>
            <w:r>
              <w:rPr>
                <w:sz w:val="22"/>
              </w:rPr>
              <w:t>delivery</w:t>
            </w:r>
            <w:r>
              <w:rPr>
                <w:spacing w:val="-27"/>
                <w:sz w:val="22"/>
              </w:rPr>
              <w:t> </w:t>
            </w:r>
            <w:r>
              <w:rPr>
                <w:sz w:val="22"/>
              </w:rPr>
              <w:t>areas</w:t>
            </w:r>
            <w:r>
              <w:rPr>
                <w:spacing w:val="-26"/>
                <w:sz w:val="22"/>
              </w:rPr>
              <w:t> </w:t>
            </w:r>
            <w:r>
              <w:rPr>
                <w:sz w:val="22"/>
              </w:rPr>
              <w:t>for</w:t>
            </w:r>
            <w:r>
              <w:rPr>
                <w:spacing w:val="-26"/>
                <w:sz w:val="22"/>
              </w:rPr>
              <w:t> </w:t>
            </w:r>
            <w:r>
              <w:rPr>
                <w:spacing w:val="-6"/>
                <w:sz w:val="22"/>
              </w:rPr>
              <w:t>the </w:t>
            </w:r>
            <w:r>
              <w:rPr>
                <w:sz w:val="22"/>
              </w:rPr>
              <w:t>benefit</w:t>
            </w:r>
            <w:r>
              <w:rPr>
                <w:spacing w:val="-23"/>
                <w:sz w:val="22"/>
              </w:rPr>
              <w:t> </w:t>
            </w:r>
            <w:r>
              <w:rPr>
                <w:sz w:val="22"/>
              </w:rPr>
              <w:t>of</w:t>
            </w:r>
            <w:r>
              <w:rPr>
                <w:spacing w:val="-22"/>
                <w:sz w:val="22"/>
              </w:rPr>
              <w:t> </w:t>
            </w:r>
            <w:r>
              <w:rPr>
                <w:sz w:val="22"/>
              </w:rPr>
              <w:t>all</w:t>
            </w:r>
            <w:r>
              <w:rPr>
                <w:spacing w:val="-23"/>
                <w:sz w:val="22"/>
              </w:rPr>
              <w:t> </w:t>
            </w:r>
            <w:r>
              <w:rPr>
                <w:sz w:val="22"/>
              </w:rPr>
              <w:t>Western</w:t>
            </w:r>
            <w:r>
              <w:rPr>
                <w:spacing w:val="-22"/>
                <w:sz w:val="22"/>
              </w:rPr>
              <w:t> </w:t>
            </w:r>
            <w:r>
              <w:rPr>
                <w:sz w:val="22"/>
              </w:rPr>
              <w:t>Australians.</w:t>
            </w:r>
          </w:p>
        </w:tc>
        <w:tc>
          <w:tcPr>
            <w:tcW w:w="2665" w:type="dxa"/>
            <w:shd w:val="clear" w:color="auto" w:fill="E4E7DB"/>
          </w:tcPr>
          <w:p>
            <w:pPr>
              <w:pStyle w:val="TableParagraph"/>
              <w:spacing w:line="249" w:lineRule="auto" w:before="25"/>
              <w:ind w:left="113" w:right="490"/>
              <w:rPr>
                <w:sz w:val="22"/>
              </w:rPr>
            </w:pPr>
            <w:r>
              <w:rPr>
                <w:sz w:val="22"/>
              </w:rPr>
              <w:t>Value-for-money from public sector procurement.</w:t>
            </w:r>
          </w:p>
        </w:tc>
        <w:tc>
          <w:tcPr>
            <w:tcW w:w="3402" w:type="dxa"/>
            <w:shd w:val="clear" w:color="auto" w:fill="E4E7DB"/>
          </w:tcPr>
          <w:p>
            <w:pPr>
              <w:pStyle w:val="TableParagraph"/>
              <w:spacing w:line="249" w:lineRule="auto" w:before="25"/>
              <w:ind w:left="113" w:right="89"/>
              <w:rPr>
                <w:sz w:val="22"/>
              </w:rPr>
            </w:pPr>
            <w:r>
              <w:rPr>
                <w:sz w:val="22"/>
              </w:rPr>
              <w:t>Development and management of Common Use Contract </w:t>
            </w:r>
            <w:r>
              <w:rPr>
                <w:w w:val="95"/>
                <w:sz w:val="22"/>
              </w:rPr>
              <w:t>Arrangements, State Fleet leasing </w:t>
            </w:r>
            <w:r>
              <w:rPr>
                <w:sz w:val="22"/>
              </w:rPr>
              <w:t>and disposal, and providing facilitation service for agency specific contracts.</w:t>
            </w:r>
          </w:p>
        </w:tc>
      </w:tr>
      <w:tr>
        <w:trPr>
          <w:trHeight w:val="835" w:hRule="atLeast"/>
        </w:trPr>
        <w:tc>
          <w:tcPr>
            <w:tcW w:w="3969" w:type="dxa"/>
            <w:vMerge/>
            <w:tcBorders>
              <w:top w:val="nil"/>
              <w:left w:val="nil"/>
            </w:tcBorders>
          </w:tcPr>
          <w:p>
            <w:pPr>
              <w:rPr>
                <w:sz w:val="2"/>
                <w:szCs w:val="2"/>
              </w:rPr>
            </w:pPr>
          </w:p>
        </w:tc>
        <w:tc>
          <w:tcPr>
            <w:tcW w:w="2665" w:type="dxa"/>
            <w:shd w:val="clear" w:color="auto" w:fill="C0B6C3"/>
          </w:tcPr>
          <w:p>
            <w:pPr>
              <w:pStyle w:val="TableParagraph"/>
              <w:spacing w:line="249" w:lineRule="auto" w:before="25"/>
              <w:ind w:left="113" w:right="536"/>
              <w:jc w:val="both"/>
              <w:rPr>
                <w:sz w:val="22"/>
              </w:rPr>
            </w:pPr>
            <w:r>
              <w:rPr>
                <w:sz w:val="22"/>
              </w:rPr>
              <w:t>Efficient</w:t>
            </w:r>
            <w:r>
              <w:rPr>
                <w:spacing w:val="-38"/>
                <w:sz w:val="22"/>
              </w:rPr>
              <w:t> </w:t>
            </w:r>
            <w:r>
              <w:rPr>
                <w:sz w:val="22"/>
              </w:rPr>
              <w:t>and</w:t>
            </w:r>
            <w:r>
              <w:rPr>
                <w:spacing w:val="-38"/>
                <w:sz w:val="22"/>
              </w:rPr>
              <w:t> </w:t>
            </w:r>
            <w:r>
              <w:rPr>
                <w:spacing w:val="-3"/>
                <w:sz w:val="22"/>
              </w:rPr>
              <w:t>effective </w:t>
            </w:r>
            <w:r>
              <w:rPr>
                <w:sz w:val="22"/>
              </w:rPr>
              <w:t>corporate services</w:t>
            </w:r>
            <w:r>
              <w:rPr>
                <w:spacing w:val="-42"/>
                <w:sz w:val="22"/>
              </w:rPr>
              <w:t> </w:t>
            </w:r>
            <w:r>
              <w:rPr>
                <w:spacing w:val="-9"/>
                <w:sz w:val="22"/>
              </w:rPr>
              <w:t>to </w:t>
            </w:r>
            <w:r>
              <w:rPr>
                <w:sz w:val="22"/>
              </w:rPr>
              <w:t>client</w:t>
            </w:r>
            <w:r>
              <w:rPr>
                <w:spacing w:val="-6"/>
                <w:sz w:val="22"/>
              </w:rPr>
              <w:t> </w:t>
            </w:r>
            <w:r>
              <w:rPr>
                <w:sz w:val="22"/>
              </w:rPr>
              <w:t>agencies.</w:t>
            </w:r>
          </w:p>
        </w:tc>
        <w:tc>
          <w:tcPr>
            <w:tcW w:w="3402" w:type="dxa"/>
            <w:shd w:val="clear" w:color="auto" w:fill="C0B6C3"/>
          </w:tcPr>
          <w:p>
            <w:pPr>
              <w:pStyle w:val="TableParagraph"/>
              <w:spacing w:line="249" w:lineRule="auto" w:before="25"/>
              <w:ind w:left="113" w:right="583"/>
              <w:rPr>
                <w:sz w:val="22"/>
              </w:rPr>
            </w:pPr>
            <w:r>
              <w:rPr>
                <w:sz w:val="22"/>
              </w:rPr>
              <w:t>Corporate services to client agencies.</w:t>
            </w:r>
          </w:p>
        </w:tc>
      </w:tr>
      <w:tr>
        <w:trPr>
          <w:trHeight w:val="307" w:hRule="atLeast"/>
        </w:trPr>
        <w:tc>
          <w:tcPr>
            <w:tcW w:w="10036" w:type="dxa"/>
            <w:gridSpan w:val="3"/>
            <w:shd w:val="clear" w:color="auto" w:fill="783A79"/>
          </w:tcPr>
          <w:p>
            <w:pPr>
              <w:pStyle w:val="TableParagraph"/>
              <w:spacing w:before="25"/>
              <w:ind w:left="114"/>
              <w:rPr>
                <w:b/>
                <w:sz w:val="22"/>
              </w:rPr>
            </w:pPr>
            <w:r>
              <w:rPr>
                <w:b/>
                <w:color w:val="FFFFFF"/>
                <w:sz w:val="22"/>
              </w:rPr>
              <w:t>State Building – Major Projects</w:t>
            </w:r>
          </w:p>
        </w:tc>
      </w:tr>
      <w:tr>
        <w:trPr>
          <w:trHeight w:val="1363" w:hRule="atLeast"/>
        </w:trPr>
        <w:tc>
          <w:tcPr>
            <w:tcW w:w="3969" w:type="dxa"/>
            <w:tcBorders>
              <w:left w:val="nil"/>
              <w:bottom w:val="nil"/>
            </w:tcBorders>
          </w:tcPr>
          <w:p>
            <w:pPr>
              <w:pStyle w:val="TableParagraph"/>
              <w:spacing w:line="249" w:lineRule="auto" w:before="25"/>
              <w:ind w:left="124" w:right="278"/>
              <w:rPr>
                <w:sz w:val="22"/>
              </w:rPr>
            </w:pPr>
            <w:r>
              <w:rPr>
                <w:sz w:val="22"/>
              </w:rPr>
              <w:t>Building strategic infrastructure that will</w:t>
            </w:r>
            <w:r>
              <w:rPr>
                <w:spacing w:val="-21"/>
                <w:sz w:val="22"/>
              </w:rPr>
              <w:t> </w:t>
            </w:r>
            <w:r>
              <w:rPr>
                <w:sz w:val="22"/>
              </w:rPr>
              <w:t>create</w:t>
            </w:r>
            <w:r>
              <w:rPr>
                <w:spacing w:val="-21"/>
                <w:sz w:val="22"/>
              </w:rPr>
              <w:t> </w:t>
            </w:r>
            <w:r>
              <w:rPr>
                <w:sz w:val="22"/>
              </w:rPr>
              <w:t>jobs</w:t>
            </w:r>
            <w:r>
              <w:rPr>
                <w:spacing w:val="-21"/>
                <w:sz w:val="22"/>
              </w:rPr>
              <w:t> </w:t>
            </w:r>
            <w:r>
              <w:rPr>
                <w:sz w:val="22"/>
              </w:rPr>
              <w:t>and</w:t>
            </w:r>
            <w:r>
              <w:rPr>
                <w:spacing w:val="-20"/>
                <w:sz w:val="22"/>
              </w:rPr>
              <w:t> </w:t>
            </w:r>
            <w:r>
              <w:rPr>
                <w:sz w:val="22"/>
              </w:rPr>
              <w:t>underpin</w:t>
            </w:r>
            <w:r>
              <w:rPr>
                <w:spacing w:val="-21"/>
                <w:sz w:val="22"/>
              </w:rPr>
              <w:t> </w:t>
            </w:r>
            <w:r>
              <w:rPr>
                <w:spacing w:val="-4"/>
                <w:sz w:val="22"/>
              </w:rPr>
              <w:t>Western </w:t>
            </w:r>
            <w:r>
              <w:rPr>
                <w:spacing w:val="-3"/>
                <w:sz w:val="22"/>
              </w:rPr>
              <w:t>Australia’s </w:t>
            </w:r>
            <w:r>
              <w:rPr>
                <w:sz w:val="22"/>
              </w:rPr>
              <w:t>long-term economic development.</w:t>
            </w:r>
          </w:p>
        </w:tc>
        <w:tc>
          <w:tcPr>
            <w:tcW w:w="2665" w:type="dxa"/>
            <w:shd w:val="clear" w:color="auto" w:fill="EFEFF0"/>
          </w:tcPr>
          <w:p>
            <w:pPr>
              <w:pStyle w:val="TableParagraph"/>
              <w:spacing w:line="249" w:lineRule="auto" w:before="25"/>
              <w:ind w:left="113" w:right="490"/>
              <w:rPr>
                <w:sz w:val="22"/>
              </w:rPr>
            </w:pPr>
            <w:r>
              <w:rPr>
                <w:w w:val="95"/>
                <w:sz w:val="22"/>
              </w:rPr>
              <w:t>Value-for-money from </w:t>
            </w:r>
            <w:r>
              <w:rPr>
                <w:sz w:val="22"/>
              </w:rPr>
              <w:t>the management of the Government’s</w:t>
            </w:r>
          </w:p>
          <w:p>
            <w:pPr>
              <w:pStyle w:val="TableParagraph"/>
              <w:spacing w:before="3"/>
              <w:ind w:left="113"/>
              <w:rPr>
                <w:sz w:val="22"/>
              </w:rPr>
            </w:pPr>
            <w:r>
              <w:rPr>
                <w:sz w:val="22"/>
              </w:rPr>
              <w:t>non-residential buildings</w:t>
            </w:r>
          </w:p>
          <w:p>
            <w:pPr>
              <w:pStyle w:val="TableParagraph"/>
              <w:spacing w:before="11"/>
              <w:ind w:left="113"/>
              <w:rPr>
                <w:sz w:val="22"/>
              </w:rPr>
            </w:pPr>
            <w:r>
              <w:rPr>
                <w:sz w:val="22"/>
              </w:rPr>
              <w:t>and public works.</w:t>
            </w:r>
          </w:p>
        </w:tc>
        <w:tc>
          <w:tcPr>
            <w:tcW w:w="3402" w:type="dxa"/>
            <w:shd w:val="clear" w:color="auto" w:fill="EFEFF0"/>
          </w:tcPr>
          <w:p>
            <w:pPr>
              <w:pStyle w:val="TableParagraph"/>
              <w:spacing w:line="249" w:lineRule="auto" w:before="25"/>
              <w:ind w:left="113" w:right="52"/>
              <w:rPr>
                <w:sz w:val="22"/>
              </w:rPr>
            </w:pPr>
            <w:r>
              <w:rPr>
                <w:sz w:val="22"/>
              </w:rPr>
              <w:t>Leads the planning, </w:t>
            </w:r>
            <w:r>
              <w:rPr>
                <w:spacing w:val="-3"/>
                <w:sz w:val="22"/>
              </w:rPr>
              <w:t>delivery, </w:t>
            </w:r>
            <w:r>
              <w:rPr>
                <w:sz w:val="22"/>
              </w:rPr>
              <w:t>management and maintenance of government buildings, </w:t>
            </w:r>
            <w:r>
              <w:rPr>
                <w:spacing w:val="-4"/>
                <w:sz w:val="22"/>
              </w:rPr>
              <w:t>projects </w:t>
            </w:r>
            <w:r>
              <w:rPr>
                <w:sz w:val="22"/>
              </w:rPr>
              <w:t>and office accommodation.</w:t>
            </w:r>
          </w:p>
        </w:tc>
      </w:tr>
    </w:tbl>
    <w:p>
      <w:pPr>
        <w:spacing w:after="0" w:line="249" w:lineRule="auto"/>
        <w:rPr>
          <w:sz w:val="22"/>
        </w:rPr>
        <w:sectPr>
          <w:type w:val="continuous"/>
          <w:pgSz w:w="16840" w:h="11910" w:orient="landscape"/>
          <w:pgMar w:top="0" w:bottom="0" w:left="0" w:right="0"/>
          <w:cols w:num="2" w:equalWidth="0">
            <w:col w:w="5571" w:space="40"/>
            <w:col w:w="11229"/>
          </w:cols>
        </w:sectPr>
      </w:pPr>
    </w:p>
    <w:p>
      <w:pPr>
        <w:pStyle w:val="BodyText"/>
        <w:rPr>
          <w:b/>
          <w:sz w:val="20"/>
        </w:rPr>
      </w:pPr>
      <w:r>
        <w:rPr/>
        <w:pict>
          <v:shape style="position:absolute;margin-left:715.000122pt;margin-top:94.126404pt;width:45.2pt;height:45.2pt;mso-position-horizontal-relative:page;mso-position-vertical-relative:page;z-index:8032" coordorigin="14300,1883" coordsize="904,904" path="m14752,1883l14300,2334,14752,2786,15203,2334,14752,1883xe" filled="true" fillcolor="#aebd37" stroked="false">
            <v:path arrowok="t"/>
            <v:fill opacity="16384f" type="solid"/>
            <w10:wrap type="none"/>
          </v:shape>
        </w:pict>
      </w:r>
    </w:p>
    <w:p>
      <w:pPr>
        <w:pStyle w:val="BodyText"/>
        <w:rPr>
          <w:b/>
          <w:sz w:val="20"/>
        </w:rPr>
      </w:pPr>
    </w:p>
    <w:p>
      <w:pPr>
        <w:pStyle w:val="BodyText"/>
        <w:rPr>
          <w:b/>
          <w:sz w:val="19"/>
        </w:rPr>
      </w:pPr>
    </w:p>
    <w:p>
      <w:pPr>
        <w:tabs>
          <w:tab w:pos="1227" w:val="left" w:leader="none"/>
          <w:tab w:pos="4671" w:val="left" w:leader="none"/>
          <w:tab w:pos="16072" w:val="left" w:leader="none"/>
        </w:tabs>
        <w:spacing w:before="106"/>
        <w:ind w:left="765" w:right="0" w:firstLine="0"/>
        <w:jc w:val="left"/>
        <w:rPr>
          <w:sz w:val="16"/>
        </w:rPr>
      </w:pPr>
      <w:r>
        <w:rPr>
          <w:b/>
          <w:color w:val="6F2770"/>
          <w:sz w:val="16"/>
        </w:rPr>
        <w:t>24</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pStyle w:val="BodyText"/>
        <w:spacing w:before="1"/>
        <w:rPr>
          <w:sz w:val="17"/>
        </w:rPr>
      </w:pPr>
    </w:p>
    <w:p>
      <w:pPr>
        <w:spacing w:before="106"/>
        <w:ind w:left="0" w:right="734" w:firstLine="0"/>
        <w:jc w:val="right"/>
        <w:rPr>
          <w:sz w:val="20"/>
        </w:rPr>
      </w:pPr>
      <w:r>
        <w:rPr/>
        <w:pict>
          <v:group style="position:absolute;margin-left:481.080994pt;margin-top:-10.120531pt;width:360.85pt;height:104.75pt;mso-position-horizontal-relative:page;mso-position-vertical-relative:paragraph;z-index:-805384" coordorigin="9622,-202" coordsize="7217,2095">
            <v:shape style="position:absolute;left:14419;top:-203;width:1455;height:1745" coordorigin="14419,-202" coordsize="1455,1745" path="m15219,-202l15194,-202,14935,-53,14901,-19,15219,-202m15356,-202l15331,-202,14748,134,14714,168,15356,-202m15492,-202l15467,-202,14562,321,14527,355,15492,-202m15629,-202l15604,-202,14419,482,14428,491,15629,-202m15766,-202l15741,-202,14469,532,14478,541,15766,-202m15874,1299l15470,1532,15479,1542,15874,1314,15874,1299m15874,1220l15420,1482,15429,1492,15874,1235,15874,1220m15874,1141l15370,1432,15379,1442,15874,1156,15874,1141m15874,1062l15320,1382,15329,1392,15874,1077,15874,1062m15874,983l15270,1332,15279,1341,15874,998,15874,983m15874,905l15220,1282,15229,1291,15874,919,15874,905m15874,826l15170,1232,15179,1241,15874,840,15874,826m15874,747l15120,1182,15129,1191,15874,761,15874,747m15874,668l15070,1132,15079,1141,15874,682,15874,668m15874,589l15020,1082,15029,1091,15874,603,15874,589m15874,431l14920,982,14929,991,15874,445,15874,431m15874,352l14870,932,14879,941,15874,367,15874,352m15874,273l14819,882,14829,891,15874,288,15874,273m15874,194l14769,832,14779,841,15874,209,15874,194m15874,115l14719,782,14729,791,15874,130,15874,115m15874,36l14669,732,14679,741,15874,51,15874,36m15874,-43l14619,682,14628,691,15874,-28,15874,-43m15874,-200l14519,582,14528,591,15874,-186,15874,-200m15874,510l14970,1032,14979,1041,15874,524,15874,510m15874,-121l14569,632,14578,641,15874,-107,15874,-121e" filled="true" fillcolor="#cdcccd" stroked="false">
              <v:path arrowok="t"/>
              <v:fill type="solid"/>
            </v:shape>
            <v:shape style="position:absolute;left:15520;top:1378;width:354;height:514" type="#_x0000_t75" stroked="false">
              <v:imagedata r:id="rId42" o:title=""/>
            </v:shape>
            <v:shape style="position:absolute;left:15874;top:-203;width:338;height:196" type="#_x0000_t75" stroked="false">
              <v:imagedata r:id="rId20" o:title=""/>
            </v:shape>
            <v:shape style="position:absolute;left:15874;top:-203;width:964;height:1932" coordorigin="15874,-202" coordsize="964,1932" path="m16349,-202l16339,-202,15874,66,15874,72,16349,-202m16378,1432l15874,1723,15874,1729,16365,1446,16378,1432m16486,-202l16476,-202,15874,145,15874,151,16486,-202m16565,1246l15874,1645,15874,1650,16551,1259,16565,1246m16622,-202l16612,-202,15874,224,15874,230,16622,-202m16699,-168l16695,-171,15874,303,15874,308,16699,-168m16749,-117l16745,-121,15874,382,15874,387,16749,-117m16752,1059l15874,1566,15874,1571,16738,1073,16752,1059m16799,-67l16795,-71,15874,461,15874,466,16799,-67m16838,930l15874,1487,15874,1492,16838,936,16838,930m16838,851l15874,1408,15874,1414,16838,857,16838,851m16838,772l15874,1329,15874,1335,16838,778,16838,772m16838,693l15874,1250,15874,1256,16838,699,16838,693m16838,615l15874,1171,15874,1177,16838,620,16838,615m16838,536l15874,1092,15874,1098,16838,541,16838,536m16838,457l15874,1013,15874,1019,16838,462,16838,457m16838,378l15874,934,15874,940,16838,384,16838,378m16838,299l15874,855,15874,861,16838,305,16838,299m16838,220l15874,776,15874,782,16838,226,16838,220m16838,141l15874,697,15874,703,16838,147,16838,141m16838,62l15874,618,15874,624,16838,68,16838,62m16838,-17l15874,539,15874,545,16838,-11,16838,-17e" filled="true" fillcolor="#cdcccd" stroked="false">
              <v:path arrowok="t"/>
              <v:fill type="solid"/>
            </v:shape>
            <v:shape style="position:absolute;left:15874;top:1619;width:318;height:269" type="#_x0000_t75" stroked="false">
              <v:imagedata r:id="rId158" o:title=""/>
            </v:shape>
            <v:shape style="position:absolute;left:13676;top:170;width:904;height:904" coordorigin="13677,170" coordsize="904,904" path="m14128,170l13677,622,14128,1073,14580,622,14128,170xe" filled="true" fillcolor="#ffffff" stroked="false">
              <v:path arrowok="t"/>
              <v:fill type="solid"/>
            </v:shape>
            <v:shape style="position:absolute;left:13225;top:621;width:904;height:904" coordorigin="13225,622" coordsize="904,904" path="m13677,622l13225,1073,13677,1525,14128,1073,13677,622xe" filled="true" fillcolor="#e8e9c9" stroked="false">
              <v:path arrowok="t"/>
              <v:fill type="solid"/>
            </v:shape>
            <v:shape style="position:absolute;left:11870;top:170;width:2710;height:904" coordorigin="11870,170" coordsize="2710,904" path="m12774,622l12322,170,11870,622,12322,1073,12774,622m14580,622l14128,170,13677,622,14128,1073,14580,622e" filled="true" fillcolor="#efeeeb" stroked="false">
              <v:path arrowok="t"/>
              <v:fill type="solid"/>
            </v:shape>
            <v:shape style="position:absolute;left:12773;top:170;width:904;height:904" coordorigin="12774,170" coordsize="904,904" path="m13225,170l12774,622,13225,1073,13677,622,13225,170xe" filled="true" fillcolor="#c0aac2" stroked="false">
              <v:path arrowok="t"/>
              <v:fill type="solid"/>
            </v:shape>
            <v:shape style="position:absolute;left:15424;top:873;width:900;height:904" coordorigin="15424,873" coordsize="900,904" path="m15874,873l15424,1323,15424,1326,15874,1776,16324,1326,16324,1323,15874,873xe" filled="true" fillcolor="#c4cd71" stroked="false">
              <v:path arrowok="t"/>
              <v:fill type="solid"/>
            </v:shape>
            <v:rect style="position:absolute;left:9621;top:-203;width:2406;height:851" filled="true" fillcolor="#bec85c" stroked="false">
              <v:fill type="solid"/>
            </v:rect>
            <v:rect style="position:absolute;left:12026;top:-203;width:2406;height:851" filled="true" fillcolor="#b6c247" stroked="false">
              <v:fill type="solid"/>
            </v:rect>
            <v:rect style="position:absolute;left:14432;top:-203;width:2406;height:851" filled="true" fillcolor="#aebd37" stroked="false">
              <v:fill type="solid"/>
            </v:rect>
            <v:shape style="position:absolute;left:15263;top:1164;width:161;height:322" type="#_x0000_t75" stroked="false">
              <v:imagedata r:id="rId16" o:title=""/>
            </v:shape>
            <v:shape style="position:absolute;left:16324;top:1163;width:161;height:322" type="#_x0000_t75" stroked="false">
              <v:imagedata r:id="rId11" o:title=""/>
            </v:shape>
            <w10:wrap type="none"/>
          </v:group>
        </w:pict>
      </w:r>
      <w:r>
        <w:rPr/>
        <w:pict>
          <v:group style="position:absolute;margin-left:0pt;margin-top:-10.120531pt;width:120.3pt;height:42.55pt;mso-position-horizontal-relative:page;mso-position-vertical-relative:paragraph;z-index:8296" coordorigin="0,-202" coordsize="2406,851">
            <v:rect style="position:absolute;left:0;top:-203;width:2406;height:851" filled="true" fillcolor="#aebd37" stroked="false">
              <v:fill type="solid"/>
            </v:rect>
            <v:shape style="position:absolute;left:0;top:-203;width:2406;height:851" type="#_x0000_t202" filled="false"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119.851196pt;margin-top:-10.120531pt;width:241pt;height:42.55pt;mso-position-horizontal-relative:page;mso-position-vertical-relative:paragraph;z-index:8368" coordorigin="2397,-202" coordsize="4820,851">
            <v:rect style="position:absolute;left:4810;top:-203;width:2406;height:851" filled="true" fillcolor="#e6e7e8" stroked="false">
              <v:fill type="solid"/>
            </v:rect>
            <v:shape style="position:absolute;left:4810;top:-203;width:583;height:583" type="#_x0000_t75" stroked="false">
              <v:imagedata r:id="rId51" o:title=""/>
            </v:shape>
            <v:shape style="position:absolute;left:4810;top:-203;width:2406;height:851"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v:shape style="position:absolute;left:2397;top:-203;width:2414;height:851" type="#_x0000_t202" filled="true" fillcolor="#b6c247" stroked="false">
              <v:textbox inset="0,0,0,0">
                <w:txbxContent>
                  <w:p>
                    <w:pPr>
                      <w:spacing w:line="240" w:lineRule="auto" w:before="9"/>
                      <w:rPr>
                        <w:b/>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w10:wrap type="none"/>
          </v:group>
        </w:pict>
      </w:r>
      <w:r>
        <w:rPr/>
        <w:pict>
          <v:shape style="position:absolute;margin-left:601.348999pt;margin-top:-10.120531pt;width:120.3pt;height:42.55pt;mso-position-horizontal-relative:page;mso-position-vertical-relative:paragraph;z-index:8392" type="#_x0000_t202" filled="false" stroked="false">
            <v:textbox inset="0,0,0,0">
              <w:txbxContent>
                <w:p>
                  <w:pPr>
                    <w:pStyle w:val="BodyText"/>
                    <w:spacing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481.079803pt;margin-top:-10.120531pt;width:120.3pt;height:42.55pt;mso-position-horizontal-relative:page;mso-position-vertical-relative:paragraph;z-index:8416"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w:pict>
      </w:r>
      <w:r>
        <w:rPr/>
        <w:pict>
          <v:shape style="position:absolute;margin-left:360.811798pt;margin-top:-10.120531pt;width:120.3pt;height:42.55pt;mso-position-horizontal-relative:page;mso-position-vertical-relative:paragraph;z-index:8440"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bookmarkStart w:name="_bookmark17" w:id="18"/>
      <w:bookmarkEnd w:id="18"/>
      <w:r>
        <w:rPr/>
      </w:r>
      <w:hyperlink w:history="true" w:anchor="_bookmark73">
        <w:r>
          <w:rPr>
            <w:color w:val="FFFFFF"/>
            <w:w w:val="90"/>
            <w:sz w:val="20"/>
          </w:rPr>
          <w:t>APPENDIX</w:t>
        </w:r>
      </w:hyperlink>
    </w:p>
    <w:p>
      <w:pPr>
        <w:pStyle w:val="BodyText"/>
        <w:rPr>
          <w:sz w:val="20"/>
        </w:rPr>
      </w:pPr>
    </w:p>
    <w:p>
      <w:pPr>
        <w:pStyle w:val="BodyText"/>
        <w:rPr>
          <w:sz w:val="20"/>
        </w:rPr>
      </w:pPr>
    </w:p>
    <w:p>
      <w:pPr>
        <w:pStyle w:val="BodyText"/>
        <w:spacing w:before="8"/>
        <w:rPr>
          <w:sz w:val="21"/>
        </w:rPr>
      </w:pPr>
    </w:p>
    <w:p>
      <w:pPr>
        <w:spacing w:after="0"/>
        <w:rPr>
          <w:sz w:val="21"/>
        </w:rPr>
        <w:sectPr>
          <w:footerReference w:type="default" r:id="rId171"/>
          <w:pgSz w:w="16840" w:h="11910" w:orient="landscape"/>
          <w:pgMar w:footer="0" w:header="0" w:top="0" w:bottom="280" w:left="0" w:right="0"/>
        </w:sectPr>
      </w:pPr>
    </w:p>
    <w:p>
      <w:pPr>
        <w:pStyle w:val="Heading1"/>
        <w:spacing w:line="220" w:lineRule="auto" w:before="246"/>
        <w:ind w:right="27"/>
      </w:pPr>
      <w:r>
        <w:rPr>
          <w:color w:val="6F2770"/>
          <w:spacing w:val="-8"/>
          <w:w w:val="95"/>
        </w:rPr>
        <w:t>Summary</w:t>
      </w:r>
      <w:r>
        <w:rPr>
          <w:color w:val="6F2770"/>
          <w:spacing w:val="-113"/>
          <w:w w:val="95"/>
        </w:rPr>
        <w:t> </w:t>
      </w:r>
      <w:r>
        <w:rPr>
          <w:color w:val="6F2770"/>
          <w:spacing w:val="-6"/>
          <w:w w:val="95"/>
        </w:rPr>
        <w:t>of</w:t>
      </w:r>
      <w:r>
        <w:rPr>
          <w:color w:val="6F2770"/>
          <w:spacing w:val="-112"/>
          <w:w w:val="95"/>
        </w:rPr>
        <w:t> </w:t>
      </w:r>
      <w:r>
        <w:rPr>
          <w:color w:val="6F2770"/>
          <w:spacing w:val="-11"/>
          <w:w w:val="95"/>
        </w:rPr>
        <w:t>Non-Financial</w:t>
      </w:r>
      <w:r>
        <w:rPr>
          <w:color w:val="6F2770"/>
          <w:spacing w:val="-113"/>
          <w:w w:val="95"/>
        </w:rPr>
        <w:t> </w:t>
      </w:r>
      <w:r>
        <w:rPr>
          <w:color w:val="6F2770"/>
          <w:spacing w:val="-12"/>
          <w:w w:val="95"/>
        </w:rPr>
        <w:t>Performance </w:t>
      </w:r>
      <w:r>
        <w:rPr>
          <w:color w:val="6F2770"/>
          <w:spacing w:val="-8"/>
        </w:rPr>
        <w:t>for </w:t>
      </w:r>
      <w:r>
        <w:rPr>
          <w:color w:val="6F2770"/>
          <w:spacing w:val="-11"/>
        </w:rPr>
        <w:t>2016-17</w:t>
      </w:r>
    </w:p>
    <w:p>
      <w:pPr>
        <w:spacing w:before="202"/>
        <w:ind w:left="785" w:right="0" w:firstLine="0"/>
        <w:jc w:val="left"/>
        <w:rPr>
          <w:b/>
          <w:sz w:val="19"/>
        </w:rPr>
      </w:pPr>
      <w:r>
        <w:rPr>
          <w:b/>
          <w:sz w:val="19"/>
        </w:rPr>
        <w:t>Outcome</w:t>
      </w:r>
    </w:p>
    <w:p>
      <w:pPr>
        <w:spacing w:line="208" w:lineRule="auto" w:before="124"/>
        <w:ind w:left="765" w:right="672" w:firstLine="0"/>
        <w:jc w:val="center"/>
        <w:rPr>
          <w:sz w:val="16"/>
        </w:rPr>
      </w:pPr>
      <w:r>
        <w:rPr/>
        <w:br w:type="column"/>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2" w:equalWidth="0">
            <w:col w:w="12334" w:space="2486"/>
            <w:col w:w="2020"/>
          </w:cols>
        </w:sectPr>
      </w:pPr>
    </w:p>
    <w:p>
      <w:pPr>
        <w:pStyle w:val="BodyText"/>
        <w:rPr>
          <w:sz w:val="3"/>
        </w:rPr>
      </w:pP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1140"/>
        <w:gridCol w:w="794"/>
        <w:gridCol w:w="907"/>
        <w:gridCol w:w="907"/>
        <w:gridCol w:w="794"/>
        <w:gridCol w:w="794"/>
      </w:tblGrid>
      <w:tr>
        <w:trPr>
          <w:trHeight w:val="278" w:hRule="atLeast"/>
        </w:trPr>
        <w:tc>
          <w:tcPr>
            <w:tcW w:w="11140" w:type="dxa"/>
            <w:shd w:val="clear" w:color="auto" w:fill="783A79"/>
          </w:tcPr>
          <w:p>
            <w:pPr>
              <w:pStyle w:val="TableParagraph"/>
              <w:spacing w:before="34"/>
              <w:ind w:left="113"/>
              <w:rPr>
                <w:b/>
                <w:sz w:val="18"/>
              </w:rPr>
            </w:pPr>
            <w:r>
              <w:rPr>
                <w:b/>
                <w:color w:val="FFFFFF"/>
                <w:sz w:val="18"/>
              </w:rPr>
              <w:t>Key Effectiveness Indicator</w:t>
            </w:r>
          </w:p>
        </w:tc>
        <w:tc>
          <w:tcPr>
            <w:tcW w:w="794" w:type="dxa"/>
            <w:shd w:val="clear" w:color="auto" w:fill="783A79"/>
          </w:tcPr>
          <w:p>
            <w:pPr>
              <w:pStyle w:val="TableParagraph"/>
              <w:spacing w:before="34"/>
              <w:ind w:left="156" w:right="136"/>
              <w:jc w:val="center"/>
              <w:rPr>
                <w:b/>
                <w:sz w:val="18"/>
              </w:rPr>
            </w:pPr>
            <w:r>
              <w:rPr>
                <w:b/>
                <w:color w:val="FFFFFF"/>
                <w:sz w:val="18"/>
              </w:rPr>
              <w:t>Unit</w:t>
            </w:r>
          </w:p>
        </w:tc>
        <w:tc>
          <w:tcPr>
            <w:tcW w:w="907" w:type="dxa"/>
            <w:shd w:val="clear" w:color="auto" w:fill="783A79"/>
          </w:tcPr>
          <w:p>
            <w:pPr>
              <w:pStyle w:val="TableParagraph"/>
              <w:spacing w:before="34"/>
              <w:ind w:right="91"/>
              <w:jc w:val="right"/>
              <w:rPr>
                <w:b/>
                <w:sz w:val="18"/>
              </w:rPr>
            </w:pPr>
            <w:r>
              <w:rPr>
                <w:b/>
                <w:color w:val="FFFFFF"/>
                <w:sz w:val="18"/>
              </w:rPr>
              <w:t>Target</w:t>
            </w:r>
          </w:p>
        </w:tc>
        <w:tc>
          <w:tcPr>
            <w:tcW w:w="907" w:type="dxa"/>
            <w:shd w:val="clear" w:color="auto" w:fill="783A79"/>
          </w:tcPr>
          <w:p>
            <w:pPr>
              <w:pStyle w:val="TableParagraph"/>
              <w:spacing w:before="34"/>
              <w:ind w:right="91"/>
              <w:jc w:val="right"/>
              <w:rPr>
                <w:b/>
                <w:sz w:val="18"/>
              </w:rPr>
            </w:pPr>
            <w:r>
              <w:rPr>
                <w:b/>
                <w:color w:val="FFFFFF"/>
                <w:w w:val="95"/>
                <w:sz w:val="18"/>
              </w:rPr>
              <w:t>Actual</w:t>
            </w:r>
          </w:p>
        </w:tc>
        <w:tc>
          <w:tcPr>
            <w:tcW w:w="794" w:type="dxa"/>
            <w:shd w:val="clear" w:color="auto" w:fill="783A79"/>
          </w:tcPr>
          <w:p>
            <w:pPr>
              <w:pStyle w:val="TableParagraph"/>
              <w:spacing w:before="34"/>
              <w:ind w:left="156" w:right="137"/>
              <w:jc w:val="center"/>
              <w:rPr>
                <w:b/>
                <w:sz w:val="18"/>
              </w:rPr>
            </w:pPr>
            <w:r>
              <w:rPr>
                <w:b/>
                <w:color w:val="FFFFFF"/>
                <w:sz w:val="18"/>
              </w:rPr>
              <w:t>Stats</w:t>
            </w:r>
          </w:p>
        </w:tc>
        <w:tc>
          <w:tcPr>
            <w:tcW w:w="794" w:type="dxa"/>
            <w:shd w:val="clear" w:color="auto" w:fill="783A79"/>
          </w:tcPr>
          <w:p>
            <w:pPr>
              <w:pStyle w:val="TableParagraph"/>
              <w:spacing w:before="34"/>
              <w:ind w:left="156" w:right="137"/>
              <w:jc w:val="center"/>
              <w:rPr>
                <w:b/>
                <w:sz w:val="18"/>
              </w:rPr>
            </w:pPr>
            <w:r>
              <w:rPr>
                <w:b/>
                <w:color w:val="FFFFFF"/>
                <w:sz w:val="18"/>
              </w:rPr>
              <w:t>Page</w:t>
            </w:r>
          </w:p>
        </w:tc>
      </w:tr>
      <w:tr>
        <w:trPr>
          <w:trHeight w:val="288" w:hRule="atLeast"/>
        </w:trPr>
        <w:tc>
          <w:tcPr>
            <w:tcW w:w="11140" w:type="dxa"/>
            <w:shd w:val="clear" w:color="auto" w:fill="F2F3E1"/>
          </w:tcPr>
          <w:p>
            <w:pPr>
              <w:pStyle w:val="TableParagraph"/>
              <w:spacing w:before="34"/>
              <w:ind w:left="113"/>
              <w:rPr>
                <w:sz w:val="18"/>
              </w:rPr>
            </w:pPr>
            <w:r>
              <w:rPr>
                <w:sz w:val="18"/>
              </w:rPr>
              <w:t>Extent to which due revenue is collected</w:t>
            </w:r>
          </w:p>
        </w:tc>
        <w:tc>
          <w:tcPr>
            <w:tcW w:w="794" w:type="dxa"/>
            <w:shd w:val="clear" w:color="auto" w:fill="F2F3E1"/>
          </w:tcPr>
          <w:p>
            <w:pPr>
              <w:pStyle w:val="TableParagraph"/>
              <w:spacing w:before="34"/>
              <w:ind w:left="19"/>
              <w:jc w:val="center"/>
              <w:rPr>
                <w:sz w:val="18"/>
              </w:rPr>
            </w:pPr>
            <w:r>
              <w:rPr>
                <w:w w:val="99"/>
                <w:sz w:val="18"/>
              </w:rPr>
              <w:t>%</w:t>
            </w:r>
          </w:p>
        </w:tc>
        <w:tc>
          <w:tcPr>
            <w:tcW w:w="907" w:type="dxa"/>
            <w:shd w:val="clear" w:color="auto" w:fill="F2F3E1"/>
          </w:tcPr>
          <w:p>
            <w:pPr>
              <w:pStyle w:val="TableParagraph"/>
              <w:spacing w:before="34"/>
              <w:ind w:right="91"/>
              <w:jc w:val="right"/>
              <w:rPr>
                <w:sz w:val="18"/>
              </w:rPr>
            </w:pPr>
            <w:r>
              <w:rPr>
                <w:w w:val="95"/>
                <w:sz w:val="18"/>
              </w:rPr>
              <w:t>87</w:t>
            </w:r>
          </w:p>
        </w:tc>
        <w:tc>
          <w:tcPr>
            <w:tcW w:w="907" w:type="dxa"/>
            <w:shd w:val="clear" w:color="auto" w:fill="F2F3E1"/>
          </w:tcPr>
          <w:p>
            <w:pPr>
              <w:pStyle w:val="TableParagraph"/>
              <w:spacing w:before="34"/>
              <w:ind w:right="91"/>
              <w:jc w:val="right"/>
              <w:rPr>
                <w:sz w:val="18"/>
              </w:rPr>
            </w:pPr>
            <w:r>
              <w:rPr>
                <w:w w:val="95"/>
                <w:sz w:val="18"/>
              </w:rPr>
              <w:t>88</w:t>
            </w:r>
          </w:p>
        </w:tc>
        <w:tc>
          <w:tcPr>
            <w:tcW w:w="794" w:type="dxa"/>
            <w:shd w:val="clear" w:color="auto" w:fill="F2F3E1"/>
          </w:tcPr>
          <w:p>
            <w:pPr>
              <w:pStyle w:val="TableParagraph"/>
              <w:spacing w:before="62"/>
              <w:ind w:left="19"/>
              <w:jc w:val="center"/>
              <w:rPr>
                <w:rFonts w:ascii="Wingdings 2" w:hAnsi="Wingdings 2"/>
                <w:sz w:val="18"/>
              </w:rPr>
            </w:pPr>
            <w:r>
              <w:rPr>
                <w:rFonts w:ascii="Wingdings 2" w:hAnsi="Wingdings 2"/>
                <w:sz w:val="18"/>
              </w:rPr>
              <w:t></w:t>
            </w:r>
          </w:p>
        </w:tc>
        <w:tc>
          <w:tcPr>
            <w:tcW w:w="794" w:type="dxa"/>
            <w:shd w:val="clear" w:color="auto" w:fill="F2F3E1"/>
          </w:tcPr>
          <w:p>
            <w:pPr>
              <w:pStyle w:val="TableParagraph"/>
              <w:spacing w:before="34"/>
              <w:ind w:left="156" w:right="137"/>
              <w:jc w:val="center"/>
              <w:rPr>
                <w:sz w:val="18"/>
              </w:rPr>
            </w:pPr>
            <w:hyperlink w:history="true" w:anchor="_bookmark60">
              <w:r>
                <w:rPr>
                  <w:color w:val="A7BE39"/>
                  <w:sz w:val="18"/>
                  <w:u w:val="single" w:color="A7BE39"/>
                </w:rPr>
                <w:t>96</w:t>
              </w:r>
            </w:hyperlink>
          </w:p>
        </w:tc>
      </w:tr>
      <w:tr>
        <w:trPr>
          <w:trHeight w:val="288" w:hRule="atLeast"/>
        </w:trPr>
        <w:tc>
          <w:tcPr>
            <w:tcW w:w="11140" w:type="dxa"/>
            <w:shd w:val="clear" w:color="auto" w:fill="F2F3E1"/>
          </w:tcPr>
          <w:p>
            <w:pPr>
              <w:pStyle w:val="TableParagraph"/>
              <w:spacing w:before="34"/>
              <w:ind w:left="113"/>
              <w:rPr>
                <w:sz w:val="18"/>
              </w:rPr>
            </w:pPr>
            <w:r>
              <w:rPr>
                <w:sz w:val="18"/>
              </w:rPr>
              <w:t>Extent to which correct grants, subsidies and rebates are paid</w:t>
            </w:r>
          </w:p>
        </w:tc>
        <w:tc>
          <w:tcPr>
            <w:tcW w:w="794" w:type="dxa"/>
            <w:shd w:val="clear" w:color="auto" w:fill="F2F3E1"/>
          </w:tcPr>
          <w:p>
            <w:pPr>
              <w:pStyle w:val="TableParagraph"/>
              <w:spacing w:before="34"/>
              <w:ind w:left="20"/>
              <w:jc w:val="center"/>
              <w:rPr>
                <w:sz w:val="18"/>
              </w:rPr>
            </w:pPr>
            <w:r>
              <w:rPr>
                <w:w w:val="99"/>
                <w:sz w:val="18"/>
              </w:rPr>
              <w:t>%</w:t>
            </w:r>
          </w:p>
        </w:tc>
        <w:tc>
          <w:tcPr>
            <w:tcW w:w="907" w:type="dxa"/>
            <w:shd w:val="clear" w:color="auto" w:fill="F2F3E1"/>
          </w:tcPr>
          <w:p>
            <w:pPr>
              <w:pStyle w:val="TableParagraph"/>
              <w:spacing w:before="34"/>
              <w:ind w:right="91"/>
              <w:jc w:val="right"/>
              <w:rPr>
                <w:sz w:val="18"/>
              </w:rPr>
            </w:pPr>
            <w:r>
              <w:rPr>
                <w:w w:val="95"/>
                <w:sz w:val="18"/>
              </w:rPr>
              <w:t>100</w:t>
            </w:r>
          </w:p>
        </w:tc>
        <w:tc>
          <w:tcPr>
            <w:tcW w:w="907" w:type="dxa"/>
            <w:shd w:val="clear" w:color="auto" w:fill="F2F3E1"/>
          </w:tcPr>
          <w:p>
            <w:pPr>
              <w:pStyle w:val="TableParagraph"/>
              <w:spacing w:before="34"/>
              <w:ind w:right="91"/>
              <w:jc w:val="right"/>
              <w:rPr>
                <w:sz w:val="18"/>
              </w:rPr>
            </w:pPr>
            <w:r>
              <w:rPr>
                <w:w w:val="95"/>
                <w:sz w:val="18"/>
              </w:rPr>
              <w:t>99.9</w:t>
            </w:r>
          </w:p>
        </w:tc>
        <w:tc>
          <w:tcPr>
            <w:tcW w:w="794" w:type="dxa"/>
            <w:shd w:val="clear" w:color="auto" w:fill="F2F3E1"/>
          </w:tcPr>
          <w:p>
            <w:pPr>
              <w:pStyle w:val="TableParagraph"/>
              <w:spacing w:before="60"/>
              <w:ind w:left="156" w:right="137"/>
              <w:jc w:val="center"/>
              <w:rPr>
                <w:sz w:val="10"/>
              </w:rPr>
            </w:pPr>
            <w:r>
              <w:rPr>
                <w:rFonts w:ascii="Wingdings 2" w:hAnsi="Wingdings 2"/>
                <w:w w:val="95"/>
                <w:position w:val="-5"/>
                <w:sz w:val="18"/>
              </w:rPr>
              <w:t></w:t>
            </w:r>
            <w:r>
              <w:rPr>
                <w:w w:val="95"/>
                <w:sz w:val="10"/>
              </w:rPr>
              <w:t>(a)</w:t>
            </w:r>
          </w:p>
        </w:tc>
        <w:tc>
          <w:tcPr>
            <w:tcW w:w="794" w:type="dxa"/>
            <w:shd w:val="clear" w:color="auto" w:fill="F2F3E1"/>
          </w:tcPr>
          <w:p>
            <w:pPr>
              <w:pStyle w:val="TableParagraph"/>
              <w:spacing w:before="34"/>
              <w:ind w:left="156" w:right="137"/>
              <w:jc w:val="center"/>
              <w:rPr>
                <w:sz w:val="18"/>
              </w:rPr>
            </w:pPr>
            <w:hyperlink w:history="true" w:anchor="_bookmark60">
              <w:r>
                <w:rPr>
                  <w:color w:val="A7BE39"/>
                  <w:sz w:val="18"/>
                  <w:u w:val="single" w:color="A7BE39"/>
                </w:rPr>
                <w:t>96</w:t>
              </w:r>
            </w:hyperlink>
          </w:p>
        </w:tc>
      </w:tr>
      <w:tr>
        <w:trPr>
          <w:trHeight w:val="288" w:hRule="atLeast"/>
        </w:trPr>
        <w:tc>
          <w:tcPr>
            <w:tcW w:w="11140" w:type="dxa"/>
            <w:shd w:val="clear" w:color="auto" w:fill="E4E7DB"/>
          </w:tcPr>
          <w:p>
            <w:pPr>
              <w:pStyle w:val="TableParagraph"/>
              <w:spacing w:before="34"/>
              <w:ind w:left="113"/>
              <w:rPr>
                <w:sz w:val="18"/>
              </w:rPr>
            </w:pPr>
            <w:r>
              <w:rPr>
                <w:sz w:val="18"/>
              </w:rPr>
              <w:t>Profitability of the State’s light vehicle fleet</w:t>
            </w:r>
          </w:p>
        </w:tc>
        <w:tc>
          <w:tcPr>
            <w:tcW w:w="794" w:type="dxa"/>
            <w:shd w:val="clear" w:color="auto" w:fill="E4E7DB"/>
          </w:tcPr>
          <w:p>
            <w:pPr>
              <w:pStyle w:val="TableParagraph"/>
              <w:spacing w:before="34"/>
              <w:ind w:left="156" w:right="136"/>
              <w:jc w:val="center"/>
              <w:rPr>
                <w:sz w:val="18"/>
              </w:rPr>
            </w:pPr>
            <w:r>
              <w:rPr>
                <w:sz w:val="18"/>
              </w:rPr>
              <w:t>$000</w:t>
            </w:r>
          </w:p>
        </w:tc>
        <w:tc>
          <w:tcPr>
            <w:tcW w:w="907" w:type="dxa"/>
            <w:shd w:val="clear" w:color="auto" w:fill="E4E7DB"/>
          </w:tcPr>
          <w:p>
            <w:pPr>
              <w:pStyle w:val="TableParagraph"/>
              <w:spacing w:before="34"/>
              <w:ind w:right="91"/>
              <w:jc w:val="right"/>
              <w:rPr>
                <w:sz w:val="18"/>
              </w:rPr>
            </w:pPr>
            <w:r>
              <w:rPr>
                <w:w w:val="95"/>
                <w:sz w:val="18"/>
              </w:rPr>
              <w:t>13,457</w:t>
            </w:r>
          </w:p>
        </w:tc>
        <w:tc>
          <w:tcPr>
            <w:tcW w:w="907" w:type="dxa"/>
            <w:shd w:val="clear" w:color="auto" w:fill="E4E7DB"/>
          </w:tcPr>
          <w:p>
            <w:pPr>
              <w:pStyle w:val="TableParagraph"/>
              <w:spacing w:before="34"/>
              <w:ind w:right="91"/>
              <w:jc w:val="right"/>
              <w:rPr>
                <w:sz w:val="18"/>
              </w:rPr>
            </w:pPr>
            <w:r>
              <w:rPr>
                <w:w w:val="95"/>
                <w:sz w:val="18"/>
              </w:rPr>
              <w:t>16,671</w:t>
            </w:r>
          </w:p>
        </w:tc>
        <w:tc>
          <w:tcPr>
            <w:tcW w:w="794" w:type="dxa"/>
            <w:shd w:val="clear" w:color="auto" w:fill="E4E7DB"/>
          </w:tcPr>
          <w:p>
            <w:pPr>
              <w:pStyle w:val="TableParagraph"/>
              <w:spacing w:before="62"/>
              <w:ind w:left="19"/>
              <w:jc w:val="center"/>
              <w:rPr>
                <w:rFonts w:ascii="Wingdings 2" w:hAnsi="Wingdings 2"/>
                <w:sz w:val="18"/>
              </w:rPr>
            </w:pPr>
            <w:r>
              <w:rPr>
                <w:rFonts w:ascii="Wingdings 2" w:hAnsi="Wingdings 2"/>
                <w:sz w:val="18"/>
              </w:rPr>
              <w:t></w:t>
            </w:r>
          </w:p>
        </w:tc>
        <w:tc>
          <w:tcPr>
            <w:tcW w:w="794" w:type="dxa"/>
            <w:shd w:val="clear" w:color="auto" w:fill="E4E7DB"/>
          </w:tcPr>
          <w:p>
            <w:pPr>
              <w:pStyle w:val="TableParagraph"/>
              <w:spacing w:before="34"/>
              <w:ind w:left="156" w:right="137"/>
              <w:jc w:val="center"/>
              <w:rPr>
                <w:sz w:val="18"/>
              </w:rPr>
            </w:pPr>
            <w:hyperlink w:history="true" w:anchor="_bookmark62">
              <w:r>
                <w:rPr>
                  <w:color w:val="A7BE39"/>
                  <w:sz w:val="18"/>
                  <w:u w:val="single" w:color="A7BE39"/>
                </w:rPr>
                <w:t>98</w:t>
              </w:r>
            </w:hyperlink>
          </w:p>
        </w:tc>
      </w:tr>
      <w:tr>
        <w:trPr>
          <w:trHeight w:val="288" w:hRule="atLeast"/>
        </w:trPr>
        <w:tc>
          <w:tcPr>
            <w:tcW w:w="11140" w:type="dxa"/>
            <w:shd w:val="clear" w:color="auto" w:fill="E4E7DB"/>
          </w:tcPr>
          <w:p>
            <w:pPr>
              <w:pStyle w:val="TableParagraph"/>
              <w:spacing w:before="34"/>
              <w:ind w:left="113"/>
              <w:rPr>
                <w:sz w:val="18"/>
              </w:rPr>
            </w:pPr>
            <w:r>
              <w:rPr>
                <w:sz w:val="18"/>
              </w:rPr>
              <w:t>Extent to which client agencies agree that their agency contracts and Common Use Contract Arrangements achieved value-for-money</w:t>
            </w:r>
          </w:p>
        </w:tc>
        <w:tc>
          <w:tcPr>
            <w:tcW w:w="794" w:type="dxa"/>
            <w:shd w:val="clear" w:color="auto" w:fill="E4E7DB"/>
          </w:tcPr>
          <w:p>
            <w:pPr>
              <w:pStyle w:val="TableParagraph"/>
              <w:spacing w:before="34"/>
              <w:ind w:left="20"/>
              <w:jc w:val="center"/>
              <w:rPr>
                <w:sz w:val="18"/>
              </w:rPr>
            </w:pPr>
            <w:r>
              <w:rPr>
                <w:w w:val="99"/>
                <w:sz w:val="18"/>
              </w:rPr>
              <w:t>%</w:t>
            </w:r>
          </w:p>
        </w:tc>
        <w:tc>
          <w:tcPr>
            <w:tcW w:w="907" w:type="dxa"/>
            <w:shd w:val="clear" w:color="auto" w:fill="E4E7DB"/>
          </w:tcPr>
          <w:p>
            <w:pPr>
              <w:pStyle w:val="TableParagraph"/>
              <w:spacing w:before="34"/>
              <w:ind w:right="91"/>
              <w:jc w:val="right"/>
              <w:rPr>
                <w:sz w:val="18"/>
              </w:rPr>
            </w:pPr>
            <w:r>
              <w:rPr>
                <w:w w:val="95"/>
                <w:sz w:val="18"/>
              </w:rPr>
              <w:t>90</w:t>
            </w:r>
          </w:p>
        </w:tc>
        <w:tc>
          <w:tcPr>
            <w:tcW w:w="907" w:type="dxa"/>
            <w:shd w:val="clear" w:color="auto" w:fill="E4E7DB"/>
          </w:tcPr>
          <w:p>
            <w:pPr>
              <w:pStyle w:val="TableParagraph"/>
              <w:spacing w:before="34"/>
              <w:ind w:right="91"/>
              <w:jc w:val="right"/>
              <w:rPr>
                <w:sz w:val="18"/>
              </w:rPr>
            </w:pPr>
            <w:r>
              <w:rPr>
                <w:w w:val="95"/>
                <w:sz w:val="18"/>
              </w:rPr>
              <w:t>93</w:t>
            </w:r>
          </w:p>
        </w:tc>
        <w:tc>
          <w:tcPr>
            <w:tcW w:w="794" w:type="dxa"/>
            <w:shd w:val="clear" w:color="auto" w:fill="E4E7DB"/>
          </w:tcPr>
          <w:p>
            <w:pPr>
              <w:pStyle w:val="TableParagraph"/>
              <w:spacing w:before="62"/>
              <w:ind w:left="19"/>
              <w:jc w:val="center"/>
              <w:rPr>
                <w:rFonts w:ascii="Wingdings 2" w:hAnsi="Wingdings 2"/>
                <w:sz w:val="18"/>
              </w:rPr>
            </w:pPr>
            <w:r>
              <w:rPr>
                <w:rFonts w:ascii="Wingdings 2" w:hAnsi="Wingdings 2"/>
                <w:sz w:val="18"/>
              </w:rPr>
              <w:t></w:t>
            </w:r>
          </w:p>
        </w:tc>
        <w:tc>
          <w:tcPr>
            <w:tcW w:w="794" w:type="dxa"/>
            <w:shd w:val="clear" w:color="auto" w:fill="E4E7DB"/>
          </w:tcPr>
          <w:p>
            <w:pPr>
              <w:pStyle w:val="TableParagraph"/>
              <w:spacing w:before="34"/>
              <w:ind w:left="156" w:right="137"/>
              <w:jc w:val="center"/>
              <w:rPr>
                <w:sz w:val="18"/>
              </w:rPr>
            </w:pPr>
            <w:hyperlink w:history="true" w:anchor="_bookmark62">
              <w:r>
                <w:rPr>
                  <w:color w:val="A7BE39"/>
                  <w:sz w:val="18"/>
                  <w:u w:val="single" w:color="A7BE39"/>
                </w:rPr>
                <w:t>98</w:t>
              </w:r>
            </w:hyperlink>
          </w:p>
        </w:tc>
      </w:tr>
      <w:tr>
        <w:trPr>
          <w:trHeight w:val="278" w:hRule="atLeast"/>
        </w:trPr>
        <w:tc>
          <w:tcPr>
            <w:tcW w:w="11140" w:type="dxa"/>
            <w:shd w:val="clear" w:color="auto" w:fill="C0B6C3"/>
          </w:tcPr>
          <w:p>
            <w:pPr>
              <w:pStyle w:val="TableParagraph"/>
              <w:spacing w:before="34"/>
              <w:ind w:left="113"/>
              <w:rPr>
                <w:sz w:val="18"/>
              </w:rPr>
            </w:pPr>
            <w:r>
              <w:rPr>
                <w:sz w:val="18"/>
              </w:rPr>
              <w:t>An effectiveness indicator is not reported for this outcome</w:t>
            </w:r>
          </w:p>
        </w:tc>
        <w:tc>
          <w:tcPr>
            <w:tcW w:w="794" w:type="dxa"/>
            <w:shd w:val="clear" w:color="auto" w:fill="C0B6C3"/>
          </w:tcPr>
          <w:p>
            <w:pPr>
              <w:pStyle w:val="TableParagraph"/>
              <w:spacing w:before="0"/>
              <w:rPr>
                <w:rFonts w:ascii="Times New Roman"/>
                <w:sz w:val="16"/>
              </w:rPr>
            </w:pPr>
          </w:p>
        </w:tc>
        <w:tc>
          <w:tcPr>
            <w:tcW w:w="907" w:type="dxa"/>
            <w:shd w:val="clear" w:color="auto" w:fill="C0B6C3"/>
          </w:tcPr>
          <w:p>
            <w:pPr>
              <w:pStyle w:val="TableParagraph"/>
              <w:spacing w:before="34"/>
              <w:ind w:right="91"/>
              <w:jc w:val="right"/>
              <w:rPr>
                <w:sz w:val="18"/>
              </w:rPr>
            </w:pPr>
            <w:r>
              <w:rPr>
                <w:sz w:val="18"/>
              </w:rPr>
              <w:t>N/A</w:t>
            </w:r>
          </w:p>
        </w:tc>
        <w:tc>
          <w:tcPr>
            <w:tcW w:w="907" w:type="dxa"/>
            <w:shd w:val="clear" w:color="auto" w:fill="C0B6C3"/>
          </w:tcPr>
          <w:p>
            <w:pPr>
              <w:pStyle w:val="TableParagraph"/>
              <w:spacing w:before="34"/>
              <w:ind w:right="91"/>
              <w:jc w:val="right"/>
              <w:rPr>
                <w:sz w:val="18"/>
              </w:rPr>
            </w:pPr>
            <w:r>
              <w:rPr>
                <w:sz w:val="18"/>
              </w:rPr>
              <w:t>N/A</w:t>
            </w:r>
          </w:p>
        </w:tc>
        <w:tc>
          <w:tcPr>
            <w:tcW w:w="794" w:type="dxa"/>
            <w:shd w:val="clear" w:color="auto" w:fill="C0B6C3"/>
          </w:tcPr>
          <w:p>
            <w:pPr>
              <w:pStyle w:val="TableParagraph"/>
              <w:spacing w:before="34"/>
              <w:ind w:left="156" w:right="137"/>
              <w:jc w:val="center"/>
              <w:rPr>
                <w:sz w:val="18"/>
              </w:rPr>
            </w:pPr>
            <w:r>
              <w:rPr>
                <w:sz w:val="18"/>
              </w:rPr>
              <w:t>N/A</w:t>
            </w:r>
          </w:p>
        </w:tc>
        <w:tc>
          <w:tcPr>
            <w:tcW w:w="794" w:type="dxa"/>
            <w:shd w:val="clear" w:color="auto" w:fill="C0B6C3"/>
          </w:tcPr>
          <w:p>
            <w:pPr>
              <w:pStyle w:val="TableParagraph"/>
              <w:spacing w:before="34"/>
              <w:ind w:left="19"/>
              <w:jc w:val="center"/>
              <w:rPr>
                <w:sz w:val="18"/>
              </w:rPr>
            </w:pPr>
            <w:r>
              <w:rPr>
                <w:w w:val="111"/>
                <w:sz w:val="18"/>
              </w:rPr>
              <w:t>-</w:t>
            </w:r>
          </w:p>
        </w:tc>
      </w:tr>
      <w:tr>
        <w:trPr>
          <w:trHeight w:val="288" w:hRule="atLeast"/>
        </w:trPr>
        <w:tc>
          <w:tcPr>
            <w:tcW w:w="11140" w:type="dxa"/>
            <w:shd w:val="clear" w:color="auto" w:fill="EFEFF0"/>
          </w:tcPr>
          <w:p>
            <w:pPr>
              <w:pStyle w:val="TableParagraph"/>
              <w:spacing w:before="34"/>
              <w:ind w:left="113"/>
              <w:rPr>
                <w:sz w:val="18"/>
              </w:rPr>
            </w:pPr>
            <w:r>
              <w:rPr>
                <w:sz w:val="18"/>
              </w:rPr>
              <w:t>Percentage of significant projects in the New Buildings Program delivered within 10% of approved budget</w:t>
            </w:r>
          </w:p>
        </w:tc>
        <w:tc>
          <w:tcPr>
            <w:tcW w:w="794" w:type="dxa"/>
            <w:shd w:val="clear" w:color="auto" w:fill="EFEFF0"/>
          </w:tcPr>
          <w:p>
            <w:pPr>
              <w:pStyle w:val="TableParagraph"/>
              <w:spacing w:before="34"/>
              <w:ind w:left="20"/>
              <w:jc w:val="center"/>
              <w:rPr>
                <w:sz w:val="18"/>
              </w:rPr>
            </w:pPr>
            <w:r>
              <w:rPr>
                <w:w w:val="99"/>
                <w:sz w:val="18"/>
              </w:rPr>
              <w:t>%</w:t>
            </w:r>
          </w:p>
        </w:tc>
        <w:tc>
          <w:tcPr>
            <w:tcW w:w="907" w:type="dxa"/>
            <w:shd w:val="clear" w:color="auto" w:fill="EFEFF0"/>
          </w:tcPr>
          <w:p>
            <w:pPr>
              <w:pStyle w:val="TableParagraph"/>
              <w:spacing w:before="34"/>
              <w:ind w:right="91"/>
              <w:jc w:val="right"/>
              <w:rPr>
                <w:sz w:val="18"/>
              </w:rPr>
            </w:pPr>
            <w:r>
              <w:rPr>
                <w:w w:val="95"/>
                <w:sz w:val="18"/>
              </w:rPr>
              <w:t>100</w:t>
            </w:r>
          </w:p>
        </w:tc>
        <w:tc>
          <w:tcPr>
            <w:tcW w:w="907" w:type="dxa"/>
            <w:shd w:val="clear" w:color="auto" w:fill="EFEFF0"/>
          </w:tcPr>
          <w:p>
            <w:pPr>
              <w:pStyle w:val="TableParagraph"/>
              <w:spacing w:before="34"/>
              <w:ind w:right="91"/>
              <w:jc w:val="right"/>
              <w:rPr>
                <w:sz w:val="18"/>
              </w:rPr>
            </w:pPr>
            <w:r>
              <w:rPr>
                <w:w w:val="95"/>
                <w:sz w:val="18"/>
              </w:rPr>
              <w:t>100</w:t>
            </w:r>
          </w:p>
        </w:tc>
        <w:tc>
          <w:tcPr>
            <w:tcW w:w="794" w:type="dxa"/>
            <w:shd w:val="clear" w:color="auto" w:fill="EFEFF0"/>
          </w:tcPr>
          <w:p>
            <w:pPr>
              <w:pStyle w:val="TableParagraph"/>
              <w:spacing w:before="62"/>
              <w:ind w:left="19"/>
              <w:jc w:val="center"/>
              <w:rPr>
                <w:rFonts w:ascii="Wingdings 2" w:hAnsi="Wingdings 2"/>
                <w:sz w:val="18"/>
              </w:rPr>
            </w:pPr>
            <w:r>
              <w:rPr>
                <w:rFonts w:ascii="Wingdings 2" w:hAnsi="Wingdings 2"/>
                <w:sz w:val="18"/>
              </w:rPr>
              <w:t></w:t>
            </w:r>
          </w:p>
        </w:tc>
        <w:tc>
          <w:tcPr>
            <w:tcW w:w="794" w:type="dxa"/>
            <w:shd w:val="clear" w:color="auto" w:fill="EFEFF0"/>
          </w:tcPr>
          <w:p>
            <w:pPr>
              <w:pStyle w:val="TableParagraph"/>
              <w:spacing w:before="34"/>
              <w:ind w:left="156" w:right="137"/>
              <w:jc w:val="center"/>
              <w:rPr>
                <w:sz w:val="18"/>
              </w:rPr>
            </w:pPr>
            <w:hyperlink w:history="true" w:anchor="_bookmark64">
              <w:r>
                <w:rPr>
                  <w:color w:val="A7BE39"/>
                  <w:sz w:val="18"/>
                  <w:u w:val="single" w:color="A7BE39"/>
                </w:rPr>
                <w:t>100</w:t>
              </w:r>
            </w:hyperlink>
          </w:p>
        </w:tc>
      </w:tr>
      <w:tr>
        <w:trPr>
          <w:trHeight w:val="288" w:hRule="atLeast"/>
        </w:trPr>
        <w:tc>
          <w:tcPr>
            <w:tcW w:w="11140" w:type="dxa"/>
            <w:shd w:val="clear" w:color="auto" w:fill="E2D9E3"/>
          </w:tcPr>
          <w:p>
            <w:pPr>
              <w:pStyle w:val="TableParagraph"/>
              <w:spacing w:before="34"/>
              <w:ind w:left="113"/>
              <w:rPr>
                <w:sz w:val="18"/>
              </w:rPr>
            </w:pPr>
            <w:r>
              <w:rPr>
                <w:sz w:val="18"/>
              </w:rPr>
              <w:t>The extent to which policy and program development objectives for the year are achieved</w:t>
            </w:r>
          </w:p>
        </w:tc>
        <w:tc>
          <w:tcPr>
            <w:tcW w:w="794" w:type="dxa"/>
            <w:shd w:val="clear" w:color="auto" w:fill="E2D9E3"/>
          </w:tcPr>
          <w:p>
            <w:pPr>
              <w:pStyle w:val="TableParagraph"/>
              <w:spacing w:before="34"/>
              <w:ind w:left="20"/>
              <w:jc w:val="center"/>
              <w:rPr>
                <w:sz w:val="18"/>
              </w:rPr>
            </w:pPr>
            <w:r>
              <w:rPr>
                <w:w w:val="99"/>
                <w:sz w:val="18"/>
              </w:rPr>
              <w:t>%</w:t>
            </w:r>
          </w:p>
        </w:tc>
        <w:tc>
          <w:tcPr>
            <w:tcW w:w="907" w:type="dxa"/>
            <w:shd w:val="clear" w:color="auto" w:fill="E2D9E3"/>
          </w:tcPr>
          <w:p>
            <w:pPr>
              <w:pStyle w:val="TableParagraph"/>
              <w:spacing w:before="34"/>
              <w:ind w:right="91"/>
              <w:jc w:val="right"/>
              <w:rPr>
                <w:sz w:val="18"/>
              </w:rPr>
            </w:pPr>
            <w:r>
              <w:rPr>
                <w:w w:val="95"/>
                <w:sz w:val="18"/>
              </w:rPr>
              <w:t>100</w:t>
            </w:r>
          </w:p>
        </w:tc>
        <w:tc>
          <w:tcPr>
            <w:tcW w:w="907" w:type="dxa"/>
            <w:shd w:val="clear" w:color="auto" w:fill="E2D9E3"/>
          </w:tcPr>
          <w:p>
            <w:pPr>
              <w:pStyle w:val="TableParagraph"/>
              <w:spacing w:before="34"/>
              <w:ind w:right="91"/>
              <w:jc w:val="right"/>
              <w:rPr>
                <w:sz w:val="18"/>
              </w:rPr>
            </w:pPr>
            <w:r>
              <w:rPr>
                <w:w w:val="95"/>
                <w:sz w:val="18"/>
              </w:rPr>
              <w:t>83</w:t>
            </w:r>
          </w:p>
        </w:tc>
        <w:tc>
          <w:tcPr>
            <w:tcW w:w="794" w:type="dxa"/>
            <w:shd w:val="clear" w:color="auto" w:fill="E2D9E3"/>
          </w:tcPr>
          <w:p>
            <w:pPr>
              <w:pStyle w:val="TableParagraph"/>
              <w:spacing w:before="60"/>
              <w:ind w:left="156" w:right="137"/>
              <w:jc w:val="center"/>
              <w:rPr>
                <w:sz w:val="10"/>
              </w:rPr>
            </w:pPr>
            <w:r>
              <w:rPr>
                <w:rFonts w:ascii="Wingdings 2" w:hAnsi="Wingdings 2"/>
                <w:position w:val="-5"/>
                <w:sz w:val="18"/>
              </w:rPr>
              <w:t></w:t>
            </w:r>
            <w:r>
              <w:rPr>
                <w:sz w:val="10"/>
              </w:rPr>
              <w:t>(b)</w:t>
            </w:r>
          </w:p>
        </w:tc>
        <w:tc>
          <w:tcPr>
            <w:tcW w:w="794" w:type="dxa"/>
            <w:shd w:val="clear" w:color="auto" w:fill="E2D9E3"/>
          </w:tcPr>
          <w:p>
            <w:pPr>
              <w:pStyle w:val="TableParagraph"/>
              <w:spacing w:before="34"/>
              <w:ind w:left="156" w:right="137"/>
              <w:jc w:val="center"/>
              <w:rPr>
                <w:sz w:val="18"/>
              </w:rPr>
            </w:pPr>
            <w:hyperlink w:history="true" w:anchor="_bookmark66">
              <w:r>
                <w:rPr>
                  <w:color w:val="A7BE39"/>
                  <w:sz w:val="18"/>
                  <w:u w:val="single" w:color="A7BE39"/>
                </w:rPr>
                <w:t>102</w:t>
              </w:r>
            </w:hyperlink>
          </w:p>
        </w:tc>
      </w:tr>
    </w:tbl>
    <w:p>
      <w:pPr>
        <w:pStyle w:val="ListParagraph"/>
        <w:numPr>
          <w:ilvl w:val="0"/>
          <w:numId w:val="4"/>
        </w:numPr>
        <w:tabs>
          <w:tab w:pos="919" w:val="left" w:leader="none"/>
        </w:tabs>
        <w:spacing w:line="240" w:lineRule="auto" w:before="30" w:after="0"/>
        <w:ind w:left="918" w:right="0" w:hanging="153"/>
        <w:jc w:val="left"/>
        <w:rPr>
          <w:sz w:val="12"/>
        </w:rPr>
      </w:pPr>
      <w:r>
        <w:rPr>
          <w:spacing w:val="-5"/>
          <w:sz w:val="12"/>
        </w:rPr>
        <w:t>Two </w:t>
      </w:r>
      <w:r>
        <w:rPr>
          <w:sz w:val="12"/>
        </w:rPr>
        <w:t>of 467,292 applications were incorrectly paid during</w:t>
      </w:r>
      <w:r>
        <w:rPr>
          <w:spacing w:val="3"/>
          <w:sz w:val="12"/>
        </w:rPr>
        <w:t> </w:t>
      </w:r>
      <w:r>
        <w:rPr>
          <w:sz w:val="12"/>
        </w:rPr>
        <w:t>2016-17.</w:t>
      </w:r>
    </w:p>
    <w:p>
      <w:pPr>
        <w:pStyle w:val="ListParagraph"/>
        <w:numPr>
          <w:ilvl w:val="0"/>
          <w:numId w:val="4"/>
        </w:numPr>
        <w:tabs>
          <w:tab w:pos="926" w:val="left" w:leader="none"/>
        </w:tabs>
        <w:spacing w:line="240" w:lineRule="auto" w:before="6" w:after="0"/>
        <w:ind w:left="925" w:right="0" w:hanging="160"/>
        <w:jc w:val="left"/>
        <w:rPr>
          <w:sz w:val="12"/>
        </w:rPr>
      </w:pPr>
      <w:r>
        <w:rPr>
          <w:sz w:val="12"/>
        </w:rPr>
        <w:t>A number of policies were realigned during 2016-17 impacting on achieved outcomes. Further information available on page</w:t>
      </w:r>
      <w:r>
        <w:rPr>
          <w:color w:val="A7BE39"/>
          <w:spacing w:val="-12"/>
          <w:sz w:val="12"/>
        </w:rPr>
        <w:t> </w:t>
      </w:r>
      <w:hyperlink w:history="true" w:anchor="_bookmark66">
        <w:r>
          <w:rPr>
            <w:color w:val="A7BE39"/>
            <w:sz w:val="12"/>
            <w:u w:val="single" w:color="A7BE39"/>
          </w:rPr>
          <w:t>102</w:t>
        </w:r>
      </w:hyperlink>
      <w:r>
        <w:rPr>
          <w:sz w:val="12"/>
        </w:rPr>
        <w:t>.</w:t>
      </w:r>
    </w:p>
    <w:p>
      <w:pPr>
        <w:pStyle w:val="BodyText"/>
        <w:spacing w:before="9"/>
        <w:rPr>
          <w:sz w:val="15"/>
        </w:rPr>
      </w:pPr>
    </w:p>
    <w:p>
      <w:pPr>
        <w:spacing w:before="0" w:after="35"/>
        <w:ind w:left="785" w:right="0" w:firstLine="0"/>
        <w:jc w:val="left"/>
        <w:rPr>
          <w:b/>
          <w:sz w:val="19"/>
        </w:rPr>
      </w:pPr>
      <w:r>
        <w:rPr>
          <w:b/>
          <w:sz w:val="19"/>
        </w:rPr>
        <w:t>Service</w:t>
      </w: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1140"/>
        <w:gridCol w:w="794"/>
        <w:gridCol w:w="907"/>
        <w:gridCol w:w="907"/>
        <w:gridCol w:w="794"/>
        <w:gridCol w:w="794"/>
      </w:tblGrid>
      <w:tr>
        <w:trPr>
          <w:trHeight w:val="278" w:hRule="atLeast"/>
        </w:trPr>
        <w:tc>
          <w:tcPr>
            <w:tcW w:w="11140" w:type="dxa"/>
            <w:shd w:val="clear" w:color="auto" w:fill="783A79"/>
          </w:tcPr>
          <w:p>
            <w:pPr>
              <w:pStyle w:val="TableParagraph"/>
              <w:spacing w:before="34"/>
              <w:ind w:left="113"/>
              <w:rPr>
                <w:b/>
                <w:sz w:val="18"/>
              </w:rPr>
            </w:pPr>
            <w:r>
              <w:rPr>
                <w:b/>
                <w:color w:val="FFFFFF"/>
                <w:sz w:val="18"/>
              </w:rPr>
              <w:t>Key Efficiency Indicator</w:t>
            </w:r>
          </w:p>
        </w:tc>
        <w:tc>
          <w:tcPr>
            <w:tcW w:w="794" w:type="dxa"/>
            <w:shd w:val="clear" w:color="auto" w:fill="783A79"/>
          </w:tcPr>
          <w:p>
            <w:pPr>
              <w:pStyle w:val="TableParagraph"/>
              <w:spacing w:before="34"/>
              <w:ind w:left="156" w:right="136"/>
              <w:jc w:val="center"/>
              <w:rPr>
                <w:b/>
                <w:sz w:val="18"/>
              </w:rPr>
            </w:pPr>
            <w:r>
              <w:rPr>
                <w:b/>
                <w:color w:val="FFFFFF"/>
                <w:sz w:val="18"/>
              </w:rPr>
              <w:t>Unit</w:t>
            </w:r>
          </w:p>
        </w:tc>
        <w:tc>
          <w:tcPr>
            <w:tcW w:w="907" w:type="dxa"/>
            <w:shd w:val="clear" w:color="auto" w:fill="783A79"/>
          </w:tcPr>
          <w:p>
            <w:pPr>
              <w:pStyle w:val="TableParagraph"/>
              <w:spacing w:before="34"/>
              <w:ind w:right="91"/>
              <w:jc w:val="right"/>
              <w:rPr>
                <w:b/>
                <w:sz w:val="18"/>
              </w:rPr>
            </w:pPr>
            <w:r>
              <w:rPr>
                <w:b/>
                <w:color w:val="FFFFFF"/>
                <w:sz w:val="18"/>
              </w:rPr>
              <w:t>Target</w:t>
            </w:r>
          </w:p>
        </w:tc>
        <w:tc>
          <w:tcPr>
            <w:tcW w:w="907" w:type="dxa"/>
            <w:shd w:val="clear" w:color="auto" w:fill="783A79"/>
          </w:tcPr>
          <w:p>
            <w:pPr>
              <w:pStyle w:val="TableParagraph"/>
              <w:spacing w:before="34"/>
              <w:ind w:right="91"/>
              <w:jc w:val="right"/>
              <w:rPr>
                <w:b/>
                <w:sz w:val="18"/>
              </w:rPr>
            </w:pPr>
            <w:r>
              <w:rPr>
                <w:b/>
                <w:color w:val="FFFFFF"/>
                <w:w w:val="95"/>
                <w:sz w:val="18"/>
              </w:rPr>
              <w:t>Actual</w:t>
            </w:r>
          </w:p>
        </w:tc>
        <w:tc>
          <w:tcPr>
            <w:tcW w:w="794" w:type="dxa"/>
            <w:shd w:val="clear" w:color="auto" w:fill="783A79"/>
          </w:tcPr>
          <w:p>
            <w:pPr>
              <w:pStyle w:val="TableParagraph"/>
              <w:spacing w:before="34"/>
              <w:ind w:left="156" w:right="137"/>
              <w:jc w:val="center"/>
              <w:rPr>
                <w:b/>
                <w:sz w:val="18"/>
              </w:rPr>
            </w:pPr>
            <w:r>
              <w:rPr>
                <w:b/>
                <w:color w:val="FFFFFF"/>
                <w:sz w:val="18"/>
              </w:rPr>
              <w:t>Stats</w:t>
            </w:r>
          </w:p>
        </w:tc>
        <w:tc>
          <w:tcPr>
            <w:tcW w:w="794" w:type="dxa"/>
            <w:shd w:val="clear" w:color="auto" w:fill="783A79"/>
          </w:tcPr>
          <w:p>
            <w:pPr>
              <w:pStyle w:val="TableParagraph"/>
              <w:spacing w:before="34"/>
              <w:ind w:left="156" w:right="137"/>
              <w:jc w:val="center"/>
              <w:rPr>
                <w:b/>
                <w:sz w:val="18"/>
              </w:rPr>
            </w:pPr>
            <w:r>
              <w:rPr>
                <w:b/>
                <w:color w:val="FFFFFF"/>
                <w:sz w:val="18"/>
              </w:rPr>
              <w:t>Page</w:t>
            </w:r>
          </w:p>
        </w:tc>
      </w:tr>
      <w:tr>
        <w:trPr>
          <w:trHeight w:val="288" w:hRule="atLeast"/>
        </w:trPr>
        <w:tc>
          <w:tcPr>
            <w:tcW w:w="11140" w:type="dxa"/>
            <w:shd w:val="clear" w:color="auto" w:fill="F2F3E1"/>
          </w:tcPr>
          <w:p>
            <w:pPr>
              <w:pStyle w:val="TableParagraph"/>
              <w:spacing w:before="34"/>
              <w:ind w:left="113"/>
              <w:rPr>
                <w:sz w:val="18"/>
              </w:rPr>
            </w:pPr>
            <w:r>
              <w:rPr>
                <w:sz w:val="18"/>
              </w:rPr>
              <w:t>Cost per $100 of revenue raised</w:t>
            </w:r>
          </w:p>
        </w:tc>
        <w:tc>
          <w:tcPr>
            <w:tcW w:w="794" w:type="dxa"/>
            <w:shd w:val="clear" w:color="auto" w:fill="F2F3E1"/>
          </w:tcPr>
          <w:p>
            <w:pPr>
              <w:pStyle w:val="TableParagraph"/>
              <w:spacing w:before="34"/>
              <w:ind w:left="20"/>
              <w:jc w:val="center"/>
              <w:rPr>
                <w:sz w:val="18"/>
              </w:rPr>
            </w:pPr>
            <w:r>
              <w:rPr>
                <w:w w:val="99"/>
                <w:sz w:val="18"/>
              </w:rPr>
              <w:t>$</w:t>
            </w:r>
          </w:p>
        </w:tc>
        <w:tc>
          <w:tcPr>
            <w:tcW w:w="907" w:type="dxa"/>
            <w:shd w:val="clear" w:color="auto" w:fill="F2F3E1"/>
          </w:tcPr>
          <w:p>
            <w:pPr>
              <w:pStyle w:val="TableParagraph"/>
              <w:spacing w:before="34"/>
              <w:ind w:right="91"/>
              <w:jc w:val="right"/>
              <w:rPr>
                <w:sz w:val="18"/>
              </w:rPr>
            </w:pPr>
            <w:r>
              <w:rPr>
                <w:w w:val="95"/>
                <w:sz w:val="18"/>
              </w:rPr>
              <w:t>0.71</w:t>
            </w:r>
          </w:p>
        </w:tc>
        <w:tc>
          <w:tcPr>
            <w:tcW w:w="907" w:type="dxa"/>
            <w:shd w:val="clear" w:color="auto" w:fill="F2F3E1"/>
          </w:tcPr>
          <w:p>
            <w:pPr>
              <w:pStyle w:val="TableParagraph"/>
              <w:spacing w:before="34"/>
              <w:ind w:right="91"/>
              <w:jc w:val="right"/>
              <w:rPr>
                <w:sz w:val="18"/>
              </w:rPr>
            </w:pPr>
            <w:r>
              <w:rPr>
                <w:w w:val="95"/>
                <w:sz w:val="18"/>
              </w:rPr>
              <w:t>0.76</w:t>
            </w:r>
          </w:p>
        </w:tc>
        <w:tc>
          <w:tcPr>
            <w:tcW w:w="794" w:type="dxa"/>
            <w:shd w:val="clear" w:color="auto" w:fill="F2F3E1"/>
          </w:tcPr>
          <w:p>
            <w:pPr>
              <w:pStyle w:val="TableParagraph"/>
              <w:spacing w:before="60"/>
              <w:ind w:left="156" w:right="137"/>
              <w:jc w:val="center"/>
              <w:rPr>
                <w:sz w:val="10"/>
              </w:rPr>
            </w:pPr>
            <w:r>
              <w:rPr>
                <w:rFonts w:ascii="Wingdings 2" w:hAnsi="Wingdings 2"/>
                <w:position w:val="-5"/>
                <w:sz w:val="18"/>
              </w:rPr>
              <w:t></w:t>
            </w:r>
            <w:r>
              <w:rPr>
                <w:sz w:val="10"/>
              </w:rPr>
              <w:t>(c)</w:t>
            </w:r>
          </w:p>
        </w:tc>
        <w:tc>
          <w:tcPr>
            <w:tcW w:w="794" w:type="dxa"/>
            <w:shd w:val="clear" w:color="auto" w:fill="F2F3E1"/>
          </w:tcPr>
          <w:p>
            <w:pPr>
              <w:pStyle w:val="TableParagraph"/>
              <w:spacing w:before="34"/>
              <w:ind w:left="156" w:right="137"/>
              <w:jc w:val="center"/>
              <w:rPr>
                <w:sz w:val="18"/>
              </w:rPr>
            </w:pPr>
            <w:hyperlink w:history="true" w:anchor="_bookmark61">
              <w:r>
                <w:rPr>
                  <w:color w:val="A7BE39"/>
                  <w:sz w:val="18"/>
                  <w:u w:val="single" w:color="A7BE39"/>
                </w:rPr>
                <w:t>97</w:t>
              </w:r>
            </w:hyperlink>
          </w:p>
        </w:tc>
      </w:tr>
      <w:tr>
        <w:trPr>
          <w:trHeight w:val="288" w:hRule="atLeast"/>
        </w:trPr>
        <w:tc>
          <w:tcPr>
            <w:tcW w:w="11140" w:type="dxa"/>
            <w:shd w:val="clear" w:color="auto" w:fill="F2F3E1"/>
          </w:tcPr>
          <w:p>
            <w:pPr>
              <w:pStyle w:val="TableParagraph"/>
              <w:spacing w:before="34"/>
              <w:ind w:left="113"/>
              <w:rPr>
                <w:sz w:val="18"/>
              </w:rPr>
            </w:pPr>
            <w:r>
              <w:rPr>
                <w:sz w:val="18"/>
              </w:rPr>
              <w:t>Average cost per application/claim processed</w:t>
            </w:r>
          </w:p>
        </w:tc>
        <w:tc>
          <w:tcPr>
            <w:tcW w:w="794" w:type="dxa"/>
            <w:shd w:val="clear" w:color="auto" w:fill="F2F3E1"/>
          </w:tcPr>
          <w:p>
            <w:pPr>
              <w:pStyle w:val="TableParagraph"/>
              <w:spacing w:before="34"/>
              <w:ind w:left="20"/>
              <w:jc w:val="center"/>
              <w:rPr>
                <w:sz w:val="18"/>
              </w:rPr>
            </w:pPr>
            <w:r>
              <w:rPr>
                <w:w w:val="99"/>
                <w:sz w:val="18"/>
              </w:rPr>
              <w:t>$</w:t>
            </w:r>
          </w:p>
        </w:tc>
        <w:tc>
          <w:tcPr>
            <w:tcW w:w="907" w:type="dxa"/>
            <w:shd w:val="clear" w:color="auto" w:fill="F2F3E1"/>
          </w:tcPr>
          <w:p>
            <w:pPr>
              <w:pStyle w:val="TableParagraph"/>
              <w:spacing w:before="34"/>
              <w:ind w:right="91"/>
              <w:jc w:val="right"/>
              <w:rPr>
                <w:sz w:val="18"/>
              </w:rPr>
            </w:pPr>
            <w:r>
              <w:rPr>
                <w:w w:val="95"/>
                <w:sz w:val="18"/>
              </w:rPr>
              <w:t>11.41</w:t>
            </w:r>
          </w:p>
        </w:tc>
        <w:tc>
          <w:tcPr>
            <w:tcW w:w="907" w:type="dxa"/>
            <w:shd w:val="clear" w:color="auto" w:fill="F2F3E1"/>
          </w:tcPr>
          <w:p>
            <w:pPr>
              <w:pStyle w:val="TableParagraph"/>
              <w:spacing w:before="34"/>
              <w:ind w:right="91"/>
              <w:jc w:val="right"/>
              <w:rPr>
                <w:sz w:val="18"/>
              </w:rPr>
            </w:pPr>
            <w:r>
              <w:rPr>
                <w:w w:val="95"/>
                <w:sz w:val="18"/>
              </w:rPr>
              <w:t>10.52</w:t>
            </w:r>
          </w:p>
        </w:tc>
        <w:tc>
          <w:tcPr>
            <w:tcW w:w="794" w:type="dxa"/>
            <w:shd w:val="clear" w:color="auto" w:fill="F2F3E1"/>
          </w:tcPr>
          <w:p>
            <w:pPr>
              <w:pStyle w:val="TableParagraph"/>
              <w:spacing w:before="62"/>
              <w:ind w:left="19"/>
              <w:jc w:val="center"/>
              <w:rPr>
                <w:rFonts w:ascii="Wingdings 2" w:hAnsi="Wingdings 2"/>
                <w:sz w:val="18"/>
              </w:rPr>
            </w:pPr>
            <w:r>
              <w:rPr>
                <w:rFonts w:ascii="Wingdings 2" w:hAnsi="Wingdings 2"/>
                <w:sz w:val="18"/>
              </w:rPr>
              <w:t></w:t>
            </w:r>
          </w:p>
        </w:tc>
        <w:tc>
          <w:tcPr>
            <w:tcW w:w="794" w:type="dxa"/>
            <w:shd w:val="clear" w:color="auto" w:fill="F2F3E1"/>
          </w:tcPr>
          <w:p>
            <w:pPr>
              <w:pStyle w:val="TableParagraph"/>
              <w:spacing w:before="34"/>
              <w:ind w:left="156" w:right="137"/>
              <w:jc w:val="center"/>
              <w:rPr>
                <w:sz w:val="18"/>
              </w:rPr>
            </w:pPr>
            <w:hyperlink w:history="true" w:anchor="_bookmark61">
              <w:r>
                <w:rPr>
                  <w:color w:val="A7BE39"/>
                  <w:sz w:val="18"/>
                  <w:u w:val="single" w:color="A7BE39"/>
                </w:rPr>
                <w:t>97</w:t>
              </w:r>
            </w:hyperlink>
          </w:p>
        </w:tc>
      </w:tr>
      <w:tr>
        <w:trPr>
          <w:trHeight w:val="288" w:hRule="atLeast"/>
        </w:trPr>
        <w:tc>
          <w:tcPr>
            <w:tcW w:w="11140" w:type="dxa"/>
            <w:shd w:val="clear" w:color="auto" w:fill="E4E7DB"/>
          </w:tcPr>
          <w:p>
            <w:pPr>
              <w:pStyle w:val="TableParagraph"/>
              <w:spacing w:before="34"/>
              <w:ind w:left="113"/>
              <w:rPr>
                <w:sz w:val="18"/>
              </w:rPr>
            </w:pPr>
            <w:r>
              <w:rPr>
                <w:sz w:val="18"/>
              </w:rPr>
              <w:t>Average administrative cost per vehicle for financing and managing the State Fleet service</w:t>
            </w:r>
          </w:p>
        </w:tc>
        <w:tc>
          <w:tcPr>
            <w:tcW w:w="794" w:type="dxa"/>
            <w:shd w:val="clear" w:color="auto" w:fill="E4E7DB"/>
          </w:tcPr>
          <w:p>
            <w:pPr>
              <w:pStyle w:val="TableParagraph"/>
              <w:spacing w:before="34"/>
              <w:ind w:left="20"/>
              <w:jc w:val="center"/>
              <w:rPr>
                <w:sz w:val="18"/>
              </w:rPr>
            </w:pPr>
            <w:r>
              <w:rPr>
                <w:w w:val="99"/>
                <w:sz w:val="18"/>
              </w:rPr>
              <w:t>$</w:t>
            </w:r>
          </w:p>
        </w:tc>
        <w:tc>
          <w:tcPr>
            <w:tcW w:w="907" w:type="dxa"/>
            <w:shd w:val="clear" w:color="auto" w:fill="E4E7DB"/>
          </w:tcPr>
          <w:p>
            <w:pPr>
              <w:pStyle w:val="TableParagraph"/>
              <w:spacing w:before="34"/>
              <w:ind w:right="91"/>
              <w:jc w:val="right"/>
              <w:rPr>
                <w:sz w:val="18"/>
              </w:rPr>
            </w:pPr>
            <w:r>
              <w:rPr>
                <w:w w:val="95"/>
                <w:sz w:val="18"/>
              </w:rPr>
              <w:t>102</w:t>
            </w:r>
          </w:p>
        </w:tc>
        <w:tc>
          <w:tcPr>
            <w:tcW w:w="907" w:type="dxa"/>
            <w:shd w:val="clear" w:color="auto" w:fill="E4E7DB"/>
          </w:tcPr>
          <w:p>
            <w:pPr>
              <w:pStyle w:val="TableParagraph"/>
              <w:spacing w:before="34"/>
              <w:ind w:right="91"/>
              <w:jc w:val="right"/>
              <w:rPr>
                <w:sz w:val="18"/>
              </w:rPr>
            </w:pPr>
            <w:r>
              <w:rPr>
                <w:w w:val="95"/>
                <w:sz w:val="18"/>
              </w:rPr>
              <w:t>104</w:t>
            </w:r>
          </w:p>
        </w:tc>
        <w:tc>
          <w:tcPr>
            <w:tcW w:w="794" w:type="dxa"/>
            <w:shd w:val="clear" w:color="auto" w:fill="E4E7DB"/>
          </w:tcPr>
          <w:p>
            <w:pPr>
              <w:pStyle w:val="TableParagraph"/>
              <w:spacing w:before="60"/>
              <w:ind w:left="156" w:right="137"/>
              <w:jc w:val="center"/>
              <w:rPr>
                <w:sz w:val="10"/>
              </w:rPr>
            </w:pPr>
            <w:r>
              <w:rPr>
                <w:rFonts w:ascii="Wingdings 2" w:hAnsi="Wingdings 2"/>
                <w:position w:val="-5"/>
                <w:sz w:val="18"/>
              </w:rPr>
              <w:t></w:t>
            </w:r>
            <w:r>
              <w:rPr>
                <w:sz w:val="10"/>
              </w:rPr>
              <w:t>(d)</w:t>
            </w:r>
          </w:p>
        </w:tc>
        <w:tc>
          <w:tcPr>
            <w:tcW w:w="794" w:type="dxa"/>
            <w:shd w:val="clear" w:color="auto" w:fill="E4E7DB"/>
          </w:tcPr>
          <w:p>
            <w:pPr>
              <w:pStyle w:val="TableParagraph"/>
              <w:spacing w:before="34"/>
              <w:ind w:left="156" w:right="137"/>
              <w:jc w:val="center"/>
              <w:rPr>
                <w:sz w:val="18"/>
              </w:rPr>
            </w:pPr>
            <w:hyperlink w:history="true" w:anchor="_bookmark63">
              <w:r>
                <w:rPr>
                  <w:color w:val="A7BE39"/>
                  <w:sz w:val="18"/>
                  <w:u w:val="single" w:color="A7BE39"/>
                </w:rPr>
                <w:t>99</w:t>
              </w:r>
            </w:hyperlink>
          </w:p>
        </w:tc>
      </w:tr>
      <w:tr>
        <w:trPr>
          <w:trHeight w:val="494" w:hRule="atLeast"/>
        </w:trPr>
        <w:tc>
          <w:tcPr>
            <w:tcW w:w="11140" w:type="dxa"/>
            <w:shd w:val="clear" w:color="auto" w:fill="E4E7DB"/>
          </w:tcPr>
          <w:p>
            <w:pPr>
              <w:pStyle w:val="TableParagraph"/>
              <w:spacing w:line="249" w:lineRule="auto" w:before="34"/>
              <w:ind w:left="113" w:right="2562"/>
              <w:rPr>
                <w:sz w:val="18"/>
              </w:rPr>
            </w:pPr>
            <w:r>
              <w:rPr>
                <w:sz w:val="18"/>
              </w:rPr>
              <w:t>Cost</w:t>
            </w:r>
            <w:r>
              <w:rPr>
                <w:spacing w:val="-31"/>
                <w:sz w:val="18"/>
              </w:rPr>
              <w:t> </w:t>
            </w:r>
            <w:r>
              <w:rPr>
                <w:sz w:val="18"/>
              </w:rPr>
              <w:t>of</w:t>
            </w:r>
            <w:r>
              <w:rPr>
                <w:spacing w:val="-31"/>
                <w:sz w:val="18"/>
              </w:rPr>
              <w:t> </w:t>
            </w:r>
            <w:r>
              <w:rPr>
                <w:sz w:val="18"/>
              </w:rPr>
              <w:t>developing</w:t>
            </w:r>
            <w:r>
              <w:rPr>
                <w:spacing w:val="-31"/>
                <w:sz w:val="18"/>
              </w:rPr>
              <w:t> </w:t>
            </w:r>
            <w:r>
              <w:rPr>
                <w:sz w:val="18"/>
              </w:rPr>
              <w:t>and</w:t>
            </w:r>
            <w:r>
              <w:rPr>
                <w:spacing w:val="-31"/>
                <w:sz w:val="18"/>
              </w:rPr>
              <w:t> </w:t>
            </w:r>
            <w:r>
              <w:rPr>
                <w:sz w:val="18"/>
              </w:rPr>
              <w:t>managing</w:t>
            </w:r>
            <w:r>
              <w:rPr>
                <w:spacing w:val="-31"/>
                <w:sz w:val="18"/>
              </w:rPr>
              <w:t> </w:t>
            </w:r>
            <w:r>
              <w:rPr>
                <w:sz w:val="18"/>
              </w:rPr>
              <w:t>whole-of-government</w:t>
            </w:r>
            <w:r>
              <w:rPr>
                <w:spacing w:val="-30"/>
                <w:sz w:val="18"/>
              </w:rPr>
              <w:t> </w:t>
            </w:r>
            <w:r>
              <w:rPr>
                <w:sz w:val="18"/>
              </w:rPr>
              <w:t>Common</w:t>
            </w:r>
            <w:r>
              <w:rPr>
                <w:spacing w:val="-31"/>
                <w:sz w:val="18"/>
              </w:rPr>
              <w:t> </w:t>
            </w:r>
            <w:r>
              <w:rPr>
                <w:sz w:val="18"/>
              </w:rPr>
              <w:t>Use</w:t>
            </w:r>
            <w:r>
              <w:rPr>
                <w:spacing w:val="-31"/>
                <w:sz w:val="18"/>
              </w:rPr>
              <w:t> </w:t>
            </w:r>
            <w:r>
              <w:rPr>
                <w:sz w:val="18"/>
              </w:rPr>
              <w:t>Contract</w:t>
            </w:r>
            <w:r>
              <w:rPr>
                <w:spacing w:val="-31"/>
                <w:sz w:val="18"/>
              </w:rPr>
              <w:t> </w:t>
            </w:r>
            <w:r>
              <w:rPr>
                <w:sz w:val="18"/>
              </w:rPr>
              <w:t>Arrangements</w:t>
            </w:r>
            <w:r>
              <w:rPr>
                <w:spacing w:val="-31"/>
                <w:sz w:val="18"/>
              </w:rPr>
              <w:t> </w:t>
            </w:r>
            <w:r>
              <w:rPr>
                <w:sz w:val="18"/>
              </w:rPr>
              <w:t>as</w:t>
            </w:r>
            <w:r>
              <w:rPr>
                <w:spacing w:val="-30"/>
                <w:sz w:val="18"/>
              </w:rPr>
              <w:t> </w:t>
            </w:r>
            <w:r>
              <w:rPr>
                <w:sz w:val="18"/>
              </w:rPr>
              <w:t>a</w:t>
            </w:r>
            <w:r>
              <w:rPr>
                <w:spacing w:val="-31"/>
                <w:sz w:val="18"/>
              </w:rPr>
              <w:t> </w:t>
            </w:r>
            <w:r>
              <w:rPr>
                <w:spacing w:val="-3"/>
                <w:sz w:val="18"/>
              </w:rPr>
              <w:t>percentage </w:t>
            </w:r>
            <w:r>
              <w:rPr>
                <w:sz w:val="18"/>
              </w:rPr>
              <w:t>of</w:t>
            </w:r>
            <w:r>
              <w:rPr>
                <w:spacing w:val="-7"/>
                <w:sz w:val="18"/>
              </w:rPr>
              <w:t> </w:t>
            </w:r>
            <w:r>
              <w:rPr>
                <w:sz w:val="18"/>
              </w:rPr>
              <w:t>the</w:t>
            </w:r>
            <w:r>
              <w:rPr>
                <w:spacing w:val="-6"/>
                <w:sz w:val="18"/>
              </w:rPr>
              <w:t> </w:t>
            </w:r>
            <w:r>
              <w:rPr>
                <w:sz w:val="18"/>
              </w:rPr>
              <w:t>total</w:t>
            </w:r>
            <w:r>
              <w:rPr>
                <w:spacing w:val="-6"/>
                <w:sz w:val="18"/>
              </w:rPr>
              <w:t> </w:t>
            </w:r>
            <w:r>
              <w:rPr>
                <w:sz w:val="18"/>
              </w:rPr>
              <w:t>annual</w:t>
            </w:r>
            <w:r>
              <w:rPr>
                <w:spacing w:val="-6"/>
                <w:sz w:val="18"/>
              </w:rPr>
              <w:t> </w:t>
            </w:r>
            <w:r>
              <w:rPr>
                <w:sz w:val="18"/>
              </w:rPr>
              <w:t>value</w:t>
            </w:r>
            <w:r>
              <w:rPr>
                <w:spacing w:val="-6"/>
                <w:sz w:val="18"/>
              </w:rPr>
              <w:t> </w:t>
            </w:r>
            <w:r>
              <w:rPr>
                <w:sz w:val="18"/>
              </w:rPr>
              <w:t>of</w:t>
            </w:r>
            <w:r>
              <w:rPr>
                <w:spacing w:val="-6"/>
                <w:sz w:val="18"/>
              </w:rPr>
              <w:t> </w:t>
            </w:r>
            <w:r>
              <w:rPr>
                <w:spacing w:val="-3"/>
                <w:sz w:val="18"/>
              </w:rPr>
              <w:t>purchases</w:t>
            </w:r>
            <w:r>
              <w:rPr>
                <w:spacing w:val="-7"/>
                <w:sz w:val="18"/>
              </w:rPr>
              <w:t> </w:t>
            </w:r>
            <w:r>
              <w:rPr>
                <w:spacing w:val="-3"/>
                <w:sz w:val="18"/>
              </w:rPr>
              <w:t>through</w:t>
            </w:r>
            <w:r>
              <w:rPr>
                <w:spacing w:val="-6"/>
                <w:sz w:val="18"/>
              </w:rPr>
              <w:t> </w:t>
            </w:r>
            <w:r>
              <w:rPr>
                <w:sz w:val="18"/>
              </w:rPr>
              <w:t>the</w:t>
            </w:r>
            <w:r>
              <w:rPr>
                <w:spacing w:val="-6"/>
                <w:sz w:val="18"/>
              </w:rPr>
              <w:t> </w:t>
            </w:r>
            <w:r>
              <w:rPr>
                <w:spacing w:val="-2"/>
                <w:sz w:val="18"/>
              </w:rPr>
              <w:t>arrangements</w:t>
            </w:r>
          </w:p>
        </w:tc>
        <w:tc>
          <w:tcPr>
            <w:tcW w:w="794" w:type="dxa"/>
            <w:shd w:val="clear" w:color="auto" w:fill="E4E7DB"/>
          </w:tcPr>
          <w:p>
            <w:pPr>
              <w:pStyle w:val="TableParagraph"/>
              <w:spacing w:before="34"/>
              <w:ind w:left="20"/>
              <w:jc w:val="center"/>
              <w:rPr>
                <w:sz w:val="18"/>
              </w:rPr>
            </w:pPr>
            <w:r>
              <w:rPr>
                <w:w w:val="99"/>
                <w:sz w:val="18"/>
              </w:rPr>
              <w:t>%</w:t>
            </w:r>
          </w:p>
        </w:tc>
        <w:tc>
          <w:tcPr>
            <w:tcW w:w="907" w:type="dxa"/>
            <w:shd w:val="clear" w:color="auto" w:fill="E4E7DB"/>
          </w:tcPr>
          <w:p>
            <w:pPr>
              <w:pStyle w:val="TableParagraph"/>
              <w:spacing w:before="34"/>
              <w:ind w:right="91"/>
              <w:jc w:val="right"/>
              <w:rPr>
                <w:sz w:val="18"/>
              </w:rPr>
            </w:pPr>
            <w:r>
              <w:rPr>
                <w:w w:val="95"/>
                <w:sz w:val="18"/>
              </w:rPr>
              <w:t>1.5</w:t>
            </w:r>
          </w:p>
        </w:tc>
        <w:tc>
          <w:tcPr>
            <w:tcW w:w="907" w:type="dxa"/>
            <w:shd w:val="clear" w:color="auto" w:fill="E4E7DB"/>
          </w:tcPr>
          <w:p>
            <w:pPr>
              <w:pStyle w:val="TableParagraph"/>
              <w:spacing w:before="34"/>
              <w:ind w:right="91"/>
              <w:jc w:val="right"/>
              <w:rPr>
                <w:sz w:val="18"/>
              </w:rPr>
            </w:pPr>
            <w:r>
              <w:rPr>
                <w:w w:val="95"/>
                <w:sz w:val="18"/>
              </w:rPr>
              <w:t>1.5</w:t>
            </w:r>
          </w:p>
        </w:tc>
        <w:tc>
          <w:tcPr>
            <w:tcW w:w="794" w:type="dxa"/>
            <w:shd w:val="clear" w:color="auto" w:fill="E4E7DB"/>
          </w:tcPr>
          <w:p>
            <w:pPr>
              <w:pStyle w:val="TableParagraph"/>
              <w:spacing w:before="62"/>
              <w:ind w:left="19"/>
              <w:jc w:val="center"/>
              <w:rPr>
                <w:rFonts w:ascii="Wingdings 2" w:hAnsi="Wingdings 2"/>
                <w:sz w:val="18"/>
              </w:rPr>
            </w:pPr>
            <w:r>
              <w:rPr>
                <w:rFonts w:ascii="Wingdings 2" w:hAnsi="Wingdings 2"/>
                <w:sz w:val="18"/>
              </w:rPr>
              <w:t></w:t>
            </w:r>
          </w:p>
        </w:tc>
        <w:tc>
          <w:tcPr>
            <w:tcW w:w="794" w:type="dxa"/>
            <w:shd w:val="clear" w:color="auto" w:fill="E4E7DB"/>
          </w:tcPr>
          <w:p>
            <w:pPr>
              <w:pStyle w:val="TableParagraph"/>
              <w:spacing w:before="34"/>
              <w:ind w:left="156" w:right="137"/>
              <w:jc w:val="center"/>
              <w:rPr>
                <w:sz w:val="18"/>
              </w:rPr>
            </w:pPr>
            <w:hyperlink w:history="true" w:anchor="_bookmark63">
              <w:r>
                <w:rPr>
                  <w:color w:val="A7BE39"/>
                  <w:sz w:val="18"/>
                  <w:u w:val="single" w:color="A7BE39"/>
                </w:rPr>
                <w:t>99</w:t>
              </w:r>
            </w:hyperlink>
          </w:p>
        </w:tc>
      </w:tr>
      <w:tr>
        <w:trPr>
          <w:trHeight w:val="288" w:hRule="atLeast"/>
        </w:trPr>
        <w:tc>
          <w:tcPr>
            <w:tcW w:w="11140" w:type="dxa"/>
            <w:shd w:val="clear" w:color="auto" w:fill="E4E7DB"/>
          </w:tcPr>
          <w:p>
            <w:pPr>
              <w:pStyle w:val="TableParagraph"/>
              <w:spacing w:before="34"/>
              <w:ind w:left="113"/>
              <w:rPr>
                <w:sz w:val="18"/>
              </w:rPr>
            </w:pPr>
            <w:r>
              <w:rPr>
                <w:sz w:val="18"/>
              </w:rPr>
              <w:t>Cost of facilitating the development and management of agency specific contracts as a percentage of the contract award value</w:t>
            </w:r>
          </w:p>
        </w:tc>
        <w:tc>
          <w:tcPr>
            <w:tcW w:w="794" w:type="dxa"/>
            <w:shd w:val="clear" w:color="auto" w:fill="E4E7DB"/>
          </w:tcPr>
          <w:p>
            <w:pPr>
              <w:pStyle w:val="TableParagraph"/>
              <w:spacing w:before="34"/>
              <w:ind w:left="20"/>
              <w:jc w:val="center"/>
              <w:rPr>
                <w:sz w:val="18"/>
              </w:rPr>
            </w:pPr>
            <w:r>
              <w:rPr>
                <w:w w:val="99"/>
                <w:sz w:val="18"/>
              </w:rPr>
              <w:t>%</w:t>
            </w:r>
          </w:p>
        </w:tc>
        <w:tc>
          <w:tcPr>
            <w:tcW w:w="907" w:type="dxa"/>
            <w:shd w:val="clear" w:color="auto" w:fill="E4E7DB"/>
          </w:tcPr>
          <w:p>
            <w:pPr>
              <w:pStyle w:val="TableParagraph"/>
              <w:spacing w:before="34"/>
              <w:ind w:right="91"/>
              <w:jc w:val="right"/>
              <w:rPr>
                <w:sz w:val="18"/>
              </w:rPr>
            </w:pPr>
            <w:r>
              <w:rPr>
                <w:w w:val="95"/>
                <w:sz w:val="18"/>
              </w:rPr>
              <w:t>2.0</w:t>
            </w:r>
          </w:p>
        </w:tc>
        <w:tc>
          <w:tcPr>
            <w:tcW w:w="907" w:type="dxa"/>
            <w:shd w:val="clear" w:color="auto" w:fill="E4E7DB"/>
          </w:tcPr>
          <w:p>
            <w:pPr>
              <w:pStyle w:val="TableParagraph"/>
              <w:spacing w:before="34"/>
              <w:ind w:right="91"/>
              <w:jc w:val="right"/>
              <w:rPr>
                <w:sz w:val="18"/>
              </w:rPr>
            </w:pPr>
            <w:r>
              <w:rPr>
                <w:w w:val="95"/>
                <w:sz w:val="18"/>
              </w:rPr>
              <w:t>2.0</w:t>
            </w:r>
          </w:p>
        </w:tc>
        <w:tc>
          <w:tcPr>
            <w:tcW w:w="794" w:type="dxa"/>
            <w:shd w:val="clear" w:color="auto" w:fill="E4E7DB"/>
          </w:tcPr>
          <w:p>
            <w:pPr>
              <w:pStyle w:val="TableParagraph"/>
              <w:spacing w:before="62"/>
              <w:ind w:left="19"/>
              <w:jc w:val="center"/>
              <w:rPr>
                <w:rFonts w:ascii="Wingdings 2" w:hAnsi="Wingdings 2"/>
                <w:sz w:val="18"/>
              </w:rPr>
            </w:pPr>
            <w:r>
              <w:rPr>
                <w:rFonts w:ascii="Wingdings 2" w:hAnsi="Wingdings 2"/>
                <w:sz w:val="18"/>
              </w:rPr>
              <w:t></w:t>
            </w:r>
          </w:p>
        </w:tc>
        <w:tc>
          <w:tcPr>
            <w:tcW w:w="794" w:type="dxa"/>
            <w:shd w:val="clear" w:color="auto" w:fill="E4E7DB"/>
          </w:tcPr>
          <w:p>
            <w:pPr>
              <w:pStyle w:val="TableParagraph"/>
              <w:spacing w:before="34"/>
              <w:ind w:left="156" w:right="137"/>
              <w:jc w:val="center"/>
              <w:rPr>
                <w:sz w:val="18"/>
              </w:rPr>
            </w:pPr>
            <w:hyperlink w:history="true" w:anchor="_bookmark63">
              <w:r>
                <w:rPr>
                  <w:color w:val="A7BE39"/>
                  <w:sz w:val="18"/>
                  <w:u w:val="single" w:color="A7BE39"/>
                </w:rPr>
                <w:t>99</w:t>
              </w:r>
            </w:hyperlink>
          </w:p>
        </w:tc>
      </w:tr>
      <w:tr>
        <w:trPr>
          <w:trHeight w:val="278" w:hRule="atLeast"/>
        </w:trPr>
        <w:tc>
          <w:tcPr>
            <w:tcW w:w="11140" w:type="dxa"/>
            <w:shd w:val="clear" w:color="auto" w:fill="C0B6C3"/>
          </w:tcPr>
          <w:p>
            <w:pPr>
              <w:pStyle w:val="TableParagraph"/>
              <w:spacing w:before="34"/>
              <w:ind w:left="113"/>
              <w:rPr>
                <w:sz w:val="18"/>
              </w:rPr>
            </w:pPr>
            <w:r>
              <w:rPr>
                <w:sz w:val="18"/>
              </w:rPr>
              <w:t>An efficiency indicator is not reported for this service</w:t>
            </w:r>
          </w:p>
        </w:tc>
        <w:tc>
          <w:tcPr>
            <w:tcW w:w="794" w:type="dxa"/>
            <w:shd w:val="clear" w:color="auto" w:fill="C0B6C3"/>
          </w:tcPr>
          <w:p>
            <w:pPr>
              <w:pStyle w:val="TableParagraph"/>
              <w:spacing w:before="0"/>
              <w:rPr>
                <w:rFonts w:ascii="Times New Roman"/>
                <w:sz w:val="16"/>
              </w:rPr>
            </w:pPr>
          </w:p>
        </w:tc>
        <w:tc>
          <w:tcPr>
            <w:tcW w:w="907" w:type="dxa"/>
            <w:shd w:val="clear" w:color="auto" w:fill="C0B6C3"/>
          </w:tcPr>
          <w:p>
            <w:pPr>
              <w:pStyle w:val="TableParagraph"/>
              <w:spacing w:before="34"/>
              <w:ind w:right="91"/>
              <w:jc w:val="right"/>
              <w:rPr>
                <w:sz w:val="18"/>
              </w:rPr>
            </w:pPr>
            <w:r>
              <w:rPr>
                <w:sz w:val="18"/>
              </w:rPr>
              <w:t>N/A</w:t>
            </w:r>
          </w:p>
        </w:tc>
        <w:tc>
          <w:tcPr>
            <w:tcW w:w="907" w:type="dxa"/>
            <w:shd w:val="clear" w:color="auto" w:fill="C0B6C3"/>
          </w:tcPr>
          <w:p>
            <w:pPr>
              <w:pStyle w:val="TableParagraph"/>
              <w:spacing w:before="34"/>
              <w:ind w:right="91"/>
              <w:jc w:val="right"/>
              <w:rPr>
                <w:sz w:val="18"/>
              </w:rPr>
            </w:pPr>
            <w:r>
              <w:rPr>
                <w:sz w:val="18"/>
              </w:rPr>
              <w:t>N/A</w:t>
            </w:r>
          </w:p>
        </w:tc>
        <w:tc>
          <w:tcPr>
            <w:tcW w:w="794" w:type="dxa"/>
            <w:shd w:val="clear" w:color="auto" w:fill="C0B6C3"/>
          </w:tcPr>
          <w:p>
            <w:pPr>
              <w:pStyle w:val="TableParagraph"/>
              <w:spacing w:before="34"/>
              <w:ind w:left="156" w:right="137"/>
              <w:jc w:val="center"/>
              <w:rPr>
                <w:sz w:val="18"/>
              </w:rPr>
            </w:pPr>
            <w:r>
              <w:rPr>
                <w:sz w:val="18"/>
              </w:rPr>
              <w:t>N/A</w:t>
            </w:r>
          </w:p>
        </w:tc>
        <w:tc>
          <w:tcPr>
            <w:tcW w:w="794" w:type="dxa"/>
            <w:shd w:val="clear" w:color="auto" w:fill="C0B6C3"/>
          </w:tcPr>
          <w:p>
            <w:pPr>
              <w:pStyle w:val="TableParagraph"/>
              <w:spacing w:before="34"/>
              <w:ind w:left="19"/>
              <w:jc w:val="center"/>
              <w:rPr>
                <w:sz w:val="18"/>
              </w:rPr>
            </w:pPr>
            <w:r>
              <w:rPr>
                <w:w w:val="111"/>
                <w:sz w:val="18"/>
              </w:rPr>
              <w:t>-</w:t>
            </w:r>
          </w:p>
        </w:tc>
      </w:tr>
      <w:tr>
        <w:trPr>
          <w:trHeight w:val="288" w:hRule="atLeast"/>
        </w:trPr>
        <w:tc>
          <w:tcPr>
            <w:tcW w:w="11140" w:type="dxa"/>
            <w:shd w:val="clear" w:color="auto" w:fill="EFEFF0"/>
          </w:tcPr>
          <w:p>
            <w:pPr>
              <w:pStyle w:val="TableParagraph"/>
              <w:spacing w:before="34"/>
              <w:ind w:left="113"/>
              <w:rPr>
                <w:sz w:val="18"/>
              </w:rPr>
            </w:pPr>
            <w:r>
              <w:rPr>
                <w:sz w:val="18"/>
              </w:rPr>
              <w:t>Average office accommodation floor space per work point</w:t>
            </w:r>
          </w:p>
        </w:tc>
        <w:tc>
          <w:tcPr>
            <w:tcW w:w="794" w:type="dxa"/>
            <w:shd w:val="clear" w:color="auto" w:fill="EFEFF0"/>
          </w:tcPr>
          <w:p>
            <w:pPr>
              <w:pStyle w:val="TableParagraph"/>
              <w:spacing w:before="34"/>
              <w:ind w:left="156" w:right="136"/>
              <w:jc w:val="center"/>
              <w:rPr>
                <w:sz w:val="10"/>
              </w:rPr>
            </w:pPr>
            <w:r>
              <w:rPr>
                <w:position w:val="-5"/>
                <w:sz w:val="18"/>
              </w:rPr>
              <w:t>m</w:t>
            </w:r>
            <w:r>
              <w:rPr>
                <w:sz w:val="10"/>
              </w:rPr>
              <w:t>2</w:t>
            </w:r>
          </w:p>
        </w:tc>
        <w:tc>
          <w:tcPr>
            <w:tcW w:w="907" w:type="dxa"/>
            <w:shd w:val="clear" w:color="auto" w:fill="EFEFF0"/>
          </w:tcPr>
          <w:p>
            <w:pPr>
              <w:pStyle w:val="TableParagraph"/>
              <w:spacing w:before="34"/>
              <w:ind w:right="91"/>
              <w:jc w:val="right"/>
              <w:rPr>
                <w:sz w:val="18"/>
              </w:rPr>
            </w:pPr>
            <w:r>
              <w:rPr>
                <w:w w:val="95"/>
                <w:sz w:val="18"/>
              </w:rPr>
              <w:t>15.0</w:t>
            </w:r>
          </w:p>
        </w:tc>
        <w:tc>
          <w:tcPr>
            <w:tcW w:w="907" w:type="dxa"/>
            <w:shd w:val="clear" w:color="auto" w:fill="EFEFF0"/>
          </w:tcPr>
          <w:p>
            <w:pPr>
              <w:pStyle w:val="TableParagraph"/>
              <w:spacing w:before="34"/>
              <w:ind w:right="91"/>
              <w:jc w:val="right"/>
              <w:rPr>
                <w:sz w:val="18"/>
              </w:rPr>
            </w:pPr>
            <w:r>
              <w:rPr>
                <w:w w:val="95"/>
                <w:sz w:val="18"/>
              </w:rPr>
              <w:t>15.0</w:t>
            </w:r>
          </w:p>
        </w:tc>
        <w:tc>
          <w:tcPr>
            <w:tcW w:w="794" w:type="dxa"/>
            <w:shd w:val="clear" w:color="auto" w:fill="EFEFF0"/>
          </w:tcPr>
          <w:p>
            <w:pPr>
              <w:pStyle w:val="TableParagraph"/>
              <w:spacing w:before="62"/>
              <w:ind w:left="19"/>
              <w:jc w:val="center"/>
              <w:rPr>
                <w:rFonts w:ascii="Wingdings 2" w:hAnsi="Wingdings 2"/>
                <w:sz w:val="18"/>
              </w:rPr>
            </w:pPr>
            <w:r>
              <w:rPr>
                <w:rFonts w:ascii="Wingdings 2" w:hAnsi="Wingdings 2"/>
                <w:sz w:val="18"/>
              </w:rPr>
              <w:t></w:t>
            </w:r>
          </w:p>
        </w:tc>
        <w:tc>
          <w:tcPr>
            <w:tcW w:w="794" w:type="dxa"/>
            <w:shd w:val="clear" w:color="auto" w:fill="EFEFF0"/>
          </w:tcPr>
          <w:p>
            <w:pPr>
              <w:pStyle w:val="TableParagraph"/>
              <w:spacing w:before="34"/>
              <w:ind w:left="156" w:right="137"/>
              <w:jc w:val="center"/>
              <w:rPr>
                <w:sz w:val="18"/>
              </w:rPr>
            </w:pPr>
            <w:hyperlink w:history="true" w:anchor="_bookmark65">
              <w:r>
                <w:rPr>
                  <w:color w:val="A7BE39"/>
                  <w:sz w:val="18"/>
                  <w:u w:val="single" w:color="A7BE39"/>
                </w:rPr>
                <w:t>101</w:t>
              </w:r>
            </w:hyperlink>
          </w:p>
        </w:tc>
      </w:tr>
      <w:tr>
        <w:trPr>
          <w:trHeight w:val="288" w:hRule="atLeast"/>
        </w:trPr>
        <w:tc>
          <w:tcPr>
            <w:tcW w:w="11140" w:type="dxa"/>
            <w:shd w:val="clear" w:color="auto" w:fill="EFEFF0"/>
          </w:tcPr>
          <w:p>
            <w:pPr>
              <w:pStyle w:val="TableParagraph"/>
              <w:spacing w:before="34"/>
              <w:ind w:left="113"/>
              <w:rPr>
                <w:sz w:val="18"/>
              </w:rPr>
            </w:pPr>
            <w:r>
              <w:rPr>
                <w:sz w:val="18"/>
              </w:rPr>
              <w:t>Percentage of maintenance services delivered within 10% of approved timeframe</w:t>
            </w:r>
          </w:p>
        </w:tc>
        <w:tc>
          <w:tcPr>
            <w:tcW w:w="794" w:type="dxa"/>
            <w:shd w:val="clear" w:color="auto" w:fill="EFEFF0"/>
          </w:tcPr>
          <w:p>
            <w:pPr>
              <w:pStyle w:val="TableParagraph"/>
              <w:spacing w:before="34"/>
              <w:ind w:left="20"/>
              <w:jc w:val="center"/>
              <w:rPr>
                <w:sz w:val="18"/>
              </w:rPr>
            </w:pPr>
            <w:r>
              <w:rPr>
                <w:w w:val="99"/>
                <w:sz w:val="18"/>
              </w:rPr>
              <w:t>%</w:t>
            </w:r>
          </w:p>
        </w:tc>
        <w:tc>
          <w:tcPr>
            <w:tcW w:w="907" w:type="dxa"/>
            <w:shd w:val="clear" w:color="auto" w:fill="EFEFF0"/>
          </w:tcPr>
          <w:p>
            <w:pPr>
              <w:pStyle w:val="TableParagraph"/>
              <w:spacing w:before="34"/>
              <w:ind w:right="91"/>
              <w:jc w:val="right"/>
              <w:rPr>
                <w:sz w:val="18"/>
              </w:rPr>
            </w:pPr>
            <w:r>
              <w:rPr>
                <w:w w:val="95"/>
                <w:sz w:val="18"/>
              </w:rPr>
              <w:t>80</w:t>
            </w:r>
          </w:p>
        </w:tc>
        <w:tc>
          <w:tcPr>
            <w:tcW w:w="907" w:type="dxa"/>
            <w:shd w:val="clear" w:color="auto" w:fill="EFEFF0"/>
          </w:tcPr>
          <w:p>
            <w:pPr>
              <w:pStyle w:val="TableParagraph"/>
              <w:spacing w:before="34"/>
              <w:ind w:right="91"/>
              <w:jc w:val="right"/>
              <w:rPr>
                <w:sz w:val="18"/>
              </w:rPr>
            </w:pPr>
            <w:r>
              <w:rPr>
                <w:w w:val="95"/>
                <w:sz w:val="18"/>
              </w:rPr>
              <w:t>78.1</w:t>
            </w:r>
          </w:p>
        </w:tc>
        <w:tc>
          <w:tcPr>
            <w:tcW w:w="794" w:type="dxa"/>
            <w:shd w:val="clear" w:color="auto" w:fill="EFEFF0"/>
          </w:tcPr>
          <w:p>
            <w:pPr>
              <w:pStyle w:val="TableParagraph"/>
              <w:spacing w:before="60"/>
              <w:ind w:left="156" w:right="137"/>
              <w:jc w:val="center"/>
              <w:rPr>
                <w:sz w:val="10"/>
              </w:rPr>
            </w:pPr>
            <w:r>
              <w:rPr>
                <w:rFonts w:ascii="Wingdings 2" w:hAnsi="Wingdings 2"/>
                <w:w w:val="95"/>
                <w:position w:val="-5"/>
                <w:sz w:val="18"/>
              </w:rPr>
              <w:t></w:t>
            </w:r>
            <w:r>
              <w:rPr>
                <w:w w:val="95"/>
                <w:sz w:val="10"/>
              </w:rPr>
              <w:t>(e)</w:t>
            </w:r>
          </w:p>
        </w:tc>
        <w:tc>
          <w:tcPr>
            <w:tcW w:w="794" w:type="dxa"/>
            <w:shd w:val="clear" w:color="auto" w:fill="EFEFF0"/>
          </w:tcPr>
          <w:p>
            <w:pPr>
              <w:pStyle w:val="TableParagraph"/>
              <w:spacing w:before="34"/>
              <w:ind w:left="156" w:right="137"/>
              <w:jc w:val="center"/>
              <w:rPr>
                <w:sz w:val="18"/>
              </w:rPr>
            </w:pPr>
            <w:hyperlink w:history="true" w:anchor="_bookmark65">
              <w:r>
                <w:rPr>
                  <w:color w:val="A7BE39"/>
                  <w:sz w:val="18"/>
                  <w:u w:val="single" w:color="A7BE39"/>
                </w:rPr>
                <w:t>101</w:t>
              </w:r>
            </w:hyperlink>
          </w:p>
        </w:tc>
      </w:tr>
      <w:tr>
        <w:trPr>
          <w:trHeight w:val="288" w:hRule="atLeast"/>
        </w:trPr>
        <w:tc>
          <w:tcPr>
            <w:tcW w:w="11140" w:type="dxa"/>
            <w:shd w:val="clear" w:color="auto" w:fill="EFEFF0"/>
          </w:tcPr>
          <w:p>
            <w:pPr>
              <w:pStyle w:val="TableParagraph"/>
              <w:spacing w:before="34"/>
              <w:ind w:left="113"/>
              <w:rPr>
                <w:sz w:val="18"/>
              </w:rPr>
            </w:pPr>
            <w:r>
              <w:rPr>
                <w:sz w:val="18"/>
              </w:rPr>
              <w:t>Percentage of significant projects in the New Buildings Program delivered within three months of approved timeframe</w:t>
            </w:r>
          </w:p>
        </w:tc>
        <w:tc>
          <w:tcPr>
            <w:tcW w:w="794" w:type="dxa"/>
            <w:shd w:val="clear" w:color="auto" w:fill="EFEFF0"/>
          </w:tcPr>
          <w:p>
            <w:pPr>
              <w:pStyle w:val="TableParagraph"/>
              <w:spacing w:before="34"/>
              <w:ind w:left="20"/>
              <w:jc w:val="center"/>
              <w:rPr>
                <w:sz w:val="18"/>
              </w:rPr>
            </w:pPr>
            <w:r>
              <w:rPr>
                <w:w w:val="99"/>
                <w:sz w:val="18"/>
              </w:rPr>
              <w:t>%</w:t>
            </w:r>
          </w:p>
        </w:tc>
        <w:tc>
          <w:tcPr>
            <w:tcW w:w="907" w:type="dxa"/>
            <w:shd w:val="clear" w:color="auto" w:fill="EFEFF0"/>
          </w:tcPr>
          <w:p>
            <w:pPr>
              <w:pStyle w:val="TableParagraph"/>
              <w:spacing w:before="34"/>
              <w:ind w:right="91"/>
              <w:jc w:val="right"/>
              <w:rPr>
                <w:sz w:val="18"/>
              </w:rPr>
            </w:pPr>
            <w:r>
              <w:rPr>
                <w:w w:val="95"/>
                <w:sz w:val="18"/>
              </w:rPr>
              <w:t>90</w:t>
            </w:r>
          </w:p>
        </w:tc>
        <w:tc>
          <w:tcPr>
            <w:tcW w:w="907" w:type="dxa"/>
            <w:shd w:val="clear" w:color="auto" w:fill="EFEFF0"/>
          </w:tcPr>
          <w:p>
            <w:pPr>
              <w:pStyle w:val="TableParagraph"/>
              <w:spacing w:before="34"/>
              <w:ind w:right="91"/>
              <w:jc w:val="right"/>
              <w:rPr>
                <w:sz w:val="18"/>
              </w:rPr>
            </w:pPr>
            <w:r>
              <w:rPr>
                <w:w w:val="95"/>
                <w:sz w:val="18"/>
              </w:rPr>
              <w:t>100</w:t>
            </w:r>
          </w:p>
        </w:tc>
        <w:tc>
          <w:tcPr>
            <w:tcW w:w="794" w:type="dxa"/>
            <w:shd w:val="clear" w:color="auto" w:fill="EFEFF0"/>
          </w:tcPr>
          <w:p>
            <w:pPr>
              <w:pStyle w:val="TableParagraph"/>
              <w:spacing w:before="62"/>
              <w:ind w:left="19"/>
              <w:jc w:val="center"/>
              <w:rPr>
                <w:rFonts w:ascii="Wingdings 2" w:hAnsi="Wingdings 2"/>
                <w:sz w:val="18"/>
              </w:rPr>
            </w:pPr>
            <w:r>
              <w:rPr>
                <w:rFonts w:ascii="Wingdings 2" w:hAnsi="Wingdings 2"/>
                <w:sz w:val="18"/>
              </w:rPr>
              <w:t></w:t>
            </w:r>
          </w:p>
        </w:tc>
        <w:tc>
          <w:tcPr>
            <w:tcW w:w="794" w:type="dxa"/>
            <w:shd w:val="clear" w:color="auto" w:fill="EFEFF0"/>
          </w:tcPr>
          <w:p>
            <w:pPr>
              <w:pStyle w:val="TableParagraph"/>
              <w:spacing w:before="34"/>
              <w:ind w:left="156" w:right="137"/>
              <w:jc w:val="center"/>
              <w:rPr>
                <w:sz w:val="18"/>
              </w:rPr>
            </w:pPr>
            <w:hyperlink w:history="true" w:anchor="_bookmark65">
              <w:r>
                <w:rPr>
                  <w:color w:val="A7BE39"/>
                  <w:sz w:val="18"/>
                  <w:u w:val="single" w:color="A7BE39"/>
                </w:rPr>
                <w:t>101</w:t>
              </w:r>
            </w:hyperlink>
          </w:p>
        </w:tc>
      </w:tr>
      <w:tr>
        <w:trPr>
          <w:trHeight w:val="288" w:hRule="atLeast"/>
        </w:trPr>
        <w:tc>
          <w:tcPr>
            <w:tcW w:w="11140" w:type="dxa"/>
            <w:shd w:val="clear" w:color="auto" w:fill="E2D9E3"/>
          </w:tcPr>
          <w:p>
            <w:pPr>
              <w:pStyle w:val="TableParagraph"/>
              <w:spacing w:before="34"/>
              <w:ind w:left="113"/>
              <w:rPr>
                <w:sz w:val="18"/>
              </w:rPr>
            </w:pPr>
            <w:r>
              <w:rPr>
                <w:sz w:val="18"/>
              </w:rPr>
              <w:t>Average cost of policy/project development</w:t>
            </w:r>
          </w:p>
        </w:tc>
        <w:tc>
          <w:tcPr>
            <w:tcW w:w="794" w:type="dxa"/>
            <w:shd w:val="clear" w:color="auto" w:fill="E2D9E3"/>
          </w:tcPr>
          <w:p>
            <w:pPr>
              <w:pStyle w:val="TableParagraph"/>
              <w:spacing w:before="34"/>
              <w:ind w:left="20"/>
              <w:jc w:val="center"/>
              <w:rPr>
                <w:sz w:val="18"/>
              </w:rPr>
            </w:pPr>
            <w:r>
              <w:rPr>
                <w:w w:val="99"/>
                <w:sz w:val="18"/>
              </w:rPr>
              <w:t>$</w:t>
            </w:r>
          </w:p>
        </w:tc>
        <w:tc>
          <w:tcPr>
            <w:tcW w:w="907" w:type="dxa"/>
            <w:shd w:val="clear" w:color="auto" w:fill="E2D9E3"/>
          </w:tcPr>
          <w:p>
            <w:pPr>
              <w:pStyle w:val="TableParagraph"/>
              <w:spacing w:before="34"/>
              <w:ind w:right="91"/>
              <w:jc w:val="right"/>
              <w:rPr>
                <w:sz w:val="18"/>
              </w:rPr>
            </w:pPr>
            <w:r>
              <w:rPr>
                <w:w w:val="95"/>
                <w:sz w:val="18"/>
              </w:rPr>
              <w:t>22,687</w:t>
            </w:r>
          </w:p>
        </w:tc>
        <w:tc>
          <w:tcPr>
            <w:tcW w:w="907" w:type="dxa"/>
            <w:shd w:val="clear" w:color="auto" w:fill="E2D9E3"/>
          </w:tcPr>
          <w:p>
            <w:pPr>
              <w:pStyle w:val="TableParagraph"/>
              <w:spacing w:before="34"/>
              <w:ind w:right="91"/>
              <w:jc w:val="right"/>
              <w:rPr>
                <w:sz w:val="18"/>
              </w:rPr>
            </w:pPr>
            <w:r>
              <w:rPr>
                <w:w w:val="95"/>
                <w:sz w:val="18"/>
              </w:rPr>
              <w:t>20,831</w:t>
            </w:r>
          </w:p>
        </w:tc>
        <w:tc>
          <w:tcPr>
            <w:tcW w:w="794" w:type="dxa"/>
            <w:shd w:val="clear" w:color="auto" w:fill="E2D9E3"/>
          </w:tcPr>
          <w:p>
            <w:pPr>
              <w:pStyle w:val="TableParagraph"/>
              <w:spacing w:before="62"/>
              <w:ind w:left="19"/>
              <w:jc w:val="center"/>
              <w:rPr>
                <w:rFonts w:ascii="Wingdings 2" w:hAnsi="Wingdings 2"/>
                <w:sz w:val="18"/>
              </w:rPr>
            </w:pPr>
            <w:r>
              <w:rPr>
                <w:rFonts w:ascii="Wingdings 2" w:hAnsi="Wingdings 2"/>
                <w:sz w:val="18"/>
              </w:rPr>
              <w:t></w:t>
            </w:r>
          </w:p>
        </w:tc>
        <w:tc>
          <w:tcPr>
            <w:tcW w:w="794" w:type="dxa"/>
            <w:shd w:val="clear" w:color="auto" w:fill="E2D9E3"/>
          </w:tcPr>
          <w:p>
            <w:pPr>
              <w:pStyle w:val="TableParagraph"/>
              <w:spacing w:before="34"/>
              <w:ind w:left="156" w:right="137"/>
              <w:jc w:val="center"/>
              <w:rPr>
                <w:sz w:val="18"/>
              </w:rPr>
            </w:pPr>
            <w:hyperlink w:history="true" w:anchor="_bookmark67">
              <w:r>
                <w:rPr>
                  <w:color w:val="A7BE39"/>
                  <w:sz w:val="18"/>
                  <w:u w:val="single" w:color="A7BE39"/>
                </w:rPr>
                <w:t>103</w:t>
              </w:r>
            </w:hyperlink>
          </w:p>
        </w:tc>
      </w:tr>
      <w:tr>
        <w:trPr>
          <w:trHeight w:val="288" w:hRule="atLeast"/>
        </w:trPr>
        <w:tc>
          <w:tcPr>
            <w:tcW w:w="11140" w:type="dxa"/>
            <w:shd w:val="clear" w:color="auto" w:fill="E2D9E3"/>
          </w:tcPr>
          <w:p>
            <w:pPr>
              <w:pStyle w:val="TableParagraph"/>
              <w:spacing w:before="34"/>
              <w:ind w:left="113"/>
              <w:rPr>
                <w:sz w:val="18"/>
              </w:rPr>
            </w:pPr>
            <w:r>
              <w:rPr>
                <w:sz w:val="18"/>
              </w:rPr>
              <w:t>Percentage of Regulatory Impact Statements assessed within agreed timeframes</w:t>
            </w:r>
          </w:p>
        </w:tc>
        <w:tc>
          <w:tcPr>
            <w:tcW w:w="794" w:type="dxa"/>
            <w:shd w:val="clear" w:color="auto" w:fill="E2D9E3"/>
          </w:tcPr>
          <w:p>
            <w:pPr>
              <w:pStyle w:val="TableParagraph"/>
              <w:spacing w:before="34"/>
              <w:ind w:left="20"/>
              <w:jc w:val="center"/>
              <w:rPr>
                <w:sz w:val="18"/>
              </w:rPr>
            </w:pPr>
            <w:r>
              <w:rPr>
                <w:w w:val="99"/>
                <w:sz w:val="18"/>
              </w:rPr>
              <w:t>%</w:t>
            </w:r>
          </w:p>
        </w:tc>
        <w:tc>
          <w:tcPr>
            <w:tcW w:w="907" w:type="dxa"/>
            <w:shd w:val="clear" w:color="auto" w:fill="E2D9E3"/>
          </w:tcPr>
          <w:p>
            <w:pPr>
              <w:pStyle w:val="TableParagraph"/>
              <w:spacing w:before="34"/>
              <w:ind w:right="91"/>
              <w:jc w:val="right"/>
              <w:rPr>
                <w:sz w:val="18"/>
              </w:rPr>
            </w:pPr>
            <w:r>
              <w:rPr>
                <w:w w:val="95"/>
                <w:sz w:val="18"/>
              </w:rPr>
              <w:t>90</w:t>
            </w:r>
          </w:p>
        </w:tc>
        <w:tc>
          <w:tcPr>
            <w:tcW w:w="907" w:type="dxa"/>
            <w:shd w:val="clear" w:color="auto" w:fill="E2D9E3"/>
          </w:tcPr>
          <w:p>
            <w:pPr>
              <w:pStyle w:val="TableParagraph"/>
              <w:spacing w:before="34"/>
              <w:ind w:right="91"/>
              <w:jc w:val="right"/>
              <w:rPr>
                <w:sz w:val="18"/>
              </w:rPr>
            </w:pPr>
            <w:r>
              <w:rPr>
                <w:w w:val="95"/>
                <w:sz w:val="18"/>
              </w:rPr>
              <w:t>95.8</w:t>
            </w:r>
          </w:p>
        </w:tc>
        <w:tc>
          <w:tcPr>
            <w:tcW w:w="794" w:type="dxa"/>
            <w:shd w:val="clear" w:color="auto" w:fill="E2D9E3"/>
          </w:tcPr>
          <w:p>
            <w:pPr>
              <w:pStyle w:val="TableParagraph"/>
              <w:spacing w:before="62"/>
              <w:ind w:left="19"/>
              <w:jc w:val="center"/>
              <w:rPr>
                <w:rFonts w:ascii="Wingdings 2" w:hAnsi="Wingdings 2"/>
                <w:sz w:val="18"/>
              </w:rPr>
            </w:pPr>
            <w:r>
              <w:rPr>
                <w:rFonts w:ascii="Wingdings 2" w:hAnsi="Wingdings 2"/>
                <w:sz w:val="18"/>
              </w:rPr>
              <w:t></w:t>
            </w:r>
          </w:p>
        </w:tc>
        <w:tc>
          <w:tcPr>
            <w:tcW w:w="794" w:type="dxa"/>
            <w:shd w:val="clear" w:color="auto" w:fill="E2D9E3"/>
          </w:tcPr>
          <w:p>
            <w:pPr>
              <w:pStyle w:val="TableParagraph"/>
              <w:spacing w:before="34"/>
              <w:ind w:left="156" w:right="137"/>
              <w:jc w:val="center"/>
              <w:rPr>
                <w:sz w:val="18"/>
              </w:rPr>
            </w:pPr>
            <w:hyperlink w:history="true" w:anchor="_bookmark67">
              <w:r>
                <w:rPr>
                  <w:color w:val="A7BE39"/>
                  <w:sz w:val="18"/>
                  <w:u w:val="single" w:color="A7BE39"/>
                </w:rPr>
                <w:t>103</w:t>
              </w:r>
            </w:hyperlink>
          </w:p>
        </w:tc>
      </w:tr>
    </w:tbl>
    <w:p>
      <w:pPr>
        <w:pStyle w:val="ListParagraph"/>
        <w:numPr>
          <w:ilvl w:val="0"/>
          <w:numId w:val="4"/>
        </w:numPr>
        <w:tabs>
          <w:tab w:pos="919" w:val="left" w:leader="none"/>
        </w:tabs>
        <w:spacing w:line="240" w:lineRule="auto" w:before="23" w:after="0"/>
        <w:ind w:left="918" w:right="0" w:hanging="153"/>
        <w:jc w:val="left"/>
        <w:rPr>
          <w:sz w:val="12"/>
        </w:rPr>
      </w:pPr>
      <w:r>
        <w:rPr>
          <w:sz w:val="12"/>
        </w:rPr>
        <w:t>Revenue collections are significantly below initial estimates. Further information is shown on page</w:t>
      </w:r>
      <w:r>
        <w:rPr>
          <w:color w:val="A7BE39"/>
          <w:spacing w:val="-10"/>
          <w:sz w:val="12"/>
        </w:rPr>
        <w:t> </w:t>
      </w:r>
      <w:hyperlink w:history="true" w:anchor="_bookmark61">
        <w:r>
          <w:rPr>
            <w:color w:val="A7BE39"/>
            <w:sz w:val="12"/>
            <w:u w:val="single" w:color="A7BE39"/>
          </w:rPr>
          <w:t>97</w:t>
        </w:r>
      </w:hyperlink>
      <w:r>
        <w:rPr>
          <w:sz w:val="12"/>
        </w:rPr>
        <w:t>.</w:t>
      </w:r>
    </w:p>
    <w:p>
      <w:pPr>
        <w:pStyle w:val="ListParagraph"/>
        <w:numPr>
          <w:ilvl w:val="0"/>
          <w:numId w:val="4"/>
        </w:numPr>
        <w:tabs>
          <w:tab w:pos="926" w:val="left" w:leader="none"/>
        </w:tabs>
        <w:spacing w:line="240" w:lineRule="auto" w:before="6" w:after="0"/>
        <w:ind w:left="925" w:right="0" w:hanging="160"/>
        <w:jc w:val="left"/>
        <w:rPr>
          <w:sz w:val="12"/>
        </w:rPr>
      </w:pPr>
      <w:r>
        <w:rPr>
          <w:sz w:val="12"/>
        </w:rPr>
        <w:t>Overall government vehicle numbers have dropped during 2016-17. Further information is available on page</w:t>
      </w:r>
      <w:r>
        <w:rPr>
          <w:color w:val="A7BE39"/>
          <w:spacing w:val="-9"/>
          <w:sz w:val="12"/>
        </w:rPr>
        <w:t> </w:t>
      </w:r>
      <w:hyperlink w:history="true" w:anchor="_bookmark63">
        <w:r>
          <w:rPr>
            <w:color w:val="A7BE39"/>
            <w:sz w:val="12"/>
            <w:u w:val="single" w:color="A7BE39"/>
          </w:rPr>
          <w:t>99</w:t>
        </w:r>
      </w:hyperlink>
      <w:r>
        <w:rPr>
          <w:sz w:val="12"/>
        </w:rPr>
        <w:t>.</w:t>
      </w:r>
    </w:p>
    <w:p>
      <w:pPr>
        <w:pStyle w:val="ListParagraph"/>
        <w:numPr>
          <w:ilvl w:val="0"/>
          <w:numId w:val="4"/>
        </w:numPr>
        <w:tabs>
          <w:tab w:pos="919" w:val="left" w:leader="none"/>
        </w:tabs>
        <w:spacing w:line="240" w:lineRule="auto" w:before="6" w:after="0"/>
        <w:ind w:left="918" w:right="0" w:hanging="153"/>
        <w:jc w:val="left"/>
        <w:rPr>
          <w:sz w:val="12"/>
        </w:rPr>
      </w:pPr>
      <w:r>
        <w:rPr>
          <w:sz w:val="12"/>
        </w:rPr>
        <w:t>This indicator has continued to improve towards the targeted efficiency level. Further information is available on page</w:t>
      </w:r>
      <w:r>
        <w:rPr>
          <w:color w:val="A7BE39"/>
          <w:spacing w:val="-13"/>
          <w:sz w:val="12"/>
        </w:rPr>
        <w:t> </w:t>
      </w:r>
      <w:hyperlink w:history="true" w:anchor="_bookmark65">
        <w:r>
          <w:rPr>
            <w:color w:val="A7BE39"/>
            <w:sz w:val="12"/>
            <w:u w:val="single" w:color="A7BE39"/>
          </w:rPr>
          <w:t>101</w:t>
        </w:r>
      </w:hyperlink>
      <w:r>
        <w:rPr>
          <w:sz w:val="12"/>
        </w:rPr>
        <w:t>.</w:t>
      </w:r>
    </w:p>
    <w:p>
      <w:pPr>
        <w:pStyle w:val="BodyText"/>
        <w:spacing w:before="3"/>
        <w:rPr>
          <w:sz w:val="9"/>
        </w:rPr>
      </w:pPr>
    </w:p>
    <w:p>
      <w:pPr>
        <w:tabs>
          <w:tab w:pos="12166" w:val="left" w:leader="none"/>
          <w:tab w:pos="12373" w:val="left" w:leader="none"/>
          <w:tab w:pos="15894" w:val="left" w:leader="none"/>
        </w:tabs>
        <w:spacing w:before="106"/>
        <w:ind w:left="765" w:right="0" w:firstLine="0"/>
        <w:jc w:val="left"/>
        <w:rPr>
          <w:b/>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3"/>
          <w:sz w:val="16"/>
        </w:rPr>
        <w:t> </w:t>
      </w:r>
      <w:r>
        <w:rPr>
          <w:color w:val="939598"/>
          <w:sz w:val="16"/>
        </w:rPr>
        <w:t>of</w:t>
      </w:r>
      <w:r>
        <w:rPr>
          <w:color w:val="939598"/>
          <w:spacing w:val="-13"/>
          <w:sz w:val="16"/>
        </w:rPr>
        <w:t> </w:t>
      </w:r>
      <w:r>
        <w:rPr>
          <w:color w:val="939598"/>
          <w:sz w:val="16"/>
        </w:rPr>
        <w:t>Finance</w:t>
      </w:r>
      <w:r>
        <w:rPr>
          <w:color w:val="939598"/>
          <w:spacing w:val="-12"/>
          <w:sz w:val="16"/>
        </w:rPr>
        <w:t> </w:t>
      </w:r>
      <w:r>
        <w:rPr>
          <w:color w:val="939598"/>
          <w:sz w:val="16"/>
        </w:rPr>
        <w:t>Annual</w:t>
      </w:r>
      <w:r>
        <w:rPr>
          <w:color w:val="939598"/>
          <w:spacing w:val="-13"/>
          <w:sz w:val="16"/>
        </w:rPr>
        <w:t> </w:t>
      </w:r>
      <w:r>
        <w:rPr>
          <w:color w:val="939598"/>
          <w:sz w:val="16"/>
        </w:rPr>
        <w:t>Report</w:t>
      </w:r>
      <w:r>
        <w:rPr>
          <w:color w:val="939598"/>
          <w:spacing w:val="-13"/>
          <w:sz w:val="16"/>
        </w:rPr>
        <w:t> </w:t>
      </w:r>
      <w:r>
        <w:rPr>
          <w:color w:val="939598"/>
          <w:sz w:val="16"/>
        </w:rPr>
        <w:t>2016-17</w:t>
        <w:tab/>
      </w:r>
      <w:r>
        <w:rPr>
          <w:b/>
          <w:color w:val="6F2770"/>
          <w:sz w:val="16"/>
        </w:rPr>
        <w:t>25</w:t>
      </w:r>
    </w:p>
    <w:p>
      <w:pPr>
        <w:spacing w:after="0"/>
        <w:jc w:val="left"/>
        <w:rPr>
          <w:sz w:val="16"/>
        </w:rPr>
        <w:sectPr>
          <w:type w:val="continuous"/>
          <w:pgSz w:w="16840" w:h="11910" w:orient="landscape"/>
          <w:pgMar w:top="0" w:bottom="0" w:left="0" w:right="0"/>
        </w:sectPr>
      </w:pPr>
    </w:p>
    <w:p>
      <w:pPr>
        <w:pStyle w:val="BodyText"/>
        <w:spacing w:before="1"/>
        <w:rPr>
          <w:b/>
          <w:sz w:val="17"/>
        </w:rPr>
      </w:pPr>
    </w:p>
    <w:p>
      <w:pPr>
        <w:spacing w:before="106"/>
        <w:ind w:left="0" w:right="734" w:firstLine="0"/>
        <w:jc w:val="right"/>
        <w:rPr>
          <w:sz w:val="20"/>
        </w:rPr>
      </w:pPr>
      <w:r>
        <w:rPr/>
        <w:pict>
          <v:group style="position:absolute;margin-left:481.080994pt;margin-top:-10.120531pt;width:360.85pt;height:104.75pt;mso-position-horizontal-relative:page;mso-position-vertical-relative:paragraph;z-index:-805168" coordorigin="9622,-202" coordsize="7217,2095">
            <v:shape style="position:absolute;left:14419;top:-203;width:1455;height:1745" coordorigin="14419,-202" coordsize="1455,1745" path="m15219,-202l15194,-202,14935,-53,14901,-19,15219,-202m15356,-202l15331,-202,14748,134,14714,168,15356,-202m15492,-202l15467,-202,14562,321,14527,355,15492,-202m15629,-202l15604,-202,14419,482,14428,491,15629,-202m15766,-202l15741,-202,14469,532,14478,541,15766,-202m15874,1299l15470,1532,15479,1542,15874,1314,15874,1299m15874,1220l15420,1482,15429,1492,15874,1235,15874,1220m15874,1141l15370,1432,15379,1442,15874,1156,15874,1141m15874,1062l15320,1382,15329,1392,15874,1077,15874,1062m15874,983l15270,1332,15279,1341,15874,998,15874,983m15874,905l15220,1282,15229,1291,15874,919,15874,905m15874,826l15170,1232,15179,1241,15874,840,15874,826m15874,747l15120,1182,15129,1191,15874,761,15874,747m15874,668l15070,1132,15079,1141,15874,682,15874,668m15874,589l15020,1082,15029,1091,15874,603,15874,589m15874,431l14920,982,14929,991,15874,445,15874,431m15874,352l14870,932,14879,941,15874,367,15874,352m15874,273l14819,882,14829,891,15874,288,15874,273m15874,194l14769,832,14779,841,15874,209,15874,194m15874,115l14719,782,14729,791,15874,130,15874,115m15874,36l14669,732,14679,741,15874,51,15874,36m15874,-43l14619,682,14628,691,15874,-28,15874,-43m15874,-200l14519,582,14528,591,15874,-186,15874,-200m15874,510l14970,1032,14979,1041,15874,524,15874,510m15874,-121l14569,632,14578,641,15874,-107,15874,-121e" filled="true" fillcolor="#cdcccd" stroked="false">
              <v:path arrowok="t"/>
              <v:fill type="solid"/>
            </v:shape>
            <v:shape style="position:absolute;left:15520;top:1378;width:354;height:514" type="#_x0000_t75" stroked="false">
              <v:imagedata r:id="rId42" o:title=""/>
            </v:shape>
            <v:shape style="position:absolute;left:15874;top:-203;width:338;height:196" type="#_x0000_t75" stroked="false">
              <v:imagedata r:id="rId20" o:title=""/>
            </v:shape>
            <v:shape style="position:absolute;left:15874;top:-203;width:964;height:1932" coordorigin="15874,-202" coordsize="964,1932" path="m16349,-202l16339,-202,15874,66,15874,72,16349,-202m16378,1432l15874,1723,15874,1729,16365,1446,16378,1432m16486,-202l16476,-202,15874,145,15874,151,16486,-202m16565,1246l15874,1645,15874,1650,16551,1259,16565,1246m16622,-202l16612,-202,15874,224,15874,230,16622,-202m16699,-168l16695,-171,15874,303,15874,308,16699,-168m16749,-117l16745,-121,15874,382,15874,387,16749,-117m16752,1059l15874,1566,15874,1571,16738,1073,16752,1059m16799,-67l16795,-71,15874,461,15874,466,16799,-67m16838,930l15874,1487,15874,1492,16838,936,16838,930m16838,851l15874,1408,15874,1414,16838,857,16838,851m16838,772l15874,1329,15874,1335,16838,778,16838,772m16838,693l15874,1250,15874,1256,16838,699,16838,693m16838,615l15874,1171,15874,1177,16838,620,16838,615m16838,536l15874,1092,15874,1098,16838,541,16838,536m16838,457l15874,1013,15874,1019,16838,462,16838,457m16838,378l15874,934,15874,940,16838,384,16838,378m16838,299l15874,855,15874,861,16838,305,16838,299m16838,220l15874,776,15874,782,16838,226,16838,220m16838,141l15874,697,15874,703,16838,147,16838,141m16838,62l15874,618,15874,624,16838,68,16838,62m16838,-17l15874,539,15874,545,16838,-11,16838,-17e" filled="true" fillcolor="#cdcccd" stroked="false">
              <v:path arrowok="t"/>
              <v:fill type="solid"/>
            </v:shape>
            <v:shape style="position:absolute;left:15874;top:1619;width:318;height:269" type="#_x0000_t75" stroked="false">
              <v:imagedata r:id="rId158" o:title=""/>
            </v:shape>
            <v:shape style="position:absolute;left:13676;top:170;width:904;height:904" coordorigin="13677,170" coordsize="904,904" path="m14128,170l13677,622,14128,1073,14580,622,14128,170xe" filled="true" fillcolor="#ffffff" stroked="false">
              <v:path arrowok="t"/>
              <v:fill type="solid"/>
            </v:shape>
            <v:shape style="position:absolute;left:13225;top:621;width:904;height:904" coordorigin="13225,622" coordsize="904,904" path="m13677,622l13225,1073,13677,1525,14128,1073,13677,622xe" filled="true" fillcolor="#e8e9c9" stroked="false">
              <v:path arrowok="t"/>
              <v:fill type="solid"/>
            </v:shape>
            <v:shape style="position:absolute;left:11870;top:170;width:2710;height:904" coordorigin="11870,170" coordsize="2710,904" path="m12774,622l12322,170,11870,622,12322,1073,12774,622m14580,622l14128,170,13677,622,14128,1073,14580,622e" filled="true" fillcolor="#efeeeb" stroked="false">
              <v:path arrowok="t"/>
              <v:fill type="solid"/>
            </v:shape>
            <v:shape style="position:absolute;left:12773;top:170;width:904;height:904" coordorigin="12774,170" coordsize="904,904" path="m13225,170l12774,622,13225,1073,13677,622,13225,170xe" filled="true" fillcolor="#c0aac2" stroked="false">
              <v:path arrowok="t"/>
              <v:fill type="solid"/>
            </v:shape>
            <v:shape style="position:absolute;left:15424;top:873;width:900;height:904" coordorigin="15424,873" coordsize="900,904" path="m15874,873l15424,1323,15424,1326,15874,1776,16324,1326,16324,1323,15874,873xe" filled="true" fillcolor="#c4cd71" stroked="false">
              <v:path arrowok="t"/>
              <v:fill type="solid"/>
            </v:shape>
            <v:shape style="position:absolute;left:15422;top:1323;width:2;height:4" coordorigin="15423,1323" coordsize="2,4" path="m15424,1323l15423,1325,15424,1326,15424,1323xe" filled="true" fillcolor="#b9c369" stroked="false">
              <v:path arrowok="t"/>
              <v:fill type="solid"/>
            </v:shape>
            <v:shape style="position:absolute;left:16324;top:1323;width:2;height:4" coordorigin="16324,1323" coordsize="2,4" path="m16324,1323l16324,1326,16326,1325,16324,1323xe" filled="true" fillcolor="#bec29e" stroked="false">
              <v:path arrowok="t"/>
              <v:fill type="solid"/>
            </v:shape>
            <v:rect style="position:absolute;left:9621;top:-203;width:2406;height:851" filled="true" fillcolor="#bec85c" stroked="false">
              <v:fill type="solid"/>
            </v:rect>
            <v:rect style="position:absolute;left:12026;top:-203;width:2406;height:851" filled="true" fillcolor="#b6c247" stroked="false">
              <v:fill type="solid"/>
            </v:rect>
            <v:rect style="position:absolute;left:14432;top:-203;width:2406;height:851" filled="true" fillcolor="#aebd37" stroked="false">
              <v:fill type="solid"/>
            </v:rect>
            <v:line style="position:absolute" from="16838,-202" to="16838,648" stroked="true" strokeweight=".001pt" strokecolor="#aebd37">
              <v:stroke dashstyle="solid"/>
            </v:line>
            <v:shape style="position:absolute;left:15263;top:1164;width:161;height:322" type="#_x0000_t75" stroked="false">
              <v:imagedata r:id="rId16" o:title=""/>
            </v:shape>
            <v:shape style="position:absolute;left:16324;top:1163;width:161;height:322" type="#_x0000_t75" stroked="false">
              <v:imagedata r:id="rId11" o:title=""/>
            </v:shape>
            <w10:wrap type="none"/>
          </v:group>
        </w:pict>
      </w:r>
      <w:r>
        <w:rPr/>
        <w:pict>
          <v:group style="position:absolute;margin-left:0pt;margin-top:-10.120531pt;width:120.3pt;height:42.55pt;mso-position-horizontal-relative:page;mso-position-vertical-relative:paragraph;z-index:8512" coordorigin="0,-202" coordsize="2406,851">
            <v:rect style="position:absolute;left:0;top:-203;width:2406;height:851" filled="true" fillcolor="#aebd37" stroked="false">
              <v:fill type="solid"/>
            </v:rect>
            <v:shape style="position:absolute;left:0;top:-203;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119.851196pt;margin-top:-10.120531pt;width:241pt;height:42.55pt;mso-position-horizontal-relative:page;mso-position-vertical-relative:paragraph;z-index:8584" coordorigin="2397,-202" coordsize="4820,851">
            <v:rect style="position:absolute;left:4810;top:-203;width:2406;height:851" filled="true" fillcolor="#e6e7e8" stroked="false">
              <v:fill type="solid"/>
            </v:rect>
            <v:shape style="position:absolute;left:4810;top:-203;width:583;height:583" type="#_x0000_t75" stroked="false">
              <v:imagedata r:id="rId51" o:title=""/>
            </v:shape>
            <v:shape style="position:absolute;left:4810;top:-203;width:2406;height:851" type="#_x0000_t202" filled="false" stroked="false">
              <v:textbox inset="0,0,0,0">
                <w:txbxContent>
                  <w:p>
                    <w:pPr>
                      <w:spacing w:line="249" w:lineRule="auto" w:before="182"/>
                      <w:ind w:left="472" w:right="0" w:firstLine="331"/>
                      <w:jc w:val="left"/>
                      <w:rPr>
                        <w:sz w:val="20"/>
                      </w:rPr>
                    </w:pPr>
                    <w:hyperlink w:history="true" w:anchor="_bookmark5">
                      <w:r>
                        <w:rPr>
                          <w:color w:val="6F2770"/>
                          <w:sz w:val="20"/>
                        </w:rPr>
                        <w:t>AGENCY</w:t>
                      </w:r>
                    </w:hyperlink>
                    <w:r>
                      <w:rPr>
                        <w:color w:val="6F2770"/>
                        <w:sz w:val="20"/>
                      </w:rPr>
                      <w:t> </w:t>
                    </w:r>
                    <w:hyperlink w:history="true" w:anchor="_bookmark5">
                      <w:r>
                        <w:rPr>
                          <w:color w:val="6F2770"/>
                          <w:w w:val="90"/>
                          <w:sz w:val="20"/>
                        </w:rPr>
                        <w:t>PERFORMANCE</w:t>
                      </w:r>
                    </w:hyperlink>
                  </w:p>
                </w:txbxContent>
              </v:textbox>
              <w10:wrap type="none"/>
            </v:shape>
            <v:shape style="position:absolute;left:2397;top:-203;width:2414;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w10:wrap type="none"/>
          </v:group>
        </w:pict>
      </w:r>
      <w:r>
        <w:rPr/>
        <w:pict>
          <v:shape style="position:absolute;margin-left:601.348999pt;margin-top:-10.120531pt;width:120.3pt;height:42.55pt;mso-position-horizontal-relative:page;mso-position-vertical-relative:paragraph;z-index:8608"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481.079803pt;margin-top:-10.120531pt;width:120.3pt;height:42.55pt;mso-position-horizontal-relative:page;mso-position-vertical-relative:paragraph;z-index:8632"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w:pict>
      </w:r>
      <w:r>
        <w:rPr/>
        <w:pict>
          <v:shape style="position:absolute;margin-left:360.811798pt;margin-top:-10.120531pt;width:120.3pt;height:42.55pt;mso-position-horizontal-relative:page;mso-position-vertical-relative:paragraph;z-index:8656"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bookmarkStart w:name="_bookmark18" w:id="19"/>
      <w:bookmarkEnd w:id="19"/>
      <w:r>
        <w:rPr/>
      </w:r>
      <w:hyperlink w:history="true" w:anchor="_bookmark73">
        <w:r>
          <w:rPr>
            <w:color w:val="FFFFFF"/>
            <w:w w:val="90"/>
            <w:sz w:val="20"/>
          </w:rPr>
          <w:t>APPENDIX</w:t>
        </w:r>
      </w:hyperlink>
    </w:p>
    <w:p>
      <w:pPr>
        <w:pStyle w:val="BodyText"/>
        <w:rPr>
          <w:sz w:val="20"/>
        </w:rPr>
      </w:pPr>
    </w:p>
    <w:p>
      <w:pPr>
        <w:pStyle w:val="BodyText"/>
        <w:rPr>
          <w:sz w:val="20"/>
        </w:rPr>
      </w:pPr>
    </w:p>
    <w:p>
      <w:pPr>
        <w:pStyle w:val="BodyText"/>
        <w:spacing w:before="8"/>
        <w:rPr>
          <w:sz w:val="21"/>
        </w:rPr>
      </w:pPr>
    </w:p>
    <w:p>
      <w:pPr>
        <w:spacing w:after="0"/>
        <w:rPr>
          <w:sz w:val="21"/>
        </w:rPr>
        <w:sectPr>
          <w:footerReference w:type="default" r:id="rId172"/>
          <w:pgSz w:w="16840" w:h="11910" w:orient="landscape"/>
          <w:pgMar w:footer="448" w:header="0" w:top="0" w:bottom="640" w:left="0" w:right="0"/>
        </w:sectPr>
      </w:pPr>
    </w:p>
    <w:p>
      <w:pPr>
        <w:pStyle w:val="Heading1"/>
        <w:spacing w:line="220" w:lineRule="auto" w:before="246"/>
        <w:ind w:right="4612"/>
      </w:pPr>
      <w:r>
        <w:rPr>
          <w:color w:val="6F2770"/>
          <w:spacing w:val="-8"/>
          <w:w w:val="95"/>
        </w:rPr>
        <w:t>Summary</w:t>
      </w:r>
      <w:r>
        <w:rPr>
          <w:color w:val="6F2770"/>
          <w:spacing w:val="-122"/>
          <w:w w:val="95"/>
        </w:rPr>
        <w:t> </w:t>
      </w:r>
      <w:r>
        <w:rPr>
          <w:color w:val="6F2770"/>
          <w:spacing w:val="-6"/>
          <w:w w:val="95"/>
        </w:rPr>
        <w:t>of</w:t>
      </w:r>
      <w:r>
        <w:rPr>
          <w:color w:val="6F2770"/>
          <w:spacing w:val="-122"/>
          <w:w w:val="95"/>
        </w:rPr>
        <w:t> </w:t>
      </w:r>
      <w:r>
        <w:rPr>
          <w:color w:val="6F2770"/>
          <w:spacing w:val="-10"/>
          <w:w w:val="95"/>
        </w:rPr>
        <w:t>Financial</w:t>
      </w:r>
      <w:r>
        <w:rPr>
          <w:color w:val="6F2770"/>
          <w:spacing w:val="-121"/>
          <w:w w:val="95"/>
        </w:rPr>
        <w:t> </w:t>
      </w:r>
      <w:r>
        <w:rPr>
          <w:color w:val="6F2770"/>
          <w:spacing w:val="-12"/>
          <w:w w:val="95"/>
        </w:rPr>
        <w:t>Performance </w:t>
      </w:r>
      <w:r>
        <w:rPr>
          <w:color w:val="6F2770"/>
          <w:spacing w:val="-8"/>
        </w:rPr>
        <w:t>for </w:t>
      </w:r>
      <w:r>
        <w:rPr>
          <w:color w:val="6F2770"/>
          <w:spacing w:val="-11"/>
        </w:rPr>
        <w:t>2016-17</w:t>
      </w:r>
    </w:p>
    <w:p>
      <w:pPr>
        <w:pStyle w:val="BodyText"/>
        <w:spacing w:line="249" w:lineRule="auto" w:before="181"/>
        <w:ind w:left="765" w:right="-7"/>
      </w:pPr>
      <w:r>
        <w:rPr/>
        <w:t>The</w:t>
      </w:r>
      <w:r>
        <w:rPr>
          <w:spacing w:val="-18"/>
        </w:rPr>
        <w:t> </w:t>
      </w:r>
      <w:r>
        <w:rPr/>
        <w:t>Department</w:t>
      </w:r>
      <w:r>
        <w:rPr>
          <w:spacing w:val="-17"/>
        </w:rPr>
        <w:t> </w:t>
      </w:r>
      <w:r>
        <w:rPr/>
        <w:t>of</w:t>
      </w:r>
      <w:r>
        <w:rPr>
          <w:spacing w:val="-17"/>
        </w:rPr>
        <w:t> </w:t>
      </w:r>
      <w:r>
        <w:rPr/>
        <w:t>Finance</w:t>
      </w:r>
      <w:r>
        <w:rPr>
          <w:spacing w:val="-17"/>
        </w:rPr>
        <w:t> </w:t>
      </w:r>
      <w:r>
        <w:rPr/>
        <w:t>2016-17</w:t>
      </w:r>
      <w:r>
        <w:rPr>
          <w:spacing w:val="-17"/>
        </w:rPr>
        <w:t> </w:t>
      </w:r>
      <w:r>
        <w:rPr/>
        <w:t>gross</w:t>
      </w:r>
      <w:r>
        <w:rPr>
          <w:spacing w:val="-17"/>
        </w:rPr>
        <w:t> </w:t>
      </w:r>
      <w:r>
        <w:rPr/>
        <w:t>expense</w:t>
      </w:r>
      <w:r>
        <w:rPr>
          <w:spacing w:val="-17"/>
        </w:rPr>
        <w:t> </w:t>
      </w:r>
      <w:r>
        <w:rPr/>
        <w:t>allocation</w:t>
      </w:r>
      <w:r>
        <w:rPr>
          <w:spacing w:val="-17"/>
        </w:rPr>
        <w:t> </w:t>
      </w:r>
      <w:r>
        <w:rPr/>
        <w:t>was</w:t>
      </w:r>
      <w:r>
        <w:rPr>
          <w:spacing w:val="-17"/>
        </w:rPr>
        <w:t> </w:t>
      </w:r>
      <w:r>
        <w:rPr/>
        <w:t>approximately</w:t>
      </w:r>
      <w:r>
        <w:rPr>
          <w:spacing w:val="-17"/>
        </w:rPr>
        <w:t> </w:t>
      </w:r>
      <w:r>
        <w:rPr/>
        <w:t>$1.24</w:t>
      </w:r>
      <w:r>
        <w:rPr>
          <w:spacing w:val="-17"/>
        </w:rPr>
        <w:t> </w:t>
      </w:r>
      <w:r>
        <w:rPr/>
        <w:t>billion,</w:t>
      </w:r>
      <w:r>
        <w:rPr>
          <w:spacing w:val="-18"/>
        </w:rPr>
        <w:t> </w:t>
      </w:r>
      <w:r>
        <w:rPr/>
        <w:t>funded</w:t>
      </w:r>
      <w:r>
        <w:rPr>
          <w:spacing w:val="-17"/>
        </w:rPr>
        <w:t> </w:t>
      </w:r>
      <w:r>
        <w:rPr/>
        <w:t>largely</w:t>
      </w:r>
      <w:r>
        <w:rPr>
          <w:spacing w:val="-17"/>
        </w:rPr>
        <w:t> </w:t>
      </w:r>
      <w:r>
        <w:rPr/>
        <w:t>through</w:t>
      </w:r>
      <w:r>
        <w:rPr>
          <w:spacing w:val="-17"/>
        </w:rPr>
        <w:t> </w:t>
      </w:r>
      <w:r>
        <w:rPr/>
        <w:t>the</w:t>
      </w:r>
      <w:r>
        <w:rPr>
          <w:spacing w:val="-17"/>
        </w:rPr>
        <w:t> </w:t>
      </w:r>
      <w:r>
        <w:rPr/>
        <w:t>charging</w:t>
      </w:r>
      <w:r>
        <w:rPr>
          <w:spacing w:val="-17"/>
        </w:rPr>
        <w:t> </w:t>
      </w:r>
      <w:r>
        <w:rPr/>
        <w:t>of</w:t>
      </w:r>
      <w:r>
        <w:rPr>
          <w:spacing w:val="-17"/>
        </w:rPr>
        <w:t> </w:t>
      </w:r>
      <w:r>
        <w:rPr/>
        <w:t>other</w:t>
      </w:r>
      <w:r>
        <w:rPr>
          <w:spacing w:val="-17"/>
        </w:rPr>
        <w:t> </w:t>
      </w:r>
      <w:r>
        <w:rPr/>
        <w:t>government departments</w:t>
      </w:r>
      <w:r>
        <w:rPr>
          <w:spacing w:val="-23"/>
        </w:rPr>
        <w:t> </w:t>
      </w:r>
      <w:r>
        <w:rPr/>
        <w:t>for</w:t>
      </w:r>
      <w:r>
        <w:rPr>
          <w:spacing w:val="-23"/>
        </w:rPr>
        <w:t> </w:t>
      </w:r>
      <w:r>
        <w:rPr/>
        <w:t>building</w:t>
      </w:r>
      <w:r>
        <w:rPr>
          <w:spacing w:val="-23"/>
        </w:rPr>
        <w:t> </w:t>
      </w:r>
      <w:r>
        <w:rPr/>
        <w:t>works,</w:t>
      </w:r>
      <w:r>
        <w:rPr>
          <w:spacing w:val="-22"/>
        </w:rPr>
        <w:t> </w:t>
      </w:r>
      <w:r>
        <w:rPr/>
        <w:t>maintenance</w:t>
      </w:r>
      <w:r>
        <w:rPr>
          <w:spacing w:val="-23"/>
        </w:rPr>
        <w:t> </w:t>
      </w:r>
      <w:r>
        <w:rPr/>
        <w:t>and</w:t>
      </w:r>
      <w:r>
        <w:rPr>
          <w:spacing w:val="-23"/>
        </w:rPr>
        <w:t> </w:t>
      </w:r>
      <w:r>
        <w:rPr/>
        <w:t>leasing</w:t>
      </w:r>
      <w:r>
        <w:rPr>
          <w:spacing w:val="-23"/>
        </w:rPr>
        <w:t> </w:t>
      </w:r>
      <w:r>
        <w:rPr/>
        <w:t>($0.99</w:t>
      </w:r>
      <w:r>
        <w:rPr>
          <w:spacing w:val="-22"/>
        </w:rPr>
        <w:t> </w:t>
      </w:r>
      <w:r>
        <w:rPr/>
        <w:t>billion).</w:t>
      </w:r>
      <w:r>
        <w:rPr>
          <w:spacing w:val="-23"/>
        </w:rPr>
        <w:t> </w:t>
      </w:r>
      <w:r>
        <w:rPr/>
        <w:t>The</w:t>
      </w:r>
      <w:r>
        <w:rPr>
          <w:spacing w:val="-23"/>
        </w:rPr>
        <w:t> </w:t>
      </w:r>
      <w:r>
        <w:rPr/>
        <w:t>other</w:t>
      </w:r>
      <w:r>
        <w:rPr>
          <w:spacing w:val="-23"/>
        </w:rPr>
        <w:t> </w:t>
      </w:r>
      <w:r>
        <w:rPr/>
        <w:t>key</w:t>
      </w:r>
      <w:r>
        <w:rPr>
          <w:spacing w:val="-22"/>
        </w:rPr>
        <w:t> </w:t>
      </w:r>
      <w:r>
        <w:rPr/>
        <w:t>funding</w:t>
      </w:r>
      <w:r>
        <w:rPr>
          <w:spacing w:val="-23"/>
        </w:rPr>
        <w:t> </w:t>
      </w:r>
      <w:r>
        <w:rPr/>
        <w:t>sources</w:t>
      </w:r>
      <w:r>
        <w:rPr>
          <w:spacing w:val="-23"/>
        </w:rPr>
        <w:t> </w:t>
      </w:r>
      <w:r>
        <w:rPr/>
        <w:t>are</w:t>
      </w:r>
      <w:r>
        <w:rPr>
          <w:spacing w:val="-22"/>
        </w:rPr>
        <w:t> </w:t>
      </w:r>
      <w:r>
        <w:rPr/>
        <w:t>appropriations</w:t>
      </w:r>
      <w:r>
        <w:rPr>
          <w:spacing w:val="-23"/>
        </w:rPr>
        <w:t> </w:t>
      </w:r>
      <w:r>
        <w:rPr/>
        <w:t>of</w:t>
      </w:r>
      <w:r>
        <w:rPr>
          <w:spacing w:val="-23"/>
        </w:rPr>
        <w:t> </w:t>
      </w:r>
      <w:r>
        <w:rPr/>
        <w:t>$0.17</w:t>
      </w:r>
      <w:r>
        <w:rPr>
          <w:spacing w:val="-23"/>
        </w:rPr>
        <w:t> </w:t>
      </w:r>
      <w:r>
        <w:rPr/>
        <w:t>billion</w:t>
      </w:r>
      <w:r>
        <w:rPr>
          <w:spacing w:val="-22"/>
        </w:rPr>
        <w:t> </w:t>
      </w:r>
      <w:r>
        <w:rPr/>
        <w:t>and</w:t>
      </w:r>
      <w:r>
        <w:rPr>
          <w:spacing w:val="-23"/>
        </w:rPr>
        <w:t> </w:t>
      </w:r>
      <w:r>
        <w:rPr/>
        <w:t>other</w:t>
      </w:r>
      <w:r>
        <w:rPr>
          <w:spacing w:val="-23"/>
        </w:rPr>
        <w:t> </w:t>
      </w:r>
      <w:r>
        <w:rPr>
          <w:spacing w:val="-4"/>
        </w:rPr>
        <w:t>revenue </w:t>
      </w:r>
      <w:r>
        <w:rPr/>
        <w:t>sources of $0.08</w:t>
      </w:r>
      <w:r>
        <w:rPr>
          <w:spacing w:val="-1"/>
        </w:rPr>
        <w:t> </w:t>
      </w:r>
      <w:r>
        <w:rPr/>
        <w:t>billion.</w:t>
      </w:r>
    </w:p>
    <w:p>
      <w:pPr>
        <w:pStyle w:val="BodyText"/>
        <w:spacing w:before="2"/>
        <w:rPr>
          <w:sz w:val="23"/>
        </w:rPr>
      </w:pPr>
    </w:p>
    <w:p>
      <w:pPr>
        <w:pStyle w:val="BodyText"/>
        <w:spacing w:line="249" w:lineRule="auto"/>
        <w:ind w:left="765" w:right="597"/>
      </w:pPr>
      <w:r>
        <w:rPr/>
        <w:pict>
          <v:shape style="position:absolute;margin-left:38.2677pt;margin-top:42.383583pt;width:766.9pt;height:218.6pt;mso-position-horizontal-relative:page;mso-position-vertical-relative:paragraph;z-index:8680"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1"/>
                    <w:gridCol w:w="1417"/>
                    <w:gridCol w:w="1417"/>
                    <w:gridCol w:w="1417"/>
                    <w:gridCol w:w="8504"/>
                  </w:tblGrid>
                  <w:tr>
                    <w:trPr>
                      <w:trHeight w:val="514" w:hRule="atLeast"/>
                    </w:trPr>
                    <w:tc>
                      <w:tcPr>
                        <w:tcW w:w="2551" w:type="dxa"/>
                        <w:tcBorders>
                          <w:left w:val="single" w:sz="8" w:space="0" w:color="FFFFFF"/>
                        </w:tcBorders>
                        <w:shd w:val="clear" w:color="auto" w:fill="783A79"/>
                      </w:tcPr>
                      <w:p>
                        <w:pPr>
                          <w:pStyle w:val="TableParagraph"/>
                          <w:spacing w:line="249" w:lineRule="auto" w:before="44"/>
                          <w:ind w:left="113"/>
                          <w:rPr>
                            <w:b/>
                            <w:sz w:val="18"/>
                          </w:rPr>
                        </w:pPr>
                        <w:r>
                          <w:rPr>
                            <w:b/>
                            <w:color w:val="FFFFFF"/>
                            <w:sz w:val="18"/>
                          </w:rPr>
                          <w:t>Actual results versus estimate</w:t>
                        </w:r>
                      </w:p>
                    </w:tc>
                    <w:tc>
                      <w:tcPr>
                        <w:tcW w:w="1417" w:type="dxa"/>
                        <w:shd w:val="clear" w:color="auto" w:fill="783A79"/>
                      </w:tcPr>
                      <w:p>
                        <w:pPr>
                          <w:pStyle w:val="TableParagraph"/>
                          <w:spacing w:before="44"/>
                          <w:ind w:left="441"/>
                          <w:rPr>
                            <w:b/>
                            <w:sz w:val="10"/>
                          </w:rPr>
                        </w:pPr>
                        <w:r>
                          <w:rPr>
                            <w:b/>
                            <w:color w:val="FFFFFF"/>
                            <w:sz w:val="18"/>
                          </w:rPr>
                          <w:t>Estimate</w:t>
                        </w:r>
                        <w:r>
                          <w:rPr>
                            <w:b/>
                            <w:color w:val="FFFFFF"/>
                            <w:position w:val="6"/>
                            <w:sz w:val="10"/>
                          </w:rPr>
                          <w:t>(a)</w:t>
                        </w:r>
                      </w:p>
                      <w:p>
                        <w:pPr>
                          <w:pStyle w:val="TableParagraph"/>
                          <w:spacing w:before="9"/>
                          <w:ind w:left="913"/>
                          <w:rPr>
                            <w:b/>
                            <w:sz w:val="18"/>
                          </w:rPr>
                        </w:pPr>
                        <w:r>
                          <w:rPr>
                            <w:b/>
                            <w:color w:val="FFFFFF"/>
                            <w:sz w:val="18"/>
                          </w:rPr>
                          <w:t>$000</w:t>
                        </w:r>
                      </w:p>
                    </w:tc>
                    <w:tc>
                      <w:tcPr>
                        <w:tcW w:w="1417" w:type="dxa"/>
                        <w:shd w:val="clear" w:color="auto" w:fill="783A79"/>
                      </w:tcPr>
                      <w:p>
                        <w:pPr>
                          <w:pStyle w:val="TableParagraph"/>
                          <w:spacing w:before="44"/>
                          <w:ind w:left="745" w:right="80"/>
                          <w:jc w:val="center"/>
                          <w:rPr>
                            <w:b/>
                            <w:sz w:val="18"/>
                          </w:rPr>
                        </w:pPr>
                        <w:r>
                          <w:rPr>
                            <w:b/>
                            <w:color w:val="FFFFFF"/>
                            <w:sz w:val="18"/>
                          </w:rPr>
                          <w:t>Actual</w:t>
                        </w:r>
                      </w:p>
                      <w:p>
                        <w:pPr>
                          <w:pStyle w:val="TableParagraph"/>
                          <w:spacing w:before="9"/>
                          <w:ind w:left="891" w:right="80"/>
                          <w:jc w:val="center"/>
                          <w:rPr>
                            <w:b/>
                            <w:sz w:val="18"/>
                          </w:rPr>
                        </w:pPr>
                        <w:r>
                          <w:rPr>
                            <w:b/>
                            <w:color w:val="FFFFFF"/>
                            <w:sz w:val="18"/>
                          </w:rPr>
                          <w:t>$000</w:t>
                        </w:r>
                      </w:p>
                    </w:tc>
                    <w:tc>
                      <w:tcPr>
                        <w:tcW w:w="9921" w:type="dxa"/>
                        <w:gridSpan w:val="2"/>
                        <w:tcBorders>
                          <w:right w:val="single" w:sz="8" w:space="0" w:color="FFFFFF"/>
                        </w:tcBorders>
                        <w:shd w:val="clear" w:color="auto" w:fill="783A79"/>
                      </w:tcPr>
                      <w:p>
                        <w:pPr>
                          <w:pStyle w:val="TableParagraph"/>
                          <w:tabs>
                            <w:tab w:pos="1541" w:val="left" w:leader="none"/>
                          </w:tabs>
                          <w:spacing w:before="44"/>
                          <w:ind w:left="574"/>
                          <w:rPr>
                            <w:b/>
                            <w:sz w:val="18"/>
                          </w:rPr>
                        </w:pPr>
                        <w:r>
                          <w:rPr>
                            <w:b/>
                            <w:color w:val="FFFFFF"/>
                            <w:sz w:val="18"/>
                          </w:rPr>
                          <w:t>Variance</w:t>
                          <w:tab/>
                          <w:t>Reason for significant variation between actual and</w:t>
                        </w:r>
                        <w:r>
                          <w:rPr>
                            <w:b/>
                            <w:color w:val="FFFFFF"/>
                            <w:spacing w:val="2"/>
                            <w:sz w:val="18"/>
                          </w:rPr>
                          <w:t> </w:t>
                        </w:r>
                        <w:r>
                          <w:rPr>
                            <w:b/>
                            <w:color w:val="FFFFFF"/>
                            <w:sz w:val="18"/>
                          </w:rPr>
                          <w:t>estimate</w:t>
                        </w:r>
                      </w:p>
                      <w:p>
                        <w:pPr>
                          <w:pStyle w:val="TableParagraph"/>
                          <w:spacing w:before="9"/>
                          <w:ind w:left="914"/>
                          <w:rPr>
                            <w:b/>
                            <w:sz w:val="18"/>
                          </w:rPr>
                        </w:pPr>
                        <w:r>
                          <w:rPr>
                            <w:b/>
                            <w:color w:val="FFFFFF"/>
                            <w:sz w:val="18"/>
                          </w:rPr>
                          <w:t>$000</w:t>
                        </w:r>
                      </w:p>
                    </w:tc>
                  </w:tr>
                  <w:tr>
                    <w:trPr>
                      <w:trHeight w:val="504" w:hRule="atLeast"/>
                    </w:trPr>
                    <w:tc>
                      <w:tcPr>
                        <w:tcW w:w="2551" w:type="dxa"/>
                        <w:tcBorders>
                          <w:left w:val="single" w:sz="8" w:space="0" w:color="FFFFFF"/>
                          <w:right w:val="single" w:sz="8" w:space="0" w:color="FFFFFF"/>
                        </w:tcBorders>
                        <w:shd w:val="clear" w:color="auto" w:fill="F4F4F4"/>
                      </w:tcPr>
                      <w:p>
                        <w:pPr>
                          <w:pStyle w:val="TableParagraph"/>
                          <w:spacing w:line="249" w:lineRule="auto" w:before="44"/>
                          <w:ind w:left="113" w:right="707"/>
                          <w:rPr>
                            <w:sz w:val="18"/>
                          </w:rPr>
                        </w:pPr>
                        <w:r>
                          <w:rPr>
                            <w:sz w:val="18"/>
                          </w:rPr>
                          <w:t>Total cost of services (expense limit)</w:t>
                        </w:r>
                      </w:p>
                    </w:tc>
                    <w:tc>
                      <w:tcPr>
                        <w:tcW w:w="1417" w:type="dxa"/>
                        <w:tcBorders>
                          <w:left w:val="single" w:sz="8" w:space="0" w:color="FFFFFF"/>
                        </w:tcBorders>
                        <w:shd w:val="clear" w:color="auto" w:fill="F4F4F4"/>
                      </w:tcPr>
                      <w:p>
                        <w:pPr>
                          <w:pStyle w:val="TableParagraph"/>
                          <w:spacing w:before="44"/>
                          <w:ind w:right="100"/>
                          <w:jc w:val="right"/>
                          <w:rPr>
                            <w:sz w:val="18"/>
                          </w:rPr>
                        </w:pPr>
                        <w:r>
                          <w:rPr>
                            <w:w w:val="95"/>
                            <w:sz w:val="18"/>
                          </w:rPr>
                          <w:t>1,359,762</w:t>
                        </w:r>
                      </w:p>
                    </w:tc>
                    <w:tc>
                      <w:tcPr>
                        <w:tcW w:w="1417" w:type="dxa"/>
                        <w:shd w:val="clear" w:color="auto" w:fill="E1E4BB"/>
                      </w:tcPr>
                      <w:p>
                        <w:pPr>
                          <w:pStyle w:val="TableParagraph"/>
                          <w:spacing w:before="44"/>
                          <w:ind w:right="100"/>
                          <w:jc w:val="right"/>
                          <w:rPr>
                            <w:sz w:val="18"/>
                          </w:rPr>
                        </w:pPr>
                        <w:r>
                          <w:rPr>
                            <w:w w:val="95"/>
                            <w:sz w:val="18"/>
                          </w:rPr>
                          <w:t>1,242,978</w:t>
                        </w:r>
                      </w:p>
                    </w:tc>
                    <w:tc>
                      <w:tcPr>
                        <w:tcW w:w="1417" w:type="dxa"/>
                        <w:tcBorders>
                          <w:right w:val="single" w:sz="8" w:space="0" w:color="FFFFFF"/>
                        </w:tcBorders>
                        <w:shd w:val="clear" w:color="auto" w:fill="F4F4F4"/>
                      </w:tcPr>
                      <w:p>
                        <w:pPr>
                          <w:pStyle w:val="TableParagraph"/>
                          <w:spacing w:before="44"/>
                          <w:ind w:right="90"/>
                          <w:jc w:val="right"/>
                          <w:rPr>
                            <w:sz w:val="18"/>
                          </w:rPr>
                        </w:pPr>
                        <w:r>
                          <w:rPr>
                            <w:w w:val="95"/>
                            <w:sz w:val="18"/>
                          </w:rPr>
                          <w:t>(116,784)</w:t>
                        </w:r>
                      </w:p>
                    </w:tc>
                    <w:tc>
                      <w:tcPr>
                        <w:tcW w:w="8504" w:type="dxa"/>
                        <w:tcBorders>
                          <w:left w:val="single" w:sz="8" w:space="0" w:color="FFFFFF"/>
                          <w:right w:val="single" w:sz="8" w:space="0" w:color="FFFFFF"/>
                        </w:tcBorders>
                        <w:shd w:val="clear" w:color="auto" w:fill="F4F4F4"/>
                      </w:tcPr>
                      <w:p>
                        <w:pPr>
                          <w:pStyle w:val="TableParagraph"/>
                          <w:spacing w:line="249" w:lineRule="auto" w:before="44"/>
                          <w:ind w:left="114" w:right="439"/>
                          <w:rPr>
                            <w:sz w:val="18"/>
                          </w:rPr>
                        </w:pPr>
                        <w:r>
                          <w:rPr>
                            <w:sz w:val="18"/>
                          </w:rPr>
                          <w:t>Actual</w:t>
                        </w:r>
                        <w:r>
                          <w:rPr>
                            <w:spacing w:val="-16"/>
                            <w:sz w:val="18"/>
                          </w:rPr>
                          <w:t> </w:t>
                        </w:r>
                        <w:r>
                          <w:rPr>
                            <w:sz w:val="18"/>
                          </w:rPr>
                          <w:t>expenditure</w:t>
                        </w:r>
                        <w:r>
                          <w:rPr>
                            <w:spacing w:val="-16"/>
                            <w:sz w:val="18"/>
                          </w:rPr>
                          <w:t> </w:t>
                        </w:r>
                        <w:r>
                          <w:rPr>
                            <w:sz w:val="18"/>
                          </w:rPr>
                          <w:t>was</w:t>
                        </w:r>
                        <w:r>
                          <w:rPr>
                            <w:spacing w:val="-15"/>
                            <w:sz w:val="18"/>
                          </w:rPr>
                          <w:t> </w:t>
                        </w:r>
                        <w:r>
                          <w:rPr>
                            <w:sz w:val="18"/>
                          </w:rPr>
                          <w:t>below</w:t>
                        </w:r>
                        <w:r>
                          <w:rPr>
                            <w:spacing w:val="-16"/>
                            <w:sz w:val="18"/>
                          </w:rPr>
                          <w:t> </w:t>
                        </w:r>
                        <w:r>
                          <w:rPr>
                            <w:sz w:val="18"/>
                          </w:rPr>
                          <w:t>estimate</w:t>
                        </w:r>
                        <w:r>
                          <w:rPr>
                            <w:spacing w:val="-15"/>
                            <w:sz w:val="18"/>
                          </w:rPr>
                          <w:t> </w:t>
                        </w:r>
                        <w:r>
                          <w:rPr>
                            <w:sz w:val="18"/>
                          </w:rPr>
                          <w:t>primarily</w:t>
                        </w:r>
                        <w:r>
                          <w:rPr>
                            <w:spacing w:val="-16"/>
                            <w:sz w:val="18"/>
                          </w:rPr>
                          <w:t> </w:t>
                        </w:r>
                        <w:r>
                          <w:rPr>
                            <w:sz w:val="18"/>
                          </w:rPr>
                          <w:t>due</w:t>
                        </w:r>
                        <w:r>
                          <w:rPr>
                            <w:spacing w:val="-15"/>
                            <w:sz w:val="18"/>
                          </w:rPr>
                          <w:t> </w:t>
                        </w:r>
                        <w:r>
                          <w:rPr>
                            <w:sz w:val="18"/>
                          </w:rPr>
                          <w:t>to</w:t>
                        </w:r>
                        <w:r>
                          <w:rPr>
                            <w:spacing w:val="-16"/>
                            <w:sz w:val="18"/>
                          </w:rPr>
                          <w:t> </w:t>
                        </w:r>
                        <w:r>
                          <w:rPr>
                            <w:sz w:val="18"/>
                          </w:rPr>
                          <w:t>a</w:t>
                        </w:r>
                        <w:r>
                          <w:rPr>
                            <w:spacing w:val="-15"/>
                            <w:sz w:val="18"/>
                          </w:rPr>
                          <w:t> </w:t>
                        </w:r>
                        <w:r>
                          <w:rPr>
                            <w:sz w:val="18"/>
                          </w:rPr>
                          <w:t>reduction</w:t>
                        </w:r>
                        <w:r>
                          <w:rPr>
                            <w:spacing w:val="-16"/>
                            <w:sz w:val="18"/>
                          </w:rPr>
                          <w:t> </w:t>
                        </w:r>
                        <w:r>
                          <w:rPr>
                            <w:sz w:val="18"/>
                          </w:rPr>
                          <w:t>in</w:t>
                        </w:r>
                        <w:r>
                          <w:rPr>
                            <w:spacing w:val="-15"/>
                            <w:sz w:val="18"/>
                          </w:rPr>
                          <w:t> </w:t>
                        </w:r>
                        <w:r>
                          <w:rPr>
                            <w:sz w:val="18"/>
                          </w:rPr>
                          <w:t>the</w:t>
                        </w:r>
                        <w:r>
                          <w:rPr>
                            <w:spacing w:val="-16"/>
                            <w:sz w:val="18"/>
                          </w:rPr>
                          <w:t> </w:t>
                        </w:r>
                        <w:r>
                          <w:rPr>
                            <w:sz w:val="18"/>
                          </w:rPr>
                          <w:t>whole-of-government</w:t>
                        </w:r>
                        <w:r>
                          <w:rPr>
                            <w:spacing w:val="-16"/>
                            <w:sz w:val="18"/>
                          </w:rPr>
                          <w:t> </w:t>
                        </w:r>
                        <w:r>
                          <w:rPr>
                            <w:spacing w:val="-3"/>
                            <w:sz w:val="18"/>
                          </w:rPr>
                          <w:t>capital </w:t>
                        </w:r>
                        <w:r>
                          <w:rPr>
                            <w:sz w:val="18"/>
                          </w:rPr>
                          <w:t>works</w:t>
                        </w:r>
                        <w:r>
                          <w:rPr>
                            <w:spacing w:val="-11"/>
                            <w:sz w:val="18"/>
                          </w:rPr>
                          <w:t> </w:t>
                        </w:r>
                        <w:r>
                          <w:rPr>
                            <w:sz w:val="18"/>
                          </w:rPr>
                          <w:t>program</w:t>
                        </w:r>
                        <w:r>
                          <w:rPr>
                            <w:spacing w:val="-11"/>
                            <w:sz w:val="18"/>
                          </w:rPr>
                          <w:t> </w:t>
                        </w:r>
                        <w:r>
                          <w:rPr>
                            <w:sz w:val="18"/>
                          </w:rPr>
                          <w:t>delivered</w:t>
                        </w:r>
                        <w:r>
                          <w:rPr>
                            <w:spacing w:val="-11"/>
                            <w:sz w:val="18"/>
                          </w:rPr>
                          <w:t> </w:t>
                        </w:r>
                        <w:r>
                          <w:rPr>
                            <w:sz w:val="18"/>
                          </w:rPr>
                          <w:t>by</w:t>
                        </w:r>
                        <w:r>
                          <w:rPr>
                            <w:spacing w:val="-11"/>
                            <w:sz w:val="18"/>
                          </w:rPr>
                          <w:t> </w:t>
                        </w:r>
                        <w:r>
                          <w:rPr>
                            <w:sz w:val="18"/>
                          </w:rPr>
                          <w:t>Building</w:t>
                        </w:r>
                        <w:r>
                          <w:rPr>
                            <w:spacing w:val="-11"/>
                            <w:sz w:val="18"/>
                          </w:rPr>
                          <w:t> </w:t>
                        </w:r>
                        <w:r>
                          <w:rPr>
                            <w:sz w:val="18"/>
                          </w:rPr>
                          <w:t>Management</w:t>
                        </w:r>
                        <w:r>
                          <w:rPr>
                            <w:spacing w:val="-11"/>
                            <w:sz w:val="18"/>
                          </w:rPr>
                          <w:t> </w:t>
                        </w:r>
                        <w:r>
                          <w:rPr>
                            <w:sz w:val="18"/>
                          </w:rPr>
                          <w:t>and</w:t>
                        </w:r>
                        <w:r>
                          <w:rPr>
                            <w:spacing w:val="-11"/>
                            <w:sz w:val="18"/>
                          </w:rPr>
                          <w:t> </w:t>
                        </w:r>
                        <w:r>
                          <w:rPr>
                            <w:sz w:val="18"/>
                          </w:rPr>
                          <w:t>Works</w:t>
                        </w:r>
                        <w:r>
                          <w:rPr>
                            <w:spacing w:val="-11"/>
                            <w:sz w:val="18"/>
                          </w:rPr>
                          <w:t> </w:t>
                        </w:r>
                        <w:r>
                          <w:rPr>
                            <w:sz w:val="18"/>
                          </w:rPr>
                          <w:t>on</w:t>
                        </w:r>
                        <w:r>
                          <w:rPr>
                            <w:spacing w:val="-11"/>
                            <w:sz w:val="18"/>
                          </w:rPr>
                          <w:t> </w:t>
                        </w:r>
                        <w:r>
                          <w:rPr>
                            <w:sz w:val="18"/>
                          </w:rPr>
                          <w:t>behalf</w:t>
                        </w:r>
                        <w:r>
                          <w:rPr>
                            <w:spacing w:val="-11"/>
                            <w:sz w:val="18"/>
                          </w:rPr>
                          <w:t> </w:t>
                        </w:r>
                        <w:r>
                          <w:rPr>
                            <w:sz w:val="18"/>
                          </w:rPr>
                          <w:t>of</w:t>
                        </w:r>
                        <w:r>
                          <w:rPr>
                            <w:spacing w:val="-11"/>
                            <w:sz w:val="18"/>
                          </w:rPr>
                          <w:t> </w:t>
                        </w:r>
                        <w:r>
                          <w:rPr>
                            <w:sz w:val="18"/>
                          </w:rPr>
                          <w:t>government</w:t>
                        </w:r>
                        <w:r>
                          <w:rPr>
                            <w:spacing w:val="-11"/>
                            <w:sz w:val="18"/>
                          </w:rPr>
                          <w:t> </w:t>
                        </w:r>
                        <w:r>
                          <w:rPr>
                            <w:sz w:val="18"/>
                          </w:rPr>
                          <w:t>agencies.</w:t>
                        </w:r>
                      </w:p>
                    </w:tc>
                  </w:tr>
                  <w:tr>
                    <w:trPr>
                      <w:trHeight w:val="730" w:hRule="atLeast"/>
                    </w:trPr>
                    <w:tc>
                      <w:tcPr>
                        <w:tcW w:w="2551" w:type="dxa"/>
                        <w:tcBorders>
                          <w:left w:val="single" w:sz="8" w:space="0" w:color="FFFFFF"/>
                          <w:bottom w:val="single" w:sz="8" w:space="0" w:color="FFFFFF"/>
                        </w:tcBorders>
                        <w:shd w:val="clear" w:color="auto" w:fill="FAF9F9"/>
                      </w:tcPr>
                      <w:p>
                        <w:pPr>
                          <w:pStyle w:val="TableParagraph"/>
                          <w:spacing w:before="54"/>
                          <w:ind w:left="113"/>
                          <w:rPr>
                            <w:sz w:val="18"/>
                          </w:rPr>
                        </w:pPr>
                        <w:r>
                          <w:rPr>
                            <w:sz w:val="18"/>
                          </w:rPr>
                          <w:t>Net cost of services</w:t>
                        </w:r>
                      </w:p>
                    </w:tc>
                    <w:tc>
                      <w:tcPr>
                        <w:tcW w:w="1417" w:type="dxa"/>
                        <w:tcBorders>
                          <w:bottom w:val="single" w:sz="8" w:space="0" w:color="FFFFFF"/>
                        </w:tcBorders>
                        <w:shd w:val="clear" w:color="auto" w:fill="FAF9F9"/>
                      </w:tcPr>
                      <w:p>
                        <w:pPr>
                          <w:pStyle w:val="TableParagraph"/>
                          <w:spacing w:before="54"/>
                          <w:ind w:right="100"/>
                          <w:jc w:val="right"/>
                          <w:rPr>
                            <w:sz w:val="18"/>
                          </w:rPr>
                        </w:pPr>
                        <w:r>
                          <w:rPr>
                            <w:w w:val="95"/>
                            <w:sz w:val="18"/>
                          </w:rPr>
                          <w:t>(188,321)</w:t>
                        </w:r>
                      </w:p>
                    </w:tc>
                    <w:tc>
                      <w:tcPr>
                        <w:tcW w:w="1417" w:type="dxa"/>
                        <w:shd w:val="clear" w:color="auto" w:fill="E1E4BB"/>
                      </w:tcPr>
                      <w:p>
                        <w:pPr>
                          <w:pStyle w:val="TableParagraph"/>
                          <w:spacing w:before="54"/>
                          <w:ind w:right="100"/>
                          <w:jc w:val="right"/>
                          <w:rPr>
                            <w:sz w:val="18"/>
                          </w:rPr>
                        </w:pPr>
                        <w:r>
                          <w:rPr>
                            <w:w w:val="95"/>
                            <w:sz w:val="18"/>
                          </w:rPr>
                          <w:t>(169,737)</w:t>
                        </w:r>
                      </w:p>
                    </w:tc>
                    <w:tc>
                      <w:tcPr>
                        <w:tcW w:w="9921" w:type="dxa"/>
                        <w:gridSpan w:val="2"/>
                        <w:tcBorders>
                          <w:bottom w:val="single" w:sz="8" w:space="0" w:color="FFFFFF"/>
                          <w:right w:val="single" w:sz="8" w:space="0" w:color="FFFFFF"/>
                        </w:tcBorders>
                        <w:shd w:val="clear" w:color="auto" w:fill="FAF9F9"/>
                      </w:tcPr>
                      <w:p>
                        <w:pPr>
                          <w:pStyle w:val="TableParagraph"/>
                          <w:tabs>
                            <w:tab w:pos="1541" w:val="left" w:leader="none"/>
                          </w:tabs>
                          <w:spacing w:line="249" w:lineRule="auto" w:before="54"/>
                          <w:ind w:left="1541" w:right="541" w:hanging="778"/>
                          <w:rPr>
                            <w:sz w:val="18"/>
                          </w:rPr>
                        </w:pPr>
                        <w:r>
                          <w:rPr>
                            <w:sz w:val="18"/>
                          </w:rPr>
                          <w:t>18,584</w:t>
                          <w:tab/>
                          <w:t>Net cost of services was lower than initial estimates largely due to savings achieved through the acceleration</w:t>
                        </w:r>
                        <w:r>
                          <w:rPr>
                            <w:spacing w:val="-21"/>
                            <w:sz w:val="18"/>
                          </w:rPr>
                          <w:t> </w:t>
                        </w:r>
                        <w:r>
                          <w:rPr>
                            <w:sz w:val="18"/>
                          </w:rPr>
                          <w:t>of</w:t>
                        </w:r>
                        <w:r>
                          <w:rPr>
                            <w:spacing w:val="-21"/>
                            <w:sz w:val="18"/>
                          </w:rPr>
                          <w:t> </w:t>
                        </w:r>
                        <w:r>
                          <w:rPr>
                            <w:sz w:val="18"/>
                          </w:rPr>
                          <w:t>the</w:t>
                        </w:r>
                        <w:r>
                          <w:rPr>
                            <w:spacing w:val="-21"/>
                            <w:sz w:val="18"/>
                          </w:rPr>
                          <w:t> </w:t>
                        </w:r>
                        <w:r>
                          <w:rPr>
                            <w:sz w:val="18"/>
                          </w:rPr>
                          <w:t>Agency</w:t>
                        </w:r>
                        <w:r>
                          <w:rPr>
                            <w:spacing w:val="-21"/>
                            <w:sz w:val="18"/>
                          </w:rPr>
                          <w:t> </w:t>
                        </w:r>
                        <w:r>
                          <w:rPr>
                            <w:sz w:val="18"/>
                          </w:rPr>
                          <w:t>Expenditure</w:t>
                        </w:r>
                        <w:r>
                          <w:rPr>
                            <w:spacing w:val="-21"/>
                            <w:sz w:val="18"/>
                          </w:rPr>
                          <w:t> </w:t>
                        </w:r>
                        <w:r>
                          <w:rPr>
                            <w:sz w:val="18"/>
                          </w:rPr>
                          <w:t>Review</w:t>
                        </w:r>
                        <w:r>
                          <w:rPr>
                            <w:spacing w:val="-21"/>
                            <w:sz w:val="18"/>
                          </w:rPr>
                          <w:t> </w:t>
                        </w:r>
                        <w:r>
                          <w:rPr>
                            <w:sz w:val="18"/>
                          </w:rPr>
                          <w:t>savings</w:t>
                        </w:r>
                        <w:r>
                          <w:rPr>
                            <w:spacing w:val="-21"/>
                            <w:sz w:val="18"/>
                          </w:rPr>
                          <w:t> </w:t>
                        </w:r>
                        <w:r>
                          <w:rPr>
                            <w:sz w:val="18"/>
                          </w:rPr>
                          <w:t>program</w:t>
                        </w:r>
                        <w:r>
                          <w:rPr>
                            <w:spacing w:val="-21"/>
                            <w:sz w:val="18"/>
                          </w:rPr>
                          <w:t> </w:t>
                        </w:r>
                        <w:r>
                          <w:rPr>
                            <w:sz w:val="18"/>
                          </w:rPr>
                          <w:t>and</w:t>
                        </w:r>
                        <w:r>
                          <w:rPr>
                            <w:spacing w:val="-21"/>
                            <w:sz w:val="18"/>
                          </w:rPr>
                          <w:t> </w:t>
                        </w:r>
                        <w:r>
                          <w:rPr>
                            <w:sz w:val="18"/>
                          </w:rPr>
                          <w:t>improved</w:t>
                        </w:r>
                        <w:r>
                          <w:rPr>
                            <w:spacing w:val="-21"/>
                            <w:sz w:val="18"/>
                          </w:rPr>
                          <w:t> </w:t>
                        </w:r>
                        <w:r>
                          <w:rPr>
                            <w:sz w:val="18"/>
                          </w:rPr>
                          <w:t>outcomes</w:t>
                        </w:r>
                        <w:r>
                          <w:rPr>
                            <w:spacing w:val="-21"/>
                            <w:sz w:val="18"/>
                          </w:rPr>
                          <w:t> </w:t>
                        </w:r>
                        <w:r>
                          <w:rPr>
                            <w:sz w:val="18"/>
                          </w:rPr>
                          <w:t>achieved</w:t>
                        </w:r>
                        <w:r>
                          <w:rPr>
                            <w:spacing w:val="-21"/>
                            <w:sz w:val="18"/>
                          </w:rPr>
                          <w:t> </w:t>
                        </w:r>
                        <w:r>
                          <w:rPr>
                            <w:spacing w:val="-8"/>
                            <w:sz w:val="18"/>
                          </w:rPr>
                          <w:t>in </w:t>
                        </w:r>
                        <w:r>
                          <w:rPr>
                            <w:sz w:val="18"/>
                          </w:rPr>
                          <w:t>State Fleet</w:t>
                        </w:r>
                        <w:r>
                          <w:rPr>
                            <w:spacing w:val="-2"/>
                            <w:sz w:val="18"/>
                          </w:rPr>
                          <w:t> </w:t>
                        </w:r>
                        <w:r>
                          <w:rPr>
                            <w:sz w:val="18"/>
                          </w:rPr>
                          <w:t>profitability.</w:t>
                        </w:r>
                      </w:p>
                    </w:tc>
                  </w:tr>
                  <w:tr>
                    <w:trPr>
                      <w:trHeight w:val="307" w:hRule="atLeast"/>
                    </w:trPr>
                    <w:tc>
                      <w:tcPr>
                        <w:tcW w:w="25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34"/>
                          <w:ind w:left="113"/>
                          <w:rPr>
                            <w:sz w:val="18"/>
                          </w:rPr>
                        </w:pPr>
                        <w:r>
                          <w:rPr>
                            <w:sz w:val="18"/>
                          </w:rPr>
                          <w:t>Total equity</w:t>
                        </w:r>
                      </w:p>
                    </w:tc>
                    <w:tc>
                      <w:tcPr>
                        <w:tcW w:w="1417" w:type="dxa"/>
                        <w:tcBorders>
                          <w:top w:val="single" w:sz="8" w:space="0" w:color="FFFFFF"/>
                          <w:left w:val="single" w:sz="8" w:space="0" w:color="FFFFFF"/>
                          <w:bottom w:val="single" w:sz="8" w:space="0" w:color="FFFFFF"/>
                        </w:tcBorders>
                        <w:shd w:val="clear" w:color="auto" w:fill="F4F4F4"/>
                      </w:tcPr>
                      <w:p>
                        <w:pPr>
                          <w:pStyle w:val="TableParagraph"/>
                          <w:spacing w:before="34"/>
                          <w:ind w:right="100"/>
                          <w:jc w:val="right"/>
                          <w:rPr>
                            <w:sz w:val="18"/>
                          </w:rPr>
                        </w:pPr>
                        <w:r>
                          <w:rPr>
                            <w:w w:val="95"/>
                            <w:sz w:val="18"/>
                          </w:rPr>
                          <w:t>1,224,383</w:t>
                        </w:r>
                      </w:p>
                    </w:tc>
                    <w:tc>
                      <w:tcPr>
                        <w:tcW w:w="1417" w:type="dxa"/>
                        <w:shd w:val="clear" w:color="auto" w:fill="E1E4BB"/>
                      </w:tcPr>
                      <w:p>
                        <w:pPr>
                          <w:pStyle w:val="TableParagraph"/>
                          <w:spacing w:before="34"/>
                          <w:ind w:right="100"/>
                          <w:jc w:val="right"/>
                          <w:rPr>
                            <w:sz w:val="18"/>
                          </w:rPr>
                        </w:pPr>
                        <w:r>
                          <w:rPr>
                            <w:w w:val="95"/>
                            <w:sz w:val="18"/>
                          </w:rPr>
                          <w:t>1,115,061</w:t>
                        </w:r>
                      </w:p>
                    </w:tc>
                    <w:tc>
                      <w:tcPr>
                        <w:tcW w:w="1417" w:type="dxa"/>
                        <w:tcBorders>
                          <w:top w:val="single" w:sz="8" w:space="0" w:color="FFFFFF"/>
                          <w:bottom w:val="single" w:sz="8" w:space="0" w:color="FFFFFF"/>
                          <w:right w:val="single" w:sz="8" w:space="0" w:color="FFFFFF"/>
                        </w:tcBorders>
                        <w:shd w:val="clear" w:color="auto" w:fill="F4F4F4"/>
                      </w:tcPr>
                      <w:p>
                        <w:pPr>
                          <w:pStyle w:val="TableParagraph"/>
                          <w:spacing w:before="34"/>
                          <w:ind w:right="90"/>
                          <w:jc w:val="right"/>
                          <w:rPr>
                            <w:sz w:val="18"/>
                          </w:rPr>
                        </w:pPr>
                        <w:r>
                          <w:rPr>
                            <w:w w:val="95"/>
                            <w:sz w:val="18"/>
                          </w:rPr>
                          <w:t>(109,322)</w:t>
                        </w:r>
                      </w:p>
                    </w:tc>
                    <w:tc>
                      <w:tcPr>
                        <w:tcW w:w="8504"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34"/>
                          <w:ind w:left="114"/>
                          <w:rPr>
                            <w:sz w:val="18"/>
                          </w:rPr>
                        </w:pPr>
                        <w:r>
                          <w:rPr>
                            <w:sz w:val="18"/>
                          </w:rPr>
                          <w:t>Total equity has been impacted by the downward revaluation of government accommodation assets.</w:t>
                        </w:r>
                      </w:p>
                    </w:tc>
                  </w:tr>
                  <w:tr>
                    <w:trPr>
                      <w:trHeight w:val="494" w:hRule="atLeast"/>
                    </w:trPr>
                    <w:tc>
                      <w:tcPr>
                        <w:tcW w:w="2551" w:type="dxa"/>
                        <w:tcBorders>
                          <w:top w:val="single" w:sz="8" w:space="0" w:color="FFFFFF"/>
                          <w:left w:val="single" w:sz="8" w:space="0" w:color="FFFFFF"/>
                          <w:bottom w:val="single" w:sz="8" w:space="0" w:color="FFFFFF"/>
                        </w:tcBorders>
                        <w:shd w:val="clear" w:color="auto" w:fill="FAF9F9"/>
                      </w:tcPr>
                      <w:p>
                        <w:pPr>
                          <w:pStyle w:val="TableParagraph"/>
                          <w:spacing w:line="249" w:lineRule="auto" w:before="35"/>
                          <w:ind w:left="113" w:right="583"/>
                          <w:rPr>
                            <w:sz w:val="18"/>
                          </w:rPr>
                        </w:pPr>
                        <w:r>
                          <w:rPr>
                            <w:w w:val="95"/>
                            <w:sz w:val="18"/>
                          </w:rPr>
                          <w:t>Net increase/(decrease) </w:t>
                        </w:r>
                        <w:r>
                          <w:rPr>
                            <w:sz w:val="18"/>
                          </w:rPr>
                          <w:t>in cash held</w:t>
                        </w:r>
                      </w:p>
                    </w:tc>
                    <w:tc>
                      <w:tcPr>
                        <w:tcW w:w="1417" w:type="dxa"/>
                        <w:tcBorders>
                          <w:top w:val="single" w:sz="8" w:space="0" w:color="FFFFFF"/>
                          <w:bottom w:val="single" w:sz="8" w:space="0" w:color="FFFFFF"/>
                        </w:tcBorders>
                        <w:shd w:val="clear" w:color="auto" w:fill="FAF9F9"/>
                      </w:tcPr>
                      <w:p>
                        <w:pPr>
                          <w:pStyle w:val="TableParagraph"/>
                          <w:spacing w:before="35"/>
                          <w:ind w:right="100"/>
                          <w:jc w:val="right"/>
                          <w:rPr>
                            <w:sz w:val="18"/>
                          </w:rPr>
                        </w:pPr>
                        <w:r>
                          <w:rPr>
                            <w:w w:val="95"/>
                            <w:sz w:val="18"/>
                          </w:rPr>
                          <w:t>20,619</w:t>
                        </w:r>
                      </w:p>
                    </w:tc>
                    <w:tc>
                      <w:tcPr>
                        <w:tcW w:w="1417" w:type="dxa"/>
                        <w:shd w:val="clear" w:color="auto" w:fill="E1E4BB"/>
                      </w:tcPr>
                      <w:p>
                        <w:pPr>
                          <w:pStyle w:val="TableParagraph"/>
                          <w:spacing w:before="35"/>
                          <w:ind w:right="100"/>
                          <w:jc w:val="right"/>
                          <w:rPr>
                            <w:sz w:val="18"/>
                          </w:rPr>
                        </w:pPr>
                        <w:r>
                          <w:rPr>
                            <w:w w:val="95"/>
                            <w:sz w:val="18"/>
                          </w:rPr>
                          <w:t>(24,043)</w:t>
                        </w:r>
                      </w:p>
                    </w:tc>
                    <w:tc>
                      <w:tcPr>
                        <w:tcW w:w="9921" w:type="dxa"/>
                        <w:gridSpan w:val="2"/>
                        <w:tcBorders>
                          <w:top w:val="single" w:sz="8" w:space="0" w:color="FFFFFF"/>
                          <w:bottom w:val="single" w:sz="8" w:space="0" w:color="FFFFFF"/>
                          <w:right w:val="single" w:sz="8" w:space="0" w:color="FFFFFF"/>
                        </w:tcBorders>
                        <w:shd w:val="clear" w:color="auto" w:fill="FAF9F9"/>
                      </w:tcPr>
                      <w:p>
                        <w:pPr>
                          <w:pStyle w:val="TableParagraph"/>
                          <w:tabs>
                            <w:tab w:pos="1541" w:val="left" w:leader="none"/>
                          </w:tabs>
                          <w:spacing w:before="35"/>
                          <w:ind w:left="677"/>
                          <w:rPr>
                            <w:sz w:val="18"/>
                          </w:rPr>
                        </w:pPr>
                        <w:r>
                          <w:rPr>
                            <w:sz w:val="18"/>
                          </w:rPr>
                          <w:t>(44,662)</w:t>
                          <w:tab/>
                          <w:t>Cash balances decreased primarily due to a reduction in</w:t>
                        </w:r>
                        <w:r>
                          <w:rPr>
                            <w:spacing w:val="-22"/>
                            <w:sz w:val="18"/>
                          </w:rPr>
                          <w:t> </w:t>
                        </w:r>
                        <w:r>
                          <w:rPr>
                            <w:sz w:val="18"/>
                          </w:rPr>
                          <w:t>payables.</w:t>
                        </w:r>
                      </w:p>
                    </w:tc>
                  </w:tr>
                  <w:tr>
                    <w:trPr>
                      <w:trHeight w:val="710" w:hRule="atLeast"/>
                    </w:trPr>
                    <w:tc>
                      <w:tcPr>
                        <w:tcW w:w="25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line="249" w:lineRule="auto" w:before="35"/>
                          <w:ind w:left="113" w:right="366"/>
                          <w:rPr>
                            <w:sz w:val="18"/>
                          </w:rPr>
                        </w:pPr>
                        <w:r>
                          <w:rPr>
                            <w:sz w:val="18"/>
                          </w:rPr>
                          <w:t>Approved salary expense level</w:t>
                        </w:r>
                      </w:p>
                    </w:tc>
                    <w:tc>
                      <w:tcPr>
                        <w:tcW w:w="1417" w:type="dxa"/>
                        <w:tcBorders>
                          <w:top w:val="single" w:sz="8" w:space="0" w:color="FFFFFF"/>
                          <w:left w:val="single" w:sz="8" w:space="0" w:color="FFFFFF"/>
                          <w:bottom w:val="single" w:sz="8" w:space="0" w:color="FFFFFF"/>
                        </w:tcBorders>
                        <w:shd w:val="clear" w:color="auto" w:fill="F4F4F4"/>
                      </w:tcPr>
                      <w:p>
                        <w:pPr>
                          <w:pStyle w:val="TableParagraph"/>
                          <w:spacing w:before="35"/>
                          <w:ind w:right="100"/>
                          <w:jc w:val="right"/>
                          <w:rPr>
                            <w:sz w:val="18"/>
                          </w:rPr>
                        </w:pPr>
                        <w:r>
                          <w:rPr>
                            <w:w w:val="95"/>
                            <w:sz w:val="18"/>
                          </w:rPr>
                          <w:t>135,536</w:t>
                        </w:r>
                      </w:p>
                    </w:tc>
                    <w:tc>
                      <w:tcPr>
                        <w:tcW w:w="1417" w:type="dxa"/>
                        <w:shd w:val="clear" w:color="auto" w:fill="E1E4BB"/>
                      </w:tcPr>
                      <w:p>
                        <w:pPr>
                          <w:pStyle w:val="TableParagraph"/>
                          <w:spacing w:before="35"/>
                          <w:ind w:right="100"/>
                          <w:jc w:val="right"/>
                          <w:rPr>
                            <w:sz w:val="18"/>
                          </w:rPr>
                        </w:pPr>
                        <w:r>
                          <w:rPr>
                            <w:w w:val="95"/>
                            <w:sz w:val="18"/>
                          </w:rPr>
                          <w:t>102,092</w:t>
                        </w:r>
                      </w:p>
                    </w:tc>
                    <w:tc>
                      <w:tcPr>
                        <w:tcW w:w="1417" w:type="dxa"/>
                        <w:tcBorders>
                          <w:top w:val="single" w:sz="8" w:space="0" w:color="FFFFFF"/>
                          <w:bottom w:val="single" w:sz="8" w:space="0" w:color="FFFFFF"/>
                          <w:right w:val="single" w:sz="8" w:space="0" w:color="FFFFFF"/>
                        </w:tcBorders>
                        <w:shd w:val="clear" w:color="auto" w:fill="F4F4F4"/>
                      </w:tcPr>
                      <w:p>
                        <w:pPr>
                          <w:pStyle w:val="TableParagraph"/>
                          <w:spacing w:before="35"/>
                          <w:ind w:right="90"/>
                          <w:jc w:val="right"/>
                          <w:rPr>
                            <w:sz w:val="18"/>
                          </w:rPr>
                        </w:pPr>
                        <w:r>
                          <w:rPr>
                            <w:w w:val="95"/>
                            <w:sz w:val="18"/>
                          </w:rPr>
                          <w:t>(33,444)</w:t>
                        </w:r>
                      </w:p>
                    </w:tc>
                    <w:tc>
                      <w:tcPr>
                        <w:tcW w:w="8504"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line="249" w:lineRule="auto" w:before="35"/>
                          <w:ind w:left="114" w:right="172"/>
                          <w:rPr>
                            <w:sz w:val="18"/>
                          </w:rPr>
                        </w:pPr>
                        <w:r>
                          <w:rPr>
                            <w:sz w:val="18"/>
                          </w:rPr>
                          <w:t>The Department accelerated the Agency Expenditure Review program during 2016-17 resulting in staff savings</w:t>
                        </w:r>
                        <w:r>
                          <w:rPr>
                            <w:spacing w:val="-21"/>
                            <w:sz w:val="18"/>
                          </w:rPr>
                          <w:t> </w:t>
                        </w:r>
                        <w:r>
                          <w:rPr>
                            <w:sz w:val="18"/>
                          </w:rPr>
                          <w:t>in</w:t>
                        </w:r>
                        <w:r>
                          <w:rPr>
                            <w:spacing w:val="-20"/>
                            <w:sz w:val="18"/>
                          </w:rPr>
                          <w:t> </w:t>
                        </w:r>
                        <w:r>
                          <w:rPr>
                            <w:sz w:val="18"/>
                          </w:rPr>
                          <w:t>advance</w:t>
                        </w:r>
                        <w:r>
                          <w:rPr>
                            <w:spacing w:val="-20"/>
                            <w:sz w:val="18"/>
                          </w:rPr>
                          <w:t> </w:t>
                        </w:r>
                        <w:r>
                          <w:rPr>
                            <w:sz w:val="18"/>
                          </w:rPr>
                          <w:t>of</w:t>
                        </w:r>
                        <w:r>
                          <w:rPr>
                            <w:spacing w:val="-20"/>
                            <w:sz w:val="18"/>
                          </w:rPr>
                          <w:t> </w:t>
                        </w:r>
                        <w:r>
                          <w:rPr>
                            <w:sz w:val="18"/>
                          </w:rPr>
                          <w:t>the</w:t>
                        </w:r>
                        <w:r>
                          <w:rPr>
                            <w:spacing w:val="-20"/>
                            <w:sz w:val="18"/>
                          </w:rPr>
                          <w:t> </w:t>
                        </w:r>
                        <w:r>
                          <w:rPr>
                            <w:sz w:val="18"/>
                          </w:rPr>
                          <w:t>original</w:t>
                        </w:r>
                        <w:r>
                          <w:rPr>
                            <w:spacing w:val="-20"/>
                            <w:sz w:val="18"/>
                          </w:rPr>
                          <w:t> </w:t>
                        </w:r>
                        <w:r>
                          <w:rPr>
                            <w:sz w:val="18"/>
                          </w:rPr>
                          <w:t>budget</w:t>
                        </w:r>
                        <w:r>
                          <w:rPr>
                            <w:spacing w:val="-20"/>
                            <w:sz w:val="18"/>
                          </w:rPr>
                          <w:t> </w:t>
                        </w:r>
                        <w:r>
                          <w:rPr>
                            <w:sz w:val="18"/>
                          </w:rPr>
                          <w:t>timeframes.</w:t>
                        </w:r>
                        <w:r>
                          <w:rPr>
                            <w:spacing w:val="-20"/>
                            <w:sz w:val="18"/>
                          </w:rPr>
                          <w:t> </w:t>
                        </w:r>
                        <w:r>
                          <w:rPr>
                            <w:sz w:val="18"/>
                          </w:rPr>
                          <w:t>In</w:t>
                        </w:r>
                        <w:r>
                          <w:rPr>
                            <w:spacing w:val="-20"/>
                            <w:sz w:val="18"/>
                          </w:rPr>
                          <w:t> </w:t>
                        </w:r>
                        <w:r>
                          <w:rPr>
                            <w:sz w:val="18"/>
                          </w:rPr>
                          <w:t>addition,</w:t>
                        </w:r>
                        <w:r>
                          <w:rPr>
                            <w:spacing w:val="-20"/>
                            <w:sz w:val="18"/>
                          </w:rPr>
                          <w:t> </w:t>
                        </w:r>
                        <w:r>
                          <w:rPr>
                            <w:sz w:val="18"/>
                          </w:rPr>
                          <w:t>Government</w:t>
                        </w:r>
                        <w:r>
                          <w:rPr>
                            <w:spacing w:val="-21"/>
                            <w:sz w:val="18"/>
                          </w:rPr>
                          <w:t> </w:t>
                        </w:r>
                        <w:r>
                          <w:rPr>
                            <w:sz w:val="18"/>
                          </w:rPr>
                          <w:t>Procurement</w:t>
                        </w:r>
                        <w:r>
                          <w:rPr>
                            <w:spacing w:val="-20"/>
                            <w:sz w:val="18"/>
                          </w:rPr>
                          <w:t> </w:t>
                        </w:r>
                        <w:r>
                          <w:rPr>
                            <w:sz w:val="18"/>
                          </w:rPr>
                          <w:t>devolved</w:t>
                        </w:r>
                        <w:r>
                          <w:rPr>
                            <w:spacing w:val="-20"/>
                            <w:sz w:val="18"/>
                          </w:rPr>
                          <w:t> </w:t>
                        </w:r>
                        <w:r>
                          <w:rPr>
                            <w:spacing w:val="-5"/>
                            <w:sz w:val="18"/>
                          </w:rPr>
                          <w:t>staff </w:t>
                        </w:r>
                        <w:r>
                          <w:rPr>
                            <w:sz w:val="18"/>
                          </w:rPr>
                          <w:t>to agencies to support procurement activity under</w:t>
                        </w:r>
                        <w:r>
                          <w:rPr>
                            <w:spacing w:val="-8"/>
                            <w:sz w:val="18"/>
                          </w:rPr>
                          <w:t> </w:t>
                        </w:r>
                        <w:r>
                          <w:rPr>
                            <w:sz w:val="18"/>
                          </w:rPr>
                          <w:t>$250,000.</w:t>
                        </w:r>
                      </w:p>
                    </w:tc>
                  </w:tr>
                  <w:tr>
                    <w:trPr>
                      <w:trHeight w:val="494" w:hRule="atLeast"/>
                    </w:trPr>
                    <w:tc>
                      <w:tcPr>
                        <w:tcW w:w="2551" w:type="dxa"/>
                        <w:tcBorders>
                          <w:top w:val="single" w:sz="8" w:space="0" w:color="FFFFFF"/>
                          <w:left w:val="single" w:sz="8" w:space="0" w:color="FFFFFF"/>
                          <w:bottom w:val="single" w:sz="8" w:space="0" w:color="FFFFFF"/>
                        </w:tcBorders>
                        <w:shd w:val="clear" w:color="auto" w:fill="FAF9F9"/>
                      </w:tcPr>
                      <w:p>
                        <w:pPr>
                          <w:pStyle w:val="TableParagraph"/>
                          <w:spacing w:before="35"/>
                          <w:ind w:left="113"/>
                          <w:rPr>
                            <w:sz w:val="18"/>
                          </w:rPr>
                        </w:pPr>
                        <w:r>
                          <w:rPr>
                            <w:sz w:val="18"/>
                          </w:rPr>
                          <w:t>Agreed borrowing limit</w:t>
                        </w:r>
                      </w:p>
                    </w:tc>
                    <w:tc>
                      <w:tcPr>
                        <w:tcW w:w="1417" w:type="dxa"/>
                        <w:tcBorders>
                          <w:top w:val="single" w:sz="8" w:space="0" w:color="FFFFFF"/>
                          <w:bottom w:val="single" w:sz="8" w:space="0" w:color="FFFFFF"/>
                        </w:tcBorders>
                        <w:shd w:val="clear" w:color="auto" w:fill="FAF9F9"/>
                      </w:tcPr>
                      <w:p>
                        <w:pPr>
                          <w:pStyle w:val="TableParagraph"/>
                          <w:spacing w:before="35"/>
                          <w:ind w:right="100"/>
                          <w:jc w:val="right"/>
                          <w:rPr>
                            <w:sz w:val="18"/>
                          </w:rPr>
                        </w:pPr>
                        <w:r>
                          <w:rPr>
                            <w:w w:val="95"/>
                            <w:sz w:val="18"/>
                          </w:rPr>
                          <w:t>111,624</w:t>
                        </w:r>
                      </w:p>
                    </w:tc>
                    <w:tc>
                      <w:tcPr>
                        <w:tcW w:w="1417" w:type="dxa"/>
                        <w:shd w:val="clear" w:color="auto" w:fill="E1E4BB"/>
                      </w:tcPr>
                      <w:p>
                        <w:pPr>
                          <w:pStyle w:val="TableParagraph"/>
                          <w:spacing w:before="35"/>
                          <w:ind w:right="100"/>
                          <w:jc w:val="right"/>
                          <w:rPr>
                            <w:sz w:val="18"/>
                          </w:rPr>
                        </w:pPr>
                        <w:r>
                          <w:rPr>
                            <w:w w:val="95"/>
                            <w:sz w:val="18"/>
                          </w:rPr>
                          <w:t>101,816</w:t>
                        </w:r>
                      </w:p>
                    </w:tc>
                    <w:tc>
                      <w:tcPr>
                        <w:tcW w:w="9921" w:type="dxa"/>
                        <w:gridSpan w:val="2"/>
                        <w:tcBorders>
                          <w:top w:val="single" w:sz="8" w:space="0" w:color="FFFFFF"/>
                          <w:bottom w:val="single" w:sz="8" w:space="0" w:color="FFFFFF"/>
                          <w:right w:val="single" w:sz="8" w:space="0" w:color="FFFFFF"/>
                        </w:tcBorders>
                        <w:shd w:val="clear" w:color="auto" w:fill="FAF9F9"/>
                      </w:tcPr>
                      <w:p>
                        <w:pPr>
                          <w:pStyle w:val="TableParagraph"/>
                          <w:tabs>
                            <w:tab w:pos="1541" w:val="left" w:leader="none"/>
                          </w:tabs>
                          <w:spacing w:line="249" w:lineRule="auto" w:before="35"/>
                          <w:ind w:left="1541" w:right="301" w:hanging="764"/>
                          <w:rPr>
                            <w:sz w:val="18"/>
                          </w:rPr>
                        </w:pPr>
                        <w:r>
                          <w:rPr>
                            <w:sz w:val="18"/>
                          </w:rPr>
                          <w:t>(9,808)</w:t>
                          <w:tab/>
                          <w:t>Borrowings</w:t>
                        </w:r>
                        <w:r>
                          <w:rPr>
                            <w:spacing w:val="-20"/>
                            <w:sz w:val="18"/>
                          </w:rPr>
                          <w:t> </w:t>
                        </w:r>
                        <w:r>
                          <w:rPr>
                            <w:sz w:val="18"/>
                          </w:rPr>
                          <w:t>repayment</w:t>
                        </w:r>
                        <w:r>
                          <w:rPr>
                            <w:spacing w:val="-19"/>
                            <w:sz w:val="18"/>
                          </w:rPr>
                          <w:t> </w:t>
                        </w:r>
                        <w:r>
                          <w:rPr>
                            <w:sz w:val="18"/>
                          </w:rPr>
                          <w:t>schedules</w:t>
                        </w:r>
                        <w:r>
                          <w:rPr>
                            <w:spacing w:val="-20"/>
                            <w:sz w:val="18"/>
                          </w:rPr>
                          <w:t> </w:t>
                        </w:r>
                        <w:r>
                          <w:rPr>
                            <w:sz w:val="18"/>
                          </w:rPr>
                          <w:t>were</w:t>
                        </w:r>
                        <w:r>
                          <w:rPr>
                            <w:spacing w:val="-19"/>
                            <w:sz w:val="18"/>
                          </w:rPr>
                          <w:t> </w:t>
                        </w:r>
                        <w:r>
                          <w:rPr>
                            <w:sz w:val="18"/>
                          </w:rPr>
                          <w:t>accelerated</w:t>
                        </w:r>
                        <w:r>
                          <w:rPr>
                            <w:spacing w:val="-19"/>
                            <w:sz w:val="18"/>
                          </w:rPr>
                          <w:t> </w:t>
                        </w:r>
                        <w:r>
                          <w:rPr>
                            <w:sz w:val="18"/>
                          </w:rPr>
                          <w:t>due</w:t>
                        </w:r>
                        <w:r>
                          <w:rPr>
                            <w:spacing w:val="-20"/>
                            <w:sz w:val="18"/>
                          </w:rPr>
                          <w:t> </w:t>
                        </w:r>
                        <w:r>
                          <w:rPr>
                            <w:sz w:val="18"/>
                          </w:rPr>
                          <w:t>to</w:t>
                        </w:r>
                        <w:r>
                          <w:rPr>
                            <w:spacing w:val="-19"/>
                            <w:sz w:val="18"/>
                          </w:rPr>
                          <w:t> </w:t>
                        </w:r>
                        <w:r>
                          <w:rPr>
                            <w:sz w:val="18"/>
                          </w:rPr>
                          <w:t>the</w:t>
                        </w:r>
                        <w:r>
                          <w:rPr>
                            <w:spacing w:val="-19"/>
                            <w:sz w:val="18"/>
                          </w:rPr>
                          <w:t> </w:t>
                        </w:r>
                        <w:r>
                          <w:rPr>
                            <w:sz w:val="18"/>
                          </w:rPr>
                          <w:t>increased</w:t>
                        </w:r>
                        <w:r>
                          <w:rPr>
                            <w:spacing w:val="-20"/>
                            <w:sz w:val="18"/>
                          </w:rPr>
                          <w:t> </w:t>
                        </w:r>
                        <w:r>
                          <w:rPr>
                            <w:sz w:val="18"/>
                          </w:rPr>
                          <w:t>sale</w:t>
                        </w:r>
                        <w:r>
                          <w:rPr>
                            <w:spacing w:val="-19"/>
                            <w:sz w:val="18"/>
                          </w:rPr>
                          <w:t> </w:t>
                        </w:r>
                        <w:r>
                          <w:rPr>
                            <w:sz w:val="18"/>
                          </w:rPr>
                          <w:t>of</w:t>
                        </w:r>
                        <w:r>
                          <w:rPr>
                            <w:spacing w:val="-20"/>
                            <w:sz w:val="18"/>
                          </w:rPr>
                          <w:t> </w:t>
                        </w:r>
                        <w:r>
                          <w:rPr>
                            <w:sz w:val="18"/>
                          </w:rPr>
                          <w:t>vehicles</w:t>
                        </w:r>
                        <w:r>
                          <w:rPr>
                            <w:spacing w:val="-19"/>
                            <w:sz w:val="18"/>
                          </w:rPr>
                          <w:t> </w:t>
                        </w:r>
                        <w:r>
                          <w:rPr>
                            <w:sz w:val="18"/>
                          </w:rPr>
                          <w:t>associated</w:t>
                        </w:r>
                        <w:r>
                          <w:rPr>
                            <w:spacing w:val="-19"/>
                            <w:sz w:val="18"/>
                          </w:rPr>
                          <w:t> </w:t>
                        </w:r>
                        <w:r>
                          <w:rPr>
                            <w:spacing w:val="-4"/>
                            <w:sz w:val="18"/>
                          </w:rPr>
                          <w:t>with </w:t>
                        </w:r>
                        <w:r>
                          <w:rPr>
                            <w:sz w:val="18"/>
                          </w:rPr>
                          <w:t>the exit of Water Corporation from State Fleet</w:t>
                        </w:r>
                        <w:r>
                          <w:rPr>
                            <w:spacing w:val="-18"/>
                            <w:sz w:val="18"/>
                          </w:rPr>
                          <w:t> </w:t>
                        </w:r>
                        <w:r>
                          <w:rPr>
                            <w:sz w:val="18"/>
                          </w:rPr>
                          <w:t>arrangements.</w:t>
                        </w:r>
                      </w:p>
                    </w:tc>
                  </w:tr>
                  <w:tr>
                    <w:trPr>
                      <w:trHeight w:val="494" w:hRule="atLeast"/>
                    </w:trPr>
                    <w:tc>
                      <w:tcPr>
                        <w:tcW w:w="2551"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35"/>
                          <w:ind w:left="113"/>
                          <w:rPr>
                            <w:sz w:val="18"/>
                          </w:rPr>
                        </w:pPr>
                        <w:r>
                          <w:rPr>
                            <w:sz w:val="18"/>
                          </w:rPr>
                          <w:t>Working cash limit</w:t>
                        </w:r>
                      </w:p>
                    </w:tc>
                    <w:tc>
                      <w:tcPr>
                        <w:tcW w:w="1417" w:type="dxa"/>
                        <w:tcBorders>
                          <w:top w:val="single" w:sz="8" w:space="0" w:color="FFFFFF"/>
                          <w:left w:val="single" w:sz="8" w:space="0" w:color="FFFFFF"/>
                          <w:bottom w:val="single" w:sz="8" w:space="0" w:color="FFFFFF"/>
                        </w:tcBorders>
                        <w:shd w:val="clear" w:color="auto" w:fill="F4F4F4"/>
                      </w:tcPr>
                      <w:p>
                        <w:pPr>
                          <w:pStyle w:val="TableParagraph"/>
                          <w:spacing w:before="35"/>
                          <w:ind w:right="100"/>
                          <w:jc w:val="right"/>
                          <w:rPr>
                            <w:sz w:val="18"/>
                          </w:rPr>
                        </w:pPr>
                        <w:r>
                          <w:rPr>
                            <w:w w:val="95"/>
                            <w:sz w:val="18"/>
                          </w:rPr>
                          <w:t>61,573</w:t>
                        </w:r>
                      </w:p>
                    </w:tc>
                    <w:tc>
                      <w:tcPr>
                        <w:tcW w:w="1417" w:type="dxa"/>
                        <w:shd w:val="clear" w:color="auto" w:fill="E1E4BB"/>
                      </w:tcPr>
                      <w:p>
                        <w:pPr>
                          <w:pStyle w:val="TableParagraph"/>
                          <w:spacing w:before="35"/>
                          <w:ind w:right="100"/>
                          <w:jc w:val="right"/>
                          <w:rPr>
                            <w:sz w:val="18"/>
                          </w:rPr>
                        </w:pPr>
                        <w:r>
                          <w:rPr>
                            <w:w w:val="95"/>
                            <w:sz w:val="18"/>
                          </w:rPr>
                          <w:t>60,119</w:t>
                        </w:r>
                      </w:p>
                    </w:tc>
                    <w:tc>
                      <w:tcPr>
                        <w:tcW w:w="1417" w:type="dxa"/>
                        <w:tcBorders>
                          <w:top w:val="single" w:sz="8" w:space="0" w:color="FFFFFF"/>
                          <w:bottom w:val="single" w:sz="8" w:space="0" w:color="FFFFFF"/>
                          <w:right w:val="single" w:sz="8" w:space="0" w:color="FFFFFF"/>
                        </w:tcBorders>
                        <w:shd w:val="clear" w:color="auto" w:fill="F4F4F4"/>
                      </w:tcPr>
                      <w:p>
                        <w:pPr>
                          <w:pStyle w:val="TableParagraph"/>
                          <w:spacing w:before="35"/>
                          <w:ind w:right="90"/>
                          <w:jc w:val="right"/>
                          <w:rPr>
                            <w:sz w:val="18"/>
                          </w:rPr>
                        </w:pPr>
                        <w:r>
                          <w:rPr>
                            <w:w w:val="90"/>
                            <w:sz w:val="18"/>
                          </w:rPr>
                          <w:t>(1,454)</w:t>
                        </w:r>
                      </w:p>
                    </w:tc>
                    <w:tc>
                      <w:tcPr>
                        <w:tcW w:w="8504"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line="249" w:lineRule="auto" w:before="35"/>
                          <w:ind w:left="114" w:right="236"/>
                          <w:rPr>
                            <w:sz w:val="18"/>
                          </w:rPr>
                        </w:pPr>
                        <w:r>
                          <w:rPr>
                            <w:sz w:val="18"/>
                          </w:rPr>
                          <w:t>The</w:t>
                        </w:r>
                        <w:r>
                          <w:rPr>
                            <w:spacing w:val="-9"/>
                            <w:sz w:val="18"/>
                          </w:rPr>
                          <w:t> </w:t>
                        </w:r>
                        <w:r>
                          <w:rPr>
                            <w:sz w:val="18"/>
                          </w:rPr>
                          <w:t>total</w:t>
                        </w:r>
                        <w:r>
                          <w:rPr>
                            <w:spacing w:val="-9"/>
                            <w:sz w:val="18"/>
                          </w:rPr>
                          <w:t> </w:t>
                        </w:r>
                        <w:r>
                          <w:rPr>
                            <w:sz w:val="18"/>
                          </w:rPr>
                          <w:t>cash</w:t>
                        </w:r>
                        <w:r>
                          <w:rPr>
                            <w:spacing w:val="-9"/>
                            <w:sz w:val="18"/>
                          </w:rPr>
                          <w:t> </w:t>
                        </w:r>
                        <w:r>
                          <w:rPr>
                            <w:sz w:val="18"/>
                          </w:rPr>
                          <w:t>balance</w:t>
                        </w:r>
                        <w:r>
                          <w:rPr>
                            <w:spacing w:val="-9"/>
                            <w:sz w:val="18"/>
                          </w:rPr>
                          <w:t> </w:t>
                        </w:r>
                        <w:r>
                          <w:rPr>
                            <w:sz w:val="18"/>
                          </w:rPr>
                          <w:t>was</w:t>
                        </w:r>
                        <w:r>
                          <w:rPr>
                            <w:spacing w:val="-9"/>
                            <w:sz w:val="18"/>
                          </w:rPr>
                          <w:t> </w:t>
                        </w:r>
                        <w:r>
                          <w:rPr>
                            <w:sz w:val="18"/>
                          </w:rPr>
                          <w:t>$74,187,000</w:t>
                        </w:r>
                        <w:r>
                          <w:rPr>
                            <w:spacing w:val="-9"/>
                            <w:sz w:val="18"/>
                          </w:rPr>
                          <w:t> </w:t>
                        </w:r>
                        <w:r>
                          <w:rPr>
                            <w:sz w:val="18"/>
                          </w:rPr>
                          <w:t>of</w:t>
                        </w:r>
                        <w:r>
                          <w:rPr>
                            <w:spacing w:val="-8"/>
                            <w:sz w:val="18"/>
                          </w:rPr>
                          <w:t> </w:t>
                        </w:r>
                        <w:r>
                          <w:rPr>
                            <w:sz w:val="18"/>
                          </w:rPr>
                          <w:t>which</w:t>
                        </w:r>
                        <w:r>
                          <w:rPr>
                            <w:spacing w:val="-9"/>
                            <w:sz w:val="18"/>
                          </w:rPr>
                          <w:t> </w:t>
                        </w:r>
                        <w:r>
                          <w:rPr>
                            <w:sz w:val="18"/>
                          </w:rPr>
                          <w:t>$3,569,000</w:t>
                        </w:r>
                        <w:r>
                          <w:rPr>
                            <w:spacing w:val="-9"/>
                            <w:sz w:val="18"/>
                          </w:rPr>
                          <w:t> </w:t>
                        </w:r>
                        <w:r>
                          <w:rPr>
                            <w:sz w:val="18"/>
                          </w:rPr>
                          <w:t>was</w:t>
                        </w:r>
                        <w:r>
                          <w:rPr>
                            <w:spacing w:val="-9"/>
                            <w:sz w:val="18"/>
                          </w:rPr>
                          <w:t> </w:t>
                        </w:r>
                        <w:r>
                          <w:rPr>
                            <w:sz w:val="18"/>
                          </w:rPr>
                          <w:t>restricted</w:t>
                        </w:r>
                        <w:r>
                          <w:rPr>
                            <w:spacing w:val="-9"/>
                            <w:sz w:val="18"/>
                          </w:rPr>
                          <w:t> </w:t>
                        </w:r>
                        <w:r>
                          <w:rPr>
                            <w:sz w:val="18"/>
                          </w:rPr>
                          <w:t>cash</w:t>
                        </w:r>
                        <w:r>
                          <w:rPr>
                            <w:spacing w:val="-9"/>
                            <w:sz w:val="18"/>
                          </w:rPr>
                          <w:t> </w:t>
                        </w:r>
                        <w:r>
                          <w:rPr>
                            <w:sz w:val="18"/>
                          </w:rPr>
                          <w:t>and</w:t>
                        </w:r>
                        <w:r>
                          <w:rPr>
                            <w:spacing w:val="-9"/>
                            <w:sz w:val="18"/>
                          </w:rPr>
                          <w:t> </w:t>
                        </w:r>
                        <w:r>
                          <w:rPr>
                            <w:sz w:val="18"/>
                          </w:rPr>
                          <w:t>$10,499,000</w:t>
                        </w:r>
                        <w:r>
                          <w:rPr>
                            <w:spacing w:val="-8"/>
                            <w:sz w:val="18"/>
                          </w:rPr>
                          <w:t> </w:t>
                        </w:r>
                        <w:r>
                          <w:rPr>
                            <w:spacing w:val="-6"/>
                            <w:sz w:val="18"/>
                          </w:rPr>
                          <w:t>was </w:t>
                        </w:r>
                        <w:r>
                          <w:rPr>
                            <w:sz w:val="18"/>
                          </w:rPr>
                          <w:t>capital</w:t>
                        </w:r>
                        <w:r>
                          <w:rPr>
                            <w:spacing w:val="-6"/>
                            <w:sz w:val="18"/>
                          </w:rPr>
                          <w:t> </w:t>
                        </w:r>
                        <w:r>
                          <w:rPr>
                            <w:sz w:val="18"/>
                          </w:rPr>
                          <w:t>funding</w:t>
                        </w:r>
                        <w:r>
                          <w:rPr>
                            <w:spacing w:val="-5"/>
                            <w:sz w:val="18"/>
                          </w:rPr>
                          <w:t> </w:t>
                        </w:r>
                        <w:r>
                          <w:rPr>
                            <w:sz w:val="18"/>
                          </w:rPr>
                          <w:t>–</w:t>
                        </w:r>
                        <w:r>
                          <w:rPr>
                            <w:spacing w:val="-6"/>
                            <w:sz w:val="18"/>
                          </w:rPr>
                          <w:t> </w:t>
                        </w:r>
                        <w:r>
                          <w:rPr>
                            <w:sz w:val="18"/>
                          </w:rPr>
                          <w:t>subject</w:t>
                        </w:r>
                        <w:r>
                          <w:rPr>
                            <w:spacing w:val="-5"/>
                            <w:sz w:val="18"/>
                          </w:rPr>
                          <w:t> </w:t>
                        </w:r>
                        <w:r>
                          <w:rPr>
                            <w:sz w:val="18"/>
                          </w:rPr>
                          <w:t>to</w:t>
                        </w:r>
                        <w:r>
                          <w:rPr>
                            <w:spacing w:val="-5"/>
                            <w:sz w:val="18"/>
                          </w:rPr>
                          <w:t> </w:t>
                        </w:r>
                        <w:r>
                          <w:rPr>
                            <w:sz w:val="18"/>
                          </w:rPr>
                          <w:t>project</w:t>
                        </w:r>
                        <w:r>
                          <w:rPr>
                            <w:spacing w:val="-6"/>
                            <w:sz w:val="18"/>
                          </w:rPr>
                          <w:t> </w:t>
                        </w:r>
                        <w:r>
                          <w:rPr>
                            <w:sz w:val="18"/>
                          </w:rPr>
                          <w:t>requirements</w:t>
                        </w:r>
                        <w:r>
                          <w:rPr>
                            <w:spacing w:val="-5"/>
                            <w:sz w:val="18"/>
                          </w:rPr>
                          <w:t> </w:t>
                        </w:r>
                        <w:r>
                          <w:rPr>
                            <w:sz w:val="18"/>
                          </w:rPr>
                          <w:t>and</w:t>
                        </w:r>
                        <w:r>
                          <w:rPr>
                            <w:spacing w:val="-6"/>
                            <w:sz w:val="18"/>
                          </w:rPr>
                          <w:t> </w:t>
                        </w:r>
                        <w:r>
                          <w:rPr>
                            <w:sz w:val="18"/>
                          </w:rPr>
                          <w:t>carryover</w:t>
                        </w:r>
                        <w:r>
                          <w:rPr>
                            <w:spacing w:val="-5"/>
                            <w:sz w:val="18"/>
                          </w:rPr>
                          <w:t> </w:t>
                        </w:r>
                        <w:r>
                          <w:rPr>
                            <w:sz w:val="18"/>
                          </w:rPr>
                          <w:t>approval</w:t>
                        </w:r>
                        <w:r>
                          <w:rPr>
                            <w:spacing w:val="-5"/>
                            <w:sz w:val="18"/>
                          </w:rPr>
                          <w:t> </w:t>
                        </w:r>
                        <w:r>
                          <w:rPr>
                            <w:sz w:val="18"/>
                          </w:rPr>
                          <w:t>by</w:t>
                        </w:r>
                        <w:r>
                          <w:rPr>
                            <w:spacing w:val="-6"/>
                            <w:sz w:val="18"/>
                          </w:rPr>
                          <w:t> </w:t>
                        </w:r>
                        <w:r>
                          <w:rPr>
                            <w:sz w:val="18"/>
                          </w:rPr>
                          <w:t>government.</w:t>
                        </w:r>
                      </w:p>
                    </w:tc>
                  </w:tr>
                </w:tbl>
                <w:p>
                  <w:pPr>
                    <w:pStyle w:val="BodyText"/>
                  </w:pPr>
                </w:p>
              </w:txbxContent>
            </v:textbox>
            <w10:wrap type="none"/>
          </v:shape>
        </w:pict>
      </w:r>
      <w:r>
        <w:rPr/>
        <w:t>The</w:t>
      </w:r>
      <w:r>
        <w:rPr>
          <w:spacing w:val="-25"/>
        </w:rPr>
        <w:t> </w:t>
      </w:r>
      <w:r>
        <w:rPr/>
        <w:t>$1.24</w:t>
      </w:r>
      <w:r>
        <w:rPr>
          <w:spacing w:val="-25"/>
        </w:rPr>
        <w:t> </w:t>
      </w:r>
      <w:r>
        <w:rPr/>
        <w:t>billion</w:t>
      </w:r>
      <w:r>
        <w:rPr>
          <w:spacing w:val="-25"/>
        </w:rPr>
        <w:t> </w:t>
      </w:r>
      <w:r>
        <w:rPr/>
        <w:t>in</w:t>
      </w:r>
      <w:r>
        <w:rPr>
          <w:spacing w:val="-24"/>
        </w:rPr>
        <w:t> </w:t>
      </w:r>
      <w:r>
        <w:rPr/>
        <w:t>expenses</w:t>
      </w:r>
      <w:r>
        <w:rPr>
          <w:spacing w:val="-25"/>
        </w:rPr>
        <w:t> </w:t>
      </w:r>
      <w:r>
        <w:rPr/>
        <w:t>primarily</w:t>
      </w:r>
      <w:r>
        <w:rPr>
          <w:spacing w:val="-25"/>
        </w:rPr>
        <w:t> </w:t>
      </w:r>
      <w:r>
        <w:rPr/>
        <w:t>relates</w:t>
      </w:r>
      <w:r>
        <w:rPr>
          <w:spacing w:val="-24"/>
        </w:rPr>
        <w:t> </w:t>
      </w:r>
      <w:r>
        <w:rPr/>
        <w:t>to</w:t>
      </w:r>
      <w:r>
        <w:rPr>
          <w:spacing w:val="-25"/>
        </w:rPr>
        <w:t> </w:t>
      </w:r>
      <w:r>
        <w:rPr/>
        <w:t>building</w:t>
      </w:r>
      <w:r>
        <w:rPr>
          <w:spacing w:val="-25"/>
        </w:rPr>
        <w:t> </w:t>
      </w:r>
      <w:r>
        <w:rPr/>
        <w:t>works</w:t>
      </w:r>
      <w:r>
        <w:rPr>
          <w:spacing w:val="-25"/>
        </w:rPr>
        <w:t> </w:t>
      </w:r>
      <w:r>
        <w:rPr/>
        <w:t>across</w:t>
      </w:r>
      <w:r>
        <w:rPr>
          <w:spacing w:val="-24"/>
        </w:rPr>
        <w:t> </w:t>
      </w:r>
      <w:r>
        <w:rPr/>
        <w:t>the</w:t>
      </w:r>
      <w:r>
        <w:rPr>
          <w:spacing w:val="-25"/>
        </w:rPr>
        <w:t> </w:t>
      </w:r>
      <w:r>
        <w:rPr/>
        <w:t>whole</w:t>
      </w:r>
      <w:r>
        <w:rPr>
          <w:spacing w:val="-25"/>
        </w:rPr>
        <w:t> </w:t>
      </w:r>
      <w:r>
        <w:rPr/>
        <w:t>of</w:t>
      </w:r>
      <w:r>
        <w:rPr>
          <w:spacing w:val="-24"/>
        </w:rPr>
        <w:t> </w:t>
      </w:r>
      <w:r>
        <w:rPr/>
        <w:t>government</w:t>
      </w:r>
      <w:r>
        <w:rPr>
          <w:spacing w:val="-25"/>
        </w:rPr>
        <w:t> </w:t>
      </w:r>
      <w:r>
        <w:rPr/>
        <w:t>($1.00</w:t>
      </w:r>
      <w:r>
        <w:rPr>
          <w:spacing w:val="-25"/>
        </w:rPr>
        <w:t> </w:t>
      </w:r>
      <w:r>
        <w:rPr/>
        <w:t>billion),</w:t>
      </w:r>
      <w:r>
        <w:rPr>
          <w:spacing w:val="-25"/>
        </w:rPr>
        <w:t> </w:t>
      </w:r>
      <w:r>
        <w:rPr/>
        <w:t>employee</w:t>
      </w:r>
      <w:r>
        <w:rPr>
          <w:spacing w:val="-24"/>
        </w:rPr>
        <w:t> </w:t>
      </w:r>
      <w:r>
        <w:rPr/>
        <w:t>expenses</w:t>
      </w:r>
      <w:r>
        <w:rPr>
          <w:spacing w:val="-25"/>
        </w:rPr>
        <w:t> </w:t>
      </w:r>
      <w:r>
        <w:rPr/>
        <w:t>($0.11</w:t>
      </w:r>
      <w:r>
        <w:rPr>
          <w:spacing w:val="-25"/>
        </w:rPr>
        <w:t> </w:t>
      </w:r>
      <w:r>
        <w:rPr/>
        <w:t>billion)</w:t>
      </w:r>
      <w:r>
        <w:rPr>
          <w:spacing w:val="-24"/>
        </w:rPr>
        <w:t> </w:t>
      </w:r>
      <w:r>
        <w:rPr>
          <w:spacing w:val="-5"/>
        </w:rPr>
        <w:t>and </w:t>
      </w:r>
      <w:r>
        <w:rPr/>
        <w:t>depreciation ($0.07</w:t>
      </w:r>
      <w:r>
        <w:rPr>
          <w:spacing w:val="-2"/>
        </w:rPr>
        <w:t> </w:t>
      </w:r>
      <w:r>
        <w:rPr/>
        <w:t>billion).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222"/>
        <w:ind w:left="765" w:right="0" w:firstLine="0"/>
        <w:jc w:val="left"/>
        <w:rPr>
          <w:sz w:val="12"/>
        </w:rPr>
      </w:pPr>
      <w:r>
        <w:rPr>
          <w:sz w:val="12"/>
        </w:rPr>
        <w:t>(a) Approved as part of the 2016-17 State Budget process.</w:t>
      </w:r>
    </w:p>
    <w:p>
      <w:pPr>
        <w:pStyle w:val="BodyText"/>
        <w:rPr>
          <w:sz w:val="14"/>
        </w:rPr>
      </w:pPr>
    </w:p>
    <w:p>
      <w:pPr>
        <w:pStyle w:val="BodyText"/>
        <w:spacing w:before="9"/>
        <w:rPr>
          <w:sz w:val="11"/>
        </w:rPr>
      </w:pPr>
    </w:p>
    <w:p>
      <w:pPr>
        <w:pStyle w:val="BodyText"/>
        <w:ind w:left="765"/>
      </w:pPr>
      <w:r>
        <w:rPr/>
        <w:t>Further explanations are contained in Note 44 of the financial statements.</w:t>
      </w:r>
    </w:p>
    <w:p>
      <w:pPr>
        <w:spacing w:line="208" w:lineRule="auto" w:before="124"/>
        <w:ind w:left="220" w:right="660" w:hanging="137"/>
        <w:jc w:val="left"/>
        <w:rPr>
          <w:sz w:val="16"/>
        </w:rPr>
      </w:pPr>
      <w:r>
        <w:rPr/>
        <w:br w:type="column"/>
      </w:r>
      <w:r>
        <w:rPr>
          <w:color w:val="FFFFFF"/>
          <w:w w:val="95"/>
          <w:sz w:val="16"/>
        </w:rPr>
        <w:t>previous </w:t>
      </w:r>
      <w:r>
        <w:rPr>
          <w:color w:val="FFFFFF"/>
          <w:sz w:val="16"/>
        </w:rPr>
        <w:t>view</w:t>
      </w:r>
    </w:p>
    <w:p>
      <w:pPr>
        <w:spacing w:after="0" w:line="208" w:lineRule="auto"/>
        <w:jc w:val="left"/>
        <w:rPr>
          <w:sz w:val="16"/>
        </w:rPr>
        <w:sectPr>
          <w:type w:val="continuous"/>
          <w:pgSz w:w="16840" w:h="11910" w:orient="landscape"/>
          <w:pgMar w:top="0" w:bottom="0" w:left="0" w:right="0"/>
          <w:cols w:num="2" w:equalWidth="0">
            <w:col w:w="15462" w:space="40"/>
            <w:col w:w="1338"/>
          </w:cols>
        </w:sectPr>
      </w:pPr>
    </w:p>
    <w:p>
      <w:pPr>
        <w:pStyle w:val="BodyText"/>
        <w:ind w:left="2397"/>
        <w:rPr>
          <w:sz w:val="20"/>
        </w:rPr>
      </w:pPr>
      <w:bookmarkStart w:name="_bookmark19" w:id="20"/>
      <w:bookmarkEnd w:id="20"/>
      <w:r>
        <w:rPr/>
      </w: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rPr>
          <w:sz w:val="20"/>
        </w:rPr>
      </w:pPr>
    </w:p>
    <w:p>
      <w:pPr>
        <w:pStyle w:val="BodyText"/>
        <w:spacing w:before="3"/>
        <w:rPr>
          <w:sz w:val="20"/>
        </w:rPr>
      </w:pPr>
    </w:p>
    <w:p>
      <w:pPr>
        <w:pStyle w:val="Heading2"/>
        <w:tabs>
          <w:tab w:pos="8628" w:val="left" w:leader="none"/>
        </w:tabs>
      </w:pPr>
      <w:r>
        <w:rPr/>
        <w:pict>
          <v:group style="position:absolute;margin-left:38.518002pt;margin-top:42.429092pt;width:372.05pt;height:416.05pt;mso-position-horizontal-relative:page;mso-position-vertical-relative:paragraph;z-index:6824;mso-wrap-distance-left:0;mso-wrap-distance-right:0" coordorigin="770,849" coordsize="7441,8321">
            <v:rect style="position:absolute;left:770;top:848;width:7441;height:8321" filled="true" fillcolor="#f1f0dd" stroked="false">
              <v:fill type="solid"/>
            </v:rect>
            <v:shape style="position:absolute;left:1051;top:5257;width:933;height:941" coordorigin="1052,5257" coordsize="933,941" path="m1549,5257l1522,5263,1520,5269,1493,5339,1463,5407,1432,5474,1398,5540,1363,5605,1327,5670,1259,5790,1228,5845,1198,5900,1168,5955,1135,6011,1100,6069,1070,6129,1053,6190,1052,6198,1080,6192,1081,6185,1096,6131,1121,6080,1151,6031,1179,5982,1209,5926,1239,5871,1270,5816,1301,5762,1341,5692,1344,5685,1369,5624,1395,5564,1422,5504,1451,5445,1473,5403,1495,5362,1512,5318,1519,5271,1548,5264,1548,5263,1549,5257xm1206,6137l1178,6142,1177,6150,1204,6143,1206,6137xm1284,5850l1276,5868,1246,5934,1217,6002,1193,6071,1178,6142,1209,6067,1237,5991,1264,5910,1284,5850xm1410,5567l1393,5598,1367,5659,1336,5730,1306,5802,1284,5850,1263,5915,1237,5991,1209,6067,1178,6142,1206,6137,1225,6057,1254,5979,1287,5903,1318,5835,1335,5786,1360,5715,1380,5662,1398,5601,1410,5567xm1318,5835l1287,5903,1254,5979,1225,6057,1206,6137,1236,6068,1262,5998,1287,5927,1318,5835xm1585,5928l1526,5928,1562,5941,1600,5959,1635,5971,1671,5977,1708,5980,1744,5981,1807,5978,1858,5968,1755,5968,1688,5959,1620,5940,1585,5928xm1977,5910l1966,5912,1959,5914,1890,5949,1822,5966,1755,5968,1858,5968,1868,5966,1926,5945,1981,5915,1984,5911,1977,5910xm1484,5438l1454,5517,1422,5595,1388,5673,1363,5731,1356,5762,1346,5845,1346,5868,1346,5888,1355,5933,1379,5964,1422,5962,1430,5959,1439,5956,1446,5951,1481,5932,1406,5932,1380,5902,1373,5847,1379,5787,1387,5737,1405,5660,1429,5585,1456,5511,1484,5438xm1506,5910l1483,5915,1462,5923,1406,5932,1481,5932,1488,5929,1526,5928,1585,5928,1552,5916,1529,5911,1506,5910xm1393,5598l1379,5624,1341,5692,1315,5761,1289,5837,1284,5850,1306,5802,1336,5730,1367,5659,1393,5598xm1380,5662l1360,5715,1335,5786,1318,5835,1321,5828,1363,5731,1374,5681,1380,5662xm1484,5438l1480,5439,1464,5473,1437,5530,1411,5587,1386,5645,1380,5662,1374,5681,1363,5731,1388,5673,1422,5595,1454,5517,1484,5438xm1548,5264l1519,5271,1512,5318,1495,5362,1473,5403,1451,5445,1422,5504,1395,5564,1369,5624,1344,5685,1341,5692,1379,5624,1393,5598,1398,5587,1428,5515,1456,5443,1459,5435,1478,5433,1488,5411,1520,5339,1548,5264,1548,5264xm1480,5439l1474,5440,1454,5483,1417,5554,1410,5567,1398,5601,1380,5662,1386,5645,1411,5587,1437,5530,1464,5473,1480,5439xm1456,5443l1428,5515,1398,5587,1393,5598,1410,5567,1426,5522,1456,5443xm1474,5440l1456,5443,1426,5522,1410,5567,1417,5554,1454,5483,1474,5440xm1478,5433l1459,5435,1456,5443,1474,5440,1478,5433xm1484,5432l1478,5433,1474,5440,1480,5439,1484,5432xm1487,5432l1484,5432,1480,5439,1484,5438,1487,5432xm1548,5264l1520,5339,1488,5411,1478,5433,1484,5432,1491,5416,1511,5379,1529,5343,1542,5305,1548,5264xe" filled="true" fillcolor="#000101" stroked="false">
              <v:path arrowok="t"/>
              <v:fill type="solid"/>
            </v:shape>
            <v:shape style="position:absolute;left:1886;top:5993;width:55;height:33" coordorigin="1887,5993" coordsize="55,33" path="m1925,5993l1907,5998,1891,6010,1887,6021,1903,6026,1921,6021,1937,6010,1941,5998,1925,5993xe" filled="true" fillcolor="#000101" stroked="false">
              <v:path arrowok="t"/>
              <v:fill type="solid"/>
            </v:shape>
            <v:shape style="position:absolute;left:5271;top:5348;width:2669;height:1008" type="#_x0000_t75" stroked="false">
              <v:imagedata r:id="rId175" o:title=""/>
            </v:shape>
            <v:shape style="position:absolute;left:5452;top:6267;width:1977;height:788" type="#_x0000_t202" filled="false" stroked="false">
              <v:textbox inset="0,0,0,0">
                <w:txbxContent>
                  <w:p>
                    <w:pPr>
                      <w:spacing w:line="249" w:lineRule="auto" w:before="6"/>
                      <w:ind w:left="0" w:right="-7" w:firstLine="0"/>
                      <w:jc w:val="left"/>
                      <w:rPr>
                        <w:sz w:val="22"/>
                      </w:rPr>
                    </w:pPr>
                    <w:r>
                      <w:rPr>
                        <w:sz w:val="22"/>
                      </w:rPr>
                      <w:t>Dominick Geraghty </w:t>
                    </w:r>
                    <w:r>
                      <w:rPr>
                        <w:w w:val="95"/>
                        <w:sz w:val="22"/>
                      </w:rPr>
                      <w:t>Chief Finance Officer </w:t>
                    </w:r>
                    <w:r>
                      <w:rPr>
                        <w:sz w:val="22"/>
                      </w:rPr>
                      <w:t>23 August 2017</w:t>
                    </w:r>
                  </w:p>
                </w:txbxContent>
              </v:textbox>
              <w10:wrap type="none"/>
            </v:shape>
            <v:shape style="position:absolute;left:1048;top:6267;width:1557;height:788" type="#_x0000_t202" filled="false" stroked="false">
              <v:textbox inset="0,0,0,0">
                <w:txbxContent>
                  <w:p>
                    <w:pPr>
                      <w:spacing w:line="249" w:lineRule="auto" w:before="6"/>
                      <w:ind w:left="0" w:right="-5" w:firstLine="0"/>
                      <w:jc w:val="left"/>
                      <w:rPr>
                        <w:sz w:val="22"/>
                      </w:rPr>
                    </w:pPr>
                    <w:r>
                      <w:rPr>
                        <w:sz w:val="22"/>
                      </w:rPr>
                      <w:t>Anne Nolan </w:t>
                    </w:r>
                    <w:r>
                      <w:rPr>
                        <w:w w:val="95"/>
                        <w:sz w:val="22"/>
                      </w:rPr>
                      <w:t>Director General </w:t>
                    </w:r>
                    <w:r>
                      <w:rPr>
                        <w:sz w:val="22"/>
                      </w:rPr>
                      <w:t>23 August 2017</w:t>
                    </w:r>
                  </w:p>
                </w:txbxContent>
              </v:textbox>
              <w10:wrap type="none"/>
            </v:shape>
            <v:shape style="position:absolute;left:1048;top:1457;width:6577;height:2958" type="#_x0000_t202" filled="false" stroked="false">
              <v:textbox inset="0,0,0,0">
                <w:txbxContent>
                  <w:p>
                    <w:pPr>
                      <w:spacing w:before="8"/>
                      <w:ind w:left="0" w:right="0" w:firstLine="0"/>
                      <w:jc w:val="left"/>
                      <w:rPr>
                        <w:sz w:val="28"/>
                      </w:rPr>
                    </w:pPr>
                    <w:r>
                      <w:rPr>
                        <w:color w:val="A7BE39"/>
                        <w:sz w:val="28"/>
                      </w:rPr>
                      <w:t>For the year ended 30 June 2017</w:t>
                    </w:r>
                  </w:p>
                  <w:p>
                    <w:pPr>
                      <w:spacing w:line="249" w:lineRule="auto" w:before="262"/>
                      <w:ind w:left="0" w:right="10" w:firstLine="0"/>
                      <w:jc w:val="left"/>
                      <w:rPr>
                        <w:sz w:val="22"/>
                      </w:rPr>
                    </w:pPr>
                    <w:r>
                      <w:rPr>
                        <w:sz w:val="22"/>
                      </w:rPr>
                      <w:t>The</w:t>
                    </w:r>
                    <w:r>
                      <w:rPr>
                        <w:spacing w:val="-26"/>
                        <w:sz w:val="22"/>
                      </w:rPr>
                      <w:t> </w:t>
                    </w:r>
                    <w:r>
                      <w:rPr>
                        <w:sz w:val="22"/>
                      </w:rPr>
                      <w:t>accompanying</w:t>
                    </w:r>
                    <w:r>
                      <w:rPr>
                        <w:spacing w:val="-26"/>
                        <w:sz w:val="22"/>
                      </w:rPr>
                      <w:t> </w:t>
                    </w:r>
                    <w:r>
                      <w:rPr>
                        <w:sz w:val="22"/>
                      </w:rPr>
                      <w:t>financial</w:t>
                    </w:r>
                    <w:r>
                      <w:rPr>
                        <w:spacing w:val="-26"/>
                        <w:sz w:val="22"/>
                      </w:rPr>
                      <w:t> </w:t>
                    </w:r>
                    <w:r>
                      <w:rPr>
                        <w:sz w:val="22"/>
                      </w:rPr>
                      <w:t>statements</w:t>
                    </w:r>
                    <w:r>
                      <w:rPr>
                        <w:spacing w:val="-26"/>
                        <w:sz w:val="22"/>
                      </w:rPr>
                      <w:t> </w:t>
                    </w:r>
                    <w:r>
                      <w:rPr>
                        <w:sz w:val="22"/>
                      </w:rPr>
                      <w:t>of</w:t>
                    </w:r>
                    <w:r>
                      <w:rPr>
                        <w:spacing w:val="-26"/>
                        <w:sz w:val="22"/>
                      </w:rPr>
                      <w:t> </w:t>
                    </w:r>
                    <w:r>
                      <w:rPr>
                        <w:sz w:val="22"/>
                      </w:rPr>
                      <w:t>the</w:t>
                    </w:r>
                    <w:r>
                      <w:rPr>
                        <w:spacing w:val="-25"/>
                        <w:sz w:val="22"/>
                      </w:rPr>
                      <w:t> </w:t>
                    </w:r>
                    <w:r>
                      <w:rPr>
                        <w:sz w:val="22"/>
                      </w:rPr>
                      <w:t>Department</w:t>
                    </w:r>
                    <w:r>
                      <w:rPr>
                        <w:spacing w:val="-26"/>
                        <w:sz w:val="22"/>
                      </w:rPr>
                      <w:t> </w:t>
                    </w:r>
                    <w:r>
                      <w:rPr>
                        <w:sz w:val="22"/>
                      </w:rPr>
                      <w:t>of</w:t>
                    </w:r>
                    <w:r>
                      <w:rPr>
                        <w:spacing w:val="-26"/>
                        <w:sz w:val="22"/>
                      </w:rPr>
                      <w:t> </w:t>
                    </w:r>
                    <w:r>
                      <w:rPr>
                        <w:spacing w:val="-3"/>
                        <w:sz w:val="22"/>
                      </w:rPr>
                      <w:t>Finance </w:t>
                    </w:r>
                    <w:r>
                      <w:rPr>
                        <w:sz w:val="22"/>
                      </w:rPr>
                      <w:t>have been prepared in compliance with the provisions of the </w:t>
                    </w:r>
                    <w:r>
                      <w:rPr>
                        <w:i/>
                        <w:sz w:val="22"/>
                      </w:rPr>
                      <w:t>Financial Management Act 2006 </w:t>
                    </w:r>
                    <w:r>
                      <w:rPr>
                        <w:sz w:val="22"/>
                      </w:rPr>
                      <w:t>from proper accounts and records to present fairly the financial transactions for the reporting period ended</w:t>
                    </w:r>
                    <w:r>
                      <w:rPr>
                        <w:spacing w:val="-10"/>
                        <w:sz w:val="22"/>
                      </w:rPr>
                      <w:t> </w:t>
                    </w:r>
                    <w:r>
                      <w:rPr>
                        <w:sz w:val="22"/>
                      </w:rPr>
                      <w:t>30</w:t>
                    </w:r>
                    <w:r>
                      <w:rPr>
                        <w:spacing w:val="-9"/>
                        <w:sz w:val="22"/>
                      </w:rPr>
                      <w:t> </w:t>
                    </w:r>
                    <w:r>
                      <w:rPr>
                        <w:sz w:val="22"/>
                      </w:rPr>
                      <w:t>June</w:t>
                    </w:r>
                    <w:r>
                      <w:rPr>
                        <w:spacing w:val="-9"/>
                        <w:sz w:val="22"/>
                      </w:rPr>
                      <w:t> </w:t>
                    </w:r>
                    <w:r>
                      <w:rPr>
                        <w:sz w:val="22"/>
                      </w:rPr>
                      <w:t>2017</w:t>
                    </w:r>
                    <w:r>
                      <w:rPr>
                        <w:spacing w:val="-10"/>
                        <w:sz w:val="22"/>
                      </w:rPr>
                      <w:t> </w:t>
                    </w:r>
                    <w:r>
                      <w:rPr>
                        <w:sz w:val="22"/>
                      </w:rPr>
                      <w:t>and</w:t>
                    </w:r>
                    <w:r>
                      <w:rPr>
                        <w:spacing w:val="-9"/>
                        <w:sz w:val="22"/>
                      </w:rPr>
                      <w:t> </w:t>
                    </w:r>
                    <w:r>
                      <w:rPr>
                        <w:sz w:val="22"/>
                      </w:rPr>
                      <w:t>the</w:t>
                    </w:r>
                    <w:r>
                      <w:rPr>
                        <w:spacing w:val="-9"/>
                        <w:sz w:val="22"/>
                      </w:rPr>
                      <w:t> </w:t>
                    </w:r>
                    <w:r>
                      <w:rPr>
                        <w:sz w:val="22"/>
                      </w:rPr>
                      <w:t>financial</w:t>
                    </w:r>
                    <w:r>
                      <w:rPr>
                        <w:spacing w:val="-10"/>
                        <w:sz w:val="22"/>
                      </w:rPr>
                      <w:t> </w:t>
                    </w:r>
                    <w:r>
                      <w:rPr>
                        <w:sz w:val="22"/>
                      </w:rPr>
                      <w:t>position</w:t>
                    </w:r>
                    <w:r>
                      <w:rPr>
                        <w:spacing w:val="-9"/>
                        <w:sz w:val="22"/>
                      </w:rPr>
                      <w:t> </w:t>
                    </w:r>
                    <w:r>
                      <w:rPr>
                        <w:sz w:val="22"/>
                      </w:rPr>
                      <w:t>as</w:t>
                    </w:r>
                    <w:r>
                      <w:rPr>
                        <w:spacing w:val="-9"/>
                        <w:sz w:val="22"/>
                      </w:rPr>
                      <w:t> </w:t>
                    </w:r>
                    <w:r>
                      <w:rPr>
                        <w:sz w:val="22"/>
                      </w:rPr>
                      <w:t>at</w:t>
                    </w:r>
                    <w:r>
                      <w:rPr>
                        <w:spacing w:val="-10"/>
                        <w:sz w:val="22"/>
                      </w:rPr>
                      <w:t> </w:t>
                    </w:r>
                    <w:r>
                      <w:rPr>
                        <w:sz w:val="22"/>
                      </w:rPr>
                      <w:t>30</w:t>
                    </w:r>
                    <w:r>
                      <w:rPr>
                        <w:spacing w:val="-9"/>
                        <w:sz w:val="22"/>
                      </w:rPr>
                      <w:t> </w:t>
                    </w:r>
                    <w:r>
                      <w:rPr>
                        <w:sz w:val="22"/>
                      </w:rPr>
                      <w:t>June</w:t>
                    </w:r>
                    <w:r>
                      <w:rPr>
                        <w:spacing w:val="-9"/>
                        <w:sz w:val="22"/>
                      </w:rPr>
                      <w:t> </w:t>
                    </w:r>
                    <w:r>
                      <w:rPr>
                        <w:sz w:val="22"/>
                      </w:rPr>
                      <w:t>2017.</w:t>
                    </w:r>
                  </w:p>
                  <w:p>
                    <w:pPr>
                      <w:spacing w:line="240" w:lineRule="auto" w:before="4"/>
                      <w:rPr>
                        <w:sz w:val="23"/>
                      </w:rPr>
                    </w:pPr>
                  </w:p>
                  <w:p>
                    <w:pPr>
                      <w:spacing w:line="249" w:lineRule="auto" w:before="0"/>
                      <w:ind w:left="0" w:right="180" w:firstLine="0"/>
                      <w:jc w:val="left"/>
                      <w:rPr>
                        <w:sz w:val="22"/>
                      </w:rPr>
                    </w:pPr>
                    <w:r>
                      <w:rPr>
                        <w:sz w:val="22"/>
                      </w:rPr>
                      <w:t>At</w:t>
                    </w:r>
                    <w:r>
                      <w:rPr>
                        <w:spacing w:val="-15"/>
                        <w:sz w:val="22"/>
                      </w:rPr>
                      <w:t> </w:t>
                    </w:r>
                    <w:r>
                      <w:rPr>
                        <w:sz w:val="22"/>
                      </w:rPr>
                      <w:t>the</w:t>
                    </w:r>
                    <w:r>
                      <w:rPr>
                        <w:spacing w:val="-14"/>
                        <w:sz w:val="22"/>
                      </w:rPr>
                      <w:t> </w:t>
                    </w:r>
                    <w:r>
                      <w:rPr>
                        <w:sz w:val="22"/>
                      </w:rPr>
                      <w:t>date</w:t>
                    </w:r>
                    <w:r>
                      <w:rPr>
                        <w:spacing w:val="-14"/>
                        <w:sz w:val="22"/>
                      </w:rPr>
                      <w:t> </w:t>
                    </w:r>
                    <w:r>
                      <w:rPr>
                        <w:sz w:val="22"/>
                      </w:rPr>
                      <w:t>of</w:t>
                    </w:r>
                    <w:r>
                      <w:rPr>
                        <w:spacing w:val="-14"/>
                        <w:sz w:val="22"/>
                      </w:rPr>
                      <w:t> </w:t>
                    </w:r>
                    <w:r>
                      <w:rPr>
                        <w:sz w:val="22"/>
                      </w:rPr>
                      <w:t>signing</w:t>
                    </w:r>
                    <w:r>
                      <w:rPr>
                        <w:spacing w:val="-14"/>
                        <w:sz w:val="22"/>
                      </w:rPr>
                      <w:t> </w:t>
                    </w:r>
                    <w:r>
                      <w:rPr>
                        <w:sz w:val="22"/>
                      </w:rPr>
                      <w:t>we</w:t>
                    </w:r>
                    <w:r>
                      <w:rPr>
                        <w:spacing w:val="-14"/>
                        <w:sz w:val="22"/>
                      </w:rPr>
                      <w:t> </w:t>
                    </w:r>
                    <w:r>
                      <w:rPr>
                        <w:sz w:val="22"/>
                      </w:rPr>
                      <w:t>are</w:t>
                    </w:r>
                    <w:r>
                      <w:rPr>
                        <w:spacing w:val="-14"/>
                        <w:sz w:val="22"/>
                      </w:rPr>
                      <w:t> </w:t>
                    </w:r>
                    <w:r>
                      <w:rPr>
                        <w:sz w:val="22"/>
                      </w:rPr>
                      <w:t>not</w:t>
                    </w:r>
                    <w:r>
                      <w:rPr>
                        <w:spacing w:val="-14"/>
                        <w:sz w:val="22"/>
                      </w:rPr>
                      <w:t> </w:t>
                    </w:r>
                    <w:r>
                      <w:rPr>
                        <w:sz w:val="22"/>
                      </w:rPr>
                      <w:t>aware</w:t>
                    </w:r>
                    <w:r>
                      <w:rPr>
                        <w:spacing w:val="-15"/>
                        <w:sz w:val="22"/>
                      </w:rPr>
                      <w:t> </w:t>
                    </w:r>
                    <w:r>
                      <w:rPr>
                        <w:sz w:val="22"/>
                      </w:rPr>
                      <w:t>of</w:t>
                    </w:r>
                    <w:r>
                      <w:rPr>
                        <w:spacing w:val="-14"/>
                        <w:sz w:val="22"/>
                      </w:rPr>
                      <w:t> </w:t>
                    </w:r>
                    <w:r>
                      <w:rPr>
                        <w:sz w:val="22"/>
                      </w:rPr>
                      <w:t>any</w:t>
                    </w:r>
                    <w:r>
                      <w:rPr>
                        <w:spacing w:val="-14"/>
                        <w:sz w:val="22"/>
                      </w:rPr>
                      <w:t> </w:t>
                    </w:r>
                    <w:r>
                      <w:rPr>
                        <w:sz w:val="22"/>
                      </w:rPr>
                      <w:t>circumstances</w:t>
                    </w:r>
                    <w:r>
                      <w:rPr>
                        <w:spacing w:val="-14"/>
                        <w:sz w:val="22"/>
                      </w:rPr>
                      <w:t> </w:t>
                    </w:r>
                    <w:r>
                      <w:rPr>
                        <w:spacing w:val="-4"/>
                        <w:sz w:val="22"/>
                      </w:rPr>
                      <w:t>which </w:t>
                    </w:r>
                    <w:r>
                      <w:rPr>
                        <w:sz w:val="22"/>
                      </w:rPr>
                      <w:t>would render the particulars included in the financial statements misleading or</w:t>
                    </w:r>
                    <w:r>
                      <w:rPr>
                        <w:spacing w:val="-3"/>
                        <w:sz w:val="22"/>
                      </w:rPr>
                      <w:t> </w:t>
                    </w:r>
                    <w:r>
                      <w:rPr>
                        <w:sz w:val="22"/>
                      </w:rPr>
                      <w:t>inaccurate.</w:t>
                    </w:r>
                  </w:p>
                </w:txbxContent>
              </v:textbox>
              <w10:wrap type="none"/>
            </v:shape>
            <w10:wrap type="topAndBottom"/>
          </v:group>
        </w:pict>
      </w:r>
      <w:r>
        <w:rPr/>
        <w:pict>
          <v:group style="position:absolute;margin-left:431.450012pt;margin-top:42.304092pt;width:372.3pt;height:416.3pt;mso-position-horizontal-relative:page;mso-position-vertical-relative:paragraph;z-index:6848;mso-wrap-distance-left:0;mso-wrap-distance-right:0" coordorigin="8629,846" coordsize="7446,8326">
            <v:shape style="position:absolute;left:9962;top:968;width:4751;height:8081" type="#_x0000_t75" stroked="false">
              <v:imagedata r:id="rId176" o:title=""/>
            </v:shape>
            <v:rect style="position:absolute;left:8631;top:848;width:7441;height:8321" filled="false" stroked="true" strokeweight=".25pt" strokecolor="#939598">
              <v:stroke dashstyle="solid"/>
            </v:rect>
            <w10:wrap type="topAndBottom"/>
          </v:group>
        </w:pict>
      </w:r>
      <w:r>
        <w:rPr/>
        <w:pict>
          <v:group style="position:absolute;margin-left:0pt;margin-top:-67.450905pt;width:120.3pt;height:56.95pt;mso-position-horizontal-relative:page;mso-position-vertical-relative:paragraph;z-index:8944" coordorigin="0,-1349" coordsize="2406,1139">
            <v:shape style="position:absolute;left:0;top:-1168;width:11;height:10" coordorigin="0,-1168" coordsize="11,10" path="m7,-1168l0,-1163,0,-1158,11,-1164,7,-1168xe" filled="true" fillcolor="#cdcccd" stroked="false">
              <v:path arrowok="t"/>
              <v:fill type="solid"/>
            </v:shape>
            <v:shape style="position:absolute;left:0;top:-1118;width:362;height:513" type="#_x0000_t75" stroked="false">
              <v:imagedata r:id="rId27" o:title=""/>
            </v:shape>
            <v:shape style="position:absolute;left:0;top:-768;width:475;height:399" coordorigin="0,-767" coordsize="475,399" path="m411,-764l408,-767,0,-532,0,-526,411,-764m461,-714l458,-717,0,-453,0,-447,461,-714m474,-648l0,-374,0,-368,461,-634,474,-648e" filled="true" fillcolor="#cdcccd" stroked="false">
              <v:path arrowok="t"/>
              <v:fill type="solid"/>
            </v:shape>
            <v:shape style="position:absolute;left:0;top:-462;width:288;height:251" type="#_x0000_t75" stroked="false">
              <v:imagedata r:id="rId28" o:title=""/>
            </v:shape>
            <v:rect style="position:absolute;left:0;top:-1350;width:2406;height:851" filled="true" fillcolor="#aebd37" stroked="false">
              <v:fill type="solid"/>
            </v:rect>
            <v:shape style="position:absolute;left:0;top:-1350;width:2406;height:1139"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763.172119pt;margin-top:-13.670908pt;width:61.1pt;height:45.2pt;mso-position-horizontal-relative:page;mso-position-vertical-relative:paragraph;z-index:8992" coordorigin="15263,-273" coordsize="1222,904">
            <v:shape style="position:absolute;left:15424;top:-274;width:900;height:904" coordorigin="15424,-273" coordsize="900,904" path="m15874,-273l15424,177,15424,180,15874,630,16324,180,16324,177,15874,-273xe" filled="true" fillcolor="#c4cd71" stroked="false">
              <v:path arrowok="t"/>
              <v:fill type="solid"/>
            </v:shape>
            <v:shape style="position:absolute;left:15263;top:17;width:161;height:322" type="#_x0000_t75" stroked="false">
              <v:imagedata r:id="rId16" o:title=""/>
            </v:shape>
            <v:shape style="position:absolute;left:16324;top:17;width:161;height:322" type="#_x0000_t75" stroked="false">
              <v:imagedata r:id="rId11" o:title=""/>
            </v:shape>
            <v:shape style="position:absolute;left:15263;top:-274;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481.080994pt;margin-top:-67.450905pt;width:360.85pt;height:42.55pt;mso-position-horizontal-relative:page;mso-position-vertical-relative:paragraph;z-index:9088" coordorigin="9622,-1349" coordsize="7217,851">
            <v:rect style="position:absolute;left:14432;top:-1350;width:2406;height:851" filled="true" fillcolor="#aebd37" stroked="false">
              <v:fill type="solid"/>
            </v:rect>
            <v:shape style="position:absolute;left:14432;top:-1350;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50;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350;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2"/>
          <w:w w:val="95"/>
        </w:rPr>
        <w:t>Certification of</w:t>
      </w:r>
      <w:r>
        <w:rPr>
          <w:color w:val="6F2770"/>
          <w:spacing w:val="-119"/>
          <w:w w:val="95"/>
        </w:rPr>
        <w:t> </w:t>
      </w:r>
      <w:r>
        <w:rPr>
          <w:color w:val="6F2770"/>
          <w:spacing w:val="-14"/>
          <w:w w:val="95"/>
        </w:rPr>
        <w:t>Financial</w:t>
      </w:r>
      <w:r>
        <w:rPr>
          <w:color w:val="6F2770"/>
          <w:spacing w:val="-65"/>
          <w:w w:val="95"/>
        </w:rPr>
        <w:t> </w:t>
      </w:r>
      <w:r>
        <w:rPr>
          <w:color w:val="6F2770"/>
          <w:spacing w:val="-17"/>
          <w:w w:val="95"/>
        </w:rPr>
        <w:t>Statements</w:t>
        <w:tab/>
      </w:r>
      <w:r>
        <w:rPr>
          <w:color w:val="6F2770"/>
          <w:spacing w:val="-14"/>
        </w:rPr>
        <w:t>Independent </w:t>
      </w:r>
      <w:r>
        <w:rPr>
          <w:color w:val="6F2770"/>
          <w:spacing w:val="-13"/>
        </w:rPr>
        <w:t>Audit</w:t>
      </w:r>
      <w:r>
        <w:rPr>
          <w:color w:val="6F2770"/>
          <w:spacing w:val="-68"/>
        </w:rPr>
        <w:t> </w:t>
      </w:r>
      <w:r>
        <w:rPr>
          <w:color w:val="6F2770"/>
          <w:spacing w:val="-13"/>
        </w:rPr>
        <w:t>Opinion</w:t>
      </w:r>
    </w:p>
    <w:p>
      <w:pPr>
        <w:spacing w:after="0"/>
        <w:sectPr>
          <w:footerReference w:type="default" r:id="rId173"/>
          <w:pgSz w:w="16840" w:h="11910" w:orient="landscape"/>
          <w:pgMar w:footer="448" w:header="0" w:top="0" w:bottom="64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rPr>
          <w:sz w:val="20"/>
        </w:rPr>
      </w:pPr>
    </w:p>
    <w:p>
      <w:pPr>
        <w:pStyle w:val="BodyText"/>
        <w:spacing w:before="3"/>
        <w:rPr>
          <w:sz w:val="20"/>
        </w:rPr>
      </w:pPr>
    </w:p>
    <w:p>
      <w:pPr>
        <w:spacing w:before="94"/>
        <w:ind w:left="765" w:right="0" w:firstLine="0"/>
        <w:jc w:val="left"/>
        <w:rPr>
          <w:sz w:val="54"/>
        </w:rPr>
      </w:pPr>
      <w:r>
        <w:rPr/>
        <w:pict>
          <v:group style="position:absolute;margin-left:38.268002pt;margin-top:42.304092pt;width:248.05pt;height:416.3pt;mso-position-horizontal-relative:page;mso-position-vertical-relative:paragraph;z-index:7160;mso-wrap-distance-left:0;mso-wrap-distance-right:0" coordorigin="765,846" coordsize="4961,8326">
            <v:shape style="position:absolute;left:950;top:1544;width:4636;height:7409" type="#_x0000_t75" stroked="false">
              <v:imagedata r:id="rId178" o:title=""/>
            </v:shape>
            <v:rect style="position:absolute;left:767;top:848;width:4956;height:8321" filled="false" stroked="true" strokeweight=".25pt" strokecolor="#939598">
              <v:stroke dashstyle="solid"/>
            </v:rect>
            <w10:wrap type="topAndBottom"/>
          </v:group>
        </w:pict>
      </w:r>
      <w:r>
        <w:rPr/>
        <w:pict>
          <v:group style="position:absolute;margin-left:296.928986pt;margin-top:42.304092pt;width:248.05pt;height:416.3pt;mso-position-horizontal-relative:page;mso-position-vertical-relative:paragraph;z-index:7184;mso-wrap-distance-left:0;mso-wrap-distance-right:0" coordorigin="5939,846" coordsize="4961,8326">
            <v:shape style="position:absolute;left:6124;top:1198;width:4636;height:7716" type="#_x0000_t75" stroked="false">
              <v:imagedata r:id="rId179" o:title=""/>
            </v:shape>
            <v:rect style="position:absolute;left:5941;top:848;width:4956;height:8321" filled="false" stroked="true" strokeweight=".25pt" strokecolor="#939598">
              <v:stroke dashstyle="solid"/>
            </v:rect>
            <w10:wrap type="topAndBottom"/>
          </v:group>
        </w:pict>
      </w:r>
      <w:r>
        <w:rPr/>
        <w:pict>
          <v:group style="position:absolute;margin-left:555.591003pt;margin-top:42.304092pt;width:248.05pt;height:416.3pt;mso-position-horizontal-relative:page;mso-position-vertical-relative:paragraph;z-index:7208;mso-wrap-distance-left:0;mso-wrap-distance-right:0" coordorigin="11112,846" coordsize="4961,8326">
            <v:shape style="position:absolute;left:11259;top:1506;width:4675;height:7448" type="#_x0000_t75" stroked="false">
              <v:imagedata r:id="rId180" o:title=""/>
            </v:shape>
            <v:rect style="position:absolute;left:11114;top:848;width:4956;height:8321" filled="false" stroked="true" strokeweight=".25pt" strokecolor="#939598">
              <v:stroke dashstyle="solid"/>
            </v:rect>
            <w10:wrap type="topAndBottom"/>
          </v:group>
        </w:pict>
      </w:r>
      <w:r>
        <w:rPr/>
        <w:pict>
          <v:group style="position:absolute;margin-left:763.172119pt;margin-top:-13.670908pt;width:61.1pt;height:45.2pt;mso-position-horizontal-relative:page;mso-position-vertical-relative:paragraph;z-index:9304" coordorigin="15263,-273" coordsize="1222,904">
            <v:shape style="position:absolute;left:15424;top:-274;width:900;height:904" coordorigin="15424,-273" coordsize="900,904" path="m15874,-273l15424,177,15424,180,15874,630,16324,180,16324,177,15874,-273xe" filled="true" fillcolor="#c4cd71" stroked="false">
              <v:path arrowok="t"/>
              <v:fill type="solid"/>
            </v:shape>
            <v:shape style="position:absolute;left:15422;top:176;width:2;height:4" coordorigin="15423,177" coordsize="2,4" path="m15424,177l15423,178,15424,180,15424,177xe" filled="true" fillcolor="#b9c369" stroked="false">
              <v:path arrowok="t"/>
              <v:fill type="solid"/>
            </v:shape>
            <v:shape style="position:absolute;left:16324;top:176;width:2;height:4" coordorigin="16324,177" coordsize="2,4" path="m16324,177l16324,180,16326,178,16324,177xe" filled="true" fillcolor="#bec29e" stroked="false">
              <v:path arrowok="t"/>
              <v:fill type="solid"/>
            </v:shape>
            <v:shape style="position:absolute;left:15263;top:17;width:161;height:322" type="#_x0000_t75" stroked="false">
              <v:imagedata r:id="rId16" o:title=""/>
            </v:shape>
            <v:shape style="position:absolute;left:16324;top:17;width:161;height:322" type="#_x0000_t75" stroked="false">
              <v:imagedata r:id="rId11" o:title=""/>
            </v:shape>
            <v:shape style="position:absolute;left:15263;top:-274;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67.450905pt;width:120.3pt;height:42.55pt;mso-position-horizontal-relative:page;mso-position-vertical-relative:paragraph;z-index:9352" coordorigin="0,-1349" coordsize="2406,851">
            <v:rect style="position:absolute;left:0;top:-1350;width:2406;height:851" filled="true" fillcolor="#aebd37" stroked="false">
              <v:fill type="solid"/>
            </v:rect>
            <v:shape style="position:absolute;left:0;top:-1350;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67.450905pt;width:360.85pt;height:42.55pt;mso-position-horizontal-relative:page;mso-position-vertical-relative:paragraph;z-index:9448" coordorigin="9622,-1349" coordsize="7217,851">
            <v:rect style="position:absolute;left:14432;top:-1350;width:2406;height:851" filled="true" fillcolor="#aebd37" stroked="false">
              <v:fill type="solid"/>
            </v:rect>
            <v:shape style="position:absolute;left:14432;top:-1350;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50;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350;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z w:val="54"/>
        </w:rPr>
        <w:t>Independent Audit Opinion (continued)</w:t>
      </w:r>
    </w:p>
    <w:p>
      <w:pPr>
        <w:spacing w:after="0"/>
        <w:jc w:val="left"/>
        <w:rPr>
          <w:sz w:val="54"/>
        </w:rPr>
        <w:sectPr>
          <w:footerReference w:type="default" r:id="rId177"/>
          <w:pgSz w:w="16840" w:h="11910" w:orient="landscape"/>
          <w:pgMar w:footer="448" w:header="0" w:top="0" w:bottom="640" w:left="0" w:right="0"/>
        </w:sectPr>
      </w:pPr>
    </w:p>
    <w:p>
      <w:pPr>
        <w:pStyle w:val="BodyText"/>
        <w:ind w:left="2397"/>
        <w:rPr>
          <w:sz w:val="20"/>
        </w:rPr>
      </w:pPr>
      <w:bookmarkStart w:name="_bookmark20" w:id="21"/>
      <w:bookmarkEnd w:id="21"/>
      <w:r>
        <w:rPr/>
      </w: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rPr>
          <w:sz w:val="20"/>
        </w:rPr>
      </w:pPr>
    </w:p>
    <w:p>
      <w:pPr>
        <w:pStyle w:val="BodyText"/>
        <w:spacing w:before="8"/>
        <w:rPr>
          <w:sz w:val="20"/>
        </w:rPr>
      </w:pPr>
    </w:p>
    <w:p>
      <w:pPr>
        <w:pStyle w:val="Heading2"/>
        <w:spacing w:before="95"/>
      </w:pPr>
      <w:r>
        <w:rPr/>
        <w:pict>
          <v:group style="position:absolute;margin-left:763.172119pt;margin-top:-13.891722pt;width:61.1pt;height:45.2pt;mso-position-horizontal-relative:page;mso-position-vertical-relative:paragraph;z-index:9688" coordorigin="15263,-278" coordsize="1222,904">
            <v:shape style="position:absolute;left:15424;top:-278;width:900;height:904" coordorigin="15424,-278" coordsize="900,904" path="m15874,-278l15424,172,15424,175,15874,625,16324,175,16324,172,15874,-278xe" filled="true" fillcolor="#c4cd71" stroked="false">
              <v:path arrowok="t"/>
              <v:fill type="solid"/>
            </v:shape>
            <v:shape style="position:absolute;left:15263;top:12;width:161;height:322" type="#_x0000_t75" stroked="false">
              <v:imagedata r:id="rId16" o:title=""/>
            </v:shape>
            <v:shape style="position:absolute;left:16324;top:12;width:161;height:322" type="#_x0000_t75" stroked="false">
              <v:imagedata r:id="rId11" o:title=""/>
            </v:shape>
            <v:shape style="position:absolute;left:15263;top:-278;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67.671722pt;width:120.3pt;height:42.55pt;mso-position-horizontal-relative:page;mso-position-vertical-relative:paragraph;z-index:9736" coordorigin="0,-1353" coordsize="2406,851">
            <v:rect style="position:absolute;left:0;top:-1354;width:2406;height:851" filled="true" fillcolor="#aebd37" stroked="false">
              <v:fill type="solid"/>
            </v:rect>
            <v:line style="position:absolute" from="0,-1353" to="0,-503" stroked="true" strokeweight="0pt" strokecolor="#aebd37">
              <v:stroke dashstyle="solid"/>
            </v:line>
            <v:shape style="position:absolute;left:0;top:-1354;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67.671722pt;width:360.85pt;height:42.55pt;mso-position-horizontal-relative:page;mso-position-vertical-relative:paragraph;z-index:9832" coordorigin="9622,-1353" coordsize="7217,851">
            <v:rect style="position:absolute;left:14432;top:-1354;width:2406;height:851" filled="true" fillcolor="#aebd37" stroked="false">
              <v:fill type="solid"/>
            </v:rect>
            <v:shape style="position:absolute;left:14432;top:-1354;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54;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354;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rPr>
        <w:t>Statement of Comprehensive Income</w:t>
      </w:r>
    </w:p>
    <w:p>
      <w:pPr>
        <w:pStyle w:val="Heading4"/>
        <w:spacing w:before="28"/>
      </w:pPr>
      <w:r>
        <w:rPr>
          <w:color w:val="A7BE39"/>
        </w:rPr>
        <w:t>For the year ended 30 June 2017</w:t>
      </w:r>
    </w:p>
    <w:p>
      <w:pPr>
        <w:spacing w:after="0"/>
        <w:sectPr>
          <w:footerReference w:type="default" r:id="rId181"/>
          <w:pgSz w:w="16840" w:h="11910" w:orient="landscape"/>
          <w:pgMar w:footer="448" w:header="0" w:top="0" w:bottom="640" w:left="0" w:right="0"/>
        </w:sectPr>
      </w:pPr>
    </w:p>
    <w:p>
      <w:pPr>
        <w:pStyle w:val="BodyText"/>
      </w:pPr>
    </w:p>
    <w:p>
      <w:pPr>
        <w:pStyle w:val="BodyText"/>
      </w:pPr>
    </w:p>
    <w:p>
      <w:pPr>
        <w:spacing w:before="143"/>
        <w:ind w:left="878" w:right="0" w:firstLine="0"/>
        <w:jc w:val="left"/>
        <w:rPr>
          <w:b/>
          <w:sz w:val="19"/>
        </w:rPr>
      </w:pPr>
      <w:r>
        <w:rPr>
          <w:b/>
          <w:sz w:val="19"/>
        </w:rPr>
        <w:t>COST OF SERVICES</w:t>
      </w:r>
    </w:p>
    <w:p>
      <w:pPr>
        <w:tabs>
          <w:tab w:pos="2583" w:val="right" w:leader="none"/>
        </w:tabs>
        <w:spacing w:before="126"/>
        <w:ind w:left="878" w:right="0" w:firstLine="0"/>
        <w:jc w:val="left"/>
        <w:rPr>
          <w:b/>
          <w:sz w:val="19"/>
        </w:rPr>
      </w:pPr>
      <w:r>
        <w:rPr/>
        <w:br w:type="column"/>
      </w:r>
      <w:r>
        <w:rPr>
          <w:b/>
          <w:sz w:val="19"/>
        </w:rPr>
        <w:t>Note</w:t>
        <w:tab/>
        <w:t>2017</w:t>
      </w:r>
    </w:p>
    <w:p>
      <w:pPr>
        <w:spacing w:before="10"/>
        <w:ind w:left="0" w:right="0" w:firstLine="0"/>
        <w:jc w:val="right"/>
        <w:rPr>
          <w:b/>
          <w:sz w:val="19"/>
        </w:rPr>
      </w:pPr>
      <w:r>
        <w:rPr>
          <w:b/>
          <w:w w:val="95"/>
          <w:sz w:val="19"/>
        </w:rPr>
        <w:t>$000</w:t>
      </w:r>
    </w:p>
    <w:p>
      <w:pPr>
        <w:spacing w:before="126"/>
        <w:ind w:left="756" w:right="0" w:firstLine="0"/>
        <w:jc w:val="left"/>
        <w:rPr>
          <w:b/>
          <w:sz w:val="19"/>
        </w:rPr>
      </w:pPr>
      <w:r>
        <w:rPr/>
        <w:br w:type="column"/>
      </w:r>
      <w:r>
        <w:rPr>
          <w:b/>
          <w:sz w:val="19"/>
        </w:rPr>
        <w:t>2016</w:t>
      </w:r>
    </w:p>
    <w:p>
      <w:pPr>
        <w:spacing w:before="10"/>
        <w:ind w:left="756" w:right="0" w:firstLine="0"/>
        <w:jc w:val="left"/>
        <w:rPr>
          <w:b/>
          <w:sz w:val="19"/>
        </w:rPr>
      </w:pPr>
      <w:r>
        <w:rPr>
          <w:b/>
          <w:sz w:val="19"/>
        </w:rPr>
        <w:t>$000</w:t>
      </w:r>
    </w:p>
    <w:p>
      <w:pPr>
        <w:tabs>
          <w:tab w:pos="2583" w:val="right" w:leader="none"/>
        </w:tabs>
        <w:spacing w:before="126"/>
        <w:ind w:left="878" w:right="0" w:firstLine="0"/>
        <w:jc w:val="left"/>
        <w:rPr>
          <w:b/>
          <w:sz w:val="19"/>
        </w:rPr>
      </w:pPr>
      <w:r>
        <w:rPr/>
        <w:br w:type="column"/>
      </w:r>
      <w:r>
        <w:rPr>
          <w:b/>
          <w:sz w:val="19"/>
        </w:rPr>
        <w:t>Note</w:t>
        <w:tab/>
        <w:t>2017</w:t>
      </w:r>
    </w:p>
    <w:p>
      <w:pPr>
        <w:spacing w:before="10"/>
        <w:ind w:left="0" w:right="0" w:firstLine="0"/>
        <w:jc w:val="right"/>
        <w:rPr>
          <w:b/>
          <w:sz w:val="19"/>
        </w:rPr>
      </w:pPr>
      <w:r>
        <w:rPr>
          <w:b/>
          <w:w w:val="95"/>
          <w:sz w:val="19"/>
        </w:rPr>
        <w:t>$000</w:t>
      </w:r>
    </w:p>
    <w:p>
      <w:pPr>
        <w:spacing w:before="126"/>
        <w:ind w:left="738" w:right="881" w:firstLine="0"/>
        <w:jc w:val="center"/>
        <w:rPr>
          <w:b/>
          <w:sz w:val="19"/>
        </w:rPr>
      </w:pPr>
      <w:r>
        <w:rPr/>
        <w:br w:type="column"/>
      </w:r>
      <w:r>
        <w:rPr>
          <w:b/>
          <w:sz w:val="19"/>
        </w:rPr>
        <w:t>2016</w:t>
      </w:r>
    </w:p>
    <w:p>
      <w:pPr>
        <w:spacing w:before="10"/>
        <w:ind w:left="738" w:right="881" w:firstLine="0"/>
        <w:jc w:val="center"/>
        <w:rPr>
          <w:b/>
          <w:sz w:val="19"/>
        </w:rPr>
      </w:pPr>
      <w:r>
        <w:rPr>
          <w:b/>
          <w:sz w:val="19"/>
        </w:rPr>
        <w:t>$000</w:t>
      </w:r>
    </w:p>
    <w:p>
      <w:pPr>
        <w:spacing w:after="0"/>
        <w:jc w:val="center"/>
        <w:rPr>
          <w:sz w:val="19"/>
        </w:rPr>
        <w:sectPr>
          <w:type w:val="continuous"/>
          <w:pgSz w:w="16840" w:h="11910" w:orient="landscape"/>
          <w:pgMar w:top="0" w:bottom="0" w:left="0" w:right="0"/>
          <w:cols w:num="5" w:equalWidth="0">
            <w:col w:w="2761" w:space="1501"/>
            <w:col w:w="2584" w:space="40"/>
            <w:col w:w="1219" w:space="4028"/>
            <w:col w:w="2584" w:space="40"/>
            <w:col w:w="2083"/>
          </w:cols>
        </w:sectPr>
      </w:pPr>
    </w:p>
    <w:p>
      <w:pPr>
        <w:pStyle w:val="BodyText"/>
        <w:spacing w:before="5"/>
        <w:rPr>
          <w:b/>
          <w:sz w:val="3"/>
        </w:rPr>
      </w:pPr>
    </w:p>
    <w:tbl>
      <w:tblPr>
        <w:tblW w:w="0" w:type="auto"/>
        <w:jc w:val="left"/>
        <w:tblInd w:w="8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765"/>
        <w:gridCol w:w="1219"/>
        <w:gridCol w:w="1219"/>
      </w:tblGrid>
      <w:tr>
        <w:trPr>
          <w:trHeight w:val="310" w:hRule="atLeast"/>
        </w:trPr>
        <w:tc>
          <w:tcPr>
            <w:tcW w:w="7412" w:type="dxa"/>
            <w:gridSpan w:val="4"/>
            <w:shd w:val="clear" w:color="auto" w:fill="783A79"/>
          </w:tcPr>
          <w:p>
            <w:pPr>
              <w:pStyle w:val="TableParagraph"/>
              <w:tabs>
                <w:tab w:pos="4697" w:val="right" w:leader="none"/>
              </w:tabs>
              <w:spacing w:before="47"/>
              <w:ind w:left="113"/>
              <w:rPr>
                <w:sz w:val="19"/>
              </w:rPr>
            </w:pPr>
            <w:r>
              <w:rPr>
                <w:b/>
                <w:color w:val="FFFFFF"/>
                <w:sz w:val="19"/>
              </w:rPr>
              <w:t>Income from</w:t>
            </w:r>
            <w:r>
              <w:rPr>
                <w:b/>
                <w:color w:val="FFFFFF"/>
                <w:spacing w:val="1"/>
                <w:sz w:val="19"/>
              </w:rPr>
              <w:t> </w:t>
            </w:r>
            <w:r>
              <w:rPr>
                <w:b/>
                <w:color w:val="FFFFFF"/>
                <w:sz w:val="19"/>
              </w:rPr>
              <w:t>State Government</w:t>
              <w:tab/>
            </w:r>
            <w:hyperlink w:history="true" w:anchor="_bookmark37">
              <w:r>
                <w:rPr>
                  <w:color w:val="A7BE39"/>
                  <w:sz w:val="19"/>
                  <w:u w:val="single" w:color="A7BE39"/>
                </w:rPr>
                <w:t>17</w:t>
              </w:r>
            </w:hyperlink>
          </w:p>
        </w:tc>
      </w:tr>
      <w:tr>
        <w:trPr>
          <w:trHeight w:val="317" w:hRule="atLeast"/>
        </w:trPr>
        <w:tc>
          <w:tcPr>
            <w:tcW w:w="4209" w:type="dxa"/>
            <w:tcBorders>
              <w:bottom w:val="single" w:sz="8" w:space="0" w:color="FFFFFF"/>
              <w:right w:val="single" w:sz="8" w:space="0" w:color="FFFFFF"/>
            </w:tcBorders>
            <w:shd w:val="clear" w:color="auto" w:fill="F4F4F4"/>
          </w:tcPr>
          <w:p>
            <w:pPr>
              <w:pStyle w:val="TableParagraph"/>
              <w:spacing w:before="42"/>
              <w:ind w:left="113"/>
              <w:rPr>
                <w:sz w:val="19"/>
              </w:rPr>
            </w:pPr>
            <w:r>
              <w:rPr>
                <w:sz w:val="19"/>
              </w:rPr>
              <w:t>Service appropriations</w:t>
            </w:r>
          </w:p>
        </w:tc>
        <w:tc>
          <w:tcPr>
            <w:tcW w:w="765" w:type="dxa"/>
            <w:tcBorders>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vMerge w:val="restart"/>
            <w:tcBorders>
              <w:bottom w:val="single" w:sz="4" w:space="0" w:color="000000"/>
            </w:tcBorders>
            <w:shd w:val="clear" w:color="auto" w:fill="E1E4BB"/>
          </w:tcPr>
          <w:p>
            <w:pPr>
              <w:pStyle w:val="TableParagraph"/>
              <w:spacing w:before="42"/>
              <w:ind w:left="384" w:right="77"/>
              <w:jc w:val="center"/>
              <w:rPr>
                <w:sz w:val="19"/>
              </w:rPr>
            </w:pPr>
            <w:r>
              <w:rPr>
                <w:sz w:val="19"/>
              </w:rPr>
              <w:t>167,150</w:t>
            </w:r>
          </w:p>
          <w:p>
            <w:pPr>
              <w:pStyle w:val="TableParagraph"/>
              <w:spacing w:before="109"/>
              <w:ind w:left="489" w:right="77"/>
              <w:jc w:val="center"/>
              <w:rPr>
                <w:sz w:val="19"/>
              </w:rPr>
            </w:pPr>
            <w:r>
              <w:rPr>
                <w:sz w:val="19"/>
              </w:rPr>
              <w:t>13,303</w:t>
            </w:r>
          </w:p>
          <w:p>
            <w:pPr>
              <w:pStyle w:val="TableParagraph"/>
              <w:spacing w:before="87"/>
              <w:ind w:left="789"/>
              <w:rPr>
                <w:sz w:val="19"/>
              </w:rPr>
            </w:pPr>
            <w:r>
              <w:rPr>
                <w:sz w:val="19"/>
              </w:rPr>
              <w:t>125</w:t>
            </w:r>
          </w:p>
        </w:tc>
        <w:tc>
          <w:tcPr>
            <w:tcW w:w="1219" w:type="dxa"/>
            <w:tcBorders>
              <w:bottom w:val="single" w:sz="8" w:space="0" w:color="FFFFFF"/>
            </w:tcBorders>
            <w:shd w:val="clear" w:color="auto" w:fill="F4F4F4"/>
          </w:tcPr>
          <w:p>
            <w:pPr>
              <w:pStyle w:val="TableParagraph"/>
              <w:spacing w:before="42"/>
              <w:ind w:right="110"/>
              <w:jc w:val="right"/>
              <w:rPr>
                <w:sz w:val="19"/>
              </w:rPr>
            </w:pPr>
            <w:r>
              <w:rPr>
                <w:w w:val="95"/>
                <w:sz w:val="19"/>
              </w:rPr>
              <w:t>188,932</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AF9F9"/>
          </w:tcPr>
          <w:p>
            <w:pPr>
              <w:pStyle w:val="TableParagraph"/>
              <w:ind w:left="113"/>
              <w:rPr>
                <w:sz w:val="19"/>
              </w:rPr>
            </w:pPr>
            <w:r>
              <w:rPr>
                <w:sz w:val="19"/>
              </w:rPr>
              <w:t>Services received free of charge</w:t>
            </w:r>
          </w:p>
        </w:tc>
        <w:tc>
          <w:tcPr>
            <w:tcW w:w="765"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ind w:right="110"/>
              <w:jc w:val="right"/>
              <w:rPr>
                <w:sz w:val="19"/>
              </w:rPr>
            </w:pPr>
            <w:r>
              <w:rPr>
                <w:w w:val="95"/>
                <w:sz w:val="19"/>
              </w:rPr>
              <w:t>14,518</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sz w:val="19"/>
              </w:rPr>
            </w:pPr>
            <w:r>
              <w:rPr>
                <w:sz w:val="19"/>
              </w:rPr>
              <w:t>Royalties for Regions Fund</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4" w:space="0" w:color="000000"/>
            </w:tcBorders>
            <w:shd w:val="clear" w:color="auto" w:fill="F4F4F4"/>
          </w:tcPr>
          <w:p>
            <w:pPr>
              <w:pStyle w:val="TableParagraph"/>
              <w:ind w:right="110"/>
              <w:jc w:val="right"/>
              <w:rPr>
                <w:sz w:val="19"/>
              </w:rPr>
            </w:pPr>
            <w:r>
              <w:rPr>
                <w:w w:val="95"/>
                <w:sz w:val="19"/>
              </w:rPr>
              <w:t>127</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AF9F9"/>
          </w:tcPr>
          <w:p>
            <w:pPr>
              <w:pStyle w:val="TableParagraph"/>
              <w:ind w:left="113"/>
              <w:rPr>
                <w:b/>
                <w:sz w:val="19"/>
              </w:rPr>
            </w:pPr>
            <w:r>
              <w:rPr>
                <w:b/>
                <w:sz w:val="19"/>
              </w:rPr>
              <w:t>Total income from State Government</w:t>
            </w:r>
          </w:p>
        </w:tc>
        <w:tc>
          <w:tcPr>
            <w:tcW w:w="765"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19" w:type="dxa"/>
            <w:tcBorders>
              <w:top w:val="single" w:sz="4" w:space="0" w:color="000000"/>
              <w:bottom w:val="single" w:sz="4" w:space="0" w:color="000000"/>
            </w:tcBorders>
            <w:shd w:val="clear" w:color="auto" w:fill="E1E4BB"/>
          </w:tcPr>
          <w:p>
            <w:pPr>
              <w:pStyle w:val="TableParagraph"/>
              <w:ind w:left="419"/>
              <w:rPr>
                <w:b/>
                <w:sz w:val="19"/>
              </w:rPr>
            </w:pPr>
            <w:r>
              <w:rPr>
                <w:b/>
                <w:sz w:val="19"/>
              </w:rPr>
              <w:t>180,578</w:t>
            </w:r>
          </w:p>
        </w:tc>
        <w:tc>
          <w:tcPr>
            <w:tcW w:w="1219" w:type="dxa"/>
            <w:tcBorders>
              <w:top w:val="single" w:sz="4" w:space="0" w:color="000000"/>
              <w:bottom w:val="single" w:sz="4" w:space="0" w:color="000000"/>
            </w:tcBorders>
            <w:shd w:val="clear" w:color="auto" w:fill="FAF9F9"/>
          </w:tcPr>
          <w:p>
            <w:pPr>
              <w:pStyle w:val="TableParagraph"/>
              <w:ind w:right="110"/>
              <w:jc w:val="right"/>
              <w:rPr>
                <w:b/>
                <w:sz w:val="19"/>
              </w:rPr>
            </w:pPr>
            <w:r>
              <w:rPr>
                <w:b/>
                <w:w w:val="95"/>
                <w:sz w:val="19"/>
              </w:rPr>
              <w:t>203,577</w:t>
            </w:r>
          </w:p>
        </w:tc>
      </w:tr>
    </w:tbl>
    <w:p>
      <w:pPr>
        <w:pStyle w:val="BodyText"/>
        <w:spacing w:before="9"/>
        <w:rPr>
          <w:b/>
        </w:rPr>
      </w:pPr>
      <w:r>
        <w:rPr/>
        <w:pict>
          <v:shape style="position:absolute;margin-left:431.824799pt;margin-top:14.30877pt;width:248.75pt;height:16.3pt;mso-position-horizontal-relative:page;mso-position-vertical-relative:paragraph;z-index:7520;mso-wrap-distance-left:0;mso-wrap-distance-right:0" type="#_x0000_t202" filled="true" fillcolor="#faf9f9" stroked="false">
            <v:textbox inset="0,0,0,0">
              <w:txbxContent>
                <w:p>
                  <w:pPr>
                    <w:spacing w:before="52"/>
                    <w:ind w:left="113" w:right="0" w:firstLine="0"/>
                    <w:jc w:val="left"/>
                    <w:rPr>
                      <w:b/>
                      <w:sz w:val="19"/>
                    </w:rPr>
                  </w:pPr>
                  <w:r>
                    <w:rPr>
                      <w:b/>
                      <w:sz w:val="19"/>
                    </w:rPr>
                    <w:t>SURPLUS/(DEFICIT) FOR THE PERIOD</w:t>
                  </w:r>
                </w:p>
              </w:txbxContent>
            </v:textbox>
            <v:fill type="solid"/>
            <w10:wrap type="topAndBottom"/>
          </v:shape>
        </w:pict>
      </w:r>
      <w:r>
        <w:rPr/>
        <w:pict>
          <v:shape style="position:absolute;margin-left:741.51001pt;margin-top:15.05877pt;width:60.95pt;height:14.8pt;mso-position-horizontal-relative:page;mso-position-vertical-relative:paragraph;z-index:7544;mso-wrap-distance-left:0;mso-wrap-distance-right:0" type="#_x0000_t202" filled="true" fillcolor="#faf9f9" stroked="false">
            <v:textbox inset="0,0,0,0">
              <w:txbxContent>
                <w:p>
                  <w:pPr>
                    <w:spacing w:before="37"/>
                    <w:ind w:left="412" w:right="0" w:firstLine="0"/>
                    <w:jc w:val="left"/>
                    <w:rPr>
                      <w:b/>
                      <w:sz w:val="19"/>
                    </w:rPr>
                  </w:pPr>
                  <w:r>
                    <w:rPr>
                      <w:b/>
                      <w:sz w:val="19"/>
                    </w:rPr>
                    <w:t>(20,491)</w:t>
                  </w:r>
                </w:p>
              </w:txbxContent>
            </v:textbox>
            <v:fill type="solid"/>
            <w10:wrap type="topAndBottom"/>
          </v:shape>
        </w:pict>
      </w:r>
    </w:p>
    <w:p>
      <w:pPr>
        <w:pStyle w:val="BodyText"/>
        <w:spacing w:before="1"/>
        <w:rPr>
          <w:b/>
          <w:sz w:val="28"/>
        </w:rPr>
      </w:pPr>
    </w:p>
    <w:p>
      <w:pPr>
        <w:spacing w:before="0" w:after="40"/>
        <w:ind w:left="8749" w:right="0" w:firstLine="0"/>
        <w:jc w:val="left"/>
        <w:rPr>
          <w:b/>
          <w:sz w:val="19"/>
        </w:rPr>
      </w:pPr>
      <w:r>
        <w:rPr/>
        <w:pict>
          <v:line style="position:absolute;mso-position-horizontal-relative:page;mso-position-vertical-relative:paragraph;z-index:9616" from="741.509888pt,-32.689407pt" to="802.454888pt,-32.689407pt" stroked="true" strokeweight=".5pt" strokecolor="#000000">
            <v:stroke dashstyle="solid"/>
            <w10:wrap type="none"/>
          </v:line>
        </w:pict>
      </w:r>
      <w:r>
        <w:rPr/>
        <w:pict>
          <v:line style="position:absolute;mso-position-horizontal-relative:page;mso-position-vertical-relative:paragraph;z-index:9640" from="741.509888pt,-17.402607pt" to="802.454888pt,-17.402607pt" stroked="true" strokeweight=".5pt" strokecolor="#000000">
            <v:stroke dashstyle="solid"/>
            <w10:wrap type="none"/>
          </v:line>
        </w:pict>
      </w:r>
      <w:r>
        <w:rPr/>
        <w:pict>
          <v:shape style="position:absolute;margin-left:680.565002pt;margin-top:-32.439407pt;width:60.95pt;height:14.8pt;mso-position-horizontal-relative:page;mso-position-vertical-relative:paragraph;z-index:9856" type="#_x0000_t202" filled="true" fillcolor="#e1e4bb" stroked="false">
            <v:textbox inset="0,0,0,0">
              <w:txbxContent>
                <w:p>
                  <w:pPr>
                    <w:spacing w:before="37"/>
                    <w:ind w:left="524" w:right="0" w:firstLine="0"/>
                    <w:jc w:val="left"/>
                    <w:rPr>
                      <w:b/>
                      <w:sz w:val="19"/>
                    </w:rPr>
                  </w:pPr>
                  <w:r>
                    <w:rPr>
                      <w:b/>
                      <w:sz w:val="19"/>
                    </w:rPr>
                    <w:t>10,841</w:t>
                  </w:r>
                </w:p>
              </w:txbxContent>
            </v:textbox>
            <v:fill type="solid"/>
            <w10:wrap type="none"/>
          </v:shape>
        </w:pict>
      </w:r>
      <w:r>
        <w:rPr/>
        <w:pict>
          <v:shape style="position:absolute;margin-left:38.2677pt;margin-top:-125.731407pt;width:370.65pt;height:154.450pt;mso-position-horizontal-relative:page;mso-position-vertical-relative:paragraph;z-index:988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765"/>
                    <w:gridCol w:w="1219"/>
                    <w:gridCol w:w="1219"/>
                  </w:tblGrid>
                  <w:tr>
                    <w:trPr>
                      <w:trHeight w:val="310" w:hRule="atLeast"/>
                    </w:trPr>
                    <w:tc>
                      <w:tcPr>
                        <w:tcW w:w="7412" w:type="dxa"/>
                        <w:gridSpan w:val="4"/>
                        <w:shd w:val="clear" w:color="auto" w:fill="783A79"/>
                      </w:tcPr>
                      <w:p>
                        <w:pPr>
                          <w:pStyle w:val="TableParagraph"/>
                          <w:spacing w:before="47"/>
                          <w:ind w:left="113"/>
                          <w:rPr>
                            <w:b/>
                            <w:sz w:val="19"/>
                          </w:rPr>
                        </w:pPr>
                        <w:r>
                          <w:rPr>
                            <w:b/>
                            <w:color w:val="FFFFFF"/>
                            <w:sz w:val="19"/>
                          </w:rPr>
                          <w:t>Expenses</w:t>
                        </w:r>
                      </w:p>
                    </w:tc>
                  </w:tr>
                  <w:tr>
                    <w:trPr>
                      <w:trHeight w:val="307" w:hRule="atLeast"/>
                    </w:trPr>
                    <w:tc>
                      <w:tcPr>
                        <w:tcW w:w="4209" w:type="dxa"/>
                        <w:tcBorders>
                          <w:right w:val="single" w:sz="8" w:space="0" w:color="FFFFFF"/>
                        </w:tcBorders>
                        <w:shd w:val="clear" w:color="auto" w:fill="F4F4F4"/>
                      </w:tcPr>
                      <w:p>
                        <w:pPr>
                          <w:pStyle w:val="TableParagraph"/>
                          <w:spacing w:before="42"/>
                          <w:ind w:left="113"/>
                          <w:rPr>
                            <w:sz w:val="19"/>
                          </w:rPr>
                        </w:pPr>
                        <w:r>
                          <w:rPr>
                            <w:sz w:val="19"/>
                          </w:rPr>
                          <w:t>Employee benefits expenses</w:t>
                        </w:r>
                      </w:p>
                    </w:tc>
                    <w:tc>
                      <w:tcPr>
                        <w:tcW w:w="765" w:type="dxa"/>
                        <w:tcBorders>
                          <w:left w:val="single" w:sz="8" w:space="0" w:color="FFFFFF"/>
                        </w:tcBorders>
                        <w:shd w:val="clear" w:color="auto" w:fill="F4F4F4"/>
                      </w:tcPr>
                      <w:p>
                        <w:pPr>
                          <w:pStyle w:val="TableParagraph"/>
                          <w:spacing w:before="42"/>
                          <w:ind w:right="6"/>
                          <w:jc w:val="center"/>
                          <w:rPr>
                            <w:sz w:val="19"/>
                          </w:rPr>
                        </w:pPr>
                        <w:hyperlink w:history="true" w:anchor="_bookmark28">
                          <w:r>
                            <w:rPr>
                              <w:color w:val="A7BE39"/>
                              <w:w w:val="99"/>
                              <w:sz w:val="19"/>
                              <w:u w:val="single" w:color="A7BE39"/>
                            </w:rPr>
                            <w:t>7</w:t>
                          </w:r>
                        </w:hyperlink>
                      </w:p>
                    </w:tc>
                    <w:tc>
                      <w:tcPr>
                        <w:tcW w:w="1219" w:type="dxa"/>
                        <w:vMerge w:val="restart"/>
                        <w:tcBorders>
                          <w:bottom w:val="single" w:sz="4" w:space="0" w:color="000000"/>
                        </w:tcBorders>
                        <w:shd w:val="clear" w:color="auto" w:fill="E1E4BB"/>
                      </w:tcPr>
                      <w:p>
                        <w:pPr>
                          <w:pStyle w:val="TableParagraph"/>
                          <w:spacing w:before="42"/>
                          <w:ind w:left="384" w:right="77"/>
                          <w:jc w:val="center"/>
                          <w:rPr>
                            <w:sz w:val="19"/>
                          </w:rPr>
                        </w:pPr>
                        <w:r>
                          <w:rPr>
                            <w:sz w:val="19"/>
                          </w:rPr>
                          <w:t>114,499</w:t>
                        </w:r>
                      </w:p>
                      <w:p>
                        <w:pPr>
                          <w:pStyle w:val="TableParagraph"/>
                          <w:spacing w:before="109"/>
                          <w:ind w:left="384" w:right="77"/>
                          <w:jc w:val="center"/>
                          <w:rPr>
                            <w:sz w:val="19"/>
                          </w:rPr>
                        </w:pPr>
                        <w:r>
                          <w:rPr>
                            <w:sz w:val="19"/>
                          </w:rPr>
                          <w:t>971,330</w:t>
                        </w:r>
                      </w:p>
                      <w:p>
                        <w:pPr>
                          <w:pStyle w:val="TableParagraph"/>
                          <w:spacing w:before="87"/>
                          <w:ind w:left="489" w:right="77"/>
                          <w:jc w:val="center"/>
                          <w:rPr>
                            <w:sz w:val="19"/>
                          </w:rPr>
                        </w:pPr>
                        <w:r>
                          <w:rPr>
                            <w:sz w:val="19"/>
                          </w:rPr>
                          <w:t>71,513</w:t>
                        </w:r>
                      </w:p>
                      <w:p>
                        <w:pPr>
                          <w:pStyle w:val="TableParagraph"/>
                          <w:spacing w:before="87"/>
                          <w:ind w:left="595" w:right="77"/>
                          <w:jc w:val="center"/>
                          <w:rPr>
                            <w:sz w:val="19"/>
                          </w:rPr>
                        </w:pPr>
                        <w:r>
                          <w:rPr>
                            <w:sz w:val="19"/>
                          </w:rPr>
                          <w:t>8,615</w:t>
                        </w:r>
                      </w:p>
                      <w:p>
                        <w:pPr>
                          <w:pStyle w:val="TableParagraph"/>
                          <w:spacing w:before="88"/>
                          <w:ind w:left="489" w:right="77"/>
                          <w:jc w:val="center"/>
                          <w:rPr>
                            <w:sz w:val="19"/>
                          </w:rPr>
                        </w:pPr>
                        <w:r>
                          <w:rPr>
                            <w:sz w:val="19"/>
                          </w:rPr>
                          <w:t>42,236</w:t>
                        </w:r>
                      </w:p>
                      <w:p>
                        <w:pPr>
                          <w:pStyle w:val="TableParagraph"/>
                          <w:spacing w:before="87"/>
                          <w:ind w:right="110"/>
                          <w:jc w:val="right"/>
                          <w:rPr>
                            <w:sz w:val="19"/>
                          </w:rPr>
                        </w:pPr>
                        <w:r>
                          <w:rPr>
                            <w:w w:val="95"/>
                            <w:sz w:val="19"/>
                          </w:rPr>
                          <w:t>754</w:t>
                        </w:r>
                      </w:p>
                      <w:p>
                        <w:pPr>
                          <w:pStyle w:val="TableParagraph"/>
                          <w:spacing w:before="87"/>
                          <w:ind w:right="110"/>
                          <w:jc w:val="right"/>
                          <w:rPr>
                            <w:sz w:val="19"/>
                          </w:rPr>
                        </w:pPr>
                        <w:r>
                          <w:rPr>
                            <w:w w:val="95"/>
                            <w:sz w:val="19"/>
                          </w:rPr>
                          <w:t>10</w:t>
                        </w:r>
                      </w:p>
                      <w:p>
                        <w:pPr>
                          <w:pStyle w:val="TableParagraph"/>
                          <w:spacing w:before="87"/>
                          <w:ind w:left="489" w:right="77"/>
                          <w:jc w:val="center"/>
                          <w:rPr>
                            <w:sz w:val="19"/>
                          </w:rPr>
                        </w:pPr>
                        <w:r>
                          <w:rPr>
                            <w:sz w:val="19"/>
                          </w:rPr>
                          <w:t>34,021</w:t>
                        </w:r>
                      </w:p>
                    </w:tc>
                    <w:tc>
                      <w:tcPr>
                        <w:tcW w:w="1219" w:type="dxa"/>
                        <w:tcBorders>
                          <w:bottom w:val="single" w:sz="8" w:space="0" w:color="FFFFFF"/>
                        </w:tcBorders>
                        <w:shd w:val="clear" w:color="auto" w:fill="F4F4F4"/>
                      </w:tcPr>
                      <w:p>
                        <w:pPr>
                          <w:pStyle w:val="TableParagraph"/>
                          <w:spacing w:before="42"/>
                          <w:ind w:right="110"/>
                          <w:jc w:val="right"/>
                          <w:rPr>
                            <w:sz w:val="19"/>
                          </w:rPr>
                        </w:pPr>
                        <w:r>
                          <w:rPr>
                            <w:w w:val="95"/>
                            <w:sz w:val="19"/>
                          </w:rPr>
                          <w:t>129,453</w:t>
                        </w:r>
                      </w:p>
                    </w:tc>
                  </w:tr>
                  <w:tr>
                    <w:trPr>
                      <w:trHeight w:val="285" w:hRule="atLeast"/>
                    </w:trPr>
                    <w:tc>
                      <w:tcPr>
                        <w:tcW w:w="4974" w:type="dxa"/>
                        <w:gridSpan w:val="2"/>
                        <w:tcBorders>
                          <w:bottom w:val="single" w:sz="8" w:space="0" w:color="FFFFFF"/>
                        </w:tcBorders>
                        <w:shd w:val="clear" w:color="auto" w:fill="FAF9F9"/>
                      </w:tcPr>
                      <w:p>
                        <w:pPr>
                          <w:pStyle w:val="TableParagraph"/>
                          <w:tabs>
                            <w:tab w:pos="4644" w:val="right" w:leader="none"/>
                          </w:tabs>
                          <w:spacing w:before="42"/>
                          <w:ind w:left="113"/>
                          <w:rPr>
                            <w:sz w:val="19"/>
                          </w:rPr>
                        </w:pPr>
                        <w:r>
                          <w:rPr>
                            <w:sz w:val="19"/>
                          </w:rPr>
                          <w:t>Supplies</w:t>
                        </w:r>
                        <w:r>
                          <w:rPr>
                            <w:spacing w:val="-2"/>
                            <w:sz w:val="19"/>
                          </w:rPr>
                          <w:t> </w:t>
                        </w:r>
                        <w:r>
                          <w:rPr>
                            <w:sz w:val="19"/>
                          </w:rPr>
                          <w:t>and</w:t>
                        </w:r>
                        <w:r>
                          <w:rPr>
                            <w:spacing w:val="-1"/>
                            <w:sz w:val="19"/>
                          </w:rPr>
                          <w:t> </w:t>
                        </w:r>
                        <w:r>
                          <w:rPr>
                            <w:sz w:val="19"/>
                          </w:rPr>
                          <w:t>services</w:t>
                          <w:tab/>
                        </w:r>
                        <w:hyperlink w:history="true" w:anchor="_bookmark29">
                          <w:r>
                            <w:rPr>
                              <w:color w:val="A7BE39"/>
                              <w:sz w:val="19"/>
                              <w:u w:val="single" w:color="A7BE39"/>
                            </w:rPr>
                            <w:t>8</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ind w:right="110"/>
                          <w:jc w:val="right"/>
                          <w:rPr>
                            <w:sz w:val="19"/>
                          </w:rPr>
                        </w:pPr>
                        <w:r>
                          <w:rPr>
                            <w:w w:val="95"/>
                            <w:sz w:val="19"/>
                          </w:rPr>
                          <w:t>870,487</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sz w:val="19"/>
                          </w:rPr>
                        </w:pPr>
                        <w:r>
                          <w:rPr>
                            <w:sz w:val="19"/>
                          </w:rPr>
                          <w:t>Depreciation and amortisation expense</w:t>
                        </w:r>
                      </w:p>
                    </w:tc>
                    <w:tc>
                      <w:tcPr>
                        <w:tcW w:w="765" w:type="dxa"/>
                        <w:tcBorders>
                          <w:top w:val="single" w:sz="8" w:space="0" w:color="FFFFFF"/>
                          <w:left w:val="single" w:sz="8" w:space="0" w:color="FFFFFF"/>
                          <w:bottom w:val="single" w:sz="8" w:space="0" w:color="FFFFFF"/>
                        </w:tcBorders>
                        <w:shd w:val="clear" w:color="auto" w:fill="F4F4F4"/>
                      </w:tcPr>
                      <w:p>
                        <w:pPr>
                          <w:pStyle w:val="TableParagraph"/>
                          <w:ind w:right="6"/>
                          <w:jc w:val="center"/>
                          <w:rPr>
                            <w:sz w:val="19"/>
                          </w:rPr>
                        </w:pPr>
                        <w:hyperlink w:history="true" w:anchor="_bookmark30">
                          <w:r>
                            <w:rPr>
                              <w:color w:val="A7BE39"/>
                              <w:w w:val="99"/>
                              <w:sz w:val="19"/>
                              <w:u w:val="single" w:color="A7BE39"/>
                            </w:rPr>
                            <w:t>9</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79,031</w:t>
                        </w:r>
                      </w:p>
                    </w:tc>
                  </w:tr>
                  <w:tr>
                    <w:trPr>
                      <w:trHeight w:val="285" w:hRule="atLeast"/>
                    </w:trPr>
                    <w:tc>
                      <w:tcPr>
                        <w:tcW w:w="4974" w:type="dxa"/>
                        <w:gridSpan w:val="2"/>
                        <w:tcBorders>
                          <w:top w:val="single" w:sz="8" w:space="0" w:color="FFFFFF"/>
                          <w:bottom w:val="single" w:sz="8" w:space="0" w:color="FFFFFF"/>
                        </w:tcBorders>
                        <w:shd w:val="clear" w:color="auto" w:fill="FAF9F9"/>
                      </w:tcPr>
                      <w:p>
                        <w:pPr>
                          <w:pStyle w:val="TableParagraph"/>
                          <w:tabs>
                            <w:tab w:pos="4694" w:val="right" w:leader="none"/>
                          </w:tabs>
                          <w:ind w:left="113"/>
                          <w:rPr>
                            <w:sz w:val="19"/>
                          </w:rPr>
                        </w:pPr>
                        <w:r>
                          <w:rPr>
                            <w:sz w:val="19"/>
                          </w:rPr>
                          <w:t>Finance</w:t>
                        </w:r>
                        <w:r>
                          <w:rPr>
                            <w:spacing w:val="-1"/>
                            <w:sz w:val="19"/>
                          </w:rPr>
                          <w:t> </w:t>
                        </w:r>
                        <w:r>
                          <w:rPr>
                            <w:sz w:val="19"/>
                          </w:rPr>
                          <w:t>costs</w:t>
                          <w:tab/>
                        </w:r>
                        <w:hyperlink w:history="true" w:anchor="_bookmark31">
                          <w:r>
                            <w:rPr>
                              <w:color w:val="A7BE39"/>
                              <w:spacing w:val="-3"/>
                              <w:sz w:val="19"/>
                              <w:u w:val="single" w:color="A7BE39"/>
                            </w:rPr>
                            <w:t>10</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ind w:right="110"/>
                          <w:jc w:val="right"/>
                          <w:rPr>
                            <w:sz w:val="19"/>
                          </w:rPr>
                        </w:pPr>
                        <w:r>
                          <w:rPr>
                            <w:w w:val="95"/>
                            <w:sz w:val="19"/>
                          </w:rPr>
                          <w:t>9,003</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sz w:val="19"/>
                          </w:rPr>
                        </w:pPr>
                        <w:r>
                          <w:rPr>
                            <w:sz w:val="19"/>
                          </w:rPr>
                          <w:t>Accommodation expenses</w:t>
                        </w:r>
                      </w:p>
                    </w:tc>
                    <w:tc>
                      <w:tcPr>
                        <w:tcW w:w="765" w:type="dxa"/>
                        <w:tcBorders>
                          <w:top w:val="single" w:sz="8" w:space="0" w:color="FFFFFF"/>
                          <w:left w:val="single" w:sz="8" w:space="0" w:color="FFFFFF"/>
                          <w:bottom w:val="single" w:sz="8" w:space="0" w:color="FFFFFF"/>
                        </w:tcBorders>
                        <w:shd w:val="clear" w:color="auto" w:fill="F4F4F4"/>
                      </w:tcPr>
                      <w:p>
                        <w:pPr>
                          <w:pStyle w:val="TableParagraph"/>
                          <w:ind w:left="240" w:right="246"/>
                          <w:jc w:val="center"/>
                          <w:rPr>
                            <w:sz w:val="19"/>
                          </w:rPr>
                        </w:pPr>
                        <w:hyperlink w:history="true" w:anchor="_bookmark32">
                          <w:r>
                            <w:rPr>
                              <w:color w:val="A7BE39"/>
                              <w:sz w:val="19"/>
                              <w:u w:val="single" w:color="A7BE39"/>
                            </w:rPr>
                            <w:t>11</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38,894</w:t>
                        </w:r>
                      </w:p>
                    </w:tc>
                  </w:tr>
                  <w:tr>
                    <w:trPr>
                      <w:trHeight w:val="285" w:hRule="atLeast"/>
                    </w:trPr>
                    <w:tc>
                      <w:tcPr>
                        <w:tcW w:w="4974" w:type="dxa"/>
                        <w:gridSpan w:val="2"/>
                        <w:tcBorders>
                          <w:top w:val="single" w:sz="8" w:space="0" w:color="FFFFFF"/>
                          <w:bottom w:val="single" w:sz="8" w:space="0" w:color="FFFFFF"/>
                        </w:tcBorders>
                        <w:shd w:val="clear" w:color="auto" w:fill="FAF9F9"/>
                      </w:tcPr>
                      <w:p>
                        <w:pPr>
                          <w:pStyle w:val="TableParagraph"/>
                          <w:tabs>
                            <w:tab w:pos="4697" w:val="right" w:leader="none"/>
                          </w:tabs>
                          <w:ind w:left="113"/>
                          <w:rPr>
                            <w:sz w:val="19"/>
                          </w:rPr>
                        </w:pPr>
                        <w:r>
                          <w:rPr>
                            <w:sz w:val="19"/>
                          </w:rPr>
                          <w:t>Grants</w:t>
                        </w:r>
                        <w:r>
                          <w:rPr>
                            <w:spacing w:val="-2"/>
                            <w:sz w:val="19"/>
                          </w:rPr>
                          <w:t> </w:t>
                        </w:r>
                        <w:r>
                          <w:rPr>
                            <w:sz w:val="19"/>
                          </w:rPr>
                          <w:t>and</w:t>
                        </w:r>
                        <w:r>
                          <w:rPr>
                            <w:spacing w:val="-1"/>
                            <w:sz w:val="19"/>
                          </w:rPr>
                          <w:t> </w:t>
                        </w:r>
                        <w:r>
                          <w:rPr>
                            <w:sz w:val="19"/>
                          </w:rPr>
                          <w:t>subsidies</w:t>
                          <w:tab/>
                        </w:r>
                        <w:hyperlink w:history="true" w:anchor="_bookmark33">
                          <w:r>
                            <w:rPr>
                              <w:color w:val="A7BE39"/>
                              <w:sz w:val="19"/>
                              <w:u w:val="single" w:color="A7BE39"/>
                            </w:rPr>
                            <w:t>12</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ind w:right="110"/>
                          <w:jc w:val="right"/>
                          <w:rPr>
                            <w:sz w:val="19"/>
                          </w:rPr>
                        </w:pPr>
                        <w:r>
                          <w:rPr>
                            <w:w w:val="95"/>
                            <w:sz w:val="19"/>
                          </w:rPr>
                          <w:t>3,761</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sz w:val="19"/>
                          </w:rPr>
                        </w:pPr>
                        <w:r>
                          <w:rPr>
                            <w:sz w:val="19"/>
                          </w:rPr>
                          <w:t>Loss on disposal of non-current assets</w:t>
                        </w:r>
                      </w:p>
                    </w:tc>
                    <w:tc>
                      <w:tcPr>
                        <w:tcW w:w="765" w:type="dxa"/>
                        <w:tcBorders>
                          <w:top w:val="single" w:sz="8" w:space="0" w:color="FFFFFF"/>
                          <w:left w:val="single" w:sz="8" w:space="0" w:color="FFFFFF"/>
                          <w:bottom w:val="single" w:sz="8" w:space="0" w:color="FFFFFF"/>
                        </w:tcBorders>
                        <w:shd w:val="clear" w:color="auto" w:fill="F4F4F4"/>
                      </w:tcPr>
                      <w:p>
                        <w:pPr>
                          <w:pStyle w:val="TableParagraph"/>
                          <w:ind w:left="240" w:right="246"/>
                          <w:jc w:val="center"/>
                          <w:rPr>
                            <w:sz w:val="19"/>
                          </w:rPr>
                        </w:pPr>
                        <w:hyperlink w:history="true" w:anchor="_bookmark35">
                          <w:r>
                            <w:rPr>
                              <w:color w:val="A7BE39"/>
                              <w:sz w:val="19"/>
                              <w:u w:val="single" w:color="A7BE39"/>
                            </w:rPr>
                            <w:t>15</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4F4F4"/>
                      </w:tcPr>
                      <w:p>
                        <w:pPr>
                          <w:pStyle w:val="TableParagraph"/>
                          <w:ind w:right="110"/>
                          <w:jc w:val="right"/>
                          <w:rPr>
                            <w:sz w:val="19"/>
                          </w:rPr>
                        </w:pPr>
                        <w:r>
                          <w:rPr>
                            <w:w w:val="99"/>
                            <w:sz w:val="19"/>
                          </w:rPr>
                          <w:t>1</w:t>
                        </w:r>
                      </w:p>
                    </w:tc>
                  </w:tr>
                  <w:tr>
                    <w:trPr>
                      <w:trHeight w:val="285" w:hRule="atLeast"/>
                    </w:trPr>
                    <w:tc>
                      <w:tcPr>
                        <w:tcW w:w="4974" w:type="dxa"/>
                        <w:gridSpan w:val="2"/>
                        <w:tcBorders>
                          <w:top w:val="single" w:sz="8" w:space="0" w:color="FFFFFF"/>
                          <w:bottom w:val="single" w:sz="8" w:space="0" w:color="FFFFFF"/>
                        </w:tcBorders>
                        <w:shd w:val="clear" w:color="auto" w:fill="FAF9F9"/>
                      </w:tcPr>
                      <w:p>
                        <w:pPr>
                          <w:pStyle w:val="TableParagraph"/>
                          <w:tabs>
                            <w:tab w:pos="4697" w:val="right" w:leader="none"/>
                          </w:tabs>
                          <w:ind w:left="113"/>
                          <w:rPr>
                            <w:sz w:val="19"/>
                          </w:rPr>
                        </w:pPr>
                        <w:r>
                          <w:rPr>
                            <w:sz w:val="19"/>
                          </w:rPr>
                          <w:t>Other</w:t>
                        </w:r>
                        <w:r>
                          <w:rPr>
                            <w:spacing w:val="-1"/>
                            <w:sz w:val="19"/>
                          </w:rPr>
                          <w:t> </w:t>
                        </w:r>
                        <w:r>
                          <w:rPr>
                            <w:sz w:val="19"/>
                          </w:rPr>
                          <w:t>expenses</w:t>
                          <w:tab/>
                        </w:r>
                        <w:hyperlink w:history="true" w:anchor="_bookmark34">
                          <w:r>
                            <w:rPr>
                              <w:color w:val="A7BE39"/>
                              <w:sz w:val="19"/>
                              <w:u w:val="single" w:color="A7BE39"/>
                            </w:rPr>
                            <w:t>13</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4" w:space="0" w:color="000000"/>
                        </w:tcBorders>
                        <w:shd w:val="clear" w:color="auto" w:fill="FAF9F9"/>
                      </w:tcPr>
                      <w:p>
                        <w:pPr>
                          <w:pStyle w:val="TableParagraph"/>
                          <w:ind w:right="110"/>
                          <w:jc w:val="right"/>
                          <w:rPr>
                            <w:sz w:val="19"/>
                          </w:rPr>
                        </w:pPr>
                        <w:r>
                          <w:rPr>
                            <w:w w:val="95"/>
                            <w:sz w:val="19"/>
                          </w:rPr>
                          <w:t>51,783</w:t>
                        </w:r>
                      </w:p>
                    </w:tc>
                  </w:tr>
                  <w:tr>
                    <w:trPr>
                      <w:trHeight w:val="290" w:hRule="atLeast"/>
                    </w:trPr>
                    <w:tc>
                      <w:tcPr>
                        <w:tcW w:w="4209" w:type="dxa"/>
                        <w:tcBorders>
                          <w:top w:val="single" w:sz="8" w:space="0" w:color="FFFFFF"/>
                          <w:right w:val="single" w:sz="8" w:space="0" w:color="FFFFFF"/>
                        </w:tcBorders>
                        <w:shd w:val="clear" w:color="auto" w:fill="F4F4F4"/>
                      </w:tcPr>
                      <w:p>
                        <w:pPr>
                          <w:pStyle w:val="TableParagraph"/>
                          <w:ind w:left="113"/>
                          <w:rPr>
                            <w:b/>
                            <w:sz w:val="19"/>
                          </w:rPr>
                        </w:pPr>
                        <w:r>
                          <w:rPr>
                            <w:b/>
                            <w:sz w:val="19"/>
                          </w:rPr>
                          <w:t>Total cost of services</w:t>
                        </w:r>
                      </w:p>
                    </w:tc>
                    <w:tc>
                      <w:tcPr>
                        <w:tcW w:w="765" w:type="dxa"/>
                        <w:tcBorders>
                          <w:top w:val="single" w:sz="8" w:space="0" w:color="FFFFFF"/>
                          <w:left w:val="single" w:sz="8" w:space="0" w:color="FFFFFF"/>
                        </w:tcBorders>
                        <w:shd w:val="clear" w:color="auto" w:fill="F4F4F4"/>
                      </w:tcPr>
                      <w:p>
                        <w:pPr>
                          <w:pStyle w:val="TableParagraph"/>
                          <w:spacing w:before="0"/>
                          <w:rPr>
                            <w:rFonts w:ascii="Times New Roman"/>
                            <w:sz w:val="18"/>
                          </w:rPr>
                        </w:pPr>
                      </w:p>
                    </w:tc>
                    <w:tc>
                      <w:tcPr>
                        <w:tcW w:w="1219" w:type="dxa"/>
                        <w:tcBorders>
                          <w:top w:val="single" w:sz="4" w:space="0" w:color="000000"/>
                          <w:bottom w:val="single" w:sz="4" w:space="0" w:color="000000"/>
                        </w:tcBorders>
                        <w:shd w:val="clear" w:color="auto" w:fill="DFE1B8"/>
                      </w:tcPr>
                      <w:p>
                        <w:pPr>
                          <w:pStyle w:val="TableParagraph"/>
                          <w:ind w:left="261"/>
                          <w:rPr>
                            <w:b/>
                            <w:sz w:val="19"/>
                          </w:rPr>
                        </w:pPr>
                        <w:r>
                          <w:rPr>
                            <w:b/>
                            <w:sz w:val="19"/>
                          </w:rPr>
                          <w:t>1,242,978</w:t>
                        </w:r>
                      </w:p>
                    </w:tc>
                    <w:tc>
                      <w:tcPr>
                        <w:tcW w:w="1219" w:type="dxa"/>
                        <w:tcBorders>
                          <w:top w:val="single" w:sz="4" w:space="0" w:color="000000"/>
                          <w:bottom w:val="single" w:sz="4" w:space="0" w:color="000000"/>
                        </w:tcBorders>
                        <w:shd w:val="clear" w:color="auto" w:fill="F4F4F4"/>
                      </w:tcPr>
                      <w:p>
                        <w:pPr>
                          <w:pStyle w:val="TableParagraph"/>
                          <w:ind w:right="110"/>
                          <w:jc w:val="right"/>
                          <w:rPr>
                            <w:b/>
                            <w:sz w:val="19"/>
                          </w:rPr>
                        </w:pPr>
                        <w:r>
                          <w:rPr>
                            <w:b/>
                            <w:w w:val="95"/>
                            <w:sz w:val="19"/>
                          </w:rPr>
                          <w:t>1,182,413</w:t>
                        </w:r>
                      </w:p>
                    </w:tc>
                  </w:tr>
                </w:tbl>
                <w:p>
                  <w:pPr>
                    <w:pStyle w:val="BodyText"/>
                  </w:pPr>
                </w:p>
              </w:txbxContent>
            </v:textbox>
            <w10:wrap type="none"/>
          </v:shape>
        </w:pict>
      </w:r>
      <w:r>
        <w:rPr/>
        <w:pict>
          <v:shape style="position:absolute;margin-left:38.2677pt;margin-top:43.494694pt;width:370.65pt;height:210.9pt;mso-position-horizontal-relative:page;mso-position-vertical-relative:paragraph;z-index:9904"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09"/>
                    <w:gridCol w:w="765"/>
                    <w:gridCol w:w="1219"/>
                    <w:gridCol w:w="1219"/>
                  </w:tblGrid>
                  <w:tr>
                    <w:trPr>
                      <w:trHeight w:val="310" w:hRule="atLeast"/>
                    </w:trPr>
                    <w:tc>
                      <w:tcPr>
                        <w:tcW w:w="7412" w:type="dxa"/>
                        <w:gridSpan w:val="4"/>
                        <w:tcBorders>
                          <w:top w:val="nil"/>
                          <w:left w:val="nil"/>
                          <w:bottom w:val="nil"/>
                          <w:right w:val="nil"/>
                        </w:tcBorders>
                        <w:shd w:val="clear" w:color="auto" w:fill="783A79"/>
                      </w:tcPr>
                      <w:p>
                        <w:pPr>
                          <w:pStyle w:val="TableParagraph"/>
                          <w:spacing w:before="47"/>
                          <w:ind w:left="113"/>
                          <w:rPr>
                            <w:b/>
                            <w:sz w:val="19"/>
                          </w:rPr>
                        </w:pPr>
                        <w:r>
                          <w:rPr>
                            <w:b/>
                            <w:color w:val="FFFFFF"/>
                            <w:sz w:val="19"/>
                          </w:rPr>
                          <w:t>Income</w:t>
                        </w:r>
                      </w:p>
                    </w:tc>
                  </w:tr>
                  <w:tr>
                    <w:trPr>
                      <w:trHeight w:val="305" w:hRule="atLeast"/>
                    </w:trPr>
                    <w:tc>
                      <w:tcPr>
                        <w:tcW w:w="4974" w:type="dxa"/>
                        <w:gridSpan w:val="2"/>
                        <w:tcBorders>
                          <w:top w:val="nil"/>
                          <w:left w:val="nil"/>
                          <w:bottom w:val="nil"/>
                          <w:right w:val="nil"/>
                        </w:tcBorders>
                        <w:shd w:val="clear" w:color="auto" w:fill="FAF9F9"/>
                      </w:tcPr>
                      <w:p>
                        <w:pPr>
                          <w:pStyle w:val="TableParagraph"/>
                          <w:tabs>
                            <w:tab w:pos="4697" w:val="right" w:leader="none"/>
                          </w:tabs>
                          <w:spacing w:before="42"/>
                          <w:ind w:left="113"/>
                          <w:rPr>
                            <w:sz w:val="19"/>
                          </w:rPr>
                        </w:pPr>
                        <w:r>
                          <w:rPr>
                            <w:i/>
                            <w:color w:val="A7BE39"/>
                            <w:sz w:val="19"/>
                          </w:rPr>
                          <w:t>Revenue</w:t>
                          <w:tab/>
                        </w:r>
                        <w:hyperlink w:history="true" w:anchor="_bookmark36">
                          <w:r>
                            <w:rPr>
                              <w:color w:val="A7BE39"/>
                              <w:sz w:val="19"/>
                              <w:u w:val="single" w:color="A7BE39"/>
                            </w:rPr>
                            <w:t>14</w:t>
                          </w:r>
                        </w:hyperlink>
                      </w:p>
                    </w:tc>
                    <w:tc>
                      <w:tcPr>
                        <w:tcW w:w="1219" w:type="dxa"/>
                        <w:vMerge w:val="restart"/>
                        <w:tcBorders>
                          <w:top w:val="nil"/>
                          <w:left w:val="nil"/>
                          <w:right w:val="nil"/>
                        </w:tcBorders>
                        <w:shd w:val="clear" w:color="auto" w:fill="E1E4BB"/>
                      </w:tcPr>
                      <w:p>
                        <w:pPr>
                          <w:pStyle w:val="TableParagraph"/>
                          <w:spacing w:before="3"/>
                          <w:rPr>
                            <w:sz w:val="30"/>
                          </w:rPr>
                        </w:pPr>
                      </w:p>
                      <w:p>
                        <w:pPr>
                          <w:pStyle w:val="TableParagraph"/>
                          <w:spacing w:before="0"/>
                          <w:ind w:left="261"/>
                          <w:rPr>
                            <w:sz w:val="19"/>
                          </w:rPr>
                        </w:pPr>
                        <w:r>
                          <w:rPr>
                            <w:sz w:val="19"/>
                          </w:rPr>
                          <w:t>1,058,030</w:t>
                        </w:r>
                      </w:p>
                      <w:p>
                        <w:pPr>
                          <w:pStyle w:val="TableParagraph"/>
                          <w:spacing w:before="87"/>
                          <w:ind w:left="595" w:right="77"/>
                          <w:jc w:val="center"/>
                          <w:rPr>
                            <w:sz w:val="19"/>
                          </w:rPr>
                        </w:pPr>
                        <w:r>
                          <w:rPr>
                            <w:sz w:val="19"/>
                          </w:rPr>
                          <w:t>3,492</w:t>
                        </w:r>
                      </w:p>
                      <w:p>
                        <w:pPr>
                          <w:pStyle w:val="TableParagraph"/>
                          <w:spacing w:before="87"/>
                          <w:ind w:left="753" w:right="77"/>
                          <w:jc w:val="center"/>
                          <w:rPr>
                            <w:sz w:val="19"/>
                          </w:rPr>
                        </w:pPr>
                        <w:r>
                          <w:rPr>
                            <w:sz w:val="19"/>
                          </w:rPr>
                          <w:t>473</w:t>
                        </w:r>
                      </w:p>
                      <w:p>
                        <w:pPr>
                          <w:pStyle w:val="TableParagraph"/>
                          <w:spacing w:before="88"/>
                          <w:ind w:left="489" w:right="77"/>
                          <w:jc w:val="center"/>
                          <w:rPr>
                            <w:sz w:val="19"/>
                          </w:rPr>
                        </w:pPr>
                        <w:r>
                          <w:rPr>
                            <w:sz w:val="19"/>
                          </w:rPr>
                          <w:t>10,615</w:t>
                        </w:r>
                      </w:p>
                    </w:tc>
                    <w:tc>
                      <w:tcPr>
                        <w:tcW w:w="1219" w:type="dxa"/>
                        <w:vMerge w:val="restart"/>
                        <w:tcBorders>
                          <w:top w:val="nil"/>
                          <w:left w:val="nil"/>
                          <w:bottom w:val="single" w:sz="8" w:space="0" w:color="FFFFFF"/>
                          <w:right w:val="nil"/>
                        </w:tcBorders>
                        <w:shd w:val="clear" w:color="auto" w:fill="FAF9F9"/>
                      </w:tcPr>
                      <w:p>
                        <w:pPr>
                          <w:pStyle w:val="TableParagraph"/>
                          <w:spacing w:before="3"/>
                          <w:rPr>
                            <w:sz w:val="30"/>
                          </w:rPr>
                        </w:pPr>
                      </w:p>
                      <w:p>
                        <w:pPr>
                          <w:pStyle w:val="TableParagraph"/>
                          <w:spacing w:before="0"/>
                          <w:ind w:left="419"/>
                          <w:rPr>
                            <w:sz w:val="19"/>
                          </w:rPr>
                        </w:pPr>
                        <w:r>
                          <w:rPr>
                            <w:sz w:val="19"/>
                          </w:rPr>
                          <w:t>947,333</w:t>
                        </w:r>
                      </w:p>
                    </w:tc>
                  </w:tr>
                  <w:tr>
                    <w:trPr>
                      <w:trHeight w:val="275" w:hRule="atLeast"/>
                    </w:trPr>
                    <w:tc>
                      <w:tcPr>
                        <w:tcW w:w="4209" w:type="dxa"/>
                        <w:tcBorders>
                          <w:top w:val="nil"/>
                          <w:left w:val="nil"/>
                          <w:bottom w:val="single" w:sz="8" w:space="0" w:color="FFFFFF"/>
                          <w:right w:val="single" w:sz="8" w:space="0" w:color="FFFFFF"/>
                        </w:tcBorders>
                        <w:shd w:val="clear" w:color="auto" w:fill="F4F4F4"/>
                      </w:tcPr>
                      <w:p>
                        <w:pPr>
                          <w:pStyle w:val="TableParagraph"/>
                          <w:spacing w:before="22"/>
                          <w:ind w:left="113"/>
                          <w:rPr>
                            <w:sz w:val="19"/>
                          </w:rPr>
                        </w:pPr>
                        <w:r>
                          <w:rPr>
                            <w:sz w:val="19"/>
                          </w:rPr>
                          <w:t>User charges and fees</w:t>
                        </w:r>
                      </w:p>
                    </w:tc>
                    <w:tc>
                      <w:tcPr>
                        <w:tcW w:w="765" w:type="dxa"/>
                        <w:tcBorders>
                          <w:top w:val="nil"/>
                          <w:left w:val="single" w:sz="8" w:space="0" w:color="FFFFFF"/>
                          <w:bottom w:val="single" w:sz="8" w:space="0" w:color="FFFFFF"/>
                          <w:right w:val="nil"/>
                        </w:tcBorders>
                        <w:shd w:val="clear" w:color="auto" w:fill="F4F4F4"/>
                      </w:tcPr>
                      <w:p>
                        <w:pPr>
                          <w:pStyle w:val="TableParagraph"/>
                          <w:spacing w:before="0"/>
                          <w:rPr>
                            <w:rFonts w:ascii="Times New Roman"/>
                            <w:sz w:val="18"/>
                          </w:rPr>
                        </w:pPr>
                      </w:p>
                    </w:tc>
                    <w:tc>
                      <w:tcPr>
                        <w:tcW w:w="1219" w:type="dxa"/>
                        <w:vMerge/>
                        <w:tcBorders>
                          <w:top w:val="nil"/>
                          <w:left w:val="nil"/>
                          <w:right w:val="nil"/>
                        </w:tcBorders>
                        <w:shd w:val="clear" w:color="auto" w:fill="E1E4BB"/>
                      </w:tcPr>
                      <w:p>
                        <w:pPr>
                          <w:rPr>
                            <w:sz w:val="2"/>
                            <w:szCs w:val="2"/>
                          </w:rPr>
                        </w:pPr>
                      </w:p>
                    </w:tc>
                    <w:tc>
                      <w:tcPr>
                        <w:tcW w:w="1219" w:type="dxa"/>
                        <w:vMerge/>
                        <w:tcBorders>
                          <w:top w:val="nil"/>
                          <w:left w:val="nil"/>
                          <w:bottom w:val="single" w:sz="8" w:space="0" w:color="FFFFFF"/>
                          <w:right w:val="nil"/>
                        </w:tcBorders>
                        <w:shd w:val="clear" w:color="auto" w:fill="FAF9F9"/>
                      </w:tcPr>
                      <w:p>
                        <w:pPr>
                          <w:rPr>
                            <w:sz w:val="2"/>
                            <w:szCs w:val="2"/>
                          </w:rPr>
                        </w:pP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AF9F9"/>
                      </w:tcPr>
                      <w:p>
                        <w:pPr>
                          <w:pStyle w:val="TableParagraph"/>
                          <w:ind w:left="113"/>
                          <w:rPr>
                            <w:sz w:val="19"/>
                          </w:rPr>
                        </w:pPr>
                        <w:r>
                          <w:rPr>
                            <w:sz w:val="19"/>
                          </w:rPr>
                          <w:t>Commonwealth grants and contributions</w:t>
                        </w:r>
                      </w:p>
                    </w:tc>
                    <w:tc>
                      <w:tcPr>
                        <w:tcW w:w="765" w:type="dxa"/>
                        <w:tcBorders>
                          <w:top w:val="single" w:sz="8" w:space="0" w:color="FFFFFF"/>
                          <w:left w:val="single" w:sz="8" w:space="0" w:color="FFFFFF"/>
                          <w:bottom w:val="single" w:sz="8" w:space="0" w:color="FFFFFF"/>
                          <w:right w:val="nil"/>
                        </w:tcBorders>
                        <w:shd w:val="clear" w:color="auto" w:fill="FAF9F9"/>
                      </w:tcPr>
                      <w:p>
                        <w:pPr>
                          <w:pStyle w:val="TableParagraph"/>
                          <w:spacing w:before="0"/>
                          <w:rPr>
                            <w:rFonts w:ascii="Times New Roman"/>
                            <w:sz w:val="18"/>
                          </w:rPr>
                        </w:pPr>
                      </w:p>
                    </w:tc>
                    <w:tc>
                      <w:tcPr>
                        <w:tcW w:w="1219" w:type="dxa"/>
                        <w:vMerge/>
                        <w:tcBorders>
                          <w:top w:val="nil"/>
                          <w:left w:val="nil"/>
                          <w:right w:val="nil"/>
                        </w:tcBorders>
                        <w:shd w:val="clear" w:color="auto" w:fill="E1E4BB"/>
                      </w:tcPr>
                      <w:p>
                        <w:pPr>
                          <w:rPr>
                            <w:sz w:val="2"/>
                            <w:szCs w:val="2"/>
                          </w:rPr>
                        </w:pPr>
                      </w:p>
                    </w:tc>
                    <w:tc>
                      <w:tcPr>
                        <w:tcW w:w="1219" w:type="dxa"/>
                        <w:tcBorders>
                          <w:top w:val="single" w:sz="8" w:space="0" w:color="FFFFFF"/>
                          <w:left w:val="nil"/>
                          <w:bottom w:val="single" w:sz="8" w:space="0" w:color="FFFFFF"/>
                          <w:right w:val="nil"/>
                        </w:tcBorders>
                        <w:shd w:val="clear" w:color="auto" w:fill="FAF9F9"/>
                      </w:tcPr>
                      <w:p>
                        <w:pPr>
                          <w:pStyle w:val="TableParagraph"/>
                          <w:ind w:right="110"/>
                          <w:jc w:val="right"/>
                          <w:rPr>
                            <w:sz w:val="19"/>
                          </w:rPr>
                        </w:pPr>
                        <w:r>
                          <w:rPr>
                            <w:w w:val="95"/>
                            <w:sz w:val="19"/>
                          </w:rPr>
                          <w:t>1,684</w:t>
                        </w: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4F4F4"/>
                      </w:tcPr>
                      <w:p>
                        <w:pPr>
                          <w:pStyle w:val="TableParagraph"/>
                          <w:ind w:left="113"/>
                          <w:rPr>
                            <w:sz w:val="19"/>
                          </w:rPr>
                        </w:pPr>
                        <w:r>
                          <w:rPr>
                            <w:sz w:val="19"/>
                          </w:rPr>
                          <w:t>Interest revenue</w:t>
                        </w:r>
                      </w:p>
                    </w:tc>
                    <w:tc>
                      <w:tcPr>
                        <w:tcW w:w="765" w:type="dxa"/>
                        <w:tcBorders>
                          <w:top w:val="single" w:sz="8" w:space="0" w:color="FFFFFF"/>
                          <w:left w:val="single" w:sz="8" w:space="0" w:color="FFFFFF"/>
                          <w:bottom w:val="single" w:sz="8" w:space="0" w:color="FFFFFF"/>
                          <w:right w:val="nil"/>
                        </w:tcBorders>
                        <w:shd w:val="clear" w:color="auto" w:fill="F4F4F4"/>
                      </w:tcPr>
                      <w:p>
                        <w:pPr>
                          <w:pStyle w:val="TableParagraph"/>
                          <w:spacing w:before="0"/>
                          <w:rPr>
                            <w:rFonts w:ascii="Times New Roman"/>
                            <w:sz w:val="18"/>
                          </w:rPr>
                        </w:pPr>
                      </w:p>
                    </w:tc>
                    <w:tc>
                      <w:tcPr>
                        <w:tcW w:w="1219" w:type="dxa"/>
                        <w:vMerge/>
                        <w:tcBorders>
                          <w:top w:val="nil"/>
                          <w:left w:val="nil"/>
                          <w:right w:val="nil"/>
                        </w:tcBorders>
                        <w:shd w:val="clear" w:color="auto" w:fill="E1E4BB"/>
                      </w:tcPr>
                      <w:p>
                        <w:pPr>
                          <w:rPr>
                            <w:sz w:val="2"/>
                            <w:szCs w:val="2"/>
                          </w:rPr>
                        </w:pPr>
                      </w:p>
                    </w:tc>
                    <w:tc>
                      <w:tcPr>
                        <w:tcW w:w="1219" w:type="dxa"/>
                        <w:tcBorders>
                          <w:top w:val="single" w:sz="8" w:space="0" w:color="FFFFFF"/>
                          <w:left w:val="nil"/>
                          <w:bottom w:val="single" w:sz="8" w:space="0" w:color="FFFFFF"/>
                          <w:right w:val="nil"/>
                        </w:tcBorders>
                        <w:shd w:val="clear" w:color="auto" w:fill="F4F4F4"/>
                      </w:tcPr>
                      <w:p>
                        <w:pPr>
                          <w:pStyle w:val="TableParagraph"/>
                          <w:ind w:right="110"/>
                          <w:jc w:val="right"/>
                          <w:rPr>
                            <w:sz w:val="19"/>
                          </w:rPr>
                        </w:pPr>
                        <w:r>
                          <w:rPr>
                            <w:w w:val="95"/>
                            <w:sz w:val="19"/>
                          </w:rPr>
                          <w:t>219</w:t>
                        </w: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AF9F9"/>
                      </w:tcPr>
                      <w:p>
                        <w:pPr>
                          <w:pStyle w:val="TableParagraph"/>
                          <w:ind w:left="113"/>
                          <w:rPr>
                            <w:sz w:val="19"/>
                          </w:rPr>
                        </w:pPr>
                        <w:r>
                          <w:rPr>
                            <w:sz w:val="19"/>
                          </w:rPr>
                          <w:t>Other revenue</w:t>
                        </w:r>
                      </w:p>
                    </w:tc>
                    <w:tc>
                      <w:tcPr>
                        <w:tcW w:w="765" w:type="dxa"/>
                        <w:tcBorders>
                          <w:top w:val="single" w:sz="8" w:space="0" w:color="FFFFFF"/>
                          <w:left w:val="single" w:sz="8" w:space="0" w:color="FFFFFF"/>
                          <w:bottom w:val="single" w:sz="8" w:space="0" w:color="FFFFFF"/>
                          <w:right w:val="nil"/>
                        </w:tcBorders>
                        <w:shd w:val="clear" w:color="auto" w:fill="FAF9F9"/>
                      </w:tcPr>
                      <w:p>
                        <w:pPr>
                          <w:pStyle w:val="TableParagraph"/>
                          <w:spacing w:before="0"/>
                          <w:rPr>
                            <w:rFonts w:ascii="Times New Roman"/>
                            <w:sz w:val="18"/>
                          </w:rPr>
                        </w:pPr>
                      </w:p>
                    </w:tc>
                    <w:tc>
                      <w:tcPr>
                        <w:tcW w:w="1219" w:type="dxa"/>
                        <w:vMerge/>
                        <w:tcBorders>
                          <w:top w:val="nil"/>
                          <w:left w:val="nil"/>
                          <w:right w:val="nil"/>
                        </w:tcBorders>
                        <w:shd w:val="clear" w:color="auto" w:fill="E1E4BB"/>
                      </w:tcPr>
                      <w:p>
                        <w:pPr>
                          <w:rPr>
                            <w:sz w:val="2"/>
                            <w:szCs w:val="2"/>
                          </w:rPr>
                        </w:pPr>
                      </w:p>
                    </w:tc>
                    <w:tc>
                      <w:tcPr>
                        <w:tcW w:w="1219" w:type="dxa"/>
                        <w:tcBorders>
                          <w:top w:val="single" w:sz="8" w:space="0" w:color="FFFFFF"/>
                          <w:left w:val="nil"/>
                          <w:right w:val="nil"/>
                        </w:tcBorders>
                        <w:shd w:val="clear" w:color="auto" w:fill="FAF9F9"/>
                      </w:tcPr>
                      <w:p>
                        <w:pPr>
                          <w:pStyle w:val="TableParagraph"/>
                          <w:ind w:right="110"/>
                          <w:jc w:val="right"/>
                          <w:rPr>
                            <w:sz w:val="19"/>
                          </w:rPr>
                        </w:pPr>
                        <w:r>
                          <w:rPr>
                            <w:w w:val="95"/>
                            <w:sz w:val="19"/>
                          </w:rPr>
                          <w:t>8,443</w:t>
                        </w: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4F4F4"/>
                      </w:tcPr>
                      <w:p>
                        <w:pPr>
                          <w:pStyle w:val="TableParagraph"/>
                          <w:ind w:left="113"/>
                          <w:rPr>
                            <w:b/>
                            <w:sz w:val="19"/>
                          </w:rPr>
                        </w:pPr>
                        <w:r>
                          <w:rPr>
                            <w:b/>
                            <w:sz w:val="19"/>
                          </w:rPr>
                          <w:t>Total revenue</w:t>
                        </w:r>
                      </w:p>
                    </w:tc>
                    <w:tc>
                      <w:tcPr>
                        <w:tcW w:w="765" w:type="dxa"/>
                        <w:tcBorders>
                          <w:top w:val="single" w:sz="8" w:space="0" w:color="FFFFFF"/>
                          <w:left w:val="single" w:sz="8" w:space="0" w:color="FFFFFF"/>
                          <w:bottom w:val="single" w:sz="8" w:space="0" w:color="FFFFFF"/>
                          <w:right w:val="nil"/>
                        </w:tcBorders>
                        <w:shd w:val="clear" w:color="auto" w:fill="F4F4F4"/>
                      </w:tcPr>
                      <w:p>
                        <w:pPr>
                          <w:pStyle w:val="TableParagraph"/>
                          <w:spacing w:before="0"/>
                          <w:rPr>
                            <w:rFonts w:ascii="Times New Roman"/>
                            <w:sz w:val="18"/>
                          </w:rPr>
                        </w:pPr>
                      </w:p>
                    </w:tc>
                    <w:tc>
                      <w:tcPr>
                        <w:tcW w:w="1219" w:type="dxa"/>
                        <w:tcBorders>
                          <w:left w:val="nil"/>
                          <w:right w:val="nil"/>
                        </w:tcBorders>
                        <w:shd w:val="clear" w:color="auto" w:fill="DFE1B8"/>
                      </w:tcPr>
                      <w:p>
                        <w:pPr>
                          <w:pStyle w:val="TableParagraph"/>
                          <w:ind w:right="110"/>
                          <w:jc w:val="right"/>
                          <w:rPr>
                            <w:b/>
                            <w:sz w:val="19"/>
                          </w:rPr>
                        </w:pPr>
                        <w:r>
                          <w:rPr>
                            <w:b/>
                            <w:w w:val="95"/>
                            <w:sz w:val="19"/>
                          </w:rPr>
                          <w:t>1,072,610</w:t>
                        </w:r>
                      </w:p>
                    </w:tc>
                    <w:tc>
                      <w:tcPr>
                        <w:tcW w:w="1219" w:type="dxa"/>
                        <w:tcBorders>
                          <w:left w:val="nil"/>
                          <w:right w:val="nil"/>
                        </w:tcBorders>
                        <w:shd w:val="clear" w:color="auto" w:fill="F4F4F4"/>
                      </w:tcPr>
                      <w:p>
                        <w:pPr>
                          <w:pStyle w:val="TableParagraph"/>
                          <w:ind w:right="110"/>
                          <w:jc w:val="right"/>
                          <w:rPr>
                            <w:b/>
                            <w:sz w:val="19"/>
                          </w:rPr>
                        </w:pPr>
                        <w:r>
                          <w:rPr>
                            <w:b/>
                            <w:w w:val="95"/>
                            <w:sz w:val="19"/>
                          </w:rPr>
                          <w:t>957,679</w:t>
                        </w: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AF9F9"/>
                      </w:tcPr>
                      <w:p>
                        <w:pPr>
                          <w:pStyle w:val="TableParagraph"/>
                          <w:spacing w:before="0"/>
                          <w:rPr>
                            <w:rFonts w:ascii="Times New Roman"/>
                            <w:sz w:val="18"/>
                          </w:rPr>
                        </w:pPr>
                      </w:p>
                    </w:tc>
                    <w:tc>
                      <w:tcPr>
                        <w:tcW w:w="765" w:type="dxa"/>
                        <w:tcBorders>
                          <w:top w:val="single" w:sz="8" w:space="0" w:color="FFFFFF"/>
                          <w:left w:val="single" w:sz="8" w:space="0" w:color="FFFFFF"/>
                          <w:bottom w:val="single" w:sz="8" w:space="0" w:color="FFFFFF"/>
                          <w:right w:val="nil"/>
                        </w:tcBorders>
                        <w:shd w:val="clear" w:color="auto" w:fill="FAF9F9"/>
                      </w:tcPr>
                      <w:p>
                        <w:pPr>
                          <w:pStyle w:val="TableParagraph"/>
                          <w:spacing w:before="0"/>
                          <w:rPr>
                            <w:rFonts w:ascii="Times New Roman"/>
                            <w:sz w:val="18"/>
                          </w:rPr>
                        </w:pPr>
                      </w:p>
                    </w:tc>
                    <w:tc>
                      <w:tcPr>
                        <w:tcW w:w="1219" w:type="dxa"/>
                        <w:vMerge w:val="restart"/>
                        <w:tcBorders>
                          <w:left w:val="nil"/>
                          <w:right w:val="nil"/>
                        </w:tcBorders>
                        <w:shd w:val="clear" w:color="auto" w:fill="DFE1B8"/>
                      </w:tcPr>
                      <w:p>
                        <w:pPr>
                          <w:pStyle w:val="TableParagraph"/>
                          <w:spacing w:before="0"/>
                          <w:rPr>
                            <w:sz w:val="22"/>
                          </w:rPr>
                        </w:pPr>
                      </w:p>
                      <w:p>
                        <w:pPr>
                          <w:pStyle w:val="TableParagraph"/>
                          <w:spacing w:before="0"/>
                          <w:rPr>
                            <w:sz w:val="22"/>
                          </w:rPr>
                        </w:pPr>
                      </w:p>
                      <w:p>
                        <w:pPr>
                          <w:pStyle w:val="TableParagraph"/>
                          <w:spacing w:before="138"/>
                          <w:ind w:left="789"/>
                          <w:rPr>
                            <w:sz w:val="19"/>
                          </w:rPr>
                        </w:pPr>
                        <w:r>
                          <w:rPr>
                            <w:sz w:val="19"/>
                          </w:rPr>
                          <w:t>631</w:t>
                        </w:r>
                      </w:p>
                    </w:tc>
                    <w:tc>
                      <w:tcPr>
                        <w:tcW w:w="1219" w:type="dxa"/>
                        <w:tcBorders>
                          <w:left w:val="nil"/>
                          <w:bottom w:val="single" w:sz="8" w:space="0" w:color="FFFFFF"/>
                          <w:right w:val="nil"/>
                        </w:tcBorders>
                        <w:shd w:val="clear" w:color="auto" w:fill="FAF9F9"/>
                      </w:tcPr>
                      <w:p>
                        <w:pPr>
                          <w:pStyle w:val="TableParagraph"/>
                          <w:spacing w:before="0"/>
                          <w:rPr>
                            <w:rFonts w:ascii="Times New Roman"/>
                            <w:sz w:val="18"/>
                          </w:rPr>
                        </w:pP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4F4F4"/>
                      </w:tcPr>
                      <w:p>
                        <w:pPr>
                          <w:pStyle w:val="TableParagraph"/>
                          <w:ind w:left="113"/>
                          <w:rPr>
                            <w:i/>
                            <w:sz w:val="19"/>
                          </w:rPr>
                        </w:pPr>
                        <w:r>
                          <w:rPr>
                            <w:i/>
                            <w:color w:val="A7BE39"/>
                            <w:sz w:val="19"/>
                          </w:rPr>
                          <w:t>Gains</w:t>
                        </w:r>
                      </w:p>
                    </w:tc>
                    <w:tc>
                      <w:tcPr>
                        <w:tcW w:w="765" w:type="dxa"/>
                        <w:tcBorders>
                          <w:top w:val="single" w:sz="8" w:space="0" w:color="FFFFFF"/>
                          <w:left w:val="single" w:sz="8" w:space="0" w:color="FFFFFF"/>
                          <w:bottom w:val="single" w:sz="8" w:space="0" w:color="FFFFFF"/>
                          <w:right w:val="nil"/>
                        </w:tcBorders>
                        <w:shd w:val="clear" w:color="auto" w:fill="F4F4F4"/>
                      </w:tcPr>
                      <w:p>
                        <w:pPr>
                          <w:pStyle w:val="TableParagraph"/>
                          <w:spacing w:before="0"/>
                          <w:rPr>
                            <w:rFonts w:ascii="Times New Roman"/>
                            <w:sz w:val="18"/>
                          </w:rPr>
                        </w:pPr>
                      </w:p>
                    </w:tc>
                    <w:tc>
                      <w:tcPr>
                        <w:tcW w:w="1219" w:type="dxa"/>
                        <w:vMerge/>
                        <w:tcBorders>
                          <w:top w:val="nil"/>
                          <w:left w:val="nil"/>
                          <w:right w:val="nil"/>
                        </w:tcBorders>
                        <w:shd w:val="clear" w:color="auto" w:fill="DFE1B8"/>
                      </w:tcPr>
                      <w:p>
                        <w:pPr>
                          <w:rPr>
                            <w:sz w:val="2"/>
                            <w:szCs w:val="2"/>
                          </w:rPr>
                        </w:pPr>
                      </w:p>
                    </w:tc>
                    <w:tc>
                      <w:tcPr>
                        <w:tcW w:w="1219" w:type="dxa"/>
                        <w:tcBorders>
                          <w:top w:val="single" w:sz="8" w:space="0" w:color="FFFFFF"/>
                          <w:left w:val="nil"/>
                          <w:bottom w:val="single" w:sz="8" w:space="0" w:color="FFFFFF"/>
                          <w:right w:val="nil"/>
                        </w:tcBorders>
                        <w:shd w:val="clear" w:color="auto" w:fill="F4F4F4"/>
                      </w:tcPr>
                      <w:p>
                        <w:pPr>
                          <w:pStyle w:val="TableParagraph"/>
                          <w:spacing w:before="0"/>
                          <w:rPr>
                            <w:rFonts w:ascii="Times New Roman"/>
                            <w:sz w:val="18"/>
                          </w:rPr>
                        </w:pP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AF9F9"/>
                      </w:tcPr>
                      <w:p>
                        <w:pPr>
                          <w:pStyle w:val="TableParagraph"/>
                          <w:ind w:left="113"/>
                          <w:rPr>
                            <w:sz w:val="19"/>
                          </w:rPr>
                        </w:pPr>
                        <w:r>
                          <w:rPr>
                            <w:sz w:val="19"/>
                          </w:rPr>
                          <w:t>Gain on disposal of non-current assets</w:t>
                        </w:r>
                      </w:p>
                    </w:tc>
                    <w:tc>
                      <w:tcPr>
                        <w:tcW w:w="765" w:type="dxa"/>
                        <w:tcBorders>
                          <w:top w:val="single" w:sz="8" w:space="0" w:color="FFFFFF"/>
                          <w:left w:val="single" w:sz="8" w:space="0" w:color="FFFFFF"/>
                          <w:bottom w:val="single" w:sz="8" w:space="0" w:color="FFFFFF"/>
                          <w:right w:val="nil"/>
                        </w:tcBorders>
                        <w:shd w:val="clear" w:color="auto" w:fill="FAF9F9"/>
                      </w:tcPr>
                      <w:p>
                        <w:pPr>
                          <w:pStyle w:val="TableParagraph"/>
                          <w:ind w:left="240" w:right="246"/>
                          <w:jc w:val="center"/>
                          <w:rPr>
                            <w:sz w:val="19"/>
                          </w:rPr>
                        </w:pPr>
                        <w:hyperlink w:history="true" w:anchor="_bookmark35">
                          <w:r>
                            <w:rPr>
                              <w:color w:val="A7BE39"/>
                              <w:sz w:val="19"/>
                              <w:u w:val="single" w:color="A7BE39"/>
                            </w:rPr>
                            <w:t>15</w:t>
                          </w:r>
                        </w:hyperlink>
                      </w:p>
                    </w:tc>
                    <w:tc>
                      <w:tcPr>
                        <w:tcW w:w="1219" w:type="dxa"/>
                        <w:vMerge/>
                        <w:tcBorders>
                          <w:top w:val="nil"/>
                          <w:left w:val="nil"/>
                          <w:right w:val="nil"/>
                        </w:tcBorders>
                        <w:shd w:val="clear" w:color="auto" w:fill="DFE1B8"/>
                      </w:tcPr>
                      <w:p>
                        <w:pPr>
                          <w:rPr>
                            <w:sz w:val="2"/>
                            <w:szCs w:val="2"/>
                          </w:rPr>
                        </w:pPr>
                      </w:p>
                    </w:tc>
                    <w:tc>
                      <w:tcPr>
                        <w:tcW w:w="1219" w:type="dxa"/>
                        <w:tcBorders>
                          <w:top w:val="single" w:sz="8" w:space="0" w:color="FFFFFF"/>
                          <w:left w:val="nil"/>
                          <w:right w:val="nil"/>
                        </w:tcBorders>
                        <w:shd w:val="clear" w:color="auto" w:fill="FAF9F9"/>
                      </w:tcPr>
                      <w:p>
                        <w:pPr>
                          <w:pStyle w:val="TableParagraph"/>
                          <w:ind w:right="110"/>
                          <w:jc w:val="right"/>
                          <w:rPr>
                            <w:sz w:val="19"/>
                          </w:rPr>
                        </w:pPr>
                        <w:r>
                          <w:rPr>
                            <w:w w:val="95"/>
                            <w:sz w:val="19"/>
                          </w:rPr>
                          <w:t>666</w:t>
                        </w: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4F4F4"/>
                      </w:tcPr>
                      <w:p>
                        <w:pPr>
                          <w:pStyle w:val="TableParagraph"/>
                          <w:ind w:left="113"/>
                          <w:rPr>
                            <w:b/>
                            <w:sz w:val="19"/>
                          </w:rPr>
                        </w:pPr>
                        <w:r>
                          <w:rPr>
                            <w:b/>
                            <w:sz w:val="19"/>
                          </w:rPr>
                          <w:t>Total gains</w:t>
                        </w:r>
                      </w:p>
                    </w:tc>
                    <w:tc>
                      <w:tcPr>
                        <w:tcW w:w="765" w:type="dxa"/>
                        <w:tcBorders>
                          <w:top w:val="single" w:sz="8" w:space="0" w:color="FFFFFF"/>
                          <w:left w:val="single" w:sz="8" w:space="0" w:color="FFFFFF"/>
                          <w:bottom w:val="single" w:sz="8" w:space="0" w:color="FFFFFF"/>
                          <w:right w:val="nil"/>
                        </w:tcBorders>
                        <w:shd w:val="clear" w:color="auto" w:fill="F4F4F4"/>
                      </w:tcPr>
                      <w:p>
                        <w:pPr>
                          <w:pStyle w:val="TableParagraph"/>
                          <w:spacing w:before="0"/>
                          <w:rPr>
                            <w:rFonts w:ascii="Times New Roman"/>
                            <w:sz w:val="18"/>
                          </w:rPr>
                        </w:pPr>
                      </w:p>
                    </w:tc>
                    <w:tc>
                      <w:tcPr>
                        <w:tcW w:w="1219" w:type="dxa"/>
                        <w:tcBorders>
                          <w:left w:val="nil"/>
                          <w:right w:val="nil"/>
                        </w:tcBorders>
                        <w:shd w:val="clear" w:color="auto" w:fill="DFE1B8"/>
                      </w:tcPr>
                      <w:p>
                        <w:pPr>
                          <w:pStyle w:val="TableParagraph"/>
                          <w:ind w:right="110"/>
                          <w:jc w:val="right"/>
                          <w:rPr>
                            <w:b/>
                            <w:sz w:val="19"/>
                          </w:rPr>
                        </w:pPr>
                        <w:r>
                          <w:rPr>
                            <w:b/>
                            <w:w w:val="95"/>
                            <w:sz w:val="19"/>
                          </w:rPr>
                          <w:t>631</w:t>
                        </w:r>
                      </w:p>
                    </w:tc>
                    <w:tc>
                      <w:tcPr>
                        <w:tcW w:w="1219" w:type="dxa"/>
                        <w:tcBorders>
                          <w:left w:val="nil"/>
                          <w:right w:val="nil"/>
                        </w:tcBorders>
                        <w:shd w:val="clear" w:color="auto" w:fill="F4F4F4"/>
                      </w:tcPr>
                      <w:p>
                        <w:pPr>
                          <w:pStyle w:val="TableParagraph"/>
                          <w:ind w:right="110"/>
                          <w:jc w:val="right"/>
                          <w:rPr>
                            <w:b/>
                            <w:sz w:val="19"/>
                          </w:rPr>
                        </w:pPr>
                        <w:r>
                          <w:rPr>
                            <w:b/>
                            <w:w w:val="95"/>
                            <w:sz w:val="19"/>
                          </w:rPr>
                          <w:t>666</w:t>
                        </w:r>
                      </w:p>
                    </w:tc>
                  </w:tr>
                  <w:tr>
                    <w:trPr>
                      <w:trHeight w:val="513" w:hRule="atLeast"/>
                    </w:trPr>
                    <w:tc>
                      <w:tcPr>
                        <w:tcW w:w="4209" w:type="dxa"/>
                        <w:tcBorders>
                          <w:top w:val="single" w:sz="8" w:space="0" w:color="FFFFFF"/>
                          <w:left w:val="nil"/>
                          <w:bottom w:val="single" w:sz="8" w:space="0" w:color="FFFFFF"/>
                          <w:right w:val="single" w:sz="8" w:space="0" w:color="FFFFFF"/>
                        </w:tcBorders>
                        <w:shd w:val="clear" w:color="auto" w:fill="FAF9F9"/>
                      </w:tcPr>
                      <w:p>
                        <w:pPr>
                          <w:pStyle w:val="TableParagraph"/>
                          <w:spacing w:line="249" w:lineRule="auto"/>
                          <w:ind w:left="113" w:right="294"/>
                          <w:rPr>
                            <w:b/>
                            <w:sz w:val="19"/>
                          </w:rPr>
                        </w:pPr>
                        <w:r>
                          <w:rPr>
                            <w:b/>
                            <w:sz w:val="19"/>
                          </w:rPr>
                          <w:t>Total income other than income from State Government</w:t>
                        </w:r>
                      </w:p>
                    </w:tc>
                    <w:tc>
                      <w:tcPr>
                        <w:tcW w:w="765" w:type="dxa"/>
                        <w:tcBorders>
                          <w:top w:val="single" w:sz="8" w:space="0" w:color="FFFFFF"/>
                          <w:left w:val="single" w:sz="8" w:space="0" w:color="FFFFFF"/>
                          <w:bottom w:val="single" w:sz="8" w:space="0" w:color="FFFFFF"/>
                          <w:right w:val="nil"/>
                        </w:tcBorders>
                        <w:shd w:val="clear" w:color="auto" w:fill="FAF9F9"/>
                      </w:tcPr>
                      <w:p>
                        <w:pPr>
                          <w:pStyle w:val="TableParagraph"/>
                          <w:spacing w:before="0"/>
                          <w:rPr>
                            <w:rFonts w:ascii="Times New Roman"/>
                            <w:sz w:val="18"/>
                          </w:rPr>
                        </w:pPr>
                      </w:p>
                    </w:tc>
                    <w:tc>
                      <w:tcPr>
                        <w:tcW w:w="1219" w:type="dxa"/>
                        <w:tcBorders>
                          <w:left w:val="nil"/>
                          <w:right w:val="nil"/>
                        </w:tcBorders>
                        <w:shd w:val="clear" w:color="auto" w:fill="E1E4BB"/>
                      </w:tcPr>
                      <w:p>
                        <w:pPr>
                          <w:pStyle w:val="TableParagraph"/>
                          <w:ind w:right="110"/>
                          <w:jc w:val="right"/>
                          <w:rPr>
                            <w:b/>
                            <w:sz w:val="19"/>
                          </w:rPr>
                        </w:pPr>
                        <w:r>
                          <w:rPr>
                            <w:b/>
                            <w:w w:val="95"/>
                            <w:sz w:val="19"/>
                          </w:rPr>
                          <w:t>1,073,241</w:t>
                        </w:r>
                      </w:p>
                    </w:tc>
                    <w:tc>
                      <w:tcPr>
                        <w:tcW w:w="1219" w:type="dxa"/>
                        <w:tcBorders>
                          <w:left w:val="nil"/>
                          <w:right w:val="nil"/>
                        </w:tcBorders>
                        <w:shd w:val="clear" w:color="auto" w:fill="FAF9F9"/>
                      </w:tcPr>
                      <w:p>
                        <w:pPr>
                          <w:pStyle w:val="TableParagraph"/>
                          <w:ind w:right="110"/>
                          <w:jc w:val="right"/>
                          <w:rPr>
                            <w:b/>
                            <w:sz w:val="19"/>
                          </w:rPr>
                        </w:pPr>
                        <w:r>
                          <w:rPr>
                            <w:b/>
                            <w:w w:val="95"/>
                            <w:sz w:val="19"/>
                          </w:rPr>
                          <w:t>958,345</w:t>
                        </w:r>
                      </w:p>
                    </w:tc>
                  </w:tr>
                  <w:tr>
                    <w:trPr>
                      <w:trHeight w:val="285" w:hRule="atLeast"/>
                    </w:trPr>
                    <w:tc>
                      <w:tcPr>
                        <w:tcW w:w="4209" w:type="dxa"/>
                        <w:tcBorders>
                          <w:top w:val="single" w:sz="8" w:space="0" w:color="FFFFFF"/>
                          <w:left w:val="nil"/>
                          <w:bottom w:val="single" w:sz="8" w:space="0" w:color="FFFFFF"/>
                          <w:right w:val="single" w:sz="8" w:space="0" w:color="FFFFFF"/>
                        </w:tcBorders>
                        <w:shd w:val="clear" w:color="auto" w:fill="F4F4F4"/>
                      </w:tcPr>
                      <w:p>
                        <w:pPr>
                          <w:pStyle w:val="TableParagraph"/>
                          <w:ind w:left="113"/>
                          <w:rPr>
                            <w:b/>
                            <w:sz w:val="19"/>
                          </w:rPr>
                        </w:pPr>
                        <w:r>
                          <w:rPr>
                            <w:b/>
                            <w:sz w:val="19"/>
                          </w:rPr>
                          <w:t>NET COST OF SERVICES</w:t>
                        </w:r>
                      </w:p>
                    </w:tc>
                    <w:tc>
                      <w:tcPr>
                        <w:tcW w:w="765" w:type="dxa"/>
                        <w:tcBorders>
                          <w:top w:val="single" w:sz="8" w:space="0" w:color="FFFFFF"/>
                          <w:left w:val="single" w:sz="8" w:space="0" w:color="FFFFFF"/>
                          <w:bottom w:val="single" w:sz="8" w:space="0" w:color="FFFFFF"/>
                          <w:right w:val="nil"/>
                        </w:tcBorders>
                        <w:shd w:val="clear" w:color="auto" w:fill="F4F4F4"/>
                      </w:tcPr>
                      <w:p>
                        <w:pPr>
                          <w:pStyle w:val="TableParagraph"/>
                          <w:spacing w:before="0"/>
                          <w:rPr>
                            <w:rFonts w:ascii="Times New Roman"/>
                            <w:sz w:val="18"/>
                          </w:rPr>
                        </w:pPr>
                      </w:p>
                    </w:tc>
                    <w:tc>
                      <w:tcPr>
                        <w:tcW w:w="1219" w:type="dxa"/>
                        <w:tcBorders>
                          <w:left w:val="nil"/>
                          <w:right w:val="nil"/>
                        </w:tcBorders>
                        <w:shd w:val="clear" w:color="auto" w:fill="DFE1B8"/>
                      </w:tcPr>
                      <w:p>
                        <w:pPr>
                          <w:pStyle w:val="TableParagraph"/>
                          <w:ind w:right="110"/>
                          <w:jc w:val="right"/>
                          <w:rPr>
                            <w:b/>
                            <w:sz w:val="19"/>
                          </w:rPr>
                        </w:pPr>
                        <w:r>
                          <w:rPr>
                            <w:b/>
                            <w:w w:val="95"/>
                            <w:sz w:val="19"/>
                          </w:rPr>
                          <w:t>(169,737)</w:t>
                        </w:r>
                      </w:p>
                    </w:tc>
                    <w:tc>
                      <w:tcPr>
                        <w:tcW w:w="1219" w:type="dxa"/>
                        <w:tcBorders>
                          <w:left w:val="nil"/>
                          <w:right w:val="nil"/>
                        </w:tcBorders>
                        <w:shd w:val="clear" w:color="auto" w:fill="F4F4F4"/>
                      </w:tcPr>
                      <w:p>
                        <w:pPr>
                          <w:pStyle w:val="TableParagraph"/>
                          <w:ind w:right="110"/>
                          <w:jc w:val="right"/>
                          <w:rPr>
                            <w:b/>
                            <w:sz w:val="19"/>
                          </w:rPr>
                        </w:pPr>
                        <w:r>
                          <w:rPr>
                            <w:b/>
                            <w:w w:val="95"/>
                            <w:sz w:val="19"/>
                          </w:rPr>
                          <w:t>(224,068)</w:t>
                        </w:r>
                      </w:p>
                    </w:tc>
                  </w:tr>
                </w:tbl>
                <w:p>
                  <w:pPr>
                    <w:pStyle w:val="BodyText"/>
                  </w:pPr>
                </w:p>
              </w:txbxContent>
            </v:textbox>
            <w10:wrap type="none"/>
          </v:shape>
        </w:pict>
      </w:r>
      <w:r>
        <w:rPr>
          <w:b/>
          <w:sz w:val="19"/>
        </w:rPr>
        <w:t>OTHER COMPREHENSIVE INCOME</w:t>
      </w:r>
    </w:p>
    <w:tbl>
      <w:tblPr>
        <w:tblW w:w="0" w:type="auto"/>
        <w:jc w:val="left"/>
        <w:tblInd w:w="8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765"/>
        <w:gridCol w:w="1219"/>
        <w:gridCol w:w="1219"/>
      </w:tblGrid>
      <w:tr>
        <w:trPr>
          <w:trHeight w:val="310" w:hRule="atLeast"/>
        </w:trPr>
        <w:tc>
          <w:tcPr>
            <w:tcW w:w="7412" w:type="dxa"/>
            <w:gridSpan w:val="4"/>
            <w:shd w:val="clear" w:color="auto" w:fill="783A79"/>
          </w:tcPr>
          <w:p>
            <w:pPr>
              <w:pStyle w:val="TableParagraph"/>
              <w:spacing w:before="47"/>
              <w:ind w:left="113"/>
              <w:rPr>
                <w:b/>
                <w:sz w:val="19"/>
              </w:rPr>
            </w:pPr>
            <w:r>
              <w:rPr>
                <w:b/>
                <w:color w:val="FFFFFF"/>
                <w:sz w:val="19"/>
              </w:rPr>
              <w:t>Items not reclassified subsequently to profit or loss</w:t>
            </w:r>
          </w:p>
        </w:tc>
      </w:tr>
      <w:tr>
        <w:trPr>
          <w:trHeight w:val="295" w:hRule="atLeast"/>
        </w:trPr>
        <w:tc>
          <w:tcPr>
            <w:tcW w:w="4209" w:type="dxa"/>
            <w:tcBorders>
              <w:bottom w:val="single" w:sz="8" w:space="0" w:color="FFFFFF"/>
              <w:right w:val="single" w:sz="8" w:space="0" w:color="FFFFFF"/>
            </w:tcBorders>
            <w:shd w:val="clear" w:color="auto" w:fill="F4F4F4"/>
          </w:tcPr>
          <w:p>
            <w:pPr>
              <w:pStyle w:val="TableParagraph"/>
              <w:spacing w:before="42"/>
              <w:ind w:left="113"/>
              <w:rPr>
                <w:sz w:val="19"/>
              </w:rPr>
            </w:pPr>
            <w:r>
              <w:rPr>
                <w:sz w:val="19"/>
              </w:rPr>
              <w:t>Changes in asset revaluation surplus</w:t>
            </w:r>
          </w:p>
        </w:tc>
        <w:tc>
          <w:tcPr>
            <w:tcW w:w="765" w:type="dxa"/>
            <w:tcBorders>
              <w:left w:val="single" w:sz="8" w:space="0" w:color="FFFFFF"/>
              <w:bottom w:val="single" w:sz="8" w:space="0" w:color="FFFFFF"/>
            </w:tcBorders>
            <w:shd w:val="clear" w:color="auto" w:fill="F4F4F4"/>
          </w:tcPr>
          <w:p>
            <w:pPr>
              <w:pStyle w:val="TableParagraph"/>
              <w:spacing w:before="42"/>
              <w:ind w:left="240" w:right="246"/>
              <w:jc w:val="center"/>
              <w:rPr>
                <w:sz w:val="19"/>
              </w:rPr>
            </w:pPr>
            <w:hyperlink w:history="true" w:anchor="_bookmark51">
              <w:r>
                <w:rPr>
                  <w:color w:val="A7BE39"/>
                  <w:sz w:val="19"/>
                  <w:u w:val="single" w:color="A7BE39"/>
                </w:rPr>
                <w:t>33</w:t>
              </w:r>
            </w:hyperlink>
          </w:p>
        </w:tc>
        <w:tc>
          <w:tcPr>
            <w:tcW w:w="1219" w:type="dxa"/>
            <w:tcBorders>
              <w:bottom w:val="single" w:sz="4" w:space="0" w:color="000000"/>
            </w:tcBorders>
            <w:shd w:val="clear" w:color="auto" w:fill="DFE1B8"/>
          </w:tcPr>
          <w:p>
            <w:pPr>
              <w:pStyle w:val="TableParagraph"/>
              <w:spacing w:before="42"/>
              <w:ind w:right="110"/>
              <w:jc w:val="right"/>
              <w:rPr>
                <w:sz w:val="19"/>
              </w:rPr>
            </w:pPr>
            <w:r>
              <w:rPr>
                <w:w w:val="111"/>
                <w:sz w:val="19"/>
              </w:rPr>
              <w:t>-</w:t>
            </w:r>
          </w:p>
        </w:tc>
        <w:tc>
          <w:tcPr>
            <w:tcW w:w="1219" w:type="dxa"/>
            <w:tcBorders>
              <w:bottom w:val="single" w:sz="4" w:space="0" w:color="000000"/>
            </w:tcBorders>
            <w:shd w:val="clear" w:color="auto" w:fill="F4F4F4"/>
          </w:tcPr>
          <w:p>
            <w:pPr>
              <w:pStyle w:val="TableParagraph"/>
              <w:spacing w:before="42"/>
              <w:ind w:right="110"/>
              <w:jc w:val="right"/>
              <w:rPr>
                <w:sz w:val="19"/>
              </w:rPr>
            </w:pPr>
            <w:r>
              <w:rPr>
                <w:w w:val="95"/>
                <w:sz w:val="19"/>
              </w:rPr>
              <w:t>(18,665)</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AF9F9"/>
          </w:tcPr>
          <w:p>
            <w:pPr>
              <w:pStyle w:val="TableParagraph"/>
              <w:ind w:left="113"/>
              <w:rPr>
                <w:b/>
                <w:sz w:val="19"/>
              </w:rPr>
            </w:pPr>
            <w:r>
              <w:rPr>
                <w:b/>
                <w:sz w:val="19"/>
              </w:rPr>
              <w:t>Total other comprehensive income</w:t>
            </w:r>
          </w:p>
        </w:tc>
        <w:tc>
          <w:tcPr>
            <w:tcW w:w="765"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19" w:type="dxa"/>
            <w:tcBorders>
              <w:top w:val="single" w:sz="4" w:space="0" w:color="000000"/>
              <w:bottom w:val="single" w:sz="4" w:space="0" w:color="000000"/>
            </w:tcBorders>
            <w:shd w:val="clear" w:color="auto" w:fill="E1E4BB"/>
          </w:tcPr>
          <w:p>
            <w:pPr>
              <w:pStyle w:val="TableParagraph"/>
              <w:ind w:right="110"/>
              <w:jc w:val="right"/>
              <w:rPr>
                <w:b/>
                <w:sz w:val="19"/>
              </w:rPr>
            </w:pPr>
            <w:r>
              <w:rPr>
                <w:b/>
                <w:w w:val="122"/>
                <w:sz w:val="19"/>
              </w:rPr>
              <w:t>-</w:t>
            </w:r>
          </w:p>
        </w:tc>
        <w:tc>
          <w:tcPr>
            <w:tcW w:w="1219" w:type="dxa"/>
            <w:tcBorders>
              <w:top w:val="single" w:sz="4" w:space="0" w:color="000000"/>
              <w:bottom w:val="single" w:sz="4" w:space="0" w:color="000000"/>
            </w:tcBorders>
            <w:shd w:val="clear" w:color="auto" w:fill="FAF9F9"/>
          </w:tcPr>
          <w:p>
            <w:pPr>
              <w:pStyle w:val="TableParagraph"/>
              <w:ind w:right="110"/>
              <w:jc w:val="right"/>
              <w:rPr>
                <w:b/>
                <w:sz w:val="19"/>
              </w:rPr>
            </w:pPr>
            <w:r>
              <w:rPr>
                <w:b/>
                <w:w w:val="95"/>
                <w:sz w:val="19"/>
              </w:rPr>
              <w:t>(18,665)</w:t>
            </w:r>
          </w:p>
        </w:tc>
      </w:tr>
      <w:tr>
        <w:trPr>
          <w:trHeight w:val="49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line="220" w:lineRule="atLeast" w:before="31"/>
              <w:ind w:left="113" w:right="899"/>
              <w:rPr>
                <w:b/>
                <w:sz w:val="19"/>
              </w:rPr>
            </w:pPr>
            <w:r>
              <w:rPr>
                <w:b/>
                <w:sz w:val="19"/>
              </w:rPr>
              <w:t>TOTAL COMPREHENSIVE INCOME FOR THE PERIOD</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tcBorders>
              <w:top w:val="single" w:sz="4" w:space="0" w:color="000000"/>
              <w:bottom w:val="single" w:sz="24" w:space="0" w:color="FFFFFF"/>
            </w:tcBorders>
            <w:shd w:val="clear" w:color="auto" w:fill="DFE1B8"/>
          </w:tcPr>
          <w:p>
            <w:pPr>
              <w:pStyle w:val="TableParagraph"/>
              <w:ind w:right="110"/>
              <w:jc w:val="right"/>
              <w:rPr>
                <w:b/>
                <w:sz w:val="19"/>
              </w:rPr>
            </w:pPr>
            <w:r>
              <w:rPr>
                <w:b/>
                <w:w w:val="95"/>
                <w:sz w:val="19"/>
              </w:rPr>
              <w:t>10,841</w:t>
            </w:r>
          </w:p>
        </w:tc>
        <w:tc>
          <w:tcPr>
            <w:tcW w:w="1219" w:type="dxa"/>
            <w:tcBorders>
              <w:top w:val="single" w:sz="4" w:space="0" w:color="000000"/>
              <w:bottom w:val="single" w:sz="24" w:space="0" w:color="FFFFFF"/>
            </w:tcBorders>
            <w:shd w:val="clear" w:color="auto" w:fill="F4F4F4"/>
          </w:tcPr>
          <w:p>
            <w:pPr>
              <w:pStyle w:val="TableParagraph"/>
              <w:ind w:right="110"/>
              <w:jc w:val="right"/>
              <w:rPr>
                <w:b/>
                <w:sz w:val="19"/>
              </w:rPr>
            </w:pPr>
            <w:r>
              <w:rPr>
                <w:b/>
                <w:w w:val="95"/>
                <w:sz w:val="19"/>
              </w:rPr>
              <w:t>(39,156)</w:t>
            </w:r>
          </w:p>
        </w:tc>
      </w:tr>
    </w:tbl>
    <w:p>
      <w:pPr>
        <w:pStyle w:val="BodyText"/>
        <w:rPr>
          <w:b/>
        </w:rPr>
      </w:pPr>
    </w:p>
    <w:p>
      <w:pPr>
        <w:spacing w:before="0"/>
        <w:ind w:left="8636" w:right="0" w:firstLine="0"/>
        <w:jc w:val="left"/>
        <w:rPr>
          <w:sz w:val="19"/>
        </w:rPr>
      </w:pPr>
      <w:r>
        <w:rPr>
          <w:sz w:val="19"/>
        </w:rPr>
        <w:t>See also ‘</w:t>
      </w:r>
      <w:hyperlink w:history="true" w:anchor="_bookmark24">
        <w:r>
          <w:rPr>
            <w:color w:val="A7BE39"/>
            <w:sz w:val="19"/>
            <w:u w:val="single" w:color="A7BE39"/>
          </w:rPr>
          <w:t>Schedule of Income and Expenses by Service</w:t>
        </w:r>
      </w:hyperlink>
      <w:r>
        <w:rPr>
          <w:sz w:val="19"/>
        </w:rPr>
        <w:t>’.</w:t>
      </w:r>
    </w:p>
    <w:p>
      <w:pPr>
        <w:pStyle w:val="BodyText"/>
        <w:spacing w:before="8"/>
        <w:rPr>
          <w:sz w:val="20"/>
        </w:rPr>
      </w:pPr>
    </w:p>
    <w:p>
      <w:pPr>
        <w:spacing w:line="249" w:lineRule="auto" w:before="0"/>
        <w:ind w:left="8636" w:right="1947" w:firstLine="0"/>
        <w:jc w:val="left"/>
        <w:rPr>
          <w:sz w:val="19"/>
        </w:rPr>
      </w:pPr>
      <w:r>
        <w:rPr>
          <w:sz w:val="19"/>
        </w:rPr>
        <w:t>The</w:t>
      </w:r>
      <w:r>
        <w:rPr>
          <w:spacing w:val="-18"/>
          <w:sz w:val="19"/>
        </w:rPr>
        <w:t> </w:t>
      </w:r>
      <w:r>
        <w:rPr>
          <w:sz w:val="19"/>
        </w:rPr>
        <w:t>Statement</w:t>
      </w:r>
      <w:r>
        <w:rPr>
          <w:spacing w:val="-18"/>
          <w:sz w:val="19"/>
        </w:rPr>
        <w:t> </w:t>
      </w:r>
      <w:r>
        <w:rPr>
          <w:sz w:val="19"/>
        </w:rPr>
        <w:t>of</w:t>
      </w:r>
      <w:r>
        <w:rPr>
          <w:spacing w:val="-18"/>
          <w:sz w:val="19"/>
        </w:rPr>
        <w:t> </w:t>
      </w:r>
      <w:r>
        <w:rPr>
          <w:sz w:val="19"/>
        </w:rPr>
        <w:t>Comprehensive</w:t>
      </w:r>
      <w:r>
        <w:rPr>
          <w:spacing w:val="-18"/>
          <w:sz w:val="19"/>
        </w:rPr>
        <w:t> </w:t>
      </w:r>
      <w:r>
        <w:rPr>
          <w:sz w:val="19"/>
        </w:rPr>
        <w:t>Income</w:t>
      </w:r>
      <w:r>
        <w:rPr>
          <w:spacing w:val="-18"/>
          <w:sz w:val="19"/>
        </w:rPr>
        <w:t> </w:t>
      </w:r>
      <w:r>
        <w:rPr>
          <w:sz w:val="19"/>
        </w:rPr>
        <w:t>should</w:t>
      </w:r>
      <w:r>
        <w:rPr>
          <w:spacing w:val="-18"/>
          <w:sz w:val="19"/>
        </w:rPr>
        <w:t> </w:t>
      </w:r>
      <w:r>
        <w:rPr>
          <w:sz w:val="19"/>
        </w:rPr>
        <w:t>be</w:t>
      </w:r>
      <w:r>
        <w:rPr>
          <w:spacing w:val="-18"/>
          <w:sz w:val="19"/>
        </w:rPr>
        <w:t> </w:t>
      </w:r>
      <w:r>
        <w:rPr>
          <w:sz w:val="19"/>
        </w:rPr>
        <w:t>read</w:t>
      </w:r>
      <w:r>
        <w:rPr>
          <w:spacing w:val="-17"/>
          <w:sz w:val="19"/>
        </w:rPr>
        <w:t> </w:t>
      </w:r>
      <w:r>
        <w:rPr>
          <w:sz w:val="19"/>
        </w:rPr>
        <w:t>in</w:t>
      </w:r>
      <w:r>
        <w:rPr>
          <w:spacing w:val="-18"/>
          <w:sz w:val="19"/>
        </w:rPr>
        <w:t> </w:t>
      </w:r>
      <w:r>
        <w:rPr>
          <w:sz w:val="19"/>
        </w:rPr>
        <w:t>conjunction</w:t>
      </w:r>
      <w:r>
        <w:rPr>
          <w:spacing w:val="-18"/>
          <w:sz w:val="19"/>
        </w:rPr>
        <w:t> </w:t>
      </w:r>
      <w:r>
        <w:rPr>
          <w:spacing w:val="-4"/>
          <w:sz w:val="19"/>
        </w:rPr>
        <w:t>with </w:t>
      </w:r>
      <w:r>
        <w:rPr>
          <w:sz w:val="19"/>
        </w:rPr>
        <w:t>the accompanying</w:t>
      </w:r>
      <w:r>
        <w:rPr>
          <w:spacing w:val="-2"/>
          <w:sz w:val="19"/>
        </w:rPr>
        <w:t> </w:t>
      </w:r>
      <w:r>
        <w:rPr>
          <w:sz w:val="19"/>
        </w:rPr>
        <w:t>notes.</w:t>
      </w:r>
    </w:p>
    <w:p>
      <w:pPr>
        <w:spacing w:after="0" w:line="249" w:lineRule="auto"/>
        <w:jc w:val="left"/>
        <w:rPr>
          <w:sz w:val="19"/>
        </w:rPr>
        <w:sectPr>
          <w:type w:val="continuous"/>
          <w:pgSz w:w="16840" w:h="11910" w:orient="landscape"/>
          <w:pgMar w:top="0" w:bottom="0" w:left="0" w:right="0"/>
        </w:sectPr>
      </w:pPr>
    </w:p>
    <w:p>
      <w:pPr>
        <w:pStyle w:val="BodyText"/>
        <w:ind w:left="2397"/>
        <w:rPr>
          <w:sz w:val="20"/>
        </w:rPr>
      </w:pPr>
      <w:bookmarkStart w:name="_bookmark21" w:id="22"/>
      <w:bookmarkEnd w:id="22"/>
      <w:r>
        <w:rPr/>
      </w: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rPr>
          <w:sz w:val="20"/>
        </w:rPr>
      </w:pPr>
    </w:p>
    <w:p>
      <w:pPr>
        <w:pStyle w:val="BodyText"/>
        <w:spacing w:before="8"/>
        <w:rPr>
          <w:sz w:val="20"/>
        </w:rPr>
      </w:pPr>
    </w:p>
    <w:p>
      <w:pPr>
        <w:pStyle w:val="Heading2"/>
        <w:spacing w:before="95"/>
      </w:pPr>
      <w:r>
        <w:rPr/>
        <w:pict>
          <v:group style="position:absolute;margin-left:763.172119pt;margin-top:-13.891722pt;width:61.1pt;height:45.2pt;mso-position-horizontal-relative:page;mso-position-vertical-relative:paragraph;z-index:10096" coordorigin="15263,-278" coordsize="1222,904">
            <v:shape style="position:absolute;left:15424;top:-278;width:900;height:904" coordorigin="15424,-278" coordsize="900,904" path="m15874,-278l15424,172,15424,175,15874,625,16324,175,16324,172,15874,-278xe" filled="true" fillcolor="#c4cd71" stroked="false">
              <v:path arrowok="t"/>
              <v:fill type="solid"/>
            </v:shape>
            <v:shape style="position:absolute;left:15422;top:172;width:2;height:4" coordorigin="15423,172" coordsize="2,4" path="m15424,172l15423,174,15424,175,15424,172xe" filled="true" fillcolor="#b9c369" stroked="false">
              <v:path arrowok="t"/>
              <v:fill type="solid"/>
            </v:shape>
            <v:shape style="position:absolute;left:16324;top:172;width:2;height:4" coordorigin="16324,172" coordsize="2,4" path="m16324,172l16324,175,16326,174,16324,172xe" filled="true" fillcolor="#bec29e" stroked="false">
              <v:path arrowok="t"/>
              <v:fill type="solid"/>
            </v:shape>
            <v:shape style="position:absolute;left:15263;top:12;width:161;height:322" type="#_x0000_t75" stroked="false">
              <v:imagedata r:id="rId16" o:title=""/>
            </v:shape>
            <v:shape style="position:absolute;left:16324;top:12;width:161;height:322" type="#_x0000_t75" stroked="false">
              <v:imagedata r:id="rId11" o:title=""/>
            </v:shape>
            <v:shape style="position:absolute;left:15263;top:-278;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67.671722pt;width:120.3pt;height:42.55pt;mso-position-horizontal-relative:page;mso-position-vertical-relative:paragraph;z-index:10144" coordorigin="0,-1353" coordsize="2406,851">
            <v:rect style="position:absolute;left:0;top:-1354;width:2406;height:851" filled="true" fillcolor="#aebd37" stroked="false">
              <v:fill type="solid"/>
            </v:rect>
            <v:shape style="position:absolute;left:0;top:-1354;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67.671722pt;width:360.85pt;height:42.55pt;mso-position-horizontal-relative:page;mso-position-vertical-relative:paragraph;z-index:10240" coordorigin="9622,-1353" coordsize="7217,851">
            <v:rect style="position:absolute;left:14432;top:-1354;width:2406;height:851" filled="true" fillcolor="#aebd37" stroked="false">
              <v:fill type="solid"/>
            </v:rect>
            <v:shape style="position:absolute;left:14432;top:-1354;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54;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354;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rPr>
        <w:t>Statement of Financial Position</w:t>
      </w:r>
    </w:p>
    <w:p>
      <w:pPr>
        <w:pStyle w:val="Heading4"/>
        <w:spacing w:before="28"/>
      </w:pPr>
      <w:r>
        <w:rPr>
          <w:color w:val="A7BE39"/>
        </w:rPr>
        <w:t>As at 30 June 2017</w:t>
      </w:r>
    </w:p>
    <w:p>
      <w:pPr>
        <w:spacing w:after="0"/>
        <w:sectPr>
          <w:footerReference w:type="default" r:id="rId182"/>
          <w:pgSz w:w="16840" w:h="11910" w:orient="landscape"/>
          <w:pgMar w:footer="0" w:header="0" w:top="0" w:bottom="280" w:left="0" w:right="0"/>
        </w:sectPr>
      </w:pPr>
    </w:p>
    <w:p>
      <w:pPr>
        <w:tabs>
          <w:tab w:pos="1704" w:val="right" w:leader="none"/>
        </w:tabs>
        <w:spacing w:before="126"/>
        <w:ind w:left="0" w:right="0" w:firstLine="0"/>
        <w:jc w:val="right"/>
        <w:rPr>
          <w:b/>
          <w:sz w:val="19"/>
        </w:rPr>
      </w:pPr>
      <w:r>
        <w:rPr>
          <w:b/>
          <w:sz w:val="19"/>
        </w:rPr>
        <w:t>Note</w:t>
        <w:tab/>
        <w:t>2017</w:t>
      </w:r>
    </w:p>
    <w:p>
      <w:pPr>
        <w:spacing w:before="10"/>
        <w:ind w:left="0" w:right="0" w:firstLine="0"/>
        <w:jc w:val="right"/>
        <w:rPr>
          <w:b/>
          <w:sz w:val="19"/>
        </w:rPr>
      </w:pPr>
      <w:r>
        <w:rPr/>
        <w:pict>
          <v:shape style="position:absolute;margin-left:38.268002pt;margin-top:12.845889pt;width:370.65pt;height:308.6pt;mso-position-horizontal-relative:page;mso-position-vertical-relative:paragraph;z-index:10264"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209"/>
                    <w:gridCol w:w="765"/>
                    <w:gridCol w:w="1219"/>
                    <w:gridCol w:w="1219"/>
                  </w:tblGrid>
                  <w:tr>
                    <w:trPr>
                      <w:trHeight w:val="310" w:hRule="atLeast"/>
                    </w:trPr>
                    <w:tc>
                      <w:tcPr>
                        <w:tcW w:w="7412" w:type="dxa"/>
                        <w:gridSpan w:val="4"/>
                        <w:tcBorders>
                          <w:top w:val="nil"/>
                          <w:left w:val="nil"/>
                          <w:bottom w:val="nil"/>
                          <w:right w:val="nil"/>
                        </w:tcBorders>
                        <w:shd w:val="clear" w:color="auto" w:fill="783A79"/>
                      </w:tcPr>
                      <w:p>
                        <w:pPr>
                          <w:pStyle w:val="TableParagraph"/>
                          <w:spacing w:before="47"/>
                          <w:ind w:left="113"/>
                          <w:rPr>
                            <w:b/>
                            <w:sz w:val="19"/>
                          </w:rPr>
                        </w:pPr>
                        <w:r>
                          <w:rPr>
                            <w:b/>
                            <w:color w:val="FFFFFF"/>
                            <w:sz w:val="19"/>
                          </w:rPr>
                          <w:t>Assets</w:t>
                        </w:r>
                      </w:p>
                    </w:tc>
                  </w:tr>
                  <w:tr>
                    <w:trPr>
                      <w:trHeight w:val="317" w:hRule="atLeast"/>
                    </w:trPr>
                    <w:tc>
                      <w:tcPr>
                        <w:tcW w:w="4209" w:type="dxa"/>
                        <w:tcBorders>
                          <w:top w:val="nil"/>
                          <w:left w:val="nil"/>
                        </w:tcBorders>
                        <w:shd w:val="clear" w:color="auto" w:fill="F4F4F4"/>
                      </w:tcPr>
                      <w:p>
                        <w:pPr>
                          <w:pStyle w:val="TableParagraph"/>
                          <w:spacing w:before="42"/>
                          <w:ind w:left="113"/>
                          <w:rPr>
                            <w:i/>
                            <w:sz w:val="19"/>
                          </w:rPr>
                        </w:pPr>
                        <w:r>
                          <w:rPr>
                            <w:i/>
                            <w:color w:val="A7BE39"/>
                            <w:sz w:val="19"/>
                          </w:rPr>
                          <w:t>Current assets</w:t>
                        </w:r>
                      </w:p>
                    </w:tc>
                    <w:tc>
                      <w:tcPr>
                        <w:tcW w:w="765" w:type="dxa"/>
                        <w:tcBorders>
                          <w:top w:val="nil"/>
                          <w:right w:val="nil"/>
                        </w:tcBorders>
                        <w:shd w:val="clear" w:color="auto" w:fill="F4F4F4"/>
                      </w:tcPr>
                      <w:p>
                        <w:pPr>
                          <w:pStyle w:val="TableParagraph"/>
                          <w:spacing w:before="0"/>
                          <w:rPr>
                            <w:rFonts w:ascii="Times New Roman"/>
                            <w:sz w:val="18"/>
                          </w:rPr>
                        </w:pPr>
                      </w:p>
                    </w:tc>
                    <w:tc>
                      <w:tcPr>
                        <w:tcW w:w="1219" w:type="dxa"/>
                        <w:tcBorders>
                          <w:top w:val="nil"/>
                          <w:left w:val="nil"/>
                          <w:bottom w:val="nil"/>
                          <w:right w:val="nil"/>
                        </w:tcBorders>
                        <w:shd w:val="clear" w:color="auto" w:fill="E1E4BB"/>
                      </w:tcPr>
                      <w:p>
                        <w:pPr>
                          <w:pStyle w:val="TableParagraph"/>
                          <w:spacing w:before="0"/>
                          <w:rPr>
                            <w:rFonts w:ascii="Times New Roman"/>
                            <w:sz w:val="18"/>
                          </w:rPr>
                        </w:pPr>
                      </w:p>
                    </w:tc>
                    <w:tc>
                      <w:tcPr>
                        <w:tcW w:w="1219" w:type="dxa"/>
                        <w:tcBorders>
                          <w:top w:val="nil"/>
                          <w:left w:val="nil"/>
                          <w:right w:val="nil"/>
                        </w:tcBorders>
                        <w:shd w:val="clear" w:color="auto" w:fill="F4F4F4"/>
                      </w:tcPr>
                      <w:p>
                        <w:pPr>
                          <w:pStyle w:val="TableParagraph"/>
                          <w:spacing w:before="0"/>
                          <w:rPr>
                            <w:rFonts w:ascii="Times New Roman"/>
                            <w:sz w:val="18"/>
                          </w:rPr>
                        </w:pPr>
                      </w:p>
                    </w:tc>
                  </w:tr>
                  <w:tr>
                    <w:trPr>
                      <w:trHeight w:val="285" w:hRule="atLeast"/>
                    </w:trPr>
                    <w:tc>
                      <w:tcPr>
                        <w:tcW w:w="4209" w:type="dxa"/>
                        <w:tcBorders>
                          <w:left w:val="nil"/>
                        </w:tcBorders>
                        <w:shd w:val="clear" w:color="auto" w:fill="FAF9F9"/>
                      </w:tcPr>
                      <w:p>
                        <w:pPr>
                          <w:pStyle w:val="TableParagraph"/>
                          <w:ind w:left="113"/>
                          <w:rPr>
                            <w:sz w:val="19"/>
                          </w:rPr>
                        </w:pPr>
                        <w:r>
                          <w:rPr>
                            <w:sz w:val="19"/>
                          </w:rPr>
                          <w:t>Cash and cash equivalents</w:t>
                        </w:r>
                      </w:p>
                    </w:tc>
                    <w:tc>
                      <w:tcPr>
                        <w:tcW w:w="765" w:type="dxa"/>
                        <w:tcBorders>
                          <w:right w:val="nil"/>
                        </w:tcBorders>
                        <w:shd w:val="clear" w:color="auto" w:fill="FAF9F9"/>
                      </w:tcPr>
                      <w:p>
                        <w:pPr>
                          <w:pStyle w:val="TableParagraph"/>
                          <w:ind w:left="240" w:right="246"/>
                          <w:jc w:val="center"/>
                          <w:rPr>
                            <w:sz w:val="19"/>
                          </w:rPr>
                        </w:pPr>
                        <w:hyperlink w:history="true" w:anchor="_bookmark38">
                          <w:r>
                            <w:rPr>
                              <w:color w:val="A7BE39"/>
                              <w:sz w:val="19"/>
                              <w:u w:val="single" w:color="A7BE39"/>
                            </w:rPr>
                            <w:t>18</w:t>
                          </w:r>
                        </w:hyperlink>
                      </w:p>
                    </w:tc>
                    <w:tc>
                      <w:tcPr>
                        <w:tcW w:w="1219" w:type="dxa"/>
                        <w:tcBorders>
                          <w:top w:val="nil"/>
                          <w:left w:val="nil"/>
                          <w:bottom w:val="nil"/>
                          <w:right w:val="nil"/>
                        </w:tcBorders>
                        <w:shd w:val="clear" w:color="auto" w:fill="E1E4BB"/>
                      </w:tcPr>
                      <w:p>
                        <w:pPr>
                          <w:pStyle w:val="TableParagraph"/>
                          <w:ind w:right="110"/>
                          <w:jc w:val="right"/>
                          <w:rPr>
                            <w:sz w:val="19"/>
                          </w:rPr>
                        </w:pPr>
                        <w:r>
                          <w:rPr>
                            <w:w w:val="95"/>
                            <w:sz w:val="19"/>
                          </w:rPr>
                          <w:t>70,618</w:t>
                        </w:r>
                      </w:p>
                    </w:tc>
                    <w:tc>
                      <w:tcPr>
                        <w:tcW w:w="1219" w:type="dxa"/>
                        <w:tcBorders>
                          <w:left w:val="nil"/>
                          <w:right w:val="nil"/>
                        </w:tcBorders>
                        <w:shd w:val="clear" w:color="auto" w:fill="FAF9F9"/>
                      </w:tcPr>
                      <w:p>
                        <w:pPr>
                          <w:pStyle w:val="TableParagraph"/>
                          <w:ind w:right="110"/>
                          <w:jc w:val="right"/>
                          <w:rPr>
                            <w:sz w:val="19"/>
                          </w:rPr>
                        </w:pPr>
                        <w:r>
                          <w:rPr>
                            <w:w w:val="95"/>
                            <w:sz w:val="19"/>
                          </w:rPr>
                          <w:t>85,247</w:t>
                        </w:r>
                      </w:p>
                    </w:tc>
                  </w:tr>
                  <w:tr>
                    <w:trPr>
                      <w:trHeight w:val="285" w:hRule="atLeast"/>
                    </w:trPr>
                    <w:tc>
                      <w:tcPr>
                        <w:tcW w:w="4209" w:type="dxa"/>
                        <w:tcBorders>
                          <w:left w:val="nil"/>
                        </w:tcBorders>
                        <w:shd w:val="clear" w:color="auto" w:fill="F4F4F4"/>
                      </w:tcPr>
                      <w:p>
                        <w:pPr>
                          <w:pStyle w:val="TableParagraph"/>
                          <w:ind w:left="113"/>
                          <w:rPr>
                            <w:sz w:val="19"/>
                          </w:rPr>
                        </w:pPr>
                        <w:r>
                          <w:rPr>
                            <w:sz w:val="19"/>
                          </w:rPr>
                          <w:t>Restricted cash and cash equivalents</w:t>
                        </w:r>
                      </w:p>
                    </w:tc>
                    <w:tc>
                      <w:tcPr>
                        <w:tcW w:w="765" w:type="dxa"/>
                        <w:tcBorders>
                          <w:right w:val="nil"/>
                        </w:tcBorders>
                        <w:shd w:val="clear" w:color="auto" w:fill="F4F4F4"/>
                      </w:tcPr>
                      <w:p>
                        <w:pPr>
                          <w:pStyle w:val="TableParagraph"/>
                          <w:ind w:left="240" w:right="246"/>
                          <w:jc w:val="center"/>
                          <w:rPr>
                            <w:sz w:val="19"/>
                          </w:rPr>
                        </w:pPr>
                        <w:hyperlink w:history="true" w:anchor="_bookmark39">
                          <w:r>
                            <w:rPr>
                              <w:color w:val="A7BE39"/>
                              <w:sz w:val="19"/>
                              <w:u w:val="single" w:color="A7BE39"/>
                            </w:rPr>
                            <w:t>19</w:t>
                          </w:r>
                        </w:hyperlink>
                      </w:p>
                    </w:tc>
                    <w:tc>
                      <w:tcPr>
                        <w:tcW w:w="1219" w:type="dxa"/>
                        <w:tcBorders>
                          <w:top w:val="nil"/>
                          <w:left w:val="nil"/>
                          <w:bottom w:val="nil"/>
                          <w:right w:val="nil"/>
                        </w:tcBorders>
                        <w:shd w:val="clear" w:color="auto" w:fill="E1E4BB"/>
                      </w:tcPr>
                      <w:p>
                        <w:pPr>
                          <w:pStyle w:val="TableParagraph"/>
                          <w:ind w:right="110"/>
                          <w:jc w:val="right"/>
                          <w:rPr>
                            <w:sz w:val="19"/>
                          </w:rPr>
                        </w:pPr>
                        <w:r>
                          <w:rPr>
                            <w:w w:val="95"/>
                            <w:sz w:val="19"/>
                          </w:rPr>
                          <w:t>3,171</w:t>
                        </w:r>
                      </w:p>
                    </w:tc>
                    <w:tc>
                      <w:tcPr>
                        <w:tcW w:w="1219" w:type="dxa"/>
                        <w:tcBorders>
                          <w:left w:val="nil"/>
                          <w:right w:val="nil"/>
                        </w:tcBorders>
                        <w:shd w:val="clear" w:color="auto" w:fill="F4F4F4"/>
                      </w:tcPr>
                      <w:p>
                        <w:pPr>
                          <w:pStyle w:val="TableParagraph"/>
                          <w:ind w:right="110"/>
                          <w:jc w:val="right"/>
                          <w:rPr>
                            <w:sz w:val="19"/>
                          </w:rPr>
                        </w:pPr>
                        <w:r>
                          <w:rPr>
                            <w:w w:val="95"/>
                            <w:sz w:val="19"/>
                          </w:rPr>
                          <w:t>12,983</w:t>
                        </w:r>
                      </w:p>
                    </w:tc>
                  </w:tr>
                  <w:tr>
                    <w:trPr>
                      <w:trHeight w:val="285" w:hRule="atLeast"/>
                    </w:trPr>
                    <w:tc>
                      <w:tcPr>
                        <w:tcW w:w="4209" w:type="dxa"/>
                        <w:tcBorders>
                          <w:left w:val="nil"/>
                        </w:tcBorders>
                        <w:shd w:val="clear" w:color="auto" w:fill="FAF9F9"/>
                      </w:tcPr>
                      <w:p>
                        <w:pPr>
                          <w:pStyle w:val="TableParagraph"/>
                          <w:ind w:left="113"/>
                          <w:rPr>
                            <w:sz w:val="19"/>
                          </w:rPr>
                        </w:pPr>
                        <w:r>
                          <w:rPr>
                            <w:sz w:val="19"/>
                          </w:rPr>
                          <w:t>Receivables</w:t>
                        </w:r>
                      </w:p>
                    </w:tc>
                    <w:tc>
                      <w:tcPr>
                        <w:tcW w:w="765" w:type="dxa"/>
                        <w:tcBorders>
                          <w:right w:val="nil"/>
                        </w:tcBorders>
                        <w:shd w:val="clear" w:color="auto" w:fill="FAF9F9"/>
                      </w:tcPr>
                      <w:p>
                        <w:pPr>
                          <w:pStyle w:val="TableParagraph"/>
                          <w:ind w:left="240" w:right="246"/>
                          <w:jc w:val="center"/>
                          <w:rPr>
                            <w:sz w:val="19"/>
                          </w:rPr>
                        </w:pPr>
                        <w:hyperlink w:history="true" w:anchor="_bookmark40">
                          <w:r>
                            <w:rPr>
                              <w:color w:val="A7BE39"/>
                              <w:sz w:val="19"/>
                              <w:u w:val="single" w:color="A7BE39"/>
                            </w:rPr>
                            <w:t>20</w:t>
                          </w:r>
                        </w:hyperlink>
                      </w:p>
                    </w:tc>
                    <w:tc>
                      <w:tcPr>
                        <w:tcW w:w="1219" w:type="dxa"/>
                        <w:tcBorders>
                          <w:top w:val="nil"/>
                          <w:left w:val="nil"/>
                          <w:bottom w:val="nil"/>
                          <w:right w:val="nil"/>
                        </w:tcBorders>
                        <w:shd w:val="clear" w:color="auto" w:fill="E1E4BB"/>
                      </w:tcPr>
                      <w:p>
                        <w:pPr>
                          <w:pStyle w:val="TableParagraph"/>
                          <w:ind w:right="110"/>
                          <w:jc w:val="right"/>
                          <w:rPr>
                            <w:sz w:val="19"/>
                          </w:rPr>
                        </w:pPr>
                        <w:r>
                          <w:rPr>
                            <w:w w:val="95"/>
                            <w:sz w:val="19"/>
                          </w:rPr>
                          <w:t>176,431</w:t>
                        </w:r>
                      </w:p>
                    </w:tc>
                    <w:tc>
                      <w:tcPr>
                        <w:tcW w:w="1219" w:type="dxa"/>
                        <w:tcBorders>
                          <w:left w:val="nil"/>
                          <w:right w:val="nil"/>
                        </w:tcBorders>
                        <w:shd w:val="clear" w:color="auto" w:fill="FAF9F9"/>
                      </w:tcPr>
                      <w:p>
                        <w:pPr>
                          <w:pStyle w:val="TableParagraph"/>
                          <w:ind w:right="110"/>
                          <w:jc w:val="right"/>
                          <w:rPr>
                            <w:sz w:val="19"/>
                          </w:rPr>
                        </w:pPr>
                        <w:r>
                          <w:rPr>
                            <w:w w:val="95"/>
                            <w:sz w:val="19"/>
                          </w:rPr>
                          <w:t>294,710</w:t>
                        </w:r>
                      </w:p>
                    </w:tc>
                  </w:tr>
                  <w:tr>
                    <w:trPr>
                      <w:trHeight w:val="285" w:hRule="atLeast"/>
                    </w:trPr>
                    <w:tc>
                      <w:tcPr>
                        <w:tcW w:w="4209" w:type="dxa"/>
                        <w:tcBorders>
                          <w:left w:val="nil"/>
                        </w:tcBorders>
                        <w:shd w:val="clear" w:color="auto" w:fill="F4F4F4"/>
                      </w:tcPr>
                      <w:p>
                        <w:pPr>
                          <w:pStyle w:val="TableParagraph"/>
                          <w:ind w:left="113"/>
                          <w:rPr>
                            <w:sz w:val="19"/>
                          </w:rPr>
                        </w:pPr>
                        <w:r>
                          <w:rPr>
                            <w:sz w:val="19"/>
                          </w:rPr>
                          <w:t>Finance lease receivables</w:t>
                        </w:r>
                      </w:p>
                    </w:tc>
                    <w:tc>
                      <w:tcPr>
                        <w:tcW w:w="765" w:type="dxa"/>
                        <w:tcBorders>
                          <w:right w:val="nil"/>
                        </w:tcBorders>
                        <w:shd w:val="clear" w:color="auto" w:fill="F4F4F4"/>
                      </w:tcPr>
                      <w:p>
                        <w:pPr>
                          <w:pStyle w:val="TableParagraph"/>
                          <w:ind w:left="240" w:right="246"/>
                          <w:jc w:val="center"/>
                          <w:rPr>
                            <w:sz w:val="19"/>
                          </w:rPr>
                        </w:pPr>
                        <w:hyperlink w:history="true" w:anchor="_bookmark41">
                          <w:r>
                            <w:rPr>
                              <w:color w:val="A7BE39"/>
                              <w:sz w:val="19"/>
                              <w:u w:val="single" w:color="A7BE39"/>
                            </w:rPr>
                            <w:t>21</w:t>
                          </w:r>
                        </w:hyperlink>
                      </w:p>
                    </w:tc>
                    <w:tc>
                      <w:tcPr>
                        <w:tcW w:w="1219" w:type="dxa"/>
                        <w:tcBorders>
                          <w:top w:val="nil"/>
                          <w:left w:val="nil"/>
                          <w:bottom w:val="nil"/>
                          <w:right w:val="nil"/>
                        </w:tcBorders>
                        <w:shd w:val="clear" w:color="auto" w:fill="E1E4BB"/>
                      </w:tcPr>
                      <w:p>
                        <w:pPr>
                          <w:pStyle w:val="TableParagraph"/>
                          <w:ind w:right="110"/>
                          <w:jc w:val="right"/>
                          <w:rPr>
                            <w:sz w:val="19"/>
                          </w:rPr>
                        </w:pPr>
                        <w:r>
                          <w:rPr>
                            <w:w w:val="95"/>
                            <w:sz w:val="19"/>
                          </w:rPr>
                          <w:t>494</w:t>
                        </w:r>
                      </w:p>
                    </w:tc>
                    <w:tc>
                      <w:tcPr>
                        <w:tcW w:w="1219" w:type="dxa"/>
                        <w:tcBorders>
                          <w:left w:val="nil"/>
                          <w:right w:val="nil"/>
                        </w:tcBorders>
                        <w:shd w:val="clear" w:color="auto" w:fill="F4F4F4"/>
                      </w:tcPr>
                      <w:p>
                        <w:pPr>
                          <w:pStyle w:val="TableParagraph"/>
                          <w:ind w:right="110"/>
                          <w:jc w:val="right"/>
                          <w:rPr>
                            <w:sz w:val="19"/>
                          </w:rPr>
                        </w:pPr>
                        <w:r>
                          <w:rPr>
                            <w:w w:val="95"/>
                            <w:sz w:val="19"/>
                          </w:rPr>
                          <w:t>583</w:t>
                        </w:r>
                      </w:p>
                    </w:tc>
                  </w:tr>
                  <w:tr>
                    <w:trPr>
                      <w:trHeight w:val="285" w:hRule="atLeast"/>
                    </w:trPr>
                    <w:tc>
                      <w:tcPr>
                        <w:tcW w:w="4209" w:type="dxa"/>
                        <w:tcBorders>
                          <w:left w:val="nil"/>
                        </w:tcBorders>
                        <w:shd w:val="clear" w:color="auto" w:fill="FAF9F9"/>
                      </w:tcPr>
                      <w:p>
                        <w:pPr>
                          <w:pStyle w:val="TableParagraph"/>
                          <w:ind w:left="113"/>
                          <w:rPr>
                            <w:sz w:val="19"/>
                          </w:rPr>
                        </w:pPr>
                        <w:r>
                          <w:rPr>
                            <w:sz w:val="19"/>
                          </w:rPr>
                          <w:t>Amounts receivable for services</w:t>
                        </w:r>
                      </w:p>
                    </w:tc>
                    <w:tc>
                      <w:tcPr>
                        <w:tcW w:w="765" w:type="dxa"/>
                        <w:tcBorders>
                          <w:right w:val="nil"/>
                        </w:tcBorders>
                        <w:shd w:val="clear" w:color="auto" w:fill="FAF9F9"/>
                      </w:tcPr>
                      <w:p>
                        <w:pPr>
                          <w:pStyle w:val="TableParagraph"/>
                          <w:ind w:left="240" w:right="246"/>
                          <w:jc w:val="center"/>
                          <w:rPr>
                            <w:sz w:val="19"/>
                          </w:rPr>
                        </w:pPr>
                        <w:hyperlink w:history="true" w:anchor="_bookmark42">
                          <w:r>
                            <w:rPr>
                              <w:color w:val="A7BE39"/>
                              <w:sz w:val="19"/>
                              <w:u w:val="single" w:color="A7BE39"/>
                            </w:rPr>
                            <w:t>22</w:t>
                          </w:r>
                        </w:hyperlink>
                      </w:p>
                    </w:tc>
                    <w:tc>
                      <w:tcPr>
                        <w:tcW w:w="1219" w:type="dxa"/>
                        <w:tcBorders>
                          <w:top w:val="nil"/>
                          <w:left w:val="nil"/>
                          <w:bottom w:val="nil"/>
                          <w:right w:val="nil"/>
                        </w:tcBorders>
                        <w:shd w:val="clear" w:color="auto" w:fill="E1E4BB"/>
                      </w:tcPr>
                      <w:p>
                        <w:pPr>
                          <w:pStyle w:val="TableParagraph"/>
                          <w:ind w:right="110"/>
                          <w:jc w:val="right"/>
                          <w:rPr>
                            <w:sz w:val="19"/>
                          </w:rPr>
                        </w:pPr>
                        <w:r>
                          <w:rPr>
                            <w:w w:val="95"/>
                            <w:sz w:val="19"/>
                          </w:rPr>
                          <w:t>2,250</w:t>
                        </w:r>
                      </w:p>
                    </w:tc>
                    <w:tc>
                      <w:tcPr>
                        <w:tcW w:w="1219" w:type="dxa"/>
                        <w:tcBorders>
                          <w:left w:val="nil"/>
                          <w:right w:val="nil"/>
                        </w:tcBorders>
                        <w:shd w:val="clear" w:color="auto" w:fill="FAF9F9"/>
                      </w:tcPr>
                      <w:p>
                        <w:pPr>
                          <w:pStyle w:val="TableParagraph"/>
                          <w:ind w:right="110"/>
                          <w:jc w:val="right"/>
                          <w:rPr>
                            <w:sz w:val="19"/>
                          </w:rPr>
                        </w:pPr>
                        <w:r>
                          <w:rPr>
                            <w:w w:val="95"/>
                            <w:sz w:val="19"/>
                          </w:rPr>
                          <w:t>1,531</w:t>
                        </w:r>
                      </w:p>
                    </w:tc>
                  </w:tr>
                  <w:tr>
                    <w:trPr>
                      <w:trHeight w:val="285" w:hRule="atLeast"/>
                    </w:trPr>
                    <w:tc>
                      <w:tcPr>
                        <w:tcW w:w="4209" w:type="dxa"/>
                        <w:tcBorders>
                          <w:left w:val="nil"/>
                        </w:tcBorders>
                        <w:shd w:val="clear" w:color="auto" w:fill="F4F4F4"/>
                      </w:tcPr>
                      <w:p>
                        <w:pPr>
                          <w:pStyle w:val="TableParagraph"/>
                          <w:ind w:left="113"/>
                          <w:rPr>
                            <w:sz w:val="19"/>
                          </w:rPr>
                        </w:pPr>
                        <w:r>
                          <w:rPr>
                            <w:sz w:val="19"/>
                          </w:rPr>
                          <w:t>Other current assets</w:t>
                        </w:r>
                      </w:p>
                    </w:tc>
                    <w:tc>
                      <w:tcPr>
                        <w:tcW w:w="765" w:type="dxa"/>
                        <w:tcBorders>
                          <w:right w:val="nil"/>
                        </w:tcBorders>
                        <w:shd w:val="clear" w:color="auto" w:fill="F4F4F4"/>
                      </w:tcPr>
                      <w:p>
                        <w:pPr>
                          <w:pStyle w:val="TableParagraph"/>
                          <w:ind w:left="240" w:right="246"/>
                          <w:jc w:val="center"/>
                          <w:rPr>
                            <w:sz w:val="19"/>
                          </w:rPr>
                        </w:pPr>
                        <w:hyperlink w:history="true" w:anchor="_bookmark43">
                          <w:r>
                            <w:rPr>
                              <w:color w:val="A7BE39"/>
                              <w:sz w:val="19"/>
                              <w:u w:val="single" w:color="A7BE39"/>
                            </w:rPr>
                            <w:t>23</w:t>
                          </w:r>
                        </w:hyperlink>
                      </w:p>
                    </w:tc>
                    <w:tc>
                      <w:tcPr>
                        <w:tcW w:w="1219" w:type="dxa"/>
                        <w:tcBorders>
                          <w:top w:val="nil"/>
                          <w:left w:val="nil"/>
                          <w:bottom w:val="single" w:sz="4" w:space="0" w:color="000000"/>
                          <w:right w:val="nil"/>
                        </w:tcBorders>
                        <w:shd w:val="clear" w:color="auto" w:fill="E1E4BB"/>
                      </w:tcPr>
                      <w:p>
                        <w:pPr>
                          <w:pStyle w:val="TableParagraph"/>
                          <w:ind w:right="110"/>
                          <w:jc w:val="right"/>
                          <w:rPr>
                            <w:sz w:val="19"/>
                          </w:rPr>
                        </w:pPr>
                        <w:r>
                          <w:rPr>
                            <w:w w:val="95"/>
                            <w:sz w:val="19"/>
                          </w:rPr>
                          <w:t>29,254</w:t>
                        </w:r>
                      </w:p>
                    </w:tc>
                    <w:tc>
                      <w:tcPr>
                        <w:tcW w:w="1219" w:type="dxa"/>
                        <w:tcBorders>
                          <w:left w:val="nil"/>
                          <w:bottom w:val="single" w:sz="4" w:space="0" w:color="000000"/>
                          <w:right w:val="nil"/>
                        </w:tcBorders>
                        <w:shd w:val="clear" w:color="auto" w:fill="F4F4F4"/>
                      </w:tcPr>
                      <w:p>
                        <w:pPr>
                          <w:pStyle w:val="TableParagraph"/>
                          <w:ind w:right="110"/>
                          <w:jc w:val="right"/>
                          <w:rPr>
                            <w:sz w:val="19"/>
                          </w:rPr>
                        </w:pPr>
                        <w:r>
                          <w:rPr>
                            <w:w w:val="95"/>
                            <w:sz w:val="19"/>
                          </w:rPr>
                          <w:t>28,852</w:t>
                        </w:r>
                      </w:p>
                    </w:tc>
                  </w:tr>
                  <w:tr>
                    <w:trPr>
                      <w:trHeight w:val="285" w:hRule="atLeast"/>
                    </w:trPr>
                    <w:tc>
                      <w:tcPr>
                        <w:tcW w:w="4209" w:type="dxa"/>
                        <w:tcBorders>
                          <w:left w:val="nil"/>
                        </w:tcBorders>
                        <w:shd w:val="clear" w:color="auto" w:fill="FAF9F9"/>
                      </w:tcPr>
                      <w:p>
                        <w:pPr>
                          <w:pStyle w:val="TableParagraph"/>
                          <w:ind w:left="113"/>
                          <w:rPr>
                            <w:b/>
                            <w:sz w:val="19"/>
                          </w:rPr>
                        </w:pPr>
                        <w:r>
                          <w:rPr>
                            <w:b/>
                            <w:sz w:val="19"/>
                          </w:rPr>
                          <w:t>Total current assets</w:t>
                        </w:r>
                      </w:p>
                    </w:tc>
                    <w:tc>
                      <w:tcPr>
                        <w:tcW w:w="765" w:type="dxa"/>
                        <w:tcBorders>
                          <w:right w:val="nil"/>
                        </w:tcBorders>
                        <w:shd w:val="clear" w:color="auto" w:fill="FAF9F9"/>
                      </w:tcPr>
                      <w:p>
                        <w:pPr>
                          <w:pStyle w:val="TableParagraph"/>
                          <w:spacing w:before="0"/>
                          <w:rPr>
                            <w:rFonts w:ascii="Times New Roman"/>
                            <w:sz w:val="18"/>
                          </w:rPr>
                        </w:pPr>
                      </w:p>
                    </w:tc>
                    <w:tc>
                      <w:tcPr>
                        <w:tcW w:w="1219" w:type="dxa"/>
                        <w:tcBorders>
                          <w:top w:val="single" w:sz="4" w:space="0" w:color="000000"/>
                          <w:left w:val="nil"/>
                          <w:bottom w:val="single" w:sz="4" w:space="0" w:color="000000"/>
                          <w:right w:val="nil"/>
                        </w:tcBorders>
                        <w:shd w:val="clear" w:color="auto" w:fill="E1E4BB"/>
                      </w:tcPr>
                      <w:p>
                        <w:pPr>
                          <w:pStyle w:val="TableParagraph"/>
                          <w:ind w:right="110"/>
                          <w:jc w:val="right"/>
                          <w:rPr>
                            <w:b/>
                            <w:sz w:val="19"/>
                          </w:rPr>
                        </w:pPr>
                        <w:r>
                          <w:rPr>
                            <w:b/>
                            <w:w w:val="95"/>
                            <w:sz w:val="19"/>
                          </w:rPr>
                          <w:t>282,218</w:t>
                        </w:r>
                      </w:p>
                    </w:tc>
                    <w:tc>
                      <w:tcPr>
                        <w:tcW w:w="1219" w:type="dxa"/>
                        <w:tcBorders>
                          <w:top w:val="single" w:sz="4" w:space="0" w:color="000000"/>
                          <w:left w:val="nil"/>
                          <w:bottom w:val="single" w:sz="4" w:space="0" w:color="000000"/>
                          <w:right w:val="nil"/>
                        </w:tcBorders>
                        <w:shd w:val="clear" w:color="auto" w:fill="FAF9F9"/>
                      </w:tcPr>
                      <w:p>
                        <w:pPr>
                          <w:pStyle w:val="TableParagraph"/>
                          <w:ind w:right="110"/>
                          <w:jc w:val="right"/>
                          <w:rPr>
                            <w:b/>
                            <w:sz w:val="19"/>
                          </w:rPr>
                        </w:pPr>
                        <w:r>
                          <w:rPr>
                            <w:b/>
                            <w:w w:val="95"/>
                            <w:sz w:val="19"/>
                          </w:rPr>
                          <w:t>423,906</w:t>
                        </w:r>
                      </w:p>
                    </w:tc>
                  </w:tr>
                  <w:tr>
                    <w:trPr>
                      <w:trHeight w:val="285" w:hRule="atLeast"/>
                    </w:trPr>
                    <w:tc>
                      <w:tcPr>
                        <w:tcW w:w="4209" w:type="dxa"/>
                        <w:tcBorders>
                          <w:left w:val="nil"/>
                        </w:tcBorders>
                        <w:shd w:val="clear" w:color="auto" w:fill="F4F4F4"/>
                      </w:tcPr>
                      <w:p>
                        <w:pPr>
                          <w:pStyle w:val="TableParagraph"/>
                          <w:spacing w:before="0"/>
                          <w:rPr>
                            <w:rFonts w:ascii="Times New Roman"/>
                            <w:sz w:val="18"/>
                          </w:rPr>
                        </w:pPr>
                      </w:p>
                    </w:tc>
                    <w:tc>
                      <w:tcPr>
                        <w:tcW w:w="765" w:type="dxa"/>
                        <w:tcBorders>
                          <w:right w:val="nil"/>
                        </w:tcBorders>
                        <w:shd w:val="clear" w:color="auto" w:fill="F4F4F4"/>
                      </w:tcPr>
                      <w:p>
                        <w:pPr>
                          <w:pStyle w:val="TableParagraph"/>
                          <w:spacing w:before="0"/>
                          <w:rPr>
                            <w:rFonts w:ascii="Times New Roman"/>
                            <w:sz w:val="18"/>
                          </w:rPr>
                        </w:pPr>
                      </w:p>
                    </w:tc>
                    <w:tc>
                      <w:tcPr>
                        <w:tcW w:w="1219" w:type="dxa"/>
                        <w:tcBorders>
                          <w:top w:val="single" w:sz="4" w:space="0" w:color="000000"/>
                          <w:left w:val="nil"/>
                          <w:bottom w:val="nil"/>
                          <w:right w:val="nil"/>
                        </w:tcBorders>
                        <w:shd w:val="clear" w:color="auto" w:fill="DFE1B8"/>
                      </w:tcPr>
                      <w:p>
                        <w:pPr>
                          <w:pStyle w:val="TableParagraph"/>
                          <w:spacing w:before="0"/>
                          <w:rPr>
                            <w:rFonts w:ascii="Times New Roman"/>
                            <w:sz w:val="18"/>
                          </w:rPr>
                        </w:pPr>
                      </w:p>
                    </w:tc>
                    <w:tc>
                      <w:tcPr>
                        <w:tcW w:w="1219" w:type="dxa"/>
                        <w:tcBorders>
                          <w:top w:val="single" w:sz="4" w:space="0" w:color="000000"/>
                          <w:left w:val="nil"/>
                          <w:right w:val="nil"/>
                        </w:tcBorders>
                        <w:shd w:val="clear" w:color="auto" w:fill="F4F4F4"/>
                      </w:tcPr>
                      <w:p>
                        <w:pPr>
                          <w:pStyle w:val="TableParagraph"/>
                          <w:spacing w:before="0"/>
                          <w:rPr>
                            <w:rFonts w:ascii="Times New Roman"/>
                            <w:sz w:val="18"/>
                          </w:rPr>
                        </w:pPr>
                      </w:p>
                    </w:tc>
                  </w:tr>
                  <w:tr>
                    <w:trPr>
                      <w:trHeight w:val="285" w:hRule="atLeast"/>
                    </w:trPr>
                    <w:tc>
                      <w:tcPr>
                        <w:tcW w:w="4209" w:type="dxa"/>
                        <w:tcBorders>
                          <w:left w:val="nil"/>
                        </w:tcBorders>
                        <w:shd w:val="clear" w:color="auto" w:fill="FAF9F9"/>
                      </w:tcPr>
                      <w:p>
                        <w:pPr>
                          <w:pStyle w:val="TableParagraph"/>
                          <w:ind w:left="113"/>
                          <w:rPr>
                            <w:i/>
                            <w:sz w:val="19"/>
                          </w:rPr>
                        </w:pPr>
                        <w:r>
                          <w:rPr>
                            <w:i/>
                            <w:color w:val="A7BE39"/>
                            <w:sz w:val="19"/>
                          </w:rPr>
                          <w:t>Non-current assets</w:t>
                        </w:r>
                      </w:p>
                    </w:tc>
                    <w:tc>
                      <w:tcPr>
                        <w:tcW w:w="765" w:type="dxa"/>
                        <w:tcBorders>
                          <w:right w:val="nil"/>
                        </w:tcBorders>
                        <w:shd w:val="clear" w:color="auto" w:fill="FAF9F9"/>
                      </w:tcPr>
                      <w:p>
                        <w:pPr>
                          <w:pStyle w:val="TableParagraph"/>
                          <w:spacing w:before="0"/>
                          <w:rPr>
                            <w:rFonts w:ascii="Times New Roman"/>
                            <w:sz w:val="18"/>
                          </w:rPr>
                        </w:pPr>
                      </w:p>
                    </w:tc>
                    <w:tc>
                      <w:tcPr>
                        <w:tcW w:w="1219" w:type="dxa"/>
                        <w:tcBorders>
                          <w:top w:val="nil"/>
                          <w:left w:val="nil"/>
                          <w:bottom w:val="nil"/>
                          <w:right w:val="nil"/>
                        </w:tcBorders>
                        <w:shd w:val="clear" w:color="auto" w:fill="DFE1B8"/>
                      </w:tcPr>
                      <w:p>
                        <w:pPr>
                          <w:pStyle w:val="TableParagraph"/>
                          <w:spacing w:before="0"/>
                          <w:rPr>
                            <w:rFonts w:ascii="Times New Roman"/>
                            <w:sz w:val="18"/>
                          </w:rPr>
                        </w:pPr>
                      </w:p>
                    </w:tc>
                    <w:tc>
                      <w:tcPr>
                        <w:tcW w:w="1219" w:type="dxa"/>
                        <w:tcBorders>
                          <w:left w:val="nil"/>
                          <w:right w:val="nil"/>
                        </w:tcBorders>
                        <w:shd w:val="clear" w:color="auto" w:fill="FAF9F9"/>
                      </w:tcPr>
                      <w:p>
                        <w:pPr>
                          <w:pStyle w:val="TableParagraph"/>
                          <w:spacing w:before="0"/>
                          <w:rPr>
                            <w:rFonts w:ascii="Times New Roman"/>
                            <w:sz w:val="18"/>
                          </w:rPr>
                        </w:pPr>
                      </w:p>
                    </w:tc>
                  </w:tr>
                  <w:tr>
                    <w:trPr>
                      <w:trHeight w:val="285" w:hRule="atLeast"/>
                    </w:trPr>
                    <w:tc>
                      <w:tcPr>
                        <w:tcW w:w="4209" w:type="dxa"/>
                        <w:tcBorders>
                          <w:left w:val="nil"/>
                        </w:tcBorders>
                        <w:shd w:val="clear" w:color="auto" w:fill="F4F4F4"/>
                      </w:tcPr>
                      <w:p>
                        <w:pPr>
                          <w:pStyle w:val="TableParagraph"/>
                          <w:ind w:left="113"/>
                          <w:rPr>
                            <w:sz w:val="19"/>
                          </w:rPr>
                        </w:pPr>
                        <w:r>
                          <w:rPr>
                            <w:sz w:val="19"/>
                          </w:rPr>
                          <w:t>Restricted cash and cash equivalents</w:t>
                        </w:r>
                      </w:p>
                    </w:tc>
                    <w:tc>
                      <w:tcPr>
                        <w:tcW w:w="765" w:type="dxa"/>
                        <w:tcBorders>
                          <w:right w:val="nil"/>
                        </w:tcBorders>
                        <w:shd w:val="clear" w:color="auto" w:fill="F4F4F4"/>
                      </w:tcPr>
                      <w:p>
                        <w:pPr>
                          <w:pStyle w:val="TableParagraph"/>
                          <w:ind w:left="240" w:right="246"/>
                          <w:jc w:val="center"/>
                          <w:rPr>
                            <w:sz w:val="19"/>
                          </w:rPr>
                        </w:pPr>
                        <w:hyperlink w:history="true" w:anchor="_bookmark39">
                          <w:r>
                            <w:rPr>
                              <w:color w:val="A7BE39"/>
                              <w:sz w:val="19"/>
                              <w:u w:val="single" w:color="A7BE39"/>
                            </w:rPr>
                            <w:t>19</w:t>
                          </w:r>
                        </w:hyperlink>
                      </w:p>
                    </w:tc>
                    <w:tc>
                      <w:tcPr>
                        <w:tcW w:w="1219" w:type="dxa"/>
                        <w:tcBorders>
                          <w:top w:val="nil"/>
                          <w:left w:val="nil"/>
                          <w:bottom w:val="nil"/>
                          <w:right w:val="nil"/>
                        </w:tcBorders>
                        <w:shd w:val="clear" w:color="auto" w:fill="DFE1B8"/>
                      </w:tcPr>
                      <w:p>
                        <w:pPr>
                          <w:pStyle w:val="TableParagraph"/>
                          <w:ind w:right="110"/>
                          <w:jc w:val="right"/>
                          <w:rPr>
                            <w:sz w:val="19"/>
                          </w:rPr>
                        </w:pPr>
                        <w:r>
                          <w:rPr>
                            <w:w w:val="95"/>
                            <w:sz w:val="19"/>
                          </w:rPr>
                          <w:t>398</w:t>
                        </w:r>
                      </w:p>
                    </w:tc>
                    <w:tc>
                      <w:tcPr>
                        <w:tcW w:w="1219" w:type="dxa"/>
                        <w:tcBorders>
                          <w:left w:val="nil"/>
                          <w:right w:val="nil"/>
                        </w:tcBorders>
                        <w:shd w:val="clear" w:color="auto" w:fill="F4F4F4"/>
                      </w:tcPr>
                      <w:p>
                        <w:pPr>
                          <w:pStyle w:val="TableParagraph"/>
                          <w:ind w:right="110"/>
                          <w:jc w:val="right"/>
                          <w:rPr>
                            <w:sz w:val="19"/>
                          </w:rPr>
                        </w:pPr>
                        <w:r>
                          <w:rPr>
                            <w:w w:val="111"/>
                            <w:sz w:val="19"/>
                          </w:rPr>
                          <w:t>-</w:t>
                        </w:r>
                      </w:p>
                    </w:tc>
                  </w:tr>
                  <w:tr>
                    <w:trPr>
                      <w:trHeight w:val="285" w:hRule="atLeast"/>
                    </w:trPr>
                    <w:tc>
                      <w:tcPr>
                        <w:tcW w:w="4209" w:type="dxa"/>
                        <w:tcBorders>
                          <w:left w:val="nil"/>
                        </w:tcBorders>
                        <w:shd w:val="clear" w:color="auto" w:fill="FAF9F9"/>
                      </w:tcPr>
                      <w:p>
                        <w:pPr>
                          <w:pStyle w:val="TableParagraph"/>
                          <w:ind w:left="113"/>
                          <w:rPr>
                            <w:sz w:val="19"/>
                          </w:rPr>
                        </w:pPr>
                        <w:r>
                          <w:rPr>
                            <w:sz w:val="19"/>
                          </w:rPr>
                          <w:t>Receivables</w:t>
                        </w:r>
                      </w:p>
                    </w:tc>
                    <w:tc>
                      <w:tcPr>
                        <w:tcW w:w="765" w:type="dxa"/>
                        <w:tcBorders>
                          <w:right w:val="nil"/>
                        </w:tcBorders>
                        <w:shd w:val="clear" w:color="auto" w:fill="FAF9F9"/>
                      </w:tcPr>
                      <w:p>
                        <w:pPr>
                          <w:pStyle w:val="TableParagraph"/>
                          <w:ind w:left="240" w:right="246"/>
                          <w:jc w:val="center"/>
                          <w:rPr>
                            <w:sz w:val="19"/>
                          </w:rPr>
                        </w:pPr>
                        <w:hyperlink w:history="true" w:anchor="_bookmark40">
                          <w:r>
                            <w:rPr>
                              <w:color w:val="A7BE39"/>
                              <w:sz w:val="19"/>
                              <w:u w:val="single" w:color="A7BE39"/>
                            </w:rPr>
                            <w:t>20</w:t>
                          </w:r>
                        </w:hyperlink>
                      </w:p>
                    </w:tc>
                    <w:tc>
                      <w:tcPr>
                        <w:tcW w:w="1219" w:type="dxa"/>
                        <w:tcBorders>
                          <w:top w:val="nil"/>
                          <w:left w:val="nil"/>
                          <w:bottom w:val="nil"/>
                          <w:right w:val="nil"/>
                        </w:tcBorders>
                        <w:shd w:val="clear" w:color="auto" w:fill="DFE1B8"/>
                      </w:tcPr>
                      <w:p>
                        <w:pPr>
                          <w:pStyle w:val="TableParagraph"/>
                          <w:ind w:right="110"/>
                          <w:jc w:val="right"/>
                          <w:rPr>
                            <w:sz w:val="19"/>
                          </w:rPr>
                        </w:pPr>
                        <w:r>
                          <w:rPr>
                            <w:w w:val="95"/>
                            <w:sz w:val="19"/>
                          </w:rPr>
                          <w:t>1,948</w:t>
                        </w:r>
                      </w:p>
                    </w:tc>
                    <w:tc>
                      <w:tcPr>
                        <w:tcW w:w="1219" w:type="dxa"/>
                        <w:tcBorders>
                          <w:left w:val="nil"/>
                          <w:right w:val="nil"/>
                        </w:tcBorders>
                        <w:shd w:val="clear" w:color="auto" w:fill="FAF9F9"/>
                      </w:tcPr>
                      <w:p>
                        <w:pPr>
                          <w:pStyle w:val="TableParagraph"/>
                          <w:ind w:right="110"/>
                          <w:jc w:val="right"/>
                          <w:rPr>
                            <w:sz w:val="19"/>
                          </w:rPr>
                        </w:pPr>
                        <w:r>
                          <w:rPr>
                            <w:w w:val="111"/>
                            <w:sz w:val="19"/>
                          </w:rPr>
                          <w:t>-</w:t>
                        </w:r>
                      </w:p>
                    </w:tc>
                  </w:tr>
                  <w:tr>
                    <w:trPr>
                      <w:trHeight w:val="285" w:hRule="atLeast"/>
                    </w:trPr>
                    <w:tc>
                      <w:tcPr>
                        <w:tcW w:w="4209" w:type="dxa"/>
                        <w:tcBorders>
                          <w:left w:val="nil"/>
                        </w:tcBorders>
                        <w:shd w:val="clear" w:color="auto" w:fill="F4F4F4"/>
                      </w:tcPr>
                      <w:p>
                        <w:pPr>
                          <w:pStyle w:val="TableParagraph"/>
                          <w:ind w:left="113"/>
                          <w:rPr>
                            <w:sz w:val="19"/>
                          </w:rPr>
                        </w:pPr>
                        <w:r>
                          <w:rPr>
                            <w:sz w:val="19"/>
                          </w:rPr>
                          <w:t>Finance lease receivables</w:t>
                        </w:r>
                      </w:p>
                    </w:tc>
                    <w:tc>
                      <w:tcPr>
                        <w:tcW w:w="765" w:type="dxa"/>
                        <w:tcBorders>
                          <w:right w:val="nil"/>
                        </w:tcBorders>
                        <w:shd w:val="clear" w:color="auto" w:fill="F4F4F4"/>
                      </w:tcPr>
                      <w:p>
                        <w:pPr>
                          <w:pStyle w:val="TableParagraph"/>
                          <w:ind w:left="240" w:right="246"/>
                          <w:jc w:val="center"/>
                          <w:rPr>
                            <w:sz w:val="19"/>
                          </w:rPr>
                        </w:pPr>
                        <w:hyperlink w:history="true" w:anchor="_bookmark41">
                          <w:r>
                            <w:rPr>
                              <w:color w:val="A7BE39"/>
                              <w:sz w:val="19"/>
                              <w:u w:val="single" w:color="A7BE39"/>
                            </w:rPr>
                            <w:t>21</w:t>
                          </w:r>
                        </w:hyperlink>
                      </w:p>
                    </w:tc>
                    <w:tc>
                      <w:tcPr>
                        <w:tcW w:w="1219" w:type="dxa"/>
                        <w:tcBorders>
                          <w:top w:val="nil"/>
                          <w:left w:val="nil"/>
                          <w:bottom w:val="nil"/>
                          <w:right w:val="nil"/>
                        </w:tcBorders>
                        <w:shd w:val="clear" w:color="auto" w:fill="DFE1B8"/>
                      </w:tcPr>
                      <w:p>
                        <w:pPr>
                          <w:pStyle w:val="TableParagraph"/>
                          <w:ind w:right="110"/>
                          <w:jc w:val="right"/>
                          <w:rPr>
                            <w:sz w:val="19"/>
                          </w:rPr>
                        </w:pPr>
                        <w:r>
                          <w:rPr>
                            <w:w w:val="95"/>
                            <w:sz w:val="19"/>
                          </w:rPr>
                          <w:t>597</w:t>
                        </w:r>
                      </w:p>
                    </w:tc>
                    <w:tc>
                      <w:tcPr>
                        <w:tcW w:w="1219" w:type="dxa"/>
                        <w:tcBorders>
                          <w:left w:val="nil"/>
                          <w:right w:val="nil"/>
                        </w:tcBorders>
                        <w:shd w:val="clear" w:color="auto" w:fill="F4F4F4"/>
                      </w:tcPr>
                      <w:p>
                        <w:pPr>
                          <w:pStyle w:val="TableParagraph"/>
                          <w:ind w:right="110"/>
                          <w:jc w:val="right"/>
                          <w:rPr>
                            <w:sz w:val="19"/>
                          </w:rPr>
                        </w:pPr>
                        <w:r>
                          <w:rPr>
                            <w:w w:val="95"/>
                            <w:sz w:val="19"/>
                          </w:rPr>
                          <w:t>1,214</w:t>
                        </w:r>
                      </w:p>
                    </w:tc>
                  </w:tr>
                  <w:tr>
                    <w:trPr>
                      <w:trHeight w:val="285" w:hRule="atLeast"/>
                    </w:trPr>
                    <w:tc>
                      <w:tcPr>
                        <w:tcW w:w="4209" w:type="dxa"/>
                        <w:tcBorders>
                          <w:left w:val="nil"/>
                        </w:tcBorders>
                        <w:shd w:val="clear" w:color="auto" w:fill="FAF9F9"/>
                      </w:tcPr>
                      <w:p>
                        <w:pPr>
                          <w:pStyle w:val="TableParagraph"/>
                          <w:ind w:left="113"/>
                          <w:rPr>
                            <w:sz w:val="19"/>
                          </w:rPr>
                        </w:pPr>
                        <w:r>
                          <w:rPr>
                            <w:sz w:val="19"/>
                          </w:rPr>
                          <w:t>Amounts receivable for services</w:t>
                        </w:r>
                      </w:p>
                    </w:tc>
                    <w:tc>
                      <w:tcPr>
                        <w:tcW w:w="765" w:type="dxa"/>
                        <w:tcBorders>
                          <w:right w:val="nil"/>
                        </w:tcBorders>
                        <w:shd w:val="clear" w:color="auto" w:fill="FAF9F9"/>
                      </w:tcPr>
                      <w:p>
                        <w:pPr>
                          <w:pStyle w:val="TableParagraph"/>
                          <w:ind w:left="240" w:right="246"/>
                          <w:jc w:val="center"/>
                          <w:rPr>
                            <w:sz w:val="19"/>
                          </w:rPr>
                        </w:pPr>
                        <w:hyperlink w:history="true" w:anchor="_bookmark42">
                          <w:r>
                            <w:rPr>
                              <w:color w:val="A7BE39"/>
                              <w:sz w:val="19"/>
                              <w:u w:val="single" w:color="A7BE39"/>
                            </w:rPr>
                            <w:t>22</w:t>
                          </w:r>
                        </w:hyperlink>
                      </w:p>
                    </w:tc>
                    <w:tc>
                      <w:tcPr>
                        <w:tcW w:w="1219" w:type="dxa"/>
                        <w:tcBorders>
                          <w:top w:val="nil"/>
                          <w:left w:val="nil"/>
                          <w:bottom w:val="nil"/>
                          <w:right w:val="nil"/>
                        </w:tcBorders>
                        <w:shd w:val="clear" w:color="auto" w:fill="DFE1B8"/>
                      </w:tcPr>
                      <w:p>
                        <w:pPr>
                          <w:pStyle w:val="TableParagraph"/>
                          <w:ind w:right="110"/>
                          <w:jc w:val="right"/>
                          <w:rPr>
                            <w:sz w:val="19"/>
                          </w:rPr>
                        </w:pPr>
                        <w:r>
                          <w:rPr>
                            <w:w w:val="95"/>
                            <w:sz w:val="19"/>
                          </w:rPr>
                          <w:t>461,896</w:t>
                        </w:r>
                      </w:p>
                    </w:tc>
                    <w:tc>
                      <w:tcPr>
                        <w:tcW w:w="1219" w:type="dxa"/>
                        <w:tcBorders>
                          <w:left w:val="nil"/>
                          <w:right w:val="nil"/>
                        </w:tcBorders>
                        <w:shd w:val="clear" w:color="auto" w:fill="FAF9F9"/>
                      </w:tcPr>
                      <w:p>
                        <w:pPr>
                          <w:pStyle w:val="TableParagraph"/>
                          <w:ind w:right="110"/>
                          <w:jc w:val="right"/>
                          <w:rPr>
                            <w:sz w:val="19"/>
                          </w:rPr>
                        </w:pPr>
                        <w:r>
                          <w:rPr>
                            <w:w w:val="95"/>
                            <w:sz w:val="19"/>
                          </w:rPr>
                          <w:t>410,183</w:t>
                        </w:r>
                      </w:p>
                    </w:tc>
                  </w:tr>
                  <w:tr>
                    <w:trPr>
                      <w:trHeight w:val="285" w:hRule="atLeast"/>
                    </w:trPr>
                    <w:tc>
                      <w:tcPr>
                        <w:tcW w:w="4209" w:type="dxa"/>
                        <w:tcBorders>
                          <w:left w:val="nil"/>
                        </w:tcBorders>
                        <w:shd w:val="clear" w:color="auto" w:fill="F4F4F4"/>
                      </w:tcPr>
                      <w:p>
                        <w:pPr>
                          <w:pStyle w:val="TableParagraph"/>
                          <w:ind w:left="113"/>
                          <w:rPr>
                            <w:sz w:val="19"/>
                          </w:rPr>
                        </w:pPr>
                        <w:r>
                          <w:rPr>
                            <w:sz w:val="19"/>
                          </w:rPr>
                          <w:t>Property, plant, equipment and vehicles</w:t>
                        </w:r>
                      </w:p>
                    </w:tc>
                    <w:tc>
                      <w:tcPr>
                        <w:tcW w:w="765" w:type="dxa"/>
                        <w:tcBorders>
                          <w:right w:val="nil"/>
                        </w:tcBorders>
                        <w:shd w:val="clear" w:color="auto" w:fill="F4F4F4"/>
                      </w:tcPr>
                      <w:p>
                        <w:pPr>
                          <w:pStyle w:val="TableParagraph"/>
                          <w:ind w:left="240" w:right="246"/>
                          <w:jc w:val="center"/>
                          <w:rPr>
                            <w:sz w:val="19"/>
                          </w:rPr>
                        </w:pPr>
                        <w:hyperlink w:history="true" w:anchor="_bookmark44">
                          <w:r>
                            <w:rPr>
                              <w:color w:val="A7BE39"/>
                              <w:sz w:val="19"/>
                              <w:u w:val="single" w:color="A7BE39"/>
                            </w:rPr>
                            <w:t>24</w:t>
                          </w:r>
                        </w:hyperlink>
                      </w:p>
                    </w:tc>
                    <w:tc>
                      <w:tcPr>
                        <w:tcW w:w="1219" w:type="dxa"/>
                        <w:tcBorders>
                          <w:top w:val="nil"/>
                          <w:left w:val="nil"/>
                          <w:bottom w:val="nil"/>
                          <w:right w:val="nil"/>
                        </w:tcBorders>
                        <w:shd w:val="clear" w:color="auto" w:fill="DFE1B8"/>
                      </w:tcPr>
                      <w:p>
                        <w:pPr>
                          <w:pStyle w:val="TableParagraph"/>
                          <w:ind w:right="110"/>
                          <w:jc w:val="right"/>
                          <w:rPr>
                            <w:sz w:val="19"/>
                          </w:rPr>
                        </w:pPr>
                        <w:r>
                          <w:rPr>
                            <w:w w:val="95"/>
                            <w:sz w:val="19"/>
                          </w:rPr>
                          <w:t>720,374</w:t>
                        </w:r>
                      </w:p>
                    </w:tc>
                    <w:tc>
                      <w:tcPr>
                        <w:tcW w:w="1219" w:type="dxa"/>
                        <w:tcBorders>
                          <w:left w:val="nil"/>
                          <w:right w:val="nil"/>
                        </w:tcBorders>
                        <w:shd w:val="clear" w:color="auto" w:fill="F4F4F4"/>
                      </w:tcPr>
                      <w:p>
                        <w:pPr>
                          <w:pStyle w:val="TableParagraph"/>
                          <w:ind w:right="110"/>
                          <w:jc w:val="right"/>
                          <w:rPr>
                            <w:sz w:val="19"/>
                          </w:rPr>
                        </w:pPr>
                        <w:r>
                          <w:rPr>
                            <w:w w:val="95"/>
                            <w:sz w:val="19"/>
                          </w:rPr>
                          <w:t>768,737</w:t>
                        </w:r>
                      </w:p>
                    </w:tc>
                  </w:tr>
                  <w:tr>
                    <w:trPr>
                      <w:trHeight w:val="285" w:hRule="atLeast"/>
                    </w:trPr>
                    <w:tc>
                      <w:tcPr>
                        <w:tcW w:w="4209" w:type="dxa"/>
                        <w:tcBorders>
                          <w:left w:val="nil"/>
                        </w:tcBorders>
                        <w:shd w:val="clear" w:color="auto" w:fill="FAF9F9"/>
                      </w:tcPr>
                      <w:p>
                        <w:pPr>
                          <w:pStyle w:val="TableParagraph"/>
                          <w:ind w:left="113"/>
                          <w:rPr>
                            <w:sz w:val="19"/>
                          </w:rPr>
                        </w:pPr>
                        <w:r>
                          <w:rPr>
                            <w:sz w:val="19"/>
                          </w:rPr>
                          <w:t>Intangible assets</w:t>
                        </w:r>
                      </w:p>
                    </w:tc>
                    <w:tc>
                      <w:tcPr>
                        <w:tcW w:w="765" w:type="dxa"/>
                        <w:tcBorders>
                          <w:right w:val="nil"/>
                        </w:tcBorders>
                        <w:shd w:val="clear" w:color="auto" w:fill="FAF9F9"/>
                      </w:tcPr>
                      <w:p>
                        <w:pPr>
                          <w:pStyle w:val="TableParagraph"/>
                          <w:ind w:left="240" w:right="246"/>
                          <w:jc w:val="center"/>
                          <w:rPr>
                            <w:sz w:val="19"/>
                          </w:rPr>
                        </w:pPr>
                        <w:hyperlink w:history="true" w:anchor="_bookmark45">
                          <w:r>
                            <w:rPr>
                              <w:color w:val="A7BE39"/>
                              <w:sz w:val="19"/>
                              <w:u w:val="single" w:color="A7BE39"/>
                            </w:rPr>
                            <w:t>26</w:t>
                          </w:r>
                        </w:hyperlink>
                      </w:p>
                    </w:tc>
                    <w:tc>
                      <w:tcPr>
                        <w:tcW w:w="1219" w:type="dxa"/>
                        <w:tcBorders>
                          <w:top w:val="nil"/>
                          <w:left w:val="nil"/>
                          <w:bottom w:val="nil"/>
                          <w:right w:val="nil"/>
                        </w:tcBorders>
                        <w:shd w:val="clear" w:color="auto" w:fill="DFE1B8"/>
                      </w:tcPr>
                      <w:p>
                        <w:pPr>
                          <w:pStyle w:val="TableParagraph"/>
                          <w:ind w:right="110"/>
                          <w:jc w:val="right"/>
                          <w:rPr>
                            <w:sz w:val="19"/>
                          </w:rPr>
                        </w:pPr>
                        <w:r>
                          <w:rPr>
                            <w:w w:val="95"/>
                            <w:sz w:val="19"/>
                          </w:rPr>
                          <w:t>31,805</w:t>
                        </w:r>
                      </w:p>
                    </w:tc>
                    <w:tc>
                      <w:tcPr>
                        <w:tcW w:w="1219" w:type="dxa"/>
                        <w:tcBorders>
                          <w:left w:val="nil"/>
                          <w:right w:val="nil"/>
                        </w:tcBorders>
                        <w:shd w:val="clear" w:color="auto" w:fill="FAF9F9"/>
                      </w:tcPr>
                      <w:p>
                        <w:pPr>
                          <w:pStyle w:val="TableParagraph"/>
                          <w:ind w:right="110"/>
                          <w:jc w:val="right"/>
                          <w:rPr>
                            <w:sz w:val="19"/>
                          </w:rPr>
                        </w:pPr>
                        <w:r>
                          <w:rPr>
                            <w:w w:val="95"/>
                            <w:sz w:val="19"/>
                          </w:rPr>
                          <w:t>29,516</w:t>
                        </w:r>
                      </w:p>
                    </w:tc>
                  </w:tr>
                  <w:tr>
                    <w:trPr>
                      <w:trHeight w:val="285" w:hRule="atLeast"/>
                    </w:trPr>
                    <w:tc>
                      <w:tcPr>
                        <w:tcW w:w="4209" w:type="dxa"/>
                        <w:tcBorders>
                          <w:left w:val="nil"/>
                        </w:tcBorders>
                        <w:shd w:val="clear" w:color="auto" w:fill="F4F4F4"/>
                      </w:tcPr>
                      <w:p>
                        <w:pPr>
                          <w:pStyle w:val="TableParagraph"/>
                          <w:ind w:left="113"/>
                          <w:rPr>
                            <w:sz w:val="19"/>
                          </w:rPr>
                        </w:pPr>
                        <w:r>
                          <w:rPr>
                            <w:sz w:val="19"/>
                          </w:rPr>
                          <w:t>Other non-current assets</w:t>
                        </w:r>
                      </w:p>
                    </w:tc>
                    <w:tc>
                      <w:tcPr>
                        <w:tcW w:w="765" w:type="dxa"/>
                        <w:tcBorders>
                          <w:right w:val="nil"/>
                        </w:tcBorders>
                        <w:shd w:val="clear" w:color="auto" w:fill="F4F4F4"/>
                      </w:tcPr>
                      <w:p>
                        <w:pPr>
                          <w:pStyle w:val="TableParagraph"/>
                          <w:ind w:left="240" w:right="246"/>
                          <w:jc w:val="center"/>
                          <w:rPr>
                            <w:sz w:val="19"/>
                          </w:rPr>
                        </w:pPr>
                        <w:hyperlink w:history="true" w:anchor="_bookmark43">
                          <w:r>
                            <w:rPr>
                              <w:color w:val="A7BE39"/>
                              <w:sz w:val="19"/>
                              <w:u w:val="single" w:color="A7BE39"/>
                            </w:rPr>
                            <w:t>23</w:t>
                          </w:r>
                        </w:hyperlink>
                      </w:p>
                    </w:tc>
                    <w:tc>
                      <w:tcPr>
                        <w:tcW w:w="1219" w:type="dxa"/>
                        <w:tcBorders>
                          <w:top w:val="nil"/>
                          <w:left w:val="nil"/>
                          <w:bottom w:val="single" w:sz="4" w:space="0" w:color="000000"/>
                          <w:right w:val="nil"/>
                        </w:tcBorders>
                        <w:shd w:val="clear" w:color="auto" w:fill="DFE1B8"/>
                      </w:tcPr>
                      <w:p>
                        <w:pPr>
                          <w:pStyle w:val="TableParagraph"/>
                          <w:ind w:right="110"/>
                          <w:jc w:val="right"/>
                          <w:rPr>
                            <w:sz w:val="19"/>
                          </w:rPr>
                        </w:pPr>
                        <w:r>
                          <w:rPr>
                            <w:w w:val="95"/>
                            <w:sz w:val="19"/>
                          </w:rPr>
                          <w:t>6,440</w:t>
                        </w:r>
                      </w:p>
                    </w:tc>
                    <w:tc>
                      <w:tcPr>
                        <w:tcW w:w="1219" w:type="dxa"/>
                        <w:tcBorders>
                          <w:left w:val="nil"/>
                          <w:bottom w:val="single" w:sz="4" w:space="0" w:color="000000"/>
                          <w:right w:val="nil"/>
                        </w:tcBorders>
                        <w:shd w:val="clear" w:color="auto" w:fill="F4F4F4"/>
                      </w:tcPr>
                      <w:p>
                        <w:pPr>
                          <w:pStyle w:val="TableParagraph"/>
                          <w:ind w:right="110"/>
                          <w:jc w:val="right"/>
                          <w:rPr>
                            <w:sz w:val="19"/>
                          </w:rPr>
                        </w:pPr>
                        <w:r>
                          <w:rPr>
                            <w:w w:val="95"/>
                            <w:sz w:val="19"/>
                          </w:rPr>
                          <w:t>2,129</w:t>
                        </w:r>
                      </w:p>
                    </w:tc>
                  </w:tr>
                  <w:tr>
                    <w:trPr>
                      <w:trHeight w:val="285" w:hRule="atLeast"/>
                    </w:trPr>
                    <w:tc>
                      <w:tcPr>
                        <w:tcW w:w="4209" w:type="dxa"/>
                        <w:tcBorders>
                          <w:left w:val="nil"/>
                        </w:tcBorders>
                        <w:shd w:val="clear" w:color="auto" w:fill="FAF9F9"/>
                      </w:tcPr>
                      <w:p>
                        <w:pPr>
                          <w:pStyle w:val="TableParagraph"/>
                          <w:ind w:left="113"/>
                          <w:rPr>
                            <w:b/>
                            <w:sz w:val="19"/>
                          </w:rPr>
                        </w:pPr>
                        <w:r>
                          <w:rPr>
                            <w:b/>
                            <w:sz w:val="19"/>
                          </w:rPr>
                          <w:t>Total non-current assets</w:t>
                        </w:r>
                      </w:p>
                    </w:tc>
                    <w:tc>
                      <w:tcPr>
                        <w:tcW w:w="765" w:type="dxa"/>
                        <w:tcBorders>
                          <w:right w:val="nil"/>
                        </w:tcBorders>
                        <w:shd w:val="clear" w:color="auto" w:fill="FAF9F9"/>
                      </w:tcPr>
                      <w:p>
                        <w:pPr>
                          <w:pStyle w:val="TableParagraph"/>
                          <w:spacing w:before="0"/>
                          <w:rPr>
                            <w:rFonts w:ascii="Times New Roman"/>
                            <w:sz w:val="18"/>
                          </w:rPr>
                        </w:pPr>
                      </w:p>
                    </w:tc>
                    <w:tc>
                      <w:tcPr>
                        <w:tcW w:w="1219" w:type="dxa"/>
                        <w:tcBorders>
                          <w:top w:val="single" w:sz="4" w:space="0" w:color="000000"/>
                          <w:left w:val="nil"/>
                          <w:bottom w:val="single" w:sz="4" w:space="0" w:color="000000"/>
                          <w:right w:val="nil"/>
                        </w:tcBorders>
                        <w:shd w:val="clear" w:color="auto" w:fill="E1E4BB"/>
                      </w:tcPr>
                      <w:p>
                        <w:pPr>
                          <w:pStyle w:val="TableParagraph"/>
                          <w:ind w:right="110"/>
                          <w:jc w:val="right"/>
                          <w:rPr>
                            <w:b/>
                            <w:sz w:val="19"/>
                          </w:rPr>
                        </w:pPr>
                        <w:r>
                          <w:rPr>
                            <w:b/>
                            <w:w w:val="95"/>
                            <w:sz w:val="19"/>
                          </w:rPr>
                          <w:t>1,223,458</w:t>
                        </w:r>
                      </w:p>
                    </w:tc>
                    <w:tc>
                      <w:tcPr>
                        <w:tcW w:w="1219" w:type="dxa"/>
                        <w:tcBorders>
                          <w:top w:val="single" w:sz="4" w:space="0" w:color="000000"/>
                          <w:left w:val="nil"/>
                          <w:bottom w:val="single" w:sz="4" w:space="0" w:color="000000"/>
                          <w:right w:val="nil"/>
                        </w:tcBorders>
                        <w:shd w:val="clear" w:color="auto" w:fill="FAF9F9"/>
                      </w:tcPr>
                      <w:p>
                        <w:pPr>
                          <w:pStyle w:val="TableParagraph"/>
                          <w:ind w:right="110"/>
                          <w:jc w:val="right"/>
                          <w:rPr>
                            <w:b/>
                            <w:sz w:val="19"/>
                          </w:rPr>
                        </w:pPr>
                        <w:r>
                          <w:rPr>
                            <w:b/>
                            <w:w w:val="95"/>
                            <w:sz w:val="19"/>
                          </w:rPr>
                          <w:t>1,211,779</w:t>
                        </w:r>
                      </w:p>
                    </w:tc>
                  </w:tr>
                  <w:tr>
                    <w:trPr>
                      <w:trHeight w:val="265" w:hRule="atLeast"/>
                    </w:trPr>
                    <w:tc>
                      <w:tcPr>
                        <w:tcW w:w="4209" w:type="dxa"/>
                        <w:tcBorders>
                          <w:left w:val="nil"/>
                        </w:tcBorders>
                        <w:shd w:val="clear" w:color="auto" w:fill="F4F4F4"/>
                      </w:tcPr>
                      <w:p>
                        <w:pPr>
                          <w:pStyle w:val="TableParagraph"/>
                          <w:spacing w:line="213" w:lineRule="exact"/>
                          <w:ind w:left="113"/>
                          <w:rPr>
                            <w:b/>
                            <w:sz w:val="19"/>
                          </w:rPr>
                        </w:pPr>
                        <w:r>
                          <w:rPr>
                            <w:b/>
                            <w:sz w:val="19"/>
                          </w:rPr>
                          <w:t>TOTAL ASSETS</w:t>
                        </w:r>
                      </w:p>
                    </w:tc>
                    <w:tc>
                      <w:tcPr>
                        <w:tcW w:w="765" w:type="dxa"/>
                        <w:tcBorders>
                          <w:right w:val="nil"/>
                        </w:tcBorders>
                        <w:shd w:val="clear" w:color="auto" w:fill="F4F4F4"/>
                      </w:tcPr>
                      <w:p>
                        <w:pPr>
                          <w:pStyle w:val="TableParagraph"/>
                          <w:spacing w:before="0"/>
                          <w:rPr>
                            <w:rFonts w:ascii="Times New Roman"/>
                            <w:sz w:val="18"/>
                          </w:rPr>
                        </w:pPr>
                      </w:p>
                    </w:tc>
                    <w:tc>
                      <w:tcPr>
                        <w:tcW w:w="1219" w:type="dxa"/>
                        <w:tcBorders>
                          <w:top w:val="single" w:sz="4" w:space="0" w:color="000000"/>
                          <w:left w:val="nil"/>
                          <w:bottom w:val="single" w:sz="24" w:space="0" w:color="FFFFFF"/>
                          <w:right w:val="nil"/>
                        </w:tcBorders>
                        <w:shd w:val="clear" w:color="auto" w:fill="DFE1B8"/>
                      </w:tcPr>
                      <w:p>
                        <w:pPr>
                          <w:pStyle w:val="TableParagraph"/>
                          <w:spacing w:line="213" w:lineRule="exact"/>
                          <w:ind w:right="110"/>
                          <w:jc w:val="right"/>
                          <w:rPr>
                            <w:b/>
                            <w:sz w:val="19"/>
                          </w:rPr>
                        </w:pPr>
                        <w:r>
                          <w:rPr>
                            <w:b/>
                            <w:w w:val="95"/>
                            <w:sz w:val="19"/>
                          </w:rPr>
                          <w:t>1,505,676</w:t>
                        </w:r>
                      </w:p>
                    </w:tc>
                    <w:tc>
                      <w:tcPr>
                        <w:tcW w:w="1219" w:type="dxa"/>
                        <w:tcBorders>
                          <w:top w:val="single" w:sz="4" w:space="0" w:color="000000"/>
                          <w:left w:val="nil"/>
                          <w:bottom w:val="single" w:sz="24" w:space="0" w:color="FFFFFF"/>
                          <w:right w:val="nil"/>
                        </w:tcBorders>
                        <w:shd w:val="clear" w:color="auto" w:fill="F4F4F4"/>
                      </w:tcPr>
                      <w:p>
                        <w:pPr>
                          <w:pStyle w:val="TableParagraph"/>
                          <w:spacing w:line="213" w:lineRule="exact"/>
                          <w:ind w:right="110"/>
                          <w:jc w:val="right"/>
                          <w:rPr>
                            <w:b/>
                            <w:sz w:val="19"/>
                          </w:rPr>
                        </w:pPr>
                        <w:r>
                          <w:rPr>
                            <w:b/>
                            <w:w w:val="95"/>
                            <w:sz w:val="19"/>
                          </w:rPr>
                          <w:t>1,635,685</w:t>
                        </w:r>
                      </w:p>
                    </w:tc>
                  </w:tr>
                </w:tbl>
                <w:p>
                  <w:pPr>
                    <w:pStyle w:val="BodyText"/>
                  </w:pPr>
                </w:p>
              </w:txbxContent>
            </v:textbox>
            <w10:wrap type="none"/>
          </v:shape>
        </w:pict>
      </w:r>
      <w:r>
        <w:rPr>
          <w:b/>
          <w:w w:val="95"/>
          <w:sz w:val="19"/>
        </w:rPr>
        <w:t>$000</w:t>
      </w:r>
    </w:p>
    <w:p>
      <w:pPr>
        <w:spacing w:before="126"/>
        <w:ind w:left="756" w:right="0" w:firstLine="0"/>
        <w:jc w:val="left"/>
        <w:rPr>
          <w:b/>
          <w:sz w:val="19"/>
        </w:rPr>
      </w:pPr>
      <w:r>
        <w:rPr/>
        <w:br w:type="column"/>
      </w:r>
      <w:r>
        <w:rPr>
          <w:b/>
          <w:sz w:val="19"/>
        </w:rPr>
        <w:t>2016</w:t>
      </w:r>
    </w:p>
    <w:p>
      <w:pPr>
        <w:spacing w:before="10"/>
        <w:ind w:left="756" w:right="0" w:firstLine="0"/>
        <w:jc w:val="left"/>
        <w:rPr>
          <w:b/>
          <w:sz w:val="19"/>
        </w:rPr>
      </w:pPr>
      <w:r>
        <w:rPr>
          <w:b/>
          <w:sz w:val="19"/>
        </w:rPr>
        <w:t>$000</w:t>
      </w:r>
    </w:p>
    <w:p>
      <w:pPr>
        <w:tabs>
          <w:tab w:pos="1704" w:val="right" w:leader="none"/>
        </w:tabs>
        <w:spacing w:before="126"/>
        <w:ind w:left="0" w:right="0" w:firstLine="0"/>
        <w:jc w:val="right"/>
        <w:rPr>
          <w:b/>
          <w:sz w:val="19"/>
        </w:rPr>
      </w:pPr>
      <w:r>
        <w:rPr/>
        <w:br w:type="column"/>
      </w:r>
      <w:r>
        <w:rPr>
          <w:b/>
          <w:sz w:val="19"/>
        </w:rPr>
        <w:t>Note</w:t>
        <w:tab/>
        <w:t>2017</w:t>
      </w:r>
    </w:p>
    <w:p>
      <w:pPr>
        <w:spacing w:before="10"/>
        <w:ind w:left="0" w:right="0" w:firstLine="0"/>
        <w:jc w:val="right"/>
        <w:rPr>
          <w:b/>
          <w:sz w:val="19"/>
        </w:rPr>
      </w:pPr>
      <w:r>
        <w:rPr/>
        <w:pict>
          <v:line style="position:absolute;mso-position-horizontal-relative:page;mso-position-vertical-relative:paragraph;z-index:10024" from="642.29718pt,74.81429pt" to="642.29718pt,60.52729pt" stroked="true" strokeweight="1pt" strokecolor="#ffffff">
            <v:stroke dashstyle="solid"/>
            <w10:wrap type="none"/>
          </v:line>
        </w:pict>
      </w:r>
      <w:r>
        <w:rPr/>
        <w:pict>
          <v:shape style="position:absolute;margin-left:431.824799pt;margin-top:12.845889pt;width:370.65pt;height:262.7pt;mso-position-horizontal-relative:page;mso-position-vertical-relative:paragraph;z-index:102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765"/>
                    <w:gridCol w:w="1219"/>
                    <w:gridCol w:w="1219"/>
                  </w:tblGrid>
                  <w:tr>
                    <w:trPr>
                      <w:trHeight w:val="310" w:hRule="atLeast"/>
                    </w:trPr>
                    <w:tc>
                      <w:tcPr>
                        <w:tcW w:w="7412" w:type="dxa"/>
                        <w:gridSpan w:val="4"/>
                        <w:shd w:val="clear" w:color="auto" w:fill="783A79"/>
                      </w:tcPr>
                      <w:p>
                        <w:pPr>
                          <w:pStyle w:val="TableParagraph"/>
                          <w:spacing w:before="47"/>
                          <w:ind w:left="113"/>
                          <w:rPr>
                            <w:b/>
                            <w:sz w:val="19"/>
                          </w:rPr>
                        </w:pPr>
                        <w:r>
                          <w:rPr>
                            <w:b/>
                            <w:color w:val="FFFFFF"/>
                            <w:sz w:val="19"/>
                          </w:rPr>
                          <w:t>Liabilities</w:t>
                        </w:r>
                      </w:p>
                    </w:tc>
                  </w:tr>
                  <w:tr>
                    <w:trPr>
                      <w:trHeight w:val="307" w:hRule="atLeast"/>
                    </w:trPr>
                    <w:tc>
                      <w:tcPr>
                        <w:tcW w:w="4209" w:type="dxa"/>
                        <w:tcBorders>
                          <w:right w:val="single" w:sz="8" w:space="0" w:color="FFFFFF"/>
                        </w:tcBorders>
                        <w:shd w:val="clear" w:color="auto" w:fill="F4F4F4"/>
                      </w:tcPr>
                      <w:p>
                        <w:pPr>
                          <w:pStyle w:val="TableParagraph"/>
                          <w:spacing w:before="42"/>
                          <w:ind w:left="113"/>
                          <w:rPr>
                            <w:i/>
                            <w:sz w:val="19"/>
                          </w:rPr>
                        </w:pPr>
                        <w:r>
                          <w:rPr>
                            <w:i/>
                            <w:color w:val="A7BE39"/>
                            <w:sz w:val="19"/>
                          </w:rPr>
                          <w:t>Current liabilities</w:t>
                        </w:r>
                      </w:p>
                    </w:tc>
                    <w:tc>
                      <w:tcPr>
                        <w:tcW w:w="765" w:type="dxa"/>
                        <w:tcBorders>
                          <w:left w:val="single" w:sz="8" w:space="0" w:color="FFFFFF"/>
                        </w:tcBorders>
                        <w:shd w:val="clear" w:color="auto" w:fill="F4F4F4"/>
                      </w:tcPr>
                      <w:p>
                        <w:pPr>
                          <w:pStyle w:val="TableParagraph"/>
                          <w:spacing w:before="0"/>
                          <w:rPr>
                            <w:rFonts w:ascii="Times New Roman"/>
                            <w:sz w:val="18"/>
                          </w:rPr>
                        </w:pPr>
                      </w:p>
                    </w:tc>
                    <w:tc>
                      <w:tcPr>
                        <w:tcW w:w="1219" w:type="dxa"/>
                        <w:vMerge w:val="restart"/>
                        <w:tcBorders>
                          <w:bottom w:val="single" w:sz="4" w:space="0" w:color="000000"/>
                        </w:tcBorders>
                        <w:shd w:val="clear" w:color="auto" w:fill="E1E4BB"/>
                      </w:tcPr>
                      <w:p>
                        <w:pPr>
                          <w:pStyle w:val="TableParagraph"/>
                          <w:spacing w:before="1"/>
                          <w:rPr>
                            <w:sz w:val="32"/>
                          </w:rPr>
                        </w:pPr>
                      </w:p>
                      <w:p>
                        <w:pPr>
                          <w:pStyle w:val="TableParagraph"/>
                          <w:spacing w:before="0"/>
                          <w:ind w:left="384" w:right="77"/>
                          <w:jc w:val="center"/>
                          <w:rPr>
                            <w:sz w:val="19"/>
                          </w:rPr>
                        </w:pPr>
                        <w:r>
                          <w:rPr>
                            <w:sz w:val="19"/>
                          </w:rPr>
                          <w:t>115,613</w:t>
                        </w:r>
                      </w:p>
                      <w:p>
                        <w:pPr>
                          <w:pStyle w:val="TableParagraph"/>
                          <w:spacing w:before="88"/>
                          <w:ind w:left="489" w:right="77"/>
                          <w:jc w:val="center"/>
                          <w:rPr>
                            <w:sz w:val="19"/>
                          </w:rPr>
                        </w:pPr>
                        <w:r>
                          <w:rPr>
                            <w:sz w:val="19"/>
                          </w:rPr>
                          <w:t>24,040</w:t>
                        </w:r>
                      </w:p>
                      <w:p>
                        <w:pPr>
                          <w:pStyle w:val="TableParagraph"/>
                          <w:spacing w:before="87"/>
                          <w:ind w:left="489" w:right="77"/>
                          <w:jc w:val="center"/>
                          <w:rPr>
                            <w:sz w:val="19"/>
                          </w:rPr>
                        </w:pPr>
                        <w:r>
                          <w:rPr>
                            <w:sz w:val="19"/>
                          </w:rPr>
                          <w:t>27,916</w:t>
                        </w:r>
                      </w:p>
                      <w:p>
                        <w:pPr>
                          <w:pStyle w:val="TableParagraph"/>
                          <w:spacing w:before="87"/>
                          <w:ind w:left="489" w:right="77"/>
                          <w:jc w:val="center"/>
                          <w:rPr>
                            <w:sz w:val="19"/>
                          </w:rPr>
                        </w:pPr>
                        <w:r>
                          <w:rPr>
                            <w:sz w:val="19"/>
                          </w:rPr>
                          <w:t>13,604</w:t>
                        </w:r>
                      </w:p>
                      <w:p>
                        <w:pPr>
                          <w:pStyle w:val="TableParagraph"/>
                          <w:spacing w:before="87"/>
                          <w:ind w:left="489" w:right="77"/>
                          <w:jc w:val="center"/>
                          <w:rPr>
                            <w:sz w:val="19"/>
                          </w:rPr>
                        </w:pPr>
                        <w:r>
                          <w:rPr>
                            <w:sz w:val="19"/>
                          </w:rPr>
                          <w:t>24,055</w:t>
                        </w:r>
                      </w:p>
                    </w:tc>
                    <w:tc>
                      <w:tcPr>
                        <w:tcW w:w="1219" w:type="dxa"/>
                        <w:tcBorders>
                          <w:bottom w:val="single" w:sz="8" w:space="0" w:color="FFFFFF"/>
                        </w:tcBorders>
                        <w:shd w:val="clear" w:color="auto" w:fill="F4F4F4"/>
                      </w:tcPr>
                      <w:p>
                        <w:pPr>
                          <w:pStyle w:val="TableParagraph"/>
                          <w:spacing w:before="0"/>
                          <w:rPr>
                            <w:rFonts w:ascii="Times New Roman"/>
                            <w:sz w:val="18"/>
                          </w:rPr>
                        </w:pPr>
                      </w:p>
                    </w:tc>
                  </w:tr>
                  <w:tr>
                    <w:trPr>
                      <w:trHeight w:val="285" w:hRule="atLeast"/>
                    </w:trPr>
                    <w:tc>
                      <w:tcPr>
                        <w:tcW w:w="4974" w:type="dxa"/>
                        <w:gridSpan w:val="2"/>
                        <w:vMerge w:val="restart"/>
                        <w:tcBorders>
                          <w:bottom w:val="single" w:sz="8" w:space="0" w:color="FFFFFF"/>
                        </w:tcBorders>
                        <w:shd w:val="clear" w:color="auto" w:fill="F4F4F4"/>
                      </w:tcPr>
                      <w:p>
                        <w:pPr>
                          <w:pStyle w:val="TableParagraph"/>
                          <w:tabs>
                            <w:tab w:pos="4697" w:val="right" w:leader="none"/>
                          </w:tabs>
                          <w:spacing w:before="42"/>
                          <w:ind w:left="113"/>
                          <w:rPr>
                            <w:sz w:val="19"/>
                          </w:rPr>
                        </w:pPr>
                        <w:r>
                          <w:rPr>
                            <w:sz w:val="19"/>
                          </w:rPr>
                          <w:t>Payables</w:t>
                          <w:tab/>
                        </w:r>
                        <w:hyperlink w:history="true" w:anchor="_bookmark46">
                          <w:r>
                            <w:rPr>
                              <w:color w:val="A7BE39"/>
                              <w:sz w:val="19"/>
                              <w:u w:val="single" w:color="A7BE39"/>
                            </w:rPr>
                            <w:t>28</w:t>
                          </w:r>
                        </w:hyperlink>
                      </w:p>
                      <w:p>
                        <w:pPr>
                          <w:pStyle w:val="TableParagraph"/>
                          <w:tabs>
                            <w:tab w:pos="4697" w:val="right" w:leader="none"/>
                          </w:tabs>
                          <w:spacing w:before="87"/>
                          <w:ind w:left="113"/>
                          <w:rPr>
                            <w:sz w:val="19"/>
                          </w:rPr>
                        </w:pPr>
                        <w:r>
                          <w:rPr>
                            <w:sz w:val="19"/>
                          </w:rPr>
                          <w:t>Borrowings</w:t>
                          <w:tab/>
                        </w:r>
                        <w:hyperlink w:history="true" w:anchor="_bookmark48">
                          <w:r>
                            <w:rPr>
                              <w:color w:val="A7BE39"/>
                              <w:sz w:val="19"/>
                              <w:u w:val="single" w:color="A7BE39"/>
                            </w:rPr>
                            <w:t>29</w:t>
                          </w:r>
                        </w:hyperlink>
                      </w:p>
                      <w:p>
                        <w:pPr>
                          <w:pStyle w:val="TableParagraph"/>
                          <w:tabs>
                            <w:tab w:pos="4697" w:val="right" w:leader="none"/>
                          </w:tabs>
                          <w:spacing w:before="88"/>
                          <w:ind w:left="113"/>
                          <w:rPr>
                            <w:sz w:val="19"/>
                          </w:rPr>
                        </w:pPr>
                        <w:r>
                          <w:rPr>
                            <w:sz w:val="19"/>
                          </w:rPr>
                          <w:t>Provisions</w:t>
                          <w:tab/>
                        </w:r>
                        <w:hyperlink w:history="true" w:anchor="_bookmark47">
                          <w:r>
                            <w:rPr>
                              <w:color w:val="A7BE39"/>
                              <w:sz w:val="19"/>
                              <w:u w:val="single" w:color="A7BE39"/>
                            </w:rPr>
                            <w:t>30</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ind w:right="110"/>
                          <w:jc w:val="right"/>
                          <w:rPr>
                            <w:sz w:val="19"/>
                          </w:rPr>
                        </w:pPr>
                        <w:r>
                          <w:rPr>
                            <w:w w:val="95"/>
                            <w:sz w:val="19"/>
                          </w:rPr>
                          <w:t>275,418</w:t>
                        </w:r>
                      </w:p>
                    </w:tc>
                  </w:tr>
                  <w:tr>
                    <w:trPr>
                      <w:trHeight w:val="285" w:hRule="atLeast"/>
                    </w:trPr>
                    <w:tc>
                      <w:tcPr>
                        <w:tcW w:w="4974" w:type="dxa"/>
                        <w:gridSpan w:val="2"/>
                        <w:vMerge/>
                        <w:tcBorders>
                          <w:top w:val="nil"/>
                          <w:bottom w:val="single" w:sz="8" w:space="0" w:color="FFFFFF"/>
                        </w:tcBorders>
                        <w:shd w:val="clear" w:color="auto" w:fill="F4F4F4"/>
                      </w:tcPr>
                      <w:p>
                        <w:pPr>
                          <w:rPr>
                            <w:sz w:val="2"/>
                            <w:szCs w:val="2"/>
                          </w:rPr>
                        </w:pPr>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30,302</w:t>
                        </w:r>
                      </w:p>
                    </w:tc>
                  </w:tr>
                  <w:tr>
                    <w:trPr>
                      <w:trHeight w:val="285" w:hRule="atLeast"/>
                    </w:trPr>
                    <w:tc>
                      <w:tcPr>
                        <w:tcW w:w="4974" w:type="dxa"/>
                        <w:gridSpan w:val="2"/>
                        <w:vMerge/>
                        <w:tcBorders>
                          <w:top w:val="nil"/>
                          <w:bottom w:val="single" w:sz="8" w:space="0" w:color="FFFFFF"/>
                        </w:tcBorders>
                        <w:shd w:val="clear" w:color="auto" w:fill="F4F4F4"/>
                      </w:tcPr>
                      <w:p>
                        <w:pPr>
                          <w:rPr>
                            <w:sz w:val="2"/>
                            <w:szCs w:val="2"/>
                          </w:rPr>
                        </w:pPr>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ind w:right="110"/>
                          <w:jc w:val="right"/>
                          <w:rPr>
                            <w:sz w:val="19"/>
                          </w:rPr>
                        </w:pPr>
                        <w:r>
                          <w:rPr>
                            <w:w w:val="95"/>
                            <w:sz w:val="19"/>
                          </w:rPr>
                          <w:t>27,889</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sz w:val="19"/>
                          </w:rPr>
                        </w:pPr>
                        <w:r>
                          <w:rPr>
                            <w:sz w:val="19"/>
                          </w:rPr>
                          <w:t>Lease incentives</w:t>
                        </w:r>
                      </w:p>
                    </w:tc>
                    <w:tc>
                      <w:tcPr>
                        <w:tcW w:w="765" w:type="dxa"/>
                        <w:tcBorders>
                          <w:top w:val="single" w:sz="8" w:space="0" w:color="FFFFFF"/>
                          <w:left w:val="single" w:sz="8" w:space="0" w:color="FFFFFF"/>
                          <w:bottom w:val="single" w:sz="8" w:space="0" w:color="FFFFFF"/>
                        </w:tcBorders>
                        <w:shd w:val="clear" w:color="auto" w:fill="F4F4F4"/>
                      </w:tcPr>
                      <w:p>
                        <w:pPr>
                          <w:pStyle w:val="TableParagraph"/>
                          <w:ind w:left="240" w:right="246"/>
                          <w:jc w:val="center"/>
                          <w:rPr>
                            <w:sz w:val="19"/>
                          </w:rPr>
                        </w:pPr>
                        <w:hyperlink w:history="true" w:anchor="_bookmark49">
                          <w:r>
                            <w:rPr>
                              <w:color w:val="A7BE39"/>
                              <w:sz w:val="19"/>
                              <w:u w:val="single" w:color="A7BE39"/>
                            </w:rPr>
                            <w:t>31</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9,612</w:t>
                        </w:r>
                      </w:p>
                    </w:tc>
                  </w:tr>
                  <w:tr>
                    <w:trPr>
                      <w:trHeight w:val="285" w:hRule="atLeast"/>
                    </w:trPr>
                    <w:tc>
                      <w:tcPr>
                        <w:tcW w:w="4974" w:type="dxa"/>
                        <w:gridSpan w:val="2"/>
                        <w:tcBorders>
                          <w:top w:val="single" w:sz="8" w:space="0" w:color="FFFFFF"/>
                          <w:bottom w:val="single" w:sz="8" w:space="0" w:color="FFFFFF"/>
                        </w:tcBorders>
                        <w:shd w:val="clear" w:color="auto" w:fill="FAF9F9"/>
                      </w:tcPr>
                      <w:p>
                        <w:pPr>
                          <w:pStyle w:val="TableParagraph"/>
                          <w:tabs>
                            <w:tab w:pos="4697" w:val="right" w:leader="none"/>
                          </w:tabs>
                          <w:ind w:left="113"/>
                          <w:rPr>
                            <w:sz w:val="19"/>
                          </w:rPr>
                        </w:pPr>
                        <w:r>
                          <w:rPr>
                            <w:sz w:val="19"/>
                          </w:rPr>
                          <w:t>Other</w:t>
                        </w:r>
                        <w:r>
                          <w:rPr>
                            <w:spacing w:val="-2"/>
                            <w:sz w:val="19"/>
                          </w:rPr>
                          <w:t> </w:t>
                        </w:r>
                        <w:r>
                          <w:rPr>
                            <w:sz w:val="19"/>
                          </w:rPr>
                          <w:t>current</w:t>
                        </w:r>
                        <w:r>
                          <w:rPr>
                            <w:spacing w:val="-2"/>
                            <w:sz w:val="19"/>
                          </w:rPr>
                          <w:t> </w:t>
                        </w:r>
                        <w:r>
                          <w:rPr>
                            <w:sz w:val="19"/>
                          </w:rPr>
                          <w:t>liabilities</w:t>
                          <w:tab/>
                        </w:r>
                        <w:hyperlink w:history="true" w:anchor="_bookmark50">
                          <w:r>
                            <w:rPr>
                              <w:color w:val="A7BE39"/>
                              <w:sz w:val="19"/>
                              <w:u w:val="single" w:color="A7BE39"/>
                            </w:rPr>
                            <w:t>32</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4" w:space="0" w:color="000000"/>
                        </w:tcBorders>
                        <w:shd w:val="clear" w:color="auto" w:fill="FAF9F9"/>
                      </w:tcPr>
                      <w:p>
                        <w:pPr>
                          <w:pStyle w:val="TableParagraph"/>
                          <w:ind w:right="110"/>
                          <w:jc w:val="right"/>
                          <w:rPr>
                            <w:sz w:val="19"/>
                          </w:rPr>
                        </w:pPr>
                        <w:r>
                          <w:rPr>
                            <w:w w:val="95"/>
                            <w:sz w:val="19"/>
                          </w:rPr>
                          <w:t>26,996</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b/>
                            <w:sz w:val="19"/>
                          </w:rPr>
                        </w:pPr>
                        <w:r>
                          <w:rPr>
                            <w:b/>
                            <w:sz w:val="19"/>
                          </w:rPr>
                          <w:t>Total current liabilities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tcBorders>
                          <w:top w:val="single" w:sz="4" w:space="0" w:color="000000"/>
                          <w:bottom w:val="single" w:sz="4" w:space="0" w:color="58595B"/>
                        </w:tcBorders>
                        <w:shd w:val="clear" w:color="auto" w:fill="DFE1B8"/>
                      </w:tcPr>
                      <w:p>
                        <w:pPr>
                          <w:pStyle w:val="TableParagraph"/>
                          <w:ind w:right="110"/>
                          <w:jc w:val="right"/>
                          <w:rPr>
                            <w:b/>
                            <w:sz w:val="19"/>
                          </w:rPr>
                        </w:pPr>
                        <w:r>
                          <w:rPr>
                            <w:b/>
                            <w:w w:val="95"/>
                            <w:sz w:val="19"/>
                          </w:rPr>
                          <w:t>205,228</w:t>
                        </w:r>
                      </w:p>
                    </w:tc>
                    <w:tc>
                      <w:tcPr>
                        <w:tcW w:w="1219" w:type="dxa"/>
                        <w:tcBorders>
                          <w:top w:val="single" w:sz="4" w:space="0" w:color="000000"/>
                          <w:bottom w:val="single" w:sz="4" w:space="0" w:color="58595B"/>
                        </w:tcBorders>
                        <w:shd w:val="clear" w:color="auto" w:fill="F4F4F4"/>
                      </w:tcPr>
                      <w:p>
                        <w:pPr>
                          <w:pStyle w:val="TableParagraph"/>
                          <w:ind w:right="110"/>
                          <w:jc w:val="right"/>
                          <w:rPr>
                            <w:b/>
                            <w:sz w:val="19"/>
                          </w:rPr>
                        </w:pPr>
                        <w:r>
                          <w:rPr>
                            <w:b/>
                            <w:w w:val="95"/>
                            <w:sz w:val="19"/>
                          </w:rPr>
                          <w:t>370,217</w:t>
                        </w:r>
                      </w:p>
                    </w:tc>
                  </w:tr>
                  <w:tr>
                    <w:trPr>
                      <w:trHeight w:val="285" w:hRule="atLeast"/>
                    </w:trPr>
                    <w:tc>
                      <w:tcPr>
                        <w:tcW w:w="4974" w:type="dxa"/>
                        <w:gridSpan w:val="2"/>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219" w:type="dxa"/>
                        <w:vMerge w:val="restart"/>
                        <w:tcBorders>
                          <w:top w:val="single" w:sz="4" w:space="0" w:color="58595B"/>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138"/>
                          <w:ind w:left="489" w:right="77"/>
                          <w:jc w:val="center"/>
                          <w:rPr>
                            <w:sz w:val="19"/>
                          </w:rPr>
                        </w:pPr>
                        <w:r>
                          <w:rPr>
                            <w:sz w:val="19"/>
                          </w:rPr>
                          <w:t>77,776</w:t>
                        </w:r>
                      </w:p>
                      <w:p>
                        <w:pPr>
                          <w:pStyle w:val="TableParagraph"/>
                          <w:spacing w:before="87"/>
                          <w:ind w:left="595" w:right="77"/>
                          <w:jc w:val="center"/>
                          <w:rPr>
                            <w:sz w:val="19"/>
                          </w:rPr>
                        </w:pPr>
                        <w:r>
                          <w:rPr>
                            <w:sz w:val="19"/>
                          </w:rPr>
                          <w:t>6,360</w:t>
                        </w:r>
                      </w:p>
                      <w:p>
                        <w:pPr>
                          <w:pStyle w:val="TableParagraph"/>
                          <w:spacing w:before="87"/>
                          <w:ind w:left="384" w:right="77"/>
                          <w:jc w:val="center"/>
                          <w:rPr>
                            <w:sz w:val="19"/>
                          </w:rPr>
                        </w:pPr>
                        <w:r>
                          <w:rPr>
                            <w:sz w:val="19"/>
                          </w:rPr>
                          <w:t>101,251</w:t>
                        </w:r>
                      </w:p>
                    </w:tc>
                    <w:tc>
                      <w:tcPr>
                        <w:tcW w:w="1219" w:type="dxa"/>
                        <w:tcBorders>
                          <w:top w:val="single" w:sz="4" w:space="0" w:color="58595B"/>
                          <w:bottom w:val="single" w:sz="8" w:space="0" w:color="FFFFFF"/>
                        </w:tcBorders>
                        <w:shd w:val="clear" w:color="auto" w:fill="FAF9F9"/>
                      </w:tcPr>
                      <w:p>
                        <w:pPr>
                          <w:pStyle w:val="TableParagraph"/>
                          <w:spacing w:before="0"/>
                          <w:rPr>
                            <w:rFonts w:ascii="Times New Roman"/>
                            <w:sz w:val="18"/>
                          </w:rPr>
                        </w:pP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i/>
                            <w:sz w:val="19"/>
                          </w:rPr>
                        </w:pPr>
                        <w:r>
                          <w:rPr>
                            <w:i/>
                            <w:color w:val="A7BE39"/>
                            <w:sz w:val="19"/>
                          </w:rPr>
                          <w:t>Non-current liabilities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r>
                  <w:tr>
                    <w:trPr>
                      <w:trHeight w:val="285" w:hRule="atLeast"/>
                    </w:trPr>
                    <w:tc>
                      <w:tcPr>
                        <w:tcW w:w="4974" w:type="dxa"/>
                        <w:gridSpan w:val="2"/>
                        <w:tcBorders>
                          <w:top w:val="single" w:sz="8" w:space="0" w:color="FFFFFF"/>
                          <w:bottom w:val="single" w:sz="8" w:space="0" w:color="FFFFFF"/>
                        </w:tcBorders>
                        <w:shd w:val="clear" w:color="auto" w:fill="FAF9F9"/>
                      </w:tcPr>
                      <w:p>
                        <w:pPr>
                          <w:pStyle w:val="TableParagraph"/>
                          <w:tabs>
                            <w:tab w:pos="4697" w:val="right" w:leader="none"/>
                          </w:tabs>
                          <w:ind w:left="113"/>
                          <w:rPr>
                            <w:sz w:val="19"/>
                          </w:rPr>
                        </w:pPr>
                        <w:r>
                          <w:rPr>
                            <w:sz w:val="19"/>
                          </w:rPr>
                          <w:t>Borrowings</w:t>
                          <w:tab/>
                        </w:r>
                        <w:hyperlink w:history="true" w:anchor="_bookmark48">
                          <w:r>
                            <w:rPr>
                              <w:color w:val="A7BE39"/>
                              <w:sz w:val="19"/>
                              <w:u w:val="single" w:color="A7BE39"/>
                            </w:rPr>
                            <w:t>29</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ind w:right="110"/>
                          <w:jc w:val="right"/>
                          <w:rPr>
                            <w:sz w:val="19"/>
                          </w:rPr>
                        </w:pPr>
                        <w:r>
                          <w:rPr>
                            <w:w w:val="95"/>
                            <w:sz w:val="19"/>
                          </w:rPr>
                          <w:t>98,014</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sz w:val="19"/>
                          </w:rPr>
                        </w:pPr>
                        <w:r>
                          <w:rPr>
                            <w:sz w:val="19"/>
                          </w:rPr>
                          <w:t>Provisions</w:t>
                        </w:r>
                      </w:p>
                    </w:tc>
                    <w:tc>
                      <w:tcPr>
                        <w:tcW w:w="765" w:type="dxa"/>
                        <w:tcBorders>
                          <w:top w:val="single" w:sz="8" w:space="0" w:color="FFFFFF"/>
                          <w:left w:val="single" w:sz="8" w:space="0" w:color="FFFFFF"/>
                          <w:bottom w:val="single" w:sz="8" w:space="0" w:color="FFFFFF"/>
                        </w:tcBorders>
                        <w:shd w:val="clear" w:color="auto" w:fill="F4F4F4"/>
                      </w:tcPr>
                      <w:p>
                        <w:pPr>
                          <w:pStyle w:val="TableParagraph"/>
                          <w:ind w:left="240" w:right="246"/>
                          <w:jc w:val="center"/>
                          <w:rPr>
                            <w:sz w:val="19"/>
                          </w:rPr>
                        </w:pPr>
                        <w:hyperlink w:history="true" w:anchor="_bookmark47">
                          <w:r>
                            <w:rPr>
                              <w:color w:val="A7BE39"/>
                              <w:sz w:val="19"/>
                              <w:u w:val="single" w:color="A7BE39"/>
                            </w:rPr>
                            <w:t>30</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6,869</w:t>
                        </w:r>
                      </w:p>
                    </w:tc>
                  </w:tr>
                  <w:tr>
                    <w:trPr>
                      <w:trHeight w:val="285" w:hRule="atLeast"/>
                    </w:trPr>
                    <w:tc>
                      <w:tcPr>
                        <w:tcW w:w="4974" w:type="dxa"/>
                        <w:gridSpan w:val="2"/>
                        <w:tcBorders>
                          <w:top w:val="single" w:sz="8" w:space="0" w:color="FFFFFF"/>
                          <w:bottom w:val="single" w:sz="8" w:space="0" w:color="FFFFFF"/>
                        </w:tcBorders>
                        <w:shd w:val="clear" w:color="auto" w:fill="FAF9F9"/>
                      </w:tcPr>
                      <w:p>
                        <w:pPr>
                          <w:pStyle w:val="TableParagraph"/>
                          <w:tabs>
                            <w:tab w:pos="4697" w:val="right" w:leader="none"/>
                          </w:tabs>
                          <w:ind w:left="113"/>
                          <w:rPr>
                            <w:sz w:val="19"/>
                          </w:rPr>
                        </w:pPr>
                        <w:r>
                          <w:rPr>
                            <w:sz w:val="19"/>
                          </w:rPr>
                          <w:t>Lease</w:t>
                        </w:r>
                        <w:r>
                          <w:rPr>
                            <w:spacing w:val="-2"/>
                            <w:sz w:val="19"/>
                          </w:rPr>
                          <w:t> </w:t>
                        </w:r>
                        <w:r>
                          <w:rPr>
                            <w:sz w:val="19"/>
                          </w:rPr>
                          <w:t>incentives</w:t>
                          <w:tab/>
                        </w:r>
                        <w:hyperlink w:history="true" w:anchor="_bookmark49">
                          <w:r>
                            <w:rPr>
                              <w:color w:val="A7BE39"/>
                              <w:sz w:val="19"/>
                              <w:u w:val="single" w:color="A7BE39"/>
                            </w:rPr>
                            <w:t>31</w:t>
                          </w:r>
                        </w:hyperlink>
                      </w:p>
                    </w:tc>
                    <w:tc>
                      <w:tcPr>
                        <w:tcW w:w="1219" w:type="dxa"/>
                        <w:vMerge/>
                        <w:tcBorders>
                          <w:top w:val="nil"/>
                          <w:bottom w:val="single" w:sz="4" w:space="0" w:color="000000"/>
                        </w:tcBorders>
                        <w:shd w:val="clear" w:color="auto" w:fill="E1E4BB"/>
                      </w:tcPr>
                      <w:p>
                        <w:pPr>
                          <w:rPr>
                            <w:sz w:val="2"/>
                            <w:szCs w:val="2"/>
                          </w:rPr>
                        </w:pPr>
                      </w:p>
                    </w:tc>
                    <w:tc>
                      <w:tcPr>
                        <w:tcW w:w="1219" w:type="dxa"/>
                        <w:tcBorders>
                          <w:top w:val="single" w:sz="8" w:space="0" w:color="FFFFFF"/>
                          <w:bottom w:val="single" w:sz="4" w:space="0" w:color="000000"/>
                        </w:tcBorders>
                        <w:shd w:val="clear" w:color="auto" w:fill="FAF9F9"/>
                      </w:tcPr>
                      <w:p>
                        <w:pPr>
                          <w:pStyle w:val="TableParagraph"/>
                          <w:ind w:right="110"/>
                          <w:jc w:val="right"/>
                          <w:rPr>
                            <w:sz w:val="19"/>
                          </w:rPr>
                        </w:pPr>
                        <w:r>
                          <w:rPr>
                            <w:w w:val="95"/>
                            <w:sz w:val="19"/>
                          </w:rPr>
                          <w:t>85,349</w:t>
                        </w:r>
                      </w:p>
                    </w:tc>
                  </w:tr>
                  <w:tr>
                    <w:trPr>
                      <w:trHeight w:val="285"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ind w:left="113"/>
                          <w:rPr>
                            <w:b/>
                            <w:sz w:val="19"/>
                          </w:rPr>
                        </w:pPr>
                        <w:r>
                          <w:rPr>
                            <w:b/>
                            <w:sz w:val="19"/>
                          </w:rPr>
                          <w:t>Total non-current liabilities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tcBorders>
                          <w:top w:val="single" w:sz="4" w:space="0" w:color="000000"/>
                          <w:bottom w:val="single" w:sz="4" w:space="0" w:color="000000"/>
                        </w:tcBorders>
                        <w:shd w:val="clear" w:color="auto" w:fill="DFE1B8"/>
                      </w:tcPr>
                      <w:p>
                        <w:pPr>
                          <w:pStyle w:val="TableParagraph"/>
                          <w:ind w:right="110"/>
                          <w:jc w:val="right"/>
                          <w:rPr>
                            <w:b/>
                            <w:sz w:val="19"/>
                          </w:rPr>
                        </w:pPr>
                        <w:r>
                          <w:rPr>
                            <w:b/>
                            <w:w w:val="95"/>
                            <w:sz w:val="19"/>
                          </w:rPr>
                          <w:t>185,387</w:t>
                        </w:r>
                      </w:p>
                    </w:tc>
                    <w:tc>
                      <w:tcPr>
                        <w:tcW w:w="1219" w:type="dxa"/>
                        <w:tcBorders>
                          <w:top w:val="single" w:sz="4" w:space="0" w:color="000000"/>
                          <w:bottom w:val="single" w:sz="4" w:space="0" w:color="000000"/>
                        </w:tcBorders>
                        <w:shd w:val="clear" w:color="auto" w:fill="F4F4F4"/>
                      </w:tcPr>
                      <w:p>
                        <w:pPr>
                          <w:pStyle w:val="TableParagraph"/>
                          <w:ind w:right="110"/>
                          <w:jc w:val="right"/>
                          <w:rPr>
                            <w:b/>
                            <w:sz w:val="19"/>
                          </w:rPr>
                        </w:pPr>
                        <w:r>
                          <w:rPr>
                            <w:b/>
                            <w:w w:val="95"/>
                            <w:sz w:val="19"/>
                          </w:rPr>
                          <w:t>190,232</w:t>
                        </w:r>
                      </w:p>
                    </w:tc>
                  </w:tr>
                  <w:tr>
                    <w:trPr>
                      <w:trHeight w:val="273" w:hRule="atLeast"/>
                    </w:trPr>
                    <w:tc>
                      <w:tcPr>
                        <w:tcW w:w="4974" w:type="dxa"/>
                        <w:gridSpan w:val="2"/>
                        <w:tcBorders>
                          <w:top w:val="single" w:sz="8" w:space="0" w:color="FFFFFF"/>
                          <w:bottom w:val="single" w:sz="8" w:space="0" w:color="FFFFFF"/>
                        </w:tcBorders>
                        <w:shd w:val="clear" w:color="auto" w:fill="FAF9F9"/>
                      </w:tcPr>
                      <w:p>
                        <w:pPr>
                          <w:pStyle w:val="TableParagraph"/>
                          <w:ind w:left="113"/>
                          <w:rPr>
                            <w:b/>
                            <w:sz w:val="19"/>
                          </w:rPr>
                        </w:pPr>
                        <w:r>
                          <w:rPr>
                            <w:b/>
                            <w:sz w:val="19"/>
                          </w:rPr>
                          <w:t>TOTAL LIABILITIES</w:t>
                        </w:r>
                      </w:p>
                    </w:tc>
                    <w:tc>
                      <w:tcPr>
                        <w:tcW w:w="1219" w:type="dxa"/>
                        <w:tcBorders>
                          <w:top w:val="single" w:sz="4" w:space="0" w:color="000000"/>
                          <w:bottom w:val="double" w:sz="2" w:space="0" w:color="000000"/>
                        </w:tcBorders>
                        <w:shd w:val="clear" w:color="auto" w:fill="DFE1B8"/>
                      </w:tcPr>
                      <w:p>
                        <w:pPr>
                          <w:pStyle w:val="TableParagraph"/>
                          <w:ind w:right="110"/>
                          <w:jc w:val="right"/>
                          <w:rPr>
                            <w:b/>
                            <w:sz w:val="19"/>
                          </w:rPr>
                        </w:pPr>
                        <w:r>
                          <w:rPr>
                            <w:b/>
                            <w:w w:val="95"/>
                            <w:sz w:val="19"/>
                          </w:rPr>
                          <w:t>390,615</w:t>
                        </w:r>
                      </w:p>
                    </w:tc>
                    <w:tc>
                      <w:tcPr>
                        <w:tcW w:w="1219" w:type="dxa"/>
                        <w:tcBorders>
                          <w:top w:val="single" w:sz="4" w:space="0" w:color="000000"/>
                          <w:bottom w:val="double" w:sz="2" w:space="0" w:color="000000"/>
                        </w:tcBorders>
                        <w:shd w:val="clear" w:color="auto" w:fill="FAF9F9"/>
                      </w:tcPr>
                      <w:p>
                        <w:pPr>
                          <w:pStyle w:val="TableParagraph"/>
                          <w:ind w:right="110"/>
                          <w:jc w:val="right"/>
                          <w:rPr>
                            <w:b/>
                            <w:sz w:val="19"/>
                          </w:rPr>
                        </w:pPr>
                        <w:r>
                          <w:rPr>
                            <w:b/>
                            <w:w w:val="95"/>
                            <w:sz w:val="19"/>
                          </w:rPr>
                          <w:t>560,449</w:t>
                        </w:r>
                      </w:p>
                    </w:tc>
                  </w:tr>
                  <w:tr>
                    <w:trPr>
                      <w:trHeight w:val="27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0"/>
                          <w:rPr>
                            <w:rFonts w:ascii="Times New Roman"/>
                            <w:sz w:val="18"/>
                          </w:rPr>
                        </w:pP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tcBorders>
                          <w:top w:val="double" w:sz="2" w:space="0" w:color="000000"/>
                          <w:bottom w:val="single" w:sz="4" w:space="0" w:color="000000"/>
                        </w:tcBorders>
                        <w:shd w:val="clear" w:color="auto" w:fill="DFE1B8"/>
                      </w:tcPr>
                      <w:p>
                        <w:pPr>
                          <w:pStyle w:val="TableParagraph"/>
                          <w:spacing w:before="0"/>
                          <w:rPr>
                            <w:rFonts w:ascii="Times New Roman"/>
                            <w:sz w:val="18"/>
                          </w:rPr>
                        </w:pPr>
                      </w:p>
                    </w:tc>
                    <w:tc>
                      <w:tcPr>
                        <w:tcW w:w="1219" w:type="dxa"/>
                        <w:tcBorders>
                          <w:top w:val="double" w:sz="2" w:space="0" w:color="000000"/>
                          <w:bottom w:val="single" w:sz="4" w:space="0" w:color="000000"/>
                        </w:tcBorders>
                        <w:shd w:val="clear" w:color="auto" w:fill="F4F4F4"/>
                      </w:tcPr>
                      <w:p>
                        <w:pPr>
                          <w:pStyle w:val="TableParagraph"/>
                          <w:spacing w:before="0"/>
                          <w:rPr>
                            <w:rFonts w:ascii="Times New Roman"/>
                            <w:sz w:val="18"/>
                          </w:rPr>
                        </w:pPr>
                      </w:p>
                    </w:tc>
                  </w:tr>
                  <w:tr>
                    <w:trPr>
                      <w:trHeight w:val="265" w:hRule="atLeast"/>
                    </w:trPr>
                    <w:tc>
                      <w:tcPr>
                        <w:tcW w:w="4974" w:type="dxa"/>
                        <w:gridSpan w:val="2"/>
                        <w:tcBorders>
                          <w:top w:val="single" w:sz="8" w:space="0" w:color="FFFFFF"/>
                          <w:bottom w:val="single" w:sz="8" w:space="0" w:color="FFFFFF"/>
                        </w:tcBorders>
                        <w:shd w:val="clear" w:color="auto" w:fill="FAF9F9"/>
                      </w:tcPr>
                      <w:p>
                        <w:pPr>
                          <w:pStyle w:val="TableParagraph"/>
                          <w:spacing w:line="213" w:lineRule="exact"/>
                          <w:ind w:left="113"/>
                          <w:rPr>
                            <w:b/>
                            <w:sz w:val="19"/>
                          </w:rPr>
                        </w:pPr>
                        <w:r>
                          <w:rPr>
                            <w:b/>
                            <w:sz w:val="19"/>
                          </w:rPr>
                          <w:t>NET ASSETS</w:t>
                        </w:r>
                      </w:p>
                    </w:tc>
                    <w:tc>
                      <w:tcPr>
                        <w:tcW w:w="1219" w:type="dxa"/>
                        <w:tcBorders>
                          <w:top w:val="single" w:sz="4" w:space="0" w:color="000000"/>
                          <w:bottom w:val="single" w:sz="24" w:space="0" w:color="FFFFFF"/>
                        </w:tcBorders>
                        <w:shd w:val="clear" w:color="auto" w:fill="DFE1B8"/>
                      </w:tcPr>
                      <w:p>
                        <w:pPr>
                          <w:pStyle w:val="TableParagraph"/>
                          <w:spacing w:line="213" w:lineRule="exact"/>
                          <w:ind w:right="110"/>
                          <w:jc w:val="right"/>
                          <w:rPr>
                            <w:b/>
                            <w:sz w:val="19"/>
                          </w:rPr>
                        </w:pPr>
                        <w:r>
                          <w:rPr>
                            <w:b/>
                            <w:w w:val="95"/>
                            <w:sz w:val="19"/>
                          </w:rPr>
                          <w:t>1,115,061</w:t>
                        </w:r>
                      </w:p>
                    </w:tc>
                    <w:tc>
                      <w:tcPr>
                        <w:tcW w:w="1219" w:type="dxa"/>
                        <w:tcBorders>
                          <w:top w:val="single" w:sz="4" w:space="0" w:color="000000"/>
                          <w:bottom w:val="single" w:sz="24" w:space="0" w:color="FFFFFF"/>
                        </w:tcBorders>
                        <w:shd w:val="clear" w:color="auto" w:fill="FAF9F9"/>
                      </w:tcPr>
                      <w:p>
                        <w:pPr>
                          <w:pStyle w:val="TableParagraph"/>
                          <w:spacing w:line="213" w:lineRule="exact"/>
                          <w:ind w:right="110"/>
                          <w:jc w:val="right"/>
                          <w:rPr>
                            <w:b/>
                            <w:sz w:val="19"/>
                          </w:rPr>
                        </w:pPr>
                        <w:r>
                          <w:rPr>
                            <w:b/>
                            <w:w w:val="95"/>
                            <w:sz w:val="19"/>
                          </w:rPr>
                          <w:t>1,075,236</w:t>
                        </w:r>
                      </w:p>
                    </w:tc>
                  </w:tr>
                </w:tbl>
                <w:p>
                  <w:pPr>
                    <w:pStyle w:val="BodyText"/>
                  </w:pPr>
                </w:p>
              </w:txbxContent>
            </v:textbox>
            <w10:wrap type="none"/>
          </v:shape>
        </w:pict>
      </w:r>
      <w:r>
        <w:rPr>
          <w:b/>
          <w:w w:val="95"/>
          <w:sz w:val="19"/>
        </w:rPr>
        <w:t>$000</w:t>
      </w:r>
    </w:p>
    <w:p>
      <w:pPr>
        <w:spacing w:before="126"/>
        <w:ind w:left="738" w:right="881" w:firstLine="0"/>
        <w:jc w:val="center"/>
        <w:rPr>
          <w:b/>
          <w:sz w:val="19"/>
        </w:rPr>
      </w:pPr>
      <w:r>
        <w:rPr/>
        <w:br w:type="column"/>
      </w:r>
      <w:r>
        <w:rPr>
          <w:b/>
          <w:sz w:val="19"/>
        </w:rPr>
        <w:t>2016</w:t>
      </w:r>
    </w:p>
    <w:p>
      <w:pPr>
        <w:spacing w:before="10"/>
        <w:ind w:left="738" w:right="881" w:firstLine="0"/>
        <w:jc w:val="center"/>
        <w:rPr>
          <w:b/>
          <w:sz w:val="19"/>
        </w:rPr>
      </w:pPr>
      <w:r>
        <w:rPr>
          <w:b/>
          <w:sz w:val="19"/>
        </w:rPr>
        <w:t>$000</w:t>
      </w:r>
    </w:p>
    <w:p>
      <w:pPr>
        <w:spacing w:after="0"/>
        <w:jc w:val="center"/>
        <w:rPr>
          <w:sz w:val="19"/>
        </w:rPr>
        <w:sectPr>
          <w:type w:val="continuous"/>
          <w:pgSz w:w="16840" w:h="11910" w:orient="landscape"/>
          <w:pgMar w:top="0" w:bottom="0" w:left="0" w:right="0"/>
          <w:cols w:num="4" w:equalWidth="0">
            <w:col w:w="6846" w:space="40"/>
            <w:col w:w="1179" w:space="39"/>
            <w:col w:w="6613" w:space="40"/>
            <w:col w:w="2083"/>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0"/>
        </w:rPr>
      </w:pPr>
    </w:p>
    <w:p>
      <w:pPr>
        <w:spacing w:before="0"/>
        <w:ind w:left="8636" w:right="0" w:firstLine="0"/>
        <w:jc w:val="left"/>
        <w:rPr>
          <w:sz w:val="19"/>
        </w:rPr>
      </w:pPr>
      <w:r>
        <w:rPr/>
        <w:pict>
          <v:group style="position:absolute;margin-left:680.565002pt;margin-top:-13.283514pt;width:121.9pt;height:.550pt;mso-position-horizontal-relative:page;mso-position-vertical-relative:paragraph;z-index:10048" coordorigin="13611,-266" coordsize="2438,11">
            <v:line style="position:absolute" from="13611,-261" to="14830,-261" stroked="true" strokeweight=".501pt" strokecolor="#000000">
              <v:stroke dashstyle="solid"/>
            </v:line>
            <v:line style="position:absolute" from="14830,-261" to="16049,-261" stroked="true" strokeweight=".501pt" strokecolor="#000000">
              <v:stroke dashstyle="solid"/>
            </v:line>
            <w10:wrap type="none"/>
          </v:group>
        </w:pict>
      </w:r>
      <w:r>
        <w:rPr/>
        <w:pict>
          <v:shape style="position:absolute;margin-left:431.824799pt;margin-top:-75.679916pt;width:370.65pt;height:62.9pt;mso-position-horizontal-relative:page;mso-position-vertical-relative:paragraph;z-index:1031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765"/>
                    <w:gridCol w:w="1219"/>
                    <w:gridCol w:w="1219"/>
                  </w:tblGrid>
                  <w:tr>
                    <w:trPr>
                      <w:trHeight w:val="310" w:hRule="atLeast"/>
                    </w:trPr>
                    <w:tc>
                      <w:tcPr>
                        <w:tcW w:w="7412" w:type="dxa"/>
                        <w:gridSpan w:val="4"/>
                        <w:shd w:val="clear" w:color="auto" w:fill="783A79"/>
                      </w:tcPr>
                      <w:p>
                        <w:pPr>
                          <w:pStyle w:val="TableParagraph"/>
                          <w:tabs>
                            <w:tab w:pos="4697" w:val="right" w:leader="none"/>
                          </w:tabs>
                          <w:spacing w:before="47"/>
                          <w:ind w:left="113"/>
                          <w:rPr>
                            <w:sz w:val="19"/>
                          </w:rPr>
                        </w:pPr>
                        <w:r>
                          <w:rPr>
                            <w:b/>
                            <w:color w:val="FFFFFF"/>
                            <w:sz w:val="19"/>
                          </w:rPr>
                          <w:t>Equity</w:t>
                          <w:tab/>
                        </w:r>
                        <w:hyperlink w:history="true" w:anchor="_bookmark51">
                          <w:r>
                            <w:rPr>
                              <w:color w:val="A7BE39"/>
                              <w:sz w:val="19"/>
                              <w:u w:val="single" w:color="A7BE39"/>
                            </w:rPr>
                            <w:t>33</w:t>
                          </w:r>
                        </w:hyperlink>
                      </w:p>
                    </w:tc>
                  </w:tr>
                  <w:tr>
                    <w:trPr>
                      <w:trHeight w:val="295" w:hRule="atLeast"/>
                    </w:trPr>
                    <w:tc>
                      <w:tcPr>
                        <w:tcW w:w="4974" w:type="dxa"/>
                        <w:gridSpan w:val="2"/>
                        <w:vMerge w:val="restart"/>
                        <w:shd w:val="clear" w:color="auto" w:fill="FFFFFF"/>
                      </w:tcPr>
                      <w:p>
                        <w:pPr>
                          <w:pStyle w:val="TableParagraph"/>
                          <w:spacing w:before="42"/>
                          <w:ind w:left="113"/>
                          <w:rPr>
                            <w:sz w:val="19"/>
                          </w:rPr>
                        </w:pPr>
                        <w:r>
                          <w:rPr>
                            <w:sz w:val="19"/>
                          </w:rPr>
                          <w:t>Contributed equity</w:t>
                        </w:r>
                      </w:p>
                      <w:p>
                        <w:pPr>
                          <w:pStyle w:val="TableParagraph"/>
                          <w:spacing w:before="87"/>
                          <w:ind w:left="113"/>
                          <w:rPr>
                            <w:sz w:val="19"/>
                          </w:rPr>
                        </w:pPr>
                        <w:r>
                          <w:rPr>
                            <w:sz w:val="19"/>
                          </w:rPr>
                          <w:t>Accumulated surplus</w:t>
                        </w:r>
                      </w:p>
                    </w:tc>
                    <w:tc>
                      <w:tcPr>
                        <w:tcW w:w="1219" w:type="dxa"/>
                        <w:vMerge w:val="restart"/>
                        <w:tcBorders>
                          <w:bottom w:val="single" w:sz="4" w:space="0" w:color="000000"/>
                        </w:tcBorders>
                        <w:shd w:val="clear" w:color="auto" w:fill="DFE1B8"/>
                      </w:tcPr>
                      <w:p>
                        <w:pPr>
                          <w:pStyle w:val="TableParagraph"/>
                          <w:spacing w:before="42"/>
                          <w:ind w:left="261"/>
                          <w:rPr>
                            <w:sz w:val="19"/>
                          </w:rPr>
                        </w:pPr>
                        <w:r>
                          <w:rPr>
                            <w:sz w:val="19"/>
                          </w:rPr>
                          <w:t>1,055,928</w:t>
                        </w:r>
                      </w:p>
                      <w:p>
                        <w:pPr>
                          <w:pStyle w:val="TableParagraph"/>
                          <w:spacing w:before="87"/>
                          <w:ind w:left="525"/>
                          <w:rPr>
                            <w:sz w:val="19"/>
                          </w:rPr>
                        </w:pPr>
                        <w:r>
                          <w:rPr>
                            <w:sz w:val="19"/>
                          </w:rPr>
                          <w:t>59,133</w:t>
                        </w:r>
                      </w:p>
                    </w:tc>
                    <w:tc>
                      <w:tcPr>
                        <w:tcW w:w="1219" w:type="dxa"/>
                        <w:tcBorders>
                          <w:bottom w:val="single" w:sz="8" w:space="0" w:color="FFFFFF"/>
                        </w:tcBorders>
                        <w:shd w:val="clear" w:color="auto" w:fill="F4F4F4"/>
                      </w:tcPr>
                      <w:p>
                        <w:pPr>
                          <w:pStyle w:val="TableParagraph"/>
                          <w:spacing w:before="42"/>
                          <w:ind w:right="110"/>
                          <w:jc w:val="right"/>
                          <w:rPr>
                            <w:sz w:val="19"/>
                          </w:rPr>
                        </w:pPr>
                        <w:r>
                          <w:rPr>
                            <w:w w:val="95"/>
                            <w:sz w:val="19"/>
                          </w:rPr>
                          <w:t>1,026,944</w:t>
                        </w:r>
                      </w:p>
                    </w:tc>
                  </w:tr>
                  <w:tr>
                    <w:trPr>
                      <w:trHeight w:val="290" w:hRule="atLeast"/>
                    </w:trPr>
                    <w:tc>
                      <w:tcPr>
                        <w:tcW w:w="4974" w:type="dxa"/>
                        <w:gridSpan w:val="2"/>
                        <w:vMerge/>
                        <w:tcBorders>
                          <w:top w:val="nil"/>
                        </w:tcBorders>
                        <w:shd w:val="clear" w:color="auto" w:fill="FFFFFF"/>
                      </w:tcPr>
                      <w:p>
                        <w:pPr>
                          <w:rPr>
                            <w:sz w:val="2"/>
                            <w:szCs w:val="2"/>
                          </w:rPr>
                        </w:pPr>
                      </w:p>
                    </w:tc>
                    <w:tc>
                      <w:tcPr>
                        <w:tcW w:w="1219" w:type="dxa"/>
                        <w:vMerge/>
                        <w:tcBorders>
                          <w:top w:val="nil"/>
                          <w:bottom w:val="single" w:sz="4" w:space="0" w:color="000000"/>
                        </w:tcBorders>
                        <w:shd w:val="clear" w:color="auto" w:fill="DFE1B8"/>
                      </w:tcPr>
                      <w:p>
                        <w:pPr>
                          <w:rPr>
                            <w:sz w:val="2"/>
                            <w:szCs w:val="2"/>
                          </w:rPr>
                        </w:pPr>
                      </w:p>
                    </w:tc>
                    <w:tc>
                      <w:tcPr>
                        <w:tcW w:w="1219" w:type="dxa"/>
                        <w:tcBorders>
                          <w:top w:val="single" w:sz="8" w:space="0" w:color="FFFFFF"/>
                          <w:bottom w:val="single" w:sz="4" w:space="0" w:color="000000"/>
                        </w:tcBorders>
                        <w:shd w:val="clear" w:color="auto" w:fill="FAF9F9"/>
                      </w:tcPr>
                      <w:p>
                        <w:pPr>
                          <w:pStyle w:val="TableParagraph"/>
                          <w:ind w:right="110"/>
                          <w:jc w:val="right"/>
                          <w:rPr>
                            <w:sz w:val="19"/>
                          </w:rPr>
                        </w:pPr>
                        <w:r>
                          <w:rPr>
                            <w:w w:val="95"/>
                            <w:sz w:val="19"/>
                          </w:rPr>
                          <w:t>48,292</w:t>
                        </w:r>
                      </w:p>
                    </w:tc>
                  </w:tr>
                  <w:tr>
                    <w:trPr>
                      <w:trHeight w:val="270" w:hRule="atLeast"/>
                    </w:trPr>
                    <w:tc>
                      <w:tcPr>
                        <w:tcW w:w="4209" w:type="dxa"/>
                        <w:tcBorders>
                          <w:bottom w:val="single" w:sz="8" w:space="0" w:color="FFFFFF"/>
                          <w:right w:val="single" w:sz="8" w:space="0" w:color="FFFFFF"/>
                        </w:tcBorders>
                        <w:shd w:val="clear" w:color="auto" w:fill="F4F4F4"/>
                      </w:tcPr>
                      <w:p>
                        <w:pPr>
                          <w:pStyle w:val="TableParagraph"/>
                          <w:spacing w:line="213" w:lineRule="exact" w:before="37"/>
                          <w:ind w:left="113"/>
                          <w:rPr>
                            <w:b/>
                            <w:sz w:val="19"/>
                          </w:rPr>
                        </w:pPr>
                        <w:r>
                          <w:rPr>
                            <w:b/>
                            <w:sz w:val="19"/>
                          </w:rPr>
                          <w:t>TOTAL EQUITY</w:t>
                        </w:r>
                      </w:p>
                    </w:tc>
                    <w:tc>
                      <w:tcPr>
                        <w:tcW w:w="765" w:type="dxa"/>
                        <w:tcBorders>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tcBorders>
                          <w:top w:val="single" w:sz="4" w:space="0" w:color="000000"/>
                          <w:bottom w:val="single" w:sz="24" w:space="0" w:color="FFFFFF"/>
                        </w:tcBorders>
                        <w:shd w:val="clear" w:color="auto" w:fill="DFE1B8"/>
                      </w:tcPr>
                      <w:p>
                        <w:pPr>
                          <w:pStyle w:val="TableParagraph"/>
                          <w:spacing w:line="213" w:lineRule="exact" w:before="37"/>
                          <w:ind w:left="261"/>
                          <w:rPr>
                            <w:b/>
                            <w:sz w:val="19"/>
                          </w:rPr>
                        </w:pPr>
                        <w:r>
                          <w:rPr>
                            <w:b/>
                            <w:sz w:val="19"/>
                          </w:rPr>
                          <w:t>1,115,061</w:t>
                        </w:r>
                      </w:p>
                    </w:tc>
                    <w:tc>
                      <w:tcPr>
                        <w:tcW w:w="1219" w:type="dxa"/>
                        <w:tcBorders>
                          <w:top w:val="single" w:sz="4" w:space="0" w:color="000000"/>
                          <w:bottom w:val="single" w:sz="24" w:space="0" w:color="FFFFFF"/>
                        </w:tcBorders>
                        <w:shd w:val="clear" w:color="auto" w:fill="F4F4F4"/>
                      </w:tcPr>
                      <w:p>
                        <w:pPr>
                          <w:pStyle w:val="TableParagraph"/>
                          <w:spacing w:line="213" w:lineRule="exact" w:before="37"/>
                          <w:ind w:right="110"/>
                          <w:jc w:val="right"/>
                          <w:rPr>
                            <w:b/>
                            <w:sz w:val="19"/>
                          </w:rPr>
                        </w:pPr>
                        <w:r>
                          <w:rPr>
                            <w:b/>
                            <w:w w:val="95"/>
                            <w:sz w:val="19"/>
                          </w:rPr>
                          <w:t>1,075,236</w:t>
                        </w:r>
                      </w:p>
                    </w:tc>
                  </w:tr>
                </w:tbl>
                <w:p>
                  <w:pPr>
                    <w:pStyle w:val="BodyText"/>
                  </w:pPr>
                </w:p>
              </w:txbxContent>
            </v:textbox>
            <w10:wrap type="none"/>
          </v:shape>
        </w:pict>
      </w:r>
      <w:r>
        <w:rPr>
          <w:sz w:val="19"/>
        </w:rPr>
        <w:t>See also ‘</w:t>
      </w:r>
      <w:hyperlink w:history="true" w:anchor="_bookmark25">
        <w:r>
          <w:rPr>
            <w:color w:val="A7BE39"/>
            <w:sz w:val="19"/>
            <w:u w:val="single" w:color="A7BE39"/>
          </w:rPr>
          <w:t>Schedule of Assets and Liabilities by Service</w:t>
        </w:r>
      </w:hyperlink>
      <w:r>
        <w:rPr>
          <w:sz w:val="19"/>
        </w:rPr>
        <w:t>’.</w:t>
      </w:r>
    </w:p>
    <w:p>
      <w:pPr>
        <w:pStyle w:val="BodyText"/>
        <w:spacing w:before="8"/>
        <w:rPr>
          <w:sz w:val="20"/>
        </w:rPr>
      </w:pPr>
    </w:p>
    <w:p>
      <w:pPr>
        <w:spacing w:line="249" w:lineRule="auto" w:before="0"/>
        <w:ind w:left="8636" w:right="2471" w:firstLine="0"/>
        <w:jc w:val="left"/>
        <w:rPr>
          <w:sz w:val="19"/>
        </w:rPr>
      </w:pPr>
      <w:r>
        <w:rPr>
          <w:sz w:val="19"/>
        </w:rPr>
        <w:t>The</w:t>
      </w:r>
      <w:r>
        <w:rPr>
          <w:spacing w:val="-19"/>
          <w:sz w:val="19"/>
        </w:rPr>
        <w:t> </w:t>
      </w:r>
      <w:r>
        <w:rPr>
          <w:sz w:val="19"/>
        </w:rPr>
        <w:t>Statement</w:t>
      </w:r>
      <w:r>
        <w:rPr>
          <w:spacing w:val="-18"/>
          <w:sz w:val="19"/>
        </w:rPr>
        <w:t> </w:t>
      </w:r>
      <w:r>
        <w:rPr>
          <w:sz w:val="19"/>
        </w:rPr>
        <w:t>of</w:t>
      </w:r>
      <w:r>
        <w:rPr>
          <w:spacing w:val="-19"/>
          <w:sz w:val="19"/>
        </w:rPr>
        <w:t> </w:t>
      </w:r>
      <w:r>
        <w:rPr>
          <w:sz w:val="19"/>
        </w:rPr>
        <w:t>Financial</w:t>
      </w:r>
      <w:r>
        <w:rPr>
          <w:spacing w:val="-18"/>
          <w:sz w:val="19"/>
        </w:rPr>
        <w:t> </w:t>
      </w:r>
      <w:r>
        <w:rPr>
          <w:sz w:val="19"/>
        </w:rPr>
        <w:t>Position</w:t>
      </w:r>
      <w:r>
        <w:rPr>
          <w:spacing w:val="-19"/>
          <w:sz w:val="19"/>
        </w:rPr>
        <w:t> </w:t>
      </w:r>
      <w:r>
        <w:rPr>
          <w:sz w:val="19"/>
        </w:rPr>
        <w:t>should</w:t>
      </w:r>
      <w:r>
        <w:rPr>
          <w:spacing w:val="-19"/>
          <w:sz w:val="19"/>
        </w:rPr>
        <w:t> </w:t>
      </w:r>
      <w:r>
        <w:rPr>
          <w:sz w:val="19"/>
        </w:rPr>
        <w:t>be</w:t>
      </w:r>
      <w:r>
        <w:rPr>
          <w:spacing w:val="-18"/>
          <w:sz w:val="19"/>
        </w:rPr>
        <w:t> </w:t>
      </w:r>
      <w:r>
        <w:rPr>
          <w:sz w:val="19"/>
        </w:rPr>
        <w:t>read</w:t>
      </w:r>
      <w:r>
        <w:rPr>
          <w:spacing w:val="-19"/>
          <w:sz w:val="19"/>
        </w:rPr>
        <w:t> </w:t>
      </w:r>
      <w:r>
        <w:rPr>
          <w:sz w:val="19"/>
        </w:rPr>
        <w:t>in</w:t>
      </w:r>
      <w:r>
        <w:rPr>
          <w:spacing w:val="-18"/>
          <w:sz w:val="19"/>
        </w:rPr>
        <w:t> </w:t>
      </w:r>
      <w:r>
        <w:rPr>
          <w:sz w:val="19"/>
        </w:rPr>
        <w:t>conjunction</w:t>
      </w:r>
      <w:r>
        <w:rPr>
          <w:spacing w:val="-19"/>
          <w:sz w:val="19"/>
        </w:rPr>
        <w:t> </w:t>
      </w:r>
      <w:r>
        <w:rPr>
          <w:spacing w:val="-4"/>
          <w:sz w:val="19"/>
        </w:rPr>
        <w:t>with </w:t>
      </w:r>
      <w:r>
        <w:rPr>
          <w:sz w:val="19"/>
        </w:rPr>
        <w:t>the accompanying</w:t>
      </w:r>
      <w:r>
        <w:rPr>
          <w:spacing w:val="-2"/>
          <w:sz w:val="19"/>
        </w:rPr>
        <w:t> </w:t>
      </w:r>
      <w:r>
        <w:rPr>
          <w:sz w:val="19"/>
        </w:rPr>
        <w:t>notes.</w:t>
      </w:r>
    </w:p>
    <w:p>
      <w:pPr>
        <w:pStyle w:val="BodyText"/>
        <w:spacing w:before="5"/>
        <w:rPr>
          <w:sz w:val="17"/>
        </w:rPr>
      </w:pPr>
    </w:p>
    <w:p>
      <w:pPr>
        <w:tabs>
          <w:tab w:pos="1227" w:val="left" w:leader="none"/>
          <w:tab w:pos="4671" w:val="left" w:leader="none"/>
          <w:tab w:pos="16072" w:val="left" w:leader="none"/>
        </w:tabs>
        <w:spacing w:before="1"/>
        <w:ind w:left="765" w:right="0" w:firstLine="0"/>
        <w:jc w:val="left"/>
        <w:rPr>
          <w:sz w:val="16"/>
        </w:rPr>
      </w:pPr>
      <w:r>
        <w:rPr>
          <w:b/>
          <w:color w:val="6F2770"/>
          <w:sz w:val="16"/>
        </w:rPr>
        <w:t>30</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pStyle w:val="BodyText"/>
        <w:ind w:left="2397"/>
        <w:rPr>
          <w:sz w:val="20"/>
        </w:rPr>
      </w:pPr>
      <w:bookmarkStart w:name="_bookmark22" w:id="23"/>
      <w:bookmarkEnd w:id="23"/>
      <w:r>
        <w:rPr/>
      </w: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rPr>
          <w:sz w:val="20"/>
        </w:rPr>
      </w:pPr>
    </w:p>
    <w:p>
      <w:pPr>
        <w:pStyle w:val="BodyText"/>
        <w:spacing w:before="8"/>
        <w:rPr>
          <w:sz w:val="20"/>
        </w:rPr>
      </w:pPr>
    </w:p>
    <w:p>
      <w:pPr>
        <w:pStyle w:val="Heading2"/>
        <w:spacing w:before="95"/>
      </w:pPr>
      <w:r>
        <w:rPr/>
        <w:pict>
          <v:group style="position:absolute;margin-left:763.172119pt;margin-top:-13.891722pt;width:61.1pt;height:45.2pt;mso-position-horizontal-relative:page;mso-position-vertical-relative:paragraph;z-index:10480" coordorigin="15263,-278" coordsize="1222,904">
            <v:shape style="position:absolute;left:15424;top:-278;width:900;height:904" coordorigin="15424,-278" coordsize="900,904" path="m15874,-278l15424,172,15424,175,15874,625,16324,175,16324,172,15874,-278xe" filled="true" fillcolor="#c4cd71" stroked="false">
              <v:path arrowok="t"/>
              <v:fill type="solid"/>
            </v:shape>
            <v:shape style="position:absolute;left:15263;top:12;width:161;height:322" type="#_x0000_t75" stroked="false">
              <v:imagedata r:id="rId16" o:title=""/>
            </v:shape>
            <v:shape style="position:absolute;left:16324;top:12;width:161;height:322" type="#_x0000_t75" stroked="false">
              <v:imagedata r:id="rId11" o:title=""/>
            </v:shape>
            <v:shape style="position:absolute;left:15263;top:-278;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67.671722pt;width:120.3pt;height:42.55pt;mso-position-horizontal-relative:page;mso-position-vertical-relative:paragraph;z-index:10528" coordorigin="0,-1353" coordsize="2406,851">
            <v:rect style="position:absolute;left:0;top:-1354;width:2406;height:851" filled="true" fillcolor="#aebd37" stroked="false">
              <v:fill type="solid"/>
            </v:rect>
            <v:line style="position:absolute" from="0,-1353" to="0,-503" stroked="true" strokeweight="0pt" strokecolor="#aebd37">
              <v:stroke dashstyle="solid"/>
            </v:line>
            <v:shape style="position:absolute;left:0;top:-1354;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67.671722pt;width:360.85pt;height:42.55pt;mso-position-horizontal-relative:page;mso-position-vertical-relative:paragraph;z-index:10624" coordorigin="9622,-1353" coordsize="7217,851">
            <v:rect style="position:absolute;left:14432;top:-1354;width:2406;height:851" filled="true" fillcolor="#aebd37" stroked="false">
              <v:fill type="solid"/>
            </v:rect>
            <v:shape style="position:absolute;left:14432;top:-1354;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54;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354;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rPr>
        <w:t>Statement of Changes in Equity</w:t>
      </w:r>
    </w:p>
    <w:p>
      <w:pPr>
        <w:pStyle w:val="Heading4"/>
        <w:spacing w:before="28" w:after="56"/>
      </w:pPr>
      <w:r>
        <w:rPr>
          <w:color w:val="A7BE39"/>
        </w:rPr>
        <w:t>For the year ended 30 June 2017</w:t>
      </w:r>
    </w:p>
    <w:tbl>
      <w:tblPr>
        <w:tblW w:w="0" w:type="auto"/>
        <w:jc w:val="left"/>
        <w:tblInd w:w="7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471"/>
        <w:gridCol w:w="765"/>
        <w:gridCol w:w="2267"/>
        <w:gridCol w:w="1700"/>
        <w:gridCol w:w="3401"/>
        <w:gridCol w:w="1700"/>
      </w:tblGrid>
      <w:tr>
        <w:trPr>
          <w:trHeight w:val="538" w:hRule="atLeast"/>
        </w:trPr>
        <w:tc>
          <w:tcPr>
            <w:tcW w:w="6236" w:type="dxa"/>
            <w:gridSpan w:val="2"/>
            <w:tcBorders>
              <w:top w:val="nil"/>
              <w:left w:val="nil"/>
              <w:bottom w:val="nil"/>
              <w:right w:val="nil"/>
            </w:tcBorders>
            <w:shd w:val="clear" w:color="auto" w:fill="783A79"/>
          </w:tcPr>
          <w:p>
            <w:pPr>
              <w:pStyle w:val="TableParagraph"/>
              <w:spacing w:before="47"/>
              <w:ind w:right="164"/>
              <w:jc w:val="right"/>
              <w:rPr>
                <w:b/>
                <w:sz w:val="19"/>
              </w:rPr>
            </w:pPr>
            <w:r>
              <w:rPr>
                <w:b/>
                <w:color w:val="FFFFFF"/>
                <w:sz w:val="19"/>
              </w:rPr>
              <w:t>Note</w:t>
            </w:r>
          </w:p>
        </w:tc>
        <w:tc>
          <w:tcPr>
            <w:tcW w:w="2267" w:type="dxa"/>
            <w:tcBorders>
              <w:top w:val="nil"/>
              <w:left w:val="nil"/>
              <w:bottom w:val="nil"/>
              <w:right w:val="nil"/>
            </w:tcBorders>
            <w:shd w:val="clear" w:color="auto" w:fill="783A79"/>
          </w:tcPr>
          <w:p>
            <w:pPr>
              <w:pStyle w:val="TableParagraph"/>
              <w:spacing w:before="47"/>
              <w:ind w:right="110"/>
              <w:jc w:val="right"/>
              <w:rPr>
                <w:b/>
                <w:sz w:val="19"/>
              </w:rPr>
            </w:pPr>
            <w:r>
              <w:rPr>
                <w:b/>
                <w:color w:val="FFFFFF"/>
                <w:sz w:val="19"/>
              </w:rPr>
              <w:t>Contributed</w:t>
            </w:r>
            <w:r>
              <w:rPr>
                <w:b/>
                <w:color w:val="FFFFFF"/>
                <w:spacing w:val="-11"/>
                <w:sz w:val="19"/>
              </w:rPr>
              <w:t> </w:t>
            </w:r>
            <w:r>
              <w:rPr>
                <w:b/>
                <w:color w:val="FFFFFF"/>
                <w:sz w:val="19"/>
              </w:rPr>
              <w:t>Equity</w:t>
            </w:r>
          </w:p>
          <w:p>
            <w:pPr>
              <w:pStyle w:val="TableParagraph"/>
              <w:spacing w:before="10"/>
              <w:ind w:right="110"/>
              <w:jc w:val="right"/>
              <w:rPr>
                <w:b/>
                <w:sz w:val="19"/>
              </w:rPr>
            </w:pPr>
            <w:r>
              <w:rPr>
                <w:b/>
                <w:color w:val="FFFFFF"/>
                <w:w w:val="95"/>
                <w:sz w:val="19"/>
              </w:rPr>
              <w:t>$000</w:t>
            </w:r>
          </w:p>
        </w:tc>
        <w:tc>
          <w:tcPr>
            <w:tcW w:w="1700" w:type="dxa"/>
            <w:tcBorders>
              <w:top w:val="nil"/>
              <w:left w:val="nil"/>
              <w:bottom w:val="nil"/>
              <w:right w:val="nil"/>
            </w:tcBorders>
            <w:shd w:val="clear" w:color="auto" w:fill="783A79"/>
          </w:tcPr>
          <w:p>
            <w:pPr>
              <w:pStyle w:val="TableParagraph"/>
              <w:spacing w:before="47"/>
              <w:ind w:right="109"/>
              <w:jc w:val="right"/>
              <w:rPr>
                <w:b/>
                <w:sz w:val="19"/>
              </w:rPr>
            </w:pPr>
            <w:r>
              <w:rPr>
                <w:b/>
                <w:color w:val="FFFFFF"/>
                <w:w w:val="95"/>
                <w:sz w:val="19"/>
              </w:rPr>
              <w:t>Reserves</w:t>
            </w:r>
          </w:p>
          <w:p>
            <w:pPr>
              <w:pStyle w:val="TableParagraph"/>
              <w:spacing w:before="10"/>
              <w:ind w:right="109"/>
              <w:jc w:val="right"/>
              <w:rPr>
                <w:b/>
                <w:sz w:val="19"/>
              </w:rPr>
            </w:pPr>
            <w:r>
              <w:rPr>
                <w:b/>
                <w:color w:val="FFFFFF"/>
                <w:w w:val="95"/>
                <w:sz w:val="19"/>
              </w:rPr>
              <w:t>$000</w:t>
            </w:r>
          </w:p>
        </w:tc>
        <w:tc>
          <w:tcPr>
            <w:tcW w:w="3401" w:type="dxa"/>
            <w:tcBorders>
              <w:top w:val="nil"/>
              <w:left w:val="nil"/>
              <w:bottom w:val="nil"/>
              <w:right w:val="nil"/>
            </w:tcBorders>
            <w:shd w:val="clear" w:color="auto" w:fill="783A79"/>
          </w:tcPr>
          <w:p>
            <w:pPr>
              <w:pStyle w:val="TableParagraph"/>
              <w:spacing w:before="47"/>
              <w:ind w:right="108"/>
              <w:jc w:val="right"/>
              <w:rPr>
                <w:b/>
                <w:sz w:val="19"/>
              </w:rPr>
            </w:pPr>
            <w:r>
              <w:rPr>
                <w:b/>
                <w:color w:val="FFFFFF"/>
                <w:sz w:val="19"/>
              </w:rPr>
              <w:t>Accumulated</w:t>
            </w:r>
            <w:r>
              <w:rPr>
                <w:b/>
                <w:color w:val="FFFFFF"/>
                <w:spacing w:val="-5"/>
                <w:sz w:val="19"/>
              </w:rPr>
              <w:t> </w:t>
            </w:r>
            <w:r>
              <w:rPr>
                <w:b/>
                <w:color w:val="FFFFFF"/>
                <w:sz w:val="19"/>
              </w:rPr>
              <w:t>surplus/(deficit)</w:t>
            </w:r>
          </w:p>
          <w:p>
            <w:pPr>
              <w:pStyle w:val="TableParagraph"/>
              <w:spacing w:before="10"/>
              <w:ind w:right="108"/>
              <w:jc w:val="right"/>
              <w:rPr>
                <w:b/>
                <w:sz w:val="19"/>
              </w:rPr>
            </w:pPr>
            <w:r>
              <w:rPr>
                <w:b/>
                <w:color w:val="FFFFFF"/>
                <w:w w:val="95"/>
                <w:sz w:val="19"/>
              </w:rPr>
              <w:t>$000</w:t>
            </w:r>
          </w:p>
        </w:tc>
        <w:tc>
          <w:tcPr>
            <w:tcW w:w="1700" w:type="dxa"/>
            <w:tcBorders>
              <w:top w:val="nil"/>
              <w:left w:val="nil"/>
              <w:bottom w:val="nil"/>
              <w:right w:val="nil"/>
            </w:tcBorders>
            <w:shd w:val="clear" w:color="auto" w:fill="783A79"/>
          </w:tcPr>
          <w:p>
            <w:pPr>
              <w:pStyle w:val="TableParagraph"/>
              <w:spacing w:before="47"/>
              <w:ind w:right="108"/>
              <w:jc w:val="right"/>
              <w:rPr>
                <w:b/>
                <w:sz w:val="19"/>
              </w:rPr>
            </w:pPr>
            <w:r>
              <w:rPr>
                <w:b/>
                <w:color w:val="FFFFFF"/>
                <w:spacing w:val="-5"/>
                <w:sz w:val="19"/>
              </w:rPr>
              <w:t>Total </w:t>
            </w:r>
            <w:r>
              <w:rPr>
                <w:b/>
                <w:color w:val="FFFFFF"/>
                <w:spacing w:val="-3"/>
                <w:sz w:val="19"/>
              </w:rPr>
              <w:t> </w:t>
            </w:r>
            <w:r>
              <w:rPr>
                <w:b/>
                <w:color w:val="FFFFFF"/>
                <w:sz w:val="19"/>
              </w:rPr>
              <w:t>Equity</w:t>
            </w:r>
          </w:p>
          <w:p>
            <w:pPr>
              <w:pStyle w:val="TableParagraph"/>
              <w:spacing w:before="10"/>
              <w:ind w:right="108"/>
              <w:jc w:val="right"/>
              <w:rPr>
                <w:b/>
                <w:sz w:val="19"/>
              </w:rPr>
            </w:pPr>
            <w:r>
              <w:rPr>
                <w:b/>
                <w:color w:val="FFFFFF"/>
                <w:w w:val="95"/>
                <w:sz w:val="19"/>
              </w:rPr>
              <w:t>$000</w:t>
            </w:r>
          </w:p>
        </w:tc>
      </w:tr>
      <w:tr>
        <w:trPr>
          <w:trHeight w:val="327" w:hRule="atLeast"/>
        </w:trPr>
        <w:tc>
          <w:tcPr>
            <w:tcW w:w="5471" w:type="dxa"/>
            <w:tcBorders>
              <w:top w:val="nil"/>
              <w:left w:val="nil"/>
              <w:bottom w:val="nil"/>
            </w:tcBorders>
            <w:shd w:val="clear" w:color="auto" w:fill="F4F4F4"/>
          </w:tcPr>
          <w:p>
            <w:pPr>
              <w:pStyle w:val="TableParagraph"/>
              <w:spacing w:before="0"/>
              <w:rPr>
                <w:rFonts w:ascii="Times New Roman"/>
                <w:sz w:val="20"/>
              </w:rPr>
            </w:pPr>
          </w:p>
        </w:tc>
        <w:tc>
          <w:tcPr>
            <w:tcW w:w="765" w:type="dxa"/>
            <w:tcBorders>
              <w:top w:val="nil"/>
              <w:bottom w:val="nil"/>
            </w:tcBorders>
            <w:shd w:val="clear" w:color="auto" w:fill="F4F4F4"/>
          </w:tcPr>
          <w:p>
            <w:pPr>
              <w:pStyle w:val="TableParagraph"/>
              <w:spacing w:before="42"/>
              <w:ind w:left="246" w:right="246"/>
              <w:jc w:val="center"/>
              <w:rPr>
                <w:sz w:val="19"/>
              </w:rPr>
            </w:pPr>
            <w:hyperlink w:history="true" w:anchor="_bookmark51">
              <w:r>
                <w:rPr>
                  <w:color w:val="A7BE39"/>
                  <w:sz w:val="19"/>
                  <w:u w:val="single" w:color="A7BE39"/>
                </w:rPr>
                <w:t>33</w:t>
              </w:r>
            </w:hyperlink>
          </w:p>
        </w:tc>
        <w:tc>
          <w:tcPr>
            <w:tcW w:w="2267" w:type="dxa"/>
            <w:tcBorders>
              <w:top w:val="nil"/>
              <w:bottom w:val="nil"/>
            </w:tcBorders>
            <w:shd w:val="clear" w:color="auto" w:fill="F4F4F4"/>
          </w:tcPr>
          <w:p>
            <w:pPr>
              <w:pStyle w:val="TableParagraph"/>
              <w:spacing w:before="0"/>
              <w:rPr>
                <w:rFonts w:ascii="Times New Roman"/>
                <w:sz w:val="20"/>
              </w:rPr>
            </w:pPr>
          </w:p>
        </w:tc>
        <w:tc>
          <w:tcPr>
            <w:tcW w:w="1700" w:type="dxa"/>
            <w:tcBorders>
              <w:top w:val="nil"/>
              <w:bottom w:val="nil"/>
            </w:tcBorders>
            <w:shd w:val="clear" w:color="auto" w:fill="F4F4F4"/>
          </w:tcPr>
          <w:p>
            <w:pPr>
              <w:pStyle w:val="TableParagraph"/>
              <w:spacing w:before="0"/>
              <w:rPr>
                <w:rFonts w:ascii="Times New Roman"/>
                <w:sz w:val="20"/>
              </w:rPr>
            </w:pPr>
          </w:p>
        </w:tc>
        <w:tc>
          <w:tcPr>
            <w:tcW w:w="3401" w:type="dxa"/>
            <w:tcBorders>
              <w:top w:val="nil"/>
              <w:bottom w:val="nil"/>
              <w:right w:val="nil"/>
            </w:tcBorders>
            <w:shd w:val="clear" w:color="auto" w:fill="F4F4F4"/>
          </w:tcPr>
          <w:p>
            <w:pPr>
              <w:pStyle w:val="TableParagraph"/>
              <w:spacing w:before="0"/>
              <w:rPr>
                <w:rFonts w:ascii="Times New Roman"/>
                <w:sz w:val="20"/>
              </w:rPr>
            </w:pPr>
          </w:p>
        </w:tc>
        <w:tc>
          <w:tcPr>
            <w:tcW w:w="1700" w:type="dxa"/>
            <w:tcBorders>
              <w:top w:val="nil"/>
              <w:left w:val="nil"/>
              <w:bottom w:val="nil"/>
              <w:right w:val="nil"/>
            </w:tcBorders>
            <w:shd w:val="clear" w:color="auto" w:fill="E1E4BB"/>
          </w:tcPr>
          <w:p>
            <w:pPr>
              <w:pStyle w:val="TableParagraph"/>
              <w:spacing w:before="0"/>
              <w:rPr>
                <w:rFonts w:ascii="Times New Roman"/>
                <w:sz w:val="20"/>
              </w:rPr>
            </w:pPr>
          </w:p>
        </w:tc>
      </w:tr>
      <w:tr>
        <w:trPr>
          <w:trHeight w:val="295" w:hRule="atLeast"/>
        </w:trPr>
        <w:tc>
          <w:tcPr>
            <w:tcW w:w="5471" w:type="dxa"/>
            <w:tcBorders>
              <w:top w:val="nil"/>
              <w:left w:val="nil"/>
            </w:tcBorders>
            <w:shd w:val="clear" w:color="auto" w:fill="FAF9F9"/>
          </w:tcPr>
          <w:p>
            <w:pPr>
              <w:pStyle w:val="TableParagraph"/>
              <w:spacing w:before="42"/>
              <w:ind w:left="113"/>
              <w:rPr>
                <w:b/>
                <w:sz w:val="19"/>
              </w:rPr>
            </w:pPr>
            <w:r>
              <w:rPr>
                <w:b/>
                <w:sz w:val="19"/>
              </w:rPr>
              <w:t>Balance at 1 July 2015</w:t>
            </w:r>
          </w:p>
        </w:tc>
        <w:tc>
          <w:tcPr>
            <w:tcW w:w="765" w:type="dxa"/>
            <w:tcBorders>
              <w:top w:val="nil"/>
            </w:tcBorders>
            <w:shd w:val="clear" w:color="auto" w:fill="FAF9F9"/>
          </w:tcPr>
          <w:p>
            <w:pPr>
              <w:pStyle w:val="TableParagraph"/>
              <w:spacing w:before="0"/>
              <w:rPr>
                <w:rFonts w:ascii="Times New Roman"/>
                <w:sz w:val="20"/>
              </w:rPr>
            </w:pPr>
          </w:p>
        </w:tc>
        <w:tc>
          <w:tcPr>
            <w:tcW w:w="2267" w:type="dxa"/>
            <w:tcBorders>
              <w:top w:val="nil"/>
            </w:tcBorders>
            <w:shd w:val="clear" w:color="auto" w:fill="FAF9F9"/>
          </w:tcPr>
          <w:p>
            <w:pPr>
              <w:pStyle w:val="TableParagraph"/>
              <w:spacing w:before="42"/>
              <w:ind w:right="100"/>
              <w:jc w:val="right"/>
              <w:rPr>
                <w:b/>
                <w:sz w:val="19"/>
              </w:rPr>
            </w:pPr>
            <w:r>
              <w:rPr>
                <w:b/>
                <w:w w:val="95"/>
                <w:sz w:val="19"/>
              </w:rPr>
              <w:t>996,594</w:t>
            </w:r>
          </w:p>
        </w:tc>
        <w:tc>
          <w:tcPr>
            <w:tcW w:w="1700" w:type="dxa"/>
            <w:tcBorders>
              <w:top w:val="nil"/>
            </w:tcBorders>
            <w:shd w:val="clear" w:color="auto" w:fill="FAF9F9"/>
          </w:tcPr>
          <w:p>
            <w:pPr>
              <w:pStyle w:val="TableParagraph"/>
              <w:spacing w:before="42"/>
              <w:ind w:right="99"/>
              <w:jc w:val="right"/>
              <w:rPr>
                <w:b/>
                <w:sz w:val="19"/>
              </w:rPr>
            </w:pPr>
            <w:r>
              <w:rPr>
                <w:b/>
                <w:w w:val="95"/>
                <w:sz w:val="19"/>
              </w:rPr>
              <w:t>18,665</w:t>
            </w:r>
          </w:p>
        </w:tc>
        <w:tc>
          <w:tcPr>
            <w:tcW w:w="3401" w:type="dxa"/>
            <w:tcBorders>
              <w:top w:val="nil"/>
              <w:right w:val="nil"/>
            </w:tcBorders>
            <w:shd w:val="clear" w:color="auto" w:fill="FAF9F9"/>
          </w:tcPr>
          <w:p>
            <w:pPr>
              <w:pStyle w:val="TableParagraph"/>
              <w:spacing w:before="42"/>
              <w:ind w:right="108"/>
              <w:jc w:val="right"/>
              <w:rPr>
                <w:b/>
                <w:sz w:val="19"/>
              </w:rPr>
            </w:pPr>
            <w:r>
              <w:rPr>
                <w:b/>
                <w:w w:val="95"/>
                <w:sz w:val="19"/>
              </w:rPr>
              <w:t>68,783</w:t>
            </w:r>
          </w:p>
        </w:tc>
        <w:tc>
          <w:tcPr>
            <w:tcW w:w="1700" w:type="dxa"/>
            <w:tcBorders>
              <w:top w:val="nil"/>
              <w:left w:val="nil"/>
              <w:bottom w:val="nil"/>
              <w:right w:val="nil"/>
            </w:tcBorders>
            <w:shd w:val="clear" w:color="auto" w:fill="E1E4BB"/>
          </w:tcPr>
          <w:p>
            <w:pPr>
              <w:pStyle w:val="TableParagraph"/>
              <w:spacing w:before="42"/>
              <w:ind w:right="108"/>
              <w:jc w:val="right"/>
              <w:rPr>
                <w:b/>
                <w:sz w:val="19"/>
              </w:rPr>
            </w:pPr>
            <w:r>
              <w:rPr>
                <w:b/>
                <w:w w:val="95"/>
                <w:sz w:val="19"/>
              </w:rPr>
              <w:t>1,084,042</w:t>
            </w:r>
          </w:p>
        </w:tc>
      </w:tr>
      <w:tr>
        <w:trPr>
          <w:trHeight w:val="282" w:hRule="atLeast"/>
        </w:trPr>
        <w:tc>
          <w:tcPr>
            <w:tcW w:w="5471" w:type="dxa"/>
            <w:tcBorders>
              <w:left w:val="nil"/>
              <w:bottom w:val="nil"/>
            </w:tcBorders>
            <w:shd w:val="clear" w:color="auto" w:fill="FAF9F9"/>
          </w:tcPr>
          <w:p>
            <w:pPr>
              <w:pStyle w:val="TableParagraph"/>
              <w:ind w:left="113"/>
              <w:rPr>
                <w:sz w:val="19"/>
              </w:rPr>
            </w:pPr>
            <w:r>
              <w:rPr>
                <w:sz w:val="19"/>
              </w:rPr>
              <w:t>Deficit</w:t>
            </w:r>
          </w:p>
        </w:tc>
        <w:tc>
          <w:tcPr>
            <w:tcW w:w="765" w:type="dxa"/>
            <w:vMerge w:val="restart"/>
            <w:shd w:val="clear" w:color="auto" w:fill="FAF9F9"/>
          </w:tcPr>
          <w:p>
            <w:pPr>
              <w:pStyle w:val="TableParagraph"/>
              <w:spacing w:before="0"/>
              <w:rPr>
                <w:rFonts w:ascii="Times New Roman"/>
                <w:sz w:val="20"/>
              </w:rPr>
            </w:pPr>
          </w:p>
        </w:tc>
        <w:tc>
          <w:tcPr>
            <w:tcW w:w="2267" w:type="dxa"/>
            <w:tcBorders>
              <w:bottom w:val="nil"/>
            </w:tcBorders>
            <w:shd w:val="clear" w:color="auto" w:fill="FAF9F9"/>
          </w:tcPr>
          <w:p>
            <w:pPr>
              <w:pStyle w:val="TableParagraph"/>
              <w:ind w:right="100"/>
              <w:jc w:val="right"/>
              <w:rPr>
                <w:sz w:val="19"/>
              </w:rPr>
            </w:pPr>
            <w:r>
              <w:rPr>
                <w:w w:val="111"/>
                <w:sz w:val="19"/>
              </w:rPr>
              <w:t>-</w:t>
            </w:r>
          </w:p>
        </w:tc>
        <w:tc>
          <w:tcPr>
            <w:tcW w:w="1700" w:type="dxa"/>
            <w:tcBorders>
              <w:bottom w:val="nil"/>
            </w:tcBorders>
            <w:shd w:val="clear" w:color="auto" w:fill="FAF9F9"/>
          </w:tcPr>
          <w:p>
            <w:pPr>
              <w:pStyle w:val="TableParagraph"/>
              <w:ind w:right="99"/>
              <w:jc w:val="right"/>
              <w:rPr>
                <w:sz w:val="19"/>
              </w:rPr>
            </w:pPr>
            <w:r>
              <w:rPr>
                <w:w w:val="111"/>
                <w:sz w:val="19"/>
              </w:rPr>
              <w:t>-</w:t>
            </w:r>
          </w:p>
        </w:tc>
        <w:tc>
          <w:tcPr>
            <w:tcW w:w="3401" w:type="dxa"/>
            <w:tcBorders>
              <w:bottom w:val="nil"/>
              <w:right w:val="nil"/>
            </w:tcBorders>
            <w:shd w:val="clear" w:color="auto" w:fill="FAF9F9"/>
          </w:tcPr>
          <w:p>
            <w:pPr>
              <w:pStyle w:val="TableParagraph"/>
              <w:ind w:right="108"/>
              <w:jc w:val="right"/>
              <w:rPr>
                <w:sz w:val="19"/>
              </w:rPr>
            </w:pPr>
            <w:r>
              <w:rPr>
                <w:w w:val="95"/>
                <w:sz w:val="19"/>
              </w:rPr>
              <w:t>(20,491)</w:t>
            </w:r>
          </w:p>
        </w:tc>
        <w:tc>
          <w:tcPr>
            <w:tcW w:w="1700" w:type="dxa"/>
            <w:tcBorders>
              <w:top w:val="nil"/>
              <w:left w:val="nil"/>
              <w:bottom w:val="nil"/>
              <w:right w:val="nil"/>
            </w:tcBorders>
            <w:shd w:val="clear" w:color="auto" w:fill="E1E4BB"/>
          </w:tcPr>
          <w:p>
            <w:pPr>
              <w:pStyle w:val="TableParagraph"/>
              <w:ind w:right="107"/>
              <w:jc w:val="right"/>
              <w:rPr>
                <w:sz w:val="19"/>
              </w:rPr>
            </w:pPr>
            <w:r>
              <w:rPr>
                <w:w w:val="95"/>
                <w:sz w:val="19"/>
              </w:rPr>
              <w:t>(20,491)</w:t>
            </w:r>
          </w:p>
        </w:tc>
      </w:tr>
      <w:tr>
        <w:trPr>
          <w:trHeight w:val="289" w:hRule="atLeast"/>
        </w:trPr>
        <w:tc>
          <w:tcPr>
            <w:tcW w:w="5471" w:type="dxa"/>
            <w:tcBorders>
              <w:top w:val="nil"/>
              <w:left w:val="nil"/>
            </w:tcBorders>
            <w:shd w:val="clear" w:color="auto" w:fill="FAF9F9"/>
          </w:tcPr>
          <w:p>
            <w:pPr>
              <w:pStyle w:val="TableParagraph"/>
              <w:spacing w:before="36"/>
              <w:ind w:left="272"/>
              <w:rPr>
                <w:sz w:val="19"/>
              </w:rPr>
            </w:pPr>
            <w:r>
              <w:rPr>
                <w:sz w:val="19"/>
              </w:rPr>
              <w:t>Other comprehensive income</w:t>
            </w:r>
          </w:p>
        </w:tc>
        <w:tc>
          <w:tcPr>
            <w:tcW w:w="765" w:type="dxa"/>
            <w:vMerge/>
            <w:tcBorders>
              <w:top w:val="nil"/>
            </w:tcBorders>
            <w:shd w:val="clear" w:color="auto" w:fill="FAF9F9"/>
          </w:tcPr>
          <w:p>
            <w:pPr>
              <w:rPr>
                <w:sz w:val="2"/>
                <w:szCs w:val="2"/>
              </w:rPr>
            </w:pPr>
          </w:p>
        </w:tc>
        <w:tc>
          <w:tcPr>
            <w:tcW w:w="2267" w:type="dxa"/>
            <w:tcBorders>
              <w:top w:val="nil"/>
              <w:bottom w:val="single" w:sz="4" w:space="0" w:color="000000"/>
            </w:tcBorders>
            <w:shd w:val="clear" w:color="auto" w:fill="FAF9F9"/>
          </w:tcPr>
          <w:p>
            <w:pPr>
              <w:pStyle w:val="TableParagraph"/>
              <w:spacing w:before="36"/>
              <w:ind w:right="100"/>
              <w:jc w:val="right"/>
              <w:rPr>
                <w:sz w:val="19"/>
              </w:rPr>
            </w:pPr>
            <w:r>
              <w:rPr>
                <w:w w:val="111"/>
                <w:sz w:val="19"/>
              </w:rPr>
              <w:t>-</w:t>
            </w:r>
          </w:p>
        </w:tc>
        <w:tc>
          <w:tcPr>
            <w:tcW w:w="1700" w:type="dxa"/>
            <w:tcBorders>
              <w:top w:val="nil"/>
              <w:bottom w:val="single" w:sz="4" w:space="0" w:color="000000"/>
            </w:tcBorders>
            <w:shd w:val="clear" w:color="auto" w:fill="FAF9F9"/>
          </w:tcPr>
          <w:p>
            <w:pPr>
              <w:pStyle w:val="TableParagraph"/>
              <w:spacing w:before="36"/>
              <w:ind w:right="99"/>
              <w:jc w:val="right"/>
              <w:rPr>
                <w:sz w:val="19"/>
              </w:rPr>
            </w:pPr>
            <w:r>
              <w:rPr>
                <w:w w:val="95"/>
                <w:sz w:val="19"/>
              </w:rPr>
              <w:t>(18,665)</w:t>
            </w:r>
          </w:p>
        </w:tc>
        <w:tc>
          <w:tcPr>
            <w:tcW w:w="3401" w:type="dxa"/>
            <w:tcBorders>
              <w:top w:val="nil"/>
              <w:bottom w:val="single" w:sz="4" w:space="0" w:color="000000"/>
              <w:right w:val="nil"/>
            </w:tcBorders>
            <w:shd w:val="clear" w:color="auto" w:fill="FAF9F9"/>
          </w:tcPr>
          <w:p>
            <w:pPr>
              <w:pStyle w:val="TableParagraph"/>
              <w:spacing w:before="36"/>
              <w:ind w:right="108"/>
              <w:jc w:val="right"/>
              <w:rPr>
                <w:sz w:val="19"/>
              </w:rPr>
            </w:pPr>
            <w:r>
              <w:rPr>
                <w:w w:val="111"/>
                <w:sz w:val="19"/>
              </w:rPr>
              <w:t>-</w:t>
            </w:r>
          </w:p>
        </w:tc>
        <w:tc>
          <w:tcPr>
            <w:tcW w:w="1700" w:type="dxa"/>
            <w:tcBorders>
              <w:top w:val="nil"/>
              <w:left w:val="nil"/>
              <w:bottom w:val="single" w:sz="4" w:space="0" w:color="000000"/>
              <w:right w:val="nil"/>
            </w:tcBorders>
            <w:shd w:val="clear" w:color="auto" w:fill="E1E4BB"/>
          </w:tcPr>
          <w:p>
            <w:pPr>
              <w:pStyle w:val="TableParagraph"/>
              <w:spacing w:before="36"/>
              <w:ind w:right="107"/>
              <w:jc w:val="right"/>
              <w:rPr>
                <w:sz w:val="19"/>
              </w:rPr>
            </w:pPr>
            <w:r>
              <w:rPr>
                <w:w w:val="95"/>
                <w:sz w:val="19"/>
              </w:rPr>
              <w:t>(18,665)</w:t>
            </w:r>
          </w:p>
        </w:tc>
      </w:tr>
      <w:tr>
        <w:trPr>
          <w:trHeight w:val="285" w:hRule="atLeast"/>
        </w:trPr>
        <w:tc>
          <w:tcPr>
            <w:tcW w:w="5471" w:type="dxa"/>
            <w:tcBorders>
              <w:left w:val="nil"/>
              <w:bottom w:val="nil"/>
            </w:tcBorders>
            <w:shd w:val="clear" w:color="auto" w:fill="FAF9F9"/>
          </w:tcPr>
          <w:p>
            <w:pPr>
              <w:pStyle w:val="TableParagraph"/>
              <w:ind w:left="114"/>
              <w:rPr>
                <w:sz w:val="19"/>
              </w:rPr>
            </w:pPr>
            <w:r>
              <w:rPr>
                <w:sz w:val="19"/>
              </w:rPr>
              <w:t>Total comprehensive income for the period</w:t>
            </w:r>
          </w:p>
        </w:tc>
        <w:tc>
          <w:tcPr>
            <w:tcW w:w="765" w:type="dxa"/>
            <w:vMerge w:val="restart"/>
            <w:shd w:val="clear" w:color="auto" w:fill="FAF9F9"/>
          </w:tcPr>
          <w:p>
            <w:pPr>
              <w:pStyle w:val="TableParagraph"/>
              <w:spacing w:before="0"/>
              <w:rPr>
                <w:rFonts w:ascii="Times New Roman"/>
                <w:sz w:val="20"/>
              </w:rPr>
            </w:pPr>
          </w:p>
        </w:tc>
        <w:tc>
          <w:tcPr>
            <w:tcW w:w="2267" w:type="dxa"/>
            <w:tcBorders>
              <w:top w:val="single" w:sz="4" w:space="0" w:color="000000"/>
              <w:bottom w:val="single" w:sz="4" w:space="0" w:color="000000"/>
            </w:tcBorders>
            <w:shd w:val="clear" w:color="auto" w:fill="F4F4F4"/>
          </w:tcPr>
          <w:p>
            <w:pPr>
              <w:pStyle w:val="TableParagraph"/>
              <w:ind w:right="99"/>
              <w:jc w:val="right"/>
              <w:rPr>
                <w:sz w:val="19"/>
              </w:rPr>
            </w:pPr>
            <w:r>
              <w:rPr>
                <w:w w:val="111"/>
                <w:sz w:val="19"/>
              </w:rPr>
              <w:t>-</w:t>
            </w:r>
          </w:p>
        </w:tc>
        <w:tc>
          <w:tcPr>
            <w:tcW w:w="1700" w:type="dxa"/>
            <w:tcBorders>
              <w:top w:val="single" w:sz="4" w:space="0" w:color="000000"/>
              <w:bottom w:val="single" w:sz="4" w:space="0" w:color="000000"/>
            </w:tcBorders>
            <w:shd w:val="clear" w:color="auto" w:fill="F4F4F4"/>
          </w:tcPr>
          <w:p>
            <w:pPr>
              <w:pStyle w:val="TableParagraph"/>
              <w:ind w:right="98"/>
              <w:jc w:val="right"/>
              <w:rPr>
                <w:sz w:val="19"/>
              </w:rPr>
            </w:pPr>
            <w:r>
              <w:rPr>
                <w:w w:val="95"/>
                <w:sz w:val="19"/>
              </w:rPr>
              <w:t>(18,665)</w:t>
            </w:r>
          </w:p>
        </w:tc>
        <w:tc>
          <w:tcPr>
            <w:tcW w:w="3401" w:type="dxa"/>
            <w:tcBorders>
              <w:top w:val="single" w:sz="4" w:space="0" w:color="000000"/>
              <w:bottom w:val="single" w:sz="4" w:space="0" w:color="000000"/>
              <w:right w:val="nil"/>
            </w:tcBorders>
            <w:shd w:val="clear" w:color="auto" w:fill="F4F4F4"/>
          </w:tcPr>
          <w:p>
            <w:pPr>
              <w:pStyle w:val="TableParagraph"/>
              <w:ind w:right="108"/>
              <w:jc w:val="right"/>
              <w:rPr>
                <w:sz w:val="19"/>
              </w:rPr>
            </w:pPr>
            <w:r>
              <w:rPr>
                <w:w w:val="95"/>
                <w:sz w:val="19"/>
              </w:rPr>
              <w:t>(20,491)</w:t>
            </w:r>
          </w:p>
        </w:tc>
        <w:tc>
          <w:tcPr>
            <w:tcW w:w="1700" w:type="dxa"/>
            <w:tcBorders>
              <w:top w:val="single" w:sz="4" w:space="0" w:color="000000"/>
              <w:left w:val="nil"/>
              <w:bottom w:val="single" w:sz="4" w:space="0" w:color="000000"/>
              <w:right w:val="nil"/>
            </w:tcBorders>
            <w:shd w:val="clear" w:color="auto" w:fill="DFE1B8"/>
          </w:tcPr>
          <w:p>
            <w:pPr>
              <w:pStyle w:val="TableParagraph"/>
              <w:ind w:right="107"/>
              <w:jc w:val="right"/>
              <w:rPr>
                <w:sz w:val="19"/>
              </w:rPr>
            </w:pPr>
            <w:r>
              <w:rPr>
                <w:w w:val="95"/>
                <w:sz w:val="19"/>
              </w:rPr>
              <w:t>(39,156)</w:t>
            </w:r>
          </w:p>
        </w:tc>
      </w:tr>
      <w:tr>
        <w:trPr>
          <w:trHeight w:val="285" w:hRule="atLeast"/>
        </w:trPr>
        <w:tc>
          <w:tcPr>
            <w:tcW w:w="5471" w:type="dxa"/>
            <w:tcBorders>
              <w:top w:val="nil"/>
              <w:left w:val="nil"/>
            </w:tcBorders>
            <w:shd w:val="clear" w:color="auto" w:fill="FAF9F9"/>
          </w:tcPr>
          <w:p>
            <w:pPr>
              <w:pStyle w:val="TableParagraph"/>
              <w:ind w:left="114"/>
              <w:rPr>
                <w:sz w:val="19"/>
              </w:rPr>
            </w:pPr>
            <w:r>
              <w:rPr>
                <w:sz w:val="19"/>
              </w:rPr>
              <w:t>Transactions with owners in their capacity as owners:</w:t>
            </w:r>
          </w:p>
        </w:tc>
        <w:tc>
          <w:tcPr>
            <w:tcW w:w="765" w:type="dxa"/>
            <w:vMerge/>
            <w:tcBorders>
              <w:top w:val="nil"/>
            </w:tcBorders>
            <w:shd w:val="clear" w:color="auto" w:fill="FAF9F9"/>
          </w:tcPr>
          <w:p>
            <w:pPr>
              <w:rPr>
                <w:sz w:val="2"/>
                <w:szCs w:val="2"/>
              </w:rPr>
            </w:pPr>
          </w:p>
        </w:tc>
        <w:tc>
          <w:tcPr>
            <w:tcW w:w="7368" w:type="dxa"/>
            <w:gridSpan w:val="3"/>
            <w:tcBorders>
              <w:top w:val="single" w:sz="4" w:space="0" w:color="000000"/>
              <w:right w:val="nil"/>
            </w:tcBorders>
            <w:shd w:val="clear" w:color="auto" w:fill="FAF9F9"/>
          </w:tcPr>
          <w:p>
            <w:pPr>
              <w:pStyle w:val="TableParagraph"/>
              <w:spacing w:before="0"/>
              <w:rPr>
                <w:rFonts w:ascii="Times New Roman"/>
                <w:sz w:val="20"/>
              </w:rPr>
            </w:pPr>
          </w:p>
        </w:tc>
        <w:tc>
          <w:tcPr>
            <w:tcW w:w="1700" w:type="dxa"/>
            <w:tcBorders>
              <w:top w:val="single" w:sz="4" w:space="0" w:color="000000"/>
              <w:left w:val="nil"/>
              <w:bottom w:val="nil"/>
              <w:right w:val="nil"/>
            </w:tcBorders>
            <w:shd w:val="clear" w:color="auto" w:fill="E1E4BB"/>
          </w:tcPr>
          <w:p>
            <w:pPr>
              <w:pStyle w:val="TableParagraph"/>
              <w:spacing w:before="0"/>
              <w:rPr>
                <w:rFonts w:ascii="Times New Roman"/>
                <w:sz w:val="20"/>
              </w:rPr>
            </w:pPr>
          </w:p>
        </w:tc>
      </w:tr>
      <w:tr>
        <w:trPr>
          <w:trHeight w:val="295" w:hRule="atLeast"/>
        </w:trPr>
        <w:tc>
          <w:tcPr>
            <w:tcW w:w="5471" w:type="dxa"/>
            <w:tcBorders>
              <w:left w:val="nil"/>
              <w:bottom w:val="nil"/>
            </w:tcBorders>
            <w:shd w:val="clear" w:color="auto" w:fill="F4F4F4"/>
          </w:tcPr>
          <w:p>
            <w:pPr>
              <w:pStyle w:val="TableParagraph"/>
              <w:ind w:left="272"/>
              <w:rPr>
                <w:sz w:val="19"/>
              </w:rPr>
            </w:pPr>
            <w:r>
              <w:rPr>
                <w:sz w:val="19"/>
              </w:rPr>
              <w:t>Capital appropriations</w:t>
            </w:r>
          </w:p>
        </w:tc>
        <w:tc>
          <w:tcPr>
            <w:tcW w:w="765" w:type="dxa"/>
            <w:tcBorders>
              <w:bottom w:val="nil"/>
            </w:tcBorders>
            <w:shd w:val="clear" w:color="auto" w:fill="F4F4F4"/>
          </w:tcPr>
          <w:p>
            <w:pPr>
              <w:pStyle w:val="TableParagraph"/>
              <w:spacing w:before="0"/>
              <w:rPr>
                <w:rFonts w:ascii="Times New Roman"/>
                <w:sz w:val="20"/>
              </w:rPr>
            </w:pPr>
          </w:p>
        </w:tc>
        <w:tc>
          <w:tcPr>
            <w:tcW w:w="2267" w:type="dxa"/>
            <w:tcBorders>
              <w:bottom w:val="nil"/>
            </w:tcBorders>
            <w:shd w:val="clear" w:color="auto" w:fill="F4F4F4"/>
          </w:tcPr>
          <w:p>
            <w:pPr>
              <w:pStyle w:val="TableParagraph"/>
              <w:ind w:right="99"/>
              <w:jc w:val="right"/>
              <w:rPr>
                <w:sz w:val="19"/>
              </w:rPr>
            </w:pPr>
            <w:r>
              <w:rPr>
                <w:w w:val="95"/>
                <w:sz w:val="19"/>
              </w:rPr>
              <w:t>84,268</w:t>
            </w:r>
          </w:p>
        </w:tc>
        <w:tc>
          <w:tcPr>
            <w:tcW w:w="1700" w:type="dxa"/>
            <w:tcBorders>
              <w:bottom w:val="nil"/>
            </w:tcBorders>
            <w:shd w:val="clear" w:color="auto" w:fill="F4F4F4"/>
          </w:tcPr>
          <w:p>
            <w:pPr>
              <w:pStyle w:val="TableParagraph"/>
              <w:ind w:right="98"/>
              <w:jc w:val="right"/>
              <w:rPr>
                <w:sz w:val="19"/>
              </w:rPr>
            </w:pPr>
            <w:r>
              <w:rPr>
                <w:w w:val="111"/>
                <w:sz w:val="19"/>
              </w:rPr>
              <w:t>-</w:t>
            </w:r>
          </w:p>
        </w:tc>
        <w:tc>
          <w:tcPr>
            <w:tcW w:w="3401" w:type="dxa"/>
            <w:tcBorders>
              <w:bottom w:val="nil"/>
              <w:right w:val="nil"/>
            </w:tcBorders>
            <w:shd w:val="clear" w:color="auto" w:fill="F4F4F4"/>
          </w:tcPr>
          <w:p>
            <w:pPr>
              <w:pStyle w:val="TableParagraph"/>
              <w:ind w:right="108"/>
              <w:jc w:val="right"/>
              <w:rPr>
                <w:sz w:val="19"/>
              </w:rPr>
            </w:pPr>
            <w:r>
              <w:rPr>
                <w:w w:val="111"/>
                <w:sz w:val="19"/>
              </w:rPr>
              <w:t>-</w:t>
            </w:r>
          </w:p>
        </w:tc>
        <w:tc>
          <w:tcPr>
            <w:tcW w:w="1700" w:type="dxa"/>
            <w:tcBorders>
              <w:top w:val="nil"/>
              <w:left w:val="nil"/>
              <w:bottom w:val="nil"/>
              <w:right w:val="nil"/>
            </w:tcBorders>
            <w:shd w:val="clear" w:color="auto" w:fill="E1E4BB"/>
          </w:tcPr>
          <w:p>
            <w:pPr>
              <w:pStyle w:val="TableParagraph"/>
              <w:ind w:right="107"/>
              <w:jc w:val="right"/>
              <w:rPr>
                <w:sz w:val="19"/>
              </w:rPr>
            </w:pPr>
            <w:r>
              <w:rPr>
                <w:w w:val="95"/>
                <w:sz w:val="19"/>
              </w:rPr>
              <w:t>84,268</w:t>
            </w:r>
          </w:p>
        </w:tc>
      </w:tr>
      <w:tr>
        <w:trPr>
          <w:trHeight w:val="295" w:hRule="atLeast"/>
        </w:trPr>
        <w:tc>
          <w:tcPr>
            <w:tcW w:w="5471" w:type="dxa"/>
            <w:tcBorders>
              <w:top w:val="nil"/>
              <w:left w:val="nil"/>
            </w:tcBorders>
            <w:shd w:val="clear" w:color="auto" w:fill="FAF9F9"/>
          </w:tcPr>
          <w:p>
            <w:pPr>
              <w:pStyle w:val="TableParagraph"/>
              <w:spacing w:before="42"/>
              <w:ind w:left="272"/>
              <w:rPr>
                <w:sz w:val="19"/>
              </w:rPr>
            </w:pPr>
            <w:r>
              <w:rPr>
                <w:sz w:val="19"/>
              </w:rPr>
              <w:t>Contributions by owners</w:t>
            </w:r>
          </w:p>
        </w:tc>
        <w:tc>
          <w:tcPr>
            <w:tcW w:w="765" w:type="dxa"/>
            <w:tcBorders>
              <w:top w:val="nil"/>
            </w:tcBorders>
            <w:shd w:val="clear" w:color="auto" w:fill="FAF9F9"/>
          </w:tcPr>
          <w:p>
            <w:pPr>
              <w:pStyle w:val="TableParagraph"/>
              <w:spacing w:before="0"/>
              <w:rPr>
                <w:rFonts w:ascii="Times New Roman"/>
                <w:sz w:val="20"/>
              </w:rPr>
            </w:pPr>
          </w:p>
        </w:tc>
        <w:tc>
          <w:tcPr>
            <w:tcW w:w="2267" w:type="dxa"/>
            <w:tcBorders>
              <w:top w:val="nil"/>
            </w:tcBorders>
            <w:shd w:val="clear" w:color="auto" w:fill="FAF9F9"/>
          </w:tcPr>
          <w:p>
            <w:pPr>
              <w:pStyle w:val="TableParagraph"/>
              <w:spacing w:before="42"/>
              <w:ind w:right="99"/>
              <w:jc w:val="right"/>
              <w:rPr>
                <w:sz w:val="19"/>
              </w:rPr>
            </w:pPr>
            <w:r>
              <w:rPr>
                <w:w w:val="95"/>
                <w:sz w:val="19"/>
              </w:rPr>
              <w:t>5,250</w:t>
            </w:r>
          </w:p>
        </w:tc>
        <w:tc>
          <w:tcPr>
            <w:tcW w:w="1700" w:type="dxa"/>
            <w:tcBorders>
              <w:top w:val="nil"/>
            </w:tcBorders>
            <w:shd w:val="clear" w:color="auto" w:fill="FAF9F9"/>
          </w:tcPr>
          <w:p>
            <w:pPr>
              <w:pStyle w:val="TableParagraph"/>
              <w:spacing w:before="42"/>
              <w:ind w:right="98"/>
              <w:jc w:val="right"/>
              <w:rPr>
                <w:sz w:val="19"/>
              </w:rPr>
            </w:pPr>
            <w:r>
              <w:rPr>
                <w:w w:val="111"/>
                <w:sz w:val="19"/>
              </w:rPr>
              <w:t>-</w:t>
            </w:r>
          </w:p>
        </w:tc>
        <w:tc>
          <w:tcPr>
            <w:tcW w:w="3401" w:type="dxa"/>
            <w:tcBorders>
              <w:top w:val="nil"/>
              <w:right w:val="nil"/>
            </w:tcBorders>
            <w:shd w:val="clear" w:color="auto" w:fill="FAF9F9"/>
          </w:tcPr>
          <w:p>
            <w:pPr>
              <w:pStyle w:val="TableParagraph"/>
              <w:spacing w:before="42"/>
              <w:ind w:right="109"/>
              <w:jc w:val="right"/>
              <w:rPr>
                <w:sz w:val="19"/>
              </w:rPr>
            </w:pPr>
            <w:r>
              <w:rPr>
                <w:w w:val="111"/>
                <w:sz w:val="19"/>
              </w:rPr>
              <w:t>-</w:t>
            </w:r>
          </w:p>
        </w:tc>
        <w:tc>
          <w:tcPr>
            <w:tcW w:w="1700" w:type="dxa"/>
            <w:tcBorders>
              <w:top w:val="nil"/>
              <w:left w:val="nil"/>
              <w:bottom w:val="nil"/>
              <w:right w:val="nil"/>
            </w:tcBorders>
            <w:shd w:val="clear" w:color="auto" w:fill="E1E4BB"/>
          </w:tcPr>
          <w:p>
            <w:pPr>
              <w:pStyle w:val="TableParagraph"/>
              <w:spacing w:before="42"/>
              <w:ind w:right="107"/>
              <w:jc w:val="right"/>
              <w:rPr>
                <w:sz w:val="19"/>
              </w:rPr>
            </w:pPr>
            <w:r>
              <w:rPr>
                <w:w w:val="95"/>
                <w:sz w:val="19"/>
              </w:rPr>
              <w:t>5,250</w:t>
            </w:r>
          </w:p>
        </w:tc>
      </w:tr>
      <w:tr>
        <w:trPr>
          <w:trHeight w:val="290" w:hRule="atLeast"/>
        </w:trPr>
        <w:tc>
          <w:tcPr>
            <w:tcW w:w="5471" w:type="dxa"/>
            <w:tcBorders>
              <w:left w:val="nil"/>
              <w:bottom w:val="nil"/>
            </w:tcBorders>
            <w:shd w:val="clear" w:color="auto" w:fill="F4F4F4"/>
          </w:tcPr>
          <w:p>
            <w:pPr>
              <w:pStyle w:val="TableParagraph"/>
              <w:ind w:left="273"/>
              <w:rPr>
                <w:sz w:val="19"/>
              </w:rPr>
            </w:pPr>
            <w:r>
              <w:rPr>
                <w:sz w:val="19"/>
              </w:rPr>
              <w:t>Distributions to owners</w:t>
            </w:r>
          </w:p>
        </w:tc>
        <w:tc>
          <w:tcPr>
            <w:tcW w:w="765" w:type="dxa"/>
            <w:tcBorders>
              <w:bottom w:val="nil"/>
            </w:tcBorders>
            <w:shd w:val="clear" w:color="auto" w:fill="F4F4F4"/>
          </w:tcPr>
          <w:p>
            <w:pPr>
              <w:pStyle w:val="TableParagraph"/>
              <w:spacing w:before="0"/>
              <w:rPr>
                <w:rFonts w:ascii="Times New Roman"/>
                <w:sz w:val="20"/>
              </w:rPr>
            </w:pPr>
          </w:p>
        </w:tc>
        <w:tc>
          <w:tcPr>
            <w:tcW w:w="2267" w:type="dxa"/>
            <w:tcBorders>
              <w:bottom w:val="single" w:sz="4" w:space="0" w:color="000000"/>
            </w:tcBorders>
            <w:shd w:val="clear" w:color="auto" w:fill="F4F4F4"/>
          </w:tcPr>
          <w:p>
            <w:pPr>
              <w:pStyle w:val="TableParagraph"/>
              <w:ind w:right="99"/>
              <w:jc w:val="right"/>
              <w:rPr>
                <w:sz w:val="19"/>
              </w:rPr>
            </w:pPr>
            <w:r>
              <w:rPr>
                <w:w w:val="95"/>
                <w:sz w:val="19"/>
              </w:rPr>
              <w:t>(59,169)</w:t>
            </w:r>
          </w:p>
        </w:tc>
        <w:tc>
          <w:tcPr>
            <w:tcW w:w="1700" w:type="dxa"/>
            <w:tcBorders>
              <w:bottom w:val="single" w:sz="4" w:space="0" w:color="000000"/>
            </w:tcBorders>
            <w:shd w:val="clear" w:color="auto" w:fill="F4F4F4"/>
          </w:tcPr>
          <w:p>
            <w:pPr>
              <w:pStyle w:val="TableParagraph"/>
              <w:ind w:right="98"/>
              <w:jc w:val="right"/>
              <w:rPr>
                <w:sz w:val="19"/>
              </w:rPr>
            </w:pPr>
            <w:r>
              <w:rPr>
                <w:w w:val="111"/>
                <w:sz w:val="19"/>
              </w:rPr>
              <w:t>-</w:t>
            </w:r>
          </w:p>
        </w:tc>
        <w:tc>
          <w:tcPr>
            <w:tcW w:w="3401" w:type="dxa"/>
            <w:tcBorders>
              <w:bottom w:val="single" w:sz="4" w:space="0" w:color="000000"/>
              <w:right w:val="nil"/>
            </w:tcBorders>
            <w:shd w:val="clear" w:color="auto" w:fill="F4F4F4"/>
          </w:tcPr>
          <w:p>
            <w:pPr>
              <w:pStyle w:val="TableParagraph"/>
              <w:ind w:right="107"/>
              <w:jc w:val="right"/>
              <w:rPr>
                <w:sz w:val="19"/>
              </w:rPr>
            </w:pPr>
            <w:r>
              <w:rPr>
                <w:w w:val="111"/>
                <w:sz w:val="19"/>
              </w:rPr>
              <w:t>-</w:t>
            </w:r>
          </w:p>
        </w:tc>
        <w:tc>
          <w:tcPr>
            <w:tcW w:w="1700" w:type="dxa"/>
            <w:tcBorders>
              <w:top w:val="nil"/>
              <w:left w:val="nil"/>
              <w:bottom w:val="single" w:sz="4" w:space="0" w:color="000000"/>
              <w:right w:val="nil"/>
            </w:tcBorders>
            <w:shd w:val="clear" w:color="auto" w:fill="E1E4BB"/>
          </w:tcPr>
          <w:p>
            <w:pPr>
              <w:pStyle w:val="TableParagraph"/>
              <w:ind w:right="106"/>
              <w:jc w:val="right"/>
              <w:rPr>
                <w:sz w:val="19"/>
              </w:rPr>
            </w:pPr>
            <w:r>
              <w:rPr>
                <w:w w:val="95"/>
                <w:sz w:val="19"/>
              </w:rPr>
              <w:t>(59,169)</w:t>
            </w:r>
          </w:p>
        </w:tc>
      </w:tr>
      <w:tr>
        <w:trPr>
          <w:trHeight w:val="290" w:hRule="atLeast"/>
        </w:trPr>
        <w:tc>
          <w:tcPr>
            <w:tcW w:w="5471" w:type="dxa"/>
            <w:tcBorders>
              <w:top w:val="nil"/>
              <w:left w:val="nil"/>
            </w:tcBorders>
            <w:shd w:val="clear" w:color="auto" w:fill="FAF9F9"/>
          </w:tcPr>
          <w:p>
            <w:pPr>
              <w:pStyle w:val="TableParagraph"/>
              <w:spacing w:before="37"/>
              <w:ind w:left="114"/>
              <w:rPr>
                <w:sz w:val="19"/>
              </w:rPr>
            </w:pPr>
            <w:r>
              <w:rPr>
                <w:sz w:val="19"/>
              </w:rPr>
              <w:t>Total</w:t>
            </w:r>
          </w:p>
        </w:tc>
        <w:tc>
          <w:tcPr>
            <w:tcW w:w="765" w:type="dxa"/>
            <w:tcBorders>
              <w:top w:val="nil"/>
            </w:tcBorders>
            <w:shd w:val="clear" w:color="auto" w:fill="FAF9F9"/>
          </w:tcPr>
          <w:p>
            <w:pPr>
              <w:pStyle w:val="TableParagraph"/>
              <w:spacing w:before="0"/>
              <w:rPr>
                <w:rFonts w:ascii="Times New Roman"/>
                <w:sz w:val="20"/>
              </w:rPr>
            </w:pPr>
          </w:p>
        </w:tc>
        <w:tc>
          <w:tcPr>
            <w:tcW w:w="2267" w:type="dxa"/>
            <w:tcBorders>
              <w:top w:val="single" w:sz="4" w:space="0" w:color="000000"/>
              <w:bottom w:val="single" w:sz="4" w:space="0" w:color="000000"/>
              <w:right w:val="nil"/>
            </w:tcBorders>
            <w:shd w:val="clear" w:color="auto" w:fill="FAF9F9"/>
          </w:tcPr>
          <w:p>
            <w:pPr>
              <w:pStyle w:val="TableParagraph"/>
              <w:spacing w:before="37"/>
              <w:ind w:right="109"/>
              <w:jc w:val="right"/>
              <w:rPr>
                <w:sz w:val="19"/>
              </w:rPr>
            </w:pPr>
            <w:r>
              <w:rPr>
                <w:w w:val="95"/>
                <w:sz w:val="19"/>
              </w:rPr>
              <w:t>30,349</w:t>
            </w:r>
          </w:p>
        </w:tc>
        <w:tc>
          <w:tcPr>
            <w:tcW w:w="1700" w:type="dxa"/>
            <w:tcBorders>
              <w:top w:val="single" w:sz="4" w:space="0" w:color="000000"/>
              <w:left w:val="nil"/>
              <w:bottom w:val="single" w:sz="4" w:space="0" w:color="000000"/>
              <w:right w:val="nil"/>
            </w:tcBorders>
            <w:shd w:val="clear" w:color="auto" w:fill="FAF9F9"/>
          </w:tcPr>
          <w:p>
            <w:pPr>
              <w:pStyle w:val="TableParagraph"/>
              <w:spacing w:before="37"/>
              <w:ind w:right="108"/>
              <w:jc w:val="right"/>
              <w:rPr>
                <w:sz w:val="19"/>
              </w:rPr>
            </w:pPr>
            <w:r>
              <w:rPr>
                <w:w w:val="111"/>
                <w:sz w:val="19"/>
              </w:rPr>
              <w:t>-</w:t>
            </w:r>
          </w:p>
        </w:tc>
        <w:tc>
          <w:tcPr>
            <w:tcW w:w="3401" w:type="dxa"/>
            <w:tcBorders>
              <w:top w:val="single" w:sz="4" w:space="0" w:color="000000"/>
              <w:left w:val="nil"/>
              <w:bottom w:val="single" w:sz="4" w:space="0" w:color="000000"/>
              <w:right w:val="nil"/>
            </w:tcBorders>
            <w:shd w:val="clear" w:color="auto" w:fill="FAF9F9"/>
          </w:tcPr>
          <w:p>
            <w:pPr>
              <w:pStyle w:val="TableParagraph"/>
              <w:spacing w:before="37"/>
              <w:ind w:right="107"/>
              <w:jc w:val="right"/>
              <w:rPr>
                <w:sz w:val="19"/>
              </w:rPr>
            </w:pPr>
            <w:r>
              <w:rPr>
                <w:w w:val="111"/>
                <w:sz w:val="19"/>
              </w:rPr>
              <w:t>-</w:t>
            </w:r>
          </w:p>
        </w:tc>
        <w:tc>
          <w:tcPr>
            <w:tcW w:w="1700" w:type="dxa"/>
            <w:tcBorders>
              <w:top w:val="single" w:sz="4" w:space="0" w:color="000000"/>
              <w:left w:val="nil"/>
              <w:bottom w:val="single" w:sz="4" w:space="0" w:color="000000"/>
              <w:right w:val="nil"/>
            </w:tcBorders>
            <w:shd w:val="clear" w:color="auto" w:fill="E1E4BB"/>
          </w:tcPr>
          <w:p>
            <w:pPr>
              <w:pStyle w:val="TableParagraph"/>
              <w:spacing w:before="37"/>
              <w:ind w:right="106"/>
              <w:jc w:val="right"/>
              <w:rPr>
                <w:sz w:val="19"/>
              </w:rPr>
            </w:pPr>
            <w:r>
              <w:rPr>
                <w:w w:val="95"/>
                <w:sz w:val="19"/>
              </w:rPr>
              <w:t>30,349</w:t>
            </w:r>
          </w:p>
        </w:tc>
      </w:tr>
      <w:tr>
        <w:trPr>
          <w:trHeight w:val="273" w:hRule="atLeast"/>
        </w:trPr>
        <w:tc>
          <w:tcPr>
            <w:tcW w:w="5471" w:type="dxa"/>
            <w:tcBorders>
              <w:left w:val="nil"/>
              <w:bottom w:val="nil"/>
            </w:tcBorders>
            <w:shd w:val="clear" w:color="auto" w:fill="F4F4F4"/>
          </w:tcPr>
          <w:p>
            <w:pPr>
              <w:pStyle w:val="TableParagraph"/>
              <w:ind w:left="114"/>
              <w:rPr>
                <w:b/>
                <w:sz w:val="19"/>
              </w:rPr>
            </w:pPr>
            <w:r>
              <w:rPr>
                <w:b/>
                <w:sz w:val="19"/>
              </w:rPr>
              <w:t>Balance at 30 June 2016</w:t>
            </w:r>
          </w:p>
        </w:tc>
        <w:tc>
          <w:tcPr>
            <w:tcW w:w="765" w:type="dxa"/>
            <w:tcBorders>
              <w:bottom w:val="nil"/>
            </w:tcBorders>
            <w:shd w:val="clear" w:color="auto" w:fill="F4F4F4"/>
          </w:tcPr>
          <w:p>
            <w:pPr>
              <w:pStyle w:val="TableParagraph"/>
              <w:spacing w:before="0"/>
              <w:rPr>
                <w:rFonts w:ascii="Times New Roman"/>
                <w:sz w:val="20"/>
              </w:rPr>
            </w:pPr>
          </w:p>
        </w:tc>
        <w:tc>
          <w:tcPr>
            <w:tcW w:w="2267" w:type="dxa"/>
            <w:tcBorders>
              <w:top w:val="single" w:sz="4" w:space="0" w:color="000000"/>
              <w:bottom w:val="double" w:sz="2" w:space="0" w:color="000000"/>
            </w:tcBorders>
            <w:shd w:val="clear" w:color="auto" w:fill="F4F4F4"/>
          </w:tcPr>
          <w:p>
            <w:pPr>
              <w:pStyle w:val="TableParagraph"/>
              <w:ind w:right="99"/>
              <w:jc w:val="right"/>
              <w:rPr>
                <w:b/>
                <w:sz w:val="19"/>
              </w:rPr>
            </w:pPr>
            <w:r>
              <w:rPr>
                <w:b/>
                <w:w w:val="95"/>
                <w:sz w:val="19"/>
              </w:rPr>
              <w:t>1,026,943</w:t>
            </w:r>
          </w:p>
        </w:tc>
        <w:tc>
          <w:tcPr>
            <w:tcW w:w="1700" w:type="dxa"/>
            <w:tcBorders>
              <w:top w:val="single" w:sz="4" w:space="0" w:color="000000"/>
              <w:bottom w:val="double" w:sz="2" w:space="0" w:color="000000"/>
            </w:tcBorders>
            <w:shd w:val="clear" w:color="auto" w:fill="F4F4F4"/>
          </w:tcPr>
          <w:p>
            <w:pPr>
              <w:pStyle w:val="TableParagraph"/>
              <w:ind w:right="98"/>
              <w:jc w:val="right"/>
              <w:rPr>
                <w:b/>
                <w:sz w:val="19"/>
              </w:rPr>
            </w:pPr>
            <w:r>
              <w:rPr>
                <w:b/>
                <w:w w:val="122"/>
                <w:sz w:val="19"/>
              </w:rPr>
              <w:t>-</w:t>
            </w:r>
          </w:p>
        </w:tc>
        <w:tc>
          <w:tcPr>
            <w:tcW w:w="3401" w:type="dxa"/>
            <w:tcBorders>
              <w:top w:val="single" w:sz="4" w:space="0" w:color="000000"/>
              <w:bottom w:val="double" w:sz="2" w:space="0" w:color="000000"/>
              <w:right w:val="nil"/>
            </w:tcBorders>
            <w:shd w:val="clear" w:color="auto" w:fill="F4F4F4"/>
          </w:tcPr>
          <w:p>
            <w:pPr>
              <w:pStyle w:val="TableParagraph"/>
              <w:ind w:right="107"/>
              <w:jc w:val="right"/>
              <w:rPr>
                <w:b/>
                <w:sz w:val="19"/>
              </w:rPr>
            </w:pPr>
            <w:r>
              <w:rPr>
                <w:b/>
                <w:w w:val="95"/>
                <w:sz w:val="19"/>
              </w:rPr>
              <w:t>48,292</w:t>
            </w:r>
          </w:p>
        </w:tc>
        <w:tc>
          <w:tcPr>
            <w:tcW w:w="1700" w:type="dxa"/>
            <w:tcBorders>
              <w:top w:val="single" w:sz="4" w:space="0" w:color="000000"/>
              <w:left w:val="nil"/>
              <w:bottom w:val="double" w:sz="2" w:space="0" w:color="000000"/>
              <w:right w:val="nil"/>
            </w:tcBorders>
            <w:shd w:val="clear" w:color="auto" w:fill="DFE1B8"/>
          </w:tcPr>
          <w:p>
            <w:pPr>
              <w:pStyle w:val="TableParagraph"/>
              <w:ind w:right="106"/>
              <w:jc w:val="right"/>
              <w:rPr>
                <w:b/>
                <w:sz w:val="19"/>
              </w:rPr>
            </w:pPr>
            <w:r>
              <w:rPr>
                <w:b/>
                <w:w w:val="95"/>
                <w:sz w:val="19"/>
              </w:rPr>
              <w:t>1,075,236</w:t>
            </w:r>
          </w:p>
        </w:tc>
      </w:tr>
      <w:tr>
        <w:trPr>
          <w:trHeight w:val="273" w:hRule="atLeast"/>
        </w:trPr>
        <w:tc>
          <w:tcPr>
            <w:tcW w:w="5471" w:type="dxa"/>
            <w:tcBorders>
              <w:top w:val="nil"/>
              <w:left w:val="nil"/>
            </w:tcBorders>
            <w:shd w:val="clear" w:color="auto" w:fill="FAF9F9"/>
          </w:tcPr>
          <w:p>
            <w:pPr>
              <w:pStyle w:val="TableParagraph"/>
              <w:spacing w:before="0"/>
              <w:rPr>
                <w:rFonts w:ascii="Times New Roman"/>
                <w:sz w:val="20"/>
              </w:rPr>
            </w:pPr>
          </w:p>
        </w:tc>
        <w:tc>
          <w:tcPr>
            <w:tcW w:w="765" w:type="dxa"/>
            <w:tcBorders>
              <w:top w:val="nil"/>
            </w:tcBorders>
            <w:shd w:val="clear" w:color="auto" w:fill="FAF9F9"/>
          </w:tcPr>
          <w:p>
            <w:pPr>
              <w:pStyle w:val="TableParagraph"/>
              <w:spacing w:before="0"/>
              <w:rPr>
                <w:rFonts w:ascii="Times New Roman"/>
                <w:sz w:val="20"/>
              </w:rPr>
            </w:pPr>
          </w:p>
        </w:tc>
        <w:tc>
          <w:tcPr>
            <w:tcW w:w="7368" w:type="dxa"/>
            <w:gridSpan w:val="3"/>
            <w:tcBorders>
              <w:top w:val="double" w:sz="2" w:space="0" w:color="000000"/>
              <w:right w:val="nil"/>
            </w:tcBorders>
            <w:shd w:val="clear" w:color="auto" w:fill="FAF9F9"/>
          </w:tcPr>
          <w:p>
            <w:pPr>
              <w:pStyle w:val="TableParagraph"/>
              <w:spacing w:before="0"/>
              <w:rPr>
                <w:rFonts w:ascii="Times New Roman"/>
                <w:sz w:val="20"/>
              </w:rPr>
            </w:pPr>
          </w:p>
        </w:tc>
        <w:tc>
          <w:tcPr>
            <w:tcW w:w="1700" w:type="dxa"/>
            <w:vMerge w:val="restart"/>
            <w:tcBorders>
              <w:top w:val="double" w:sz="2" w:space="0" w:color="000000"/>
              <w:left w:val="nil"/>
              <w:bottom w:val="single" w:sz="4" w:space="0" w:color="000000"/>
              <w:right w:val="nil"/>
            </w:tcBorders>
            <w:shd w:val="clear" w:color="auto" w:fill="E1E4BB"/>
          </w:tcPr>
          <w:p>
            <w:pPr>
              <w:pStyle w:val="TableParagraph"/>
              <w:spacing w:before="3"/>
              <w:rPr>
                <w:sz w:val="28"/>
              </w:rPr>
            </w:pPr>
          </w:p>
          <w:p>
            <w:pPr>
              <w:pStyle w:val="TableParagraph"/>
              <w:spacing w:before="0"/>
              <w:ind w:left="746"/>
              <w:rPr>
                <w:sz w:val="19"/>
              </w:rPr>
            </w:pPr>
            <w:r>
              <w:rPr>
                <w:sz w:val="19"/>
              </w:rPr>
              <w:t>1,075,236</w:t>
            </w:r>
          </w:p>
          <w:p>
            <w:pPr>
              <w:pStyle w:val="TableParagraph"/>
              <w:spacing w:before="0"/>
              <w:rPr>
                <w:sz w:val="22"/>
              </w:rPr>
            </w:pPr>
          </w:p>
          <w:p>
            <w:pPr>
              <w:pStyle w:val="TableParagraph"/>
              <w:spacing w:before="140"/>
              <w:ind w:left="1010"/>
              <w:rPr>
                <w:sz w:val="19"/>
              </w:rPr>
            </w:pPr>
            <w:r>
              <w:rPr>
                <w:sz w:val="19"/>
              </w:rPr>
              <w:t>10,841</w:t>
            </w:r>
          </w:p>
        </w:tc>
      </w:tr>
      <w:tr>
        <w:trPr>
          <w:trHeight w:val="290" w:hRule="atLeast"/>
        </w:trPr>
        <w:tc>
          <w:tcPr>
            <w:tcW w:w="5471" w:type="dxa"/>
            <w:tcBorders>
              <w:left w:val="nil"/>
              <w:bottom w:val="nil"/>
            </w:tcBorders>
            <w:shd w:val="clear" w:color="auto" w:fill="F4F4F4"/>
          </w:tcPr>
          <w:p>
            <w:pPr>
              <w:pStyle w:val="TableParagraph"/>
              <w:ind w:left="114"/>
              <w:rPr>
                <w:b/>
                <w:sz w:val="19"/>
              </w:rPr>
            </w:pPr>
            <w:r>
              <w:rPr>
                <w:b/>
                <w:sz w:val="19"/>
              </w:rPr>
              <w:t>Balance at 1 July 2016</w:t>
            </w:r>
          </w:p>
        </w:tc>
        <w:tc>
          <w:tcPr>
            <w:tcW w:w="765" w:type="dxa"/>
            <w:tcBorders>
              <w:bottom w:val="nil"/>
            </w:tcBorders>
            <w:shd w:val="clear" w:color="auto" w:fill="F4F4F4"/>
          </w:tcPr>
          <w:p>
            <w:pPr>
              <w:pStyle w:val="TableParagraph"/>
              <w:spacing w:before="0"/>
              <w:rPr>
                <w:rFonts w:ascii="Times New Roman"/>
                <w:sz w:val="20"/>
              </w:rPr>
            </w:pPr>
          </w:p>
        </w:tc>
        <w:tc>
          <w:tcPr>
            <w:tcW w:w="2267" w:type="dxa"/>
            <w:tcBorders>
              <w:bottom w:val="nil"/>
            </w:tcBorders>
            <w:shd w:val="clear" w:color="auto" w:fill="F4F4F4"/>
          </w:tcPr>
          <w:p>
            <w:pPr>
              <w:pStyle w:val="TableParagraph"/>
              <w:ind w:right="98"/>
              <w:jc w:val="right"/>
              <w:rPr>
                <w:sz w:val="19"/>
              </w:rPr>
            </w:pPr>
            <w:r>
              <w:rPr>
                <w:w w:val="95"/>
                <w:sz w:val="19"/>
              </w:rPr>
              <w:t>1,026,944</w:t>
            </w:r>
          </w:p>
        </w:tc>
        <w:tc>
          <w:tcPr>
            <w:tcW w:w="1700" w:type="dxa"/>
            <w:tcBorders>
              <w:bottom w:val="nil"/>
            </w:tcBorders>
            <w:shd w:val="clear" w:color="auto" w:fill="F4F4F4"/>
          </w:tcPr>
          <w:p>
            <w:pPr>
              <w:pStyle w:val="TableParagraph"/>
              <w:ind w:right="99"/>
              <w:jc w:val="right"/>
              <w:rPr>
                <w:sz w:val="19"/>
              </w:rPr>
            </w:pPr>
            <w:r>
              <w:rPr>
                <w:w w:val="111"/>
                <w:sz w:val="19"/>
              </w:rPr>
              <w:t>-</w:t>
            </w:r>
          </w:p>
        </w:tc>
        <w:tc>
          <w:tcPr>
            <w:tcW w:w="3401" w:type="dxa"/>
            <w:tcBorders>
              <w:bottom w:val="nil"/>
              <w:right w:val="nil"/>
            </w:tcBorders>
            <w:shd w:val="clear" w:color="auto" w:fill="F4F4F4"/>
          </w:tcPr>
          <w:p>
            <w:pPr>
              <w:pStyle w:val="TableParagraph"/>
              <w:ind w:right="107"/>
              <w:jc w:val="right"/>
              <w:rPr>
                <w:sz w:val="19"/>
              </w:rPr>
            </w:pPr>
            <w:r>
              <w:rPr>
                <w:w w:val="95"/>
                <w:sz w:val="19"/>
              </w:rPr>
              <w:t>48,292</w:t>
            </w:r>
          </w:p>
        </w:tc>
        <w:tc>
          <w:tcPr>
            <w:tcW w:w="1700" w:type="dxa"/>
            <w:vMerge/>
            <w:tcBorders>
              <w:top w:val="nil"/>
              <w:left w:val="nil"/>
              <w:bottom w:val="single" w:sz="4" w:space="0" w:color="000000"/>
              <w:right w:val="nil"/>
            </w:tcBorders>
            <w:shd w:val="clear" w:color="auto" w:fill="E1E4BB"/>
          </w:tcPr>
          <w:p>
            <w:pPr>
              <w:rPr>
                <w:sz w:val="2"/>
                <w:szCs w:val="2"/>
              </w:rPr>
            </w:pPr>
          </w:p>
        </w:tc>
      </w:tr>
      <w:tr>
        <w:trPr>
          <w:trHeight w:val="290" w:hRule="atLeast"/>
        </w:trPr>
        <w:tc>
          <w:tcPr>
            <w:tcW w:w="5471" w:type="dxa"/>
            <w:tcBorders>
              <w:top w:val="nil"/>
              <w:left w:val="nil"/>
            </w:tcBorders>
            <w:shd w:val="clear" w:color="auto" w:fill="FAF9F9"/>
          </w:tcPr>
          <w:p>
            <w:pPr>
              <w:pStyle w:val="TableParagraph"/>
              <w:spacing w:before="37"/>
              <w:ind w:left="115"/>
              <w:rPr>
                <w:sz w:val="19"/>
              </w:rPr>
            </w:pPr>
            <w:r>
              <w:rPr>
                <w:sz w:val="19"/>
              </w:rPr>
              <w:t>Deficit</w:t>
            </w:r>
          </w:p>
        </w:tc>
        <w:tc>
          <w:tcPr>
            <w:tcW w:w="765" w:type="dxa"/>
            <w:tcBorders>
              <w:top w:val="nil"/>
            </w:tcBorders>
            <w:shd w:val="clear" w:color="auto" w:fill="FAF9F9"/>
          </w:tcPr>
          <w:p>
            <w:pPr>
              <w:pStyle w:val="TableParagraph"/>
              <w:spacing w:before="0"/>
              <w:rPr>
                <w:rFonts w:ascii="Times New Roman"/>
                <w:sz w:val="20"/>
              </w:rPr>
            </w:pPr>
          </w:p>
        </w:tc>
        <w:tc>
          <w:tcPr>
            <w:tcW w:w="2267" w:type="dxa"/>
            <w:tcBorders>
              <w:top w:val="nil"/>
            </w:tcBorders>
            <w:shd w:val="clear" w:color="auto" w:fill="FAF9F9"/>
          </w:tcPr>
          <w:p>
            <w:pPr>
              <w:pStyle w:val="TableParagraph"/>
              <w:spacing w:before="0"/>
              <w:rPr>
                <w:rFonts w:ascii="Times New Roman"/>
                <w:sz w:val="20"/>
              </w:rPr>
            </w:pPr>
          </w:p>
        </w:tc>
        <w:tc>
          <w:tcPr>
            <w:tcW w:w="1700" w:type="dxa"/>
            <w:tcBorders>
              <w:top w:val="nil"/>
            </w:tcBorders>
            <w:shd w:val="clear" w:color="auto" w:fill="FAF9F9"/>
          </w:tcPr>
          <w:p>
            <w:pPr>
              <w:pStyle w:val="TableParagraph"/>
              <w:spacing w:before="0"/>
              <w:rPr>
                <w:rFonts w:ascii="Times New Roman"/>
                <w:sz w:val="20"/>
              </w:rPr>
            </w:pPr>
          </w:p>
        </w:tc>
        <w:tc>
          <w:tcPr>
            <w:tcW w:w="3401" w:type="dxa"/>
            <w:tcBorders>
              <w:top w:val="nil"/>
              <w:right w:val="nil"/>
            </w:tcBorders>
            <w:shd w:val="clear" w:color="auto" w:fill="FAF9F9"/>
          </w:tcPr>
          <w:p>
            <w:pPr>
              <w:pStyle w:val="TableParagraph"/>
              <w:spacing w:before="0"/>
              <w:rPr>
                <w:rFonts w:ascii="Times New Roman"/>
                <w:sz w:val="20"/>
              </w:rPr>
            </w:pPr>
          </w:p>
        </w:tc>
        <w:tc>
          <w:tcPr>
            <w:tcW w:w="1700" w:type="dxa"/>
            <w:vMerge/>
            <w:tcBorders>
              <w:top w:val="nil"/>
              <w:left w:val="nil"/>
              <w:bottom w:val="single" w:sz="4" w:space="0" w:color="000000"/>
              <w:right w:val="nil"/>
            </w:tcBorders>
            <w:shd w:val="clear" w:color="auto" w:fill="E1E4BB"/>
          </w:tcPr>
          <w:p>
            <w:pPr>
              <w:rPr>
                <w:sz w:val="2"/>
                <w:szCs w:val="2"/>
              </w:rPr>
            </w:pPr>
          </w:p>
        </w:tc>
      </w:tr>
      <w:tr>
        <w:trPr>
          <w:trHeight w:val="290" w:hRule="atLeast"/>
        </w:trPr>
        <w:tc>
          <w:tcPr>
            <w:tcW w:w="5471" w:type="dxa"/>
            <w:tcBorders>
              <w:left w:val="nil"/>
              <w:bottom w:val="nil"/>
            </w:tcBorders>
            <w:shd w:val="clear" w:color="auto" w:fill="F4F4F4"/>
          </w:tcPr>
          <w:p>
            <w:pPr>
              <w:pStyle w:val="TableParagraph"/>
              <w:ind w:left="273"/>
              <w:rPr>
                <w:sz w:val="19"/>
              </w:rPr>
            </w:pPr>
            <w:r>
              <w:rPr>
                <w:sz w:val="19"/>
              </w:rPr>
              <w:t>Other comprehensive income</w:t>
            </w:r>
          </w:p>
        </w:tc>
        <w:tc>
          <w:tcPr>
            <w:tcW w:w="765" w:type="dxa"/>
            <w:tcBorders>
              <w:bottom w:val="nil"/>
            </w:tcBorders>
            <w:shd w:val="clear" w:color="auto" w:fill="F4F4F4"/>
          </w:tcPr>
          <w:p>
            <w:pPr>
              <w:pStyle w:val="TableParagraph"/>
              <w:spacing w:before="0"/>
              <w:rPr>
                <w:rFonts w:ascii="Times New Roman"/>
                <w:sz w:val="20"/>
              </w:rPr>
            </w:pPr>
          </w:p>
        </w:tc>
        <w:tc>
          <w:tcPr>
            <w:tcW w:w="2267" w:type="dxa"/>
            <w:tcBorders>
              <w:bottom w:val="single" w:sz="4" w:space="0" w:color="000000"/>
            </w:tcBorders>
            <w:shd w:val="clear" w:color="auto" w:fill="F4F4F4"/>
          </w:tcPr>
          <w:p>
            <w:pPr>
              <w:pStyle w:val="TableParagraph"/>
              <w:ind w:right="98"/>
              <w:jc w:val="right"/>
              <w:rPr>
                <w:sz w:val="19"/>
              </w:rPr>
            </w:pPr>
            <w:r>
              <w:rPr>
                <w:w w:val="111"/>
                <w:sz w:val="19"/>
              </w:rPr>
              <w:t>-</w:t>
            </w:r>
          </w:p>
        </w:tc>
        <w:tc>
          <w:tcPr>
            <w:tcW w:w="1700" w:type="dxa"/>
            <w:tcBorders>
              <w:bottom w:val="single" w:sz="4" w:space="0" w:color="000000"/>
            </w:tcBorders>
            <w:shd w:val="clear" w:color="auto" w:fill="F4F4F4"/>
          </w:tcPr>
          <w:p>
            <w:pPr>
              <w:pStyle w:val="TableParagraph"/>
              <w:ind w:right="97"/>
              <w:jc w:val="right"/>
              <w:rPr>
                <w:sz w:val="19"/>
              </w:rPr>
            </w:pPr>
            <w:r>
              <w:rPr>
                <w:w w:val="111"/>
                <w:sz w:val="19"/>
              </w:rPr>
              <w:t>-</w:t>
            </w:r>
          </w:p>
        </w:tc>
        <w:tc>
          <w:tcPr>
            <w:tcW w:w="3401" w:type="dxa"/>
            <w:tcBorders>
              <w:bottom w:val="single" w:sz="4" w:space="0" w:color="000000"/>
              <w:right w:val="nil"/>
            </w:tcBorders>
            <w:shd w:val="clear" w:color="auto" w:fill="F4F4F4"/>
          </w:tcPr>
          <w:p>
            <w:pPr>
              <w:pStyle w:val="TableParagraph"/>
              <w:ind w:right="107"/>
              <w:jc w:val="right"/>
              <w:rPr>
                <w:sz w:val="19"/>
              </w:rPr>
            </w:pPr>
            <w:r>
              <w:rPr>
                <w:w w:val="95"/>
                <w:sz w:val="19"/>
              </w:rPr>
              <w:t>10,841</w:t>
            </w:r>
          </w:p>
        </w:tc>
        <w:tc>
          <w:tcPr>
            <w:tcW w:w="1700" w:type="dxa"/>
            <w:vMerge/>
            <w:tcBorders>
              <w:top w:val="nil"/>
              <w:left w:val="nil"/>
              <w:bottom w:val="single" w:sz="4" w:space="0" w:color="000000"/>
              <w:right w:val="nil"/>
            </w:tcBorders>
            <w:shd w:val="clear" w:color="auto" w:fill="E1E4BB"/>
          </w:tcPr>
          <w:p>
            <w:pPr>
              <w:rPr>
                <w:sz w:val="2"/>
                <w:szCs w:val="2"/>
              </w:rPr>
            </w:pPr>
          </w:p>
        </w:tc>
      </w:tr>
      <w:tr>
        <w:trPr>
          <w:trHeight w:val="290" w:hRule="atLeast"/>
        </w:trPr>
        <w:tc>
          <w:tcPr>
            <w:tcW w:w="5471" w:type="dxa"/>
            <w:tcBorders>
              <w:top w:val="nil"/>
              <w:left w:val="nil"/>
            </w:tcBorders>
            <w:shd w:val="clear" w:color="auto" w:fill="FAF9F9"/>
          </w:tcPr>
          <w:p>
            <w:pPr>
              <w:pStyle w:val="TableParagraph"/>
              <w:spacing w:before="37"/>
              <w:ind w:left="115"/>
              <w:rPr>
                <w:sz w:val="19"/>
              </w:rPr>
            </w:pPr>
            <w:r>
              <w:rPr>
                <w:sz w:val="19"/>
              </w:rPr>
              <w:t>Total comprehensive income for the period</w:t>
            </w:r>
          </w:p>
        </w:tc>
        <w:tc>
          <w:tcPr>
            <w:tcW w:w="765" w:type="dxa"/>
            <w:tcBorders>
              <w:top w:val="nil"/>
            </w:tcBorders>
            <w:shd w:val="clear" w:color="auto" w:fill="FAF9F9"/>
          </w:tcPr>
          <w:p>
            <w:pPr>
              <w:pStyle w:val="TableParagraph"/>
              <w:spacing w:before="0"/>
              <w:rPr>
                <w:rFonts w:ascii="Times New Roman"/>
                <w:sz w:val="20"/>
              </w:rPr>
            </w:pPr>
          </w:p>
        </w:tc>
        <w:tc>
          <w:tcPr>
            <w:tcW w:w="2267" w:type="dxa"/>
            <w:tcBorders>
              <w:top w:val="single" w:sz="4" w:space="0" w:color="000000"/>
              <w:bottom w:val="single" w:sz="4" w:space="0" w:color="000000"/>
              <w:right w:val="nil"/>
            </w:tcBorders>
            <w:shd w:val="clear" w:color="auto" w:fill="FAF9F9"/>
          </w:tcPr>
          <w:p>
            <w:pPr>
              <w:pStyle w:val="TableParagraph"/>
              <w:spacing w:before="37"/>
              <w:ind w:right="108"/>
              <w:jc w:val="right"/>
              <w:rPr>
                <w:sz w:val="19"/>
              </w:rPr>
            </w:pPr>
            <w:r>
              <w:rPr>
                <w:w w:val="111"/>
                <w:sz w:val="19"/>
              </w:rPr>
              <w:t>-</w:t>
            </w:r>
          </w:p>
        </w:tc>
        <w:tc>
          <w:tcPr>
            <w:tcW w:w="1700" w:type="dxa"/>
            <w:tcBorders>
              <w:top w:val="single" w:sz="4" w:space="0" w:color="000000"/>
              <w:left w:val="nil"/>
              <w:bottom w:val="single" w:sz="4" w:space="0" w:color="000000"/>
              <w:right w:val="nil"/>
            </w:tcBorders>
            <w:shd w:val="clear" w:color="auto" w:fill="FAF9F9"/>
          </w:tcPr>
          <w:p>
            <w:pPr>
              <w:pStyle w:val="TableParagraph"/>
              <w:spacing w:before="37"/>
              <w:ind w:right="107"/>
              <w:jc w:val="right"/>
              <w:rPr>
                <w:sz w:val="19"/>
              </w:rPr>
            </w:pPr>
            <w:r>
              <w:rPr>
                <w:w w:val="111"/>
                <w:sz w:val="19"/>
              </w:rPr>
              <w:t>-</w:t>
            </w:r>
          </w:p>
        </w:tc>
        <w:tc>
          <w:tcPr>
            <w:tcW w:w="3401" w:type="dxa"/>
            <w:tcBorders>
              <w:top w:val="single" w:sz="4" w:space="0" w:color="000000"/>
              <w:left w:val="nil"/>
              <w:bottom w:val="single" w:sz="4" w:space="0" w:color="000000"/>
              <w:right w:val="nil"/>
            </w:tcBorders>
            <w:shd w:val="clear" w:color="auto" w:fill="FAF9F9"/>
          </w:tcPr>
          <w:p>
            <w:pPr>
              <w:pStyle w:val="TableParagraph"/>
              <w:spacing w:before="37"/>
              <w:ind w:right="107"/>
              <w:jc w:val="right"/>
              <w:rPr>
                <w:sz w:val="19"/>
              </w:rPr>
            </w:pPr>
            <w:r>
              <w:rPr>
                <w:w w:val="95"/>
                <w:sz w:val="19"/>
              </w:rPr>
              <w:t>10,841</w:t>
            </w:r>
          </w:p>
        </w:tc>
        <w:tc>
          <w:tcPr>
            <w:tcW w:w="1700" w:type="dxa"/>
            <w:tcBorders>
              <w:top w:val="single" w:sz="4" w:space="0" w:color="000000"/>
              <w:left w:val="nil"/>
              <w:bottom w:val="single" w:sz="4" w:space="0" w:color="000000"/>
              <w:right w:val="nil"/>
            </w:tcBorders>
            <w:shd w:val="clear" w:color="auto" w:fill="E1E4BB"/>
          </w:tcPr>
          <w:p>
            <w:pPr>
              <w:pStyle w:val="TableParagraph"/>
              <w:spacing w:before="37"/>
              <w:ind w:right="106"/>
              <w:jc w:val="right"/>
              <w:rPr>
                <w:sz w:val="19"/>
              </w:rPr>
            </w:pPr>
            <w:r>
              <w:rPr>
                <w:w w:val="95"/>
                <w:sz w:val="19"/>
              </w:rPr>
              <w:t>10,841</w:t>
            </w:r>
          </w:p>
        </w:tc>
      </w:tr>
      <w:tr>
        <w:trPr>
          <w:trHeight w:val="295" w:hRule="atLeast"/>
        </w:trPr>
        <w:tc>
          <w:tcPr>
            <w:tcW w:w="5471" w:type="dxa"/>
            <w:tcBorders>
              <w:left w:val="nil"/>
              <w:bottom w:val="nil"/>
            </w:tcBorders>
            <w:shd w:val="clear" w:color="auto" w:fill="F4F4F4"/>
          </w:tcPr>
          <w:p>
            <w:pPr>
              <w:pStyle w:val="TableParagraph"/>
              <w:spacing w:before="0"/>
              <w:rPr>
                <w:rFonts w:ascii="Times New Roman"/>
                <w:sz w:val="20"/>
              </w:rPr>
            </w:pPr>
          </w:p>
        </w:tc>
        <w:tc>
          <w:tcPr>
            <w:tcW w:w="765" w:type="dxa"/>
            <w:tcBorders>
              <w:bottom w:val="nil"/>
            </w:tcBorders>
            <w:shd w:val="clear" w:color="auto" w:fill="F4F4F4"/>
          </w:tcPr>
          <w:p>
            <w:pPr>
              <w:pStyle w:val="TableParagraph"/>
              <w:spacing w:before="0"/>
              <w:rPr>
                <w:rFonts w:ascii="Times New Roman"/>
                <w:sz w:val="20"/>
              </w:rPr>
            </w:pPr>
          </w:p>
        </w:tc>
        <w:tc>
          <w:tcPr>
            <w:tcW w:w="2267" w:type="dxa"/>
            <w:tcBorders>
              <w:top w:val="single" w:sz="4" w:space="0" w:color="000000"/>
              <w:bottom w:val="nil"/>
            </w:tcBorders>
            <w:shd w:val="clear" w:color="auto" w:fill="F4F4F4"/>
          </w:tcPr>
          <w:p>
            <w:pPr>
              <w:pStyle w:val="TableParagraph"/>
              <w:spacing w:before="0"/>
              <w:rPr>
                <w:rFonts w:ascii="Times New Roman"/>
                <w:sz w:val="20"/>
              </w:rPr>
            </w:pPr>
          </w:p>
        </w:tc>
        <w:tc>
          <w:tcPr>
            <w:tcW w:w="1700" w:type="dxa"/>
            <w:tcBorders>
              <w:top w:val="single" w:sz="4" w:space="0" w:color="000000"/>
              <w:bottom w:val="nil"/>
            </w:tcBorders>
            <w:shd w:val="clear" w:color="auto" w:fill="F4F4F4"/>
          </w:tcPr>
          <w:p>
            <w:pPr>
              <w:pStyle w:val="TableParagraph"/>
              <w:spacing w:before="0"/>
              <w:rPr>
                <w:rFonts w:ascii="Times New Roman"/>
                <w:sz w:val="20"/>
              </w:rPr>
            </w:pPr>
          </w:p>
        </w:tc>
        <w:tc>
          <w:tcPr>
            <w:tcW w:w="3401" w:type="dxa"/>
            <w:tcBorders>
              <w:top w:val="single" w:sz="4" w:space="0" w:color="000000"/>
              <w:bottom w:val="nil"/>
              <w:right w:val="nil"/>
            </w:tcBorders>
            <w:shd w:val="clear" w:color="auto" w:fill="F4F4F4"/>
          </w:tcPr>
          <w:p>
            <w:pPr>
              <w:pStyle w:val="TableParagraph"/>
              <w:spacing w:before="0"/>
              <w:rPr>
                <w:rFonts w:ascii="Times New Roman"/>
                <w:sz w:val="20"/>
              </w:rPr>
            </w:pPr>
          </w:p>
        </w:tc>
        <w:tc>
          <w:tcPr>
            <w:tcW w:w="1700" w:type="dxa"/>
            <w:tcBorders>
              <w:top w:val="single" w:sz="4" w:space="0" w:color="000000"/>
              <w:left w:val="nil"/>
              <w:bottom w:val="nil"/>
              <w:right w:val="nil"/>
            </w:tcBorders>
            <w:shd w:val="clear" w:color="auto" w:fill="DFE1B8"/>
          </w:tcPr>
          <w:p>
            <w:pPr>
              <w:pStyle w:val="TableParagraph"/>
              <w:spacing w:before="0"/>
              <w:rPr>
                <w:rFonts w:ascii="Times New Roman"/>
                <w:sz w:val="20"/>
              </w:rPr>
            </w:pPr>
          </w:p>
        </w:tc>
      </w:tr>
      <w:tr>
        <w:trPr>
          <w:trHeight w:val="295" w:hRule="atLeast"/>
        </w:trPr>
        <w:tc>
          <w:tcPr>
            <w:tcW w:w="5471" w:type="dxa"/>
            <w:tcBorders>
              <w:top w:val="nil"/>
              <w:left w:val="nil"/>
            </w:tcBorders>
            <w:shd w:val="clear" w:color="auto" w:fill="FAF9F9"/>
          </w:tcPr>
          <w:p>
            <w:pPr>
              <w:pStyle w:val="TableParagraph"/>
              <w:spacing w:before="42"/>
              <w:ind w:left="115"/>
              <w:rPr>
                <w:sz w:val="19"/>
              </w:rPr>
            </w:pPr>
            <w:r>
              <w:rPr>
                <w:sz w:val="19"/>
              </w:rPr>
              <w:t>Transactions with owners in their capacity as owners:</w:t>
            </w:r>
          </w:p>
        </w:tc>
        <w:tc>
          <w:tcPr>
            <w:tcW w:w="765" w:type="dxa"/>
            <w:tcBorders>
              <w:top w:val="nil"/>
            </w:tcBorders>
            <w:shd w:val="clear" w:color="auto" w:fill="FAF9F9"/>
          </w:tcPr>
          <w:p>
            <w:pPr>
              <w:pStyle w:val="TableParagraph"/>
              <w:spacing w:before="0"/>
              <w:rPr>
                <w:rFonts w:ascii="Times New Roman"/>
                <w:sz w:val="20"/>
              </w:rPr>
            </w:pPr>
          </w:p>
        </w:tc>
        <w:tc>
          <w:tcPr>
            <w:tcW w:w="2267" w:type="dxa"/>
            <w:tcBorders>
              <w:top w:val="nil"/>
            </w:tcBorders>
            <w:shd w:val="clear" w:color="auto" w:fill="FAF9F9"/>
          </w:tcPr>
          <w:p>
            <w:pPr>
              <w:pStyle w:val="TableParagraph"/>
              <w:spacing w:before="0"/>
              <w:rPr>
                <w:rFonts w:ascii="Times New Roman"/>
                <w:sz w:val="20"/>
              </w:rPr>
            </w:pPr>
          </w:p>
        </w:tc>
        <w:tc>
          <w:tcPr>
            <w:tcW w:w="1700" w:type="dxa"/>
            <w:tcBorders>
              <w:top w:val="nil"/>
            </w:tcBorders>
            <w:shd w:val="clear" w:color="auto" w:fill="FAF9F9"/>
          </w:tcPr>
          <w:p>
            <w:pPr>
              <w:pStyle w:val="TableParagraph"/>
              <w:spacing w:before="0"/>
              <w:rPr>
                <w:rFonts w:ascii="Times New Roman"/>
                <w:sz w:val="20"/>
              </w:rPr>
            </w:pPr>
          </w:p>
        </w:tc>
        <w:tc>
          <w:tcPr>
            <w:tcW w:w="3401" w:type="dxa"/>
            <w:tcBorders>
              <w:top w:val="nil"/>
              <w:right w:val="nil"/>
            </w:tcBorders>
            <w:shd w:val="clear" w:color="auto" w:fill="FAF9F9"/>
          </w:tcPr>
          <w:p>
            <w:pPr>
              <w:pStyle w:val="TableParagraph"/>
              <w:spacing w:before="0"/>
              <w:rPr>
                <w:rFonts w:ascii="Times New Roman"/>
                <w:sz w:val="20"/>
              </w:rPr>
            </w:pPr>
          </w:p>
        </w:tc>
        <w:tc>
          <w:tcPr>
            <w:tcW w:w="1700" w:type="dxa"/>
            <w:tcBorders>
              <w:top w:val="nil"/>
              <w:left w:val="nil"/>
              <w:bottom w:val="nil"/>
              <w:right w:val="nil"/>
            </w:tcBorders>
            <w:shd w:val="clear" w:color="auto" w:fill="DFE1B8"/>
          </w:tcPr>
          <w:p>
            <w:pPr>
              <w:pStyle w:val="TableParagraph"/>
              <w:spacing w:before="0"/>
              <w:rPr>
                <w:rFonts w:ascii="Times New Roman"/>
                <w:sz w:val="20"/>
              </w:rPr>
            </w:pPr>
          </w:p>
        </w:tc>
      </w:tr>
      <w:tr>
        <w:trPr>
          <w:trHeight w:val="295" w:hRule="atLeast"/>
        </w:trPr>
        <w:tc>
          <w:tcPr>
            <w:tcW w:w="5471" w:type="dxa"/>
            <w:tcBorders>
              <w:left w:val="nil"/>
              <w:bottom w:val="nil"/>
            </w:tcBorders>
            <w:shd w:val="clear" w:color="auto" w:fill="F4F4F4"/>
          </w:tcPr>
          <w:p>
            <w:pPr>
              <w:pStyle w:val="TableParagraph"/>
              <w:ind w:left="273"/>
              <w:rPr>
                <w:sz w:val="19"/>
              </w:rPr>
            </w:pPr>
            <w:r>
              <w:rPr>
                <w:sz w:val="19"/>
              </w:rPr>
              <w:t>Capital appropriations</w:t>
            </w:r>
          </w:p>
        </w:tc>
        <w:tc>
          <w:tcPr>
            <w:tcW w:w="765" w:type="dxa"/>
            <w:tcBorders>
              <w:bottom w:val="nil"/>
            </w:tcBorders>
            <w:shd w:val="clear" w:color="auto" w:fill="F4F4F4"/>
          </w:tcPr>
          <w:p>
            <w:pPr>
              <w:pStyle w:val="TableParagraph"/>
              <w:spacing w:before="0"/>
              <w:rPr>
                <w:rFonts w:ascii="Times New Roman"/>
                <w:sz w:val="20"/>
              </w:rPr>
            </w:pPr>
          </w:p>
        </w:tc>
        <w:tc>
          <w:tcPr>
            <w:tcW w:w="2267" w:type="dxa"/>
            <w:tcBorders>
              <w:bottom w:val="nil"/>
            </w:tcBorders>
            <w:shd w:val="clear" w:color="auto" w:fill="F4F4F4"/>
          </w:tcPr>
          <w:p>
            <w:pPr>
              <w:pStyle w:val="TableParagraph"/>
              <w:ind w:right="98"/>
              <w:jc w:val="right"/>
              <w:rPr>
                <w:sz w:val="19"/>
              </w:rPr>
            </w:pPr>
            <w:r>
              <w:rPr>
                <w:w w:val="95"/>
                <w:sz w:val="19"/>
              </w:rPr>
              <w:t>28,763</w:t>
            </w:r>
          </w:p>
        </w:tc>
        <w:tc>
          <w:tcPr>
            <w:tcW w:w="1700" w:type="dxa"/>
            <w:tcBorders>
              <w:bottom w:val="nil"/>
            </w:tcBorders>
            <w:shd w:val="clear" w:color="auto" w:fill="F4F4F4"/>
          </w:tcPr>
          <w:p>
            <w:pPr>
              <w:pStyle w:val="TableParagraph"/>
              <w:ind w:right="97"/>
              <w:jc w:val="right"/>
              <w:rPr>
                <w:sz w:val="19"/>
              </w:rPr>
            </w:pPr>
            <w:r>
              <w:rPr>
                <w:w w:val="111"/>
                <w:sz w:val="19"/>
              </w:rPr>
              <w:t>-</w:t>
            </w:r>
          </w:p>
        </w:tc>
        <w:tc>
          <w:tcPr>
            <w:tcW w:w="3401" w:type="dxa"/>
            <w:tcBorders>
              <w:bottom w:val="nil"/>
              <w:right w:val="nil"/>
            </w:tcBorders>
            <w:shd w:val="clear" w:color="auto" w:fill="F4F4F4"/>
          </w:tcPr>
          <w:p>
            <w:pPr>
              <w:pStyle w:val="TableParagraph"/>
              <w:ind w:right="106"/>
              <w:jc w:val="right"/>
              <w:rPr>
                <w:sz w:val="19"/>
              </w:rPr>
            </w:pPr>
            <w:r>
              <w:rPr>
                <w:w w:val="111"/>
                <w:sz w:val="19"/>
              </w:rPr>
              <w:t>-</w:t>
            </w:r>
          </w:p>
        </w:tc>
        <w:tc>
          <w:tcPr>
            <w:tcW w:w="1700" w:type="dxa"/>
            <w:tcBorders>
              <w:top w:val="nil"/>
              <w:left w:val="nil"/>
              <w:bottom w:val="nil"/>
              <w:right w:val="nil"/>
            </w:tcBorders>
            <w:shd w:val="clear" w:color="auto" w:fill="DFE1B8"/>
          </w:tcPr>
          <w:p>
            <w:pPr>
              <w:pStyle w:val="TableParagraph"/>
              <w:ind w:right="105"/>
              <w:jc w:val="right"/>
              <w:rPr>
                <w:sz w:val="19"/>
              </w:rPr>
            </w:pPr>
            <w:r>
              <w:rPr>
                <w:w w:val="95"/>
                <w:sz w:val="19"/>
              </w:rPr>
              <w:t>28,763</w:t>
            </w:r>
          </w:p>
        </w:tc>
      </w:tr>
      <w:tr>
        <w:trPr>
          <w:trHeight w:val="315" w:hRule="atLeast"/>
        </w:trPr>
        <w:tc>
          <w:tcPr>
            <w:tcW w:w="5471" w:type="dxa"/>
            <w:tcBorders>
              <w:top w:val="nil"/>
              <w:left w:val="nil"/>
              <w:bottom w:val="nil"/>
              <w:right w:val="nil"/>
            </w:tcBorders>
            <w:shd w:val="clear" w:color="auto" w:fill="FAF9F9"/>
          </w:tcPr>
          <w:p>
            <w:pPr>
              <w:pStyle w:val="TableParagraph"/>
              <w:spacing w:before="42"/>
              <w:ind w:left="274"/>
              <w:rPr>
                <w:sz w:val="19"/>
              </w:rPr>
            </w:pPr>
            <w:r>
              <w:rPr>
                <w:sz w:val="19"/>
              </w:rPr>
              <w:t>Contributions by owners</w:t>
            </w:r>
          </w:p>
        </w:tc>
        <w:tc>
          <w:tcPr>
            <w:tcW w:w="765" w:type="dxa"/>
            <w:tcBorders>
              <w:top w:val="nil"/>
              <w:left w:val="nil"/>
              <w:bottom w:val="nil"/>
              <w:right w:val="nil"/>
            </w:tcBorders>
            <w:shd w:val="clear" w:color="auto" w:fill="FAF9F9"/>
          </w:tcPr>
          <w:p>
            <w:pPr>
              <w:pStyle w:val="TableParagraph"/>
              <w:spacing w:before="0"/>
              <w:rPr>
                <w:rFonts w:ascii="Times New Roman"/>
                <w:sz w:val="20"/>
              </w:rPr>
            </w:pPr>
          </w:p>
        </w:tc>
        <w:tc>
          <w:tcPr>
            <w:tcW w:w="2267" w:type="dxa"/>
            <w:tcBorders>
              <w:top w:val="nil"/>
              <w:left w:val="nil"/>
              <w:bottom w:val="nil"/>
              <w:right w:val="nil"/>
            </w:tcBorders>
            <w:shd w:val="clear" w:color="auto" w:fill="FAF9F9"/>
          </w:tcPr>
          <w:p>
            <w:pPr>
              <w:pStyle w:val="TableParagraph"/>
              <w:spacing w:before="42"/>
              <w:ind w:right="108"/>
              <w:jc w:val="right"/>
              <w:rPr>
                <w:sz w:val="19"/>
              </w:rPr>
            </w:pPr>
            <w:r>
              <w:rPr>
                <w:w w:val="95"/>
                <w:sz w:val="19"/>
              </w:rPr>
              <w:t>245</w:t>
            </w:r>
          </w:p>
        </w:tc>
        <w:tc>
          <w:tcPr>
            <w:tcW w:w="1700" w:type="dxa"/>
            <w:tcBorders>
              <w:top w:val="nil"/>
              <w:left w:val="nil"/>
              <w:bottom w:val="nil"/>
              <w:right w:val="nil"/>
            </w:tcBorders>
            <w:shd w:val="clear" w:color="auto" w:fill="FAF9F9"/>
          </w:tcPr>
          <w:p>
            <w:pPr>
              <w:pStyle w:val="TableParagraph"/>
              <w:spacing w:before="42"/>
              <w:ind w:right="107"/>
              <w:jc w:val="right"/>
              <w:rPr>
                <w:sz w:val="19"/>
              </w:rPr>
            </w:pPr>
            <w:r>
              <w:rPr>
                <w:w w:val="111"/>
                <w:sz w:val="19"/>
              </w:rPr>
              <w:t>-</w:t>
            </w:r>
          </w:p>
        </w:tc>
        <w:tc>
          <w:tcPr>
            <w:tcW w:w="3401" w:type="dxa"/>
            <w:tcBorders>
              <w:top w:val="nil"/>
              <w:left w:val="nil"/>
              <w:bottom w:val="nil"/>
              <w:right w:val="nil"/>
            </w:tcBorders>
            <w:shd w:val="clear" w:color="auto" w:fill="FAF9F9"/>
          </w:tcPr>
          <w:p>
            <w:pPr>
              <w:pStyle w:val="TableParagraph"/>
              <w:spacing w:before="42"/>
              <w:ind w:right="106"/>
              <w:jc w:val="right"/>
              <w:rPr>
                <w:sz w:val="19"/>
              </w:rPr>
            </w:pPr>
            <w:r>
              <w:rPr>
                <w:w w:val="111"/>
                <w:sz w:val="19"/>
              </w:rPr>
              <w:t>-</w:t>
            </w:r>
          </w:p>
        </w:tc>
        <w:tc>
          <w:tcPr>
            <w:tcW w:w="1700" w:type="dxa"/>
            <w:tcBorders>
              <w:top w:val="nil"/>
              <w:left w:val="nil"/>
              <w:bottom w:val="nil"/>
              <w:right w:val="nil"/>
            </w:tcBorders>
            <w:shd w:val="clear" w:color="auto" w:fill="DFE1B8"/>
          </w:tcPr>
          <w:p>
            <w:pPr>
              <w:pStyle w:val="TableParagraph"/>
              <w:spacing w:before="42"/>
              <w:ind w:right="105"/>
              <w:jc w:val="right"/>
              <w:rPr>
                <w:sz w:val="19"/>
              </w:rPr>
            </w:pPr>
            <w:r>
              <w:rPr>
                <w:w w:val="95"/>
                <w:sz w:val="19"/>
              </w:rPr>
              <w:t>245</w:t>
            </w:r>
          </w:p>
        </w:tc>
      </w:tr>
      <w:tr>
        <w:trPr>
          <w:trHeight w:val="290" w:hRule="atLeast"/>
        </w:trPr>
        <w:tc>
          <w:tcPr>
            <w:tcW w:w="5471" w:type="dxa"/>
            <w:tcBorders>
              <w:top w:val="nil"/>
              <w:left w:val="nil"/>
              <w:bottom w:val="nil"/>
            </w:tcBorders>
            <w:shd w:val="clear" w:color="auto" w:fill="F4F4F4"/>
          </w:tcPr>
          <w:p>
            <w:pPr>
              <w:pStyle w:val="TableParagraph"/>
              <w:ind w:left="274"/>
              <w:rPr>
                <w:sz w:val="19"/>
              </w:rPr>
            </w:pPr>
            <w:r>
              <w:rPr>
                <w:sz w:val="19"/>
              </w:rPr>
              <w:t>Distributions to owners</w:t>
            </w:r>
          </w:p>
        </w:tc>
        <w:tc>
          <w:tcPr>
            <w:tcW w:w="765" w:type="dxa"/>
            <w:tcBorders>
              <w:top w:val="nil"/>
              <w:bottom w:val="nil"/>
            </w:tcBorders>
            <w:shd w:val="clear" w:color="auto" w:fill="F4F4F4"/>
          </w:tcPr>
          <w:p>
            <w:pPr>
              <w:pStyle w:val="TableParagraph"/>
              <w:spacing w:before="0"/>
              <w:rPr>
                <w:rFonts w:ascii="Times New Roman"/>
                <w:sz w:val="20"/>
              </w:rPr>
            </w:pPr>
          </w:p>
        </w:tc>
        <w:tc>
          <w:tcPr>
            <w:tcW w:w="2267" w:type="dxa"/>
            <w:tcBorders>
              <w:top w:val="nil"/>
              <w:bottom w:val="single" w:sz="4" w:space="0" w:color="000000"/>
            </w:tcBorders>
            <w:shd w:val="clear" w:color="auto" w:fill="F4F4F4"/>
          </w:tcPr>
          <w:p>
            <w:pPr>
              <w:pStyle w:val="TableParagraph"/>
              <w:ind w:right="97"/>
              <w:jc w:val="right"/>
              <w:rPr>
                <w:sz w:val="19"/>
              </w:rPr>
            </w:pPr>
            <w:r>
              <w:rPr>
                <w:w w:val="85"/>
                <w:sz w:val="19"/>
              </w:rPr>
              <w:t>(24)</w:t>
            </w:r>
          </w:p>
        </w:tc>
        <w:tc>
          <w:tcPr>
            <w:tcW w:w="1700" w:type="dxa"/>
            <w:tcBorders>
              <w:top w:val="nil"/>
              <w:bottom w:val="single" w:sz="4" w:space="0" w:color="000000"/>
            </w:tcBorders>
            <w:shd w:val="clear" w:color="auto" w:fill="F4F4F4"/>
          </w:tcPr>
          <w:p>
            <w:pPr>
              <w:pStyle w:val="TableParagraph"/>
              <w:ind w:right="97"/>
              <w:jc w:val="right"/>
              <w:rPr>
                <w:sz w:val="19"/>
              </w:rPr>
            </w:pPr>
            <w:r>
              <w:rPr>
                <w:w w:val="111"/>
                <w:sz w:val="19"/>
              </w:rPr>
              <w:t>-</w:t>
            </w:r>
          </w:p>
        </w:tc>
        <w:tc>
          <w:tcPr>
            <w:tcW w:w="3401" w:type="dxa"/>
            <w:tcBorders>
              <w:top w:val="nil"/>
              <w:bottom w:val="single" w:sz="4" w:space="0" w:color="000000"/>
              <w:right w:val="nil"/>
            </w:tcBorders>
            <w:shd w:val="clear" w:color="auto" w:fill="F4F4F4"/>
          </w:tcPr>
          <w:p>
            <w:pPr>
              <w:pStyle w:val="TableParagraph"/>
              <w:ind w:right="106"/>
              <w:jc w:val="right"/>
              <w:rPr>
                <w:sz w:val="19"/>
              </w:rPr>
            </w:pPr>
            <w:r>
              <w:rPr>
                <w:w w:val="111"/>
                <w:sz w:val="19"/>
              </w:rPr>
              <w:t>-</w:t>
            </w:r>
          </w:p>
        </w:tc>
        <w:tc>
          <w:tcPr>
            <w:tcW w:w="1700" w:type="dxa"/>
            <w:tcBorders>
              <w:top w:val="nil"/>
              <w:left w:val="nil"/>
              <w:bottom w:val="single" w:sz="4" w:space="0" w:color="000000"/>
              <w:right w:val="nil"/>
            </w:tcBorders>
            <w:shd w:val="clear" w:color="auto" w:fill="DFE1B8"/>
          </w:tcPr>
          <w:p>
            <w:pPr>
              <w:pStyle w:val="TableParagraph"/>
              <w:ind w:right="105"/>
              <w:jc w:val="right"/>
              <w:rPr>
                <w:sz w:val="19"/>
              </w:rPr>
            </w:pPr>
            <w:r>
              <w:rPr>
                <w:w w:val="85"/>
                <w:sz w:val="19"/>
              </w:rPr>
              <w:t>(24)</w:t>
            </w:r>
          </w:p>
        </w:tc>
      </w:tr>
      <w:tr>
        <w:trPr>
          <w:trHeight w:val="290" w:hRule="atLeast"/>
        </w:trPr>
        <w:tc>
          <w:tcPr>
            <w:tcW w:w="5471" w:type="dxa"/>
            <w:tcBorders>
              <w:top w:val="nil"/>
              <w:left w:val="nil"/>
              <w:right w:val="nil"/>
            </w:tcBorders>
            <w:shd w:val="clear" w:color="auto" w:fill="FAF9F9"/>
          </w:tcPr>
          <w:p>
            <w:pPr>
              <w:pStyle w:val="TableParagraph"/>
              <w:spacing w:before="37"/>
              <w:ind w:left="116"/>
              <w:rPr>
                <w:sz w:val="19"/>
              </w:rPr>
            </w:pPr>
            <w:r>
              <w:rPr>
                <w:sz w:val="19"/>
              </w:rPr>
              <w:t>Total</w:t>
            </w:r>
          </w:p>
        </w:tc>
        <w:tc>
          <w:tcPr>
            <w:tcW w:w="765" w:type="dxa"/>
            <w:tcBorders>
              <w:top w:val="nil"/>
              <w:left w:val="nil"/>
              <w:right w:val="nil"/>
            </w:tcBorders>
            <w:shd w:val="clear" w:color="auto" w:fill="FAF9F9"/>
          </w:tcPr>
          <w:p>
            <w:pPr>
              <w:pStyle w:val="TableParagraph"/>
              <w:spacing w:before="0"/>
              <w:rPr>
                <w:rFonts w:ascii="Times New Roman"/>
                <w:sz w:val="20"/>
              </w:rPr>
            </w:pPr>
          </w:p>
        </w:tc>
        <w:tc>
          <w:tcPr>
            <w:tcW w:w="2267" w:type="dxa"/>
            <w:tcBorders>
              <w:top w:val="single" w:sz="4" w:space="0" w:color="000000"/>
              <w:left w:val="nil"/>
              <w:bottom w:val="single" w:sz="4" w:space="0" w:color="000000"/>
              <w:right w:val="nil"/>
            </w:tcBorders>
            <w:shd w:val="clear" w:color="auto" w:fill="FAF9F9"/>
          </w:tcPr>
          <w:p>
            <w:pPr>
              <w:pStyle w:val="TableParagraph"/>
              <w:spacing w:before="37"/>
              <w:ind w:right="107"/>
              <w:jc w:val="right"/>
              <w:rPr>
                <w:sz w:val="19"/>
              </w:rPr>
            </w:pPr>
            <w:r>
              <w:rPr>
                <w:w w:val="95"/>
                <w:sz w:val="19"/>
              </w:rPr>
              <w:t>28,984</w:t>
            </w:r>
          </w:p>
        </w:tc>
        <w:tc>
          <w:tcPr>
            <w:tcW w:w="1700" w:type="dxa"/>
            <w:tcBorders>
              <w:top w:val="single" w:sz="4" w:space="0" w:color="000000"/>
              <w:left w:val="nil"/>
              <w:bottom w:val="single" w:sz="4" w:space="0" w:color="000000"/>
              <w:right w:val="nil"/>
            </w:tcBorders>
            <w:shd w:val="clear" w:color="auto" w:fill="FAF9F9"/>
          </w:tcPr>
          <w:p>
            <w:pPr>
              <w:pStyle w:val="TableParagraph"/>
              <w:spacing w:before="37"/>
              <w:ind w:right="106"/>
              <w:jc w:val="right"/>
              <w:rPr>
                <w:sz w:val="19"/>
              </w:rPr>
            </w:pPr>
            <w:r>
              <w:rPr>
                <w:w w:val="111"/>
                <w:sz w:val="19"/>
              </w:rPr>
              <w:t>-</w:t>
            </w:r>
          </w:p>
        </w:tc>
        <w:tc>
          <w:tcPr>
            <w:tcW w:w="3401" w:type="dxa"/>
            <w:tcBorders>
              <w:top w:val="single" w:sz="4" w:space="0" w:color="000000"/>
              <w:left w:val="nil"/>
              <w:bottom w:val="single" w:sz="4" w:space="0" w:color="000000"/>
              <w:right w:val="nil"/>
            </w:tcBorders>
            <w:shd w:val="clear" w:color="auto" w:fill="FAF9F9"/>
          </w:tcPr>
          <w:p>
            <w:pPr>
              <w:pStyle w:val="TableParagraph"/>
              <w:spacing w:before="37"/>
              <w:ind w:right="106"/>
              <w:jc w:val="right"/>
              <w:rPr>
                <w:sz w:val="19"/>
              </w:rPr>
            </w:pPr>
            <w:r>
              <w:rPr>
                <w:w w:val="111"/>
                <w:sz w:val="19"/>
              </w:rPr>
              <w:t>-</w:t>
            </w:r>
          </w:p>
        </w:tc>
        <w:tc>
          <w:tcPr>
            <w:tcW w:w="1700" w:type="dxa"/>
            <w:tcBorders>
              <w:top w:val="single" w:sz="4" w:space="0" w:color="000000"/>
              <w:left w:val="nil"/>
              <w:bottom w:val="single" w:sz="4" w:space="0" w:color="000000"/>
              <w:right w:val="nil"/>
            </w:tcBorders>
            <w:shd w:val="clear" w:color="auto" w:fill="E1E4BB"/>
          </w:tcPr>
          <w:p>
            <w:pPr>
              <w:pStyle w:val="TableParagraph"/>
              <w:spacing w:before="37"/>
              <w:ind w:right="105"/>
              <w:jc w:val="right"/>
              <w:rPr>
                <w:sz w:val="19"/>
              </w:rPr>
            </w:pPr>
            <w:r>
              <w:rPr>
                <w:w w:val="95"/>
                <w:sz w:val="19"/>
              </w:rPr>
              <w:t>28,984</w:t>
            </w:r>
          </w:p>
        </w:tc>
      </w:tr>
      <w:tr>
        <w:trPr>
          <w:trHeight w:val="243" w:hRule="atLeast"/>
        </w:trPr>
        <w:tc>
          <w:tcPr>
            <w:tcW w:w="5471" w:type="dxa"/>
            <w:tcBorders>
              <w:left w:val="nil"/>
            </w:tcBorders>
            <w:shd w:val="clear" w:color="auto" w:fill="F4F4F4"/>
          </w:tcPr>
          <w:p>
            <w:pPr>
              <w:pStyle w:val="TableParagraph"/>
              <w:spacing w:line="191" w:lineRule="exact"/>
              <w:ind w:left="116"/>
              <w:rPr>
                <w:b/>
                <w:sz w:val="19"/>
              </w:rPr>
            </w:pPr>
            <w:r>
              <w:rPr>
                <w:b/>
                <w:sz w:val="19"/>
              </w:rPr>
              <w:t>Balance at 30 June 2017</w:t>
            </w:r>
          </w:p>
        </w:tc>
        <w:tc>
          <w:tcPr>
            <w:tcW w:w="765" w:type="dxa"/>
            <w:shd w:val="clear" w:color="auto" w:fill="F4F4F4"/>
          </w:tcPr>
          <w:p>
            <w:pPr>
              <w:pStyle w:val="TableParagraph"/>
              <w:spacing w:before="0"/>
              <w:rPr>
                <w:rFonts w:ascii="Times New Roman"/>
                <w:sz w:val="16"/>
              </w:rPr>
            </w:pPr>
          </w:p>
        </w:tc>
        <w:tc>
          <w:tcPr>
            <w:tcW w:w="2267" w:type="dxa"/>
            <w:tcBorders>
              <w:top w:val="single" w:sz="4" w:space="0" w:color="000000"/>
              <w:bottom w:val="single" w:sz="34" w:space="0" w:color="FFFFFF"/>
            </w:tcBorders>
            <w:shd w:val="clear" w:color="auto" w:fill="F4F4F4"/>
          </w:tcPr>
          <w:p>
            <w:pPr>
              <w:pStyle w:val="TableParagraph"/>
              <w:spacing w:line="191" w:lineRule="exact"/>
              <w:ind w:right="97"/>
              <w:jc w:val="right"/>
              <w:rPr>
                <w:b/>
                <w:sz w:val="19"/>
              </w:rPr>
            </w:pPr>
            <w:r>
              <w:rPr>
                <w:b/>
                <w:w w:val="95"/>
                <w:sz w:val="19"/>
              </w:rPr>
              <w:t>1,055,928</w:t>
            </w:r>
          </w:p>
        </w:tc>
        <w:tc>
          <w:tcPr>
            <w:tcW w:w="1700" w:type="dxa"/>
            <w:tcBorders>
              <w:top w:val="single" w:sz="4" w:space="0" w:color="000000"/>
              <w:bottom w:val="single" w:sz="34" w:space="0" w:color="FFFFFF"/>
            </w:tcBorders>
            <w:shd w:val="clear" w:color="auto" w:fill="F4F4F4"/>
          </w:tcPr>
          <w:p>
            <w:pPr>
              <w:pStyle w:val="TableParagraph"/>
              <w:spacing w:line="191" w:lineRule="exact"/>
              <w:ind w:right="96"/>
              <w:jc w:val="right"/>
              <w:rPr>
                <w:b/>
                <w:sz w:val="19"/>
              </w:rPr>
            </w:pPr>
            <w:r>
              <w:rPr>
                <w:b/>
                <w:w w:val="122"/>
                <w:sz w:val="19"/>
              </w:rPr>
              <w:t>-</w:t>
            </w:r>
          </w:p>
        </w:tc>
        <w:tc>
          <w:tcPr>
            <w:tcW w:w="3401" w:type="dxa"/>
            <w:tcBorders>
              <w:top w:val="single" w:sz="4" w:space="0" w:color="000000"/>
              <w:bottom w:val="single" w:sz="34" w:space="0" w:color="FFFFFF"/>
              <w:right w:val="nil"/>
            </w:tcBorders>
            <w:shd w:val="clear" w:color="auto" w:fill="F4F4F4"/>
          </w:tcPr>
          <w:p>
            <w:pPr>
              <w:pStyle w:val="TableParagraph"/>
              <w:spacing w:line="191" w:lineRule="exact"/>
              <w:ind w:right="106"/>
              <w:jc w:val="right"/>
              <w:rPr>
                <w:b/>
                <w:sz w:val="19"/>
              </w:rPr>
            </w:pPr>
            <w:r>
              <w:rPr>
                <w:b/>
                <w:w w:val="95"/>
                <w:sz w:val="19"/>
              </w:rPr>
              <w:t>59,133</w:t>
            </w:r>
          </w:p>
        </w:tc>
        <w:tc>
          <w:tcPr>
            <w:tcW w:w="1700" w:type="dxa"/>
            <w:tcBorders>
              <w:top w:val="single" w:sz="4" w:space="0" w:color="000000"/>
              <w:left w:val="nil"/>
              <w:bottom w:val="single" w:sz="34" w:space="0" w:color="FFFFFF"/>
              <w:right w:val="nil"/>
            </w:tcBorders>
            <w:shd w:val="clear" w:color="auto" w:fill="DFE1B8"/>
          </w:tcPr>
          <w:p>
            <w:pPr>
              <w:pStyle w:val="TableParagraph"/>
              <w:spacing w:line="191" w:lineRule="exact"/>
              <w:ind w:right="105"/>
              <w:jc w:val="right"/>
              <w:rPr>
                <w:b/>
                <w:sz w:val="19"/>
              </w:rPr>
            </w:pPr>
            <w:r>
              <w:rPr>
                <w:b/>
                <w:w w:val="95"/>
                <w:sz w:val="19"/>
              </w:rPr>
              <w:t>1,115,061</w:t>
            </w:r>
          </w:p>
        </w:tc>
      </w:tr>
    </w:tbl>
    <w:p>
      <w:pPr>
        <w:pStyle w:val="BodyText"/>
        <w:spacing w:line="20" w:lineRule="exact"/>
        <w:ind w:left="10965"/>
        <w:rPr>
          <w:sz w:val="2"/>
        </w:rPr>
      </w:pPr>
      <w:r>
        <w:rPr>
          <w:sz w:val="2"/>
        </w:rPr>
        <w:pict>
          <v:group style="width:255.15pt;height:.550pt;mso-position-horizontal-relative:char;mso-position-vertical-relative:line" coordorigin="0,0" coordsize="5103,11">
            <v:line style="position:absolute" from="3402,5" to="5102,5" stroked="true" strokeweight=".501pt" strokecolor="#000000">
              <v:stroke dashstyle="solid"/>
            </v:line>
            <v:line style="position:absolute" from="0,5" to="3402,5" stroked="true" strokeweight=".501pt" strokecolor="#000000">
              <v:stroke dashstyle="solid"/>
            </v:line>
          </v:group>
        </w:pict>
      </w:r>
      <w:r>
        <w:rPr>
          <w:sz w:val="2"/>
        </w:rPr>
      </w:r>
    </w:p>
    <w:p>
      <w:pPr>
        <w:spacing w:before="291"/>
        <w:ind w:left="768" w:right="0" w:firstLine="0"/>
        <w:jc w:val="left"/>
        <w:rPr>
          <w:sz w:val="19"/>
        </w:rPr>
      </w:pPr>
      <w:r>
        <w:rPr>
          <w:sz w:val="19"/>
        </w:rPr>
        <w:t>The Statement of Changes in Equity should be read in conjunction with the accompanying notes.</w:t>
      </w:r>
    </w:p>
    <w:p>
      <w:pPr>
        <w:spacing w:after="0"/>
        <w:jc w:val="left"/>
        <w:rPr>
          <w:sz w:val="19"/>
        </w:rPr>
        <w:sectPr>
          <w:footerReference w:type="default" r:id="rId183"/>
          <w:pgSz w:w="16840" w:h="11910" w:orient="landscape"/>
          <w:pgMar w:footer="448" w:header="0" w:top="0" w:bottom="640" w:left="0" w:right="0"/>
        </w:sectPr>
      </w:pPr>
    </w:p>
    <w:p>
      <w:pPr>
        <w:pStyle w:val="BodyText"/>
        <w:ind w:left="2397"/>
        <w:rPr>
          <w:sz w:val="20"/>
        </w:rPr>
      </w:pPr>
      <w:bookmarkStart w:name="_bookmark23" w:id="24"/>
      <w:bookmarkEnd w:id="24"/>
      <w:r>
        <w:rPr/>
      </w: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rPr>
          <w:sz w:val="20"/>
        </w:rPr>
      </w:pPr>
    </w:p>
    <w:p>
      <w:pPr>
        <w:pStyle w:val="BodyText"/>
        <w:spacing w:before="8"/>
        <w:rPr>
          <w:sz w:val="20"/>
        </w:rPr>
      </w:pPr>
    </w:p>
    <w:p>
      <w:pPr>
        <w:spacing w:after="0"/>
        <w:rPr>
          <w:sz w:val="20"/>
        </w:rPr>
        <w:sectPr>
          <w:footerReference w:type="default" r:id="rId184"/>
          <w:pgSz w:w="16840" w:h="11910" w:orient="landscape"/>
          <w:pgMar w:footer="448" w:header="0" w:top="0" w:bottom="640" w:left="0" w:right="0"/>
        </w:sectPr>
      </w:pPr>
    </w:p>
    <w:p>
      <w:pPr>
        <w:pStyle w:val="Heading2"/>
        <w:spacing w:before="95"/>
      </w:pPr>
      <w:r>
        <w:rPr/>
        <w:pict>
          <v:group style="position:absolute;margin-left:0pt;margin-top:-67.671722pt;width:120.3pt;height:42.55pt;mso-position-horizontal-relative:page;mso-position-vertical-relative:paragraph;z-index:10864" coordorigin="0,-1353" coordsize="2406,851">
            <v:rect style="position:absolute;left:0;top:-1354;width:2406;height:851" filled="true" fillcolor="#aebd37" stroked="false">
              <v:fill type="solid"/>
            </v:rect>
            <v:shape style="position:absolute;left:0;top:-1354;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67.671722pt;width:360.85pt;height:42.55pt;mso-position-horizontal-relative:page;mso-position-vertical-relative:paragraph;z-index:10960" coordorigin="9622,-1353" coordsize="7217,851">
            <v:rect style="position:absolute;left:14432;top:-1354;width:2406;height:851" filled="true" fillcolor="#aebd37" stroked="false">
              <v:fill type="solid"/>
            </v:rect>
            <v:shape style="position:absolute;left:14432;top:-1354;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54;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354;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rPr>
        <w:t>Statement</w:t>
      </w:r>
      <w:r>
        <w:rPr>
          <w:color w:val="6F2770"/>
          <w:spacing w:val="-65"/>
        </w:rPr>
        <w:t> </w:t>
      </w:r>
      <w:r>
        <w:rPr>
          <w:color w:val="6F2770"/>
        </w:rPr>
        <w:t>of</w:t>
      </w:r>
      <w:r>
        <w:rPr>
          <w:color w:val="6F2770"/>
          <w:spacing w:val="-64"/>
        </w:rPr>
        <w:t> </w:t>
      </w:r>
      <w:r>
        <w:rPr>
          <w:color w:val="6F2770"/>
        </w:rPr>
        <w:t>Cash</w:t>
      </w:r>
      <w:r>
        <w:rPr>
          <w:color w:val="6F2770"/>
          <w:spacing w:val="-64"/>
        </w:rPr>
        <w:t> </w:t>
      </w:r>
      <w:r>
        <w:rPr>
          <w:color w:val="6F2770"/>
        </w:rPr>
        <w:t>Flows</w:t>
      </w:r>
    </w:p>
    <w:p>
      <w:pPr>
        <w:pStyle w:val="Heading4"/>
        <w:spacing w:before="28"/>
      </w:pPr>
      <w:r>
        <w:rPr>
          <w:color w:val="A7BE39"/>
        </w:rPr>
        <w:t>For the year ended 30 June 2017</w:t>
      </w:r>
    </w:p>
    <w:p>
      <w:pPr>
        <w:tabs>
          <w:tab w:pos="1704" w:val="right" w:leader="none"/>
        </w:tabs>
        <w:spacing w:before="109"/>
        <w:ind w:left="0" w:right="0" w:firstLine="0"/>
        <w:jc w:val="right"/>
        <w:rPr>
          <w:b/>
          <w:sz w:val="19"/>
        </w:rPr>
      </w:pPr>
      <w:r>
        <w:rPr>
          <w:b/>
          <w:sz w:val="19"/>
        </w:rPr>
        <w:t>Note</w:t>
        <w:tab/>
        <w:t>2017</w:t>
      </w:r>
    </w:p>
    <w:p>
      <w:pPr>
        <w:spacing w:before="10"/>
        <w:ind w:left="0" w:right="0" w:firstLine="0"/>
        <w:jc w:val="right"/>
        <w:rPr>
          <w:b/>
          <w:sz w:val="19"/>
        </w:rPr>
      </w:pPr>
      <w:r>
        <w:rPr>
          <w:b/>
          <w:w w:val="95"/>
          <w:sz w:val="19"/>
        </w:rPr>
        <w:t>$000</w:t>
      </w:r>
    </w:p>
    <w:p>
      <w:pPr>
        <w:pStyle w:val="BodyText"/>
        <w:rPr>
          <w:b/>
        </w:rPr>
      </w:pPr>
      <w:r>
        <w:rPr/>
        <w:br w:type="column"/>
      </w:r>
      <w:r>
        <w:rPr>
          <w:b/>
        </w:rPr>
      </w:r>
    </w:p>
    <w:p>
      <w:pPr>
        <w:pStyle w:val="BodyText"/>
        <w:rPr>
          <w:b/>
        </w:rPr>
      </w:pPr>
    </w:p>
    <w:p>
      <w:pPr>
        <w:pStyle w:val="BodyText"/>
        <w:rPr>
          <w:b/>
        </w:rPr>
      </w:pPr>
    </w:p>
    <w:p>
      <w:pPr>
        <w:pStyle w:val="BodyText"/>
        <w:rPr>
          <w:b/>
        </w:rPr>
      </w:pPr>
    </w:p>
    <w:p>
      <w:pPr>
        <w:pStyle w:val="BodyText"/>
        <w:spacing w:before="2"/>
        <w:rPr>
          <w:b/>
        </w:rPr>
      </w:pPr>
    </w:p>
    <w:p>
      <w:pPr>
        <w:spacing w:before="0"/>
        <w:ind w:left="756" w:right="0" w:firstLine="0"/>
        <w:jc w:val="left"/>
        <w:rPr>
          <w:b/>
          <w:sz w:val="19"/>
        </w:rPr>
      </w:pPr>
      <w:r>
        <w:rPr>
          <w:b/>
          <w:sz w:val="19"/>
        </w:rPr>
        <w:t>2016</w:t>
      </w:r>
    </w:p>
    <w:p>
      <w:pPr>
        <w:spacing w:before="10"/>
        <w:ind w:left="756" w:right="0" w:firstLine="0"/>
        <w:jc w:val="left"/>
        <w:rPr>
          <w:b/>
          <w:sz w:val="19"/>
        </w:rPr>
      </w:pPr>
      <w:r>
        <w:rPr>
          <w:b/>
          <w:sz w:val="19"/>
        </w:rPr>
        <w:t>$000</w:t>
      </w:r>
    </w:p>
    <w:p>
      <w:pPr>
        <w:pStyle w:val="BodyText"/>
        <w:rPr>
          <w:b/>
        </w:rPr>
      </w:pPr>
      <w:r>
        <w:rPr/>
        <w:br w:type="column"/>
      </w:r>
      <w:r>
        <w:rPr>
          <w:b/>
        </w:rPr>
      </w:r>
    </w:p>
    <w:p>
      <w:pPr>
        <w:pStyle w:val="BodyText"/>
        <w:rPr>
          <w:b/>
        </w:rPr>
      </w:pPr>
    </w:p>
    <w:p>
      <w:pPr>
        <w:pStyle w:val="BodyText"/>
        <w:rPr>
          <w:b/>
        </w:rPr>
      </w:pPr>
    </w:p>
    <w:p>
      <w:pPr>
        <w:pStyle w:val="BodyText"/>
        <w:rPr>
          <w:b/>
        </w:rPr>
      </w:pPr>
    </w:p>
    <w:p>
      <w:pPr>
        <w:pStyle w:val="BodyText"/>
        <w:spacing w:before="2"/>
        <w:rPr>
          <w:b/>
        </w:rPr>
      </w:pPr>
    </w:p>
    <w:p>
      <w:pPr>
        <w:tabs>
          <w:tab w:pos="2469" w:val="right" w:leader="none"/>
        </w:tabs>
        <w:spacing w:before="0"/>
        <w:ind w:left="765" w:right="0" w:firstLine="0"/>
        <w:jc w:val="left"/>
        <w:rPr>
          <w:b/>
          <w:sz w:val="19"/>
        </w:rPr>
      </w:pPr>
      <w:r>
        <w:rPr>
          <w:b/>
          <w:sz w:val="19"/>
        </w:rPr>
        <w:t>Note</w:t>
        <w:tab/>
        <w:t>2017</w:t>
      </w:r>
    </w:p>
    <w:p>
      <w:pPr>
        <w:spacing w:before="10"/>
        <w:ind w:left="0" w:right="0" w:firstLine="0"/>
        <w:jc w:val="right"/>
        <w:rPr>
          <w:b/>
          <w:sz w:val="19"/>
        </w:rPr>
      </w:pPr>
      <w:r>
        <w:rPr>
          <w:b/>
          <w:w w:val="95"/>
          <w:sz w:val="19"/>
        </w:rPr>
        <w:t>$000</w:t>
      </w:r>
    </w:p>
    <w:p>
      <w:pPr>
        <w:pStyle w:val="BodyText"/>
        <w:rPr>
          <w:b/>
        </w:rPr>
      </w:pPr>
      <w:r>
        <w:rPr/>
        <w:br w:type="column"/>
      </w:r>
      <w:r>
        <w:rPr>
          <w:b/>
        </w:rPr>
      </w:r>
    </w:p>
    <w:p>
      <w:pPr>
        <w:pStyle w:val="BodyText"/>
        <w:rPr>
          <w:b/>
        </w:rPr>
      </w:pPr>
    </w:p>
    <w:p>
      <w:pPr>
        <w:pStyle w:val="BodyText"/>
        <w:rPr>
          <w:b/>
        </w:rPr>
      </w:pPr>
    </w:p>
    <w:p>
      <w:pPr>
        <w:pStyle w:val="BodyText"/>
        <w:rPr>
          <w:b/>
        </w:rPr>
      </w:pPr>
    </w:p>
    <w:p>
      <w:pPr>
        <w:pStyle w:val="BodyText"/>
        <w:spacing w:before="2"/>
        <w:rPr>
          <w:b/>
        </w:rPr>
      </w:pPr>
    </w:p>
    <w:p>
      <w:pPr>
        <w:spacing w:before="0"/>
        <w:ind w:left="738" w:right="881" w:firstLine="0"/>
        <w:jc w:val="center"/>
        <w:rPr>
          <w:b/>
          <w:sz w:val="19"/>
        </w:rPr>
      </w:pPr>
      <w:r>
        <w:rPr/>
        <w:pict>
          <v:group style="position:absolute;margin-left:763.172119pt;margin-top:-77.275116pt;width:61.1pt;height:45.2pt;mso-position-horizontal-relative:page;mso-position-vertical-relative:paragraph;z-index:10816" coordorigin="15263,-1546" coordsize="1222,904">
            <v:shape style="position:absolute;left:15424;top:-1546;width:900;height:904" coordorigin="15424,-1546" coordsize="900,904" path="m15874,-1546l15424,-1096,15424,-1092,15874,-642,16324,-1092,16324,-1096,15874,-1546xe" filled="true" fillcolor="#c4cd71" stroked="false">
              <v:path arrowok="t"/>
              <v:fill type="solid"/>
            </v:shape>
            <v:shape style="position:absolute;left:15422;top:-1096;width:2;height:4" coordorigin="15423,-1096" coordsize="2,4" path="m15424,-1096l15423,-1094,15424,-1092,15424,-1096xe" filled="true" fillcolor="#b9c369" stroked="false">
              <v:path arrowok="t"/>
              <v:fill type="solid"/>
            </v:shape>
            <v:shape style="position:absolute;left:16324;top:-1096;width:2;height:4" coordorigin="16324,-1096" coordsize="2,4" path="m16324,-1096l16324,-1092,16326,-1094,16324,-1096xe" filled="true" fillcolor="#bec29e" stroked="false">
              <v:path arrowok="t"/>
              <v:fill type="solid"/>
            </v:shape>
            <v:shape style="position:absolute;left:15263;top:-1255;width:161;height:322" type="#_x0000_t75" stroked="false">
              <v:imagedata r:id="rId16" o:title=""/>
            </v:shape>
            <v:shape style="position:absolute;left:16324;top:-1255;width:161;height:322" type="#_x0000_t75" stroked="false">
              <v:imagedata r:id="rId11" o:title=""/>
            </v:shape>
            <v:shape style="position:absolute;left:15263;top:-1546;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b/>
          <w:sz w:val="19"/>
        </w:rPr>
        <w:t>2016</w:t>
      </w:r>
    </w:p>
    <w:p>
      <w:pPr>
        <w:spacing w:before="10"/>
        <w:ind w:left="738" w:right="881" w:firstLine="0"/>
        <w:jc w:val="center"/>
        <w:rPr>
          <w:b/>
          <w:sz w:val="19"/>
        </w:rPr>
      </w:pPr>
      <w:r>
        <w:rPr>
          <w:b/>
          <w:sz w:val="19"/>
        </w:rPr>
        <w:t>$000</w:t>
      </w:r>
    </w:p>
    <w:p>
      <w:pPr>
        <w:spacing w:after="0"/>
        <w:jc w:val="center"/>
        <w:rPr>
          <w:sz w:val="19"/>
        </w:rPr>
        <w:sectPr>
          <w:type w:val="continuous"/>
          <w:pgSz w:w="16840" w:h="11910" w:orient="landscape"/>
          <w:pgMar w:top="0" w:bottom="0" w:left="0" w:right="0"/>
          <w:cols w:num="4" w:equalWidth="0">
            <w:col w:w="6846" w:space="40"/>
            <w:col w:w="1219" w:space="4142"/>
            <w:col w:w="2471" w:space="39"/>
            <w:col w:w="2083"/>
          </w:cols>
        </w:sectPr>
      </w:pPr>
    </w:p>
    <w:p>
      <w:pPr>
        <w:tabs>
          <w:tab w:pos="8177" w:val="left" w:leader="none"/>
        </w:tabs>
        <w:spacing w:before="47" w:after="34"/>
        <w:ind w:left="765" w:right="0" w:firstLine="0"/>
        <w:jc w:val="left"/>
        <w:rPr>
          <w:b/>
          <w:sz w:val="19"/>
        </w:rPr>
      </w:pPr>
      <w:r>
        <w:rPr/>
        <w:pict>
          <v:group style="position:absolute;margin-left:38.268002pt;margin-top:14.948874pt;width:248.75pt;height:101.3pt;mso-position-horizontal-relative:page;mso-position-vertical-relative:paragraph;z-index:-802888" coordorigin="765,299" coordsize="4975,2026">
            <v:shape style="position:absolute;left:765;top:298;width:4975;height:894" coordorigin="765,299" coordsize="4975,894" path="m5740,909l4975,909,765,909,765,1192,4975,1192,5740,1192,5740,909m5740,299l4975,299,765,299,765,626,4975,626,5740,626,5740,299e" filled="true" fillcolor="#f4f4f4" stroked="false">
              <v:path arrowok="t"/>
              <v:fill type="solid"/>
            </v:shape>
            <v:shape style="position:absolute;left:765;top:626;width:4975;height:284" coordorigin="765,626" coordsize="4975,284" path="m5740,626l4975,626,765,626,765,909,4975,909,5740,909,5740,626e" filled="true" fillcolor="#faf9f9" stroked="false">
              <v:path arrowok="t"/>
              <v:fill type="solid"/>
            </v:shape>
            <v:shape style="position:absolute;left:765;top:1475;width:4975;height:284" coordorigin="765,1475" coordsize="4975,284" path="m5740,1475l4975,1475,765,1475,765,1758,4975,1758,5740,1758,5740,1475e" filled="true" fillcolor="#f4f4f4" stroked="false">
              <v:path arrowok="t"/>
              <v:fill type="solid"/>
            </v:shape>
            <v:shape style="position:absolute;left:765;top:1192;width:4975;height:284" coordorigin="765,1192" coordsize="4975,284" path="m5740,1192l4975,1192,765,1192,765,1475,4975,1475,5740,1475,5740,1192e" filled="true" fillcolor="#faf9f9" stroked="false">
              <v:path arrowok="t"/>
              <v:fill type="solid"/>
            </v:shape>
            <v:shape style="position:absolute;left:765;top:2041;width:4975;height:284" coordorigin="765,2041" coordsize="4975,284" path="m5740,2041l4975,2041,765,2041,765,2324,4975,2324,5740,2324,5740,2041e" filled="true" fillcolor="#f4f4f4" stroked="false">
              <v:path arrowok="t"/>
              <v:fill type="solid"/>
            </v:shape>
            <v:shape style="position:absolute;left:765;top:1758;width:4975;height:284" coordorigin="765,1758" coordsize="4975,284" path="m5740,1758l4975,1758,765,1758,765,2041,4975,2041,5740,2041,5740,1758e" filled="true" fillcolor="#faf9f9" stroked="false">
              <v:path arrowok="t"/>
              <v:fill type="solid"/>
            </v:shape>
            <w10:wrap type="none"/>
          </v:group>
        </w:pict>
      </w:r>
      <w:r>
        <w:rPr>
          <w:b/>
          <w:color w:val="FFFFFF"/>
          <w:w w:val="100"/>
          <w:sz w:val="19"/>
          <w:shd w:fill="783A79" w:color="auto" w:val="clear"/>
        </w:rPr>
        <w:t> </w:t>
      </w:r>
      <w:r>
        <w:rPr>
          <w:b/>
          <w:color w:val="FFFFFF"/>
          <w:spacing w:val="7"/>
          <w:sz w:val="19"/>
          <w:shd w:fill="783A79" w:color="auto" w:val="clear"/>
        </w:rPr>
        <w:t> </w:t>
      </w:r>
      <w:r>
        <w:rPr>
          <w:b/>
          <w:color w:val="FFFFFF"/>
          <w:sz w:val="19"/>
          <w:shd w:fill="783A79" w:color="auto" w:val="clear"/>
        </w:rPr>
        <w:t>Cash Flows from State</w:t>
      </w:r>
      <w:r>
        <w:rPr>
          <w:b/>
          <w:color w:val="FFFFFF"/>
          <w:spacing w:val="5"/>
          <w:sz w:val="19"/>
          <w:shd w:fill="783A79" w:color="auto" w:val="clear"/>
        </w:rPr>
        <w:t> </w:t>
      </w:r>
      <w:r>
        <w:rPr>
          <w:b/>
          <w:color w:val="FFFFFF"/>
          <w:sz w:val="19"/>
          <w:shd w:fill="783A79" w:color="auto" w:val="clear"/>
        </w:rPr>
        <w:t>Government</w:t>
        <w:tab/>
      </w:r>
    </w:p>
    <w:tbl>
      <w:tblPr>
        <w:tblW w:w="0" w:type="auto"/>
        <w:jc w:val="left"/>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765"/>
        <w:gridCol w:w="1219"/>
        <w:gridCol w:w="1219"/>
      </w:tblGrid>
      <w:tr>
        <w:trPr>
          <w:trHeight w:val="317" w:hRule="atLeast"/>
        </w:trPr>
        <w:tc>
          <w:tcPr>
            <w:tcW w:w="4209" w:type="dxa"/>
            <w:tcBorders>
              <w:bottom w:val="single" w:sz="8" w:space="0" w:color="FFFFFF"/>
              <w:right w:val="single" w:sz="8" w:space="0" w:color="FFFFFF"/>
            </w:tcBorders>
            <w:shd w:val="clear" w:color="auto" w:fill="F4F4F4"/>
          </w:tcPr>
          <w:p>
            <w:pPr>
              <w:pStyle w:val="TableParagraph"/>
              <w:spacing w:before="31"/>
              <w:ind w:left="123"/>
              <w:rPr>
                <w:sz w:val="19"/>
              </w:rPr>
            </w:pPr>
            <w:r>
              <w:rPr>
                <w:sz w:val="19"/>
              </w:rPr>
              <w:t>Service appropriations</w:t>
            </w:r>
          </w:p>
        </w:tc>
        <w:tc>
          <w:tcPr>
            <w:tcW w:w="765" w:type="dxa"/>
            <w:tcBorders>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31"/>
              <w:ind w:right="100"/>
              <w:jc w:val="right"/>
              <w:rPr>
                <w:sz w:val="19"/>
              </w:rPr>
            </w:pPr>
            <w:r>
              <w:rPr>
                <w:w w:val="95"/>
                <w:sz w:val="19"/>
              </w:rPr>
              <w:t>113,948</w:t>
            </w:r>
          </w:p>
        </w:tc>
        <w:tc>
          <w:tcPr>
            <w:tcW w:w="1219" w:type="dxa"/>
            <w:tcBorders>
              <w:bottom w:val="single" w:sz="8" w:space="0" w:color="FFFFFF"/>
            </w:tcBorders>
            <w:shd w:val="clear" w:color="auto" w:fill="F4F4F4"/>
          </w:tcPr>
          <w:p>
            <w:pPr>
              <w:pStyle w:val="TableParagraph"/>
              <w:spacing w:before="31"/>
              <w:ind w:right="100"/>
              <w:jc w:val="right"/>
              <w:rPr>
                <w:sz w:val="19"/>
              </w:rPr>
            </w:pPr>
            <w:r>
              <w:rPr>
                <w:w w:val="95"/>
                <w:sz w:val="19"/>
              </w:rPr>
              <w:t>151,719</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AF9F9"/>
          </w:tcPr>
          <w:p>
            <w:pPr>
              <w:pStyle w:val="TableParagraph"/>
              <w:spacing w:before="21"/>
              <w:ind w:left="123"/>
              <w:rPr>
                <w:sz w:val="19"/>
              </w:rPr>
            </w:pPr>
            <w:r>
              <w:rPr>
                <w:sz w:val="19"/>
              </w:rPr>
              <w:t>Capital appropriations</w:t>
            </w:r>
          </w:p>
        </w:tc>
        <w:tc>
          <w:tcPr>
            <w:tcW w:w="765"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19" w:type="dxa"/>
            <w:shd w:val="clear" w:color="auto" w:fill="E1E4BB"/>
          </w:tcPr>
          <w:p>
            <w:pPr>
              <w:pStyle w:val="TableParagraph"/>
              <w:spacing w:before="21"/>
              <w:ind w:right="100"/>
              <w:jc w:val="right"/>
              <w:rPr>
                <w:sz w:val="19"/>
              </w:rPr>
            </w:pPr>
            <w:r>
              <w:rPr>
                <w:w w:val="95"/>
                <w:sz w:val="19"/>
              </w:rPr>
              <w:t>28,763</w:t>
            </w:r>
          </w:p>
        </w:tc>
        <w:tc>
          <w:tcPr>
            <w:tcW w:w="1219" w:type="dxa"/>
            <w:tcBorders>
              <w:top w:val="single" w:sz="8" w:space="0" w:color="FFFFFF"/>
              <w:bottom w:val="single" w:sz="8" w:space="0" w:color="FFFFFF"/>
            </w:tcBorders>
            <w:shd w:val="clear" w:color="auto" w:fill="FAF9F9"/>
          </w:tcPr>
          <w:p>
            <w:pPr>
              <w:pStyle w:val="TableParagraph"/>
              <w:spacing w:before="21"/>
              <w:ind w:right="100"/>
              <w:jc w:val="right"/>
              <w:rPr>
                <w:sz w:val="19"/>
              </w:rPr>
            </w:pPr>
            <w:r>
              <w:rPr>
                <w:w w:val="95"/>
                <w:sz w:val="19"/>
              </w:rPr>
              <w:t>84,268</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23"/>
              <w:rPr>
                <w:sz w:val="19"/>
              </w:rPr>
            </w:pPr>
            <w:r>
              <w:rPr>
                <w:sz w:val="19"/>
              </w:rPr>
              <w:t>Holding account drawdowns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21"/>
              <w:ind w:right="100"/>
              <w:jc w:val="right"/>
              <w:rPr>
                <w:sz w:val="19"/>
              </w:rPr>
            </w:pPr>
            <w:r>
              <w:rPr>
                <w:w w:val="95"/>
                <w:sz w:val="19"/>
              </w:rPr>
              <w:t>770</w:t>
            </w:r>
          </w:p>
        </w:tc>
        <w:tc>
          <w:tcPr>
            <w:tcW w:w="1219" w:type="dxa"/>
            <w:tcBorders>
              <w:top w:val="single" w:sz="8" w:space="0" w:color="FFFFFF"/>
              <w:bottom w:val="single" w:sz="8" w:space="0" w:color="FFFFFF"/>
            </w:tcBorders>
            <w:shd w:val="clear" w:color="auto" w:fill="F4F4F4"/>
          </w:tcPr>
          <w:p>
            <w:pPr>
              <w:pStyle w:val="TableParagraph"/>
              <w:spacing w:before="21"/>
              <w:ind w:right="100"/>
              <w:jc w:val="right"/>
              <w:rPr>
                <w:sz w:val="19"/>
              </w:rPr>
            </w:pPr>
            <w:r>
              <w:rPr>
                <w:w w:val="95"/>
                <w:sz w:val="19"/>
              </w:rPr>
              <w:t>1,469</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AF9F9"/>
          </w:tcPr>
          <w:p>
            <w:pPr>
              <w:pStyle w:val="TableParagraph"/>
              <w:spacing w:before="21"/>
              <w:ind w:left="123"/>
              <w:rPr>
                <w:sz w:val="19"/>
              </w:rPr>
            </w:pPr>
            <w:r>
              <w:rPr>
                <w:sz w:val="19"/>
              </w:rPr>
              <w:t>Royalties for Regions Fund</w:t>
            </w:r>
          </w:p>
        </w:tc>
        <w:tc>
          <w:tcPr>
            <w:tcW w:w="765"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19" w:type="dxa"/>
            <w:shd w:val="clear" w:color="auto" w:fill="E1E4BB"/>
          </w:tcPr>
          <w:p>
            <w:pPr>
              <w:pStyle w:val="TableParagraph"/>
              <w:spacing w:before="21"/>
              <w:ind w:right="100"/>
              <w:jc w:val="right"/>
              <w:rPr>
                <w:sz w:val="19"/>
              </w:rPr>
            </w:pPr>
            <w:r>
              <w:rPr>
                <w:w w:val="95"/>
                <w:sz w:val="19"/>
              </w:rPr>
              <w:t>125</w:t>
            </w:r>
          </w:p>
        </w:tc>
        <w:tc>
          <w:tcPr>
            <w:tcW w:w="1219" w:type="dxa"/>
            <w:tcBorders>
              <w:top w:val="single" w:sz="8" w:space="0" w:color="FFFFFF"/>
              <w:bottom w:val="single" w:sz="8" w:space="0" w:color="FFFFFF"/>
            </w:tcBorders>
            <w:shd w:val="clear" w:color="auto" w:fill="FAF9F9"/>
          </w:tcPr>
          <w:p>
            <w:pPr>
              <w:pStyle w:val="TableParagraph"/>
              <w:spacing w:before="21"/>
              <w:ind w:right="100"/>
              <w:jc w:val="right"/>
              <w:rPr>
                <w:sz w:val="19"/>
              </w:rPr>
            </w:pPr>
            <w:r>
              <w:rPr>
                <w:w w:val="95"/>
                <w:sz w:val="19"/>
              </w:rPr>
              <w:t>127</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23"/>
              <w:rPr>
                <w:sz w:val="19"/>
              </w:rPr>
            </w:pPr>
            <w:r>
              <w:rPr>
                <w:sz w:val="19"/>
              </w:rPr>
              <w:t>Regional Infrastructure and Headworks Fund</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21"/>
              <w:ind w:right="100"/>
              <w:jc w:val="right"/>
              <w:rPr>
                <w:sz w:val="19"/>
              </w:rPr>
            </w:pPr>
            <w:r>
              <w:rPr>
                <w:w w:val="95"/>
                <w:sz w:val="19"/>
              </w:rPr>
              <w:t>245</w:t>
            </w:r>
          </w:p>
        </w:tc>
        <w:tc>
          <w:tcPr>
            <w:tcW w:w="1219" w:type="dxa"/>
            <w:tcBorders>
              <w:top w:val="single" w:sz="8" w:space="0" w:color="FFFFFF"/>
              <w:bottom w:val="single" w:sz="8" w:space="0" w:color="FFFFFF"/>
            </w:tcBorders>
            <w:shd w:val="clear" w:color="auto" w:fill="F4F4F4"/>
          </w:tcPr>
          <w:p>
            <w:pPr>
              <w:pStyle w:val="TableParagraph"/>
              <w:spacing w:before="21"/>
              <w:ind w:right="100"/>
              <w:jc w:val="right"/>
              <w:rPr>
                <w:sz w:val="19"/>
              </w:rPr>
            </w:pPr>
            <w:r>
              <w:rPr>
                <w:w w:val="95"/>
                <w:sz w:val="19"/>
              </w:rPr>
              <w:t>5,250</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AF9F9"/>
          </w:tcPr>
          <w:p>
            <w:pPr>
              <w:pStyle w:val="TableParagraph"/>
              <w:spacing w:before="21"/>
              <w:ind w:left="123"/>
              <w:rPr>
                <w:sz w:val="19"/>
              </w:rPr>
            </w:pPr>
            <w:r>
              <w:rPr>
                <w:sz w:val="19"/>
              </w:rPr>
              <w:t>Non-retained revenue distributed to owner</w:t>
            </w:r>
          </w:p>
        </w:tc>
        <w:tc>
          <w:tcPr>
            <w:tcW w:w="765"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19" w:type="dxa"/>
            <w:tcBorders>
              <w:bottom w:val="single" w:sz="4" w:space="0" w:color="000000"/>
            </w:tcBorders>
            <w:shd w:val="clear" w:color="auto" w:fill="E1E4BB"/>
          </w:tcPr>
          <w:p>
            <w:pPr>
              <w:pStyle w:val="TableParagraph"/>
              <w:spacing w:before="21"/>
              <w:ind w:right="100"/>
              <w:jc w:val="right"/>
              <w:rPr>
                <w:sz w:val="19"/>
              </w:rPr>
            </w:pPr>
            <w:r>
              <w:rPr>
                <w:w w:val="85"/>
                <w:sz w:val="19"/>
              </w:rPr>
              <w:t>(24)</w:t>
            </w:r>
          </w:p>
        </w:tc>
        <w:tc>
          <w:tcPr>
            <w:tcW w:w="1219" w:type="dxa"/>
            <w:tcBorders>
              <w:top w:val="single" w:sz="8" w:space="0" w:color="FFFFFF"/>
              <w:bottom w:val="single" w:sz="4" w:space="0" w:color="000000"/>
            </w:tcBorders>
            <w:shd w:val="clear" w:color="auto" w:fill="FAF9F9"/>
          </w:tcPr>
          <w:p>
            <w:pPr>
              <w:pStyle w:val="TableParagraph"/>
              <w:spacing w:before="21"/>
              <w:ind w:right="100"/>
              <w:jc w:val="right"/>
              <w:rPr>
                <w:sz w:val="19"/>
              </w:rPr>
            </w:pPr>
            <w:r>
              <w:rPr>
                <w:w w:val="85"/>
                <w:sz w:val="19"/>
              </w:rPr>
              <w:t>(96)</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23"/>
              <w:rPr>
                <w:b/>
                <w:sz w:val="19"/>
              </w:rPr>
            </w:pPr>
            <w:r>
              <w:rPr>
                <w:b/>
                <w:sz w:val="19"/>
              </w:rPr>
              <w:t>Net cash provided by State Government</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tcBorders>
              <w:top w:val="single" w:sz="4" w:space="0" w:color="000000"/>
              <w:bottom w:val="single" w:sz="4" w:space="0" w:color="000000"/>
            </w:tcBorders>
            <w:shd w:val="clear" w:color="auto" w:fill="DFE1B8"/>
          </w:tcPr>
          <w:p>
            <w:pPr>
              <w:pStyle w:val="TableParagraph"/>
              <w:spacing w:before="21"/>
              <w:ind w:right="100"/>
              <w:jc w:val="right"/>
              <w:rPr>
                <w:b/>
                <w:sz w:val="19"/>
              </w:rPr>
            </w:pPr>
            <w:r>
              <w:rPr>
                <w:b/>
                <w:w w:val="95"/>
                <w:sz w:val="19"/>
              </w:rPr>
              <w:t>143,827</w:t>
            </w:r>
          </w:p>
        </w:tc>
        <w:tc>
          <w:tcPr>
            <w:tcW w:w="1219" w:type="dxa"/>
            <w:tcBorders>
              <w:top w:val="single" w:sz="4" w:space="0" w:color="000000"/>
              <w:bottom w:val="single" w:sz="4" w:space="0" w:color="000000"/>
            </w:tcBorders>
            <w:shd w:val="clear" w:color="auto" w:fill="F4F4F4"/>
          </w:tcPr>
          <w:p>
            <w:pPr>
              <w:pStyle w:val="TableParagraph"/>
              <w:spacing w:before="21"/>
              <w:ind w:right="100"/>
              <w:jc w:val="right"/>
              <w:rPr>
                <w:b/>
                <w:sz w:val="19"/>
              </w:rPr>
            </w:pPr>
            <w:r>
              <w:rPr>
                <w:b/>
                <w:w w:val="95"/>
                <w:sz w:val="19"/>
              </w:rPr>
              <w:t>242,738</w:t>
            </w:r>
          </w:p>
        </w:tc>
      </w:tr>
    </w:tbl>
    <w:p>
      <w:pPr>
        <w:pStyle w:val="BodyText"/>
        <w:spacing w:before="5"/>
        <w:rPr>
          <w:b/>
          <w:sz w:val="26"/>
        </w:rPr>
      </w:pPr>
    </w:p>
    <w:p>
      <w:pPr>
        <w:spacing w:before="0"/>
        <w:ind w:left="878" w:right="0" w:firstLine="0"/>
        <w:jc w:val="left"/>
        <w:rPr>
          <w:sz w:val="19"/>
        </w:rPr>
      </w:pPr>
      <w:r>
        <w:rPr>
          <w:sz w:val="19"/>
        </w:rPr>
        <w:t>Utilised as follows:</w:t>
      </w:r>
    </w:p>
    <w:p>
      <w:pPr>
        <w:tabs>
          <w:tab w:pos="8177" w:val="left" w:leader="none"/>
        </w:tabs>
        <w:spacing w:before="65"/>
        <w:ind w:left="765" w:right="0" w:firstLine="0"/>
        <w:jc w:val="left"/>
        <w:rPr>
          <w:b/>
          <w:sz w:val="19"/>
        </w:rPr>
      </w:pPr>
      <w:r>
        <w:rPr/>
        <w:pict>
          <v:group style="position:absolute;margin-left:38.2677pt;margin-top:15.828876pt;width:248.75pt;height:240.65pt;mso-position-horizontal-relative:page;mso-position-vertical-relative:paragraph;z-index:10768" coordorigin="765,317" coordsize="4975,4813">
            <v:shape style="position:absolute;left:765;top:316;width:4975;height:850" coordorigin="765,317" coordsize="4975,850" path="m5740,883l4975,883,765,883,765,1166,4975,1166,5740,1166,5740,883m5740,317l4975,317,765,317,765,600,4975,600,5740,600,5740,317e" filled="true" fillcolor="#f4f4f4" stroked="false">
              <v:path arrowok="t"/>
              <v:fill type="solid"/>
            </v:shape>
            <v:shape style="position:absolute;left:765;top:599;width:4975;height:284" coordorigin="765,600" coordsize="4975,284" path="m5740,600l4975,600,765,600,765,883,4975,883,5740,883,5740,600e" filled="true" fillcolor="#faf9f9" stroked="false">
              <v:path arrowok="t"/>
              <v:fill type="solid"/>
            </v:shape>
            <v:shape style="position:absolute;left:765;top:1448;width:4975;height:284" coordorigin="765,1449" coordsize="4975,284" path="m5740,1449l4975,1449,765,1449,765,1732,4975,1732,5740,1732,5740,1449e" filled="true" fillcolor="#f4f4f4" stroked="false">
              <v:path arrowok="t"/>
              <v:fill type="solid"/>
            </v:shape>
            <v:shape style="position:absolute;left:765;top:1165;width:4975;height:284" coordorigin="765,1166" coordsize="4975,284" path="m5740,1166l4975,1166,765,1166,765,1449,4975,1449,5740,1449,5740,1166e" filled="true" fillcolor="#faf9f9" stroked="false">
              <v:path arrowok="t"/>
              <v:fill type="solid"/>
            </v:shape>
            <v:shape style="position:absolute;left:765;top:2014;width:4975;height:284" coordorigin="765,2015" coordsize="4975,284" path="m5740,2015l4975,2015,765,2015,765,2298,4975,2298,5740,2298,5740,2015e" filled="true" fillcolor="#f4f4f4" stroked="false">
              <v:path arrowok="t"/>
              <v:fill type="solid"/>
            </v:shape>
            <v:shape style="position:absolute;left:765;top:1731;width:4975;height:284" coordorigin="765,1732" coordsize="4975,284" path="m5740,1732l4975,1732,765,1732,765,2015,4975,2015,5740,2015,5740,1732e" filled="true" fillcolor="#faf9f9" stroked="false">
              <v:path arrowok="t"/>
              <v:fill type="solid"/>
            </v:shape>
            <v:shape style="position:absolute;left:765;top:2581;width:4975;height:284" coordorigin="765,2581" coordsize="4975,284" path="m5740,2581l4975,2581,765,2581,765,2864,4975,2864,5740,2864,5740,2581e" filled="true" fillcolor="#f4f4f4" stroked="false">
              <v:path arrowok="t"/>
              <v:fill type="solid"/>
            </v:shape>
            <v:shape style="position:absolute;left:765;top:2298;width:4975;height:284" coordorigin="765,2298" coordsize="4975,284" path="m5740,2298l4975,2298,765,2298,765,2581,4975,2581,5740,2581,5740,2298e" filled="true" fillcolor="#faf9f9" stroked="false">
              <v:path arrowok="t"/>
              <v:fill type="solid"/>
            </v:shape>
            <v:shape style="position:absolute;left:765;top:3147;width:4975;height:284" coordorigin="765,3147" coordsize="4975,284" path="m5740,3147l4975,3147,765,3147,765,3430,4975,3430,5740,3430,5740,3147e" filled="true" fillcolor="#f4f4f4" stroked="false">
              <v:path arrowok="t"/>
              <v:fill type="solid"/>
            </v:shape>
            <v:shape style="position:absolute;left:765;top:2864;width:4975;height:284" coordorigin="765,2864" coordsize="4975,284" path="m5740,2864l4975,2864,765,2864,765,3147,4975,3147,5740,3147,5740,2864e" filled="true" fillcolor="#faf9f9" stroked="false">
              <v:path arrowok="t"/>
              <v:fill type="solid"/>
            </v:shape>
            <v:shape style="position:absolute;left:765;top:3713;width:4975;height:284" coordorigin="765,3713" coordsize="4975,284" path="m5740,3713l4975,3713,765,3713,765,3996,4975,3996,5740,3996,5740,3713e" filled="true" fillcolor="#f4f4f4" stroked="false">
              <v:path arrowok="t"/>
              <v:fill type="solid"/>
            </v:shape>
            <v:shape style="position:absolute;left:765;top:3430;width:4975;height:284" coordorigin="765,3430" coordsize="4975,284" path="m5740,3430l4975,3430,765,3430,765,3713,4975,3713,5740,3713,5740,3430e" filled="true" fillcolor="#faf9f9" stroked="false">
              <v:path arrowok="t"/>
              <v:fill type="solid"/>
            </v:shape>
            <v:shape style="position:absolute;left:765;top:4279;width:4975;height:284" coordorigin="765,4279" coordsize="4975,284" path="m5740,4279l4975,4279,765,4279,765,4562,4975,4562,5740,4562,5740,4279e" filled="true" fillcolor="#f4f4f4" stroked="false">
              <v:path arrowok="t"/>
              <v:fill type="solid"/>
            </v:shape>
            <v:shape style="position:absolute;left:765;top:3996;width:4975;height:284" coordorigin="765,3996" coordsize="4975,284" path="m5740,3996l4975,3996,765,3996,765,4279,4975,4279,5740,4279,5740,3996e" filled="true" fillcolor="#faf9f9" stroked="false">
              <v:path arrowok="t"/>
              <v:fill type="solid"/>
            </v:shape>
            <v:shape style="position:absolute;left:765;top:4845;width:4975;height:284" coordorigin="765,4846" coordsize="4975,284" path="m5740,4846l4975,4846,765,4846,765,5129,4975,5129,5740,5129,5740,4846e" filled="true" fillcolor="#f4f4f4" stroked="false">
              <v:path arrowok="t"/>
              <v:fill type="solid"/>
            </v:shape>
            <v:shape style="position:absolute;left:765;top:4562;width:4975;height:284" coordorigin="765,4562" coordsize="4975,284" path="m5740,4562l4975,4562,765,4562,765,4846,4975,4846,5740,4846,5740,4562e" filled="true" fillcolor="#faf9f9" stroked="false">
              <v:path arrowok="t"/>
              <v:fill type="solid"/>
            </v:shape>
            <v:line style="position:absolute" from="4975,590" to="4975,322" stroked="true" strokeweight="1pt" strokecolor="#ffffff">
              <v:stroke dashstyle="solid"/>
            </v:line>
            <v:line style="position:absolute" from="4975,873" to="4975,610" stroked="true" strokeweight="1pt" strokecolor="#ffffff">
              <v:stroke dashstyle="solid"/>
            </v:line>
            <v:line style="position:absolute" from="4975,1439" to="4975,1176" stroked="true" strokeweight="1pt" strokecolor="#ffffff">
              <v:stroke dashstyle="solid"/>
            </v:line>
            <v:line style="position:absolute" from="4975,2005" to="4975,1742" stroked="true" strokeweight="1pt" strokecolor="#ffffff">
              <v:stroke dashstyle="solid"/>
            </v:line>
            <v:line style="position:absolute" from="4975,2571" to="4975,2308" stroked="true" strokeweight="1pt" strokecolor="#ffffff">
              <v:stroke dashstyle="solid"/>
            </v:line>
            <v:line style="position:absolute" from="4975,3137" to="4975,2874" stroked="true" strokeweight="1pt" strokecolor="#ffffff">
              <v:stroke dashstyle="solid"/>
            </v:line>
            <v:line style="position:absolute" from="4975,3703" to="4975,3440" stroked="true" strokeweight="1pt" strokecolor="#ffffff">
              <v:stroke dashstyle="solid"/>
            </v:line>
            <v:line style="position:absolute" from="4975,4269" to="4975,4006" stroked="true" strokeweight="1pt" strokecolor="#ffffff">
              <v:stroke dashstyle="solid"/>
            </v:line>
            <v:line style="position:absolute" from="4975,4836" to="4975,4572" stroked="true" strokeweight="1pt" strokecolor="#ffffff">
              <v:stroke dashstyle="solid"/>
            </v:line>
            <v:shape style="position:absolute;left:765;top:589;width:4975;height:304" coordorigin="765,590" coordsize="4975,304" path="m4975,873l765,873,765,893,4975,893,4975,873m4975,590l765,590,765,610,4975,610,4975,590m5740,873l4975,873,4975,893,5740,893,5740,873m5740,590l4975,590,4975,610,5740,610,5740,590e" filled="true" fillcolor="#ffffff" stroked="false">
              <v:path arrowok="t"/>
              <v:fill type="solid"/>
            </v:shape>
            <w10:wrap type="none"/>
          </v:group>
        </w:pict>
      </w:r>
      <w:r>
        <w:rPr/>
        <w:pict>
          <v:shape style="position:absolute;margin-left:37.7677pt;margin-top:15.828876pt;width:371.15pt;height:241.15pt;mso-position-horizontal-relative:page;mso-position-vertical-relative:paragraph;z-index:109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765"/>
                    <w:gridCol w:w="1219"/>
                    <w:gridCol w:w="1219"/>
                  </w:tblGrid>
                  <w:tr>
                    <w:trPr>
                      <w:trHeight w:val="273" w:hRule="atLeast"/>
                    </w:trPr>
                    <w:tc>
                      <w:tcPr>
                        <w:tcW w:w="4974" w:type="dxa"/>
                        <w:gridSpan w:val="2"/>
                      </w:tcPr>
                      <w:p>
                        <w:pPr>
                          <w:pStyle w:val="TableParagraph"/>
                          <w:spacing w:before="31"/>
                          <w:ind w:left="123"/>
                          <w:rPr>
                            <w:i/>
                            <w:sz w:val="19"/>
                          </w:rPr>
                        </w:pPr>
                        <w:r>
                          <w:rPr>
                            <w:i/>
                            <w:color w:val="A7BE39"/>
                            <w:sz w:val="19"/>
                          </w:rPr>
                          <w:t>Payments</w:t>
                        </w:r>
                      </w:p>
                    </w:tc>
                    <w:tc>
                      <w:tcPr>
                        <w:tcW w:w="1219" w:type="dxa"/>
                        <w:shd w:val="clear" w:color="auto" w:fill="E1E4BB"/>
                      </w:tcPr>
                      <w:p>
                        <w:pPr>
                          <w:pStyle w:val="TableParagraph"/>
                          <w:spacing w:before="0"/>
                          <w:rPr>
                            <w:rFonts w:ascii="Times New Roman"/>
                            <w:sz w:val="18"/>
                          </w:rPr>
                        </w:pPr>
                      </w:p>
                    </w:tc>
                    <w:tc>
                      <w:tcPr>
                        <w:tcW w:w="1219" w:type="dxa"/>
                        <w:tcBorders>
                          <w:bottom w:val="single" w:sz="8" w:space="0" w:color="FFFFFF"/>
                        </w:tcBorders>
                        <w:shd w:val="clear" w:color="auto" w:fill="F4F4F4"/>
                      </w:tcPr>
                      <w:p>
                        <w:pPr>
                          <w:pStyle w:val="TableParagraph"/>
                          <w:spacing w:before="0"/>
                          <w:rPr>
                            <w:rFonts w:ascii="Times New Roman"/>
                            <w:sz w:val="18"/>
                          </w:rPr>
                        </w:pPr>
                      </w:p>
                    </w:tc>
                  </w:tr>
                  <w:tr>
                    <w:trPr>
                      <w:trHeight w:val="273" w:hRule="atLeast"/>
                    </w:trPr>
                    <w:tc>
                      <w:tcPr>
                        <w:tcW w:w="4974" w:type="dxa"/>
                        <w:gridSpan w:val="2"/>
                      </w:tcPr>
                      <w:p>
                        <w:pPr>
                          <w:pStyle w:val="TableParagraph"/>
                          <w:spacing w:before="21"/>
                          <w:ind w:left="123"/>
                          <w:rPr>
                            <w:sz w:val="19"/>
                          </w:rPr>
                        </w:pPr>
                        <w:r>
                          <w:rPr>
                            <w:sz w:val="19"/>
                          </w:rPr>
                          <w:t>Employee benefits</w:t>
                        </w:r>
                      </w:p>
                    </w:tc>
                    <w:tc>
                      <w:tcPr>
                        <w:tcW w:w="1219" w:type="dxa"/>
                        <w:shd w:val="clear" w:color="auto" w:fill="E1E4BB"/>
                      </w:tcPr>
                      <w:p>
                        <w:pPr>
                          <w:pStyle w:val="TableParagraph"/>
                          <w:spacing w:before="21"/>
                          <w:ind w:right="100"/>
                          <w:jc w:val="right"/>
                          <w:rPr>
                            <w:sz w:val="19"/>
                          </w:rPr>
                        </w:pPr>
                        <w:r>
                          <w:rPr>
                            <w:w w:val="95"/>
                            <w:sz w:val="19"/>
                          </w:rPr>
                          <w:t>(113,736)</w:t>
                        </w:r>
                      </w:p>
                    </w:tc>
                    <w:tc>
                      <w:tcPr>
                        <w:tcW w:w="1219" w:type="dxa"/>
                        <w:tcBorders>
                          <w:top w:val="single" w:sz="8" w:space="0" w:color="FFFFFF"/>
                          <w:bottom w:val="single" w:sz="8" w:space="0" w:color="FFFFFF"/>
                        </w:tcBorders>
                        <w:shd w:val="clear" w:color="auto" w:fill="FAF9F9"/>
                      </w:tcPr>
                      <w:p>
                        <w:pPr>
                          <w:pStyle w:val="TableParagraph"/>
                          <w:spacing w:before="21"/>
                          <w:ind w:right="100"/>
                          <w:jc w:val="right"/>
                          <w:rPr>
                            <w:sz w:val="19"/>
                          </w:rPr>
                        </w:pPr>
                        <w:r>
                          <w:rPr>
                            <w:w w:val="95"/>
                            <w:sz w:val="19"/>
                          </w:rPr>
                          <w:t>(135,221)</w:t>
                        </w:r>
                      </w:p>
                    </w:tc>
                  </w:tr>
                  <w:tr>
                    <w:trPr>
                      <w:trHeight w:val="263" w:hRule="atLeast"/>
                    </w:trPr>
                    <w:tc>
                      <w:tcPr>
                        <w:tcW w:w="4209" w:type="dxa"/>
                        <w:tcBorders>
                          <w:bottom w:val="single" w:sz="8" w:space="0" w:color="FFFFFF"/>
                          <w:right w:val="single" w:sz="8" w:space="0" w:color="FFFFFF"/>
                        </w:tcBorders>
                        <w:shd w:val="clear" w:color="auto" w:fill="F4F4F4"/>
                      </w:tcPr>
                      <w:p>
                        <w:pPr>
                          <w:pStyle w:val="TableParagraph"/>
                          <w:spacing w:before="11"/>
                          <w:ind w:left="123"/>
                          <w:rPr>
                            <w:sz w:val="10"/>
                          </w:rPr>
                        </w:pPr>
                        <w:r>
                          <w:rPr>
                            <w:sz w:val="19"/>
                          </w:rPr>
                          <w:t>Supplies and services </w:t>
                        </w:r>
                        <w:r>
                          <w:rPr>
                            <w:position w:val="6"/>
                            <w:sz w:val="10"/>
                          </w:rPr>
                          <w:t>(a)</w:t>
                        </w:r>
                      </w:p>
                    </w:tc>
                    <w:tc>
                      <w:tcPr>
                        <w:tcW w:w="765" w:type="dxa"/>
                        <w:tcBorders>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11"/>
                          <w:ind w:right="100"/>
                          <w:jc w:val="right"/>
                          <w:rPr>
                            <w:sz w:val="19"/>
                          </w:rPr>
                        </w:pPr>
                        <w:r>
                          <w:rPr>
                            <w:w w:val="95"/>
                            <w:sz w:val="19"/>
                          </w:rPr>
                          <w:t>(944,694)</w:t>
                        </w:r>
                      </w:p>
                    </w:tc>
                    <w:tc>
                      <w:tcPr>
                        <w:tcW w:w="1219" w:type="dxa"/>
                        <w:tcBorders>
                          <w:top w:val="single" w:sz="8" w:space="0" w:color="FFFFFF"/>
                          <w:bottom w:val="single" w:sz="8" w:space="0" w:color="FFFFFF"/>
                        </w:tcBorders>
                        <w:shd w:val="clear" w:color="auto" w:fill="F4F4F4"/>
                      </w:tcPr>
                      <w:p>
                        <w:pPr>
                          <w:pStyle w:val="TableParagraph"/>
                          <w:spacing w:before="21"/>
                          <w:ind w:right="100"/>
                          <w:jc w:val="right"/>
                          <w:rPr>
                            <w:sz w:val="19"/>
                          </w:rPr>
                        </w:pPr>
                        <w:r>
                          <w:rPr>
                            <w:w w:val="95"/>
                            <w:sz w:val="19"/>
                          </w:rPr>
                          <w:t>(859,722)</w:t>
                        </w:r>
                      </w:p>
                    </w:tc>
                  </w:tr>
                  <w:tr>
                    <w:trPr>
                      <w:trHeight w:val="263" w:hRule="atLeast"/>
                    </w:trPr>
                    <w:tc>
                      <w:tcPr>
                        <w:tcW w:w="4974" w:type="dxa"/>
                        <w:gridSpan w:val="2"/>
                        <w:tcBorders>
                          <w:top w:val="single" w:sz="8" w:space="0" w:color="FFFFFF"/>
                          <w:bottom w:val="single" w:sz="8" w:space="0" w:color="FFFFFF"/>
                        </w:tcBorders>
                        <w:shd w:val="clear" w:color="auto" w:fill="FAF9F9"/>
                      </w:tcPr>
                      <w:p>
                        <w:pPr>
                          <w:pStyle w:val="TableParagraph"/>
                          <w:spacing w:before="21"/>
                          <w:ind w:left="123"/>
                          <w:rPr>
                            <w:sz w:val="19"/>
                          </w:rPr>
                        </w:pPr>
                        <w:r>
                          <w:rPr>
                            <w:sz w:val="19"/>
                          </w:rPr>
                          <w:t>Finance costs</w:t>
                        </w:r>
                      </w:p>
                    </w:tc>
                    <w:tc>
                      <w:tcPr>
                        <w:tcW w:w="1219" w:type="dxa"/>
                        <w:shd w:val="clear" w:color="auto" w:fill="E1E4BB"/>
                      </w:tcPr>
                      <w:p>
                        <w:pPr>
                          <w:pStyle w:val="TableParagraph"/>
                          <w:spacing w:before="11"/>
                          <w:ind w:right="100"/>
                          <w:jc w:val="right"/>
                          <w:rPr>
                            <w:sz w:val="19"/>
                          </w:rPr>
                        </w:pPr>
                        <w:r>
                          <w:rPr>
                            <w:w w:val="90"/>
                            <w:sz w:val="19"/>
                          </w:rPr>
                          <w:t>(7,359)</w:t>
                        </w:r>
                      </w:p>
                    </w:tc>
                    <w:tc>
                      <w:tcPr>
                        <w:tcW w:w="1219" w:type="dxa"/>
                        <w:tcBorders>
                          <w:top w:val="single" w:sz="8" w:space="0" w:color="FFFFFF"/>
                          <w:bottom w:val="single" w:sz="8" w:space="0" w:color="FFFFFF"/>
                        </w:tcBorders>
                        <w:shd w:val="clear" w:color="auto" w:fill="FAF9F9"/>
                      </w:tcPr>
                      <w:p>
                        <w:pPr>
                          <w:pStyle w:val="TableParagraph"/>
                          <w:spacing w:before="21"/>
                          <w:ind w:right="100"/>
                          <w:jc w:val="right"/>
                          <w:rPr>
                            <w:sz w:val="19"/>
                          </w:rPr>
                        </w:pPr>
                        <w:r>
                          <w:rPr>
                            <w:w w:val="90"/>
                            <w:sz w:val="19"/>
                          </w:rPr>
                          <w:t>(7,743)</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23"/>
                          <w:rPr>
                            <w:sz w:val="19"/>
                          </w:rPr>
                        </w:pPr>
                        <w:r>
                          <w:rPr>
                            <w:sz w:val="19"/>
                          </w:rPr>
                          <w:t>Accommodation</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11"/>
                          <w:ind w:right="100"/>
                          <w:jc w:val="right"/>
                          <w:rPr>
                            <w:sz w:val="19"/>
                          </w:rPr>
                        </w:pPr>
                        <w:r>
                          <w:rPr>
                            <w:w w:val="95"/>
                            <w:sz w:val="19"/>
                          </w:rPr>
                          <w:t>(40,804)</w:t>
                        </w:r>
                      </w:p>
                    </w:tc>
                    <w:tc>
                      <w:tcPr>
                        <w:tcW w:w="1219" w:type="dxa"/>
                        <w:tcBorders>
                          <w:top w:val="single" w:sz="8" w:space="0" w:color="FFFFFF"/>
                          <w:bottom w:val="single" w:sz="8" w:space="0" w:color="FFFFFF"/>
                        </w:tcBorders>
                        <w:shd w:val="clear" w:color="auto" w:fill="F4F4F4"/>
                      </w:tcPr>
                      <w:p>
                        <w:pPr>
                          <w:pStyle w:val="TableParagraph"/>
                          <w:spacing w:before="21"/>
                          <w:ind w:right="100"/>
                          <w:jc w:val="right"/>
                          <w:rPr>
                            <w:sz w:val="19"/>
                          </w:rPr>
                        </w:pPr>
                        <w:r>
                          <w:rPr>
                            <w:w w:val="95"/>
                            <w:sz w:val="19"/>
                          </w:rPr>
                          <w:t>(21,959)</w:t>
                        </w:r>
                      </w:p>
                    </w:tc>
                  </w:tr>
                  <w:tr>
                    <w:trPr>
                      <w:trHeight w:val="263" w:hRule="atLeast"/>
                    </w:trPr>
                    <w:tc>
                      <w:tcPr>
                        <w:tcW w:w="4974" w:type="dxa"/>
                        <w:gridSpan w:val="2"/>
                        <w:tcBorders>
                          <w:top w:val="single" w:sz="8" w:space="0" w:color="FFFFFF"/>
                          <w:bottom w:val="single" w:sz="8" w:space="0" w:color="FFFFFF"/>
                        </w:tcBorders>
                        <w:shd w:val="clear" w:color="auto" w:fill="FAF9F9"/>
                      </w:tcPr>
                      <w:p>
                        <w:pPr>
                          <w:pStyle w:val="TableParagraph"/>
                          <w:spacing w:before="21"/>
                          <w:ind w:left="123"/>
                          <w:rPr>
                            <w:sz w:val="19"/>
                          </w:rPr>
                        </w:pPr>
                        <w:r>
                          <w:rPr>
                            <w:sz w:val="19"/>
                          </w:rPr>
                          <w:t>Grants and subsidies</w:t>
                        </w:r>
                      </w:p>
                    </w:tc>
                    <w:tc>
                      <w:tcPr>
                        <w:tcW w:w="1219" w:type="dxa"/>
                        <w:shd w:val="clear" w:color="auto" w:fill="E1E4BB"/>
                      </w:tcPr>
                      <w:p>
                        <w:pPr>
                          <w:pStyle w:val="TableParagraph"/>
                          <w:spacing w:before="11"/>
                          <w:ind w:right="100"/>
                          <w:jc w:val="right"/>
                          <w:rPr>
                            <w:sz w:val="19"/>
                          </w:rPr>
                        </w:pPr>
                        <w:r>
                          <w:rPr>
                            <w:w w:val="90"/>
                            <w:sz w:val="19"/>
                          </w:rPr>
                          <w:t>(754)</w:t>
                        </w:r>
                      </w:p>
                    </w:tc>
                    <w:tc>
                      <w:tcPr>
                        <w:tcW w:w="1219" w:type="dxa"/>
                        <w:tcBorders>
                          <w:top w:val="single" w:sz="8" w:space="0" w:color="FFFFFF"/>
                          <w:bottom w:val="single" w:sz="8" w:space="0" w:color="FFFFFF"/>
                        </w:tcBorders>
                        <w:shd w:val="clear" w:color="auto" w:fill="FAF9F9"/>
                      </w:tcPr>
                      <w:p>
                        <w:pPr>
                          <w:pStyle w:val="TableParagraph"/>
                          <w:spacing w:before="21"/>
                          <w:ind w:right="100"/>
                          <w:jc w:val="right"/>
                          <w:rPr>
                            <w:sz w:val="19"/>
                          </w:rPr>
                        </w:pPr>
                        <w:r>
                          <w:rPr>
                            <w:w w:val="90"/>
                            <w:sz w:val="19"/>
                          </w:rPr>
                          <w:t>(3,763)</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23"/>
                          <w:rPr>
                            <w:sz w:val="19"/>
                          </w:rPr>
                        </w:pPr>
                        <w:r>
                          <w:rPr>
                            <w:sz w:val="19"/>
                          </w:rPr>
                          <w:t>GST payments on purchases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11"/>
                          <w:ind w:right="100"/>
                          <w:jc w:val="right"/>
                          <w:rPr>
                            <w:sz w:val="19"/>
                          </w:rPr>
                        </w:pPr>
                        <w:r>
                          <w:rPr>
                            <w:w w:val="95"/>
                            <w:sz w:val="19"/>
                          </w:rPr>
                          <w:t>(112,146)</w:t>
                        </w:r>
                      </w:p>
                    </w:tc>
                    <w:tc>
                      <w:tcPr>
                        <w:tcW w:w="1219" w:type="dxa"/>
                        <w:tcBorders>
                          <w:top w:val="single" w:sz="8" w:space="0" w:color="FFFFFF"/>
                          <w:bottom w:val="single" w:sz="8" w:space="0" w:color="FFFFFF"/>
                        </w:tcBorders>
                        <w:shd w:val="clear" w:color="auto" w:fill="F4F4F4"/>
                      </w:tcPr>
                      <w:p>
                        <w:pPr>
                          <w:pStyle w:val="TableParagraph"/>
                          <w:spacing w:before="21"/>
                          <w:ind w:right="100"/>
                          <w:jc w:val="right"/>
                          <w:rPr>
                            <w:sz w:val="19"/>
                          </w:rPr>
                        </w:pPr>
                        <w:r>
                          <w:rPr>
                            <w:w w:val="95"/>
                            <w:sz w:val="19"/>
                          </w:rPr>
                          <w:t>(107,281)</w:t>
                        </w:r>
                      </w:p>
                    </w:tc>
                  </w:tr>
                  <w:tr>
                    <w:trPr>
                      <w:trHeight w:val="263" w:hRule="atLeast"/>
                    </w:trPr>
                    <w:tc>
                      <w:tcPr>
                        <w:tcW w:w="4974" w:type="dxa"/>
                        <w:gridSpan w:val="2"/>
                        <w:tcBorders>
                          <w:top w:val="single" w:sz="8" w:space="0" w:color="FFFFFF"/>
                          <w:bottom w:val="single" w:sz="8" w:space="0" w:color="FFFFFF"/>
                        </w:tcBorders>
                        <w:shd w:val="clear" w:color="auto" w:fill="FAF9F9"/>
                      </w:tcPr>
                      <w:p>
                        <w:pPr>
                          <w:pStyle w:val="TableParagraph"/>
                          <w:spacing w:before="21"/>
                          <w:ind w:left="123"/>
                          <w:rPr>
                            <w:sz w:val="19"/>
                          </w:rPr>
                        </w:pPr>
                        <w:r>
                          <w:rPr>
                            <w:sz w:val="19"/>
                          </w:rPr>
                          <w:t>GST payments to taxation authority</w:t>
                        </w:r>
                      </w:p>
                    </w:tc>
                    <w:tc>
                      <w:tcPr>
                        <w:tcW w:w="1219" w:type="dxa"/>
                        <w:shd w:val="clear" w:color="auto" w:fill="E1E4BB"/>
                      </w:tcPr>
                      <w:p>
                        <w:pPr>
                          <w:pStyle w:val="TableParagraph"/>
                          <w:spacing w:before="11"/>
                          <w:ind w:right="100"/>
                          <w:jc w:val="right"/>
                          <w:rPr>
                            <w:sz w:val="19"/>
                          </w:rPr>
                        </w:pPr>
                        <w:r>
                          <w:rPr>
                            <w:w w:val="90"/>
                            <w:sz w:val="19"/>
                          </w:rPr>
                          <w:t>(6,136)</w:t>
                        </w:r>
                      </w:p>
                    </w:tc>
                    <w:tc>
                      <w:tcPr>
                        <w:tcW w:w="1219" w:type="dxa"/>
                        <w:tcBorders>
                          <w:top w:val="single" w:sz="8" w:space="0" w:color="FFFFFF"/>
                          <w:bottom w:val="single" w:sz="8" w:space="0" w:color="FFFFFF"/>
                        </w:tcBorders>
                        <w:shd w:val="clear" w:color="auto" w:fill="FAF9F9"/>
                      </w:tcPr>
                      <w:p>
                        <w:pPr>
                          <w:pStyle w:val="TableParagraph"/>
                          <w:spacing w:before="21"/>
                          <w:ind w:right="100"/>
                          <w:jc w:val="right"/>
                          <w:rPr>
                            <w:sz w:val="19"/>
                          </w:rPr>
                        </w:pPr>
                        <w:r>
                          <w:rPr>
                            <w:w w:val="90"/>
                            <w:sz w:val="19"/>
                          </w:rPr>
                          <w:t>(3,972)</w:t>
                        </w:r>
                      </w:p>
                    </w:tc>
                  </w:tr>
                  <w:tr>
                    <w:trPr>
                      <w:trHeight w:val="236" w:hRule="atLeast"/>
                    </w:trPr>
                    <w:tc>
                      <w:tcPr>
                        <w:tcW w:w="4209" w:type="dxa"/>
                        <w:vMerge w:val="restart"/>
                        <w:tcBorders>
                          <w:top w:val="single" w:sz="8" w:space="0" w:color="FFFFFF"/>
                          <w:bottom w:val="single" w:sz="8" w:space="0" w:color="FFFFFF"/>
                          <w:right w:val="single" w:sz="8" w:space="0" w:color="FFFFFF"/>
                        </w:tcBorders>
                        <w:shd w:val="clear" w:color="auto" w:fill="F4F4F4"/>
                      </w:tcPr>
                      <w:p>
                        <w:pPr>
                          <w:pStyle w:val="TableParagraph"/>
                          <w:spacing w:before="21"/>
                          <w:ind w:left="123"/>
                          <w:rPr>
                            <w:sz w:val="19"/>
                          </w:rPr>
                        </w:pPr>
                        <w:r>
                          <w:rPr>
                            <w:sz w:val="19"/>
                          </w:rPr>
                          <w:t>Other payments</w:t>
                        </w:r>
                      </w:p>
                    </w:tc>
                    <w:tc>
                      <w:tcPr>
                        <w:tcW w:w="765" w:type="dxa"/>
                        <w:vMerge w:val="restart"/>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line="205" w:lineRule="exact" w:before="11"/>
                          <w:ind w:right="100"/>
                          <w:jc w:val="right"/>
                          <w:rPr>
                            <w:sz w:val="19"/>
                          </w:rPr>
                        </w:pPr>
                        <w:r>
                          <w:rPr>
                            <w:w w:val="90"/>
                            <w:sz w:val="19"/>
                          </w:rPr>
                          <w:t>(4,945)</w:t>
                        </w:r>
                      </w:p>
                    </w:tc>
                    <w:tc>
                      <w:tcPr>
                        <w:tcW w:w="1219" w:type="dxa"/>
                        <w:vMerge w:val="restart"/>
                        <w:tcBorders>
                          <w:top w:val="single" w:sz="8" w:space="0" w:color="FFFFFF"/>
                          <w:bottom w:val="single" w:sz="8" w:space="0" w:color="FFFFFF"/>
                        </w:tcBorders>
                        <w:shd w:val="clear" w:color="auto" w:fill="F4F4F4"/>
                      </w:tcPr>
                      <w:p>
                        <w:pPr>
                          <w:pStyle w:val="TableParagraph"/>
                          <w:spacing w:before="21"/>
                          <w:ind w:left="549"/>
                          <w:rPr>
                            <w:sz w:val="19"/>
                          </w:rPr>
                        </w:pPr>
                        <w:r>
                          <w:rPr>
                            <w:sz w:val="19"/>
                          </w:rPr>
                          <w:t>(3,730)</w:t>
                        </w:r>
                      </w:p>
                    </w:tc>
                  </w:tr>
                  <w:tr>
                    <w:trPr>
                      <w:trHeight w:val="6" w:hRule="atLeast"/>
                    </w:trPr>
                    <w:tc>
                      <w:tcPr>
                        <w:tcW w:w="4209" w:type="dxa"/>
                        <w:vMerge/>
                        <w:tcBorders>
                          <w:top w:val="nil"/>
                          <w:bottom w:val="single" w:sz="8" w:space="0" w:color="FFFFFF"/>
                          <w:right w:val="single" w:sz="8" w:space="0" w:color="FFFFFF"/>
                        </w:tcBorders>
                        <w:shd w:val="clear" w:color="auto" w:fill="F4F4F4"/>
                      </w:tcPr>
                      <w:p>
                        <w:pPr>
                          <w:rPr>
                            <w:sz w:val="2"/>
                            <w:szCs w:val="2"/>
                          </w:rPr>
                        </w:pPr>
                      </w:p>
                    </w:tc>
                    <w:tc>
                      <w:tcPr>
                        <w:tcW w:w="765" w:type="dxa"/>
                        <w:vMerge/>
                        <w:tcBorders>
                          <w:top w:val="nil"/>
                          <w:left w:val="single" w:sz="8" w:space="0" w:color="FFFFFF"/>
                          <w:bottom w:val="single" w:sz="8" w:space="0" w:color="FFFFFF"/>
                        </w:tcBorders>
                        <w:shd w:val="clear" w:color="auto" w:fill="F4F4F4"/>
                      </w:tcPr>
                      <w:p>
                        <w:pPr>
                          <w:rPr>
                            <w:sz w:val="2"/>
                            <w:szCs w:val="2"/>
                          </w:rPr>
                        </w:pPr>
                      </w:p>
                    </w:tc>
                    <w:tc>
                      <w:tcPr>
                        <w:tcW w:w="1219" w:type="dxa"/>
                        <w:vMerge w:val="restart"/>
                        <w:shd w:val="clear" w:color="auto" w:fill="E1E4BB"/>
                      </w:tcPr>
                      <w:p>
                        <w:pPr>
                          <w:pStyle w:val="TableParagraph"/>
                          <w:spacing w:before="0"/>
                          <w:rPr>
                            <w:rFonts w:ascii="Times New Roman"/>
                            <w:sz w:val="18"/>
                          </w:rPr>
                        </w:pPr>
                      </w:p>
                    </w:tc>
                    <w:tc>
                      <w:tcPr>
                        <w:tcW w:w="1219" w:type="dxa"/>
                        <w:vMerge/>
                        <w:tcBorders>
                          <w:top w:val="nil"/>
                          <w:bottom w:val="single" w:sz="8" w:space="0" w:color="FFFFFF"/>
                        </w:tcBorders>
                        <w:shd w:val="clear" w:color="auto" w:fill="F4F4F4"/>
                      </w:tcPr>
                      <w:p>
                        <w:pPr>
                          <w:rPr>
                            <w:sz w:val="2"/>
                            <w:szCs w:val="2"/>
                          </w:rPr>
                        </w:pPr>
                      </w:p>
                    </w:tc>
                  </w:tr>
                  <w:tr>
                    <w:trPr>
                      <w:trHeight w:val="263" w:hRule="atLeast"/>
                    </w:trPr>
                    <w:tc>
                      <w:tcPr>
                        <w:tcW w:w="4974" w:type="dxa"/>
                        <w:gridSpan w:val="2"/>
                        <w:tcBorders>
                          <w:top w:val="single" w:sz="8" w:space="0" w:color="FFFFFF"/>
                          <w:bottom w:val="single" w:sz="8" w:space="0" w:color="FFFFFF"/>
                        </w:tcBorders>
                        <w:shd w:val="clear" w:color="auto" w:fill="FAF9F9"/>
                      </w:tcPr>
                      <w:p>
                        <w:pPr>
                          <w:pStyle w:val="TableParagraph"/>
                          <w:spacing w:before="21"/>
                          <w:ind w:left="123"/>
                          <w:rPr>
                            <w:i/>
                            <w:sz w:val="19"/>
                          </w:rPr>
                        </w:pPr>
                        <w:r>
                          <w:rPr>
                            <w:i/>
                            <w:color w:val="A7BE39"/>
                            <w:sz w:val="19"/>
                          </w:rPr>
                          <w:t>Receipts</w:t>
                        </w:r>
                      </w:p>
                    </w:tc>
                    <w:tc>
                      <w:tcPr>
                        <w:tcW w:w="1219" w:type="dxa"/>
                        <w:vMerge/>
                        <w:tcBorders>
                          <w:top w:val="nil"/>
                        </w:tcBorders>
                        <w:shd w:val="clear" w:color="auto" w:fill="E1E4BB"/>
                      </w:tcPr>
                      <w:p>
                        <w:pPr>
                          <w:rPr>
                            <w:sz w:val="2"/>
                            <w:szCs w:val="2"/>
                          </w:rPr>
                        </w:pPr>
                      </w:p>
                    </w:tc>
                    <w:tc>
                      <w:tcPr>
                        <w:tcW w:w="1219"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23"/>
                          <w:rPr>
                            <w:sz w:val="19"/>
                          </w:rPr>
                        </w:pPr>
                        <w:r>
                          <w:rPr>
                            <w:sz w:val="19"/>
                          </w:rPr>
                          <w:t>User charges and fees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11"/>
                          <w:ind w:right="100"/>
                          <w:jc w:val="right"/>
                          <w:rPr>
                            <w:sz w:val="19"/>
                          </w:rPr>
                        </w:pPr>
                        <w:r>
                          <w:rPr>
                            <w:w w:val="95"/>
                            <w:sz w:val="19"/>
                          </w:rPr>
                          <w:t>1,011,354</w:t>
                        </w:r>
                      </w:p>
                    </w:tc>
                    <w:tc>
                      <w:tcPr>
                        <w:tcW w:w="1219" w:type="dxa"/>
                        <w:tcBorders>
                          <w:top w:val="single" w:sz="8" w:space="0" w:color="FFFFFF"/>
                          <w:bottom w:val="single" w:sz="8" w:space="0" w:color="FFFFFF"/>
                        </w:tcBorders>
                        <w:shd w:val="clear" w:color="auto" w:fill="F4F4F4"/>
                      </w:tcPr>
                      <w:p>
                        <w:pPr>
                          <w:pStyle w:val="TableParagraph"/>
                          <w:spacing w:before="21"/>
                          <w:ind w:right="100"/>
                          <w:jc w:val="right"/>
                          <w:rPr>
                            <w:sz w:val="19"/>
                          </w:rPr>
                        </w:pPr>
                        <w:r>
                          <w:rPr>
                            <w:w w:val="95"/>
                            <w:sz w:val="19"/>
                          </w:rPr>
                          <w:t>938,279</w:t>
                        </w:r>
                      </w:p>
                    </w:tc>
                  </w:tr>
                  <w:tr>
                    <w:trPr>
                      <w:trHeight w:val="263" w:hRule="atLeast"/>
                    </w:trPr>
                    <w:tc>
                      <w:tcPr>
                        <w:tcW w:w="4974" w:type="dxa"/>
                        <w:gridSpan w:val="2"/>
                        <w:tcBorders>
                          <w:top w:val="single" w:sz="8" w:space="0" w:color="FFFFFF"/>
                          <w:bottom w:val="single" w:sz="8" w:space="0" w:color="FFFFFF"/>
                        </w:tcBorders>
                        <w:shd w:val="clear" w:color="auto" w:fill="FAF9F9"/>
                      </w:tcPr>
                      <w:p>
                        <w:pPr>
                          <w:pStyle w:val="TableParagraph"/>
                          <w:spacing w:before="21"/>
                          <w:ind w:left="123"/>
                          <w:rPr>
                            <w:sz w:val="19"/>
                          </w:rPr>
                        </w:pPr>
                        <w:r>
                          <w:rPr>
                            <w:sz w:val="19"/>
                          </w:rPr>
                          <w:t>Commonwealth grants and contributions</w:t>
                        </w:r>
                      </w:p>
                    </w:tc>
                    <w:tc>
                      <w:tcPr>
                        <w:tcW w:w="1219" w:type="dxa"/>
                        <w:shd w:val="clear" w:color="auto" w:fill="E1E4BB"/>
                      </w:tcPr>
                      <w:p>
                        <w:pPr>
                          <w:pStyle w:val="TableParagraph"/>
                          <w:spacing w:before="11"/>
                          <w:ind w:right="100"/>
                          <w:jc w:val="right"/>
                          <w:rPr>
                            <w:sz w:val="19"/>
                          </w:rPr>
                        </w:pPr>
                        <w:r>
                          <w:rPr>
                            <w:w w:val="95"/>
                            <w:sz w:val="19"/>
                          </w:rPr>
                          <w:t>3,337</w:t>
                        </w:r>
                      </w:p>
                    </w:tc>
                    <w:tc>
                      <w:tcPr>
                        <w:tcW w:w="1219" w:type="dxa"/>
                        <w:tcBorders>
                          <w:top w:val="single" w:sz="8" w:space="0" w:color="FFFFFF"/>
                          <w:bottom w:val="single" w:sz="8" w:space="0" w:color="FFFFFF"/>
                        </w:tcBorders>
                        <w:shd w:val="clear" w:color="auto" w:fill="FAF9F9"/>
                      </w:tcPr>
                      <w:p>
                        <w:pPr>
                          <w:pStyle w:val="TableParagraph"/>
                          <w:spacing w:before="21"/>
                          <w:ind w:right="100"/>
                          <w:jc w:val="right"/>
                          <w:rPr>
                            <w:sz w:val="19"/>
                          </w:rPr>
                        </w:pPr>
                        <w:r>
                          <w:rPr>
                            <w:w w:val="95"/>
                            <w:sz w:val="19"/>
                          </w:rPr>
                          <w:t>1,665</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23"/>
                          <w:rPr>
                            <w:sz w:val="19"/>
                          </w:rPr>
                        </w:pPr>
                        <w:r>
                          <w:rPr>
                            <w:sz w:val="19"/>
                          </w:rPr>
                          <w:t>Interest received</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11"/>
                          <w:ind w:right="100"/>
                          <w:jc w:val="right"/>
                          <w:rPr>
                            <w:sz w:val="19"/>
                          </w:rPr>
                        </w:pPr>
                        <w:r>
                          <w:rPr>
                            <w:w w:val="95"/>
                            <w:sz w:val="19"/>
                          </w:rPr>
                          <w:t>382</w:t>
                        </w:r>
                      </w:p>
                    </w:tc>
                    <w:tc>
                      <w:tcPr>
                        <w:tcW w:w="1219" w:type="dxa"/>
                        <w:tcBorders>
                          <w:top w:val="single" w:sz="8" w:space="0" w:color="FFFFFF"/>
                          <w:bottom w:val="single" w:sz="8" w:space="0" w:color="FFFFFF"/>
                        </w:tcBorders>
                        <w:shd w:val="clear" w:color="auto" w:fill="F4F4F4"/>
                      </w:tcPr>
                      <w:p>
                        <w:pPr>
                          <w:pStyle w:val="TableParagraph"/>
                          <w:spacing w:before="21"/>
                          <w:ind w:right="100"/>
                          <w:jc w:val="right"/>
                          <w:rPr>
                            <w:sz w:val="19"/>
                          </w:rPr>
                        </w:pPr>
                        <w:r>
                          <w:rPr>
                            <w:w w:val="95"/>
                            <w:sz w:val="19"/>
                          </w:rPr>
                          <w:t>214</w:t>
                        </w:r>
                      </w:p>
                    </w:tc>
                  </w:tr>
                  <w:tr>
                    <w:trPr>
                      <w:trHeight w:val="263" w:hRule="atLeast"/>
                    </w:trPr>
                    <w:tc>
                      <w:tcPr>
                        <w:tcW w:w="4974" w:type="dxa"/>
                        <w:gridSpan w:val="2"/>
                        <w:tcBorders>
                          <w:top w:val="single" w:sz="8" w:space="0" w:color="FFFFFF"/>
                          <w:bottom w:val="single" w:sz="8" w:space="0" w:color="FFFFFF"/>
                        </w:tcBorders>
                        <w:shd w:val="clear" w:color="auto" w:fill="FAF9F9"/>
                      </w:tcPr>
                      <w:p>
                        <w:pPr>
                          <w:pStyle w:val="TableParagraph"/>
                          <w:spacing w:before="21"/>
                          <w:ind w:left="123"/>
                          <w:rPr>
                            <w:sz w:val="19"/>
                          </w:rPr>
                        </w:pPr>
                        <w:r>
                          <w:rPr>
                            <w:sz w:val="19"/>
                          </w:rPr>
                          <w:t>GST receipts on sales</w:t>
                        </w:r>
                      </w:p>
                    </w:tc>
                    <w:tc>
                      <w:tcPr>
                        <w:tcW w:w="1219" w:type="dxa"/>
                        <w:shd w:val="clear" w:color="auto" w:fill="E1E4BB"/>
                      </w:tcPr>
                      <w:p>
                        <w:pPr>
                          <w:pStyle w:val="TableParagraph"/>
                          <w:spacing w:before="11"/>
                          <w:ind w:right="100"/>
                          <w:jc w:val="right"/>
                          <w:rPr>
                            <w:sz w:val="19"/>
                          </w:rPr>
                        </w:pPr>
                        <w:r>
                          <w:rPr>
                            <w:w w:val="95"/>
                            <w:sz w:val="19"/>
                          </w:rPr>
                          <w:t>109,127</w:t>
                        </w:r>
                      </w:p>
                    </w:tc>
                    <w:tc>
                      <w:tcPr>
                        <w:tcW w:w="1219" w:type="dxa"/>
                        <w:tcBorders>
                          <w:top w:val="single" w:sz="8" w:space="0" w:color="FFFFFF"/>
                          <w:bottom w:val="single" w:sz="8" w:space="0" w:color="FFFFFF"/>
                        </w:tcBorders>
                        <w:shd w:val="clear" w:color="auto" w:fill="FAF9F9"/>
                      </w:tcPr>
                      <w:p>
                        <w:pPr>
                          <w:pStyle w:val="TableParagraph"/>
                          <w:spacing w:before="21"/>
                          <w:ind w:right="100"/>
                          <w:jc w:val="right"/>
                          <w:rPr>
                            <w:sz w:val="19"/>
                          </w:rPr>
                        </w:pPr>
                        <w:r>
                          <w:rPr>
                            <w:w w:val="95"/>
                            <w:sz w:val="19"/>
                          </w:rPr>
                          <w:t>103,120</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23"/>
                          <w:rPr>
                            <w:sz w:val="19"/>
                          </w:rPr>
                        </w:pPr>
                        <w:r>
                          <w:rPr>
                            <w:sz w:val="19"/>
                          </w:rPr>
                          <w:t>GST receipts from taxation authority</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11"/>
                          <w:ind w:right="100"/>
                          <w:jc w:val="right"/>
                          <w:rPr>
                            <w:sz w:val="19"/>
                          </w:rPr>
                        </w:pPr>
                        <w:r>
                          <w:rPr>
                            <w:w w:val="95"/>
                            <w:sz w:val="19"/>
                          </w:rPr>
                          <w:t>7,491</w:t>
                        </w:r>
                      </w:p>
                    </w:tc>
                    <w:tc>
                      <w:tcPr>
                        <w:tcW w:w="1219" w:type="dxa"/>
                        <w:tcBorders>
                          <w:top w:val="single" w:sz="8" w:space="0" w:color="FFFFFF"/>
                          <w:bottom w:val="single" w:sz="8" w:space="0" w:color="FFFFFF"/>
                        </w:tcBorders>
                        <w:shd w:val="clear" w:color="auto" w:fill="F4F4F4"/>
                      </w:tcPr>
                      <w:p>
                        <w:pPr>
                          <w:pStyle w:val="TableParagraph"/>
                          <w:spacing w:before="21"/>
                          <w:ind w:right="100"/>
                          <w:jc w:val="right"/>
                          <w:rPr>
                            <w:sz w:val="19"/>
                          </w:rPr>
                        </w:pPr>
                        <w:r>
                          <w:rPr>
                            <w:w w:val="95"/>
                            <w:sz w:val="19"/>
                          </w:rPr>
                          <w:t>8,688</w:t>
                        </w:r>
                      </w:p>
                    </w:tc>
                  </w:tr>
                  <w:tr>
                    <w:trPr>
                      <w:trHeight w:val="263" w:hRule="atLeast"/>
                    </w:trPr>
                    <w:tc>
                      <w:tcPr>
                        <w:tcW w:w="4974" w:type="dxa"/>
                        <w:gridSpan w:val="2"/>
                        <w:tcBorders>
                          <w:top w:val="single" w:sz="8" w:space="0" w:color="FFFFFF"/>
                          <w:bottom w:val="single" w:sz="8" w:space="0" w:color="FFFFFF"/>
                        </w:tcBorders>
                        <w:shd w:val="clear" w:color="auto" w:fill="FAF9F9"/>
                      </w:tcPr>
                      <w:p>
                        <w:pPr>
                          <w:pStyle w:val="TableParagraph"/>
                          <w:spacing w:before="21"/>
                          <w:ind w:left="123"/>
                          <w:rPr>
                            <w:sz w:val="19"/>
                          </w:rPr>
                        </w:pPr>
                        <w:r>
                          <w:rPr>
                            <w:sz w:val="19"/>
                          </w:rPr>
                          <w:t>Other receipts</w:t>
                        </w:r>
                      </w:p>
                    </w:tc>
                    <w:tc>
                      <w:tcPr>
                        <w:tcW w:w="1219" w:type="dxa"/>
                        <w:tcBorders>
                          <w:bottom w:val="single" w:sz="4" w:space="0" w:color="000000"/>
                        </w:tcBorders>
                        <w:shd w:val="clear" w:color="auto" w:fill="E1E4BB"/>
                      </w:tcPr>
                      <w:p>
                        <w:pPr>
                          <w:pStyle w:val="TableParagraph"/>
                          <w:spacing w:before="11"/>
                          <w:ind w:right="100"/>
                          <w:jc w:val="right"/>
                          <w:rPr>
                            <w:sz w:val="19"/>
                          </w:rPr>
                        </w:pPr>
                        <w:r>
                          <w:rPr>
                            <w:w w:val="95"/>
                            <w:sz w:val="19"/>
                          </w:rPr>
                          <w:t>6,859</w:t>
                        </w:r>
                      </w:p>
                    </w:tc>
                    <w:tc>
                      <w:tcPr>
                        <w:tcW w:w="1219" w:type="dxa"/>
                        <w:tcBorders>
                          <w:top w:val="single" w:sz="8" w:space="0" w:color="FFFFFF"/>
                          <w:bottom w:val="single" w:sz="4" w:space="0" w:color="000000"/>
                        </w:tcBorders>
                        <w:shd w:val="clear" w:color="auto" w:fill="FAF9F9"/>
                      </w:tcPr>
                      <w:p>
                        <w:pPr>
                          <w:pStyle w:val="TableParagraph"/>
                          <w:spacing w:before="21"/>
                          <w:ind w:right="100"/>
                          <w:jc w:val="right"/>
                          <w:rPr>
                            <w:sz w:val="19"/>
                          </w:rPr>
                        </w:pPr>
                        <w:r>
                          <w:rPr>
                            <w:w w:val="95"/>
                            <w:sz w:val="19"/>
                          </w:rPr>
                          <w:t>8,676</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23"/>
                          <w:rPr>
                            <w:b/>
                            <w:sz w:val="19"/>
                          </w:rPr>
                        </w:pPr>
                        <w:r>
                          <w:rPr>
                            <w:b/>
                            <w:sz w:val="19"/>
                          </w:rPr>
                          <w:t>Net cash used in operating activities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21"/>
                          <w:ind w:left="248" w:right="237"/>
                          <w:jc w:val="center"/>
                          <w:rPr>
                            <w:sz w:val="19"/>
                          </w:rPr>
                        </w:pPr>
                        <w:hyperlink w:history="true" w:anchor="_bookmark52">
                          <w:r>
                            <w:rPr>
                              <w:color w:val="A7BE39"/>
                              <w:sz w:val="19"/>
                              <w:u w:val="single" w:color="A7BE39"/>
                            </w:rPr>
                            <w:t>34</w:t>
                          </w:r>
                        </w:hyperlink>
                      </w:p>
                    </w:tc>
                    <w:tc>
                      <w:tcPr>
                        <w:tcW w:w="1219" w:type="dxa"/>
                        <w:tcBorders>
                          <w:top w:val="single" w:sz="4" w:space="0" w:color="000000"/>
                          <w:bottom w:val="single" w:sz="4" w:space="0" w:color="000000"/>
                        </w:tcBorders>
                        <w:shd w:val="clear" w:color="auto" w:fill="DFE1B8"/>
                      </w:tcPr>
                      <w:p>
                        <w:pPr>
                          <w:pStyle w:val="TableParagraph"/>
                          <w:spacing w:before="21"/>
                          <w:ind w:right="100"/>
                          <w:jc w:val="right"/>
                          <w:rPr>
                            <w:b/>
                            <w:sz w:val="19"/>
                          </w:rPr>
                        </w:pPr>
                        <w:r>
                          <w:rPr>
                            <w:b/>
                            <w:w w:val="95"/>
                            <w:sz w:val="19"/>
                          </w:rPr>
                          <w:t>(92,024)</w:t>
                        </w:r>
                      </w:p>
                    </w:tc>
                    <w:tc>
                      <w:tcPr>
                        <w:tcW w:w="1219" w:type="dxa"/>
                        <w:tcBorders>
                          <w:top w:val="single" w:sz="4" w:space="0" w:color="000000"/>
                          <w:bottom w:val="single" w:sz="4" w:space="0" w:color="000000"/>
                        </w:tcBorders>
                        <w:shd w:val="clear" w:color="auto" w:fill="F4F4F4"/>
                      </w:tcPr>
                      <w:p>
                        <w:pPr>
                          <w:pStyle w:val="TableParagraph"/>
                          <w:spacing w:before="21"/>
                          <w:ind w:right="100"/>
                          <w:jc w:val="right"/>
                          <w:rPr>
                            <w:b/>
                            <w:sz w:val="19"/>
                          </w:rPr>
                        </w:pPr>
                        <w:r>
                          <w:rPr>
                            <w:b/>
                            <w:w w:val="95"/>
                            <w:sz w:val="19"/>
                          </w:rPr>
                          <w:t>(82,750)</w:t>
                        </w:r>
                      </w:p>
                    </w:tc>
                  </w:tr>
                </w:tbl>
                <w:p>
                  <w:pPr>
                    <w:pStyle w:val="BodyText"/>
                  </w:pPr>
                </w:p>
              </w:txbxContent>
            </v:textbox>
            <w10:wrap type="none"/>
          </v:shape>
        </w:pict>
      </w:r>
      <w:r>
        <w:rPr>
          <w:b/>
          <w:color w:val="FFFFFF"/>
          <w:w w:val="100"/>
          <w:sz w:val="19"/>
          <w:shd w:fill="783A79" w:color="auto" w:val="clear"/>
        </w:rPr>
        <w:t> </w:t>
      </w:r>
      <w:r>
        <w:rPr>
          <w:b/>
          <w:color w:val="FFFFFF"/>
          <w:spacing w:val="7"/>
          <w:sz w:val="19"/>
          <w:shd w:fill="783A79" w:color="auto" w:val="clear"/>
        </w:rPr>
        <w:t> </w:t>
      </w:r>
      <w:r>
        <w:rPr>
          <w:b/>
          <w:color w:val="FFFFFF"/>
          <w:sz w:val="19"/>
          <w:shd w:fill="783A79" w:color="auto" w:val="clear"/>
        </w:rPr>
        <w:t>Cash Flows from Operating</w:t>
      </w:r>
      <w:r>
        <w:rPr>
          <w:b/>
          <w:color w:val="FFFFFF"/>
          <w:spacing w:val="-17"/>
          <w:sz w:val="19"/>
          <w:shd w:fill="783A79" w:color="auto" w:val="clear"/>
        </w:rPr>
        <w:t> </w:t>
      </w:r>
      <w:r>
        <w:rPr>
          <w:b/>
          <w:color w:val="FFFFFF"/>
          <w:sz w:val="19"/>
          <w:shd w:fill="783A79" w:color="auto" w:val="clear"/>
        </w:rPr>
        <w:t>Activities</w:t>
        <w:tab/>
      </w:r>
    </w:p>
    <w:tbl>
      <w:tblPr>
        <w:tblW w:w="0" w:type="auto"/>
        <w:jc w:val="lef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9"/>
        <w:gridCol w:w="765"/>
        <w:gridCol w:w="1219"/>
        <w:gridCol w:w="1219"/>
      </w:tblGrid>
      <w:tr>
        <w:trPr>
          <w:trHeight w:val="332" w:hRule="atLeast"/>
        </w:trPr>
        <w:tc>
          <w:tcPr>
            <w:tcW w:w="7412" w:type="dxa"/>
            <w:gridSpan w:val="4"/>
            <w:shd w:val="clear" w:color="auto" w:fill="783A79"/>
          </w:tcPr>
          <w:p>
            <w:pPr>
              <w:pStyle w:val="TableParagraph"/>
              <w:spacing w:before="36"/>
              <w:ind w:left="113"/>
              <w:rPr>
                <w:b/>
                <w:sz w:val="19"/>
              </w:rPr>
            </w:pPr>
            <w:r>
              <w:rPr>
                <w:b/>
                <w:color w:val="FFFFFF"/>
                <w:sz w:val="19"/>
              </w:rPr>
              <w:t>Cash Flows from Investing Activities</w:t>
            </w:r>
          </w:p>
        </w:tc>
      </w:tr>
      <w:tr>
        <w:trPr>
          <w:trHeight w:val="317" w:hRule="atLeast"/>
        </w:trPr>
        <w:tc>
          <w:tcPr>
            <w:tcW w:w="4209" w:type="dxa"/>
            <w:tcBorders>
              <w:bottom w:val="single" w:sz="8" w:space="0" w:color="FFFFFF"/>
              <w:right w:val="single" w:sz="8" w:space="0" w:color="FFFFFF"/>
            </w:tcBorders>
            <w:shd w:val="clear" w:color="auto" w:fill="F4F4F4"/>
          </w:tcPr>
          <w:p>
            <w:pPr>
              <w:pStyle w:val="TableParagraph"/>
              <w:spacing w:before="31"/>
              <w:ind w:left="113"/>
              <w:rPr>
                <w:i/>
                <w:sz w:val="19"/>
              </w:rPr>
            </w:pPr>
            <w:r>
              <w:rPr>
                <w:i/>
                <w:color w:val="A7BE39"/>
                <w:sz w:val="19"/>
              </w:rPr>
              <w:t>Payments</w:t>
            </w:r>
          </w:p>
        </w:tc>
        <w:tc>
          <w:tcPr>
            <w:tcW w:w="765" w:type="dxa"/>
            <w:tcBorders>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0"/>
              <w:rPr>
                <w:rFonts w:ascii="Times New Roman"/>
                <w:sz w:val="18"/>
              </w:rPr>
            </w:pPr>
          </w:p>
        </w:tc>
        <w:tc>
          <w:tcPr>
            <w:tcW w:w="1219" w:type="dxa"/>
            <w:tcBorders>
              <w:bottom w:val="single" w:sz="8" w:space="0" w:color="FFFFFF"/>
            </w:tcBorders>
            <w:shd w:val="clear" w:color="auto" w:fill="F4F4F4"/>
          </w:tcPr>
          <w:p>
            <w:pPr>
              <w:pStyle w:val="TableParagraph"/>
              <w:spacing w:before="0"/>
              <w:rPr>
                <w:rFonts w:ascii="Times New Roman"/>
                <w:sz w:val="18"/>
              </w:rPr>
            </w:pPr>
          </w:p>
        </w:tc>
      </w:tr>
      <w:tr>
        <w:trPr>
          <w:trHeight w:val="263" w:hRule="atLeast"/>
        </w:trPr>
        <w:tc>
          <w:tcPr>
            <w:tcW w:w="4209" w:type="dxa"/>
            <w:tcBorders>
              <w:top w:val="single" w:sz="8" w:space="0" w:color="FFFFFF"/>
              <w:bottom w:val="single" w:sz="8" w:space="0" w:color="FFFFFF"/>
              <w:right w:val="single" w:sz="8" w:space="0" w:color="FFFFFF"/>
            </w:tcBorders>
            <w:shd w:val="clear" w:color="auto" w:fill="FAF9F9"/>
          </w:tcPr>
          <w:p>
            <w:pPr>
              <w:pStyle w:val="TableParagraph"/>
              <w:spacing w:before="21"/>
              <w:ind w:left="113"/>
              <w:rPr>
                <w:sz w:val="10"/>
              </w:rPr>
            </w:pPr>
            <w:r>
              <w:rPr>
                <w:sz w:val="19"/>
              </w:rPr>
              <w:t>Purchase of non-current physical assets </w:t>
            </w:r>
            <w:r>
              <w:rPr>
                <w:position w:val="6"/>
                <w:sz w:val="10"/>
              </w:rPr>
              <w:t>(a)</w:t>
            </w:r>
          </w:p>
        </w:tc>
        <w:tc>
          <w:tcPr>
            <w:tcW w:w="765"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19" w:type="dxa"/>
            <w:shd w:val="clear" w:color="auto" w:fill="E1E4BB"/>
          </w:tcPr>
          <w:p>
            <w:pPr>
              <w:pStyle w:val="TableParagraph"/>
              <w:spacing w:before="21"/>
              <w:ind w:right="110"/>
              <w:jc w:val="right"/>
              <w:rPr>
                <w:sz w:val="19"/>
              </w:rPr>
            </w:pPr>
            <w:r>
              <w:rPr>
                <w:w w:val="95"/>
                <w:sz w:val="19"/>
              </w:rPr>
              <w:t>(148,153)</w:t>
            </w:r>
          </w:p>
        </w:tc>
        <w:tc>
          <w:tcPr>
            <w:tcW w:w="1219" w:type="dxa"/>
            <w:tcBorders>
              <w:top w:val="single" w:sz="8" w:space="0" w:color="FFFFFF"/>
              <w:bottom w:val="single" w:sz="8" w:space="0" w:color="FFFFFF"/>
            </w:tcBorders>
            <w:shd w:val="clear" w:color="auto" w:fill="FAF9F9"/>
          </w:tcPr>
          <w:p>
            <w:pPr>
              <w:pStyle w:val="TableParagraph"/>
              <w:spacing w:before="21"/>
              <w:ind w:right="110"/>
              <w:jc w:val="right"/>
              <w:rPr>
                <w:sz w:val="19"/>
              </w:rPr>
            </w:pPr>
            <w:r>
              <w:rPr>
                <w:w w:val="95"/>
                <w:sz w:val="19"/>
              </w:rPr>
              <w:t>(199,917)</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13"/>
              <w:rPr>
                <w:i/>
                <w:sz w:val="19"/>
              </w:rPr>
            </w:pPr>
            <w:r>
              <w:rPr>
                <w:i/>
                <w:color w:val="A7BE39"/>
                <w:sz w:val="19"/>
              </w:rPr>
              <w:t>Receipts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0"/>
              <w:rPr>
                <w:rFonts w:ascii="Times New Roman"/>
                <w:sz w:val="18"/>
              </w:rPr>
            </w:pPr>
          </w:p>
        </w:tc>
        <w:tc>
          <w:tcPr>
            <w:tcW w:w="1219"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r>
      <w:tr>
        <w:trPr>
          <w:trHeight w:val="231" w:hRule="atLeast"/>
        </w:trPr>
        <w:tc>
          <w:tcPr>
            <w:tcW w:w="4209" w:type="dxa"/>
            <w:tcBorders>
              <w:top w:val="single" w:sz="8" w:space="0" w:color="FFFFFF"/>
              <w:right w:val="single" w:sz="8" w:space="0" w:color="FFFFFF"/>
            </w:tcBorders>
            <w:shd w:val="clear" w:color="auto" w:fill="FAF9F9"/>
          </w:tcPr>
          <w:p>
            <w:pPr>
              <w:pStyle w:val="TableParagraph"/>
              <w:spacing w:line="191" w:lineRule="exact" w:before="21"/>
              <w:ind w:left="113"/>
              <w:rPr>
                <w:sz w:val="19"/>
              </w:rPr>
            </w:pPr>
            <w:r>
              <w:rPr>
                <w:sz w:val="19"/>
              </w:rPr>
              <w:t>Proceeds from sale of non-current</w:t>
            </w:r>
          </w:p>
        </w:tc>
        <w:tc>
          <w:tcPr>
            <w:tcW w:w="765" w:type="dxa"/>
            <w:vMerge w:val="restart"/>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19" w:type="dxa"/>
            <w:shd w:val="clear" w:color="auto" w:fill="E1E4BB"/>
          </w:tcPr>
          <w:p>
            <w:pPr>
              <w:pStyle w:val="TableParagraph"/>
              <w:spacing w:line="191" w:lineRule="exact" w:before="21"/>
              <w:ind w:right="110"/>
              <w:jc w:val="right"/>
              <w:rPr>
                <w:sz w:val="19"/>
              </w:rPr>
            </w:pPr>
            <w:r>
              <w:rPr>
                <w:w w:val="95"/>
                <w:sz w:val="19"/>
              </w:rPr>
              <w:t>71,559</w:t>
            </w:r>
          </w:p>
        </w:tc>
        <w:tc>
          <w:tcPr>
            <w:tcW w:w="1219" w:type="dxa"/>
            <w:tcBorders>
              <w:top w:val="single" w:sz="8" w:space="0" w:color="FFFFFF"/>
            </w:tcBorders>
            <w:shd w:val="clear" w:color="auto" w:fill="FAF9F9"/>
          </w:tcPr>
          <w:p>
            <w:pPr>
              <w:pStyle w:val="TableParagraph"/>
              <w:spacing w:line="191" w:lineRule="exact" w:before="21"/>
              <w:ind w:right="110"/>
              <w:jc w:val="right"/>
              <w:rPr>
                <w:sz w:val="19"/>
              </w:rPr>
            </w:pPr>
            <w:r>
              <w:rPr>
                <w:w w:val="95"/>
                <w:sz w:val="19"/>
              </w:rPr>
              <w:t>40,212</w:t>
            </w:r>
          </w:p>
        </w:tc>
      </w:tr>
      <w:tr>
        <w:trPr>
          <w:trHeight w:val="239" w:hRule="atLeast"/>
        </w:trPr>
        <w:tc>
          <w:tcPr>
            <w:tcW w:w="4209" w:type="dxa"/>
            <w:tcBorders>
              <w:bottom w:val="single" w:sz="8" w:space="0" w:color="FFFFFF"/>
              <w:right w:val="single" w:sz="8" w:space="0" w:color="FFFFFF"/>
            </w:tcBorders>
            <w:shd w:val="clear" w:color="auto" w:fill="FAF9F9"/>
          </w:tcPr>
          <w:p>
            <w:pPr>
              <w:pStyle w:val="TableParagraph"/>
              <w:spacing w:line="216" w:lineRule="exact" w:before="0"/>
              <w:ind w:left="113"/>
              <w:rPr>
                <w:sz w:val="19"/>
              </w:rPr>
            </w:pPr>
            <w:r>
              <w:rPr>
                <w:sz w:val="19"/>
              </w:rPr>
              <w:t>physical assets</w:t>
            </w:r>
          </w:p>
        </w:tc>
        <w:tc>
          <w:tcPr>
            <w:tcW w:w="765" w:type="dxa"/>
            <w:vMerge/>
            <w:tcBorders>
              <w:top w:val="nil"/>
              <w:left w:val="single" w:sz="8" w:space="0" w:color="FFFFFF"/>
              <w:bottom w:val="single" w:sz="8" w:space="0" w:color="FFFFFF"/>
            </w:tcBorders>
            <w:shd w:val="clear" w:color="auto" w:fill="FAF9F9"/>
          </w:tcPr>
          <w:p>
            <w:pPr>
              <w:rPr>
                <w:sz w:val="2"/>
                <w:szCs w:val="2"/>
              </w:rPr>
            </w:pPr>
          </w:p>
        </w:tc>
        <w:tc>
          <w:tcPr>
            <w:tcW w:w="1219" w:type="dxa"/>
            <w:shd w:val="clear" w:color="auto" w:fill="E1E4BB"/>
          </w:tcPr>
          <w:p>
            <w:pPr>
              <w:pStyle w:val="TableParagraph"/>
              <w:spacing w:before="0"/>
              <w:rPr>
                <w:rFonts w:ascii="Times New Roman"/>
                <w:sz w:val="16"/>
              </w:rPr>
            </w:pPr>
          </w:p>
        </w:tc>
        <w:tc>
          <w:tcPr>
            <w:tcW w:w="1219" w:type="dxa"/>
            <w:tcBorders>
              <w:bottom w:val="single" w:sz="8" w:space="0" w:color="FFFFFF"/>
            </w:tcBorders>
            <w:shd w:val="clear" w:color="auto" w:fill="FAF9F9"/>
          </w:tcPr>
          <w:p>
            <w:pPr>
              <w:pStyle w:val="TableParagraph"/>
              <w:spacing w:before="0"/>
              <w:rPr>
                <w:rFonts w:ascii="Times New Roman"/>
                <w:sz w:val="16"/>
              </w:rPr>
            </w:pP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13"/>
              <w:rPr>
                <w:sz w:val="19"/>
              </w:rPr>
            </w:pPr>
            <w:r>
              <w:rPr>
                <w:sz w:val="19"/>
              </w:rPr>
              <w:t>Receipts from lease incentives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tcBorders>
              <w:bottom w:val="single" w:sz="4" w:space="0" w:color="000000"/>
            </w:tcBorders>
            <w:shd w:val="clear" w:color="auto" w:fill="E1E4BB"/>
          </w:tcPr>
          <w:p>
            <w:pPr>
              <w:pStyle w:val="TableParagraph"/>
              <w:spacing w:before="21"/>
              <w:ind w:right="110"/>
              <w:jc w:val="right"/>
              <w:rPr>
                <w:sz w:val="19"/>
              </w:rPr>
            </w:pPr>
            <w:r>
              <w:rPr>
                <w:w w:val="95"/>
                <w:sz w:val="19"/>
              </w:rPr>
              <w:t>27,762</w:t>
            </w:r>
          </w:p>
        </w:tc>
        <w:tc>
          <w:tcPr>
            <w:tcW w:w="1219" w:type="dxa"/>
            <w:tcBorders>
              <w:top w:val="single" w:sz="8" w:space="0" w:color="FFFFFF"/>
              <w:bottom w:val="single" w:sz="4" w:space="0" w:color="000000"/>
            </w:tcBorders>
            <w:shd w:val="clear" w:color="auto" w:fill="F4F4F4"/>
          </w:tcPr>
          <w:p>
            <w:pPr>
              <w:pStyle w:val="TableParagraph"/>
              <w:spacing w:before="21"/>
              <w:ind w:right="110"/>
              <w:jc w:val="right"/>
              <w:rPr>
                <w:sz w:val="19"/>
              </w:rPr>
            </w:pPr>
            <w:r>
              <w:rPr>
                <w:w w:val="95"/>
                <w:sz w:val="19"/>
              </w:rPr>
              <w:t>39,638</w:t>
            </w:r>
          </w:p>
        </w:tc>
      </w:tr>
      <w:tr>
        <w:trPr>
          <w:trHeight w:val="273" w:hRule="atLeast"/>
        </w:trPr>
        <w:tc>
          <w:tcPr>
            <w:tcW w:w="4209" w:type="dxa"/>
            <w:tcBorders>
              <w:top w:val="single" w:sz="8" w:space="0" w:color="FFFFFF"/>
              <w:right w:val="single" w:sz="8" w:space="0" w:color="FFFFFF"/>
            </w:tcBorders>
            <w:shd w:val="clear" w:color="auto" w:fill="FAF9F9"/>
          </w:tcPr>
          <w:p>
            <w:pPr>
              <w:pStyle w:val="TableParagraph"/>
              <w:spacing w:before="21"/>
              <w:ind w:left="113"/>
              <w:rPr>
                <w:b/>
                <w:sz w:val="19"/>
              </w:rPr>
            </w:pPr>
            <w:r>
              <w:rPr>
                <w:b/>
                <w:sz w:val="19"/>
              </w:rPr>
              <w:t>Net cash used in investing activities</w:t>
            </w:r>
          </w:p>
        </w:tc>
        <w:tc>
          <w:tcPr>
            <w:tcW w:w="765" w:type="dxa"/>
            <w:tcBorders>
              <w:top w:val="single" w:sz="8" w:space="0" w:color="FFFFFF"/>
              <w:left w:val="single" w:sz="8" w:space="0" w:color="FFFFFF"/>
            </w:tcBorders>
            <w:shd w:val="clear" w:color="auto" w:fill="FAF9F9"/>
          </w:tcPr>
          <w:p>
            <w:pPr>
              <w:pStyle w:val="TableParagraph"/>
              <w:spacing w:before="0"/>
              <w:rPr>
                <w:rFonts w:ascii="Times New Roman"/>
                <w:sz w:val="18"/>
              </w:rPr>
            </w:pPr>
          </w:p>
        </w:tc>
        <w:tc>
          <w:tcPr>
            <w:tcW w:w="1219" w:type="dxa"/>
            <w:tcBorders>
              <w:top w:val="single" w:sz="4" w:space="0" w:color="000000"/>
            </w:tcBorders>
            <w:shd w:val="clear" w:color="auto" w:fill="E1E4BB"/>
          </w:tcPr>
          <w:p>
            <w:pPr>
              <w:pStyle w:val="TableParagraph"/>
              <w:spacing w:before="21"/>
              <w:ind w:right="110"/>
              <w:jc w:val="right"/>
              <w:rPr>
                <w:b/>
                <w:sz w:val="19"/>
              </w:rPr>
            </w:pPr>
            <w:r>
              <w:rPr>
                <w:b/>
                <w:w w:val="95"/>
                <w:sz w:val="19"/>
              </w:rPr>
              <w:t>(48,832)</w:t>
            </w:r>
          </w:p>
        </w:tc>
        <w:tc>
          <w:tcPr>
            <w:tcW w:w="1219" w:type="dxa"/>
            <w:tcBorders>
              <w:top w:val="single" w:sz="4" w:space="0" w:color="000000"/>
            </w:tcBorders>
            <w:shd w:val="clear" w:color="auto" w:fill="FAF9F9"/>
          </w:tcPr>
          <w:p>
            <w:pPr>
              <w:pStyle w:val="TableParagraph"/>
              <w:spacing w:before="21"/>
              <w:ind w:right="110"/>
              <w:jc w:val="right"/>
              <w:rPr>
                <w:b/>
                <w:sz w:val="19"/>
              </w:rPr>
            </w:pPr>
            <w:r>
              <w:rPr>
                <w:b/>
                <w:w w:val="95"/>
                <w:sz w:val="19"/>
              </w:rPr>
              <w:t>(120,067)</w:t>
            </w:r>
          </w:p>
        </w:tc>
      </w:tr>
      <w:tr>
        <w:trPr>
          <w:trHeight w:val="283" w:hRule="atLeast"/>
        </w:trPr>
        <w:tc>
          <w:tcPr>
            <w:tcW w:w="7412" w:type="dxa"/>
            <w:gridSpan w:val="4"/>
            <w:shd w:val="clear" w:color="auto" w:fill="783A79"/>
          </w:tcPr>
          <w:p>
            <w:pPr>
              <w:pStyle w:val="TableParagraph"/>
              <w:spacing w:before="31"/>
              <w:ind w:left="113"/>
              <w:rPr>
                <w:b/>
                <w:sz w:val="19"/>
              </w:rPr>
            </w:pPr>
            <w:r>
              <w:rPr>
                <w:b/>
                <w:color w:val="FFFFFF"/>
                <w:sz w:val="19"/>
              </w:rPr>
              <w:t>Cash Flows from Financing Activities</w:t>
            </w:r>
          </w:p>
        </w:tc>
      </w:tr>
      <w:tr>
        <w:trPr>
          <w:trHeight w:val="293" w:hRule="atLeast"/>
        </w:trPr>
        <w:tc>
          <w:tcPr>
            <w:tcW w:w="4974" w:type="dxa"/>
            <w:gridSpan w:val="2"/>
            <w:shd w:val="clear" w:color="auto" w:fill="FAF9F9"/>
          </w:tcPr>
          <w:p>
            <w:pPr>
              <w:pStyle w:val="TableParagraph"/>
              <w:spacing w:before="31"/>
              <w:ind w:left="113"/>
              <w:rPr>
                <w:i/>
                <w:sz w:val="19"/>
              </w:rPr>
            </w:pPr>
            <w:r>
              <w:rPr>
                <w:i/>
                <w:color w:val="A7BE39"/>
                <w:sz w:val="19"/>
              </w:rPr>
              <w:t>Payments</w:t>
            </w:r>
          </w:p>
        </w:tc>
        <w:tc>
          <w:tcPr>
            <w:tcW w:w="1219" w:type="dxa"/>
            <w:shd w:val="clear" w:color="auto" w:fill="E1E4BB"/>
          </w:tcPr>
          <w:p>
            <w:pPr>
              <w:pStyle w:val="TableParagraph"/>
              <w:spacing w:before="0"/>
              <w:rPr>
                <w:rFonts w:ascii="Times New Roman"/>
                <w:sz w:val="18"/>
              </w:rPr>
            </w:pPr>
          </w:p>
        </w:tc>
        <w:tc>
          <w:tcPr>
            <w:tcW w:w="1219" w:type="dxa"/>
            <w:shd w:val="clear" w:color="auto" w:fill="FAF9F9"/>
          </w:tcPr>
          <w:p>
            <w:pPr>
              <w:pStyle w:val="TableParagraph"/>
              <w:spacing w:before="0"/>
              <w:rPr>
                <w:rFonts w:ascii="Times New Roman"/>
                <w:sz w:val="18"/>
              </w:rPr>
            </w:pPr>
          </w:p>
        </w:tc>
      </w:tr>
      <w:tr>
        <w:trPr>
          <w:trHeight w:val="263" w:hRule="atLeast"/>
        </w:trPr>
        <w:tc>
          <w:tcPr>
            <w:tcW w:w="4209" w:type="dxa"/>
            <w:tcBorders>
              <w:bottom w:val="single" w:sz="8" w:space="0" w:color="FFFFFF"/>
              <w:right w:val="single" w:sz="8" w:space="0" w:color="FFFFFF"/>
            </w:tcBorders>
            <w:shd w:val="clear" w:color="auto" w:fill="F4F4F4"/>
          </w:tcPr>
          <w:p>
            <w:pPr>
              <w:pStyle w:val="TableParagraph"/>
              <w:spacing w:before="21"/>
              <w:ind w:left="113"/>
              <w:rPr>
                <w:sz w:val="19"/>
              </w:rPr>
            </w:pPr>
            <w:r>
              <w:rPr>
                <w:sz w:val="19"/>
              </w:rPr>
              <w:t>Repayment of borrowings</w:t>
            </w:r>
          </w:p>
        </w:tc>
        <w:tc>
          <w:tcPr>
            <w:tcW w:w="765" w:type="dxa"/>
            <w:tcBorders>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21"/>
              <w:ind w:right="110"/>
              <w:jc w:val="right"/>
              <w:rPr>
                <w:sz w:val="19"/>
              </w:rPr>
            </w:pPr>
            <w:r>
              <w:rPr>
                <w:w w:val="95"/>
                <w:sz w:val="19"/>
              </w:rPr>
              <w:t>(30,689)</w:t>
            </w:r>
          </w:p>
        </w:tc>
        <w:tc>
          <w:tcPr>
            <w:tcW w:w="1219" w:type="dxa"/>
            <w:tcBorders>
              <w:bottom w:val="single" w:sz="8" w:space="0" w:color="FFFFFF"/>
            </w:tcBorders>
            <w:shd w:val="clear" w:color="auto" w:fill="FAF9F9"/>
          </w:tcPr>
          <w:p>
            <w:pPr>
              <w:pStyle w:val="TableParagraph"/>
              <w:spacing w:before="21"/>
              <w:ind w:right="110"/>
              <w:jc w:val="right"/>
              <w:rPr>
                <w:sz w:val="19"/>
              </w:rPr>
            </w:pPr>
            <w:r>
              <w:rPr>
                <w:w w:val="95"/>
                <w:sz w:val="19"/>
              </w:rPr>
              <w:t>(20,487)</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AF9F9"/>
          </w:tcPr>
          <w:p>
            <w:pPr>
              <w:pStyle w:val="TableParagraph"/>
              <w:spacing w:before="21"/>
              <w:ind w:left="113"/>
              <w:rPr>
                <w:i/>
                <w:sz w:val="19"/>
              </w:rPr>
            </w:pPr>
            <w:r>
              <w:rPr>
                <w:i/>
                <w:color w:val="A7BE39"/>
                <w:sz w:val="19"/>
              </w:rPr>
              <w:t>Receipts</w:t>
            </w:r>
          </w:p>
        </w:tc>
        <w:tc>
          <w:tcPr>
            <w:tcW w:w="765"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19" w:type="dxa"/>
            <w:shd w:val="clear" w:color="auto" w:fill="E1E4BB"/>
          </w:tcPr>
          <w:p>
            <w:pPr>
              <w:pStyle w:val="TableParagraph"/>
              <w:spacing w:before="0"/>
              <w:rPr>
                <w:rFonts w:ascii="Times New Roman"/>
                <w:sz w:val="18"/>
              </w:rPr>
            </w:pPr>
          </w:p>
        </w:tc>
        <w:tc>
          <w:tcPr>
            <w:tcW w:w="1219"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13"/>
              <w:rPr>
                <w:sz w:val="19"/>
              </w:rPr>
            </w:pPr>
            <w:r>
              <w:rPr>
                <w:sz w:val="19"/>
              </w:rPr>
              <w:t>Proceeds from borrowings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E1E4BB"/>
          </w:tcPr>
          <w:p>
            <w:pPr>
              <w:pStyle w:val="TableParagraph"/>
              <w:spacing w:before="21"/>
              <w:ind w:right="110"/>
              <w:jc w:val="right"/>
              <w:rPr>
                <w:sz w:val="19"/>
              </w:rPr>
            </w:pPr>
            <w:r>
              <w:rPr>
                <w:w w:val="95"/>
                <w:sz w:val="19"/>
              </w:rPr>
              <w:t>2,923</w:t>
            </w:r>
          </w:p>
        </w:tc>
        <w:tc>
          <w:tcPr>
            <w:tcW w:w="1219" w:type="dxa"/>
            <w:tcBorders>
              <w:top w:val="single" w:sz="8" w:space="0" w:color="FFFFFF"/>
              <w:bottom w:val="single" w:sz="8" w:space="0" w:color="FFFFFF"/>
            </w:tcBorders>
            <w:shd w:val="clear" w:color="auto" w:fill="F4F4F4"/>
          </w:tcPr>
          <w:p>
            <w:pPr>
              <w:pStyle w:val="TableParagraph"/>
              <w:spacing w:before="21"/>
              <w:ind w:right="110"/>
              <w:jc w:val="right"/>
              <w:rPr>
                <w:sz w:val="19"/>
              </w:rPr>
            </w:pPr>
            <w:r>
              <w:rPr>
                <w:w w:val="95"/>
                <w:sz w:val="19"/>
              </w:rPr>
              <w:t>4,408</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AF9F9"/>
          </w:tcPr>
          <w:p>
            <w:pPr>
              <w:pStyle w:val="TableParagraph"/>
              <w:spacing w:before="21"/>
              <w:ind w:left="113"/>
              <w:rPr>
                <w:sz w:val="19"/>
              </w:rPr>
            </w:pPr>
            <w:r>
              <w:rPr>
                <w:sz w:val="19"/>
              </w:rPr>
              <w:t>Finance leases receipts</w:t>
            </w:r>
          </w:p>
        </w:tc>
        <w:tc>
          <w:tcPr>
            <w:tcW w:w="765"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19" w:type="dxa"/>
            <w:tcBorders>
              <w:bottom w:val="single" w:sz="4" w:space="0" w:color="000000"/>
            </w:tcBorders>
            <w:shd w:val="clear" w:color="auto" w:fill="E1E4BB"/>
          </w:tcPr>
          <w:p>
            <w:pPr>
              <w:pStyle w:val="TableParagraph"/>
              <w:spacing w:before="21"/>
              <w:ind w:right="110"/>
              <w:jc w:val="right"/>
              <w:rPr>
                <w:sz w:val="19"/>
              </w:rPr>
            </w:pPr>
            <w:r>
              <w:rPr>
                <w:w w:val="95"/>
                <w:sz w:val="19"/>
              </w:rPr>
              <w:t>753</w:t>
            </w:r>
          </w:p>
        </w:tc>
        <w:tc>
          <w:tcPr>
            <w:tcW w:w="1219" w:type="dxa"/>
            <w:tcBorders>
              <w:top w:val="single" w:sz="8" w:space="0" w:color="FFFFFF"/>
              <w:bottom w:val="single" w:sz="4" w:space="0" w:color="000000"/>
            </w:tcBorders>
            <w:shd w:val="clear" w:color="auto" w:fill="FAF9F9"/>
          </w:tcPr>
          <w:p>
            <w:pPr>
              <w:pStyle w:val="TableParagraph"/>
              <w:spacing w:before="21"/>
              <w:ind w:right="110"/>
              <w:jc w:val="right"/>
              <w:rPr>
                <w:sz w:val="19"/>
              </w:rPr>
            </w:pPr>
            <w:r>
              <w:rPr>
                <w:w w:val="95"/>
                <w:sz w:val="19"/>
              </w:rPr>
              <w:t>598</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before="21"/>
              <w:ind w:left="113"/>
              <w:rPr>
                <w:b/>
                <w:sz w:val="19"/>
              </w:rPr>
            </w:pPr>
            <w:r>
              <w:rPr>
                <w:b/>
                <w:sz w:val="19"/>
              </w:rPr>
              <w:t>Net cash used in financing activities</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tcBorders>
              <w:top w:val="single" w:sz="4" w:space="0" w:color="000000"/>
              <w:bottom w:val="single" w:sz="4" w:space="0" w:color="000000"/>
            </w:tcBorders>
            <w:shd w:val="clear" w:color="auto" w:fill="DFE1B8"/>
          </w:tcPr>
          <w:p>
            <w:pPr>
              <w:pStyle w:val="TableParagraph"/>
              <w:spacing w:before="21"/>
              <w:ind w:right="110"/>
              <w:jc w:val="right"/>
              <w:rPr>
                <w:b/>
                <w:sz w:val="19"/>
              </w:rPr>
            </w:pPr>
            <w:r>
              <w:rPr>
                <w:b/>
                <w:w w:val="95"/>
                <w:sz w:val="19"/>
              </w:rPr>
              <w:t>(27,014)</w:t>
            </w:r>
          </w:p>
        </w:tc>
        <w:tc>
          <w:tcPr>
            <w:tcW w:w="1219" w:type="dxa"/>
            <w:tcBorders>
              <w:top w:val="single" w:sz="4" w:space="0" w:color="000000"/>
              <w:bottom w:val="single" w:sz="4" w:space="0" w:color="000000"/>
            </w:tcBorders>
            <w:shd w:val="clear" w:color="auto" w:fill="F4F4F4"/>
          </w:tcPr>
          <w:p>
            <w:pPr>
              <w:pStyle w:val="TableParagraph"/>
              <w:spacing w:before="21"/>
              <w:ind w:right="110"/>
              <w:jc w:val="right"/>
              <w:rPr>
                <w:b/>
                <w:sz w:val="19"/>
              </w:rPr>
            </w:pPr>
            <w:r>
              <w:rPr>
                <w:b/>
                <w:w w:val="95"/>
                <w:sz w:val="19"/>
              </w:rPr>
              <w:t>(15,481)</w:t>
            </w:r>
          </w:p>
        </w:tc>
      </w:tr>
      <w:tr>
        <w:trPr>
          <w:trHeight w:val="263" w:hRule="atLeast"/>
        </w:trPr>
        <w:tc>
          <w:tcPr>
            <w:tcW w:w="4209" w:type="dxa"/>
            <w:tcBorders>
              <w:top w:val="single" w:sz="8" w:space="0" w:color="FFFFFF"/>
              <w:bottom w:val="single" w:sz="8" w:space="0" w:color="FFFFFF"/>
              <w:right w:val="single" w:sz="8" w:space="0" w:color="FFFFFF"/>
            </w:tcBorders>
            <w:shd w:val="clear" w:color="auto" w:fill="FAF9F9"/>
          </w:tcPr>
          <w:p>
            <w:pPr>
              <w:pStyle w:val="TableParagraph"/>
              <w:spacing w:before="0"/>
              <w:rPr>
                <w:rFonts w:ascii="Times New Roman"/>
                <w:sz w:val="18"/>
              </w:rPr>
            </w:pPr>
          </w:p>
        </w:tc>
        <w:tc>
          <w:tcPr>
            <w:tcW w:w="765"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19" w:type="dxa"/>
            <w:tcBorders>
              <w:top w:val="single" w:sz="4" w:space="0" w:color="000000"/>
            </w:tcBorders>
            <w:shd w:val="clear" w:color="auto" w:fill="DFE1B8"/>
          </w:tcPr>
          <w:p>
            <w:pPr>
              <w:pStyle w:val="TableParagraph"/>
              <w:spacing w:before="0"/>
              <w:rPr>
                <w:rFonts w:ascii="Times New Roman"/>
                <w:sz w:val="18"/>
              </w:rPr>
            </w:pPr>
          </w:p>
        </w:tc>
        <w:tc>
          <w:tcPr>
            <w:tcW w:w="1219" w:type="dxa"/>
            <w:tcBorders>
              <w:top w:val="single" w:sz="4" w:space="0" w:color="000000"/>
              <w:bottom w:val="single" w:sz="8" w:space="0" w:color="FFFFFF"/>
            </w:tcBorders>
            <w:shd w:val="clear" w:color="auto" w:fill="FAF9F9"/>
          </w:tcPr>
          <w:p>
            <w:pPr>
              <w:pStyle w:val="TableParagraph"/>
              <w:spacing w:before="0"/>
              <w:rPr>
                <w:rFonts w:ascii="Times New Roman"/>
                <w:sz w:val="18"/>
              </w:rPr>
            </w:pPr>
          </w:p>
        </w:tc>
      </w:tr>
      <w:tr>
        <w:trPr>
          <w:trHeight w:val="232" w:hRule="atLeast"/>
        </w:trPr>
        <w:tc>
          <w:tcPr>
            <w:tcW w:w="4209" w:type="dxa"/>
            <w:tcBorders>
              <w:top w:val="single" w:sz="8" w:space="0" w:color="FFFFFF"/>
              <w:right w:val="single" w:sz="8" w:space="0" w:color="FFFFFF"/>
            </w:tcBorders>
            <w:shd w:val="clear" w:color="auto" w:fill="F4F4F4"/>
          </w:tcPr>
          <w:p>
            <w:pPr>
              <w:pStyle w:val="TableParagraph"/>
              <w:spacing w:line="191" w:lineRule="exact" w:before="21"/>
              <w:ind w:left="113"/>
              <w:rPr>
                <w:sz w:val="19"/>
              </w:rPr>
            </w:pPr>
            <w:r>
              <w:rPr>
                <w:sz w:val="19"/>
              </w:rPr>
              <w:t>Net increase/(decrease) in cash and</w:t>
            </w:r>
          </w:p>
        </w:tc>
        <w:tc>
          <w:tcPr>
            <w:tcW w:w="765" w:type="dxa"/>
            <w:vMerge w:val="restart"/>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8"/>
              </w:rPr>
            </w:pPr>
          </w:p>
        </w:tc>
        <w:tc>
          <w:tcPr>
            <w:tcW w:w="1219" w:type="dxa"/>
            <w:shd w:val="clear" w:color="auto" w:fill="DFE1B8"/>
          </w:tcPr>
          <w:p>
            <w:pPr>
              <w:pStyle w:val="TableParagraph"/>
              <w:spacing w:line="191" w:lineRule="exact" w:before="21"/>
              <w:ind w:right="110"/>
              <w:jc w:val="right"/>
              <w:rPr>
                <w:sz w:val="19"/>
              </w:rPr>
            </w:pPr>
            <w:r>
              <w:rPr>
                <w:w w:val="95"/>
                <w:sz w:val="19"/>
              </w:rPr>
              <w:t>(24,043)</w:t>
            </w:r>
          </w:p>
        </w:tc>
        <w:tc>
          <w:tcPr>
            <w:tcW w:w="1219" w:type="dxa"/>
            <w:tcBorders>
              <w:top w:val="single" w:sz="8" w:space="0" w:color="FFFFFF"/>
            </w:tcBorders>
            <w:shd w:val="clear" w:color="auto" w:fill="F4F4F4"/>
          </w:tcPr>
          <w:p>
            <w:pPr>
              <w:pStyle w:val="TableParagraph"/>
              <w:spacing w:line="191" w:lineRule="exact" w:before="21"/>
              <w:ind w:right="110"/>
              <w:jc w:val="right"/>
              <w:rPr>
                <w:sz w:val="19"/>
              </w:rPr>
            </w:pPr>
            <w:r>
              <w:rPr>
                <w:w w:val="95"/>
                <w:sz w:val="19"/>
              </w:rPr>
              <w:t>24,439</w:t>
            </w:r>
          </w:p>
        </w:tc>
      </w:tr>
      <w:tr>
        <w:trPr>
          <w:trHeight w:val="238" w:hRule="atLeast"/>
        </w:trPr>
        <w:tc>
          <w:tcPr>
            <w:tcW w:w="4209" w:type="dxa"/>
            <w:tcBorders>
              <w:bottom w:val="single" w:sz="8" w:space="0" w:color="FFFFFF"/>
              <w:right w:val="single" w:sz="8" w:space="0" w:color="FFFFFF"/>
            </w:tcBorders>
            <w:shd w:val="clear" w:color="auto" w:fill="F4F4F4"/>
          </w:tcPr>
          <w:p>
            <w:pPr>
              <w:pStyle w:val="TableParagraph"/>
              <w:spacing w:line="216" w:lineRule="exact" w:before="0"/>
              <w:ind w:left="113"/>
              <w:rPr>
                <w:sz w:val="19"/>
              </w:rPr>
            </w:pPr>
            <w:r>
              <w:rPr>
                <w:sz w:val="19"/>
              </w:rPr>
              <w:t>cash equivalents</w:t>
            </w:r>
          </w:p>
        </w:tc>
        <w:tc>
          <w:tcPr>
            <w:tcW w:w="765" w:type="dxa"/>
            <w:vMerge/>
            <w:tcBorders>
              <w:top w:val="nil"/>
              <w:left w:val="single" w:sz="8" w:space="0" w:color="FFFFFF"/>
              <w:bottom w:val="single" w:sz="8" w:space="0" w:color="FFFFFF"/>
            </w:tcBorders>
            <w:shd w:val="clear" w:color="auto" w:fill="F4F4F4"/>
          </w:tcPr>
          <w:p>
            <w:pPr>
              <w:rPr>
                <w:sz w:val="2"/>
                <w:szCs w:val="2"/>
              </w:rPr>
            </w:pPr>
          </w:p>
        </w:tc>
        <w:tc>
          <w:tcPr>
            <w:tcW w:w="1219" w:type="dxa"/>
            <w:shd w:val="clear" w:color="auto" w:fill="DFE1B8"/>
          </w:tcPr>
          <w:p>
            <w:pPr>
              <w:pStyle w:val="TableParagraph"/>
              <w:spacing w:before="0"/>
              <w:rPr>
                <w:rFonts w:ascii="Times New Roman"/>
                <w:sz w:val="16"/>
              </w:rPr>
            </w:pPr>
          </w:p>
        </w:tc>
        <w:tc>
          <w:tcPr>
            <w:tcW w:w="1219" w:type="dxa"/>
            <w:tcBorders>
              <w:bottom w:val="single" w:sz="8" w:space="0" w:color="FFFFFF"/>
            </w:tcBorders>
            <w:shd w:val="clear" w:color="auto" w:fill="F4F4F4"/>
          </w:tcPr>
          <w:p>
            <w:pPr>
              <w:pStyle w:val="TableParagraph"/>
              <w:spacing w:before="0"/>
              <w:rPr>
                <w:rFonts w:ascii="Times New Roman"/>
                <w:sz w:val="16"/>
              </w:rPr>
            </w:pPr>
          </w:p>
        </w:tc>
      </w:tr>
      <w:tr>
        <w:trPr>
          <w:trHeight w:val="232" w:hRule="atLeast"/>
        </w:trPr>
        <w:tc>
          <w:tcPr>
            <w:tcW w:w="4209" w:type="dxa"/>
            <w:tcBorders>
              <w:top w:val="single" w:sz="8" w:space="0" w:color="FFFFFF"/>
              <w:right w:val="single" w:sz="8" w:space="0" w:color="FFFFFF"/>
            </w:tcBorders>
            <w:shd w:val="clear" w:color="auto" w:fill="FAF9F9"/>
          </w:tcPr>
          <w:p>
            <w:pPr>
              <w:pStyle w:val="TableParagraph"/>
              <w:spacing w:line="191" w:lineRule="exact" w:before="21"/>
              <w:ind w:left="113"/>
              <w:rPr>
                <w:sz w:val="19"/>
              </w:rPr>
            </w:pPr>
            <w:r>
              <w:rPr>
                <w:sz w:val="19"/>
              </w:rPr>
              <w:t>Cash and cash equivalents at the beginning</w:t>
            </w:r>
          </w:p>
        </w:tc>
        <w:tc>
          <w:tcPr>
            <w:tcW w:w="765" w:type="dxa"/>
            <w:vMerge w:val="restart"/>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8"/>
              </w:rPr>
            </w:pPr>
          </w:p>
        </w:tc>
        <w:tc>
          <w:tcPr>
            <w:tcW w:w="1219" w:type="dxa"/>
            <w:shd w:val="clear" w:color="auto" w:fill="DFE1B8"/>
          </w:tcPr>
          <w:p>
            <w:pPr>
              <w:pStyle w:val="TableParagraph"/>
              <w:spacing w:line="191" w:lineRule="exact" w:before="21"/>
              <w:ind w:right="110"/>
              <w:jc w:val="right"/>
              <w:rPr>
                <w:sz w:val="19"/>
              </w:rPr>
            </w:pPr>
            <w:r>
              <w:rPr>
                <w:w w:val="95"/>
                <w:sz w:val="19"/>
              </w:rPr>
              <w:t>98,230</w:t>
            </w:r>
          </w:p>
        </w:tc>
        <w:tc>
          <w:tcPr>
            <w:tcW w:w="1219" w:type="dxa"/>
            <w:tcBorders>
              <w:top w:val="single" w:sz="8" w:space="0" w:color="FFFFFF"/>
            </w:tcBorders>
            <w:shd w:val="clear" w:color="auto" w:fill="FAF9F9"/>
          </w:tcPr>
          <w:p>
            <w:pPr>
              <w:pStyle w:val="TableParagraph"/>
              <w:spacing w:line="191" w:lineRule="exact" w:before="21"/>
              <w:ind w:right="110"/>
              <w:jc w:val="right"/>
              <w:rPr>
                <w:sz w:val="19"/>
              </w:rPr>
            </w:pPr>
            <w:r>
              <w:rPr>
                <w:w w:val="95"/>
                <w:sz w:val="19"/>
              </w:rPr>
              <w:t>73,792</w:t>
            </w:r>
          </w:p>
        </w:tc>
      </w:tr>
      <w:tr>
        <w:trPr>
          <w:trHeight w:val="238" w:hRule="atLeast"/>
        </w:trPr>
        <w:tc>
          <w:tcPr>
            <w:tcW w:w="4209" w:type="dxa"/>
            <w:tcBorders>
              <w:bottom w:val="single" w:sz="8" w:space="0" w:color="FFFFFF"/>
              <w:right w:val="single" w:sz="8" w:space="0" w:color="FFFFFF"/>
            </w:tcBorders>
            <w:shd w:val="clear" w:color="auto" w:fill="FAF9F9"/>
          </w:tcPr>
          <w:p>
            <w:pPr>
              <w:pStyle w:val="TableParagraph"/>
              <w:spacing w:line="216" w:lineRule="exact" w:before="0"/>
              <w:ind w:left="113"/>
              <w:rPr>
                <w:sz w:val="19"/>
              </w:rPr>
            </w:pPr>
            <w:r>
              <w:rPr>
                <w:sz w:val="19"/>
              </w:rPr>
              <w:t>of the period</w:t>
            </w:r>
          </w:p>
        </w:tc>
        <w:tc>
          <w:tcPr>
            <w:tcW w:w="765" w:type="dxa"/>
            <w:vMerge/>
            <w:tcBorders>
              <w:top w:val="nil"/>
              <w:left w:val="single" w:sz="8" w:space="0" w:color="FFFFFF"/>
              <w:bottom w:val="single" w:sz="8" w:space="0" w:color="FFFFFF"/>
            </w:tcBorders>
            <w:shd w:val="clear" w:color="auto" w:fill="FAF9F9"/>
          </w:tcPr>
          <w:p>
            <w:pPr>
              <w:rPr>
                <w:sz w:val="2"/>
                <w:szCs w:val="2"/>
              </w:rPr>
            </w:pPr>
          </w:p>
        </w:tc>
        <w:tc>
          <w:tcPr>
            <w:tcW w:w="1219" w:type="dxa"/>
            <w:tcBorders>
              <w:bottom w:val="single" w:sz="4" w:space="0" w:color="000000"/>
            </w:tcBorders>
            <w:shd w:val="clear" w:color="auto" w:fill="DFE1B8"/>
          </w:tcPr>
          <w:p>
            <w:pPr>
              <w:pStyle w:val="TableParagraph"/>
              <w:spacing w:before="0"/>
              <w:rPr>
                <w:rFonts w:ascii="Times New Roman"/>
                <w:sz w:val="16"/>
              </w:rPr>
            </w:pPr>
          </w:p>
        </w:tc>
        <w:tc>
          <w:tcPr>
            <w:tcW w:w="1219" w:type="dxa"/>
            <w:tcBorders>
              <w:bottom w:val="single" w:sz="4" w:space="0" w:color="000000"/>
            </w:tcBorders>
            <w:shd w:val="clear" w:color="auto" w:fill="FAF9F9"/>
          </w:tcPr>
          <w:p>
            <w:pPr>
              <w:pStyle w:val="TableParagraph"/>
              <w:spacing w:before="0"/>
              <w:rPr>
                <w:rFonts w:ascii="Times New Roman"/>
                <w:sz w:val="16"/>
              </w:rPr>
            </w:pPr>
          </w:p>
        </w:tc>
      </w:tr>
      <w:tr>
        <w:trPr>
          <w:trHeight w:val="471" w:hRule="atLeast"/>
        </w:trPr>
        <w:tc>
          <w:tcPr>
            <w:tcW w:w="4209" w:type="dxa"/>
            <w:tcBorders>
              <w:top w:val="single" w:sz="8" w:space="0" w:color="FFFFFF"/>
              <w:bottom w:val="single" w:sz="8" w:space="0" w:color="FFFFFF"/>
              <w:right w:val="single" w:sz="8" w:space="0" w:color="FFFFFF"/>
            </w:tcBorders>
            <w:shd w:val="clear" w:color="auto" w:fill="F4F4F4"/>
          </w:tcPr>
          <w:p>
            <w:pPr>
              <w:pStyle w:val="TableParagraph"/>
              <w:spacing w:line="230" w:lineRule="atLeast" w:before="10"/>
              <w:ind w:left="113" w:right="899"/>
              <w:rPr>
                <w:b/>
                <w:sz w:val="19"/>
              </w:rPr>
            </w:pPr>
            <w:r>
              <w:rPr>
                <w:b/>
                <w:sz w:val="19"/>
              </w:rPr>
              <w:t>CASH AND CASH EQUIVALENTS AT THE END OF THE PERIOD</w:t>
            </w:r>
          </w:p>
        </w:tc>
        <w:tc>
          <w:tcPr>
            <w:tcW w:w="765" w:type="dxa"/>
            <w:tcBorders>
              <w:top w:val="single" w:sz="8" w:space="0" w:color="FFFFFF"/>
              <w:left w:val="single" w:sz="8" w:space="0" w:color="FFFFFF"/>
              <w:bottom w:val="single" w:sz="8" w:space="0" w:color="FFFFFF"/>
            </w:tcBorders>
            <w:shd w:val="clear" w:color="auto" w:fill="F4F4F4"/>
          </w:tcPr>
          <w:p>
            <w:pPr>
              <w:pStyle w:val="TableParagraph"/>
              <w:spacing w:before="21"/>
              <w:ind w:left="240" w:right="246"/>
              <w:jc w:val="center"/>
              <w:rPr>
                <w:sz w:val="19"/>
              </w:rPr>
            </w:pPr>
            <w:hyperlink w:history="true" w:anchor="_bookmark52">
              <w:r>
                <w:rPr>
                  <w:color w:val="A7BE39"/>
                  <w:sz w:val="19"/>
                  <w:u w:val="single" w:color="A7BE39"/>
                </w:rPr>
                <w:t>34</w:t>
              </w:r>
            </w:hyperlink>
          </w:p>
        </w:tc>
        <w:tc>
          <w:tcPr>
            <w:tcW w:w="1219" w:type="dxa"/>
            <w:tcBorders>
              <w:top w:val="single" w:sz="4" w:space="0" w:color="000000"/>
              <w:bottom w:val="single" w:sz="24" w:space="0" w:color="FFFFFF"/>
            </w:tcBorders>
            <w:shd w:val="clear" w:color="auto" w:fill="DFE1B8"/>
          </w:tcPr>
          <w:p>
            <w:pPr>
              <w:pStyle w:val="TableParagraph"/>
              <w:spacing w:before="21"/>
              <w:ind w:right="110"/>
              <w:jc w:val="right"/>
              <w:rPr>
                <w:b/>
                <w:sz w:val="19"/>
              </w:rPr>
            </w:pPr>
            <w:r>
              <w:rPr>
                <w:b/>
                <w:w w:val="95"/>
                <w:sz w:val="19"/>
              </w:rPr>
              <w:t>74,187</w:t>
            </w:r>
          </w:p>
        </w:tc>
        <w:tc>
          <w:tcPr>
            <w:tcW w:w="1219" w:type="dxa"/>
            <w:tcBorders>
              <w:top w:val="single" w:sz="4" w:space="0" w:color="000000"/>
              <w:bottom w:val="single" w:sz="24" w:space="0" w:color="FFFFFF"/>
            </w:tcBorders>
            <w:shd w:val="clear" w:color="auto" w:fill="F4F4F4"/>
          </w:tcPr>
          <w:p>
            <w:pPr>
              <w:pStyle w:val="TableParagraph"/>
              <w:spacing w:before="21"/>
              <w:ind w:right="110"/>
              <w:jc w:val="right"/>
              <w:rPr>
                <w:b/>
                <w:sz w:val="19"/>
              </w:rPr>
            </w:pPr>
            <w:r>
              <w:rPr>
                <w:b/>
                <w:w w:val="95"/>
                <w:sz w:val="19"/>
              </w:rPr>
              <w:t>98,230</w:t>
            </w:r>
          </w:p>
        </w:tc>
      </w:tr>
    </w:tbl>
    <w:p>
      <w:pPr>
        <w:pStyle w:val="BodyText"/>
        <w:spacing w:before="9"/>
        <w:rPr>
          <w:b/>
          <w:sz w:val="23"/>
        </w:rPr>
      </w:pPr>
      <w:r>
        <w:rPr/>
        <w:br w:type="column"/>
      </w:r>
      <w:r>
        <w:rPr>
          <w:b/>
          <w:sz w:val="23"/>
        </w:rPr>
      </w:r>
    </w:p>
    <w:p>
      <w:pPr>
        <w:spacing w:before="0"/>
        <w:ind w:left="418" w:right="0" w:firstLine="0"/>
        <w:jc w:val="left"/>
        <w:rPr>
          <w:sz w:val="19"/>
        </w:rPr>
      </w:pPr>
      <w:r>
        <w:rPr>
          <w:sz w:val="19"/>
        </w:rPr>
        <w:t>The Statement of Cash Flows should be read in conjunction with the accompanying notes.</w:t>
      </w:r>
    </w:p>
    <w:p>
      <w:pPr>
        <w:pStyle w:val="BodyText"/>
        <w:spacing w:before="7"/>
        <w:rPr>
          <w:sz w:val="20"/>
        </w:rPr>
      </w:pPr>
    </w:p>
    <w:p>
      <w:pPr>
        <w:spacing w:line="249" w:lineRule="auto" w:before="0"/>
        <w:ind w:left="577" w:right="751" w:hanging="159"/>
        <w:jc w:val="left"/>
        <w:rPr>
          <w:sz w:val="19"/>
        </w:rPr>
      </w:pPr>
      <w:r>
        <w:rPr>
          <w:position w:val="6"/>
          <w:sz w:val="10"/>
        </w:rPr>
        <w:t>(a)</w:t>
      </w:r>
      <w:r>
        <w:rPr>
          <w:spacing w:val="8"/>
          <w:position w:val="6"/>
          <w:sz w:val="10"/>
        </w:rPr>
        <w:t> </w:t>
      </w:r>
      <w:r>
        <w:rPr>
          <w:sz w:val="19"/>
        </w:rPr>
        <w:t>The</w:t>
      </w:r>
      <w:r>
        <w:rPr>
          <w:spacing w:val="-17"/>
          <w:sz w:val="19"/>
        </w:rPr>
        <w:t> </w:t>
      </w:r>
      <w:r>
        <w:rPr>
          <w:sz w:val="19"/>
        </w:rPr>
        <w:t>figure</w:t>
      </w:r>
      <w:r>
        <w:rPr>
          <w:spacing w:val="-17"/>
          <w:sz w:val="19"/>
        </w:rPr>
        <w:t> </w:t>
      </w:r>
      <w:r>
        <w:rPr>
          <w:sz w:val="19"/>
        </w:rPr>
        <w:t>for</w:t>
      </w:r>
      <w:r>
        <w:rPr>
          <w:spacing w:val="-17"/>
          <w:sz w:val="19"/>
        </w:rPr>
        <w:t> </w:t>
      </w:r>
      <w:r>
        <w:rPr>
          <w:sz w:val="19"/>
        </w:rPr>
        <w:t>2016</w:t>
      </w:r>
      <w:r>
        <w:rPr>
          <w:spacing w:val="-16"/>
          <w:sz w:val="19"/>
        </w:rPr>
        <w:t> </w:t>
      </w:r>
      <w:r>
        <w:rPr>
          <w:sz w:val="19"/>
        </w:rPr>
        <w:t>‘Supplies</w:t>
      </w:r>
      <w:r>
        <w:rPr>
          <w:spacing w:val="-17"/>
          <w:sz w:val="19"/>
        </w:rPr>
        <w:t> </w:t>
      </w:r>
      <w:r>
        <w:rPr>
          <w:sz w:val="19"/>
        </w:rPr>
        <w:t>and</w:t>
      </w:r>
      <w:r>
        <w:rPr>
          <w:spacing w:val="-17"/>
          <w:sz w:val="19"/>
        </w:rPr>
        <w:t> </w:t>
      </w:r>
      <w:r>
        <w:rPr>
          <w:sz w:val="19"/>
        </w:rPr>
        <w:t>services’</w:t>
      </w:r>
      <w:r>
        <w:rPr>
          <w:spacing w:val="-17"/>
          <w:sz w:val="19"/>
        </w:rPr>
        <w:t> </w:t>
      </w:r>
      <w:r>
        <w:rPr>
          <w:sz w:val="19"/>
        </w:rPr>
        <w:t>and</w:t>
      </w:r>
      <w:r>
        <w:rPr>
          <w:spacing w:val="-17"/>
          <w:sz w:val="19"/>
        </w:rPr>
        <w:t> </w:t>
      </w:r>
      <w:r>
        <w:rPr>
          <w:sz w:val="19"/>
        </w:rPr>
        <w:t>‘Purchase</w:t>
      </w:r>
      <w:r>
        <w:rPr>
          <w:spacing w:val="-17"/>
          <w:sz w:val="19"/>
        </w:rPr>
        <w:t> </w:t>
      </w:r>
      <w:r>
        <w:rPr>
          <w:sz w:val="19"/>
        </w:rPr>
        <w:t>of</w:t>
      </w:r>
      <w:r>
        <w:rPr>
          <w:spacing w:val="-17"/>
          <w:sz w:val="19"/>
        </w:rPr>
        <w:t> </w:t>
      </w:r>
      <w:r>
        <w:rPr>
          <w:sz w:val="19"/>
        </w:rPr>
        <w:t>non-current</w:t>
      </w:r>
      <w:r>
        <w:rPr>
          <w:spacing w:val="-17"/>
          <w:sz w:val="19"/>
        </w:rPr>
        <w:t> </w:t>
      </w:r>
      <w:r>
        <w:rPr>
          <w:sz w:val="19"/>
        </w:rPr>
        <w:t>physical</w:t>
      </w:r>
      <w:r>
        <w:rPr>
          <w:spacing w:val="-17"/>
          <w:sz w:val="19"/>
        </w:rPr>
        <w:t> </w:t>
      </w:r>
      <w:r>
        <w:rPr>
          <w:sz w:val="19"/>
        </w:rPr>
        <w:t>assets’ are</w:t>
      </w:r>
      <w:r>
        <w:rPr>
          <w:spacing w:val="-10"/>
          <w:sz w:val="19"/>
        </w:rPr>
        <w:t> </w:t>
      </w:r>
      <w:r>
        <w:rPr>
          <w:sz w:val="19"/>
        </w:rPr>
        <w:t>respectively</w:t>
      </w:r>
      <w:r>
        <w:rPr>
          <w:spacing w:val="-9"/>
          <w:sz w:val="19"/>
        </w:rPr>
        <w:t> </w:t>
      </w:r>
      <w:r>
        <w:rPr>
          <w:sz w:val="19"/>
        </w:rPr>
        <w:t>reduced</w:t>
      </w:r>
      <w:r>
        <w:rPr>
          <w:spacing w:val="-10"/>
          <w:sz w:val="19"/>
        </w:rPr>
        <w:t> </w:t>
      </w:r>
      <w:r>
        <w:rPr>
          <w:sz w:val="19"/>
        </w:rPr>
        <w:t>and</w:t>
      </w:r>
      <w:r>
        <w:rPr>
          <w:spacing w:val="-9"/>
          <w:sz w:val="19"/>
        </w:rPr>
        <w:t> </w:t>
      </w:r>
      <w:r>
        <w:rPr>
          <w:sz w:val="19"/>
        </w:rPr>
        <w:t>increased</w:t>
      </w:r>
      <w:r>
        <w:rPr>
          <w:spacing w:val="-9"/>
          <w:sz w:val="19"/>
        </w:rPr>
        <w:t> </w:t>
      </w:r>
      <w:r>
        <w:rPr>
          <w:sz w:val="19"/>
        </w:rPr>
        <w:t>by</w:t>
      </w:r>
      <w:r>
        <w:rPr>
          <w:spacing w:val="-10"/>
          <w:sz w:val="19"/>
        </w:rPr>
        <w:t> </w:t>
      </w:r>
      <w:r>
        <w:rPr>
          <w:sz w:val="19"/>
        </w:rPr>
        <w:t>$13,950,000</w:t>
      </w:r>
      <w:r>
        <w:rPr>
          <w:spacing w:val="-9"/>
          <w:sz w:val="19"/>
        </w:rPr>
        <w:t> </w:t>
      </w:r>
      <w:r>
        <w:rPr>
          <w:sz w:val="19"/>
        </w:rPr>
        <w:t>as</w:t>
      </w:r>
      <w:r>
        <w:rPr>
          <w:spacing w:val="-9"/>
          <w:sz w:val="19"/>
        </w:rPr>
        <w:t> </w:t>
      </w:r>
      <w:r>
        <w:rPr>
          <w:sz w:val="19"/>
        </w:rPr>
        <w:t>result</w:t>
      </w:r>
      <w:r>
        <w:rPr>
          <w:spacing w:val="-10"/>
          <w:sz w:val="19"/>
        </w:rPr>
        <w:t> </w:t>
      </w:r>
      <w:r>
        <w:rPr>
          <w:sz w:val="19"/>
        </w:rPr>
        <w:t>of</w:t>
      </w:r>
      <w:r>
        <w:rPr>
          <w:spacing w:val="-9"/>
          <w:sz w:val="19"/>
        </w:rPr>
        <w:t> </w:t>
      </w:r>
      <w:r>
        <w:rPr>
          <w:sz w:val="19"/>
        </w:rPr>
        <w:t>capitalisation</w:t>
      </w:r>
    </w:p>
    <w:p>
      <w:pPr>
        <w:spacing w:before="2"/>
        <w:ind w:left="577" w:right="0" w:firstLine="0"/>
        <w:jc w:val="left"/>
        <w:rPr>
          <w:sz w:val="19"/>
        </w:rPr>
      </w:pPr>
      <w:r>
        <w:rPr>
          <w:sz w:val="19"/>
        </w:rPr>
        <w:t>of construction projects.</w:t>
      </w:r>
    </w:p>
    <w:p>
      <w:pPr>
        <w:spacing w:after="0"/>
        <w:jc w:val="left"/>
        <w:rPr>
          <w:sz w:val="19"/>
        </w:rPr>
        <w:sectPr>
          <w:type w:val="continuous"/>
          <w:pgSz w:w="16840" w:h="11910" w:orient="landscape"/>
          <w:pgMar w:top="0" w:bottom="0" w:left="0" w:right="0"/>
          <w:cols w:num="2" w:equalWidth="0">
            <w:col w:w="8178" w:space="40"/>
            <w:col w:w="8622"/>
          </w:cols>
        </w:sectPr>
      </w:pPr>
    </w:p>
    <w:p>
      <w:pPr>
        <w:tabs>
          <w:tab w:pos="14432" w:val="left" w:leader="none"/>
        </w:tabs>
        <w:spacing w:line="240" w:lineRule="auto"/>
        <w:ind w:left="9621" w:right="-58" w:firstLine="0"/>
        <w:rPr>
          <w:sz w:val="20"/>
        </w:rPr>
      </w:pPr>
      <w:bookmarkStart w:name="_bookmark24" w:id="25"/>
      <w:bookmarkEnd w:id="25"/>
      <w:r>
        <w:rPr/>
      </w: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rPr>
          <w:sz w:val="20"/>
        </w:rPr>
      </w:pPr>
    </w:p>
    <w:p>
      <w:pPr>
        <w:pStyle w:val="BodyText"/>
        <w:spacing w:before="7"/>
        <w:rPr>
          <w:sz w:val="21"/>
        </w:rPr>
      </w:pPr>
    </w:p>
    <w:p>
      <w:pPr>
        <w:pStyle w:val="Heading2"/>
      </w:pPr>
      <w:r>
        <w:rPr/>
        <w:pict>
          <v:group style="position:absolute;margin-left:763.172119pt;margin-top:-13.941721pt;width:61.1pt;height:45.2pt;mso-position-horizontal-relative:page;mso-position-vertical-relative:paragraph;z-index:11080" coordorigin="15263,-279" coordsize="1222,904">
            <v:shape style="position:absolute;left:15424;top:-279;width:900;height:904" coordorigin="15424,-279" coordsize="900,904" path="m15874,-279l15424,171,15424,174,15874,624,16324,174,16324,171,15874,-279xe" filled="true" fillcolor="#c4cd71" stroked="false">
              <v:path arrowok="t"/>
              <v:fill type="solid"/>
            </v:shape>
            <v:shape style="position:absolute;left:15263;top:11;width:161;height:322" type="#_x0000_t75" stroked="false">
              <v:imagedata r:id="rId16" o:title=""/>
            </v:shape>
            <v:shape style="position:absolute;left:16324;top:11;width:161;height:322" type="#_x0000_t75" stroked="false">
              <v:imagedata r:id="rId11" o:title=""/>
            </v:shape>
            <v:shape style="position:absolute;left:15263;top:-279;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67.721718pt;width:481.1pt;height:42.55pt;mso-position-horizontal-relative:page;mso-position-vertical-relative:paragraph;z-index:11200" coordorigin="0,-1354" coordsize="9622,851">
            <v:rect style="position:absolute;left:7216;top:-1355;width:2406;height:851" filled="true" fillcolor="#e6e7e8" stroked="false">
              <v:fill type="solid"/>
            </v:rect>
            <v:shape style="position:absolute;left:7216;top:-1355;width:583;height:583" type="#_x0000_t75" stroked="false">
              <v:imagedata r:id="rId174" o:title=""/>
            </v:shape>
            <v:shape style="position:absolute;left:7217;top:-1355;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355;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355;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355;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67.721718pt;width:120.3pt;height:42.55pt;mso-position-horizontal-relative:page;mso-position-vertical-relative:paragraph;z-index:11224"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rPr>
        <w:t>Schedule of Income and Expenses by</w:t>
      </w:r>
      <w:r>
        <w:rPr>
          <w:color w:val="6F2770"/>
          <w:spacing w:val="-89"/>
        </w:rPr>
        <w:t> </w:t>
      </w:r>
      <w:r>
        <w:rPr>
          <w:color w:val="6F2770"/>
        </w:rPr>
        <w:t>Service</w:t>
      </w:r>
    </w:p>
    <w:p>
      <w:pPr>
        <w:pStyle w:val="Heading4"/>
        <w:spacing w:before="28" w:after="56"/>
      </w:pPr>
      <w:r>
        <w:rPr>
          <w:color w:val="A7BE39"/>
        </w:rPr>
        <w:t>For the year ended 30 June 2017</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1"/>
        <w:gridCol w:w="1049"/>
        <w:gridCol w:w="445"/>
        <w:gridCol w:w="604"/>
        <w:gridCol w:w="1049"/>
        <w:gridCol w:w="464"/>
        <w:gridCol w:w="585"/>
        <w:gridCol w:w="1049"/>
        <w:gridCol w:w="445"/>
        <w:gridCol w:w="604"/>
        <w:gridCol w:w="1049"/>
        <w:gridCol w:w="464"/>
        <w:gridCol w:w="585"/>
        <w:gridCol w:w="1049"/>
        <w:gridCol w:w="464"/>
        <w:gridCol w:w="585"/>
        <w:gridCol w:w="1049"/>
        <w:gridCol w:w="295"/>
        <w:gridCol w:w="753"/>
      </w:tblGrid>
      <w:tr>
        <w:trPr>
          <w:trHeight w:val="306" w:hRule="atLeast"/>
        </w:trPr>
        <w:tc>
          <w:tcPr>
            <w:tcW w:w="2721" w:type="dxa"/>
            <w:vMerge w:val="restart"/>
            <w:shd w:val="clear" w:color="auto" w:fill="783A79"/>
          </w:tcPr>
          <w:p>
            <w:pPr>
              <w:pStyle w:val="TableParagraph"/>
              <w:spacing w:before="0"/>
              <w:rPr>
                <w:rFonts w:ascii="Times New Roman"/>
                <w:sz w:val="20"/>
              </w:rPr>
            </w:pPr>
          </w:p>
        </w:tc>
        <w:tc>
          <w:tcPr>
            <w:tcW w:w="1494" w:type="dxa"/>
            <w:gridSpan w:val="2"/>
            <w:shd w:val="clear" w:color="auto" w:fill="783A79"/>
          </w:tcPr>
          <w:p>
            <w:pPr>
              <w:pStyle w:val="TableParagraph"/>
              <w:spacing w:before="47"/>
              <w:ind w:left="633"/>
              <w:rPr>
                <w:b/>
                <w:sz w:val="19"/>
              </w:rPr>
            </w:pPr>
            <w:r>
              <w:rPr>
                <w:b/>
                <w:color w:val="FFFFFF"/>
                <w:sz w:val="19"/>
              </w:rPr>
              <w:t>Service 1</w:t>
            </w:r>
          </w:p>
        </w:tc>
        <w:tc>
          <w:tcPr>
            <w:tcW w:w="604" w:type="dxa"/>
            <w:shd w:val="clear" w:color="auto" w:fill="783A79"/>
          </w:tcPr>
          <w:p>
            <w:pPr>
              <w:pStyle w:val="TableParagraph"/>
              <w:spacing w:before="0"/>
              <w:rPr>
                <w:rFonts w:ascii="Times New Roman"/>
                <w:sz w:val="20"/>
              </w:rPr>
            </w:pPr>
          </w:p>
        </w:tc>
        <w:tc>
          <w:tcPr>
            <w:tcW w:w="1513" w:type="dxa"/>
            <w:gridSpan w:val="2"/>
            <w:shd w:val="clear" w:color="auto" w:fill="783A79"/>
          </w:tcPr>
          <w:p>
            <w:pPr>
              <w:pStyle w:val="TableParagraph"/>
              <w:spacing w:before="47"/>
              <w:ind w:left="633"/>
              <w:rPr>
                <w:b/>
                <w:sz w:val="19"/>
              </w:rPr>
            </w:pPr>
            <w:r>
              <w:rPr>
                <w:b/>
                <w:color w:val="FFFFFF"/>
                <w:sz w:val="19"/>
              </w:rPr>
              <w:t>Service 2</w:t>
            </w:r>
          </w:p>
        </w:tc>
        <w:tc>
          <w:tcPr>
            <w:tcW w:w="585" w:type="dxa"/>
            <w:shd w:val="clear" w:color="auto" w:fill="783A79"/>
          </w:tcPr>
          <w:p>
            <w:pPr>
              <w:pStyle w:val="TableParagraph"/>
              <w:spacing w:before="0"/>
              <w:rPr>
                <w:rFonts w:ascii="Times New Roman"/>
                <w:sz w:val="20"/>
              </w:rPr>
            </w:pPr>
          </w:p>
        </w:tc>
        <w:tc>
          <w:tcPr>
            <w:tcW w:w="1494" w:type="dxa"/>
            <w:gridSpan w:val="2"/>
            <w:shd w:val="clear" w:color="auto" w:fill="783A79"/>
          </w:tcPr>
          <w:p>
            <w:pPr>
              <w:pStyle w:val="TableParagraph"/>
              <w:spacing w:before="47"/>
              <w:ind w:left="632"/>
              <w:rPr>
                <w:b/>
                <w:sz w:val="19"/>
              </w:rPr>
            </w:pPr>
            <w:r>
              <w:rPr>
                <w:b/>
                <w:color w:val="FFFFFF"/>
                <w:sz w:val="19"/>
              </w:rPr>
              <w:t>Service 3</w:t>
            </w:r>
          </w:p>
        </w:tc>
        <w:tc>
          <w:tcPr>
            <w:tcW w:w="604" w:type="dxa"/>
            <w:shd w:val="clear" w:color="auto" w:fill="783A79"/>
          </w:tcPr>
          <w:p>
            <w:pPr>
              <w:pStyle w:val="TableParagraph"/>
              <w:spacing w:before="0"/>
              <w:rPr>
                <w:rFonts w:ascii="Times New Roman"/>
                <w:sz w:val="20"/>
              </w:rPr>
            </w:pPr>
          </w:p>
        </w:tc>
        <w:tc>
          <w:tcPr>
            <w:tcW w:w="1513" w:type="dxa"/>
            <w:gridSpan w:val="2"/>
            <w:shd w:val="clear" w:color="auto" w:fill="783A79"/>
          </w:tcPr>
          <w:p>
            <w:pPr>
              <w:pStyle w:val="TableParagraph"/>
              <w:spacing w:before="47"/>
              <w:ind w:left="632"/>
              <w:rPr>
                <w:b/>
                <w:sz w:val="19"/>
              </w:rPr>
            </w:pPr>
            <w:r>
              <w:rPr>
                <w:b/>
                <w:color w:val="FFFFFF"/>
                <w:sz w:val="19"/>
              </w:rPr>
              <w:t>Service 4</w:t>
            </w:r>
          </w:p>
        </w:tc>
        <w:tc>
          <w:tcPr>
            <w:tcW w:w="585" w:type="dxa"/>
            <w:shd w:val="clear" w:color="auto" w:fill="783A79"/>
          </w:tcPr>
          <w:p>
            <w:pPr>
              <w:pStyle w:val="TableParagraph"/>
              <w:spacing w:before="0"/>
              <w:rPr>
                <w:rFonts w:ascii="Times New Roman"/>
                <w:sz w:val="20"/>
              </w:rPr>
            </w:pPr>
          </w:p>
        </w:tc>
        <w:tc>
          <w:tcPr>
            <w:tcW w:w="1513" w:type="dxa"/>
            <w:gridSpan w:val="2"/>
            <w:shd w:val="clear" w:color="auto" w:fill="783A79"/>
          </w:tcPr>
          <w:p>
            <w:pPr>
              <w:pStyle w:val="TableParagraph"/>
              <w:spacing w:before="47"/>
              <w:ind w:left="632"/>
              <w:rPr>
                <w:b/>
                <w:sz w:val="19"/>
              </w:rPr>
            </w:pPr>
            <w:r>
              <w:rPr>
                <w:b/>
                <w:color w:val="FFFFFF"/>
                <w:sz w:val="19"/>
              </w:rPr>
              <w:t>Service 5</w:t>
            </w:r>
          </w:p>
        </w:tc>
        <w:tc>
          <w:tcPr>
            <w:tcW w:w="585" w:type="dxa"/>
            <w:shd w:val="clear" w:color="auto" w:fill="783A79"/>
          </w:tcPr>
          <w:p>
            <w:pPr>
              <w:pStyle w:val="TableParagraph"/>
              <w:spacing w:before="0"/>
              <w:rPr>
                <w:rFonts w:ascii="Times New Roman"/>
                <w:sz w:val="20"/>
              </w:rPr>
            </w:pPr>
          </w:p>
        </w:tc>
        <w:tc>
          <w:tcPr>
            <w:tcW w:w="1344" w:type="dxa"/>
            <w:gridSpan w:val="2"/>
            <w:shd w:val="clear" w:color="auto" w:fill="783A79"/>
          </w:tcPr>
          <w:p>
            <w:pPr>
              <w:pStyle w:val="TableParagraph"/>
              <w:spacing w:before="47"/>
              <w:ind w:left="829"/>
              <w:rPr>
                <w:b/>
                <w:sz w:val="19"/>
              </w:rPr>
            </w:pPr>
            <w:r>
              <w:rPr>
                <w:b/>
                <w:color w:val="FFFFFF"/>
                <w:sz w:val="19"/>
              </w:rPr>
              <w:t>Total</w:t>
            </w:r>
          </w:p>
        </w:tc>
        <w:tc>
          <w:tcPr>
            <w:tcW w:w="753" w:type="dxa"/>
            <w:shd w:val="clear" w:color="auto" w:fill="783A79"/>
          </w:tcPr>
          <w:p>
            <w:pPr>
              <w:pStyle w:val="TableParagraph"/>
              <w:spacing w:before="0"/>
              <w:rPr>
                <w:rFonts w:ascii="Times New Roman"/>
                <w:sz w:val="20"/>
              </w:rPr>
            </w:pPr>
          </w:p>
        </w:tc>
      </w:tr>
      <w:tr>
        <w:trPr>
          <w:trHeight w:val="266" w:hRule="atLeast"/>
        </w:trPr>
        <w:tc>
          <w:tcPr>
            <w:tcW w:w="2721" w:type="dxa"/>
            <w:vMerge/>
            <w:tcBorders>
              <w:top w:val="nil"/>
            </w:tcBorders>
            <w:shd w:val="clear" w:color="auto" w:fill="783A79"/>
          </w:tcPr>
          <w:p>
            <w:pPr>
              <w:rPr>
                <w:sz w:val="2"/>
                <w:szCs w:val="2"/>
              </w:rPr>
            </w:pPr>
          </w:p>
        </w:tc>
        <w:tc>
          <w:tcPr>
            <w:tcW w:w="1494" w:type="dxa"/>
            <w:gridSpan w:val="2"/>
            <w:shd w:val="clear" w:color="auto" w:fill="783A79"/>
          </w:tcPr>
          <w:p>
            <w:pPr>
              <w:pStyle w:val="TableParagraph"/>
              <w:spacing w:line="200" w:lineRule="exact" w:before="46"/>
              <w:ind w:left="493" w:right="536"/>
              <w:jc w:val="center"/>
              <w:rPr>
                <w:b/>
                <w:sz w:val="19"/>
              </w:rPr>
            </w:pPr>
            <w:r>
              <w:rPr>
                <w:b/>
                <w:color w:val="FFFFFF"/>
                <w:sz w:val="19"/>
              </w:rPr>
              <w:t>2017</w:t>
            </w:r>
          </w:p>
        </w:tc>
        <w:tc>
          <w:tcPr>
            <w:tcW w:w="604" w:type="dxa"/>
            <w:shd w:val="clear" w:color="auto" w:fill="783A79"/>
          </w:tcPr>
          <w:p>
            <w:pPr>
              <w:pStyle w:val="TableParagraph"/>
              <w:spacing w:line="200" w:lineRule="exact" w:before="46"/>
              <w:ind w:left="67"/>
              <w:rPr>
                <w:b/>
                <w:sz w:val="19"/>
              </w:rPr>
            </w:pPr>
            <w:r>
              <w:rPr>
                <w:b/>
                <w:color w:val="FFFFFF"/>
                <w:sz w:val="19"/>
              </w:rPr>
              <w:t>2016</w:t>
            </w:r>
          </w:p>
        </w:tc>
        <w:tc>
          <w:tcPr>
            <w:tcW w:w="1513" w:type="dxa"/>
            <w:gridSpan w:val="2"/>
            <w:shd w:val="clear" w:color="auto" w:fill="783A79"/>
          </w:tcPr>
          <w:p>
            <w:pPr>
              <w:pStyle w:val="TableParagraph"/>
              <w:spacing w:line="200" w:lineRule="exact" w:before="46"/>
              <w:ind w:left="492" w:right="555"/>
              <w:jc w:val="center"/>
              <w:rPr>
                <w:b/>
                <w:sz w:val="19"/>
              </w:rPr>
            </w:pPr>
            <w:r>
              <w:rPr>
                <w:b/>
                <w:color w:val="FFFFFF"/>
                <w:sz w:val="19"/>
              </w:rPr>
              <w:t>2017</w:t>
            </w:r>
          </w:p>
        </w:tc>
        <w:tc>
          <w:tcPr>
            <w:tcW w:w="585" w:type="dxa"/>
            <w:shd w:val="clear" w:color="auto" w:fill="783A79"/>
          </w:tcPr>
          <w:p>
            <w:pPr>
              <w:pStyle w:val="TableParagraph"/>
              <w:spacing w:line="200" w:lineRule="exact" w:before="46"/>
              <w:ind w:left="48"/>
              <w:rPr>
                <w:b/>
                <w:sz w:val="19"/>
              </w:rPr>
            </w:pPr>
            <w:r>
              <w:rPr>
                <w:b/>
                <w:color w:val="FFFFFF"/>
                <w:sz w:val="19"/>
              </w:rPr>
              <w:t>2016</w:t>
            </w:r>
          </w:p>
        </w:tc>
        <w:tc>
          <w:tcPr>
            <w:tcW w:w="1494" w:type="dxa"/>
            <w:gridSpan w:val="2"/>
            <w:shd w:val="clear" w:color="auto" w:fill="783A79"/>
          </w:tcPr>
          <w:p>
            <w:pPr>
              <w:pStyle w:val="TableParagraph"/>
              <w:spacing w:line="200" w:lineRule="exact" w:before="46"/>
              <w:ind w:left="493" w:right="537"/>
              <w:jc w:val="center"/>
              <w:rPr>
                <w:b/>
                <w:sz w:val="19"/>
              </w:rPr>
            </w:pPr>
            <w:r>
              <w:rPr>
                <w:b/>
                <w:color w:val="FFFFFF"/>
                <w:sz w:val="19"/>
              </w:rPr>
              <w:t>2017</w:t>
            </w:r>
          </w:p>
        </w:tc>
        <w:tc>
          <w:tcPr>
            <w:tcW w:w="604" w:type="dxa"/>
            <w:shd w:val="clear" w:color="auto" w:fill="783A79"/>
          </w:tcPr>
          <w:p>
            <w:pPr>
              <w:pStyle w:val="TableParagraph"/>
              <w:spacing w:line="200" w:lineRule="exact" w:before="46"/>
              <w:ind w:left="48" w:right="93"/>
              <w:jc w:val="center"/>
              <w:rPr>
                <w:b/>
                <w:sz w:val="19"/>
              </w:rPr>
            </w:pPr>
            <w:r>
              <w:rPr>
                <w:b/>
                <w:color w:val="FFFFFF"/>
                <w:sz w:val="19"/>
              </w:rPr>
              <w:t>2016</w:t>
            </w:r>
          </w:p>
        </w:tc>
        <w:tc>
          <w:tcPr>
            <w:tcW w:w="1513" w:type="dxa"/>
            <w:gridSpan w:val="2"/>
            <w:shd w:val="clear" w:color="auto" w:fill="783A79"/>
          </w:tcPr>
          <w:p>
            <w:pPr>
              <w:pStyle w:val="TableParagraph"/>
              <w:spacing w:line="200" w:lineRule="exact" w:before="46"/>
              <w:ind w:left="492" w:right="556"/>
              <w:jc w:val="center"/>
              <w:rPr>
                <w:b/>
                <w:sz w:val="19"/>
              </w:rPr>
            </w:pPr>
            <w:r>
              <w:rPr>
                <w:b/>
                <w:color w:val="FFFFFF"/>
                <w:sz w:val="19"/>
              </w:rPr>
              <w:t>2017</w:t>
            </w:r>
          </w:p>
        </w:tc>
        <w:tc>
          <w:tcPr>
            <w:tcW w:w="585" w:type="dxa"/>
            <w:shd w:val="clear" w:color="auto" w:fill="783A79"/>
          </w:tcPr>
          <w:p>
            <w:pPr>
              <w:pStyle w:val="TableParagraph"/>
              <w:spacing w:line="200" w:lineRule="exact" w:before="46"/>
              <w:ind w:left="28" w:right="93"/>
              <w:jc w:val="center"/>
              <w:rPr>
                <w:b/>
                <w:sz w:val="19"/>
              </w:rPr>
            </w:pPr>
            <w:r>
              <w:rPr>
                <w:b/>
                <w:color w:val="FFFFFF"/>
                <w:sz w:val="19"/>
              </w:rPr>
              <w:t>2016</w:t>
            </w:r>
          </w:p>
        </w:tc>
        <w:tc>
          <w:tcPr>
            <w:tcW w:w="1513" w:type="dxa"/>
            <w:gridSpan w:val="2"/>
            <w:shd w:val="clear" w:color="auto" w:fill="783A79"/>
          </w:tcPr>
          <w:p>
            <w:pPr>
              <w:pStyle w:val="TableParagraph"/>
              <w:spacing w:line="200" w:lineRule="exact" w:before="46"/>
              <w:ind w:left="491" w:right="556"/>
              <w:jc w:val="center"/>
              <w:rPr>
                <w:b/>
                <w:sz w:val="19"/>
              </w:rPr>
            </w:pPr>
            <w:r>
              <w:rPr>
                <w:b/>
                <w:color w:val="FFFFFF"/>
                <w:sz w:val="19"/>
              </w:rPr>
              <w:t>2017</w:t>
            </w:r>
          </w:p>
        </w:tc>
        <w:tc>
          <w:tcPr>
            <w:tcW w:w="585" w:type="dxa"/>
            <w:shd w:val="clear" w:color="auto" w:fill="783A79"/>
          </w:tcPr>
          <w:p>
            <w:pPr>
              <w:pStyle w:val="TableParagraph"/>
              <w:spacing w:line="200" w:lineRule="exact" w:before="46"/>
              <w:ind w:left="47"/>
              <w:rPr>
                <w:b/>
                <w:sz w:val="19"/>
              </w:rPr>
            </w:pPr>
            <w:r>
              <w:rPr>
                <w:b/>
                <w:color w:val="FFFFFF"/>
                <w:sz w:val="19"/>
              </w:rPr>
              <w:t>2016</w:t>
            </w:r>
          </w:p>
        </w:tc>
        <w:tc>
          <w:tcPr>
            <w:tcW w:w="1344" w:type="dxa"/>
            <w:gridSpan w:val="2"/>
            <w:shd w:val="clear" w:color="auto" w:fill="783A79"/>
          </w:tcPr>
          <w:p>
            <w:pPr>
              <w:pStyle w:val="TableParagraph"/>
              <w:spacing w:line="200" w:lineRule="exact" w:before="46"/>
              <w:ind w:left="511"/>
              <w:rPr>
                <w:b/>
                <w:sz w:val="19"/>
              </w:rPr>
            </w:pPr>
            <w:r>
              <w:rPr>
                <w:b/>
                <w:color w:val="FFFFFF"/>
                <w:sz w:val="19"/>
              </w:rPr>
              <w:t>2017</w:t>
            </w:r>
          </w:p>
        </w:tc>
        <w:tc>
          <w:tcPr>
            <w:tcW w:w="753" w:type="dxa"/>
            <w:shd w:val="clear" w:color="auto" w:fill="783A79"/>
          </w:tcPr>
          <w:p>
            <w:pPr>
              <w:pStyle w:val="TableParagraph"/>
              <w:spacing w:line="200" w:lineRule="exact" w:before="46"/>
              <w:ind w:right="112"/>
              <w:jc w:val="right"/>
              <w:rPr>
                <w:b/>
                <w:sz w:val="19"/>
              </w:rPr>
            </w:pPr>
            <w:r>
              <w:rPr>
                <w:b/>
                <w:color w:val="FFFFFF"/>
                <w:w w:val="95"/>
                <w:sz w:val="19"/>
              </w:rPr>
              <w:t>2016</w:t>
            </w:r>
          </w:p>
        </w:tc>
      </w:tr>
      <w:tr>
        <w:trPr>
          <w:trHeight w:val="270" w:hRule="atLeast"/>
        </w:trPr>
        <w:tc>
          <w:tcPr>
            <w:tcW w:w="2721" w:type="dxa"/>
            <w:vMerge/>
            <w:tcBorders>
              <w:top w:val="nil"/>
            </w:tcBorders>
            <w:shd w:val="clear" w:color="auto" w:fill="783A79"/>
          </w:tcPr>
          <w:p>
            <w:pPr>
              <w:rPr>
                <w:sz w:val="2"/>
                <w:szCs w:val="2"/>
              </w:rPr>
            </w:pPr>
          </w:p>
        </w:tc>
        <w:tc>
          <w:tcPr>
            <w:tcW w:w="1494" w:type="dxa"/>
            <w:gridSpan w:val="2"/>
            <w:shd w:val="clear" w:color="auto" w:fill="783A79"/>
          </w:tcPr>
          <w:p>
            <w:pPr>
              <w:pStyle w:val="TableParagraph"/>
              <w:spacing w:before="7"/>
              <w:ind w:left="493" w:right="536"/>
              <w:jc w:val="center"/>
              <w:rPr>
                <w:b/>
                <w:sz w:val="19"/>
              </w:rPr>
            </w:pPr>
            <w:r>
              <w:rPr>
                <w:b/>
                <w:color w:val="FFFFFF"/>
                <w:sz w:val="19"/>
              </w:rPr>
              <w:t>$000</w:t>
            </w:r>
          </w:p>
        </w:tc>
        <w:tc>
          <w:tcPr>
            <w:tcW w:w="604" w:type="dxa"/>
            <w:shd w:val="clear" w:color="auto" w:fill="783A79"/>
          </w:tcPr>
          <w:p>
            <w:pPr>
              <w:pStyle w:val="TableParagraph"/>
              <w:spacing w:before="7"/>
              <w:ind w:left="67"/>
              <w:rPr>
                <w:b/>
                <w:sz w:val="19"/>
              </w:rPr>
            </w:pPr>
            <w:r>
              <w:rPr>
                <w:b/>
                <w:color w:val="FFFFFF"/>
                <w:sz w:val="19"/>
              </w:rPr>
              <w:t>$000</w:t>
            </w:r>
          </w:p>
        </w:tc>
        <w:tc>
          <w:tcPr>
            <w:tcW w:w="1513" w:type="dxa"/>
            <w:gridSpan w:val="2"/>
            <w:shd w:val="clear" w:color="auto" w:fill="783A79"/>
          </w:tcPr>
          <w:p>
            <w:pPr>
              <w:pStyle w:val="TableParagraph"/>
              <w:spacing w:before="7"/>
              <w:ind w:left="492" w:right="555"/>
              <w:jc w:val="center"/>
              <w:rPr>
                <w:b/>
                <w:sz w:val="19"/>
              </w:rPr>
            </w:pPr>
            <w:r>
              <w:rPr>
                <w:b/>
                <w:color w:val="FFFFFF"/>
                <w:sz w:val="19"/>
              </w:rPr>
              <w:t>$000</w:t>
            </w:r>
          </w:p>
        </w:tc>
        <w:tc>
          <w:tcPr>
            <w:tcW w:w="585" w:type="dxa"/>
            <w:shd w:val="clear" w:color="auto" w:fill="783A79"/>
          </w:tcPr>
          <w:p>
            <w:pPr>
              <w:pStyle w:val="TableParagraph"/>
              <w:spacing w:before="7"/>
              <w:ind w:left="48"/>
              <w:rPr>
                <w:b/>
                <w:sz w:val="19"/>
              </w:rPr>
            </w:pPr>
            <w:r>
              <w:rPr>
                <w:b/>
                <w:color w:val="FFFFFF"/>
                <w:sz w:val="19"/>
              </w:rPr>
              <w:t>$000</w:t>
            </w:r>
          </w:p>
        </w:tc>
        <w:tc>
          <w:tcPr>
            <w:tcW w:w="1494" w:type="dxa"/>
            <w:gridSpan w:val="2"/>
            <w:shd w:val="clear" w:color="auto" w:fill="783A79"/>
          </w:tcPr>
          <w:p>
            <w:pPr>
              <w:pStyle w:val="TableParagraph"/>
              <w:spacing w:before="7"/>
              <w:ind w:left="493" w:right="537"/>
              <w:jc w:val="center"/>
              <w:rPr>
                <w:b/>
                <w:sz w:val="19"/>
              </w:rPr>
            </w:pPr>
            <w:r>
              <w:rPr>
                <w:b/>
                <w:color w:val="FFFFFF"/>
                <w:sz w:val="19"/>
              </w:rPr>
              <w:t>$000</w:t>
            </w:r>
          </w:p>
        </w:tc>
        <w:tc>
          <w:tcPr>
            <w:tcW w:w="604" w:type="dxa"/>
            <w:shd w:val="clear" w:color="auto" w:fill="783A79"/>
          </w:tcPr>
          <w:p>
            <w:pPr>
              <w:pStyle w:val="TableParagraph"/>
              <w:spacing w:before="7"/>
              <w:ind w:left="48" w:right="93"/>
              <w:jc w:val="center"/>
              <w:rPr>
                <w:b/>
                <w:sz w:val="19"/>
              </w:rPr>
            </w:pPr>
            <w:r>
              <w:rPr>
                <w:b/>
                <w:color w:val="FFFFFF"/>
                <w:sz w:val="19"/>
              </w:rPr>
              <w:t>$000</w:t>
            </w:r>
          </w:p>
        </w:tc>
        <w:tc>
          <w:tcPr>
            <w:tcW w:w="1513" w:type="dxa"/>
            <w:gridSpan w:val="2"/>
            <w:shd w:val="clear" w:color="auto" w:fill="783A79"/>
          </w:tcPr>
          <w:p>
            <w:pPr>
              <w:pStyle w:val="TableParagraph"/>
              <w:spacing w:before="7"/>
              <w:ind w:left="492" w:right="556"/>
              <w:jc w:val="center"/>
              <w:rPr>
                <w:b/>
                <w:sz w:val="19"/>
              </w:rPr>
            </w:pPr>
            <w:r>
              <w:rPr>
                <w:b/>
                <w:color w:val="FFFFFF"/>
                <w:sz w:val="19"/>
              </w:rPr>
              <w:t>$000</w:t>
            </w:r>
          </w:p>
        </w:tc>
        <w:tc>
          <w:tcPr>
            <w:tcW w:w="585" w:type="dxa"/>
            <w:shd w:val="clear" w:color="auto" w:fill="783A79"/>
          </w:tcPr>
          <w:p>
            <w:pPr>
              <w:pStyle w:val="TableParagraph"/>
              <w:spacing w:before="7"/>
              <w:ind w:left="28" w:right="93"/>
              <w:jc w:val="center"/>
              <w:rPr>
                <w:b/>
                <w:sz w:val="19"/>
              </w:rPr>
            </w:pPr>
            <w:r>
              <w:rPr>
                <w:b/>
                <w:color w:val="FFFFFF"/>
                <w:sz w:val="19"/>
              </w:rPr>
              <w:t>$000</w:t>
            </w:r>
          </w:p>
        </w:tc>
        <w:tc>
          <w:tcPr>
            <w:tcW w:w="1513" w:type="dxa"/>
            <w:gridSpan w:val="2"/>
            <w:shd w:val="clear" w:color="auto" w:fill="783A79"/>
          </w:tcPr>
          <w:p>
            <w:pPr>
              <w:pStyle w:val="TableParagraph"/>
              <w:spacing w:before="7"/>
              <w:ind w:left="491" w:right="556"/>
              <w:jc w:val="center"/>
              <w:rPr>
                <w:b/>
                <w:sz w:val="19"/>
              </w:rPr>
            </w:pPr>
            <w:r>
              <w:rPr>
                <w:b/>
                <w:color w:val="FFFFFF"/>
                <w:sz w:val="19"/>
              </w:rPr>
              <w:t>$000</w:t>
            </w:r>
          </w:p>
        </w:tc>
        <w:tc>
          <w:tcPr>
            <w:tcW w:w="585" w:type="dxa"/>
            <w:shd w:val="clear" w:color="auto" w:fill="783A79"/>
          </w:tcPr>
          <w:p>
            <w:pPr>
              <w:pStyle w:val="TableParagraph"/>
              <w:spacing w:before="7"/>
              <w:ind w:left="47"/>
              <w:rPr>
                <w:b/>
                <w:sz w:val="19"/>
              </w:rPr>
            </w:pPr>
            <w:r>
              <w:rPr>
                <w:b/>
                <w:color w:val="FFFFFF"/>
                <w:sz w:val="19"/>
              </w:rPr>
              <w:t>$000</w:t>
            </w:r>
          </w:p>
        </w:tc>
        <w:tc>
          <w:tcPr>
            <w:tcW w:w="1344" w:type="dxa"/>
            <w:gridSpan w:val="2"/>
            <w:shd w:val="clear" w:color="auto" w:fill="783A79"/>
          </w:tcPr>
          <w:p>
            <w:pPr>
              <w:pStyle w:val="TableParagraph"/>
              <w:spacing w:before="7"/>
              <w:ind w:left="511"/>
              <w:rPr>
                <w:b/>
                <w:sz w:val="19"/>
              </w:rPr>
            </w:pPr>
            <w:r>
              <w:rPr>
                <w:b/>
                <w:color w:val="FFFFFF"/>
                <w:sz w:val="19"/>
              </w:rPr>
              <w:t>$000</w:t>
            </w:r>
          </w:p>
        </w:tc>
        <w:tc>
          <w:tcPr>
            <w:tcW w:w="753" w:type="dxa"/>
            <w:shd w:val="clear" w:color="auto" w:fill="783A79"/>
          </w:tcPr>
          <w:p>
            <w:pPr>
              <w:pStyle w:val="TableParagraph"/>
              <w:spacing w:before="7"/>
              <w:ind w:right="112"/>
              <w:jc w:val="right"/>
              <w:rPr>
                <w:b/>
                <w:sz w:val="19"/>
              </w:rPr>
            </w:pPr>
            <w:r>
              <w:rPr>
                <w:b/>
                <w:color w:val="FFFFFF"/>
                <w:w w:val="95"/>
                <w:sz w:val="19"/>
              </w:rPr>
              <w:t>$000</w:t>
            </w:r>
          </w:p>
        </w:tc>
      </w:tr>
      <w:tr>
        <w:trPr>
          <w:trHeight w:val="317" w:hRule="atLeast"/>
        </w:trPr>
        <w:tc>
          <w:tcPr>
            <w:tcW w:w="2721" w:type="dxa"/>
            <w:tcBorders>
              <w:bottom w:val="single" w:sz="8" w:space="0" w:color="FFFFFF"/>
            </w:tcBorders>
            <w:shd w:val="clear" w:color="auto" w:fill="F4F4F4"/>
          </w:tcPr>
          <w:p>
            <w:pPr>
              <w:pStyle w:val="TableParagraph"/>
              <w:spacing w:before="42"/>
              <w:ind w:left="113"/>
              <w:rPr>
                <w:b/>
                <w:sz w:val="19"/>
              </w:rPr>
            </w:pPr>
            <w:r>
              <w:rPr>
                <w:b/>
                <w:sz w:val="19"/>
              </w:rPr>
              <w:t>COST OF SERVICES</w:t>
            </w:r>
          </w:p>
        </w:tc>
        <w:tc>
          <w:tcPr>
            <w:tcW w:w="1049" w:type="dxa"/>
            <w:shd w:val="clear" w:color="auto" w:fill="E1E4BB"/>
          </w:tcPr>
          <w:p>
            <w:pPr>
              <w:pStyle w:val="TableParagraph"/>
              <w:spacing w:before="0"/>
              <w:rPr>
                <w:rFonts w:ascii="Times New Roman"/>
                <w:sz w:val="20"/>
              </w:rPr>
            </w:pP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8" w:type="dxa"/>
            <w:gridSpan w:val="2"/>
            <w:tcBorders>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ind w:left="113"/>
              <w:rPr>
                <w:i/>
                <w:sz w:val="19"/>
              </w:rPr>
            </w:pPr>
            <w:r>
              <w:rPr>
                <w:i/>
                <w:color w:val="A7BE39"/>
                <w:sz w:val="19"/>
              </w:rPr>
              <w:t>Expenses</w:t>
            </w:r>
          </w:p>
        </w:tc>
        <w:tc>
          <w:tcPr>
            <w:tcW w:w="1049" w:type="dxa"/>
            <w:shd w:val="clear" w:color="auto" w:fill="E1E4BB"/>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8" w:type="dxa"/>
            <w:gridSpan w:val="2"/>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2721" w:type="dxa"/>
            <w:tcBorders>
              <w:top w:val="single" w:sz="8" w:space="0" w:color="FFFFFF"/>
              <w:bottom w:val="single" w:sz="8" w:space="0" w:color="FFFFFF"/>
            </w:tcBorders>
            <w:shd w:val="clear" w:color="auto" w:fill="F4F4F4"/>
          </w:tcPr>
          <w:p>
            <w:pPr>
              <w:pStyle w:val="TableParagraph"/>
              <w:ind w:left="113"/>
              <w:rPr>
                <w:sz w:val="19"/>
              </w:rPr>
            </w:pPr>
            <w:r>
              <w:rPr>
                <w:sz w:val="19"/>
              </w:rPr>
              <w:t>Employee benefits expense</w:t>
            </w:r>
          </w:p>
        </w:tc>
        <w:tc>
          <w:tcPr>
            <w:tcW w:w="1049" w:type="dxa"/>
            <w:shd w:val="clear" w:color="auto" w:fill="E1E4BB"/>
          </w:tcPr>
          <w:p>
            <w:pPr>
              <w:pStyle w:val="TableParagraph"/>
              <w:ind w:right="115"/>
              <w:jc w:val="right"/>
              <w:rPr>
                <w:sz w:val="19"/>
              </w:rPr>
            </w:pPr>
            <w:r>
              <w:rPr>
                <w:w w:val="95"/>
                <w:sz w:val="19"/>
              </w:rPr>
              <w:t>31,335</w:t>
            </w:r>
          </w:p>
        </w:tc>
        <w:tc>
          <w:tcPr>
            <w:tcW w:w="1049" w:type="dxa"/>
            <w:gridSpan w:val="2"/>
            <w:tcBorders>
              <w:top w:val="single" w:sz="8" w:space="0" w:color="FFFFFF"/>
              <w:bottom w:val="single" w:sz="8" w:space="0" w:color="FFFFFF"/>
            </w:tcBorders>
            <w:shd w:val="clear" w:color="auto" w:fill="F4F4F4"/>
          </w:tcPr>
          <w:p>
            <w:pPr>
              <w:pStyle w:val="TableParagraph"/>
              <w:ind w:left="373"/>
              <w:rPr>
                <w:sz w:val="19"/>
              </w:rPr>
            </w:pPr>
            <w:r>
              <w:rPr>
                <w:sz w:val="19"/>
              </w:rPr>
              <w:t>30,412</w:t>
            </w:r>
          </w:p>
        </w:tc>
        <w:tc>
          <w:tcPr>
            <w:tcW w:w="1049" w:type="dxa"/>
            <w:shd w:val="clear" w:color="auto" w:fill="E1E4BB"/>
          </w:tcPr>
          <w:p>
            <w:pPr>
              <w:pStyle w:val="TableParagraph"/>
              <w:ind w:right="115"/>
              <w:jc w:val="right"/>
              <w:rPr>
                <w:sz w:val="19"/>
              </w:rPr>
            </w:pPr>
            <w:r>
              <w:rPr>
                <w:w w:val="95"/>
                <w:sz w:val="19"/>
              </w:rPr>
              <w:t>21,439</w:t>
            </w:r>
          </w:p>
        </w:tc>
        <w:tc>
          <w:tcPr>
            <w:tcW w:w="1049" w:type="dxa"/>
            <w:gridSpan w:val="2"/>
            <w:tcBorders>
              <w:top w:val="single" w:sz="8" w:space="0" w:color="FFFFFF"/>
              <w:bottom w:val="single" w:sz="8" w:space="0" w:color="FFFFFF"/>
            </w:tcBorders>
            <w:shd w:val="clear" w:color="auto" w:fill="F4F4F4"/>
          </w:tcPr>
          <w:p>
            <w:pPr>
              <w:pStyle w:val="TableParagraph"/>
              <w:ind w:left="372"/>
              <w:rPr>
                <w:sz w:val="19"/>
              </w:rPr>
            </w:pPr>
            <w:r>
              <w:rPr>
                <w:sz w:val="19"/>
              </w:rPr>
              <w:t>30,922</w:t>
            </w:r>
          </w:p>
        </w:tc>
        <w:tc>
          <w:tcPr>
            <w:tcW w:w="1049" w:type="dxa"/>
            <w:shd w:val="clear" w:color="auto" w:fill="E1E4BB"/>
          </w:tcPr>
          <w:p>
            <w:pPr>
              <w:pStyle w:val="TableParagraph"/>
              <w:ind w:right="116"/>
              <w:jc w:val="right"/>
              <w:rPr>
                <w:sz w:val="19"/>
              </w:rPr>
            </w:pPr>
            <w:r>
              <w:rPr>
                <w:w w:val="95"/>
                <w:sz w:val="19"/>
              </w:rPr>
              <w:t>3,937</w:t>
            </w:r>
          </w:p>
        </w:tc>
        <w:tc>
          <w:tcPr>
            <w:tcW w:w="1049" w:type="dxa"/>
            <w:gridSpan w:val="2"/>
            <w:tcBorders>
              <w:top w:val="single" w:sz="8" w:space="0" w:color="FFFFFF"/>
              <w:bottom w:val="single" w:sz="8" w:space="0" w:color="FFFFFF"/>
            </w:tcBorders>
            <w:shd w:val="clear" w:color="auto" w:fill="F4F4F4"/>
          </w:tcPr>
          <w:p>
            <w:pPr>
              <w:pStyle w:val="TableParagraph"/>
              <w:ind w:left="474"/>
              <w:rPr>
                <w:sz w:val="19"/>
              </w:rPr>
            </w:pPr>
            <w:r>
              <w:rPr>
                <w:sz w:val="19"/>
              </w:rPr>
              <w:t>3,858</w:t>
            </w:r>
          </w:p>
        </w:tc>
        <w:tc>
          <w:tcPr>
            <w:tcW w:w="1049" w:type="dxa"/>
            <w:shd w:val="clear" w:color="auto" w:fill="E1E4BB"/>
          </w:tcPr>
          <w:p>
            <w:pPr>
              <w:pStyle w:val="TableParagraph"/>
              <w:ind w:right="116"/>
              <w:jc w:val="right"/>
              <w:rPr>
                <w:sz w:val="19"/>
              </w:rPr>
            </w:pPr>
            <w:r>
              <w:rPr>
                <w:w w:val="95"/>
                <w:sz w:val="19"/>
              </w:rPr>
              <w:t>47,914</w:t>
            </w:r>
          </w:p>
        </w:tc>
        <w:tc>
          <w:tcPr>
            <w:tcW w:w="1049" w:type="dxa"/>
            <w:gridSpan w:val="2"/>
            <w:tcBorders>
              <w:top w:val="single" w:sz="8" w:space="0" w:color="FFFFFF"/>
              <w:bottom w:val="single" w:sz="8" w:space="0" w:color="FFFFFF"/>
            </w:tcBorders>
            <w:shd w:val="clear" w:color="auto" w:fill="F4F4F4"/>
          </w:tcPr>
          <w:p>
            <w:pPr>
              <w:pStyle w:val="TableParagraph"/>
              <w:ind w:left="372"/>
              <w:rPr>
                <w:sz w:val="19"/>
              </w:rPr>
            </w:pPr>
            <w:r>
              <w:rPr>
                <w:sz w:val="19"/>
              </w:rPr>
              <w:t>53,831</w:t>
            </w:r>
          </w:p>
        </w:tc>
        <w:tc>
          <w:tcPr>
            <w:tcW w:w="1049" w:type="dxa"/>
            <w:shd w:val="clear" w:color="auto" w:fill="E1E4BB"/>
          </w:tcPr>
          <w:p>
            <w:pPr>
              <w:pStyle w:val="TableParagraph"/>
              <w:ind w:right="116"/>
              <w:jc w:val="right"/>
              <w:rPr>
                <w:sz w:val="19"/>
              </w:rPr>
            </w:pPr>
            <w:r>
              <w:rPr>
                <w:w w:val="95"/>
                <w:sz w:val="19"/>
              </w:rPr>
              <w:t>9,874</w:t>
            </w:r>
          </w:p>
        </w:tc>
        <w:tc>
          <w:tcPr>
            <w:tcW w:w="1049" w:type="dxa"/>
            <w:gridSpan w:val="2"/>
            <w:tcBorders>
              <w:top w:val="single" w:sz="8" w:space="0" w:color="FFFFFF"/>
              <w:bottom w:val="single" w:sz="8" w:space="0" w:color="FFFFFF"/>
            </w:tcBorders>
            <w:shd w:val="clear" w:color="auto" w:fill="F4F4F4"/>
          </w:tcPr>
          <w:p>
            <w:pPr>
              <w:pStyle w:val="TableParagraph"/>
              <w:ind w:left="371"/>
              <w:rPr>
                <w:sz w:val="19"/>
              </w:rPr>
            </w:pPr>
            <w:r>
              <w:rPr>
                <w:sz w:val="19"/>
              </w:rPr>
              <w:t>10,430</w:t>
            </w:r>
          </w:p>
        </w:tc>
        <w:tc>
          <w:tcPr>
            <w:tcW w:w="1049" w:type="dxa"/>
            <w:shd w:val="clear" w:color="auto" w:fill="E1E4BB"/>
          </w:tcPr>
          <w:p>
            <w:pPr>
              <w:pStyle w:val="TableParagraph"/>
              <w:ind w:right="117"/>
              <w:jc w:val="right"/>
              <w:rPr>
                <w:sz w:val="19"/>
              </w:rPr>
            </w:pPr>
            <w:r>
              <w:rPr>
                <w:w w:val="95"/>
                <w:sz w:val="19"/>
              </w:rPr>
              <w:t>114,499</w:t>
            </w:r>
          </w:p>
        </w:tc>
        <w:tc>
          <w:tcPr>
            <w:tcW w:w="1048" w:type="dxa"/>
            <w:gridSpan w:val="2"/>
            <w:tcBorders>
              <w:top w:val="single" w:sz="8" w:space="0" w:color="FFFFFF"/>
              <w:bottom w:val="single" w:sz="8" w:space="0" w:color="FFFFFF"/>
            </w:tcBorders>
            <w:shd w:val="clear" w:color="auto" w:fill="F4F4F4"/>
          </w:tcPr>
          <w:p>
            <w:pPr>
              <w:pStyle w:val="TableParagraph"/>
              <w:ind w:left="269"/>
              <w:rPr>
                <w:sz w:val="19"/>
              </w:rPr>
            </w:pPr>
            <w:r>
              <w:rPr>
                <w:sz w:val="19"/>
              </w:rPr>
              <w:t>129,453</w:t>
            </w: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ind w:left="112"/>
              <w:rPr>
                <w:sz w:val="19"/>
              </w:rPr>
            </w:pPr>
            <w:r>
              <w:rPr>
                <w:sz w:val="19"/>
              </w:rPr>
              <w:t>Supplies and services</w:t>
            </w:r>
          </w:p>
        </w:tc>
        <w:tc>
          <w:tcPr>
            <w:tcW w:w="1049" w:type="dxa"/>
            <w:shd w:val="clear" w:color="auto" w:fill="E1E4BB"/>
          </w:tcPr>
          <w:p>
            <w:pPr>
              <w:pStyle w:val="TableParagraph"/>
              <w:ind w:right="115"/>
              <w:jc w:val="right"/>
              <w:rPr>
                <w:sz w:val="19"/>
              </w:rPr>
            </w:pPr>
            <w:r>
              <w:rPr>
                <w:w w:val="95"/>
                <w:sz w:val="19"/>
              </w:rPr>
              <w:t>17,621</w:t>
            </w:r>
          </w:p>
        </w:tc>
        <w:tc>
          <w:tcPr>
            <w:tcW w:w="1049" w:type="dxa"/>
            <w:gridSpan w:val="2"/>
            <w:tcBorders>
              <w:top w:val="single" w:sz="8" w:space="0" w:color="FFFFFF"/>
              <w:bottom w:val="single" w:sz="8" w:space="0" w:color="FFFFFF"/>
            </w:tcBorders>
            <w:shd w:val="clear" w:color="auto" w:fill="FAF9F9"/>
          </w:tcPr>
          <w:p>
            <w:pPr>
              <w:pStyle w:val="TableParagraph"/>
              <w:ind w:left="373"/>
              <w:rPr>
                <w:sz w:val="19"/>
              </w:rPr>
            </w:pPr>
            <w:r>
              <w:rPr>
                <w:sz w:val="19"/>
              </w:rPr>
              <w:t>18,126</w:t>
            </w:r>
          </w:p>
        </w:tc>
        <w:tc>
          <w:tcPr>
            <w:tcW w:w="1049" w:type="dxa"/>
            <w:shd w:val="clear" w:color="auto" w:fill="E1E4BB"/>
          </w:tcPr>
          <w:p>
            <w:pPr>
              <w:pStyle w:val="TableParagraph"/>
              <w:ind w:right="115"/>
              <w:jc w:val="right"/>
              <w:rPr>
                <w:sz w:val="19"/>
              </w:rPr>
            </w:pPr>
            <w:r>
              <w:rPr>
                <w:w w:val="95"/>
                <w:sz w:val="19"/>
              </w:rPr>
              <w:t>8,970</w:t>
            </w:r>
          </w:p>
        </w:tc>
        <w:tc>
          <w:tcPr>
            <w:tcW w:w="1049" w:type="dxa"/>
            <w:gridSpan w:val="2"/>
            <w:tcBorders>
              <w:top w:val="single" w:sz="8" w:space="0" w:color="FFFFFF"/>
              <w:bottom w:val="single" w:sz="8" w:space="0" w:color="FFFFFF"/>
            </w:tcBorders>
            <w:shd w:val="clear" w:color="auto" w:fill="FAF9F9"/>
          </w:tcPr>
          <w:p>
            <w:pPr>
              <w:pStyle w:val="TableParagraph"/>
              <w:ind w:left="372"/>
              <w:rPr>
                <w:sz w:val="19"/>
              </w:rPr>
            </w:pPr>
            <w:r>
              <w:rPr>
                <w:sz w:val="19"/>
              </w:rPr>
              <w:t>11,822</w:t>
            </w:r>
          </w:p>
        </w:tc>
        <w:tc>
          <w:tcPr>
            <w:tcW w:w="1049" w:type="dxa"/>
            <w:shd w:val="clear" w:color="auto" w:fill="E1E4BB"/>
          </w:tcPr>
          <w:p>
            <w:pPr>
              <w:pStyle w:val="TableParagraph"/>
              <w:ind w:right="116"/>
              <w:jc w:val="right"/>
              <w:rPr>
                <w:sz w:val="19"/>
              </w:rPr>
            </w:pPr>
            <w:r>
              <w:rPr>
                <w:w w:val="95"/>
                <w:sz w:val="19"/>
              </w:rPr>
              <w:t>2,309</w:t>
            </w:r>
          </w:p>
        </w:tc>
        <w:tc>
          <w:tcPr>
            <w:tcW w:w="1049" w:type="dxa"/>
            <w:gridSpan w:val="2"/>
            <w:tcBorders>
              <w:top w:val="single" w:sz="8" w:space="0" w:color="FFFFFF"/>
              <w:bottom w:val="single" w:sz="8" w:space="0" w:color="FFFFFF"/>
            </w:tcBorders>
            <w:shd w:val="clear" w:color="auto" w:fill="FAF9F9"/>
          </w:tcPr>
          <w:p>
            <w:pPr>
              <w:pStyle w:val="TableParagraph"/>
              <w:ind w:left="474"/>
              <w:rPr>
                <w:sz w:val="19"/>
              </w:rPr>
            </w:pPr>
            <w:r>
              <w:rPr>
                <w:sz w:val="19"/>
              </w:rPr>
              <w:t>1,598</w:t>
            </w:r>
          </w:p>
        </w:tc>
        <w:tc>
          <w:tcPr>
            <w:tcW w:w="1049" w:type="dxa"/>
            <w:shd w:val="clear" w:color="auto" w:fill="E1E4BB"/>
          </w:tcPr>
          <w:p>
            <w:pPr>
              <w:pStyle w:val="TableParagraph"/>
              <w:ind w:right="116"/>
              <w:jc w:val="right"/>
              <w:rPr>
                <w:sz w:val="19"/>
              </w:rPr>
            </w:pPr>
            <w:r>
              <w:rPr>
                <w:w w:val="95"/>
                <w:sz w:val="19"/>
              </w:rPr>
              <w:t>937,751</w:t>
            </w:r>
          </w:p>
        </w:tc>
        <w:tc>
          <w:tcPr>
            <w:tcW w:w="1049" w:type="dxa"/>
            <w:gridSpan w:val="2"/>
            <w:tcBorders>
              <w:top w:val="single" w:sz="8" w:space="0" w:color="FFFFFF"/>
              <w:bottom w:val="single" w:sz="8" w:space="0" w:color="FFFFFF"/>
            </w:tcBorders>
            <w:shd w:val="clear" w:color="auto" w:fill="FAF9F9"/>
          </w:tcPr>
          <w:p>
            <w:pPr>
              <w:pStyle w:val="TableParagraph"/>
              <w:ind w:left="270"/>
              <w:rPr>
                <w:sz w:val="19"/>
              </w:rPr>
            </w:pPr>
            <w:r>
              <w:rPr>
                <w:sz w:val="19"/>
              </w:rPr>
              <w:t>829,950</w:t>
            </w:r>
          </w:p>
        </w:tc>
        <w:tc>
          <w:tcPr>
            <w:tcW w:w="1049" w:type="dxa"/>
            <w:shd w:val="clear" w:color="auto" w:fill="E1E4BB"/>
          </w:tcPr>
          <w:p>
            <w:pPr>
              <w:pStyle w:val="TableParagraph"/>
              <w:ind w:right="117"/>
              <w:jc w:val="right"/>
              <w:rPr>
                <w:sz w:val="19"/>
              </w:rPr>
            </w:pPr>
            <w:r>
              <w:rPr>
                <w:w w:val="95"/>
                <w:sz w:val="19"/>
              </w:rPr>
              <w:t>4,679</w:t>
            </w:r>
          </w:p>
        </w:tc>
        <w:tc>
          <w:tcPr>
            <w:tcW w:w="1049" w:type="dxa"/>
            <w:gridSpan w:val="2"/>
            <w:tcBorders>
              <w:top w:val="single" w:sz="8" w:space="0" w:color="FFFFFF"/>
              <w:bottom w:val="single" w:sz="8" w:space="0" w:color="FFFFFF"/>
            </w:tcBorders>
            <w:shd w:val="clear" w:color="auto" w:fill="FAF9F9"/>
          </w:tcPr>
          <w:p>
            <w:pPr>
              <w:pStyle w:val="TableParagraph"/>
              <w:ind w:left="473"/>
              <w:rPr>
                <w:sz w:val="19"/>
              </w:rPr>
            </w:pPr>
            <w:r>
              <w:rPr>
                <w:sz w:val="19"/>
              </w:rPr>
              <w:t>8,991</w:t>
            </w:r>
          </w:p>
        </w:tc>
        <w:tc>
          <w:tcPr>
            <w:tcW w:w="1049" w:type="dxa"/>
            <w:shd w:val="clear" w:color="auto" w:fill="E1E4BB"/>
          </w:tcPr>
          <w:p>
            <w:pPr>
              <w:pStyle w:val="TableParagraph"/>
              <w:ind w:right="117"/>
              <w:jc w:val="right"/>
              <w:rPr>
                <w:sz w:val="19"/>
              </w:rPr>
            </w:pPr>
            <w:r>
              <w:rPr>
                <w:w w:val="95"/>
                <w:sz w:val="19"/>
              </w:rPr>
              <w:t>971,330</w:t>
            </w:r>
          </w:p>
        </w:tc>
        <w:tc>
          <w:tcPr>
            <w:tcW w:w="1048" w:type="dxa"/>
            <w:gridSpan w:val="2"/>
            <w:tcBorders>
              <w:top w:val="single" w:sz="8" w:space="0" w:color="FFFFFF"/>
              <w:bottom w:val="single" w:sz="8" w:space="0" w:color="FFFFFF"/>
            </w:tcBorders>
            <w:shd w:val="clear" w:color="auto" w:fill="FAF9F9"/>
          </w:tcPr>
          <w:p>
            <w:pPr>
              <w:pStyle w:val="TableParagraph"/>
              <w:ind w:left="269"/>
              <w:rPr>
                <w:sz w:val="19"/>
              </w:rPr>
            </w:pPr>
            <w:r>
              <w:rPr>
                <w:sz w:val="19"/>
              </w:rPr>
              <w:t>870,487</w:t>
            </w:r>
          </w:p>
        </w:tc>
      </w:tr>
      <w:tr>
        <w:trPr>
          <w:trHeight w:val="513" w:hRule="atLeast"/>
        </w:trPr>
        <w:tc>
          <w:tcPr>
            <w:tcW w:w="2721" w:type="dxa"/>
            <w:tcBorders>
              <w:top w:val="single" w:sz="8" w:space="0" w:color="FFFFFF"/>
              <w:bottom w:val="single" w:sz="8" w:space="0" w:color="FFFFFF"/>
            </w:tcBorders>
            <w:shd w:val="clear" w:color="auto" w:fill="F4F4F4"/>
          </w:tcPr>
          <w:p>
            <w:pPr>
              <w:pStyle w:val="TableParagraph"/>
              <w:spacing w:line="249" w:lineRule="auto"/>
              <w:ind w:left="112" w:right="632"/>
              <w:rPr>
                <w:sz w:val="19"/>
              </w:rPr>
            </w:pPr>
            <w:r>
              <w:rPr>
                <w:sz w:val="19"/>
              </w:rPr>
              <w:t>Depreciation and </w:t>
            </w:r>
            <w:r>
              <w:rPr>
                <w:w w:val="95"/>
                <w:sz w:val="19"/>
              </w:rPr>
              <w:t>amortisation expense</w:t>
            </w:r>
          </w:p>
        </w:tc>
        <w:tc>
          <w:tcPr>
            <w:tcW w:w="1049" w:type="dxa"/>
            <w:shd w:val="clear" w:color="auto" w:fill="E1E4BB"/>
          </w:tcPr>
          <w:p>
            <w:pPr>
              <w:pStyle w:val="TableParagraph"/>
              <w:ind w:right="115"/>
              <w:jc w:val="right"/>
              <w:rPr>
                <w:sz w:val="19"/>
              </w:rPr>
            </w:pPr>
            <w:r>
              <w:rPr>
                <w:w w:val="95"/>
                <w:sz w:val="19"/>
              </w:rPr>
              <w:t>2,984</w:t>
            </w:r>
          </w:p>
        </w:tc>
        <w:tc>
          <w:tcPr>
            <w:tcW w:w="1049" w:type="dxa"/>
            <w:gridSpan w:val="2"/>
            <w:tcBorders>
              <w:top w:val="single" w:sz="8" w:space="0" w:color="FFFFFF"/>
              <w:bottom w:val="single" w:sz="8" w:space="0" w:color="FFFFFF"/>
            </w:tcBorders>
            <w:shd w:val="clear" w:color="auto" w:fill="F4F4F4"/>
          </w:tcPr>
          <w:p>
            <w:pPr>
              <w:pStyle w:val="TableParagraph"/>
              <w:ind w:left="474"/>
              <w:rPr>
                <w:sz w:val="19"/>
              </w:rPr>
            </w:pPr>
            <w:r>
              <w:rPr>
                <w:sz w:val="19"/>
              </w:rPr>
              <w:t>3,363</w:t>
            </w:r>
          </w:p>
        </w:tc>
        <w:tc>
          <w:tcPr>
            <w:tcW w:w="1049" w:type="dxa"/>
            <w:shd w:val="clear" w:color="auto" w:fill="E1E4BB"/>
          </w:tcPr>
          <w:p>
            <w:pPr>
              <w:pStyle w:val="TableParagraph"/>
              <w:ind w:right="116"/>
              <w:jc w:val="right"/>
              <w:rPr>
                <w:sz w:val="19"/>
              </w:rPr>
            </w:pPr>
            <w:r>
              <w:rPr>
                <w:w w:val="95"/>
                <w:sz w:val="19"/>
              </w:rPr>
              <w:t>42,866</w:t>
            </w:r>
          </w:p>
        </w:tc>
        <w:tc>
          <w:tcPr>
            <w:tcW w:w="1049" w:type="dxa"/>
            <w:gridSpan w:val="2"/>
            <w:tcBorders>
              <w:top w:val="single" w:sz="8" w:space="0" w:color="FFFFFF"/>
              <w:bottom w:val="single" w:sz="8" w:space="0" w:color="FFFFFF"/>
            </w:tcBorders>
            <w:shd w:val="clear" w:color="auto" w:fill="F4F4F4"/>
          </w:tcPr>
          <w:p>
            <w:pPr>
              <w:pStyle w:val="TableParagraph"/>
              <w:ind w:left="372"/>
              <w:rPr>
                <w:sz w:val="19"/>
              </w:rPr>
            </w:pPr>
            <w:r>
              <w:rPr>
                <w:sz w:val="19"/>
              </w:rPr>
              <w:t>47,507</w:t>
            </w:r>
          </w:p>
        </w:tc>
        <w:tc>
          <w:tcPr>
            <w:tcW w:w="1049" w:type="dxa"/>
            <w:shd w:val="clear" w:color="auto" w:fill="E1E4BB"/>
          </w:tcPr>
          <w:p>
            <w:pPr>
              <w:pStyle w:val="TableParagraph"/>
              <w:ind w:right="116"/>
              <w:jc w:val="right"/>
              <w:rPr>
                <w:sz w:val="19"/>
              </w:rPr>
            </w:pPr>
            <w:r>
              <w:rPr>
                <w:w w:val="95"/>
                <w:sz w:val="19"/>
              </w:rPr>
              <w:t>453</w:t>
            </w:r>
          </w:p>
        </w:tc>
        <w:tc>
          <w:tcPr>
            <w:tcW w:w="1049" w:type="dxa"/>
            <w:gridSpan w:val="2"/>
            <w:tcBorders>
              <w:top w:val="single" w:sz="8" w:space="0" w:color="FFFFFF"/>
              <w:bottom w:val="single" w:sz="8" w:space="0" w:color="FFFFFF"/>
            </w:tcBorders>
            <w:shd w:val="clear" w:color="auto" w:fill="F4F4F4"/>
          </w:tcPr>
          <w:p>
            <w:pPr>
              <w:pStyle w:val="TableParagraph"/>
              <w:ind w:left="473"/>
              <w:rPr>
                <w:sz w:val="19"/>
              </w:rPr>
            </w:pPr>
            <w:r>
              <w:rPr>
                <w:sz w:val="19"/>
              </w:rPr>
              <w:t>1,027</w:t>
            </w:r>
          </w:p>
        </w:tc>
        <w:tc>
          <w:tcPr>
            <w:tcW w:w="1049" w:type="dxa"/>
            <w:shd w:val="clear" w:color="auto" w:fill="E1E4BB"/>
          </w:tcPr>
          <w:p>
            <w:pPr>
              <w:pStyle w:val="TableParagraph"/>
              <w:ind w:right="116"/>
              <w:jc w:val="right"/>
              <w:rPr>
                <w:sz w:val="19"/>
              </w:rPr>
            </w:pPr>
            <w:r>
              <w:rPr>
                <w:w w:val="95"/>
                <w:sz w:val="19"/>
              </w:rPr>
              <w:t>25,085</w:t>
            </w:r>
          </w:p>
        </w:tc>
        <w:tc>
          <w:tcPr>
            <w:tcW w:w="1049" w:type="dxa"/>
            <w:gridSpan w:val="2"/>
            <w:tcBorders>
              <w:top w:val="single" w:sz="8" w:space="0" w:color="FFFFFF"/>
              <w:bottom w:val="single" w:sz="8" w:space="0" w:color="FFFFFF"/>
            </w:tcBorders>
            <w:shd w:val="clear" w:color="auto" w:fill="F4F4F4"/>
          </w:tcPr>
          <w:p>
            <w:pPr>
              <w:pStyle w:val="TableParagraph"/>
              <w:ind w:left="371"/>
              <w:rPr>
                <w:sz w:val="19"/>
              </w:rPr>
            </w:pPr>
            <w:r>
              <w:rPr>
                <w:sz w:val="19"/>
              </w:rPr>
              <w:t>26,884</w:t>
            </w:r>
          </w:p>
        </w:tc>
        <w:tc>
          <w:tcPr>
            <w:tcW w:w="1049" w:type="dxa"/>
            <w:shd w:val="clear" w:color="auto" w:fill="E1E4BB"/>
          </w:tcPr>
          <w:p>
            <w:pPr>
              <w:pStyle w:val="TableParagraph"/>
              <w:ind w:right="117"/>
              <w:jc w:val="right"/>
              <w:rPr>
                <w:sz w:val="19"/>
              </w:rPr>
            </w:pPr>
            <w:r>
              <w:rPr>
                <w:w w:val="95"/>
                <w:sz w:val="19"/>
              </w:rPr>
              <w:t>125</w:t>
            </w:r>
          </w:p>
        </w:tc>
        <w:tc>
          <w:tcPr>
            <w:tcW w:w="1049" w:type="dxa"/>
            <w:gridSpan w:val="2"/>
            <w:tcBorders>
              <w:top w:val="single" w:sz="8" w:space="0" w:color="FFFFFF"/>
              <w:bottom w:val="single" w:sz="8" w:space="0" w:color="FFFFFF"/>
            </w:tcBorders>
            <w:shd w:val="clear" w:color="auto" w:fill="F4F4F4"/>
          </w:tcPr>
          <w:p>
            <w:pPr>
              <w:pStyle w:val="TableParagraph"/>
              <w:ind w:left="624"/>
              <w:rPr>
                <w:sz w:val="19"/>
              </w:rPr>
            </w:pPr>
            <w:r>
              <w:rPr>
                <w:sz w:val="19"/>
              </w:rPr>
              <w:t>250</w:t>
            </w:r>
          </w:p>
        </w:tc>
        <w:tc>
          <w:tcPr>
            <w:tcW w:w="1049" w:type="dxa"/>
            <w:shd w:val="clear" w:color="auto" w:fill="E1E4BB"/>
          </w:tcPr>
          <w:p>
            <w:pPr>
              <w:pStyle w:val="TableParagraph"/>
              <w:ind w:right="117"/>
              <w:jc w:val="right"/>
              <w:rPr>
                <w:sz w:val="19"/>
              </w:rPr>
            </w:pPr>
            <w:r>
              <w:rPr>
                <w:w w:val="95"/>
                <w:sz w:val="19"/>
              </w:rPr>
              <w:t>71,513</w:t>
            </w:r>
          </w:p>
        </w:tc>
        <w:tc>
          <w:tcPr>
            <w:tcW w:w="1048" w:type="dxa"/>
            <w:gridSpan w:val="2"/>
            <w:tcBorders>
              <w:top w:val="single" w:sz="8" w:space="0" w:color="FFFFFF"/>
              <w:bottom w:val="single" w:sz="8" w:space="0" w:color="FFFFFF"/>
            </w:tcBorders>
            <w:shd w:val="clear" w:color="auto" w:fill="F4F4F4"/>
          </w:tcPr>
          <w:p>
            <w:pPr>
              <w:pStyle w:val="TableParagraph"/>
              <w:ind w:left="370"/>
              <w:rPr>
                <w:sz w:val="19"/>
              </w:rPr>
            </w:pPr>
            <w:r>
              <w:rPr>
                <w:sz w:val="19"/>
              </w:rPr>
              <w:t>79,031</w:t>
            </w: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ind w:left="112"/>
              <w:rPr>
                <w:sz w:val="19"/>
              </w:rPr>
            </w:pPr>
            <w:r>
              <w:rPr>
                <w:sz w:val="19"/>
              </w:rPr>
              <w:t>Finance costs</w:t>
            </w:r>
          </w:p>
        </w:tc>
        <w:tc>
          <w:tcPr>
            <w:tcW w:w="1049" w:type="dxa"/>
            <w:shd w:val="clear" w:color="auto" w:fill="E1E4BB"/>
          </w:tcPr>
          <w:p>
            <w:pPr>
              <w:pStyle w:val="TableParagraph"/>
              <w:ind w:right="112"/>
              <w:jc w:val="right"/>
              <w:rPr>
                <w:sz w:val="19"/>
              </w:rPr>
            </w:pPr>
            <w:r>
              <w:rPr>
                <w:w w:val="111"/>
                <w:sz w:val="19"/>
              </w:rPr>
              <w:t>-</w:t>
            </w:r>
          </w:p>
        </w:tc>
        <w:tc>
          <w:tcPr>
            <w:tcW w:w="1049" w:type="dxa"/>
            <w:gridSpan w:val="2"/>
            <w:tcBorders>
              <w:top w:val="single" w:sz="8" w:space="0" w:color="FFFFFF"/>
              <w:bottom w:val="single" w:sz="8" w:space="0" w:color="FFFFFF"/>
            </w:tcBorders>
            <w:shd w:val="clear" w:color="auto" w:fill="FAF9F9"/>
          </w:tcPr>
          <w:p>
            <w:pPr>
              <w:pStyle w:val="TableParagraph"/>
              <w:ind w:right="112"/>
              <w:jc w:val="right"/>
              <w:rPr>
                <w:sz w:val="19"/>
              </w:rPr>
            </w:pPr>
            <w:r>
              <w:rPr>
                <w:w w:val="111"/>
                <w:sz w:val="19"/>
              </w:rPr>
              <w:t>-</w:t>
            </w:r>
          </w:p>
        </w:tc>
        <w:tc>
          <w:tcPr>
            <w:tcW w:w="1049" w:type="dxa"/>
            <w:shd w:val="clear" w:color="auto" w:fill="E1E4BB"/>
          </w:tcPr>
          <w:p>
            <w:pPr>
              <w:pStyle w:val="TableParagraph"/>
              <w:ind w:right="116"/>
              <w:jc w:val="right"/>
              <w:rPr>
                <w:sz w:val="19"/>
              </w:rPr>
            </w:pPr>
            <w:r>
              <w:rPr>
                <w:w w:val="95"/>
                <w:sz w:val="19"/>
              </w:rPr>
              <w:t>1,928</w:t>
            </w:r>
          </w:p>
        </w:tc>
        <w:tc>
          <w:tcPr>
            <w:tcW w:w="1049" w:type="dxa"/>
            <w:gridSpan w:val="2"/>
            <w:tcBorders>
              <w:top w:val="single" w:sz="8" w:space="0" w:color="FFFFFF"/>
              <w:bottom w:val="single" w:sz="8" w:space="0" w:color="FFFFFF"/>
            </w:tcBorders>
            <w:shd w:val="clear" w:color="auto" w:fill="FAF9F9"/>
          </w:tcPr>
          <w:p>
            <w:pPr>
              <w:pStyle w:val="TableParagraph"/>
              <w:ind w:left="474"/>
              <w:rPr>
                <w:sz w:val="19"/>
              </w:rPr>
            </w:pPr>
            <w:r>
              <w:rPr>
                <w:sz w:val="19"/>
              </w:rPr>
              <w:t>2,477</w:t>
            </w:r>
          </w:p>
        </w:tc>
        <w:tc>
          <w:tcPr>
            <w:tcW w:w="1049" w:type="dxa"/>
            <w:shd w:val="clear" w:color="auto" w:fill="E1E4BB"/>
          </w:tcPr>
          <w:p>
            <w:pPr>
              <w:pStyle w:val="TableParagraph"/>
              <w:ind w:right="112"/>
              <w:jc w:val="right"/>
              <w:rPr>
                <w:sz w:val="19"/>
              </w:rPr>
            </w:pPr>
            <w:r>
              <w:rPr>
                <w:w w:val="111"/>
                <w:sz w:val="19"/>
              </w:rPr>
              <w:t>-</w:t>
            </w:r>
          </w:p>
        </w:tc>
        <w:tc>
          <w:tcPr>
            <w:tcW w:w="1049" w:type="dxa"/>
            <w:gridSpan w:val="2"/>
            <w:tcBorders>
              <w:top w:val="single" w:sz="8" w:space="0" w:color="FFFFFF"/>
              <w:bottom w:val="single" w:sz="8" w:space="0" w:color="FFFFFF"/>
            </w:tcBorders>
            <w:shd w:val="clear" w:color="auto" w:fill="FAF9F9"/>
          </w:tcPr>
          <w:p>
            <w:pPr>
              <w:pStyle w:val="TableParagraph"/>
              <w:ind w:right="113"/>
              <w:jc w:val="right"/>
              <w:rPr>
                <w:sz w:val="19"/>
              </w:rPr>
            </w:pPr>
            <w:r>
              <w:rPr>
                <w:w w:val="111"/>
                <w:sz w:val="19"/>
              </w:rPr>
              <w:t>-</w:t>
            </w:r>
          </w:p>
        </w:tc>
        <w:tc>
          <w:tcPr>
            <w:tcW w:w="1049" w:type="dxa"/>
            <w:shd w:val="clear" w:color="auto" w:fill="E1E4BB"/>
          </w:tcPr>
          <w:p>
            <w:pPr>
              <w:pStyle w:val="TableParagraph"/>
              <w:ind w:right="117"/>
              <w:jc w:val="right"/>
              <w:rPr>
                <w:sz w:val="19"/>
              </w:rPr>
            </w:pPr>
            <w:r>
              <w:rPr>
                <w:w w:val="95"/>
                <w:sz w:val="19"/>
              </w:rPr>
              <w:t>6,687</w:t>
            </w:r>
          </w:p>
        </w:tc>
        <w:tc>
          <w:tcPr>
            <w:tcW w:w="1049" w:type="dxa"/>
            <w:gridSpan w:val="2"/>
            <w:tcBorders>
              <w:top w:val="single" w:sz="8" w:space="0" w:color="FFFFFF"/>
              <w:bottom w:val="single" w:sz="8" w:space="0" w:color="FFFFFF"/>
            </w:tcBorders>
            <w:shd w:val="clear" w:color="auto" w:fill="FAF9F9"/>
          </w:tcPr>
          <w:p>
            <w:pPr>
              <w:pStyle w:val="TableParagraph"/>
              <w:ind w:left="473"/>
              <w:rPr>
                <w:sz w:val="19"/>
              </w:rPr>
            </w:pPr>
            <w:r>
              <w:rPr>
                <w:sz w:val="19"/>
              </w:rPr>
              <w:t>6,526</w:t>
            </w:r>
          </w:p>
        </w:tc>
        <w:tc>
          <w:tcPr>
            <w:tcW w:w="1049" w:type="dxa"/>
            <w:shd w:val="clear" w:color="auto" w:fill="E1E4BB"/>
          </w:tcPr>
          <w:p>
            <w:pPr>
              <w:pStyle w:val="TableParagraph"/>
              <w:ind w:right="113"/>
              <w:jc w:val="right"/>
              <w:rPr>
                <w:sz w:val="19"/>
              </w:rPr>
            </w:pPr>
            <w:r>
              <w:rPr>
                <w:w w:val="111"/>
                <w:sz w:val="19"/>
              </w:rPr>
              <w:t>-</w:t>
            </w:r>
          </w:p>
        </w:tc>
        <w:tc>
          <w:tcPr>
            <w:tcW w:w="1049" w:type="dxa"/>
            <w:gridSpan w:val="2"/>
            <w:tcBorders>
              <w:top w:val="single" w:sz="8" w:space="0" w:color="FFFFFF"/>
              <w:bottom w:val="single" w:sz="8" w:space="0" w:color="FFFFFF"/>
            </w:tcBorders>
            <w:shd w:val="clear" w:color="auto" w:fill="FAF9F9"/>
          </w:tcPr>
          <w:p>
            <w:pPr>
              <w:pStyle w:val="TableParagraph"/>
              <w:ind w:right="113"/>
              <w:jc w:val="right"/>
              <w:rPr>
                <w:sz w:val="19"/>
              </w:rPr>
            </w:pPr>
            <w:r>
              <w:rPr>
                <w:w w:val="111"/>
                <w:sz w:val="19"/>
              </w:rPr>
              <w:t>-</w:t>
            </w:r>
          </w:p>
        </w:tc>
        <w:tc>
          <w:tcPr>
            <w:tcW w:w="1049" w:type="dxa"/>
            <w:shd w:val="clear" w:color="auto" w:fill="E1E4BB"/>
          </w:tcPr>
          <w:p>
            <w:pPr>
              <w:pStyle w:val="TableParagraph"/>
              <w:ind w:right="117"/>
              <w:jc w:val="right"/>
              <w:rPr>
                <w:sz w:val="19"/>
              </w:rPr>
            </w:pPr>
            <w:r>
              <w:rPr>
                <w:w w:val="95"/>
                <w:sz w:val="19"/>
              </w:rPr>
              <w:t>8,615</w:t>
            </w:r>
          </w:p>
        </w:tc>
        <w:tc>
          <w:tcPr>
            <w:tcW w:w="1048" w:type="dxa"/>
            <w:gridSpan w:val="2"/>
            <w:tcBorders>
              <w:top w:val="single" w:sz="8" w:space="0" w:color="FFFFFF"/>
              <w:bottom w:val="single" w:sz="8" w:space="0" w:color="FFFFFF"/>
            </w:tcBorders>
            <w:shd w:val="clear" w:color="auto" w:fill="FAF9F9"/>
          </w:tcPr>
          <w:p>
            <w:pPr>
              <w:pStyle w:val="TableParagraph"/>
              <w:ind w:left="472"/>
              <w:rPr>
                <w:sz w:val="19"/>
              </w:rPr>
            </w:pPr>
            <w:r>
              <w:rPr>
                <w:sz w:val="19"/>
              </w:rPr>
              <w:t>9,003</w:t>
            </w:r>
          </w:p>
        </w:tc>
      </w:tr>
      <w:tr>
        <w:trPr>
          <w:trHeight w:val="285" w:hRule="atLeast"/>
        </w:trPr>
        <w:tc>
          <w:tcPr>
            <w:tcW w:w="2721" w:type="dxa"/>
            <w:tcBorders>
              <w:top w:val="single" w:sz="8" w:space="0" w:color="FFFFFF"/>
              <w:bottom w:val="single" w:sz="8" w:space="0" w:color="FFFFFF"/>
            </w:tcBorders>
            <w:shd w:val="clear" w:color="auto" w:fill="F4F4F4"/>
          </w:tcPr>
          <w:p>
            <w:pPr>
              <w:pStyle w:val="TableParagraph"/>
              <w:ind w:left="112"/>
              <w:rPr>
                <w:sz w:val="19"/>
              </w:rPr>
            </w:pPr>
            <w:r>
              <w:rPr>
                <w:sz w:val="19"/>
              </w:rPr>
              <w:t>Accommodation expenses</w:t>
            </w:r>
          </w:p>
        </w:tc>
        <w:tc>
          <w:tcPr>
            <w:tcW w:w="1049" w:type="dxa"/>
            <w:shd w:val="clear" w:color="auto" w:fill="E1E4BB"/>
          </w:tcPr>
          <w:p>
            <w:pPr>
              <w:pStyle w:val="TableParagraph"/>
              <w:ind w:right="116"/>
              <w:jc w:val="right"/>
              <w:rPr>
                <w:sz w:val="19"/>
              </w:rPr>
            </w:pPr>
            <w:r>
              <w:rPr>
                <w:w w:val="95"/>
                <w:sz w:val="19"/>
              </w:rPr>
              <w:t>4,641</w:t>
            </w:r>
          </w:p>
        </w:tc>
        <w:tc>
          <w:tcPr>
            <w:tcW w:w="1049" w:type="dxa"/>
            <w:gridSpan w:val="2"/>
            <w:tcBorders>
              <w:top w:val="single" w:sz="8" w:space="0" w:color="FFFFFF"/>
              <w:bottom w:val="single" w:sz="8" w:space="0" w:color="FFFFFF"/>
            </w:tcBorders>
            <w:shd w:val="clear" w:color="auto" w:fill="F4F4F4"/>
          </w:tcPr>
          <w:p>
            <w:pPr>
              <w:pStyle w:val="TableParagraph"/>
              <w:ind w:left="474"/>
              <w:rPr>
                <w:sz w:val="19"/>
              </w:rPr>
            </w:pPr>
            <w:r>
              <w:rPr>
                <w:sz w:val="19"/>
              </w:rPr>
              <w:t>4,386</w:t>
            </w:r>
          </w:p>
        </w:tc>
        <w:tc>
          <w:tcPr>
            <w:tcW w:w="1049" w:type="dxa"/>
            <w:shd w:val="clear" w:color="auto" w:fill="E1E4BB"/>
          </w:tcPr>
          <w:p>
            <w:pPr>
              <w:pStyle w:val="TableParagraph"/>
              <w:ind w:right="116"/>
              <w:jc w:val="right"/>
              <w:rPr>
                <w:sz w:val="19"/>
              </w:rPr>
            </w:pPr>
            <w:r>
              <w:rPr>
                <w:w w:val="95"/>
                <w:sz w:val="19"/>
              </w:rPr>
              <w:t>2,060</w:t>
            </w:r>
          </w:p>
        </w:tc>
        <w:tc>
          <w:tcPr>
            <w:tcW w:w="1049" w:type="dxa"/>
            <w:gridSpan w:val="2"/>
            <w:tcBorders>
              <w:top w:val="single" w:sz="8" w:space="0" w:color="FFFFFF"/>
              <w:bottom w:val="single" w:sz="8" w:space="0" w:color="FFFFFF"/>
            </w:tcBorders>
            <w:shd w:val="clear" w:color="auto" w:fill="F4F4F4"/>
          </w:tcPr>
          <w:p>
            <w:pPr>
              <w:pStyle w:val="TableParagraph"/>
              <w:ind w:left="473"/>
              <w:rPr>
                <w:sz w:val="19"/>
              </w:rPr>
            </w:pPr>
            <w:r>
              <w:rPr>
                <w:sz w:val="19"/>
              </w:rPr>
              <w:t>2,222</w:t>
            </w:r>
          </w:p>
        </w:tc>
        <w:tc>
          <w:tcPr>
            <w:tcW w:w="1049" w:type="dxa"/>
            <w:shd w:val="clear" w:color="auto" w:fill="E1E4BB"/>
          </w:tcPr>
          <w:p>
            <w:pPr>
              <w:pStyle w:val="TableParagraph"/>
              <w:ind w:right="116"/>
              <w:jc w:val="right"/>
              <w:rPr>
                <w:sz w:val="19"/>
              </w:rPr>
            </w:pPr>
            <w:r>
              <w:rPr>
                <w:w w:val="95"/>
                <w:sz w:val="19"/>
              </w:rPr>
              <w:t>405</w:t>
            </w:r>
          </w:p>
        </w:tc>
        <w:tc>
          <w:tcPr>
            <w:tcW w:w="1049" w:type="dxa"/>
            <w:gridSpan w:val="2"/>
            <w:tcBorders>
              <w:top w:val="single" w:sz="8" w:space="0" w:color="FFFFFF"/>
              <w:bottom w:val="single" w:sz="8" w:space="0" w:color="FFFFFF"/>
            </w:tcBorders>
            <w:shd w:val="clear" w:color="auto" w:fill="F4F4F4"/>
          </w:tcPr>
          <w:p>
            <w:pPr>
              <w:pStyle w:val="TableParagraph"/>
              <w:ind w:left="624"/>
              <w:rPr>
                <w:sz w:val="19"/>
              </w:rPr>
            </w:pPr>
            <w:r>
              <w:rPr>
                <w:sz w:val="19"/>
              </w:rPr>
              <w:t>355</w:t>
            </w:r>
          </w:p>
        </w:tc>
        <w:tc>
          <w:tcPr>
            <w:tcW w:w="1049" w:type="dxa"/>
            <w:shd w:val="clear" w:color="auto" w:fill="E1E4BB"/>
          </w:tcPr>
          <w:p>
            <w:pPr>
              <w:pStyle w:val="TableParagraph"/>
              <w:ind w:right="117"/>
              <w:jc w:val="right"/>
              <w:rPr>
                <w:sz w:val="19"/>
              </w:rPr>
            </w:pPr>
            <w:r>
              <w:rPr>
                <w:w w:val="95"/>
                <w:sz w:val="19"/>
              </w:rPr>
              <w:t>34,276</w:t>
            </w:r>
          </w:p>
        </w:tc>
        <w:tc>
          <w:tcPr>
            <w:tcW w:w="1049" w:type="dxa"/>
            <w:gridSpan w:val="2"/>
            <w:tcBorders>
              <w:top w:val="single" w:sz="8" w:space="0" w:color="FFFFFF"/>
              <w:bottom w:val="single" w:sz="8" w:space="0" w:color="FFFFFF"/>
            </w:tcBorders>
            <w:shd w:val="clear" w:color="auto" w:fill="F4F4F4"/>
          </w:tcPr>
          <w:p>
            <w:pPr>
              <w:pStyle w:val="TableParagraph"/>
              <w:ind w:left="371"/>
              <w:rPr>
                <w:sz w:val="19"/>
              </w:rPr>
            </w:pPr>
            <w:r>
              <w:rPr>
                <w:sz w:val="19"/>
              </w:rPr>
              <w:t>31,124</w:t>
            </w:r>
          </w:p>
        </w:tc>
        <w:tc>
          <w:tcPr>
            <w:tcW w:w="1049" w:type="dxa"/>
            <w:shd w:val="clear" w:color="auto" w:fill="E1E4BB"/>
          </w:tcPr>
          <w:p>
            <w:pPr>
              <w:pStyle w:val="TableParagraph"/>
              <w:ind w:right="117"/>
              <w:jc w:val="right"/>
              <w:rPr>
                <w:sz w:val="19"/>
              </w:rPr>
            </w:pPr>
            <w:r>
              <w:rPr>
                <w:w w:val="95"/>
                <w:sz w:val="19"/>
              </w:rPr>
              <w:t>854</w:t>
            </w:r>
          </w:p>
        </w:tc>
        <w:tc>
          <w:tcPr>
            <w:tcW w:w="1049" w:type="dxa"/>
            <w:gridSpan w:val="2"/>
            <w:tcBorders>
              <w:top w:val="single" w:sz="8" w:space="0" w:color="FFFFFF"/>
              <w:bottom w:val="single" w:sz="8" w:space="0" w:color="FFFFFF"/>
            </w:tcBorders>
            <w:shd w:val="clear" w:color="auto" w:fill="F4F4F4"/>
          </w:tcPr>
          <w:p>
            <w:pPr>
              <w:pStyle w:val="TableParagraph"/>
              <w:ind w:left="623"/>
              <w:rPr>
                <w:sz w:val="19"/>
              </w:rPr>
            </w:pPr>
            <w:r>
              <w:rPr>
                <w:sz w:val="19"/>
              </w:rPr>
              <w:t>807</w:t>
            </w:r>
          </w:p>
        </w:tc>
        <w:tc>
          <w:tcPr>
            <w:tcW w:w="1049" w:type="dxa"/>
            <w:shd w:val="clear" w:color="auto" w:fill="E1E4BB"/>
          </w:tcPr>
          <w:p>
            <w:pPr>
              <w:pStyle w:val="TableParagraph"/>
              <w:ind w:right="118"/>
              <w:jc w:val="right"/>
              <w:rPr>
                <w:sz w:val="19"/>
              </w:rPr>
            </w:pPr>
            <w:r>
              <w:rPr>
                <w:w w:val="95"/>
                <w:sz w:val="19"/>
              </w:rPr>
              <w:t>42,236</w:t>
            </w:r>
          </w:p>
        </w:tc>
        <w:tc>
          <w:tcPr>
            <w:tcW w:w="1048" w:type="dxa"/>
            <w:gridSpan w:val="2"/>
            <w:tcBorders>
              <w:top w:val="single" w:sz="8" w:space="0" w:color="FFFFFF"/>
              <w:bottom w:val="single" w:sz="8" w:space="0" w:color="FFFFFF"/>
            </w:tcBorders>
            <w:shd w:val="clear" w:color="auto" w:fill="F4F4F4"/>
          </w:tcPr>
          <w:p>
            <w:pPr>
              <w:pStyle w:val="TableParagraph"/>
              <w:ind w:left="370"/>
              <w:rPr>
                <w:sz w:val="19"/>
              </w:rPr>
            </w:pPr>
            <w:r>
              <w:rPr>
                <w:sz w:val="19"/>
              </w:rPr>
              <w:t>38,894</w:t>
            </w: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ind w:left="112"/>
              <w:rPr>
                <w:sz w:val="19"/>
              </w:rPr>
            </w:pPr>
            <w:r>
              <w:rPr>
                <w:sz w:val="19"/>
              </w:rPr>
              <w:t>Grants and subsidies</w:t>
            </w:r>
          </w:p>
        </w:tc>
        <w:tc>
          <w:tcPr>
            <w:tcW w:w="1049" w:type="dxa"/>
            <w:shd w:val="clear" w:color="auto" w:fill="E1E4BB"/>
          </w:tcPr>
          <w:p>
            <w:pPr>
              <w:pStyle w:val="TableParagraph"/>
              <w:ind w:right="112"/>
              <w:jc w:val="right"/>
              <w:rPr>
                <w:sz w:val="19"/>
              </w:rPr>
            </w:pPr>
            <w:r>
              <w:rPr>
                <w:w w:val="111"/>
                <w:sz w:val="19"/>
              </w:rPr>
              <w:t>-</w:t>
            </w:r>
          </w:p>
        </w:tc>
        <w:tc>
          <w:tcPr>
            <w:tcW w:w="1049" w:type="dxa"/>
            <w:gridSpan w:val="2"/>
            <w:tcBorders>
              <w:top w:val="single" w:sz="8" w:space="0" w:color="FFFFFF"/>
              <w:bottom w:val="single" w:sz="8" w:space="0" w:color="FFFFFF"/>
            </w:tcBorders>
            <w:shd w:val="clear" w:color="auto" w:fill="FAF9F9"/>
          </w:tcPr>
          <w:p>
            <w:pPr>
              <w:pStyle w:val="TableParagraph"/>
              <w:ind w:right="112"/>
              <w:jc w:val="right"/>
              <w:rPr>
                <w:sz w:val="19"/>
              </w:rPr>
            </w:pPr>
            <w:r>
              <w:rPr>
                <w:w w:val="111"/>
                <w:sz w:val="19"/>
              </w:rPr>
              <w:t>-</w:t>
            </w:r>
          </w:p>
        </w:tc>
        <w:tc>
          <w:tcPr>
            <w:tcW w:w="1049" w:type="dxa"/>
            <w:shd w:val="clear" w:color="auto" w:fill="E1E4BB"/>
          </w:tcPr>
          <w:p>
            <w:pPr>
              <w:pStyle w:val="TableParagraph"/>
              <w:ind w:right="116"/>
              <w:jc w:val="right"/>
              <w:rPr>
                <w:sz w:val="19"/>
              </w:rPr>
            </w:pPr>
            <w:r>
              <w:rPr>
                <w:w w:val="95"/>
                <w:sz w:val="19"/>
              </w:rPr>
              <w:t>363</w:t>
            </w:r>
          </w:p>
        </w:tc>
        <w:tc>
          <w:tcPr>
            <w:tcW w:w="1049" w:type="dxa"/>
            <w:gridSpan w:val="2"/>
            <w:tcBorders>
              <w:top w:val="single" w:sz="8" w:space="0" w:color="FFFFFF"/>
              <w:bottom w:val="single" w:sz="8" w:space="0" w:color="FFFFFF"/>
            </w:tcBorders>
            <w:shd w:val="clear" w:color="auto" w:fill="FAF9F9"/>
          </w:tcPr>
          <w:p>
            <w:pPr>
              <w:pStyle w:val="TableParagraph"/>
              <w:ind w:right="113"/>
              <w:jc w:val="right"/>
              <w:rPr>
                <w:sz w:val="19"/>
              </w:rPr>
            </w:pPr>
            <w:r>
              <w:rPr>
                <w:w w:val="99"/>
                <w:sz w:val="19"/>
              </w:rPr>
              <w:t>8</w:t>
            </w:r>
          </w:p>
        </w:tc>
        <w:tc>
          <w:tcPr>
            <w:tcW w:w="1049" w:type="dxa"/>
            <w:shd w:val="clear" w:color="auto" w:fill="E1E4BB"/>
          </w:tcPr>
          <w:p>
            <w:pPr>
              <w:pStyle w:val="TableParagraph"/>
              <w:ind w:right="113"/>
              <w:jc w:val="right"/>
              <w:rPr>
                <w:sz w:val="19"/>
              </w:rPr>
            </w:pPr>
            <w:r>
              <w:rPr>
                <w:w w:val="111"/>
                <w:sz w:val="19"/>
              </w:rPr>
              <w:t>-</w:t>
            </w:r>
          </w:p>
        </w:tc>
        <w:tc>
          <w:tcPr>
            <w:tcW w:w="1049" w:type="dxa"/>
            <w:gridSpan w:val="2"/>
            <w:tcBorders>
              <w:top w:val="single" w:sz="8" w:space="0" w:color="FFFFFF"/>
              <w:bottom w:val="single" w:sz="8" w:space="0" w:color="FFFFFF"/>
            </w:tcBorders>
            <w:shd w:val="clear" w:color="auto" w:fill="FAF9F9"/>
          </w:tcPr>
          <w:p>
            <w:pPr>
              <w:pStyle w:val="TableParagraph"/>
              <w:ind w:right="113"/>
              <w:jc w:val="right"/>
              <w:rPr>
                <w:sz w:val="19"/>
              </w:rPr>
            </w:pPr>
            <w:r>
              <w:rPr>
                <w:w w:val="111"/>
                <w:sz w:val="19"/>
              </w:rPr>
              <w:t>-</w:t>
            </w:r>
          </w:p>
        </w:tc>
        <w:tc>
          <w:tcPr>
            <w:tcW w:w="1049" w:type="dxa"/>
            <w:shd w:val="clear" w:color="auto" w:fill="E1E4BB"/>
          </w:tcPr>
          <w:p>
            <w:pPr>
              <w:pStyle w:val="TableParagraph"/>
              <w:ind w:right="113"/>
              <w:jc w:val="right"/>
              <w:rPr>
                <w:sz w:val="19"/>
              </w:rPr>
            </w:pPr>
            <w:r>
              <w:rPr>
                <w:w w:val="99"/>
                <w:sz w:val="19"/>
              </w:rPr>
              <w:t>5</w:t>
            </w:r>
          </w:p>
        </w:tc>
        <w:tc>
          <w:tcPr>
            <w:tcW w:w="1049" w:type="dxa"/>
            <w:gridSpan w:val="2"/>
            <w:tcBorders>
              <w:top w:val="single" w:sz="8" w:space="0" w:color="FFFFFF"/>
              <w:bottom w:val="single" w:sz="8" w:space="0" w:color="FFFFFF"/>
            </w:tcBorders>
            <w:shd w:val="clear" w:color="auto" w:fill="FAF9F9"/>
          </w:tcPr>
          <w:p>
            <w:pPr>
              <w:pStyle w:val="TableParagraph"/>
              <w:ind w:right="113"/>
              <w:jc w:val="right"/>
              <w:rPr>
                <w:sz w:val="19"/>
              </w:rPr>
            </w:pPr>
            <w:r>
              <w:rPr>
                <w:w w:val="111"/>
                <w:sz w:val="19"/>
              </w:rPr>
              <w:t>-</w:t>
            </w:r>
          </w:p>
        </w:tc>
        <w:tc>
          <w:tcPr>
            <w:tcW w:w="1049" w:type="dxa"/>
            <w:shd w:val="clear" w:color="auto" w:fill="E1E4BB"/>
          </w:tcPr>
          <w:p>
            <w:pPr>
              <w:pStyle w:val="TableParagraph"/>
              <w:ind w:right="117"/>
              <w:jc w:val="right"/>
              <w:rPr>
                <w:sz w:val="19"/>
              </w:rPr>
            </w:pPr>
            <w:r>
              <w:rPr>
                <w:w w:val="95"/>
                <w:sz w:val="19"/>
              </w:rPr>
              <w:t>386</w:t>
            </w:r>
          </w:p>
        </w:tc>
        <w:tc>
          <w:tcPr>
            <w:tcW w:w="1049" w:type="dxa"/>
            <w:gridSpan w:val="2"/>
            <w:tcBorders>
              <w:top w:val="single" w:sz="8" w:space="0" w:color="FFFFFF"/>
              <w:bottom w:val="single" w:sz="8" w:space="0" w:color="FFFFFF"/>
            </w:tcBorders>
            <w:shd w:val="clear" w:color="auto" w:fill="FAF9F9"/>
          </w:tcPr>
          <w:p>
            <w:pPr>
              <w:pStyle w:val="TableParagraph"/>
              <w:ind w:left="472"/>
              <w:rPr>
                <w:sz w:val="19"/>
              </w:rPr>
            </w:pPr>
            <w:r>
              <w:rPr>
                <w:sz w:val="19"/>
              </w:rPr>
              <w:t>3,753</w:t>
            </w:r>
          </w:p>
        </w:tc>
        <w:tc>
          <w:tcPr>
            <w:tcW w:w="1049" w:type="dxa"/>
            <w:shd w:val="clear" w:color="auto" w:fill="E1E4BB"/>
          </w:tcPr>
          <w:p>
            <w:pPr>
              <w:pStyle w:val="TableParagraph"/>
              <w:ind w:right="118"/>
              <w:jc w:val="right"/>
              <w:rPr>
                <w:sz w:val="19"/>
              </w:rPr>
            </w:pPr>
            <w:r>
              <w:rPr>
                <w:w w:val="95"/>
                <w:sz w:val="19"/>
              </w:rPr>
              <w:t>754</w:t>
            </w:r>
          </w:p>
        </w:tc>
        <w:tc>
          <w:tcPr>
            <w:tcW w:w="1048" w:type="dxa"/>
            <w:gridSpan w:val="2"/>
            <w:tcBorders>
              <w:top w:val="single" w:sz="8" w:space="0" w:color="FFFFFF"/>
              <w:bottom w:val="single" w:sz="8" w:space="0" w:color="FFFFFF"/>
            </w:tcBorders>
            <w:shd w:val="clear" w:color="auto" w:fill="FAF9F9"/>
          </w:tcPr>
          <w:p>
            <w:pPr>
              <w:pStyle w:val="TableParagraph"/>
              <w:ind w:left="472"/>
              <w:rPr>
                <w:sz w:val="19"/>
              </w:rPr>
            </w:pPr>
            <w:r>
              <w:rPr>
                <w:sz w:val="19"/>
              </w:rPr>
              <w:t>3,761</w:t>
            </w:r>
          </w:p>
        </w:tc>
      </w:tr>
      <w:tr>
        <w:trPr>
          <w:trHeight w:val="513" w:hRule="atLeast"/>
        </w:trPr>
        <w:tc>
          <w:tcPr>
            <w:tcW w:w="2721" w:type="dxa"/>
            <w:tcBorders>
              <w:top w:val="single" w:sz="8" w:space="0" w:color="FFFFFF"/>
              <w:bottom w:val="single" w:sz="8" w:space="0" w:color="FFFFFF"/>
            </w:tcBorders>
            <w:shd w:val="clear" w:color="auto" w:fill="F4F4F4"/>
          </w:tcPr>
          <w:p>
            <w:pPr>
              <w:pStyle w:val="TableParagraph"/>
              <w:spacing w:line="249" w:lineRule="auto"/>
              <w:ind w:left="112" w:right="961"/>
              <w:rPr>
                <w:sz w:val="19"/>
              </w:rPr>
            </w:pPr>
            <w:r>
              <w:rPr>
                <w:sz w:val="19"/>
              </w:rPr>
              <w:t>Loss on disposal of non-current assets</w:t>
            </w:r>
          </w:p>
        </w:tc>
        <w:tc>
          <w:tcPr>
            <w:tcW w:w="1049" w:type="dxa"/>
            <w:shd w:val="clear" w:color="auto" w:fill="E1E4BB"/>
          </w:tcPr>
          <w:p>
            <w:pPr>
              <w:pStyle w:val="TableParagraph"/>
              <w:ind w:right="112"/>
              <w:jc w:val="right"/>
              <w:rPr>
                <w:sz w:val="19"/>
              </w:rPr>
            </w:pPr>
            <w:r>
              <w:rPr>
                <w:w w:val="111"/>
                <w:sz w:val="19"/>
              </w:rPr>
              <w:t>-</w:t>
            </w:r>
          </w:p>
        </w:tc>
        <w:tc>
          <w:tcPr>
            <w:tcW w:w="1049" w:type="dxa"/>
            <w:gridSpan w:val="2"/>
            <w:tcBorders>
              <w:top w:val="single" w:sz="8" w:space="0" w:color="FFFFFF"/>
              <w:bottom w:val="single" w:sz="8" w:space="0" w:color="FFFFFF"/>
            </w:tcBorders>
            <w:shd w:val="clear" w:color="auto" w:fill="F4F4F4"/>
          </w:tcPr>
          <w:p>
            <w:pPr>
              <w:pStyle w:val="TableParagraph"/>
              <w:ind w:right="112"/>
              <w:jc w:val="right"/>
              <w:rPr>
                <w:sz w:val="19"/>
              </w:rPr>
            </w:pPr>
            <w:r>
              <w:rPr>
                <w:w w:val="111"/>
                <w:sz w:val="19"/>
              </w:rPr>
              <w:t>-</w:t>
            </w:r>
          </w:p>
        </w:tc>
        <w:tc>
          <w:tcPr>
            <w:tcW w:w="1049" w:type="dxa"/>
            <w:shd w:val="clear" w:color="auto" w:fill="E1E4BB"/>
          </w:tcPr>
          <w:p>
            <w:pPr>
              <w:pStyle w:val="TableParagraph"/>
              <w:ind w:right="113"/>
              <w:jc w:val="right"/>
              <w:rPr>
                <w:sz w:val="19"/>
              </w:rPr>
            </w:pPr>
            <w:r>
              <w:rPr>
                <w:w w:val="111"/>
                <w:sz w:val="19"/>
              </w:rPr>
              <w:t>-</w:t>
            </w:r>
          </w:p>
        </w:tc>
        <w:tc>
          <w:tcPr>
            <w:tcW w:w="1049" w:type="dxa"/>
            <w:gridSpan w:val="2"/>
            <w:tcBorders>
              <w:top w:val="single" w:sz="8" w:space="0" w:color="FFFFFF"/>
              <w:bottom w:val="single" w:sz="8" w:space="0" w:color="FFFFFF"/>
            </w:tcBorders>
            <w:shd w:val="clear" w:color="auto" w:fill="F4F4F4"/>
          </w:tcPr>
          <w:p>
            <w:pPr>
              <w:pStyle w:val="TableParagraph"/>
              <w:ind w:right="113"/>
              <w:jc w:val="right"/>
              <w:rPr>
                <w:sz w:val="19"/>
              </w:rPr>
            </w:pPr>
            <w:r>
              <w:rPr>
                <w:w w:val="111"/>
                <w:sz w:val="19"/>
              </w:rPr>
              <w:t>-</w:t>
            </w:r>
          </w:p>
        </w:tc>
        <w:tc>
          <w:tcPr>
            <w:tcW w:w="1049" w:type="dxa"/>
            <w:shd w:val="clear" w:color="auto" w:fill="E1E4BB"/>
          </w:tcPr>
          <w:p>
            <w:pPr>
              <w:pStyle w:val="TableParagraph"/>
              <w:ind w:right="113"/>
              <w:jc w:val="right"/>
              <w:rPr>
                <w:sz w:val="19"/>
              </w:rPr>
            </w:pPr>
            <w:r>
              <w:rPr>
                <w:w w:val="111"/>
                <w:sz w:val="19"/>
              </w:rPr>
              <w:t>-</w:t>
            </w:r>
          </w:p>
        </w:tc>
        <w:tc>
          <w:tcPr>
            <w:tcW w:w="1049" w:type="dxa"/>
            <w:gridSpan w:val="2"/>
            <w:tcBorders>
              <w:top w:val="single" w:sz="8" w:space="0" w:color="FFFFFF"/>
              <w:bottom w:val="single" w:sz="8" w:space="0" w:color="FFFFFF"/>
            </w:tcBorders>
            <w:shd w:val="clear" w:color="auto" w:fill="F4F4F4"/>
          </w:tcPr>
          <w:p>
            <w:pPr>
              <w:pStyle w:val="TableParagraph"/>
              <w:ind w:right="113"/>
              <w:jc w:val="right"/>
              <w:rPr>
                <w:sz w:val="19"/>
              </w:rPr>
            </w:pPr>
            <w:r>
              <w:rPr>
                <w:w w:val="111"/>
                <w:sz w:val="19"/>
              </w:rPr>
              <w:t>-</w:t>
            </w:r>
          </w:p>
        </w:tc>
        <w:tc>
          <w:tcPr>
            <w:tcW w:w="1049" w:type="dxa"/>
            <w:shd w:val="clear" w:color="auto" w:fill="E1E4BB"/>
          </w:tcPr>
          <w:p>
            <w:pPr>
              <w:pStyle w:val="TableParagraph"/>
              <w:ind w:right="117"/>
              <w:jc w:val="right"/>
              <w:rPr>
                <w:sz w:val="19"/>
              </w:rPr>
            </w:pPr>
            <w:r>
              <w:rPr>
                <w:w w:val="95"/>
                <w:sz w:val="19"/>
              </w:rPr>
              <w:t>10</w:t>
            </w:r>
          </w:p>
        </w:tc>
        <w:tc>
          <w:tcPr>
            <w:tcW w:w="1049" w:type="dxa"/>
            <w:gridSpan w:val="2"/>
            <w:tcBorders>
              <w:top w:val="single" w:sz="8" w:space="0" w:color="FFFFFF"/>
              <w:bottom w:val="single" w:sz="8" w:space="0" w:color="FFFFFF"/>
            </w:tcBorders>
            <w:shd w:val="clear" w:color="auto" w:fill="F4F4F4"/>
          </w:tcPr>
          <w:p>
            <w:pPr>
              <w:pStyle w:val="TableParagraph"/>
              <w:ind w:right="114"/>
              <w:jc w:val="right"/>
              <w:rPr>
                <w:sz w:val="19"/>
              </w:rPr>
            </w:pPr>
            <w:r>
              <w:rPr>
                <w:w w:val="99"/>
                <w:sz w:val="19"/>
              </w:rPr>
              <w:t>1</w:t>
            </w:r>
          </w:p>
        </w:tc>
        <w:tc>
          <w:tcPr>
            <w:tcW w:w="1049" w:type="dxa"/>
            <w:shd w:val="clear" w:color="auto" w:fill="E1E4BB"/>
          </w:tcPr>
          <w:p>
            <w:pPr>
              <w:pStyle w:val="TableParagraph"/>
              <w:ind w:right="114"/>
              <w:jc w:val="right"/>
              <w:rPr>
                <w:sz w:val="19"/>
              </w:rPr>
            </w:pPr>
            <w:r>
              <w:rPr>
                <w:w w:val="111"/>
                <w:sz w:val="19"/>
              </w:rPr>
              <w:t>-</w:t>
            </w:r>
          </w:p>
        </w:tc>
        <w:tc>
          <w:tcPr>
            <w:tcW w:w="1049" w:type="dxa"/>
            <w:gridSpan w:val="2"/>
            <w:tcBorders>
              <w:top w:val="single" w:sz="8" w:space="0" w:color="FFFFFF"/>
              <w:bottom w:val="single" w:sz="8" w:space="0" w:color="FFFFFF"/>
            </w:tcBorders>
            <w:shd w:val="clear" w:color="auto" w:fill="F4F4F4"/>
          </w:tcPr>
          <w:p>
            <w:pPr>
              <w:pStyle w:val="TableParagraph"/>
              <w:ind w:right="114"/>
              <w:jc w:val="right"/>
              <w:rPr>
                <w:sz w:val="19"/>
              </w:rPr>
            </w:pPr>
            <w:r>
              <w:rPr>
                <w:w w:val="111"/>
                <w:sz w:val="19"/>
              </w:rPr>
              <w:t>-</w:t>
            </w:r>
          </w:p>
        </w:tc>
        <w:tc>
          <w:tcPr>
            <w:tcW w:w="1049" w:type="dxa"/>
            <w:shd w:val="clear" w:color="auto" w:fill="E1E4BB"/>
          </w:tcPr>
          <w:p>
            <w:pPr>
              <w:pStyle w:val="TableParagraph"/>
              <w:ind w:right="118"/>
              <w:jc w:val="right"/>
              <w:rPr>
                <w:sz w:val="19"/>
              </w:rPr>
            </w:pPr>
            <w:r>
              <w:rPr>
                <w:w w:val="95"/>
                <w:sz w:val="19"/>
              </w:rPr>
              <w:t>10</w:t>
            </w:r>
          </w:p>
        </w:tc>
        <w:tc>
          <w:tcPr>
            <w:tcW w:w="1048" w:type="dxa"/>
            <w:gridSpan w:val="2"/>
            <w:tcBorders>
              <w:top w:val="single" w:sz="8" w:space="0" w:color="FFFFFF"/>
              <w:bottom w:val="single" w:sz="8" w:space="0" w:color="FFFFFF"/>
            </w:tcBorders>
            <w:shd w:val="clear" w:color="auto" w:fill="F4F4F4"/>
          </w:tcPr>
          <w:p>
            <w:pPr>
              <w:pStyle w:val="TableParagraph"/>
              <w:ind w:right="113"/>
              <w:jc w:val="right"/>
              <w:rPr>
                <w:sz w:val="19"/>
              </w:rPr>
            </w:pPr>
            <w:r>
              <w:rPr>
                <w:w w:val="99"/>
                <w:sz w:val="19"/>
              </w:rPr>
              <w:t>1</w:t>
            </w: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ind w:left="111"/>
              <w:rPr>
                <w:sz w:val="19"/>
              </w:rPr>
            </w:pPr>
            <w:r>
              <w:rPr>
                <w:sz w:val="19"/>
              </w:rPr>
              <w:t>Other expenses</w:t>
            </w:r>
          </w:p>
        </w:tc>
        <w:tc>
          <w:tcPr>
            <w:tcW w:w="1049" w:type="dxa"/>
            <w:tcBorders>
              <w:bottom w:val="single" w:sz="4" w:space="0" w:color="000000"/>
            </w:tcBorders>
            <w:shd w:val="clear" w:color="auto" w:fill="E1E4BB"/>
          </w:tcPr>
          <w:p>
            <w:pPr>
              <w:pStyle w:val="TableParagraph"/>
              <w:ind w:right="116"/>
              <w:jc w:val="right"/>
              <w:rPr>
                <w:sz w:val="19"/>
              </w:rPr>
            </w:pPr>
            <w:r>
              <w:rPr>
                <w:w w:val="95"/>
                <w:sz w:val="19"/>
              </w:rPr>
              <w:t>404</w:t>
            </w:r>
          </w:p>
        </w:tc>
        <w:tc>
          <w:tcPr>
            <w:tcW w:w="1049" w:type="dxa"/>
            <w:gridSpan w:val="2"/>
            <w:tcBorders>
              <w:top w:val="single" w:sz="8" w:space="0" w:color="FFFFFF"/>
              <w:bottom w:val="single" w:sz="4" w:space="0" w:color="000000"/>
            </w:tcBorders>
            <w:shd w:val="clear" w:color="auto" w:fill="FAF9F9"/>
          </w:tcPr>
          <w:p>
            <w:pPr>
              <w:pStyle w:val="TableParagraph"/>
              <w:ind w:left="624"/>
              <w:rPr>
                <w:sz w:val="19"/>
              </w:rPr>
            </w:pPr>
            <w:r>
              <w:rPr>
                <w:sz w:val="19"/>
              </w:rPr>
              <w:t>241</w:t>
            </w:r>
          </w:p>
        </w:tc>
        <w:tc>
          <w:tcPr>
            <w:tcW w:w="1049" w:type="dxa"/>
            <w:tcBorders>
              <w:bottom w:val="single" w:sz="4" w:space="0" w:color="000000"/>
            </w:tcBorders>
            <w:shd w:val="clear" w:color="auto" w:fill="E1E4BB"/>
          </w:tcPr>
          <w:p>
            <w:pPr>
              <w:pStyle w:val="TableParagraph"/>
              <w:ind w:right="117"/>
              <w:jc w:val="right"/>
              <w:rPr>
                <w:sz w:val="19"/>
              </w:rPr>
            </w:pPr>
            <w:r>
              <w:rPr>
                <w:w w:val="95"/>
                <w:sz w:val="19"/>
              </w:rPr>
              <w:t>368</w:t>
            </w:r>
          </w:p>
        </w:tc>
        <w:tc>
          <w:tcPr>
            <w:tcW w:w="1049" w:type="dxa"/>
            <w:gridSpan w:val="2"/>
            <w:tcBorders>
              <w:top w:val="single" w:sz="8" w:space="0" w:color="FFFFFF"/>
              <w:bottom w:val="single" w:sz="4" w:space="0" w:color="000000"/>
            </w:tcBorders>
            <w:shd w:val="clear" w:color="auto" w:fill="FAF9F9"/>
          </w:tcPr>
          <w:p>
            <w:pPr>
              <w:pStyle w:val="TableParagraph"/>
              <w:ind w:left="624"/>
              <w:rPr>
                <w:sz w:val="19"/>
              </w:rPr>
            </w:pPr>
            <w:r>
              <w:rPr>
                <w:sz w:val="19"/>
              </w:rPr>
              <w:t>891</w:t>
            </w:r>
          </w:p>
        </w:tc>
        <w:tc>
          <w:tcPr>
            <w:tcW w:w="1049" w:type="dxa"/>
            <w:tcBorders>
              <w:bottom w:val="single" w:sz="4" w:space="0" w:color="000000"/>
            </w:tcBorders>
            <w:shd w:val="clear" w:color="auto" w:fill="E1E4BB"/>
          </w:tcPr>
          <w:p>
            <w:pPr>
              <w:pStyle w:val="TableParagraph"/>
              <w:ind w:right="117"/>
              <w:jc w:val="right"/>
              <w:rPr>
                <w:sz w:val="19"/>
              </w:rPr>
            </w:pPr>
            <w:r>
              <w:rPr>
                <w:w w:val="95"/>
                <w:sz w:val="19"/>
              </w:rPr>
              <w:t>250</w:t>
            </w:r>
          </w:p>
        </w:tc>
        <w:tc>
          <w:tcPr>
            <w:tcW w:w="1049" w:type="dxa"/>
            <w:gridSpan w:val="2"/>
            <w:tcBorders>
              <w:top w:val="single" w:sz="8" w:space="0" w:color="FFFFFF"/>
              <w:bottom w:val="single" w:sz="4" w:space="0" w:color="000000"/>
            </w:tcBorders>
            <w:shd w:val="clear" w:color="auto" w:fill="FAF9F9"/>
          </w:tcPr>
          <w:p>
            <w:pPr>
              <w:pStyle w:val="TableParagraph"/>
              <w:ind w:left="623"/>
              <w:rPr>
                <w:sz w:val="19"/>
              </w:rPr>
            </w:pPr>
            <w:r>
              <w:rPr>
                <w:sz w:val="19"/>
              </w:rPr>
              <w:t>181</w:t>
            </w:r>
          </w:p>
        </w:tc>
        <w:tc>
          <w:tcPr>
            <w:tcW w:w="1049" w:type="dxa"/>
            <w:tcBorders>
              <w:bottom w:val="single" w:sz="4" w:space="0" w:color="000000"/>
            </w:tcBorders>
            <w:shd w:val="clear" w:color="auto" w:fill="E1E4BB"/>
          </w:tcPr>
          <w:p>
            <w:pPr>
              <w:pStyle w:val="TableParagraph"/>
              <w:ind w:right="117"/>
              <w:jc w:val="right"/>
              <w:rPr>
                <w:sz w:val="19"/>
              </w:rPr>
            </w:pPr>
            <w:r>
              <w:rPr>
                <w:w w:val="95"/>
                <w:sz w:val="19"/>
              </w:rPr>
              <w:t>32,913</w:t>
            </w:r>
          </w:p>
        </w:tc>
        <w:tc>
          <w:tcPr>
            <w:tcW w:w="1049" w:type="dxa"/>
            <w:gridSpan w:val="2"/>
            <w:tcBorders>
              <w:top w:val="single" w:sz="8" w:space="0" w:color="FFFFFF"/>
              <w:bottom w:val="single" w:sz="4" w:space="0" w:color="000000"/>
            </w:tcBorders>
            <w:shd w:val="clear" w:color="auto" w:fill="FAF9F9"/>
          </w:tcPr>
          <w:p>
            <w:pPr>
              <w:pStyle w:val="TableParagraph"/>
              <w:ind w:left="370"/>
              <w:rPr>
                <w:sz w:val="19"/>
              </w:rPr>
            </w:pPr>
            <w:r>
              <w:rPr>
                <w:sz w:val="19"/>
              </w:rPr>
              <w:t>50,305</w:t>
            </w:r>
          </w:p>
        </w:tc>
        <w:tc>
          <w:tcPr>
            <w:tcW w:w="1049" w:type="dxa"/>
            <w:tcBorders>
              <w:bottom w:val="single" w:sz="4" w:space="0" w:color="000000"/>
            </w:tcBorders>
            <w:shd w:val="clear" w:color="auto" w:fill="E1E4BB"/>
          </w:tcPr>
          <w:p>
            <w:pPr>
              <w:pStyle w:val="TableParagraph"/>
              <w:ind w:right="118"/>
              <w:jc w:val="right"/>
              <w:rPr>
                <w:sz w:val="19"/>
              </w:rPr>
            </w:pPr>
            <w:r>
              <w:rPr>
                <w:w w:val="95"/>
                <w:sz w:val="19"/>
              </w:rPr>
              <w:t>86</w:t>
            </w:r>
          </w:p>
        </w:tc>
        <w:tc>
          <w:tcPr>
            <w:tcW w:w="1049" w:type="dxa"/>
            <w:gridSpan w:val="2"/>
            <w:tcBorders>
              <w:top w:val="single" w:sz="8" w:space="0" w:color="FFFFFF"/>
              <w:bottom w:val="single" w:sz="4" w:space="0" w:color="000000"/>
            </w:tcBorders>
            <w:shd w:val="clear" w:color="auto" w:fill="FAF9F9"/>
          </w:tcPr>
          <w:p>
            <w:pPr>
              <w:pStyle w:val="TableParagraph"/>
              <w:ind w:left="623"/>
              <w:rPr>
                <w:sz w:val="19"/>
              </w:rPr>
            </w:pPr>
            <w:r>
              <w:rPr>
                <w:sz w:val="19"/>
              </w:rPr>
              <w:t>165</w:t>
            </w:r>
          </w:p>
        </w:tc>
        <w:tc>
          <w:tcPr>
            <w:tcW w:w="1049" w:type="dxa"/>
            <w:tcBorders>
              <w:bottom w:val="single" w:sz="4" w:space="0" w:color="000000"/>
            </w:tcBorders>
            <w:shd w:val="clear" w:color="auto" w:fill="E1E4BB"/>
          </w:tcPr>
          <w:p>
            <w:pPr>
              <w:pStyle w:val="TableParagraph"/>
              <w:ind w:right="118"/>
              <w:jc w:val="right"/>
              <w:rPr>
                <w:sz w:val="19"/>
              </w:rPr>
            </w:pPr>
            <w:r>
              <w:rPr>
                <w:w w:val="95"/>
                <w:sz w:val="19"/>
              </w:rPr>
              <w:t>34,021</w:t>
            </w:r>
          </w:p>
        </w:tc>
        <w:tc>
          <w:tcPr>
            <w:tcW w:w="1048" w:type="dxa"/>
            <w:gridSpan w:val="2"/>
            <w:tcBorders>
              <w:top w:val="single" w:sz="8" w:space="0" w:color="FFFFFF"/>
              <w:bottom w:val="single" w:sz="4" w:space="0" w:color="000000"/>
            </w:tcBorders>
            <w:shd w:val="clear" w:color="auto" w:fill="FAF9F9"/>
          </w:tcPr>
          <w:p>
            <w:pPr>
              <w:pStyle w:val="TableParagraph"/>
              <w:ind w:left="369"/>
              <w:rPr>
                <w:sz w:val="19"/>
              </w:rPr>
            </w:pPr>
            <w:r>
              <w:rPr>
                <w:sz w:val="19"/>
              </w:rPr>
              <w:t>51,783</w:t>
            </w:r>
          </w:p>
        </w:tc>
      </w:tr>
      <w:tr>
        <w:trPr>
          <w:trHeight w:val="285" w:hRule="atLeast"/>
        </w:trPr>
        <w:tc>
          <w:tcPr>
            <w:tcW w:w="2721" w:type="dxa"/>
            <w:tcBorders>
              <w:top w:val="single" w:sz="8" w:space="0" w:color="FFFFFF"/>
              <w:bottom w:val="single" w:sz="8" w:space="0" w:color="FFFFFF"/>
            </w:tcBorders>
            <w:shd w:val="clear" w:color="auto" w:fill="F4F4F4"/>
          </w:tcPr>
          <w:p>
            <w:pPr>
              <w:pStyle w:val="TableParagraph"/>
              <w:ind w:left="111"/>
              <w:rPr>
                <w:b/>
                <w:sz w:val="19"/>
              </w:rPr>
            </w:pPr>
            <w:r>
              <w:rPr>
                <w:b/>
                <w:sz w:val="19"/>
              </w:rPr>
              <w:t>Total cost of services</w:t>
            </w:r>
          </w:p>
        </w:tc>
        <w:tc>
          <w:tcPr>
            <w:tcW w:w="1049" w:type="dxa"/>
            <w:tcBorders>
              <w:top w:val="single" w:sz="4" w:space="0" w:color="000000"/>
              <w:bottom w:val="single" w:sz="4" w:space="0" w:color="000000"/>
            </w:tcBorders>
            <w:shd w:val="clear" w:color="auto" w:fill="DFE1B8"/>
          </w:tcPr>
          <w:p>
            <w:pPr>
              <w:pStyle w:val="TableParagraph"/>
              <w:ind w:right="116"/>
              <w:jc w:val="right"/>
              <w:rPr>
                <w:b/>
                <w:sz w:val="19"/>
              </w:rPr>
            </w:pPr>
            <w:r>
              <w:rPr>
                <w:b/>
                <w:w w:val="95"/>
                <w:sz w:val="19"/>
              </w:rPr>
              <w:t>56,985</w:t>
            </w:r>
          </w:p>
        </w:tc>
        <w:tc>
          <w:tcPr>
            <w:tcW w:w="1049" w:type="dxa"/>
            <w:gridSpan w:val="2"/>
            <w:tcBorders>
              <w:top w:val="single" w:sz="4" w:space="0" w:color="000000"/>
              <w:bottom w:val="single" w:sz="4" w:space="0" w:color="000000"/>
            </w:tcBorders>
            <w:shd w:val="clear" w:color="auto" w:fill="F4F4F4"/>
          </w:tcPr>
          <w:p>
            <w:pPr>
              <w:pStyle w:val="TableParagraph"/>
              <w:ind w:left="371"/>
              <w:rPr>
                <w:b/>
                <w:sz w:val="19"/>
              </w:rPr>
            </w:pPr>
            <w:r>
              <w:rPr>
                <w:b/>
                <w:sz w:val="19"/>
              </w:rPr>
              <w:t>56,528</w:t>
            </w:r>
          </w:p>
        </w:tc>
        <w:tc>
          <w:tcPr>
            <w:tcW w:w="1049" w:type="dxa"/>
            <w:tcBorders>
              <w:top w:val="single" w:sz="4" w:space="0" w:color="000000"/>
              <w:bottom w:val="single" w:sz="4" w:space="0" w:color="000000"/>
            </w:tcBorders>
            <w:shd w:val="clear" w:color="auto" w:fill="DFE1B8"/>
          </w:tcPr>
          <w:p>
            <w:pPr>
              <w:pStyle w:val="TableParagraph"/>
              <w:ind w:right="117"/>
              <w:jc w:val="right"/>
              <w:rPr>
                <w:b/>
                <w:sz w:val="19"/>
              </w:rPr>
            </w:pPr>
            <w:r>
              <w:rPr>
                <w:b/>
                <w:w w:val="95"/>
                <w:sz w:val="19"/>
              </w:rPr>
              <w:t>77,994</w:t>
            </w:r>
          </w:p>
        </w:tc>
        <w:tc>
          <w:tcPr>
            <w:tcW w:w="1049" w:type="dxa"/>
            <w:gridSpan w:val="2"/>
            <w:tcBorders>
              <w:top w:val="single" w:sz="4" w:space="0" w:color="000000"/>
              <w:bottom w:val="single" w:sz="4" w:space="0" w:color="000000"/>
            </w:tcBorders>
            <w:shd w:val="clear" w:color="auto" w:fill="F4F4F4"/>
          </w:tcPr>
          <w:p>
            <w:pPr>
              <w:pStyle w:val="TableParagraph"/>
              <w:ind w:left="371"/>
              <w:rPr>
                <w:b/>
                <w:sz w:val="19"/>
              </w:rPr>
            </w:pPr>
            <w:r>
              <w:rPr>
                <w:b/>
                <w:sz w:val="19"/>
              </w:rPr>
              <w:t>95,849</w:t>
            </w:r>
          </w:p>
        </w:tc>
        <w:tc>
          <w:tcPr>
            <w:tcW w:w="1049" w:type="dxa"/>
            <w:tcBorders>
              <w:top w:val="single" w:sz="4" w:space="0" w:color="000000"/>
              <w:bottom w:val="single" w:sz="4" w:space="0" w:color="000000"/>
            </w:tcBorders>
            <w:shd w:val="clear" w:color="auto" w:fill="DFE1B8"/>
          </w:tcPr>
          <w:p>
            <w:pPr>
              <w:pStyle w:val="TableParagraph"/>
              <w:ind w:right="117"/>
              <w:jc w:val="right"/>
              <w:rPr>
                <w:b/>
                <w:sz w:val="19"/>
              </w:rPr>
            </w:pPr>
            <w:r>
              <w:rPr>
                <w:b/>
                <w:w w:val="95"/>
                <w:sz w:val="19"/>
              </w:rPr>
              <w:t>7,354</w:t>
            </w:r>
          </w:p>
        </w:tc>
        <w:tc>
          <w:tcPr>
            <w:tcW w:w="1049" w:type="dxa"/>
            <w:gridSpan w:val="2"/>
            <w:tcBorders>
              <w:top w:val="single" w:sz="4" w:space="0" w:color="000000"/>
              <w:bottom w:val="single" w:sz="4" w:space="0" w:color="000000"/>
            </w:tcBorders>
            <w:shd w:val="clear" w:color="auto" w:fill="F4F4F4"/>
          </w:tcPr>
          <w:p>
            <w:pPr>
              <w:pStyle w:val="TableParagraph"/>
              <w:ind w:left="472"/>
              <w:rPr>
                <w:b/>
                <w:sz w:val="19"/>
              </w:rPr>
            </w:pPr>
            <w:r>
              <w:rPr>
                <w:b/>
                <w:sz w:val="19"/>
              </w:rPr>
              <w:t>7,019</w:t>
            </w:r>
          </w:p>
        </w:tc>
        <w:tc>
          <w:tcPr>
            <w:tcW w:w="1049" w:type="dxa"/>
            <w:tcBorders>
              <w:top w:val="single" w:sz="4" w:space="0" w:color="000000"/>
              <w:bottom w:val="single" w:sz="4" w:space="0" w:color="000000"/>
            </w:tcBorders>
            <w:shd w:val="clear" w:color="auto" w:fill="DFE1B8"/>
          </w:tcPr>
          <w:p>
            <w:pPr>
              <w:pStyle w:val="TableParagraph"/>
              <w:ind w:right="118"/>
              <w:jc w:val="right"/>
              <w:rPr>
                <w:b/>
                <w:sz w:val="19"/>
              </w:rPr>
            </w:pPr>
            <w:r>
              <w:rPr>
                <w:b/>
                <w:w w:val="95"/>
                <w:sz w:val="19"/>
              </w:rPr>
              <w:t>1,084,641</w:t>
            </w:r>
          </w:p>
        </w:tc>
        <w:tc>
          <w:tcPr>
            <w:tcW w:w="1049" w:type="dxa"/>
            <w:gridSpan w:val="2"/>
            <w:tcBorders>
              <w:top w:val="single" w:sz="4" w:space="0" w:color="000000"/>
              <w:bottom w:val="single" w:sz="4" w:space="0" w:color="000000"/>
            </w:tcBorders>
            <w:shd w:val="clear" w:color="auto" w:fill="F4F4F4"/>
          </w:tcPr>
          <w:p>
            <w:pPr>
              <w:pStyle w:val="TableParagraph"/>
              <w:ind w:left="268"/>
              <w:rPr>
                <w:b/>
                <w:sz w:val="19"/>
              </w:rPr>
            </w:pPr>
            <w:r>
              <w:rPr>
                <w:b/>
                <w:sz w:val="19"/>
              </w:rPr>
              <w:t>998,621</w:t>
            </w:r>
          </w:p>
        </w:tc>
        <w:tc>
          <w:tcPr>
            <w:tcW w:w="1049" w:type="dxa"/>
            <w:tcBorders>
              <w:top w:val="single" w:sz="4" w:space="0" w:color="000000"/>
              <w:bottom w:val="single" w:sz="4" w:space="0" w:color="000000"/>
            </w:tcBorders>
            <w:shd w:val="clear" w:color="auto" w:fill="DFE1B8"/>
          </w:tcPr>
          <w:p>
            <w:pPr>
              <w:pStyle w:val="TableParagraph"/>
              <w:ind w:right="118"/>
              <w:jc w:val="right"/>
              <w:rPr>
                <w:b/>
                <w:sz w:val="19"/>
              </w:rPr>
            </w:pPr>
            <w:r>
              <w:rPr>
                <w:b/>
                <w:w w:val="95"/>
                <w:sz w:val="19"/>
              </w:rPr>
              <w:t>16,004</w:t>
            </w:r>
          </w:p>
        </w:tc>
        <w:tc>
          <w:tcPr>
            <w:tcW w:w="1049" w:type="dxa"/>
            <w:gridSpan w:val="2"/>
            <w:tcBorders>
              <w:top w:val="single" w:sz="4" w:space="0" w:color="000000"/>
              <w:bottom w:val="single" w:sz="4" w:space="0" w:color="000000"/>
            </w:tcBorders>
            <w:shd w:val="clear" w:color="auto" w:fill="F4F4F4"/>
          </w:tcPr>
          <w:p>
            <w:pPr>
              <w:pStyle w:val="TableParagraph"/>
              <w:ind w:left="370"/>
              <w:rPr>
                <w:b/>
                <w:sz w:val="19"/>
              </w:rPr>
            </w:pPr>
            <w:r>
              <w:rPr>
                <w:b/>
                <w:sz w:val="19"/>
              </w:rPr>
              <w:t>24,396</w:t>
            </w:r>
          </w:p>
        </w:tc>
        <w:tc>
          <w:tcPr>
            <w:tcW w:w="1049" w:type="dxa"/>
            <w:tcBorders>
              <w:top w:val="single" w:sz="4" w:space="0" w:color="000000"/>
              <w:bottom w:val="single" w:sz="4" w:space="0" w:color="000000"/>
            </w:tcBorders>
            <w:shd w:val="clear" w:color="auto" w:fill="DFE1B8"/>
          </w:tcPr>
          <w:p>
            <w:pPr>
              <w:pStyle w:val="TableParagraph"/>
              <w:ind w:right="118"/>
              <w:jc w:val="right"/>
              <w:rPr>
                <w:b/>
                <w:sz w:val="19"/>
              </w:rPr>
            </w:pPr>
            <w:r>
              <w:rPr>
                <w:b/>
                <w:w w:val="95"/>
                <w:sz w:val="19"/>
              </w:rPr>
              <w:t>1,242,978</w:t>
            </w:r>
          </w:p>
        </w:tc>
        <w:tc>
          <w:tcPr>
            <w:tcW w:w="1048" w:type="dxa"/>
            <w:gridSpan w:val="2"/>
            <w:tcBorders>
              <w:top w:val="single" w:sz="4" w:space="0" w:color="000000"/>
              <w:bottom w:val="single" w:sz="4" w:space="0" w:color="000000"/>
            </w:tcBorders>
            <w:shd w:val="clear" w:color="auto" w:fill="F4F4F4"/>
          </w:tcPr>
          <w:p>
            <w:pPr>
              <w:pStyle w:val="TableParagraph"/>
              <w:ind w:left="117"/>
              <w:rPr>
                <w:b/>
                <w:sz w:val="19"/>
              </w:rPr>
            </w:pPr>
            <w:r>
              <w:rPr>
                <w:b/>
                <w:sz w:val="19"/>
              </w:rPr>
              <w:t>1,182,413</w:t>
            </w: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049" w:type="dxa"/>
            <w:tcBorders>
              <w:top w:val="single" w:sz="4" w:space="0" w:color="000000"/>
            </w:tcBorders>
            <w:shd w:val="clear" w:color="auto" w:fill="DFE1B8"/>
          </w:tcPr>
          <w:p>
            <w:pPr>
              <w:pStyle w:val="TableParagraph"/>
              <w:spacing w:before="0"/>
              <w:rPr>
                <w:rFonts w:ascii="Times New Roman"/>
                <w:sz w:val="20"/>
              </w:rPr>
            </w:pPr>
          </w:p>
        </w:tc>
        <w:tc>
          <w:tcPr>
            <w:tcW w:w="1049" w:type="dxa"/>
            <w:gridSpan w:val="2"/>
            <w:tcBorders>
              <w:top w:val="single" w:sz="4" w:space="0" w:color="000000"/>
              <w:bottom w:val="single" w:sz="8" w:space="0" w:color="FFFFFF"/>
            </w:tcBorders>
            <w:shd w:val="clear" w:color="auto" w:fill="FAF9F9"/>
          </w:tcPr>
          <w:p>
            <w:pPr>
              <w:pStyle w:val="TableParagraph"/>
              <w:spacing w:before="0"/>
              <w:rPr>
                <w:rFonts w:ascii="Times New Roman"/>
                <w:sz w:val="20"/>
              </w:rPr>
            </w:pPr>
          </w:p>
        </w:tc>
        <w:tc>
          <w:tcPr>
            <w:tcW w:w="1049" w:type="dxa"/>
            <w:tcBorders>
              <w:top w:val="single" w:sz="4" w:space="0" w:color="000000"/>
            </w:tcBorders>
            <w:shd w:val="clear" w:color="auto" w:fill="DFE1B8"/>
          </w:tcPr>
          <w:p>
            <w:pPr>
              <w:pStyle w:val="TableParagraph"/>
              <w:spacing w:before="0"/>
              <w:rPr>
                <w:rFonts w:ascii="Times New Roman"/>
                <w:sz w:val="20"/>
              </w:rPr>
            </w:pPr>
          </w:p>
        </w:tc>
        <w:tc>
          <w:tcPr>
            <w:tcW w:w="1049" w:type="dxa"/>
            <w:gridSpan w:val="2"/>
            <w:tcBorders>
              <w:top w:val="single" w:sz="4" w:space="0" w:color="000000"/>
              <w:bottom w:val="single" w:sz="8" w:space="0" w:color="FFFFFF"/>
            </w:tcBorders>
            <w:shd w:val="clear" w:color="auto" w:fill="FAF9F9"/>
          </w:tcPr>
          <w:p>
            <w:pPr>
              <w:pStyle w:val="TableParagraph"/>
              <w:spacing w:before="0"/>
              <w:rPr>
                <w:rFonts w:ascii="Times New Roman"/>
                <w:sz w:val="20"/>
              </w:rPr>
            </w:pPr>
          </w:p>
        </w:tc>
        <w:tc>
          <w:tcPr>
            <w:tcW w:w="1049" w:type="dxa"/>
            <w:tcBorders>
              <w:top w:val="single" w:sz="4" w:space="0" w:color="000000"/>
            </w:tcBorders>
            <w:shd w:val="clear" w:color="auto" w:fill="DFE1B8"/>
          </w:tcPr>
          <w:p>
            <w:pPr>
              <w:pStyle w:val="TableParagraph"/>
              <w:spacing w:before="0"/>
              <w:rPr>
                <w:rFonts w:ascii="Times New Roman"/>
                <w:sz w:val="20"/>
              </w:rPr>
            </w:pPr>
          </w:p>
        </w:tc>
        <w:tc>
          <w:tcPr>
            <w:tcW w:w="1049" w:type="dxa"/>
            <w:gridSpan w:val="2"/>
            <w:tcBorders>
              <w:top w:val="single" w:sz="4" w:space="0" w:color="000000"/>
              <w:bottom w:val="single" w:sz="8" w:space="0" w:color="FFFFFF"/>
            </w:tcBorders>
            <w:shd w:val="clear" w:color="auto" w:fill="FAF9F9"/>
          </w:tcPr>
          <w:p>
            <w:pPr>
              <w:pStyle w:val="TableParagraph"/>
              <w:spacing w:before="0"/>
              <w:rPr>
                <w:rFonts w:ascii="Times New Roman"/>
                <w:sz w:val="20"/>
              </w:rPr>
            </w:pPr>
          </w:p>
        </w:tc>
        <w:tc>
          <w:tcPr>
            <w:tcW w:w="1049" w:type="dxa"/>
            <w:tcBorders>
              <w:top w:val="single" w:sz="4" w:space="0" w:color="000000"/>
            </w:tcBorders>
            <w:shd w:val="clear" w:color="auto" w:fill="DFE1B8"/>
          </w:tcPr>
          <w:p>
            <w:pPr>
              <w:pStyle w:val="TableParagraph"/>
              <w:spacing w:before="0"/>
              <w:rPr>
                <w:rFonts w:ascii="Times New Roman"/>
                <w:sz w:val="20"/>
              </w:rPr>
            </w:pPr>
          </w:p>
        </w:tc>
        <w:tc>
          <w:tcPr>
            <w:tcW w:w="1049" w:type="dxa"/>
            <w:gridSpan w:val="2"/>
            <w:tcBorders>
              <w:top w:val="single" w:sz="4" w:space="0" w:color="000000"/>
              <w:bottom w:val="single" w:sz="8" w:space="0" w:color="FFFFFF"/>
            </w:tcBorders>
            <w:shd w:val="clear" w:color="auto" w:fill="FAF9F9"/>
          </w:tcPr>
          <w:p>
            <w:pPr>
              <w:pStyle w:val="TableParagraph"/>
              <w:spacing w:before="0"/>
              <w:rPr>
                <w:rFonts w:ascii="Times New Roman"/>
                <w:sz w:val="20"/>
              </w:rPr>
            </w:pPr>
          </w:p>
        </w:tc>
        <w:tc>
          <w:tcPr>
            <w:tcW w:w="1049" w:type="dxa"/>
            <w:tcBorders>
              <w:top w:val="single" w:sz="4" w:space="0" w:color="000000"/>
            </w:tcBorders>
            <w:shd w:val="clear" w:color="auto" w:fill="DFE1B8"/>
          </w:tcPr>
          <w:p>
            <w:pPr>
              <w:pStyle w:val="TableParagraph"/>
              <w:spacing w:before="0"/>
              <w:rPr>
                <w:rFonts w:ascii="Times New Roman"/>
                <w:sz w:val="20"/>
              </w:rPr>
            </w:pPr>
          </w:p>
        </w:tc>
        <w:tc>
          <w:tcPr>
            <w:tcW w:w="1049" w:type="dxa"/>
            <w:gridSpan w:val="2"/>
            <w:tcBorders>
              <w:top w:val="single" w:sz="4" w:space="0" w:color="000000"/>
              <w:bottom w:val="single" w:sz="8" w:space="0" w:color="FFFFFF"/>
            </w:tcBorders>
            <w:shd w:val="clear" w:color="auto" w:fill="FAF9F9"/>
          </w:tcPr>
          <w:p>
            <w:pPr>
              <w:pStyle w:val="TableParagraph"/>
              <w:spacing w:before="0"/>
              <w:rPr>
                <w:rFonts w:ascii="Times New Roman"/>
                <w:sz w:val="20"/>
              </w:rPr>
            </w:pPr>
          </w:p>
        </w:tc>
        <w:tc>
          <w:tcPr>
            <w:tcW w:w="1049" w:type="dxa"/>
            <w:tcBorders>
              <w:top w:val="single" w:sz="4" w:space="0" w:color="000000"/>
            </w:tcBorders>
            <w:shd w:val="clear" w:color="auto" w:fill="DFE1B8"/>
          </w:tcPr>
          <w:p>
            <w:pPr>
              <w:pStyle w:val="TableParagraph"/>
              <w:spacing w:before="0"/>
              <w:rPr>
                <w:rFonts w:ascii="Times New Roman"/>
                <w:sz w:val="20"/>
              </w:rPr>
            </w:pPr>
          </w:p>
        </w:tc>
        <w:tc>
          <w:tcPr>
            <w:tcW w:w="1048" w:type="dxa"/>
            <w:gridSpan w:val="2"/>
            <w:tcBorders>
              <w:top w:val="single" w:sz="4" w:space="0" w:color="000000"/>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2721" w:type="dxa"/>
            <w:tcBorders>
              <w:top w:val="single" w:sz="8" w:space="0" w:color="FFFFFF"/>
              <w:bottom w:val="single" w:sz="8" w:space="0" w:color="FFFFFF"/>
            </w:tcBorders>
            <w:shd w:val="clear" w:color="auto" w:fill="F4F4F4"/>
          </w:tcPr>
          <w:p>
            <w:pPr>
              <w:pStyle w:val="TableParagraph"/>
              <w:ind w:left="111"/>
              <w:rPr>
                <w:i/>
                <w:sz w:val="19"/>
              </w:rPr>
            </w:pPr>
            <w:r>
              <w:rPr>
                <w:i/>
                <w:color w:val="A7BE39"/>
                <w:sz w:val="19"/>
              </w:rPr>
              <w:t>Income</w:t>
            </w:r>
          </w:p>
        </w:tc>
        <w:tc>
          <w:tcPr>
            <w:tcW w:w="1049" w:type="dxa"/>
            <w:shd w:val="clear" w:color="auto" w:fill="DFE1B8"/>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049" w:type="dxa"/>
            <w:shd w:val="clear" w:color="auto" w:fill="DFE1B8"/>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049" w:type="dxa"/>
            <w:shd w:val="clear" w:color="auto" w:fill="DFE1B8"/>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049" w:type="dxa"/>
            <w:shd w:val="clear" w:color="auto" w:fill="DFE1B8"/>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049" w:type="dxa"/>
            <w:shd w:val="clear" w:color="auto" w:fill="DFE1B8"/>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049" w:type="dxa"/>
            <w:shd w:val="clear" w:color="auto" w:fill="DFE1B8"/>
          </w:tcPr>
          <w:p>
            <w:pPr>
              <w:pStyle w:val="TableParagraph"/>
              <w:spacing w:before="0"/>
              <w:rPr>
                <w:rFonts w:ascii="Times New Roman"/>
                <w:sz w:val="20"/>
              </w:rPr>
            </w:pPr>
          </w:p>
        </w:tc>
        <w:tc>
          <w:tcPr>
            <w:tcW w:w="1048" w:type="dxa"/>
            <w:gridSpan w:val="2"/>
            <w:tcBorders>
              <w:top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ind w:left="111"/>
              <w:rPr>
                <w:sz w:val="19"/>
              </w:rPr>
            </w:pPr>
            <w:r>
              <w:rPr>
                <w:sz w:val="19"/>
              </w:rPr>
              <w:t>User charges and fees</w:t>
            </w:r>
          </w:p>
        </w:tc>
        <w:tc>
          <w:tcPr>
            <w:tcW w:w="1049" w:type="dxa"/>
            <w:shd w:val="clear" w:color="auto" w:fill="DFE1B8"/>
          </w:tcPr>
          <w:p>
            <w:pPr>
              <w:pStyle w:val="TableParagraph"/>
              <w:ind w:right="117"/>
              <w:jc w:val="right"/>
              <w:rPr>
                <w:sz w:val="19"/>
              </w:rPr>
            </w:pPr>
            <w:r>
              <w:rPr>
                <w:w w:val="95"/>
                <w:sz w:val="19"/>
              </w:rPr>
              <w:t>2,719</w:t>
            </w:r>
          </w:p>
        </w:tc>
        <w:tc>
          <w:tcPr>
            <w:tcW w:w="1049" w:type="dxa"/>
            <w:gridSpan w:val="2"/>
            <w:tcBorders>
              <w:top w:val="single" w:sz="8" w:space="0" w:color="FFFFFF"/>
              <w:bottom w:val="single" w:sz="8" w:space="0" w:color="FFFFFF"/>
            </w:tcBorders>
            <w:shd w:val="clear" w:color="auto" w:fill="FAF9F9"/>
          </w:tcPr>
          <w:p>
            <w:pPr>
              <w:pStyle w:val="TableParagraph"/>
              <w:ind w:left="473"/>
              <w:rPr>
                <w:sz w:val="19"/>
              </w:rPr>
            </w:pPr>
            <w:r>
              <w:rPr>
                <w:sz w:val="19"/>
              </w:rPr>
              <w:t>2,895</w:t>
            </w:r>
          </w:p>
        </w:tc>
        <w:tc>
          <w:tcPr>
            <w:tcW w:w="1049" w:type="dxa"/>
            <w:shd w:val="clear" w:color="auto" w:fill="DFE1B8"/>
          </w:tcPr>
          <w:p>
            <w:pPr>
              <w:pStyle w:val="TableParagraph"/>
              <w:ind w:right="117"/>
              <w:jc w:val="right"/>
              <w:rPr>
                <w:sz w:val="19"/>
              </w:rPr>
            </w:pPr>
            <w:r>
              <w:rPr>
                <w:w w:val="95"/>
                <w:sz w:val="19"/>
              </w:rPr>
              <w:t>68,398</w:t>
            </w:r>
          </w:p>
        </w:tc>
        <w:tc>
          <w:tcPr>
            <w:tcW w:w="1049" w:type="dxa"/>
            <w:gridSpan w:val="2"/>
            <w:tcBorders>
              <w:top w:val="single" w:sz="8" w:space="0" w:color="FFFFFF"/>
              <w:bottom w:val="single" w:sz="8" w:space="0" w:color="FFFFFF"/>
            </w:tcBorders>
            <w:shd w:val="clear" w:color="auto" w:fill="FAF9F9"/>
          </w:tcPr>
          <w:p>
            <w:pPr>
              <w:pStyle w:val="TableParagraph"/>
              <w:ind w:left="371"/>
              <w:rPr>
                <w:sz w:val="19"/>
              </w:rPr>
            </w:pPr>
            <w:r>
              <w:rPr>
                <w:sz w:val="19"/>
              </w:rPr>
              <w:t>73,912</w:t>
            </w:r>
          </w:p>
        </w:tc>
        <w:tc>
          <w:tcPr>
            <w:tcW w:w="1049" w:type="dxa"/>
            <w:shd w:val="clear" w:color="auto" w:fill="DFE1B8"/>
          </w:tcPr>
          <w:p>
            <w:pPr>
              <w:pStyle w:val="TableParagraph"/>
              <w:ind w:right="114"/>
              <w:jc w:val="right"/>
              <w:rPr>
                <w:sz w:val="19"/>
              </w:rPr>
            </w:pPr>
            <w:r>
              <w:rPr>
                <w:w w:val="111"/>
                <w:sz w:val="19"/>
              </w:rPr>
              <w:t>-</w:t>
            </w:r>
          </w:p>
        </w:tc>
        <w:tc>
          <w:tcPr>
            <w:tcW w:w="1049" w:type="dxa"/>
            <w:gridSpan w:val="2"/>
            <w:tcBorders>
              <w:top w:val="single" w:sz="8" w:space="0" w:color="FFFFFF"/>
              <w:bottom w:val="single" w:sz="8" w:space="0" w:color="FFFFFF"/>
            </w:tcBorders>
            <w:shd w:val="clear" w:color="auto" w:fill="FAF9F9"/>
          </w:tcPr>
          <w:p>
            <w:pPr>
              <w:pStyle w:val="TableParagraph"/>
              <w:ind w:right="114"/>
              <w:jc w:val="right"/>
              <w:rPr>
                <w:sz w:val="19"/>
              </w:rPr>
            </w:pPr>
            <w:r>
              <w:rPr>
                <w:w w:val="111"/>
                <w:sz w:val="19"/>
              </w:rPr>
              <w:t>-</w:t>
            </w:r>
          </w:p>
        </w:tc>
        <w:tc>
          <w:tcPr>
            <w:tcW w:w="1049" w:type="dxa"/>
            <w:shd w:val="clear" w:color="auto" w:fill="DFE1B8"/>
          </w:tcPr>
          <w:p>
            <w:pPr>
              <w:pStyle w:val="TableParagraph"/>
              <w:ind w:right="118"/>
              <w:jc w:val="right"/>
              <w:rPr>
                <w:sz w:val="19"/>
              </w:rPr>
            </w:pPr>
            <w:r>
              <w:rPr>
                <w:w w:val="95"/>
                <w:sz w:val="19"/>
              </w:rPr>
              <w:t>986,913</w:t>
            </w:r>
          </w:p>
        </w:tc>
        <w:tc>
          <w:tcPr>
            <w:tcW w:w="1049" w:type="dxa"/>
            <w:gridSpan w:val="2"/>
            <w:tcBorders>
              <w:top w:val="single" w:sz="8" w:space="0" w:color="FFFFFF"/>
              <w:bottom w:val="single" w:sz="8" w:space="0" w:color="FFFFFF"/>
            </w:tcBorders>
            <w:shd w:val="clear" w:color="auto" w:fill="FAF9F9"/>
          </w:tcPr>
          <w:p>
            <w:pPr>
              <w:pStyle w:val="TableParagraph"/>
              <w:ind w:left="268"/>
              <w:rPr>
                <w:sz w:val="19"/>
              </w:rPr>
            </w:pPr>
            <w:r>
              <w:rPr>
                <w:sz w:val="19"/>
              </w:rPr>
              <w:t>870,525</w:t>
            </w:r>
          </w:p>
        </w:tc>
        <w:tc>
          <w:tcPr>
            <w:tcW w:w="1049" w:type="dxa"/>
            <w:shd w:val="clear" w:color="auto" w:fill="DFE1B8"/>
          </w:tcPr>
          <w:p>
            <w:pPr>
              <w:pStyle w:val="TableParagraph"/>
              <w:ind w:right="114"/>
              <w:jc w:val="right"/>
              <w:rPr>
                <w:sz w:val="19"/>
              </w:rPr>
            </w:pPr>
            <w:r>
              <w:rPr>
                <w:w w:val="111"/>
                <w:sz w:val="19"/>
              </w:rPr>
              <w:t>-</w:t>
            </w:r>
          </w:p>
        </w:tc>
        <w:tc>
          <w:tcPr>
            <w:tcW w:w="1049" w:type="dxa"/>
            <w:gridSpan w:val="2"/>
            <w:tcBorders>
              <w:top w:val="single" w:sz="8" w:space="0" w:color="FFFFFF"/>
              <w:bottom w:val="single" w:sz="8" w:space="0" w:color="FFFFFF"/>
            </w:tcBorders>
            <w:shd w:val="clear" w:color="auto" w:fill="FAF9F9"/>
          </w:tcPr>
          <w:p>
            <w:pPr>
              <w:pStyle w:val="TableParagraph"/>
              <w:ind w:right="115"/>
              <w:jc w:val="right"/>
              <w:rPr>
                <w:sz w:val="19"/>
              </w:rPr>
            </w:pPr>
            <w:r>
              <w:rPr>
                <w:w w:val="111"/>
                <w:sz w:val="19"/>
              </w:rPr>
              <w:t>-</w:t>
            </w:r>
          </w:p>
        </w:tc>
        <w:tc>
          <w:tcPr>
            <w:tcW w:w="1049" w:type="dxa"/>
            <w:shd w:val="clear" w:color="auto" w:fill="DFE1B8"/>
          </w:tcPr>
          <w:p>
            <w:pPr>
              <w:pStyle w:val="TableParagraph"/>
              <w:ind w:right="119"/>
              <w:jc w:val="right"/>
              <w:rPr>
                <w:sz w:val="19"/>
              </w:rPr>
            </w:pPr>
            <w:r>
              <w:rPr>
                <w:w w:val="95"/>
                <w:sz w:val="19"/>
              </w:rPr>
              <w:t>1,058,030</w:t>
            </w:r>
          </w:p>
        </w:tc>
        <w:tc>
          <w:tcPr>
            <w:tcW w:w="1048" w:type="dxa"/>
            <w:gridSpan w:val="2"/>
            <w:tcBorders>
              <w:top w:val="single" w:sz="8" w:space="0" w:color="FFFFFF"/>
              <w:bottom w:val="single" w:sz="8" w:space="0" w:color="FFFFFF"/>
            </w:tcBorders>
            <w:shd w:val="clear" w:color="auto" w:fill="FAF9F9"/>
          </w:tcPr>
          <w:p>
            <w:pPr>
              <w:pStyle w:val="TableParagraph"/>
              <w:ind w:left="267"/>
              <w:rPr>
                <w:sz w:val="19"/>
              </w:rPr>
            </w:pPr>
            <w:r>
              <w:rPr>
                <w:sz w:val="19"/>
              </w:rPr>
              <w:t>947,333</w:t>
            </w:r>
          </w:p>
        </w:tc>
      </w:tr>
      <w:tr>
        <w:trPr>
          <w:trHeight w:val="252" w:hRule="atLeast"/>
        </w:trPr>
        <w:tc>
          <w:tcPr>
            <w:tcW w:w="2721" w:type="dxa"/>
            <w:tcBorders>
              <w:top w:val="single" w:sz="8" w:space="0" w:color="FFFFFF"/>
            </w:tcBorders>
            <w:shd w:val="clear" w:color="auto" w:fill="F4F4F4"/>
          </w:tcPr>
          <w:p>
            <w:pPr>
              <w:pStyle w:val="TableParagraph"/>
              <w:spacing w:line="201" w:lineRule="exact"/>
              <w:ind w:left="111"/>
              <w:rPr>
                <w:sz w:val="19"/>
              </w:rPr>
            </w:pPr>
            <w:r>
              <w:rPr>
                <w:sz w:val="19"/>
              </w:rPr>
              <w:t>Commonwealth grants</w:t>
            </w:r>
          </w:p>
        </w:tc>
        <w:tc>
          <w:tcPr>
            <w:tcW w:w="1049" w:type="dxa"/>
            <w:shd w:val="clear" w:color="auto" w:fill="DFE1B8"/>
          </w:tcPr>
          <w:p>
            <w:pPr>
              <w:pStyle w:val="TableParagraph"/>
              <w:spacing w:line="201" w:lineRule="exact"/>
              <w:ind w:right="117"/>
              <w:jc w:val="right"/>
              <w:rPr>
                <w:sz w:val="19"/>
              </w:rPr>
            </w:pPr>
            <w:r>
              <w:rPr>
                <w:w w:val="95"/>
                <w:sz w:val="19"/>
              </w:rPr>
              <w:t>62</w:t>
            </w:r>
          </w:p>
        </w:tc>
        <w:tc>
          <w:tcPr>
            <w:tcW w:w="1049" w:type="dxa"/>
            <w:gridSpan w:val="2"/>
            <w:tcBorders>
              <w:top w:val="single" w:sz="8" w:space="0" w:color="FFFFFF"/>
            </w:tcBorders>
            <w:shd w:val="clear" w:color="auto" w:fill="F4F4F4"/>
          </w:tcPr>
          <w:p>
            <w:pPr>
              <w:pStyle w:val="TableParagraph"/>
              <w:spacing w:line="201" w:lineRule="exact"/>
              <w:ind w:right="117"/>
              <w:jc w:val="right"/>
              <w:rPr>
                <w:sz w:val="19"/>
              </w:rPr>
            </w:pPr>
            <w:r>
              <w:rPr>
                <w:w w:val="95"/>
                <w:sz w:val="19"/>
              </w:rPr>
              <w:t>73</w:t>
            </w:r>
          </w:p>
        </w:tc>
        <w:tc>
          <w:tcPr>
            <w:tcW w:w="1049" w:type="dxa"/>
            <w:shd w:val="clear" w:color="auto" w:fill="DFE1B8"/>
          </w:tcPr>
          <w:p>
            <w:pPr>
              <w:pStyle w:val="TableParagraph"/>
              <w:spacing w:line="201" w:lineRule="exact"/>
              <w:ind w:right="113"/>
              <w:jc w:val="right"/>
              <w:rPr>
                <w:sz w:val="19"/>
              </w:rPr>
            </w:pPr>
            <w:r>
              <w:rPr>
                <w:w w:val="111"/>
                <w:sz w:val="19"/>
              </w:rPr>
              <w:t>-</w:t>
            </w:r>
          </w:p>
        </w:tc>
        <w:tc>
          <w:tcPr>
            <w:tcW w:w="1049" w:type="dxa"/>
            <w:gridSpan w:val="2"/>
            <w:tcBorders>
              <w:top w:val="single" w:sz="8" w:space="0" w:color="FFFFFF"/>
            </w:tcBorders>
            <w:shd w:val="clear" w:color="auto" w:fill="F4F4F4"/>
          </w:tcPr>
          <w:p>
            <w:pPr>
              <w:pStyle w:val="TableParagraph"/>
              <w:spacing w:line="201" w:lineRule="exact"/>
              <w:ind w:right="114"/>
              <w:jc w:val="right"/>
              <w:rPr>
                <w:sz w:val="19"/>
              </w:rPr>
            </w:pPr>
            <w:r>
              <w:rPr>
                <w:w w:val="111"/>
                <w:sz w:val="19"/>
              </w:rPr>
              <w:t>-</w:t>
            </w:r>
          </w:p>
        </w:tc>
        <w:tc>
          <w:tcPr>
            <w:tcW w:w="1049" w:type="dxa"/>
            <w:shd w:val="clear" w:color="auto" w:fill="DFE1B8"/>
          </w:tcPr>
          <w:p>
            <w:pPr>
              <w:pStyle w:val="TableParagraph"/>
              <w:spacing w:line="201" w:lineRule="exact"/>
              <w:ind w:right="114"/>
              <w:jc w:val="right"/>
              <w:rPr>
                <w:sz w:val="19"/>
              </w:rPr>
            </w:pPr>
            <w:r>
              <w:rPr>
                <w:w w:val="111"/>
                <w:sz w:val="19"/>
              </w:rPr>
              <w:t>-</w:t>
            </w:r>
          </w:p>
        </w:tc>
        <w:tc>
          <w:tcPr>
            <w:tcW w:w="1049" w:type="dxa"/>
            <w:gridSpan w:val="2"/>
            <w:tcBorders>
              <w:top w:val="single" w:sz="8" w:space="0" w:color="FFFFFF"/>
            </w:tcBorders>
            <w:shd w:val="clear" w:color="auto" w:fill="F4F4F4"/>
          </w:tcPr>
          <w:p>
            <w:pPr>
              <w:pStyle w:val="TableParagraph"/>
              <w:spacing w:line="201" w:lineRule="exact"/>
              <w:ind w:right="114"/>
              <w:jc w:val="right"/>
              <w:rPr>
                <w:sz w:val="19"/>
              </w:rPr>
            </w:pPr>
            <w:r>
              <w:rPr>
                <w:w w:val="111"/>
                <w:sz w:val="19"/>
              </w:rPr>
              <w:t>-</w:t>
            </w:r>
          </w:p>
        </w:tc>
        <w:tc>
          <w:tcPr>
            <w:tcW w:w="1049" w:type="dxa"/>
            <w:shd w:val="clear" w:color="auto" w:fill="DFE1B8"/>
          </w:tcPr>
          <w:p>
            <w:pPr>
              <w:pStyle w:val="TableParagraph"/>
              <w:spacing w:line="201" w:lineRule="exact"/>
              <w:ind w:right="118"/>
              <w:jc w:val="right"/>
              <w:rPr>
                <w:sz w:val="19"/>
              </w:rPr>
            </w:pPr>
            <w:r>
              <w:rPr>
                <w:w w:val="95"/>
                <w:sz w:val="19"/>
              </w:rPr>
              <w:t>3,430</w:t>
            </w:r>
          </w:p>
        </w:tc>
        <w:tc>
          <w:tcPr>
            <w:tcW w:w="1049" w:type="dxa"/>
            <w:gridSpan w:val="2"/>
            <w:tcBorders>
              <w:top w:val="single" w:sz="8" w:space="0" w:color="FFFFFF"/>
            </w:tcBorders>
            <w:shd w:val="clear" w:color="auto" w:fill="F4F4F4"/>
          </w:tcPr>
          <w:p>
            <w:pPr>
              <w:pStyle w:val="TableParagraph"/>
              <w:spacing w:line="201" w:lineRule="exact"/>
              <w:ind w:left="471"/>
              <w:rPr>
                <w:sz w:val="19"/>
              </w:rPr>
            </w:pPr>
            <w:r>
              <w:rPr>
                <w:sz w:val="19"/>
              </w:rPr>
              <w:t>1,611</w:t>
            </w:r>
          </w:p>
        </w:tc>
        <w:tc>
          <w:tcPr>
            <w:tcW w:w="1049" w:type="dxa"/>
            <w:shd w:val="clear" w:color="auto" w:fill="DFE1B8"/>
          </w:tcPr>
          <w:p>
            <w:pPr>
              <w:pStyle w:val="TableParagraph"/>
              <w:spacing w:line="201" w:lineRule="exact"/>
              <w:ind w:right="115"/>
              <w:jc w:val="right"/>
              <w:rPr>
                <w:sz w:val="19"/>
              </w:rPr>
            </w:pPr>
            <w:r>
              <w:rPr>
                <w:w w:val="111"/>
                <w:sz w:val="19"/>
              </w:rPr>
              <w:t>-</w:t>
            </w:r>
          </w:p>
        </w:tc>
        <w:tc>
          <w:tcPr>
            <w:tcW w:w="1049" w:type="dxa"/>
            <w:gridSpan w:val="2"/>
            <w:tcBorders>
              <w:top w:val="single" w:sz="8" w:space="0" w:color="FFFFFF"/>
            </w:tcBorders>
            <w:shd w:val="clear" w:color="auto" w:fill="F4F4F4"/>
          </w:tcPr>
          <w:p>
            <w:pPr>
              <w:pStyle w:val="TableParagraph"/>
              <w:spacing w:line="201" w:lineRule="exact"/>
              <w:ind w:right="115"/>
              <w:jc w:val="right"/>
              <w:rPr>
                <w:sz w:val="19"/>
              </w:rPr>
            </w:pPr>
            <w:r>
              <w:rPr>
                <w:w w:val="111"/>
                <w:sz w:val="19"/>
              </w:rPr>
              <w:t>-</w:t>
            </w:r>
          </w:p>
        </w:tc>
        <w:tc>
          <w:tcPr>
            <w:tcW w:w="1049" w:type="dxa"/>
            <w:shd w:val="clear" w:color="auto" w:fill="DFE1B8"/>
          </w:tcPr>
          <w:p>
            <w:pPr>
              <w:pStyle w:val="TableParagraph"/>
              <w:spacing w:line="201" w:lineRule="exact"/>
              <w:ind w:right="119"/>
              <w:jc w:val="right"/>
              <w:rPr>
                <w:sz w:val="19"/>
              </w:rPr>
            </w:pPr>
            <w:r>
              <w:rPr>
                <w:w w:val="95"/>
                <w:sz w:val="19"/>
              </w:rPr>
              <w:t>3,492</w:t>
            </w:r>
          </w:p>
        </w:tc>
        <w:tc>
          <w:tcPr>
            <w:tcW w:w="1048" w:type="dxa"/>
            <w:gridSpan w:val="2"/>
            <w:tcBorders>
              <w:top w:val="single" w:sz="8" w:space="0" w:color="FFFFFF"/>
            </w:tcBorders>
            <w:shd w:val="clear" w:color="auto" w:fill="F4F4F4"/>
          </w:tcPr>
          <w:p>
            <w:pPr>
              <w:pStyle w:val="TableParagraph"/>
              <w:spacing w:line="201" w:lineRule="exact"/>
              <w:ind w:left="471"/>
              <w:rPr>
                <w:sz w:val="19"/>
              </w:rPr>
            </w:pPr>
            <w:r>
              <w:rPr>
                <w:sz w:val="19"/>
              </w:rPr>
              <w:t>1,684</w:t>
            </w:r>
          </w:p>
        </w:tc>
      </w:tr>
      <w:tr>
        <w:trPr>
          <w:trHeight w:val="260" w:hRule="atLeast"/>
        </w:trPr>
        <w:tc>
          <w:tcPr>
            <w:tcW w:w="2721" w:type="dxa"/>
            <w:tcBorders>
              <w:bottom w:val="single" w:sz="8" w:space="0" w:color="FFFFFF"/>
            </w:tcBorders>
            <w:shd w:val="clear" w:color="auto" w:fill="F4F4F4"/>
          </w:tcPr>
          <w:p>
            <w:pPr>
              <w:pStyle w:val="TableParagraph"/>
              <w:spacing w:before="7"/>
              <w:ind w:left="111"/>
              <w:rPr>
                <w:sz w:val="19"/>
              </w:rPr>
            </w:pPr>
            <w:r>
              <w:rPr>
                <w:sz w:val="19"/>
              </w:rPr>
              <w:t>and contributions</w:t>
            </w:r>
          </w:p>
        </w:tc>
        <w:tc>
          <w:tcPr>
            <w:tcW w:w="1049" w:type="dxa"/>
            <w:shd w:val="clear" w:color="auto" w:fill="DFE1B8"/>
          </w:tcPr>
          <w:p>
            <w:pPr>
              <w:pStyle w:val="TableParagraph"/>
              <w:spacing w:before="0"/>
              <w:rPr>
                <w:rFonts w:ascii="Times New Roman"/>
                <w:sz w:val="18"/>
              </w:rPr>
            </w:pPr>
          </w:p>
        </w:tc>
        <w:tc>
          <w:tcPr>
            <w:tcW w:w="1049" w:type="dxa"/>
            <w:gridSpan w:val="2"/>
            <w:tcBorders>
              <w:bottom w:val="single" w:sz="8" w:space="0" w:color="FFFFFF"/>
            </w:tcBorders>
            <w:shd w:val="clear" w:color="auto" w:fill="F4F4F4"/>
          </w:tcPr>
          <w:p>
            <w:pPr>
              <w:pStyle w:val="TableParagraph"/>
              <w:spacing w:before="0"/>
              <w:rPr>
                <w:rFonts w:ascii="Times New Roman"/>
                <w:sz w:val="18"/>
              </w:rPr>
            </w:pPr>
          </w:p>
        </w:tc>
        <w:tc>
          <w:tcPr>
            <w:tcW w:w="1049" w:type="dxa"/>
            <w:shd w:val="clear" w:color="auto" w:fill="DFE1B8"/>
          </w:tcPr>
          <w:p>
            <w:pPr>
              <w:pStyle w:val="TableParagraph"/>
              <w:spacing w:before="0"/>
              <w:rPr>
                <w:rFonts w:ascii="Times New Roman"/>
                <w:sz w:val="18"/>
              </w:rPr>
            </w:pPr>
          </w:p>
        </w:tc>
        <w:tc>
          <w:tcPr>
            <w:tcW w:w="1049" w:type="dxa"/>
            <w:gridSpan w:val="2"/>
            <w:tcBorders>
              <w:bottom w:val="single" w:sz="8" w:space="0" w:color="FFFFFF"/>
            </w:tcBorders>
            <w:shd w:val="clear" w:color="auto" w:fill="F4F4F4"/>
          </w:tcPr>
          <w:p>
            <w:pPr>
              <w:pStyle w:val="TableParagraph"/>
              <w:spacing w:before="0"/>
              <w:rPr>
                <w:rFonts w:ascii="Times New Roman"/>
                <w:sz w:val="18"/>
              </w:rPr>
            </w:pPr>
          </w:p>
        </w:tc>
        <w:tc>
          <w:tcPr>
            <w:tcW w:w="1049" w:type="dxa"/>
            <w:shd w:val="clear" w:color="auto" w:fill="DFE1B8"/>
          </w:tcPr>
          <w:p>
            <w:pPr>
              <w:pStyle w:val="TableParagraph"/>
              <w:spacing w:before="0"/>
              <w:rPr>
                <w:rFonts w:ascii="Times New Roman"/>
                <w:sz w:val="18"/>
              </w:rPr>
            </w:pPr>
          </w:p>
        </w:tc>
        <w:tc>
          <w:tcPr>
            <w:tcW w:w="1049" w:type="dxa"/>
            <w:gridSpan w:val="2"/>
            <w:tcBorders>
              <w:bottom w:val="single" w:sz="8" w:space="0" w:color="FFFFFF"/>
            </w:tcBorders>
            <w:shd w:val="clear" w:color="auto" w:fill="F4F4F4"/>
          </w:tcPr>
          <w:p>
            <w:pPr>
              <w:pStyle w:val="TableParagraph"/>
              <w:spacing w:before="0"/>
              <w:rPr>
                <w:rFonts w:ascii="Times New Roman"/>
                <w:sz w:val="18"/>
              </w:rPr>
            </w:pPr>
          </w:p>
        </w:tc>
        <w:tc>
          <w:tcPr>
            <w:tcW w:w="1049" w:type="dxa"/>
            <w:shd w:val="clear" w:color="auto" w:fill="DFE1B8"/>
          </w:tcPr>
          <w:p>
            <w:pPr>
              <w:pStyle w:val="TableParagraph"/>
              <w:spacing w:before="0"/>
              <w:rPr>
                <w:rFonts w:ascii="Times New Roman"/>
                <w:sz w:val="18"/>
              </w:rPr>
            </w:pPr>
          </w:p>
        </w:tc>
        <w:tc>
          <w:tcPr>
            <w:tcW w:w="1049" w:type="dxa"/>
            <w:gridSpan w:val="2"/>
            <w:tcBorders>
              <w:bottom w:val="single" w:sz="8" w:space="0" w:color="FFFFFF"/>
            </w:tcBorders>
            <w:shd w:val="clear" w:color="auto" w:fill="F4F4F4"/>
          </w:tcPr>
          <w:p>
            <w:pPr>
              <w:pStyle w:val="TableParagraph"/>
              <w:spacing w:before="0"/>
              <w:rPr>
                <w:rFonts w:ascii="Times New Roman"/>
                <w:sz w:val="18"/>
              </w:rPr>
            </w:pPr>
          </w:p>
        </w:tc>
        <w:tc>
          <w:tcPr>
            <w:tcW w:w="1049" w:type="dxa"/>
            <w:shd w:val="clear" w:color="auto" w:fill="DFE1B8"/>
          </w:tcPr>
          <w:p>
            <w:pPr>
              <w:pStyle w:val="TableParagraph"/>
              <w:spacing w:before="0"/>
              <w:rPr>
                <w:rFonts w:ascii="Times New Roman"/>
                <w:sz w:val="18"/>
              </w:rPr>
            </w:pPr>
          </w:p>
        </w:tc>
        <w:tc>
          <w:tcPr>
            <w:tcW w:w="1049" w:type="dxa"/>
            <w:gridSpan w:val="2"/>
            <w:tcBorders>
              <w:bottom w:val="single" w:sz="8" w:space="0" w:color="FFFFFF"/>
            </w:tcBorders>
            <w:shd w:val="clear" w:color="auto" w:fill="F4F4F4"/>
          </w:tcPr>
          <w:p>
            <w:pPr>
              <w:pStyle w:val="TableParagraph"/>
              <w:spacing w:before="0"/>
              <w:rPr>
                <w:rFonts w:ascii="Times New Roman"/>
                <w:sz w:val="18"/>
              </w:rPr>
            </w:pPr>
          </w:p>
        </w:tc>
        <w:tc>
          <w:tcPr>
            <w:tcW w:w="1049" w:type="dxa"/>
            <w:shd w:val="clear" w:color="auto" w:fill="DFE1B8"/>
          </w:tcPr>
          <w:p>
            <w:pPr>
              <w:pStyle w:val="TableParagraph"/>
              <w:spacing w:before="0"/>
              <w:rPr>
                <w:rFonts w:ascii="Times New Roman"/>
                <w:sz w:val="18"/>
              </w:rPr>
            </w:pPr>
          </w:p>
        </w:tc>
        <w:tc>
          <w:tcPr>
            <w:tcW w:w="1048" w:type="dxa"/>
            <w:gridSpan w:val="2"/>
            <w:tcBorders>
              <w:bottom w:val="single" w:sz="8" w:space="0" w:color="FFFFFF"/>
            </w:tcBorders>
            <w:shd w:val="clear" w:color="auto" w:fill="F4F4F4"/>
          </w:tcPr>
          <w:p>
            <w:pPr>
              <w:pStyle w:val="TableParagraph"/>
              <w:spacing w:before="0"/>
              <w:rPr>
                <w:rFonts w:ascii="Times New Roman"/>
                <w:sz w:val="18"/>
              </w:rPr>
            </w:pP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ind w:left="111"/>
              <w:rPr>
                <w:sz w:val="19"/>
              </w:rPr>
            </w:pPr>
            <w:r>
              <w:rPr>
                <w:sz w:val="19"/>
              </w:rPr>
              <w:t>Interest revenue</w:t>
            </w:r>
          </w:p>
        </w:tc>
        <w:tc>
          <w:tcPr>
            <w:tcW w:w="1049" w:type="dxa"/>
            <w:shd w:val="clear" w:color="auto" w:fill="DFE1B8"/>
          </w:tcPr>
          <w:p>
            <w:pPr>
              <w:pStyle w:val="TableParagraph"/>
              <w:ind w:right="113"/>
              <w:jc w:val="right"/>
              <w:rPr>
                <w:sz w:val="19"/>
              </w:rPr>
            </w:pPr>
            <w:r>
              <w:rPr>
                <w:w w:val="111"/>
                <w:sz w:val="19"/>
              </w:rPr>
              <w:t>-</w:t>
            </w:r>
          </w:p>
        </w:tc>
        <w:tc>
          <w:tcPr>
            <w:tcW w:w="1049" w:type="dxa"/>
            <w:gridSpan w:val="2"/>
            <w:tcBorders>
              <w:top w:val="single" w:sz="8" w:space="0" w:color="FFFFFF"/>
              <w:bottom w:val="single" w:sz="8" w:space="0" w:color="FFFFFF"/>
            </w:tcBorders>
            <w:shd w:val="clear" w:color="auto" w:fill="FAF9F9"/>
          </w:tcPr>
          <w:p>
            <w:pPr>
              <w:pStyle w:val="TableParagraph"/>
              <w:ind w:right="113"/>
              <w:jc w:val="right"/>
              <w:rPr>
                <w:sz w:val="19"/>
              </w:rPr>
            </w:pPr>
            <w:r>
              <w:rPr>
                <w:w w:val="111"/>
                <w:sz w:val="19"/>
              </w:rPr>
              <w:t>-</w:t>
            </w:r>
          </w:p>
        </w:tc>
        <w:tc>
          <w:tcPr>
            <w:tcW w:w="1049" w:type="dxa"/>
            <w:shd w:val="clear" w:color="auto" w:fill="DFE1B8"/>
          </w:tcPr>
          <w:p>
            <w:pPr>
              <w:pStyle w:val="TableParagraph"/>
              <w:ind w:right="117"/>
              <w:jc w:val="right"/>
              <w:rPr>
                <w:sz w:val="19"/>
              </w:rPr>
            </w:pPr>
            <w:r>
              <w:rPr>
                <w:w w:val="95"/>
                <w:sz w:val="19"/>
              </w:rPr>
              <w:t>473</w:t>
            </w:r>
          </w:p>
        </w:tc>
        <w:tc>
          <w:tcPr>
            <w:tcW w:w="1049" w:type="dxa"/>
            <w:gridSpan w:val="2"/>
            <w:tcBorders>
              <w:top w:val="single" w:sz="8" w:space="0" w:color="FFFFFF"/>
              <w:bottom w:val="single" w:sz="8" w:space="0" w:color="FFFFFF"/>
            </w:tcBorders>
            <w:shd w:val="clear" w:color="auto" w:fill="FAF9F9"/>
          </w:tcPr>
          <w:p>
            <w:pPr>
              <w:pStyle w:val="TableParagraph"/>
              <w:ind w:left="623"/>
              <w:rPr>
                <w:sz w:val="19"/>
              </w:rPr>
            </w:pPr>
            <w:r>
              <w:rPr>
                <w:sz w:val="19"/>
              </w:rPr>
              <w:t>219</w:t>
            </w:r>
          </w:p>
        </w:tc>
        <w:tc>
          <w:tcPr>
            <w:tcW w:w="1049" w:type="dxa"/>
            <w:shd w:val="clear" w:color="auto" w:fill="DFE1B8"/>
          </w:tcPr>
          <w:p>
            <w:pPr>
              <w:pStyle w:val="TableParagraph"/>
              <w:ind w:right="114"/>
              <w:jc w:val="right"/>
              <w:rPr>
                <w:sz w:val="19"/>
              </w:rPr>
            </w:pPr>
            <w:r>
              <w:rPr>
                <w:w w:val="111"/>
                <w:sz w:val="19"/>
              </w:rPr>
              <w:t>-</w:t>
            </w:r>
          </w:p>
        </w:tc>
        <w:tc>
          <w:tcPr>
            <w:tcW w:w="1049" w:type="dxa"/>
            <w:gridSpan w:val="2"/>
            <w:tcBorders>
              <w:top w:val="single" w:sz="8" w:space="0" w:color="FFFFFF"/>
              <w:bottom w:val="single" w:sz="8" w:space="0" w:color="FFFFFF"/>
            </w:tcBorders>
            <w:shd w:val="clear" w:color="auto" w:fill="FAF9F9"/>
          </w:tcPr>
          <w:p>
            <w:pPr>
              <w:pStyle w:val="TableParagraph"/>
              <w:ind w:right="114"/>
              <w:jc w:val="right"/>
              <w:rPr>
                <w:sz w:val="19"/>
              </w:rPr>
            </w:pPr>
            <w:r>
              <w:rPr>
                <w:w w:val="111"/>
                <w:sz w:val="19"/>
              </w:rPr>
              <w:t>-</w:t>
            </w:r>
          </w:p>
        </w:tc>
        <w:tc>
          <w:tcPr>
            <w:tcW w:w="1049" w:type="dxa"/>
            <w:shd w:val="clear" w:color="auto" w:fill="DFE1B8"/>
          </w:tcPr>
          <w:p>
            <w:pPr>
              <w:pStyle w:val="TableParagraph"/>
              <w:ind w:right="114"/>
              <w:jc w:val="right"/>
              <w:rPr>
                <w:sz w:val="19"/>
              </w:rPr>
            </w:pPr>
            <w:r>
              <w:rPr>
                <w:w w:val="111"/>
                <w:sz w:val="19"/>
              </w:rPr>
              <w:t>-</w:t>
            </w:r>
          </w:p>
        </w:tc>
        <w:tc>
          <w:tcPr>
            <w:tcW w:w="1049" w:type="dxa"/>
            <w:gridSpan w:val="2"/>
            <w:tcBorders>
              <w:top w:val="single" w:sz="8" w:space="0" w:color="FFFFFF"/>
              <w:bottom w:val="single" w:sz="8" w:space="0" w:color="FFFFFF"/>
            </w:tcBorders>
            <w:shd w:val="clear" w:color="auto" w:fill="FAF9F9"/>
          </w:tcPr>
          <w:p>
            <w:pPr>
              <w:pStyle w:val="TableParagraph"/>
              <w:ind w:right="115"/>
              <w:jc w:val="right"/>
              <w:rPr>
                <w:sz w:val="19"/>
              </w:rPr>
            </w:pPr>
            <w:r>
              <w:rPr>
                <w:w w:val="111"/>
                <w:sz w:val="19"/>
              </w:rPr>
              <w:t>-</w:t>
            </w:r>
          </w:p>
        </w:tc>
        <w:tc>
          <w:tcPr>
            <w:tcW w:w="1049" w:type="dxa"/>
            <w:shd w:val="clear" w:color="auto" w:fill="DFE1B8"/>
          </w:tcPr>
          <w:p>
            <w:pPr>
              <w:pStyle w:val="TableParagraph"/>
              <w:ind w:right="115"/>
              <w:jc w:val="right"/>
              <w:rPr>
                <w:sz w:val="19"/>
              </w:rPr>
            </w:pPr>
            <w:r>
              <w:rPr>
                <w:w w:val="111"/>
                <w:sz w:val="19"/>
              </w:rPr>
              <w:t>-</w:t>
            </w:r>
          </w:p>
        </w:tc>
        <w:tc>
          <w:tcPr>
            <w:tcW w:w="1049" w:type="dxa"/>
            <w:gridSpan w:val="2"/>
            <w:tcBorders>
              <w:top w:val="single" w:sz="8" w:space="0" w:color="FFFFFF"/>
              <w:bottom w:val="single" w:sz="8" w:space="0" w:color="FFFFFF"/>
            </w:tcBorders>
            <w:shd w:val="clear" w:color="auto" w:fill="FAF9F9"/>
          </w:tcPr>
          <w:p>
            <w:pPr>
              <w:pStyle w:val="TableParagraph"/>
              <w:ind w:right="115"/>
              <w:jc w:val="right"/>
              <w:rPr>
                <w:sz w:val="19"/>
              </w:rPr>
            </w:pPr>
            <w:r>
              <w:rPr>
                <w:w w:val="111"/>
                <w:sz w:val="19"/>
              </w:rPr>
              <w:t>-</w:t>
            </w:r>
          </w:p>
        </w:tc>
        <w:tc>
          <w:tcPr>
            <w:tcW w:w="1049" w:type="dxa"/>
            <w:shd w:val="clear" w:color="auto" w:fill="DFE1B8"/>
          </w:tcPr>
          <w:p>
            <w:pPr>
              <w:pStyle w:val="TableParagraph"/>
              <w:ind w:right="119"/>
              <w:jc w:val="right"/>
              <w:rPr>
                <w:sz w:val="19"/>
              </w:rPr>
            </w:pPr>
            <w:r>
              <w:rPr>
                <w:w w:val="95"/>
                <w:sz w:val="19"/>
              </w:rPr>
              <w:t>473</w:t>
            </w:r>
          </w:p>
        </w:tc>
        <w:tc>
          <w:tcPr>
            <w:tcW w:w="1048" w:type="dxa"/>
            <w:gridSpan w:val="2"/>
            <w:tcBorders>
              <w:top w:val="single" w:sz="8" w:space="0" w:color="FFFFFF"/>
              <w:bottom w:val="single" w:sz="8" w:space="0" w:color="FFFFFF"/>
            </w:tcBorders>
            <w:shd w:val="clear" w:color="auto" w:fill="FAF9F9"/>
          </w:tcPr>
          <w:p>
            <w:pPr>
              <w:pStyle w:val="TableParagraph"/>
              <w:ind w:left="621"/>
              <w:rPr>
                <w:sz w:val="19"/>
              </w:rPr>
            </w:pPr>
            <w:r>
              <w:rPr>
                <w:sz w:val="19"/>
              </w:rPr>
              <w:t>219</w:t>
            </w:r>
          </w:p>
        </w:tc>
      </w:tr>
      <w:tr>
        <w:trPr>
          <w:trHeight w:val="285" w:hRule="atLeast"/>
        </w:trPr>
        <w:tc>
          <w:tcPr>
            <w:tcW w:w="2721" w:type="dxa"/>
            <w:tcBorders>
              <w:top w:val="single" w:sz="8" w:space="0" w:color="FFFFFF"/>
              <w:bottom w:val="single" w:sz="8" w:space="0" w:color="FFFFFF"/>
            </w:tcBorders>
            <w:shd w:val="clear" w:color="auto" w:fill="F4F4F4"/>
          </w:tcPr>
          <w:p>
            <w:pPr>
              <w:pStyle w:val="TableParagraph"/>
              <w:ind w:left="110"/>
              <w:rPr>
                <w:sz w:val="19"/>
              </w:rPr>
            </w:pPr>
            <w:r>
              <w:rPr>
                <w:sz w:val="19"/>
              </w:rPr>
              <w:t>Other revenue</w:t>
            </w:r>
          </w:p>
        </w:tc>
        <w:tc>
          <w:tcPr>
            <w:tcW w:w="1049" w:type="dxa"/>
            <w:shd w:val="clear" w:color="auto" w:fill="DFE1B8"/>
          </w:tcPr>
          <w:p>
            <w:pPr>
              <w:pStyle w:val="TableParagraph"/>
              <w:ind w:right="117"/>
              <w:jc w:val="right"/>
              <w:rPr>
                <w:sz w:val="19"/>
              </w:rPr>
            </w:pPr>
            <w:r>
              <w:rPr>
                <w:w w:val="95"/>
                <w:sz w:val="19"/>
              </w:rPr>
              <w:t>210</w:t>
            </w:r>
          </w:p>
        </w:tc>
        <w:tc>
          <w:tcPr>
            <w:tcW w:w="1049" w:type="dxa"/>
            <w:gridSpan w:val="2"/>
            <w:tcBorders>
              <w:top w:val="single" w:sz="8" w:space="0" w:color="FFFFFF"/>
              <w:bottom w:val="single" w:sz="8" w:space="0" w:color="FFFFFF"/>
            </w:tcBorders>
            <w:shd w:val="clear" w:color="auto" w:fill="F4F4F4"/>
          </w:tcPr>
          <w:p>
            <w:pPr>
              <w:pStyle w:val="TableParagraph"/>
              <w:ind w:left="623"/>
              <w:rPr>
                <w:sz w:val="19"/>
              </w:rPr>
            </w:pPr>
            <w:r>
              <w:rPr>
                <w:sz w:val="19"/>
              </w:rPr>
              <w:t>198</w:t>
            </w:r>
          </w:p>
        </w:tc>
        <w:tc>
          <w:tcPr>
            <w:tcW w:w="1049" w:type="dxa"/>
            <w:shd w:val="clear" w:color="auto" w:fill="DFE1B8"/>
          </w:tcPr>
          <w:p>
            <w:pPr>
              <w:pStyle w:val="TableParagraph"/>
              <w:ind w:right="118"/>
              <w:jc w:val="right"/>
              <w:rPr>
                <w:sz w:val="19"/>
              </w:rPr>
            </w:pPr>
            <w:r>
              <w:rPr>
                <w:w w:val="95"/>
                <w:sz w:val="19"/>
              </w:rPr>
              <w:t>2,257</w:t>
            </w:r>
          </w:p>
        </w:tc>
        <w:tc>
          <w:tcPr>
            <w:tcW w:w="1049" w:type="dxa"/>
            <w:gridSpan w:val="2"/>
            <w:tcBorders>
              <w:top w:val="single" w:sz="8" w:space="0" w:color="FFFFFF"/>
              <w:bottom w:val="single" w:sz="8" w:space="0" w:color="FFFFFF"/>
            </w:tcBorders>
            <w:shd w:val="clear" w:color="auto" w:fill="F4F4F4"/>
          </w:tcPr>
          <w:p>
            <w:pPr>
              <w:pStyle w:val="TableParagraph"/>
              <w:ind w:left="472"/>
              <w:rPr>
                <w:sz w:val="19"/>
              </w:rPr>
            </w:pPr>
            <w:r>
              <w:rPr>
                <w:sz w:val="19"/>
              </w:rPr>
              <w:t>5,543</w:t>
            </w:r>
          </w:p>
        </w:tc>
        <w:tc>
          <w:tcPr>
            <w:tcW w:w="1049" w:type="dxa"/>
            <w:shd w:val="clear" w:color="auto" w:fill="DFE1B8"/>
          </w:tcPr>
          <w:p>
            <w:pPr>
              <w:pStyle w:val="TableParagraph"/>
              <w:ind w:right="118"/>
              <w:jc w:val="right"/>
              <w:rPr>
                <w:sz w:val="19"/>
              </w:rPr>
            </w:pPr>
            <w:r>
              <w:rPr>
                <w:w w:val="95"/>
                <w:sz w:val="19"/>
              </w:rPr>
              <w:t>596</w:t>
            </w:r>
          </w:p>
        </w:tc>
        <w:tc>
          <w:tcPr>
            <w:tcW w:w="1049" w:type="dxa"/>
            <w:gridSpan w:val="2"/>
            <w:tcBorders>
              <w:top w:val="single" w:sz="8" w:space="0" w:color="FFFFFF"/>
              <w:bottom w:val="single" w:sz="8" w:space="0" w:color="FFFFFF"/>
            </w:tcBorders>
            <w:shd w:val="clear" w:color="auto" w:fill="F4F4F4"/>
          </w:tcPr>
          <w:p>
            <w:pPr>
              <w:pStyle w:val="TableParagraph"/>
              <w:ind w:left="622"/>
              <w:rPr>
                <w:sz w:val="19"/>
              </w:rPr>
            </w:pPr>
            <w:r>
              <w:rPr>
                <w:sz w:val="19"/>
              </w:rPr>
              <w:t>334</w:t>
            </w:r>
          </w:p>
        </w:tc>
        <w:tc>
          <w:tcPr>
            <w:tcW w:w="1049" w:type="dxa"/>
            <w:shd w:val="clear" w:color="auto" w:fill="DFE1B8"/>
          </w:tcPr>
          <w:p>
            <w:pPr>
              <w:pStyle w:val="TableParagraph"/>
              <w:ind w:right="118"/>
              <w:jc w:val="right"/>
              <w:rPr>
                <w:sz w:val="19"/>
              </w:rPr>
            </w:pPr>
            <w:r>
              <w:rPr>
                <w:w w:val="95"/>
                <w:sz w:val="19"/>
              </w:rPr>
              <w:t>7,453</w:t>
            </w:r>
          </w:p>
        </w:tc>
        <w:tc>
          <w:tcPr>
            <w:tcW w:w="1049" w:type="dxa"/>
            <w:gridSpan w:val="2"/>
            <w:tcBorders>
              <w:top w:val="single" w:sz="8" w:space="0" w:color="FFFFFF"/>
              <w:bottom w:val="single" w:sz="8" w:space="0" w:color="FFFFFF"/>
            </w:tcBorders>
            <w:shd w:val="clear" w:color="auto" w:fill="F4F4F4"/>
          </w:tcPr>
          <w:p>
            <w:pPr>
              <w:pStyle w:val="TableParagraph"/>
              <w:ind w:left="471"/>
              <w:rPr>
                <w:sz w:val="19"/>
              </w:rPr>
            </w:pPr>
            <w:r>
              <w:rPr>
                <w:sz w:val="19"/>
              </w:rPr>
              <w:t>2,325</w:t>
            </w:r>
          </w:p>
        </w:tc>
        <w:tc>
          <w:tcPr>
            <w:tcW w:w="1049" w:type="dxa"/>
            <w:shd w:val="clear" w:color="auto" w:fill="DFE1B8"/>
          </w:tcPr>
          <w:p>
            <w:pPr>
              <w:pStyle w:val="TableParagraph"/>
              <w:ind w:right="119"/>
              <w:jc w:val="right"/>
              <w:rPr>
                <w:sz w:val="19"/>
              </w:rPr>
            </w:pPr>
            <w:r>
              <w:rPr>
                <w:w w:val="95"/>
                <w:sz w:val="19"/>
              </w:rPr>
              <w:t>100</w:t>
            </w:r>
          </w:p>
        </w:tc>
        <w:tc>
          <w:tcPr>
            <w:tcW w:w="1049" w:type="dxa"/>
            <w:gridSpan w:val="2"/>
            <w:tcBorders>
              <w:top w:val="single" w:sz="8" w:space="0" w:color="FFFFFF"/>
              <w:bottom w:val="single" w:sz="8" w:space="0" w:color="FFFFFF"/>
            </w:tcBorders>
            <w:shd w:val="clear" w:color="auto" w:fill="F4F4F4"/>
          </w:tcPr>
          <w:p>
            <w:pPr>
              <w:pStyle w:val="TableParagraph"/>
              <w:ind w:right="119"/>
              <w:jc w:val="right"/>
              <w:rPr>
                <w:sz w:val="19"/>
              </w:rPr>
            </w:pPr>
            <w:r>
              <w:rPr>
                <w:w w:val="95"/>
                <w:sz w:val="19"/>
              </w:rPr>
              <w:t>43</w:t>
            </w:r>
          </w:p>
        </w:tc>
        <w:tc>
          <w:tcPr>
            <w:tcW w:w="1049" w:type="dxa"/>
            <w:shd w:val="clear" w:color="auto" w:fill="DFE1B8"/>
          </w:tcPr>
          <w:p>
            <w:pPr>
              <w:pStyle w:val="TableParagraph"/>
              <w:ind w:right="119"/>
              <w:jc w:val="right"/>
              <w:rPr>
                <w:sz w:val="19"/>
              </w:rPr>
            </w:pPr>
            <w:r>
              <w:rPr>
                <w:w w:val="95"/>
                <w:sz w:val="19"/>
              </w:rPr>
              <w:t>10,615</w:t>
            </w:r>
          </w:p>
        </w:tc>
        <w:tc>
          <w:tcPr>
            <w:tcW w:w="1048" w:type="dxa"/>
            <w:gridSpan w:val="2"/>
            <w:tcBorders>
              <w:top w:val="single" w:sz="8" w:space="0" w:color="FFFFFF"/>
              <w:bottom w:val="single" w:sz="8" w:space="0" w:color="FFFFFF"/>
            </w:tcBorders>
            <w:shd w:val="clear" w:color="auto" w:fill="F4F4F4"/>
          </w:tcPr>
          <w:p>
            <w:pPr>
              <w:pStyle w:val="TableParagraph"/>
              <w:ind w:left="470"/>
              <w:rPr>
                <w:sz w:val="19"/>
              </w:rPr>
            </w:pPr>
            <w:r>
              <w:rPr>
                <w:sz w:val="19"/>
              </w:rPr>
              <w:t>8,443</w:t>
            </w:r>
          </w:p>
        </w:tc>
      </w:tr>
      <w:tr>
        <w:trPr>
          <w:trHeight w:val="252" w:hRule="atLeast"/>
        </w:trPr>
        <w:tc>
          <w:tcPr>
            <w:tcW w:w="2721" w:type="dxa"/>
            <w:tcBorders>
              <w:top w:val="single" w:sz="8" w:space="0" w:color="FFFFFF"/>
            </w:tcBorders>
            <w:shd w:val="clear" w:color="auto" w:fill="FAF9F9"/>
          </w:tcPr>
          <w:p>
            <w:pPr>
              <w:pStyle w:val="TableParagraph"/>
              <w:spacing w:line="201" w:lineRule="exact"/>
              <w:ind w:left="110"/>
              <w:rPr>
                <w:sz w:val="19"/>
              </w:rPr>
            </w:pPr>
            <w:r>
              <w:rPr>
                <w:sz w:val="19"/>
              </w:rPr>
              <w:t>Gain on disposal</w:t>
            </w:r>
          </w:p>
        </w:tc>
        <w:tc>
          <w:tcPr>
            <w:tcW w:w="1049" w:type="dxa"/>
            <w:shd w:val="clear" w:color="auto" w:fill="DFE1B8"/>
          </w:tcPr>
          <w:p>
            <w:pPr>
              <w:pStyle w:val="TableParagraph"/>
              <w:spacing w:line="201" w:lineRule="exact"/>
              <w:ind w:right="114"/>
              <w:jc w:val="right"/>
              <w:rPr>
                <w:sz w:val="19"/>
              </w:rPr>
            </w:pPr>
            <w:r>
              <w:rPr>
                <w:w w:val="111"/>
                <w:sz w:val="19"/>
              </w:rPr>
              <w:t>-</w:t>
            </w:r>
          </w:p>
        </w:tc>
        <w:tc>
          <w:tcPr>
            <w:tcW w:w="1049" w:type="dxa"/>
            <w:gridSpan w:val="2"/>
            <w:tcBorders>
              <w:top w:val="single" w:sz="8" w:space="0" w:color="FFFFFF"/>
            </w:tcBorders>
            <w:shd w:val="clear" w:color="auto" w:fill="FAF9F9"/>
          </w:tcPr>
          <w:p>
            <w:pPr>
              <w:pStyle w:val="TableParagraph"/>
              <w:spacing w:line="201" w:lineRule="exact"/>
              <w:ind w:right="114"/>
              <w:jc w:val="right"/>
              <w:rPr>
                <w:sz w:val="19"/>
              </w:rPr>
            </w:pPr>
            <w:r>
              <w:rPr>
                <w:w w:val="111"/>
                <w:sz w:val="19"/>
              </w:rPr>
              <w:t>-</w:t>
            </w:r>
          </w:p>
        </w:tc>
        <w:tc>
          <w:tcPr>
            <w:tcW w:w="1049" w:type="dxa"/>
            <w:shd w:val="clear" w:color="auto" w:fill="DFE1B8"/>
          </w:tcPr>
          <w:p>
            <w:pPr>
              <w:pStyle w:val="TableParagraph"/>
              <w:spacing w:line="201" w:lineRule="exact"/>
              <w:ind w:right="118"/>
              <w:jc w:val="right"/>
              <w:rPr>
                <w:sz w:val="19"/>
              </w:rPr>
            </w:pPr>
            <w:r>
              <w:rPr>
                <w:w w:val="95"/>
                <w:sz w:val="19"/>
              </w:rPr>
              <w:t>631</w:t>
            </w:r>
          </w:p>
        </w:tc>
        <w:tc>
          <w:tcPr>
            <w:tcW w:w="1049" w:type="dxa"/>
            <w:gridSpan w:val="2"/>
            <w:tcBorders>
              <w:top w:val="single" w:sz="8" w:space="0" w:color="FFFFFF"/>
            </w:tcBorders>
            <w:shd w:val="clear" w:color="auto" w:fill="FAF9F9"/>
          </w:tcPr>
          <w:p>
            <w:pPr>
              <w:pStyle w:val="TableParagraph"/>
              <w:spacing w:line="201" w:lineRule="exact"/>
              <w:ind w:left="623"/>
              <w:rPr>
                <w:sz w:val="19"/>
              </w:rPr>
            </w:pPr>
            <w:r>
              <w:rPr>
                <w:sz w:val="19"/>
              </w:rPr>
              <w:t>666</w:t>
            </w:r>
          </w:p>
        </w:tc>
        <w:tc>
          <w:tcPr>
            <w:tcW w:w="1049" w:type="dxa"/>
            <w:shd w:val="clear" w:color="auto" w:fill="DFE1B8"/>
          </w:tcPr>
          <w:p>
            <w:pPr>
              <w:pStyle w:val="TableParagraph"/>
              <w:spacing w:line="201" w:lineRule="exact"/>
              <w:ind w:right="114"/>
              <w:jc w:val="right"/>
              <w:rPr>
                <w:sz w:val="19"/>
              </w:rPr>
            </w:pPr>
            <w:r>
              <w:rPr>
                <w:w w:val="111"/>
                <w:sz w:val="19"/>
              </w:rPr>
              <w:t>-</w:t>
            </w:r>
          </w:p>
        </w:tc>
        <w:tc>
          <w:tcPr>
            <w:tcW w:w="1049" w:type="dxa"/>
            <w:gridSpan w:val="2"/>
            <w:tcBorders>
              <w:top w:val="single" w:sz="8" w:space="0" w:color="FFFFFF"/>
            </w:tcBorders>
            <w:shd w:val="clear" w:color="auto" w:fill="FAF9F9"/>
          </w:tcPr>
          <w:p>
            <w:pPr>
              <w:pStyle w:val="TableParagraph"/>
              <w:spacing w:line="201" w:lineRule="exact"/>
              <w:ind w:right="115"/>
              <w:jc w:val="right"/>
              <w:rPr>
                <w:sz w:val="19"/>
              </w:rPr>
            </w:pPr>
            <w:r>
              <w:rPr>
                <w:w w:val="111"/>
                <w:sz w:val="19"/>
              </w:rPr>
              <w:t>-</w:t>
            </w:r>
          </w:p>
        </w:tc>
        <w:tc>
          <w:tcPr>
            <w:tcW w:w="1049" w:type="dxa"/>
            <w:shd w:val="clear" w:color="auto" w:fill="DFE1B8"/>
          </w:tcPr>
          <w:p>
            <w:pPr>
              <w:pStyle w:val="TableParagraph"/>
              <w:spacing w:line="201" w:lineRule="exact"/>
              <w:ind w:right="115"/>
              <w:jc w:val="right"/>
              <w:rPr>
                <w:sz w:val="19"/>
              </w:rPr>
            </w:pPr>
            <w:r>
              <w:rPr>
                <w:w w:val="111"/>
                <w:sz w:val="19"/>
              </w:rPr>
              <w:t>-</w:t>
            </w:r>
          </w:p>
        </w:tc>
        <w:tc>
          <w:tcPr>
            <w:tcW w:w="1049" w:type="dxa"/>
            <w:gridSpan w:val="2"/>
            <w:tcBorders>
              <w:top w:val="single" w:sz="8" w:space="0" w:color="FFFFFF"/>
            </w:tcBorders>
            <w:shd w:val="clear" w:color="auto" w:fill="FAF9F9"/>
          </w:tcPr>
          <w:p>
            <w:pPr>
              <w:pStyle w:val="TableParagraph"/>
              <w:spacing w:line="201" w:lineRule="exact"/>
              <w:ind w:right="115"/>
              <w:jc w:val="right"/>
              <w:rPr>
                <w:sz w:val="19"/>
              </w:rPr>
            </w:pPr>
            <w:r>
              <w:rPr>
                <w:w w:val="111"/>
                <w:sz w:val="19"/>
              </w:rPr>
              <w:t>-</w:t>
            </w:r>
          </w:p>
        </w:tc>
        <w:tc>
          <w:tcPr>
            <w:tcW w:w="1049" w:type="dxa"/>
            <w:shd w:val="clear" w:color="auto" w:fill="DFE1B8"/>
          </w:tcPr>
          <w:p>
            <w:pPr>
              <w:pStyle w:val="TableParagraph"/>
              <w:spacing w:line="201" w:lineRule="exact"/>
              <w:ind w:right="115"/>
              <w:jc w:val="right"/>
              <w:rPr>
                <w:sz w:val="19"/>
              </w:rPr>
            </w:pPr>
            <w:r>
              <w:rPr>
                <w:w w:val="111"/>
                <w:sz w:val="19"/>
              </w:rPr>
              <w:t>-</w:t>
            </w:r>
          </w:p>
        </w:tc>
        <w:tc>
          <w:tcPr>
            <w:tcW w:w="1049" w:type="dxa"/>
            <w:gridSpan w:val="2"/>
            <w:tcBorders>
              <w:top w:val="single" w:sz="8" w:space="0" w:color="FFFFFF"/>
            </w:tcBorders>
            <w:shd w:val="clear" w:color="auto" w:fill="FAF9F9"/>
          </w:tcPr>
          <w:p>
            <w:pPr>
              <w:pStyle w:val="TableParagraph"/>
              <w:spacing w:line="201" w:lineRule="exact"/>
              <w:ind w:right="115"/>
              <w:jc w:val="right"/>
              <w:rPr>
                <w:sz w:val="19"/>
              </w:rPr>
            </w:pPr>
            <w:r>
              <w:rPr>
                <w:w w:val="111"/>
                <w:sz w:val="19"/>
              </w:rPr>
              <w:t>-</w:t>
            </w:r>
          </w:p>
        </w:tc>
        <w:tc>
          <w:tcPr>
            <w:tcW w:w="1049" w:type="dxa"/>
            <w:shd w:val="clear" w:color="auto" w:fill="DFE1B8"/>
          </w:tcPr>
          <w:p>
            <w:pPr>
              <w:pStyle w:val="TableParagraph"/>
              <w:spacing w:line="201" w:lineRule="exact"/>
              <w:ind w:right="119"/>
              <w:jc w:val="right"/>
              <w:rPr>
                <w:sz w:val="19"/>
              </w:rPr>
            </w:pPr>
            <w:r>
              <w:rPr>
                <w:w w:val="95"/>
                <w:sz w:val="19"/>
              </w:rPr>
              <w:t>631</w:t>
            </w:r>
          </w:p>
        </w:tc>
        <w:tc>
          <w:tcPr>
            <w:tcW w:w="1048" w:type="dxa"/>
            <w:gridSpan w:val="2"/>
            <w:tcBorders>
              <w:top w:val="single" w:sz="8" w:space="0" w:color="FFFFFF"/>
            </w:tcBorders>
            <w:shd w:val="clear" w:color="auto" w:fill="FAF9F9"/>
          </w:tcPr>
          <w:p>
            <w:pPr>
              <w:pStyle w:val="TableParagraph"/>
              <w:spacing w:line="201" w:lineRule="exact"/>
              <w:ind w:left="621"/>
              <w:rPr>
                <w:sz w:val="19"/>
              </w:rPr>
            </w:pPr>
            <w:r>
              <w:rPr>
                <w:sz w:val="19"/>
              </w:rPr>
              <w:t>666</w:t>
            </w:r>
          </w:p>
        </w:tc>
      </w:tr>
      <w:tr>
        <w:trPr>
          <w:trHeight w:val="261" w:hRule="atLeast"/>
        </w:trPr>
        <w:tc>
          <w:tcPr>
            <w:tcW w:w="2721" w:type="dxa"/>
            <w:tcBorders>
              <w:bottom w:val="single" w:sz="8" w:space="0" w:color="FFFFFF"/>
            </w:tcBorders>
            <w:shd w:val="clear" w:color="auto" w:fill="FAF9F9"/>
          </w:tcPr>
          <w:p>
            <w:pPr>
              <w:pStyle w:val="TableParagraph"/>
              <w:spacing w:before="7"/>
              <w:ind w:left="110"/>
              <w:rPr>
                <w:sz w:val="19"/>
              </w:rPr>
            </w:pPr>
            <w:r>
              <w:rPr>
                <w:sz w:val="19"/>
              </w:rPr>
              <w:t>of non-current assets</w:t>
            </w:r>
          </w:p>
        </w:tc>
        <w:tc>
          <w:tcPr>
            <w:tcW w:w="1049" w:type="dxa"/>
            <w:tcBorders>
              <w:bottom w:val="single" w:sz="4" w:space="0" w:color="000000"/>
            </w:tcBorders>
            <w:shd w:val="clear" w:color="auto" w:fill="DFE1B8"/>
          </w:tcPr>
          <w:p>
            <w:pPr>
              <w:pStyle w:val="TableParagraph"/>
              <w:spacing w:before="0"/>
              <w:rPr>
                <w:rFonts w:ascii="Times New Roman"/>
                <w:sz w:val="18"/>
              </w:rPr>
            </w:pPr>
          </w:p>
        </w:tc>
        <w:tc>
          <w:tcPr>
            <w:tcW w:w="1049" w:type="dxa"/>
            <w:gridSpan w:val="2"/>
            <w:tcBorders>
              <w:bottom w:val="single" w:sz="4" w:space="0" w:color="000000"/>
            </w:tcBorders>
            <w:shd w:val="clear" w:color="auto" w:fill="FAF9F9"/>
          </w:tcPr>
          <w:p>
            <w:pPr>
              <w:pStyle w:val="TableParagraph"/>
              <w:spacing w:before="0"/>
              <w:rPr>
                <w:rFonts w:ascii="Times New Roman"/>
                <w:sz w:val="18"/>
              </w:rPr>
            </w:pPr>
          </w:p>
        </w:tc>
        <w:tc>
          <w:tcPr>
            <w:tcW w:w="1049" w:type="dxa"/>
            <w:tcBorders>
              <w:bottom w:val="single" w:sz="4" w:space="0" w:color="000000"/>
            </w:tcBorders>
            <w:shd w:val="clear" w:color="auto" w:fill="DFE1B8"/>
          </w:tcPr>
          <w:p>
            <w:pPr>
              <w:pStyle w:val="TableParagraph"/>
              <w:spacing w:before="0"/>
              <w:rPr>
                <w:rFonts w:ascii="Times New Roman"/>
                <w:sz w:val="18"/>
              </w:rPr>
            </w:pPr>
          </w:p>
        </w:tc>
        <w:tc>
          <w:tcPr>
            <w:tcW w:w="1049" w:type="dxa"/>
            <w:gridSpan w:val="2"/>
            <w:tcBorders>
              <w:bottom w:val="single" w:sz="4" w:space="0" w:color="000000"/>
            </w:tcBorders>
            <w:shd w:val="clear" w:color="auto" w:fill="FAF9F9"/>
          </w:tcPr>
          <w:p>
            <w:pPr>
              <w:pStyle w:val="TableParagraph"/>
              <w:spacing w:before="0"/>
              <w:rPr>
                <w:rFonts w:ascii="Times New Roman"/>
                <w:sz w:val="18"/>
              </w:rPr>
            </w:pPr>
          </w:p>
        </w:tc>
        <w:tc>
          <w:tcPr>
            <w:tcW w:w="1049" w:type="dxa"/>
            <w:tcBorders>
              <w:bottom w:val="single" w:sz="4" w:space="0" w:color="000000"/>
            </w:tcBorders>
            <w:shd w:val="clear" w:color="auto" w:fill="DFE1B8"/>
          </w:tcPr>
          <w:p>
            <w:pPr>
              <w:pStyle w:val="TableParagraph"/>
              <w:spacing w:before="0"/>
              <w:rPr>
                <w:rFonts w:ascii="Times New Roman"/>
                <w:sz w:val="18"/>
              </w:rPr>
            </w:pPr>
          </w:p>
        </w:tc>
        <w:tc>
          <w:tcPr>
            <w:tcW w:w="1049" w:type="dxa"/>
            <w:gridSpan w:val="2"/>
            <w:tcBorders>
              <w:bottom w:val="single" w:sz="4" w:space="0" w:color="000000"/>
            </w:tcBorders>
            <w:shd w:val="clear" w:color="auto" w:fill="FAF9F9"/>
          </w:tcPr>
          <w:p>
            <w:pPr>
              <w:pStyle w:val="TableParagraph"/>
              <w:spacing w:before="0"/>
              <w:rPr>
                <w:rFonts w:ascii="Times New Roman"/>
                <w:sz w:val="18"/>
              </w:rPr>
            </w:pPr>
          </w:p>
        </w:tc>
        <w:tc>
          <w:tcPr>
            <w:tcW w:w="1049" w:type="dxa"/>
            <w:tcBorders>
              <w:bottom w:val="single" w:sz="4" w:space="0" w:color="000000"/>
            </w:tcBorders>
            <w:shd w:val="clear" w:color="auto" w:fill="DFE1B8"/>
          </w:tcPr>
          <w:p>
            <w:pPr>
              <w:pStyle w:val="TableParagraph"/>
              <w:spacing w:before="0"/>
              <w:rPr>
                <w:rFonts w:ascii="Times New Roman"/>
                <w:sz w:val="18"/>
              </w:rPr>
            </w:pPr>
          </w:p>
        </w:tc>
        <w:tc>
          <w:tcPr>
            <w:tcW w:w="1049" w:type="dxa"/>
            <w:gridSpan w:val="2"/>
            <w:tcBorders>
              <w:bottom w:val="single" w:sz="4" w:space="0" w:color="000000"/>
            </w:tcBorders>
            <w:shd w:val="clear" w:color="auto" w:fill="FAF9F9"/>
          </w:tcPr>
          <w:p>
            <w:pPr>
              <w:pStyle w:val="TableParagraph"/>
              <w:spacing w:before="0"/>
              <w:rPr>
                <w:rFonts w:ascii="Times New Roman"/>
                <w:sz w:val="18"/>
              </w:rPr>
            </w:pPr>
          </w:p>
        </w:tc>
        <w:tc>
          <w:tcPr>
            <w:tcW w:w="1049" w:type="dxa"/>
            <w:tcBorders>
              <w:bottom w:val="single" w:sz="4" w:space="0" w:color="000000"/>
            </w:tcBorders>
            <w:shd w:val="clear" w:color="auto" w:fill="DFE1B8"/>
          </w:tcPr>
          <w:p>
            <w:pPr>
              <w:pStyle w:val="TableParagraph"/>
              <w:spacing w:before="0"/>
              <w:rPr>
                <w:rFonts w:ascii="Times New Roman"/>
                <w:sz w:val="18"/>
              </w:rPr>
            </w:pPr>
          </w:p>
        </w:tc>
        <w:tc>
          <w:tcPr>
            <w:tcW w:w="1049" w:type="dxa"/>
            <w:gridSpan w:val="2"/>
            <w:tcBorders>
              <w:bottom w:val="single" w:sz="4" w:space="0" w:color="000000"/>
            </w:tcBorders>
            <w:shd w:val="clear" w:color="auto" w:fill="FAF9F9"/>
          </w:tcPr>
          <w:p>
            <w:pPr>
              <w:pStyle w:val="TableParagraph"/>
              <w:spacing w:before="0"/>
              <w:rPr>
                <w:rFonts w:ascii="Times New Roman"/>
                <w:sz w:val="18"/>
              </w:rPr>
            </w:pPr>
          </w:p>
        </w:tc>
        <w:tc>
          <w:tcPr>
            <w:tcW w:w="1049" w:type="dxa"/>
            <w:tcBorders>
              <w:bottom w:val="single" w:sz="4" w:space="0" w:color="000000"/>
            </w:tcBorders>
            <w:shd w:val="clear" w:color="auto" w:fill="DFE1B8"/>
          </w:tcPr>
          <w:p>
            <w:pPr>
              <w:pStyle w:val="TableParagraph"/>
              <w:spacing w:before="0"/>
              <w:rPr>
                <w:rFonts w:ascii="Times New Roman"/>
                <w:sz w:val="18"/>
              </w:rPr>
            </w:pPr>
          </w:p>
        </w:tc>
        <w:tc>
          <w:tcPr>
            <w:tcW w:w="1048" w:type="dxa"/>
            <w:gridSpan w:val="2"/>
            <w:tcBorders>
              <w:bottom w:val="single" w:sz="4" w:space="0" w:color="000000"/>
            </w:tcBorders>
            <w:shd w:val="clear" w:color="auto" w:fill="FAF9F9"/>
          </w:tcPr>
          <w:p>
            <w:pPr>
              <w:pStyle w:val="TableParagraph"/>
              <w:spacing w:before="0"/>
              <w:rPr>
                <w:rFonts w:ascii="Times New Roman"/>
                <w:sz w:val="18"/>
              </w:rPr>
            </w:pPr>
          </w:p>
        </w:tc>
      </w:tr>
      <w:tr>
        <w:trPr>
          <w:trHeight w:val="741" w:hRule="atLeast"/>
        </w:trPr>
        <w:tc>
          <w:tcPr>
            <w:tcW w:w="2721" w:type="dxa"/>
            <w:tcBorders>
              <w:top w:val="single" w:sz="8" w:space="0" w:color="FFFFFF"/>
              <w:bottom w:val="single" w:sz="8" w:space="0" w:color="FFFFFF"/>
            </w:tcBorders>
            <w:shd w:val="clear" w:color="auto" w:fill="F4F4F4"/>
          </w:tcPr>
          <w:p>
            <w:pPr>
              <w:pStyle w:val="TableParagraph"/>
              <w:spacing w:line="249" w:lineRule="auto"/>
              <w:ind w:left="110" w:right="632"/>
              <w:rPr>
                <w:b/>
                <w:sz w:val="19"/>
              </w:rPr>
            </w:pPr>
            <w:r>
              <w:rPr>
                <w:b/>
                <w:sz w:val="19"/>
              </w:rPr>
              <w:t>Total income other than income from State Government</w:t>
            </w:r>
          </w:p>
        </w:tc>
        <w:tc>
          <w:tcPr>
            <w:tcW w:w="1049" w:type="dxa"/>
            <w:tcBorders>
              <w:top w:val="single" w:sz="4" w:space="0" w:color="000000"/>
              <w:bottom w:val="single" w:sz="4" w:space="0" w:color="000000"/>
            </w:tcBorders>
            <w:shd w:val="clear" w:color="auto" w:fill="DFE1B8"/>
          </w:tcPr>
          <w:p>
            <w:pPr>
              <w:pStyle w:val="TableParagraph"/>
              <w:ind w:right="119"/>
              <w:jc w:val="right"/>
              <w:rPr>
                <w:b/>
                <w:sz w:val="19"/>
              </w:rPr>
            </w:pPr>
            <w:r>
              <w:rPr>
                <w:b/>
                <w:w w:val="95"/>
                <w:sz w:val="19"/>
              </w:rPr>
              <w:t>2,991</w:t>
            </w:r>
          </w:p>
        </w:tc>
        <w:tc>
          <w:tcPr>
            <w:tcW w:w="1049" w:type="dxa"/>
            <w:gridSpan w:val="2"/>
            <w:tcBorders>
              <w:top w:val="single" w:sz="4" w:space="0" w:color="000000"/>
              <w:bottom w:val="single" w:sz="4" w:space="0" w:color="000000"/>
            </w:tcBorders>
            <w:shd w:val="clear" w:color="auto" w:fill="F4F4F4"/>
          </w:tcPr>
          <w:p>
            <w:pPr>
              <w:pStyle w:val="TableParagraph"/>
              <w:ind w:left="472"/>
              <w:rPr>
                <w:b/>
                <w:sz w:val="19"/>
              </w:rPr>
            </w:pPr>
            <w:r>
              <w:rPr>
                <w:b/>
                <w:sz w:val="19"/>
              </w:rPr>
              <w:t>3,166</w:t>
            </w:r>
          </w:p>
        </w:tc>
        <w:tc>
          <w:tcPr>
            <w:tcW w:w="1049" w:type="dxa"/>
            <w:tcBorders>
              <w:top w:val="single" w:sz="4" w:space="0" w:color="000000"/>
              <w:bottom w:val="single" w:sz="4" w:space="0" w:color="000000"/>
            </w:tcBorders>
            <w:shd w:val="clear" w:color="auto" w:fill="DFE1B8"/>
          </w:tcPr>
          <w:p>
            <w:pPr>
              <w:pStyle w:val="TableParagraph"/>
              <w:ind w:right="118"/>
              <w:jc w:val="right"/>
              <w:rPr>
                <w:b/>
                <w:sz w:val="19"/>
              </w:rPr>
            </w:pPr>
            <w:r>
              <w:rPr>
                <w:b/>
                <w:w w:val="95"/>
                <w:sz w:val="19"/>
              </w:rPr>
              <w:t>71,759</w:t>
            </w:r>
          </w:p>
        </w:tc>
        <w:tc>
          <w:tcPr>
            <w:tcW w:w="1049" w:type="dxa"/>
            <w:gridSpan w:val="2"/>
            <w:tcBorders>
              <w:top w:val="single" w:sz="4" w:space="0" w:color="000000"/>
              <w:bottom w:val="single" w:sz="4" w:space="0" w:color="000000"/>
            </w:tcBorders>
            <w:shd w:val="clear" w:color="auto" w:fill="F4F4F4"/>
          </w:tcPr>
          <w:p>
            <w:pPr>
              <w:pStyle w:val="TableParagraph"/>
              <w:ind w:left="370"/>
              <w:rPr>
                <w:b/>
                <w:sz w:val="19"/>
              </w:rPr>
            </w:pPr>
            <w:r>
              <w:rPr>
                <w:b/>
                <w:sz w:val="19"/>
              </w:rPr>
              <w:t>80,339</w:t>
            </w:r>
          </w:p>
        </w:tc>
        <w:tc>
          <w:tcPr>
            <w:tcW w:w="1049" w:type="dxa"/>
            <w:tcBorders>
              <w:top w:val="single" w:sz="4" w:space="0" w:color="000000"/>
              <w:bottom w:val="single" w:sz="4" w:space="0" w:color="000000"/>
            </w:tcBorders>
            <w:shd w:val="clear" w:color="auto" w:fill="DFE1B8"/>
          </w:tcPr>
          <w:p>
            <w:pPr>
              <w:pStyle w:val="TableParagraph"/>
              <w:ind w:right="118"/>
              <w:jc w:val="right"/>
              <w:rPr>
                <w:b/>
                <w:sz w:val="19"/>
              </w:rPr>
            </w:pPr>
            <w:r>
              <w:rPr>
                <w:b/>
                <w:w w:val="95"/>
                <w:sz w:val="19"/>
              </w:rPr>
              <w:t>596</w:t>
            </w:r>
          </w:p>
        </w:tc>
        <w:tc>
          <w:tcPr>
            <w:tcW w:w="1049" w:type="dxa"/>
            <w:gridSpan w:val="2"/>
            <w:tcBorders>
              <w:top w:val="single" w:sz="4" w:space="0" w:color="000000"/>
              <w:bottom w:val="single" w:sz="4" w:space="0" w:color="000000"/>
            </w:tcBorders>
            <w:shd w:val="clear" w:color="auto" w:fill="F4F4F4"/>
          </w:tcPr>
          <w:p>
            <w:pPr>
              <w:pStyle w:val="TableParagraph"/>
              <w:ind w:left="622"/>
              <w:rPr>
                <w:b/>
                <w:sz w:val="19"/>
              </w:rPr>
            </w:pPr>
            <w:r>
              <w:rPr>
                <w:b/>
                <w:sz w:val="19"/>
              </w:rPr>
              <w:t>334</w:t>
            </w:r>
          </w:p>
        </w:tc>
        <w:tc>
          <w:tcPr>
            <w:tcW w:w="1049" w:type="dxa"/>
            <w:tcBorders>
              <w:top w:val="single" w:sz="4" w:space="0" w:color="000000"/>
              <w:bottom w:val="single" w:sz="4" w:space="0" w:color="000000"/>
            </w:tcBorders>
            <w:shd w:val="clear" w:color="auto" w:fill="DFE1B8"/>
          </w:tcPr>
          <w:p>
            <w:pPr>
              <w:pStyle w:val="TableParagraph"/>
              <w:ind w:right="119"/>
              <w:jc w:val="right"/>
              <w:rPr>
                <w:b/>
                <w:sz w:val="19"/>
              </w:rPr>
            </w:pPr>
            <w:r>
              <w:rPr>
                <w:b/>
                <w:w w:val="95"/>
                <w:sz w:val="19"/>
              </w:rPr>
              <w:t>997,796</w:t>
            </w:r>
          </w:p>
        </w:tc>
        <w:tc>
          <w:tcPr>
            <w:tcW w:w="1049" w:type="dxa"/>
            <w:gridSpan w:val="2"/>
            <w:tcBorders>
              <w:top w:val="single" w:sz="4" w:space="0" w:color="000000"/>
              <w:bottom w:val="single" w:sz="4" w:space="0" w:color="000000"/>
            </w:tcBorders>
            <w:shd w:val="clear" w:color="auto" w:fill="F4F4F4"/>
          </w:tcPr>
          <w:p>
            <w:pPr>
              <w:pStyle w:val="TableParagraph"/>
              <w:ind w:left="267"/>
              <w:rPr>
                <w:b/>
                <w:sz w:val="19"/>
              </w:rPr>
            </w:pPr>
            <w:r>
              <w:rPr>
                <w:b/>
                <w:sz w:val="19"/>
              </w:rPr>
              <w:t>874,461</w:t>
            </w:r>
          </w:p>
        </w:tc>
        <w:tc>
          <w:tcPr>
            <w:tcW w:w="1049" w:type="dxa"/>
            <w:tcBorders>
              <w:top w:val="single" w:sz="4" w:space="0" w:color="000000"/>
              <w:bottom w:val="single" w:sz="4" w:space="0" w:color="000000"/>
            </w:tcBorders>
            <w:shd w:val="clear" w:color="auto" w:fill="DFE1B8"/>
          </w:tcPr>
          <w:p>
            <w:pPr>
              <w:pStyle w:val="TableParagraph"/>
              <w:ind w:right="119"/>
              <w:jc w:val="right"/>
              <w:rPr>
                <w:b/>
                <w:sz w:val="19"/>
              </w:rPr>
            </w:pPr>
            <w:r>
              <w:rPr>
                <w:b/>
                <w:w w:val="95"/>
                <w:sz w:val="19"/>
              </w:rPr>
              <w:t>100</w:t>
            </w:r>
          </w:p>
        </w:tc>
        <w:tc>
          <w:tcPr>
            <w:tcW w:w="1049" w:type="dxa"/>
            <w:gridSpan w:val="2"/>
            <w:tcBorders>
              <w:top w:val="single" w:sz="4" w:space="0" w:color="000000"/>
              <w:bottom w:val="single" w:sz="4" w:space="0" w:color="000000"/>
            </w:tcBorders>
            <w:shd w:val="clear" w:color="auto" w:fill="F4F4F4"/>
          </w:tcPr>
          <w:p>
            <w:pPr>
              <w:pStyle w:val="TableParagraph"/>
              <w:ind w:right="119"/>
              <w:jc w:val="right"/>
              <w:rPr>
                <w:b/>
                <w:sz w:val="19"/>
              </w:rPr>
            </w:pPr>
            <w:r>
              <w:rPr>
                <w:b/>
                <w:w w:val="95"/>
                <w:sz w:val="19"/>
              </w:rPr>
              <w:t>43</w:t>
            </w:r>
          </w:p>
        </w:tc>
        <w:tc>
          <w:tcPr>
            <w:tcW w:w="1049" w:type="dxa"/>
            <w:tcBorders>
              <w:top w:val="single" w:sz="4" w:space="0" w:color="000000"/>
              <w:bottom w:val="single" w:sz="4" w:space="0" w:color="000000"/>
            </w:tcBorders>
            <w:shd w:val="clear" w:color="auto" w:fill="DFE1B8"/>
          </w:tcPr>
          <w:p>
            <w:pPr>
              <w:pStyle w:val="TableParagraph"/>
              <w:ind w:right="119"/>
              <w:jc w:val="right"/>
              <w:rPr>
                <w:b/>
                <w:sz w:val="19"/>
              </w:rPr>
            </w:pPr>
            <w:r>
              <w:rPr>
                <w:b/>
                <w:w w:val="95"/>
                <w:sz w:val="19"/>
              </w:rPr>
              <w:t>1,073,241</w:t>
            </w:r>
          </w:p>
        </w:tc>
        <w:tc>
          <w:tcPr>
            <w:tcW w:w="1048" w:type="dxa"/>
            <w:gridSpan w:val="2"/>
            <w:tcBorders>
              <w:top w:val="single" w:sz="4" w:space="0" w:color="000000"/>
              <w:bottom w:val="single" w:sz="4" w:space="0" w:color="000000"/>
            </w:tcBorders>
            <w:shd w:val="clear" w:color="auto" w:fill="F4F4F4"/>
          </w:tcPr>
          <w:p>
            <w:pPr>
              <w:pStyle w:val="TableParagraph"/>
              <w:ind w:left="266"/>
              <w:rPr>
                <w:b/>
                <w:sz w:val="19"/>
              </w:rPr>
            </w:pPr>
            <w:r>
              <w:rPr>
                <w:b/>
                <w:sz w:val="19"/>
              </w:rPr>
              <w:t>958,345</w:t>
            </w: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ind w:left="110"/>
              <w:rPr>
                <w:b/>
                <w:sz w:val="19"/>
              </w:rPr>
            </w:pPr>
            <w:r>
              <w:rPr>
                <w:b/>
                <w:sz w:val="19"/>
              </w:rPr>
              <w:t>NET COST OF SERVICES</w:t>
            </w:r>
          </w:p>
        </w:tc>
        <w:tc>
          <w:tcPr>
            <w:tcW w:w="1049" w:type="dxa"/>
            <w:tcBorders>
              <w:top w:val="single" w:sz="4" w:space="0" w:color="000000"/>
              <w:bottom w:val="single" w:sz="4" w:space="0" w:color="000000"/>
            </w:tcBorders>
            <w:shd w:val="clear" w:color="auto" w:fill="E1E4BB"/>
          </w:tcPr>
          <w:p>
            <w:pPr>
              <w:pStyle w:val="TableParagraph"/>
              <w:ind w:right="118"/>
              <w:jc w:val="right"/>
              <w:rPr>
                <w:b/>
                <w:sz w:val="19"/>
              </w:rPr>
            </w:pPr>
            <w:r>
              <w:rPr>
                <w:b/>
                <w:w w:val="95"/>
                <w:sz w:val="19"/>
              </w:rPr>
              <w:t>(53,994)</w:t>
            </w:r>
          </w:p>
        </w:tc>
        <w:tc>
          <w:tcPr>
            <w:tcW w:w="1049" w:type="dxa"/>
            <w:gridSpan w:val="2"/>
            <w:tcBorders>
              <w:top w:val="single" w:sz="4" w:space="0" w:color="000000"/>
              <w:bottom w:val="single" w:sz="4" w:space="0" w:color="000000"/>
            </w:tcBorders>
            <w:shd w:val="clear" w:color="auto" w:fill="FAF9F9"/>
          </w:tcPr>
          <w:p>
            <w:pPr>
              <w:pStyle w:val="TableParagraph"/>
              <w:ind w:left="265"/>
              <w:rPr>
                <w:b/>
                <w:sz w:val="19"/>
              </w:rPr>
            </w:pPr>
            <w:r>
              <w:rPr>
                <w:b/>
                <w:sz w:val="19"/>
              </w:rPr>
              <w:t>(53,362)</w:t>
            </w:r>
          </w:p>
        </w:tc>
        <w:tc>
          <w:tcPr>
            <w:tcW w:w="1049" w:type="dxa"/>
            <w:tcBorders>
              <w:top w:val="single" w:sz="4" w:space="0" w:color="000000"/>
              <w:bottom w:val="single" w:sz="4" w:space="0" w:color="000000"/>
            </w:tcBorders>
            <w:shd w:val="clear" w:color="auto" w:fill="E1E4BB"/>
          </w:tcPr>
          <w:p>
            <w:pPr>
              <w:pStyle w:val="TableParagraph"/>
              <w:ind w:right="118"/>
              <w:jc w:val="right"/>
              <w:rPr>
                <w:b/>
                <w:sz w:val="19"/>
              </w:rPr>
            </w:pPr>
            <w:r>
              <w:rPr>
                <w:b/>
                <w:w w:val="95"/>
                <w:sz w:val="19"/>
              </w:rPr>
              <w:t>(6,235)</w:t>
            </w:r>
          </w:p>
        </w:tc>
        <w:tc>
          <w:tcPr>
            <w:tcW w:w="1049" w:type="dxa"/>
            <w:gridSpan w:val="2"/>
            <w:tcBorders>
              <w:top w:val="single" w:sz="4" w:space="0" w:color="000000"/>
              <w:bottom w:val="single" w:sz="4" w:space="0" w:color="000000"/>
            </w:tcBorders>
            <w:shd w:val="clear" w:color="auto" w:fill="FAF9F9"/>
          </w:tcPr>
          <w:p>
            <w:pPr>
              <w:pStyle w:val="TableParagraph"/>
              <w:ind w:left="265"/>
              <w:rPr>
                <w:b/>
                <w:sz w:val="19"/>
              </w:rPr>
            </w:pPr>
            <w:r>
              <w:rPr>
                <w:b/>
                <w:sz w:val="19"/>
              </w:rPr>
              <w:t>(15,510)</w:t>
            </w:r>
          </w:p>
        </w:tc>
        <w:tc>
          <w:tcPr>
            <w:tcW w:w="1049" w:type="dxa"/>
            <w:tcBorders>
              <w:top w:val="single" w:sz="4" w:space="0" w:color="000000"/>
              <w:bottom w:val="single" w:sz="4" w:space="0" w:color="000000"/>
            </w:tcBorders>
            <w:shd w:val="clear" w:color="auto" w:fill="E1E4BB"/>
          </w:tcPr>
          <w:p>
            <w:pPr>
              <w:pStyle w:val="TableParagraph"/>
              <w:ind w:right="118"/>
              <w:jc w:val="right"/>
              <w:rPr>
                <w:b/>
                <w:sz w:val="19"/>
              </w:rPr>
            </w:pPr>
            <w:r>
              <w:rPr>
                <w:b/>
                <w:w w:val="95"/>
                <w:sz w:val="19"/>
              </w:rPr>
              <w:t>(6,758)</w:t>
            </w:r>
          </w:p>
        </w:tc>
        <w:tc>
          <w:tcPr>
            <w:tcW w:w="1049" w:type="dxa"/>
            <w:gridSpan w:val="2"/>
            <w:tcBorders>
              <w:top w:val="single" w:sz="4" w:space="0" w:color="000000"/>
              <w:bottom w:val="single" w:sz="4" w:space="0" w:color="000000"/>
            </w:tcBorders>
            <w:shd w:val="clear" w:color="auto" w:fill="FAF9F9"/>
          </w:tcPr>
          <w:p>
            <w:pPr>
              <w:pStyle w:val="TableParagraph"/>
              <w:ind w:left="366"/>
              <w:rPr>
                <w:b/>
                <w:sz w:val="19"/>
              </w:rPr>
            </w:pPr>
            <w:r>
              <w:rPr>
                <w:b/>
                <w:sz w:val="19"/>
              </w:rPr>
              <w:t>(6,685)</w:t>
            </w:r>
          </w:p>
        </w:tc>
        <w:tc>
          <w:tcPr>
            <w:tcW w:w="1049" w:type="dxa"/>
            <w:tcBorders>
              <w:top w:val="single" w:sz="4" w:space="0" w:color="000000"/>
              <w:bottom w:val="single" w:sz="4" w:space="0" w:color="000000"/>
            </w:tcBorders>
            <w:shd w:val="clear" w:color="auto" w:fill="E1E4BB"/>
          </w:tcPr>
          <w:p>
            <w:pPr>
              <w:pStyle w:val="TableParagraph"/>
              <w:ind w:right="119"/>
              <w:jc w:val="right"/>
              <w:rPr>
                <w:b/>
                <w:sz w:val="19"/>
              </w:rPr>
            </w:pPr>
            <w:r>
              <w:rPr>
                <w:b/>
                <w:w w:val="95"/>
                <w:sz w:val="19"/>
              </w:rPr>
              <w:t>(86,845)</w:t>
            </w:r>
          </w:p>
        </w:tc>
        <w:tc>
          <w:tcPr>
            <w:tcW w:w="1049" w:type="dxa"/>
            <w:gridSpan w:val="2"/>
            <w:tcBorders>
              <w:top w:val="single" w:sz="4" w:space="0" w:color="000000"/>
              <w:bottom w:val="single" w:sz="4" w:space="0" w:color="000000"/>
            </w:tcBorders>
            <w:shd w:val="clear" w:color="auto" w:fill="FAF9F9"/>
          </w:tcPr>
          <w:p>
            <w:pPr>
              <w:pStyle w:val="TableParagraph"/>
              <w:ind w:left="162"/>
              <w:rPr>
                <w:b/>
                <w:sz w:val="19"/>
              </w:rPr>
            </w:pPr>
            <w:r>
              <w:rPr>
                <w:b/>
                <w:sz w:val="19"/>
              </w:rPr>
              <w:t>(124,160)</w:t>
            </w:r>
          </w:p>
        </w:tc>
        <w:tc>
          <w:tcPr>
            <w:tcW w:w="1049" w:type="dxa"/>
            <w:tcBorders>
              <w:top w:val="single" w:sz="4" w:space="0" w:color="000000"/>
              <w:bottom w:val="single" w:sz="4" w:space="0" w:color="000000"/>
            </w:tcBorders>
            <w:shd w:val="clear" w:color="auto" w:fill="E1E4BB"/>
          </w:tcPr>
          <w:p>
            <w:pPr>
              <w:pStyle w:val="TableParagraph"/>
              <w:ind w:right="119"/>
              <w:jc w:val="right"/>
              <w:rPr>
                <w:b/>
                <w:sz w:val="19"/>
              </w:rPr>
            </w:pPr>
            <w:r>
              <w:rPr>
                <w:b/>
                <w:w w:val="95"/>
                <w:sz w:val="19"/>
              </w:rPr>
              <w:t>(15,904)</w:t>
            </w:r>
          </w:p>
        </w:tc>
        <w:tc>
          <w:tcPr>
            <w:tcW w:w="1049" w:type="dxa"/>
            <w:gridSpan w:val="2"/>
            <w:tcBorders>
              <w:top w:val="single" w:sz="4" w:space="0" w:color="000000"/>
              <w:bottom w:val="single" w:sz="4" w:space="0" w:color="000000"/>
            </w:tcBorders>
            <w:shd w:val="clear" w:color="auto" w:fill="FAF9F9"/>
          </w:tcPr>
          <w:p>
            <w:pPr>
              <w:pStyle w:val="TableParagraph"/>
              <w:ind w:left="263"/>
              <w:rPr>
                <w:b/>
                <w:sz w:val="19"/>
              </w:rPr>
            </w:pPr>
            <w:r>
              <w:rPr>
                <w:b/>
                <w:sz w:val="19"/>
              </w:rPr>
              <w:t>(24,353)</w:t>
            </w:r>
          </w:p>
        </w:tc>
        <w:tc>
          <w:tcPr>
            <w:tcW w:w="1049" w:type="dxa"/>
            <w:tcBorders>
              <w:top w:val="single" w:sz="4" w:space="0" w:color="000000"/>
              <w:bottom w:val="single" w:sz="4" w:space="0" w:color="000000"/>
            </w:tcBorders>
            <w:shd w:val="clear" w:color="auto" w:fill="E1E4BB"/>
          </w:tcPr>
          <w:p>
            <w:pPr>
              <w:pStyle w:val="TableParagraph"/>
              <w:ind w:right="120"/>
              <w:jc w:val="right"/>
              <w:rPr>
                <w:b/>
                <w:sz w:val="19"/>
              </w:rPr>
            </w:pPr>
            <w:r>
              <w:rPr>
                <w:b/>
                <w:w w:val="95"/>
                <w:sz w:val="19"/>
              </w:rPr>
              <w:t>(169,737)</w:t>
            </w:r>
          </w:p>
        </w:tc>
        <w:tc>
          <w:tcPr>
            <w:tcW w:w="1048" w:type="dxa"/>
            <w:gridSpan w:val="2"/>
            <w:tcBorders>
              <w:top w:val="single" w:sz="4" w:space="0" w:color="000000"/>
              <w:bottom w:val="single" w:sz="4" w:space="0" w:color="000000"/>
            </w:tcBorders>
            <w:shd w:val="clear" w:color="auto" w:fill="FAF9F9"/>
          </w:tcPr>
          <w:p>
            <w:pPr>
              <w:pStyle w:val="TableParagraph"/>
              <w:ind w:left="161"/>
              <w:rPr>
                <w:b/>
                <w:sz w:val="19"/>
              </w:rPr>
            </w:pPr>
            <w:r>
              <w:rPr>
                <w:b/>
                <w:sz w:val="19"/>
              </w:rPr>
              <w:t>(224,068)</w:t>
            </w:r>
          </w:p>
        </w:tc>
      </w:tr>
    </w:tbl>
    <w:p>
      <w:pPr>
        <w:spacing w:after="0"/>
        <w:rPr>
          <w:sz w:val="19"/>
        </w:rPr>
        <w:sectPr>
          <w:footerReference w:type="default" r:id="rId185"/>
          <w:pgSz w:w="16840" w:h="11910" w:orient="landscape"/>
          <w:pgMar w:footer="448" w:header="0" w:top="0" w:bottom="640" w:left="0" w:right="0"/>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rPr>
          <w:sz w:val="20"/>
        </w:rPr>
      </w:pPr>
    </w:p>
    <w:p>
      <w:pPr>
        <w:pStyle w:val="BodyText"/>
        <w:spacing w:before="7"/>
        <w:rPr>
          <w:sz w:val="21"/>
        </w:rPr>
      </w:pPr>
    </w:p>
    <w:p>
      <w:pPr>
        <w:pStyle w:val="Heading2"/>
      </w:pPr>
      <w:r>
        <w:rPr/>
        <w:pict>
          <v:group style="position:absolute;margin-left:763.172119pt;margin-top:-13.941721pt;width:61.1pt;height:45.2pt;mso-position-horizontal-relative:page;mso-position-vertical-relative:paragraph;z-index:11344" coordorigin="15263,-279" coordsize="1222,904">
            <v:shape style="position:absolute;left:15424;top:-279;width:900;height:904" coordorigin="15424,-279" coordsize="900,904" path="m15874,-279l15424,171,15424,174,15874,624,16324,174,16324,171,15874,-279xe" filled="true" fillcolor="#c4cd71" stroked="false">
              <v:path arrowok="t"/>
              <v:fill type="solid"/>
            </v:shape>
            <v:shape style="position:absolute;left:15422;top:171;width:2;height:4" coordorigin="15423,171" coordsize="2,4" path="m15424,171l15423,173,15424,174,15424,171xe" filled="true" fillcolor="#b9c369" stroked="false">
              <v:path arrowok="t"/>
              <v:fill type="solid"/>
            </v:shape>
            <v:shape style="position:absolute;left:16324;top:171;width:2;height:4" coordorigin="16324,171" coordsize="2,4" path="m16324,171l16324,174,16326,173,16324,171xe" filled="true" fillcolor="#bec29e" stroked="false">
              <v:path arrowok="t"/>
              <v:fill type="solid"/>
            </v:shape>
            <v:shape style="position:absolute;left:15263;top:11;width:161;height:322" type="#_x0000_t75" stroked="false">
              <v:imagedata r:id="rId16" o:title=""/>
            </v:shape>
            <v:shape style="position:absolute;left:16324;top:11;width:161;height:322" type="#_x0000_t75" stroked="false">
              <v:imagedata r:id="rId11" o:title=""/>
            </v:shape>
            <v:shape style="position:absolute;left:15263;top:-279;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67.721718pt;width:481.1pt;height:42.55pt;mso-position-horizontal-relative:page;mso-position-vertical-relative:paragraph;z-index:11464" coordorigin="0,-1354" coordsize="9622,851">
            <v:rect style="position:absolute;left:7216;top:-1355;width:2406;height:851" filled="true" fillcolor="#e6e7e8" stroked="false">
              <v:fill type="solid"/>
            </v:rect>
            <v:shape style="position:absolute;left:7216;top:-1355;width:583;height:583" type="#_x0000_t75" stroked="false">
              <v:imagedata r:id="rId174" o:title=""/>
            </v:shape>
            <v:shape style="position:absolute;left:7217;top:-1355;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355;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355;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355;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67.721718pt;width:120.3pt;height:42.55pt;mso-position-horizontal-relative:page;mso-position-vertical-relative:paragraph;z-index:11488"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rPr>
        <w:t>Schedule of Income and Expenses by</w:t>
      </w:r>
      <w:r>
        <w:rPr>
          <w:color w:val="6F2770"/>
          <w:spacing w:val="-89"/>
        </w:rPr>
        <w:t> </w:t>
      </w:r>
      <w:r>
        <w:rPr>
          <w:color w:val="6F2770"/>
        </w:rPr>
        <w:t>Service</w:t>
      </w:r>
    </w:p>
    <w:p>
      <w:pPr>
        <w:pStyle w:val="Heading4"/>
        <w:spacing w:before="28" w:after="56"/>
      </w:pPr>
      <w:r>
        <w:rPr>
          <w:color w:val="A7BE39"/>
        </w:rPr>
        <w:t>For the year ended 30 June 2017</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1"/>
        <w:gridCol w:w="1049"/>
        <w:gridCol w:w="464"/>
        <w:gridCol w:w="585"/>
        <w:gridCol w:w="1049"/>
        <w:gridCol w:w="464"/>
        <w:gridCol w:w="585"/>
        <w:gridCol w:w="1049"/>
        <w:gridCol w:w="464"/>
        <w:gridCol w:w="585"/>
        <w:gridCol w:w="1049"/>
        <w:gridCol w:w="464"/>
        <w:gridCol w:w="585"/>
        <w:gridCol w:w="1049"/>
        <w:gridCol w:w="464"/>
        <w:gridCol w:w="585"/>
        <w:gridCol w:w="1049"/>
        <w:gridCol w:w="296"/>
        <w:gridCol w:w="754"/>
      </w:tblGrid>
      <w:tr>
        <w:trPr>
          <w:trHeight w:val="306" w:hRule="atLeast"/>
        </w:trPr>
        <w:tc>
          <w:tcPr>
            <w:tcW w:w="2721" w:type="dxa"/>
            <w:vMerge w:val="restart"/>
            <w:shd w:val="clear" w:color="auto" w:fill="783A79"/>
          </w:tcPr>
          <w:p>
            <w:pPr>
              <w:pStyle w:val="TableParagraph"/>
              <w:spacing w:before="0"/>
              <w:rPr>
                <w:rFonts w:ascii="Times New Roman"/>
                <w:sz w:val="20"/>
              </w:rPr>
            </w:pPr>
          </w:p>
        </w:tc>
        <w:tc>
          <w:tcPr>
            <w:tcW w:w="1513" w:type="dxa"/>
            <w:gridSpan w:val="2"/>
            <w:shd w:val="clear" w:color="auto" w:fill="783A79"/>
          </w:tcPr>
          <w:p>
            <w:pPr>
              <w:pStyle w:val="TableParagraph"/>
              <w:spacing w:before="47"/>
              <w:ind w:left="633"/>
              <w:rPr>
                <w:b/>
                <w:sz w:val="19"/>
              </w:rPr>
            </w:pPr>
            <w:r>
              <w:rPr>
                <w:b/>
                <w:color w:val="FFFFFF"/>
                <w:sz w:val="19"/>
              </w:rPr>
              <w:t>Service 1</w:t>
            </w:r>
          </w:p>
        </w:tc>
        <w:tc>
          <w:tcPr>
            <w:tcW w:w="585" w:type="dxa"/>
            <w:shd w:val="clear" w:color="auto" w:fill="783A79"/>
          </w:tcPr>
          <w:p>
            <w:pPr>
              <w:pStyle w:val="TableParagraph"/>
              <w:spacing w:before="0"/>
              <w:rPr>
                <w:rFonts w:ascii="Times New Roman"/>
                <w:sz w:val="20"/>
              </w:rPr>
            </w:pPr>
          </w:p>
        </w:tc>
        <w:tc>
          <w:tcPr>
            <w:tcW w:w="1513" w:type="dxa"/>
            <w:gridSpan w:val="2"/>
            <w:shd w:val="clear" w:color="auto" w:fill="783A79"/>
          </w:tcPr>
          <w:p>
            <w:pPr>
              <w:pStyle w:val="TableParagraph"/>
              <w:spacing w:before="47"/>
              <w:ind w:left="633"/>
              <w:rPr>
                <w:b/>
                <w:sz w:val="19"/>
              </w:rPr>
            </w:pPr>
            <w:r>
              <w:rPr>
                <w:b/>
                <w:color w:val="FFFFFF"/>
                <w:sz w:val="19"/>
              </w:rPr>
              <w:t>Service 2</w:t>
            </w:r>
          </w:p>
        </w:tc>
        <w:tc>
          <w:tcPr>
            <w:tcW w:w="585" w:type="dxa"/>
            <w:shd w:val="clear" w:color="auto" w:fill="783A79"/>
          </w:tcPr>
          <w:p>
            <w:pPr>
              <w:pStyle w:val="TableParagraph"/>
              <w:spacing w:before="0"/>
              <w:rPr>
                <w:rFonts w:ascii="Times New Roman"/>
                <w:sz w:val="20"/>
              </w:rPr>
            </w:pPr>
          </w:p>
        </w:tc>
        <w:tc>
          <w:tcPr>
            <w:tcW w:w="1513" w:type="dxa"/>
            <w:gridSpan w:val="2"/>
            <w:shd w:val="clear" w:color="auto" w:fill="783A79"/>
          </w:tcPr>
          <w:p>
            <w:pPr>
              <w:pStyle w:val="TableParagraph"/>
              <w:spacing w:before="47"/>
              <w:ind w:left="632"/>
              <w:rPr>
                <w:b/>
                <w:sz w:val="19"/>
              </w:rPr>
            </w:pPr>
            <w:r>
              <w:rPr>
                <w:b/>
                <w:color w:val="FFFFFF"/>
                <w:sz w:val="19"/>
              </w:rPr>
              <w:t>Service 3</w:t>
            </w:r>
          </w:p>
        </w:tc>
        <w:tc>
          <w:tcPr>
            <w:tcW w:w="585" w:type="dxa"/>
            <w:shd w:val="clear" w:color="auto" w:fill="783A79"/>
          </w:tcPr>
          <w:p>
            <w:pPr>
              <w:pStyle w:val="TableParagraph"/>
              <w:spacing w:before="0"/>
              <w:rPr>
                <w:rFonts w:ascii="Times New Roman"/>
                <w:sz w:val="20"/>
              </w:rPr>
            </w:pPr>
          </w:p>
        </w:tc>
        <w:tc>
          <w:tcPr>
            <w:tcW w:w="1513" w:type="dxa"/>
            <w:gridSpan w:val="2"/>
            <w:shd w:val="clear" w:color="auto" w:fill="783A79"/>
          </w:tcPr>
          <w:p>
            <w:pPr>
              <w:pStyle w:val="TableParagraph"/>
              <w:spacing w:before="47"/>
              <w:ind w:left="632"/>
              <w:rPr>
                <w:b/>
                <w:sz w:val="19"/>
              </w:rPr>
            </w:pPr>
            <w:r>
              <w:rPr>
                <w:b/>
                <w:color w:val="FFFFFF"/>
                <w:sz w:val="19"/>
              </w:rPr>
              <w:t>Service 4</w:t>
            </w:r>
          </w:p>
        </w:tc>
        <w:tc>
          <w:tcPr>
            <w:tcW w:w="585" w:type="dxa"/>
            <w:shd w:val="clear" w:color="auto" w:fill="783A79"/>
          </w:tcPr>
          <w:p>
            <w:pPr>
              <w:pStyle w:val="TableParagraph"/>
              <w:spacing w:before="0"/>
              <w:rPr>
                <w:rFonts w:ascii="Times New Roman"/>
                <w:sz w:val="20"/>
              </w:rPr>
            </w:pPr>
          </w:p>
        </w:tc>
        <w:tc>
          <w:tcPr>
            <w:tcW w:w="1513" w:type="dxa"/>
            <w:gridSpan w:val="2"/>
            <w:shd w:val="clear" w:color="auto" w:fill="783A79"/>
          </w:tcPr>
          <w:p>
            <w:pPr>
              <w:pStyle w:val="TableParagraph"/>
              <w:spacing w:before="47"/>
              <w:ind w:left="632"/>
              <w:rPr>
                <w:b/>
                <w:sz w:val="19"/>
              </w:rPr>
            </w:pPr>
            <w:r>
              <w:rPr>
                <w:b/>
                <w:color w:val="FFFFFF"/>
                <w:sz w:val="19"/>
              </w:rPr>
              <w:t>Service 5</w:t>
            </w:r>
          </w:p>
        </w:tc>
        <w:tc>
          <w:tcPr>
            <w:tcW w:w="585" w:type="dxa"/>
            <w:shd w:val="clear" w:color="auto" w:fill="783A79"/>
          </w:tcPr>
          <w:p>
            <w:pPr>
              <w:pStyle w:val="TableParagraph"/>
              <w:spacing w:before="0"/>
              <w:rPr>
                <w:rFonts w:ascii="Times New Roman"/>
                <w:sz w:val="20"/>
              </w:rPr>
            </w:pPr>
          </w:p>
        </w:tc>
        <w:tc>
          <w:tcPr>
            <w:tcW w:w="1345" w:type="dxa"/>
            <w:gridSpan w:val="2"/>
            <w:shd w:val="clear" w:color="auto" w:fill="783A79"/>
          </w:tcPr>
          <w:p>
            <w:pPr>
              <w:pStyle w:val="TableParagraph"/>
              <w:spacing w:before="47"/>
              <w:ind w:left="829"/>
              <w:rPr>
                <w:b/>
                <w:sz w:val="19"/>
              </w:rPr>
            </w:pPr>
            <w:r>
              <w:rPr>
                <w:b/>
                <w:color w:val="FFFFFF"/>
                <w:sz w:val="19"/>
              </w:rPr>
              <w:t>Total</w:t>
            </w:r>
          </w:p>
        </w:tc>
        <w:tc>
          <w:tcPr>
            <w:tcW w:w="754" w:type="dxa"/>
            <w:shd w:val="clear" w:color="auto" w:fill="783A79"/>
          </w:tcPr>
          <w:p>
            <w:pPr>
              <w:pStyle w:val="TableParagraph"/>
              <w:spacing w:before="0"/>
              <w:rPr>
                <w:rFonts w:ascii="Times New Roman"/>
                <w:sz w:val="20"/>
              </w:rPr>
            </w:pPr>
          </w:p>
        </w:tc>
      </w:tr>
      <w:tr>
        <w:trPr>
          <w:trHeight w:val="266" w:hRule="atLeast"/>
        </w:trPr>
        <w:tc>
          <w:tcPr>
            <w:tcW w:w="2721" w:type="dxa"/>
            <w:vMerge/>
            <w:tcBorders>
              <w:top w:val="nil"/>
            </w:tcBorders>
            <w:shd w:val="clear" w:color="auto" w:fill="783A79"/>
          </w:tcPr>
          <w:p>
            <w:pPr>
              <w:rPr>
                <w:sz w:val="2"/>
                <w:szCs w:val="2"/>
              </w:rPr>
            </w:pPr>
          </w:p>
        </w:tc>
        <w:tc>
          <w:tcPr>
            <w:tcW w:w="1513" w:type="dxa"/>
            <w:gridSpan w:val="2"/>
            <w:shd w:val="clear" w:color="auto" w:fill="783A79"/>
          </w:tcPr>
          <w:p>
            <w:pPr>
              <w:pStyle w:val="TableParagraph"/>
              <w:spacing w:line="200" w:lineRule="exact" w:before="46"/>
              <w:ind w:left="492" w:right="554"/>
              <w:jc w:val="center"/>
              <w:rPr>
                <w:b/>
                <w:sz w:val="19"/>
              </w:rPr>
            </w:pPr>
            <w:r>
              <w:rPr>
                <w:b/>
                <w:color w:val="FFFFFF"/>
                <w:sz w:val="19"/>
              </w:rPr>
              <w:t>2017</w:t>
            </w:r>
          </w:p>
        </w:tc>
        <w:tc>
          <w:tcPr>
            <w:tcW w:w="585" w:type="dxa"/>
            <w:shd w:val="clear" w:color="auto" w:fill="783A79"/>
          </w:tcPr>
          <w:p>
            <w:pPr>
              <w:pStyle w:val="TableParagraph"/>
              <w:spacing w:line="200" w:lineRule="exact" w:before="46"/>
              <w:ind w:left="48"/>
              <w:rPr>
                <w:b/>
                <w:sz w:val="19"/>
              </w:rPr>
            </w:pPr>
            <w:r>
              <w:rPr>
                <w:b/>
                <w:color w:val="FFFFFF"/>
                <w:sz w:val="19"/>
              </w:rPr>
              <w:t>2016</w:t>
            </w:r>
          </w:p>
        </w:tc>
        <w:tc>
          <w:tcPr>
            <w:tcW w:w="1513" w:type="dxa"/>
            <w:gridSpan w:val="2"/>
            <w:shd w:val="clear" w:color="auto" w:fill="783A79"/>
          </w:tcPr>
          <w:p>
            <w:pPr>
              <w:pStyle w:val="TableParagraph"/>
              <w:spacing w:line="200" w:lineRule="exact" w:before="46"/>
              <w:ind w:left="492" w:right="555"/>
              <w:jc w:val="center"/>
              <w:rPr>
                <w:b/>
                <w:sz w:val="19"/>
              </w:rPr>
            </w:pPr>
            <w:r>
              <w:rPr>
                <w:b/>
                <w:color w:val="FFFFFF"/>
                <w:sz w:val="19"/>
              </w:rPr>
              <w:t>2017</w:t>
            </w:r>
          </w:p>
        </w:tc>
        <w:tc>
          <w:tcPr>
            <w:tcW w:w="585" w:type="dxa"/>
            <w:shd w:val="clear" w:color="auto" w:fill="783A79"/>
          </w:tcPr>
          <w:p>
            <w:pPr>
              <w:pStyle w:val="TableParagraph"/>
              <w:spacing w:line="200" w:lineRule="exact" w:before="46"/>
              <w:ind w:left="48"/>
              <w:rPr>
                <w:b/>
                <w:sz w:val="19"/>
              </w:rPr>
            </w:pPr>
            <w:r>
              <w:rPr>
                <w:b/>
                <w:color w:val="FFFFFF"/>
                <w:sz w:val="19"/>
              </w:rPr>
              <w:t>2016</w:t>
            </w:r>
          </w:p>
        </w:tc>
        <w:tc>
          <w:tcPr>
            <w:tcW w:w="1513" w:type="dxa"/>
            <w:gridSpan w:val="2"/>
            <w:shd w:val="clear" w:color="auto" w:fill="783A79"/>
          </w:tcPr>
          <w:p>
            <w:pPr>
              <w:pStyle w:val="TableParagraph"/>
              <w:spacing w:line="200" w:lineRule="exact" w:before="46"/>
              <w:ind w:left="492" w:right="555"/>
              <w:jc w:val="center"/>
              <w:rPr>
                <w:b/>
                <w:sz w:val="19"/>
              </w:rPr>
            </w:pPr>
            <w:r>
              <w:rPr>
                <w:b/>
                <w:color w:val="FFFFFF"/>
                <w:sz w:val="19"/>
              </w:rPr>
              <w:t>2017</w:t>
            </w:r>
          </w:p>
        </w:tc>
        <w:tc>
          <w:tcPr>
            <w:tcW w:w="585" w:type="dxa"/>
            <w:shd w:val="clear" w:color="auto" w:fill="783A79"/>
          </w:tcPr>
          <w:p>
            <w:pPr>
              <w:pStyle w:val="TableParagraph"/>
              <w:spacing w:line="200" w:lineRule="exact" w:before="46"/>
              <w:ind w:left="28" w:right="92"/>
              <w:jc w:val="center"/>
              <w:rPr>
                <w:b/>
                <w:sz w:val="19"/>
              </w:rPr>
            </w:pPr>
            <w:r>
              <w:rPr>
                <w:b/>
                <w:color w:val="FFFFFF"/>
                <w:sz w:val="19"/>
              </w:rPr>
              <w:t>2016</w:t>
            </w:r>
          </w:p>
        </w:tc>
        <w:tc>
          <w:tcPr>
            <w:tcW w:w="1513" w:type="dxa"/>
            <w:gridSpan w:val="2"/>
            <w:shd w:val="clear" w:color="auto" w:fill="783A79"/>
          </w:tcPr>
          <w:p>
            <w:pPr>
              <w:pStyle w:val="TableParagraph"/>
              <w:spacing w:line="200" w:lineRule="exact" w:before="46"/>
              <w:ind w:left="492" w:right="556"/>
              <w:jc w:val="center"/>
              <w:rPr>
                <w:b/>
                <w:sz w:val="19"/>
              </w:rPr>
            </w:pPr>
            <w:r>
              <w:rPr>
                <w:b/>
                <w:color w:val="FFFFFF"/>
                <w:sz w:val="19"/>
              </w:rPr>
              <w:t>2017</w:t>
            </w:r>
          </w:p>
        </w:tc>
        <w:tc>
          <w:tcPr>
            <w:tcW w:w="585" w:type="dxa"/>
            <w:shd w:val="clear" w:color="auto" w:fill="783A79"/>
          </w:tcPr>
          <w:p>
            <w:pPr>
              <w:pStyle w:val="TableParagraph"/>
              <w:spacing w:line="200" w:lineRule="exact" w:before="46"/>
              <w:ind w:left="28" w:right="93"/>
              <w:jc w:val="center"/>
              <w:rPr>
                <w:b/>
                <w:sz w:val="19"/>
              </w:rPr>
            </w:pPr>
            <w:r>
              <w:rPr>
                <w:b/>
                <w:color w:val="FFFFFF"/>
                <w:sz w:val="19"/>
              </w:rPr>
              <w:t>2016</w:t>
            </w:r>
          </w:p>
        </w:tc>
        <w:tc>
          <w:tcPr>
            <w:tcW w:w="1513" w:type="dxa"/>
            <w:gridSpan w:val="2"/>
            <w:shd w:val="clear" w:color="auto" w:fill="783A79"/>
          </w:tcPr>
          <w:p>
            <w:pPr>
              <w:pStyle w:val="TableParagraph"/>
              <w:spacing w:line="200" w:lineRule="exact" w:before="46"/>
              <w:ind w:left="491" w:right="556"/>
              <w:jc w:val="center"/>
              <w:rPr>
                <w:b/>
                <w:sz w:val="19"/>
              </w:rPr>
            </w:pPr>
            <w:r>
              <w:rPr>
                <w:b/>
                <w:color w:val="FFFFFF"/>
                <w:sz w:val="19"/>
              </w:rPr>
              <w:t>2017</w:t>
            </w:r>
          </w:p>
        </w:tc>
        <w:tc>
          <w:tcPr>
            <w:tcW w:w="585" w:type="dxa"/>
            <w:shd w:val="clear" w:color="auto" w:fill="783A79"/>
          </w:tcPr>
          <w:p>
            <w:pPr>
              <w:pStyle w:val="TableParagraph"/>
              <w:spacing w:line="200" w:lineRule="exact" w:before="46"/>
              <w:ind w:left="47"/>
              <w:rPr>
                <w:b/>
                <w:sz w:val="19"/>
              </w:rPr>
            </w:pPr>
            <w:r>
              <w:rPr>
                <w:b/>
                <w:color w:val="FFFFFF"/>
                <w:sz w:val="19"/>
              </w:rPr>
              <w:t>2016</w:t>
            </w:r>
          </w:p>
        </w:tc>
        <w:tc>
          <w:tcPr>
            <w:tcW w:w="1345" w:type="dxa"/>
            <w:gridSpan w:val="2"/>
            <w:shd w:val="clear" w:color="auto" w:fill="783A79"/>
          </w:tcPr>
          <w:p>
            <w:pPr>
              <w:pStyle w:val="TableParagraph"/>
              <w:spacing w:line="200" w:lineRule="exact" w:before="46"/>
              <w:ind w:left="511"/>
              <w:rPr>
                <w:b/>
                <w:sz w:val="19"/>
              </w:rPr>
            </w:pPr>
            <w:r>
              <w:rPr>
                <w:b/>
                <w:color w:val="FFFFFF"/>
                <w:sz w:val="19"/>
              </w:rPr>
              <w:t>2017</w:t>
            </w:r>
          </w:p>
        </w:tc>
        <w:tc>
          <w:tcPr>
            <w:tcW w:w="754" w:type="dxa"/>
            <w:shd w:val="clear" w:color="auto" w:fill="783A79"/>
          </w:tcPr>
          <w:p>
            <w:pPr>
              <w:pStyle w:val="TableParagraph"/>
              <w:spacing w:line="200" w:lineRule="exact" w:before="46"/>
              <w:ind w:right="114"/>
              <w:jc w:val="right"/>
              <w:rPr>
                <w:b/>
                <w:sz w:val="19"/>
              </w:rPr>
            </w:pPr>
            <w:r>
              <w:rPr>
                <w:b/>
                <w:color w:val="FFFFFF"/>
                <w:w w:val="95"/>
                <w:sz w:val="19"/>
              </w:rPr>
              <w:t>2016</w:t>
            </w:r>
          </w:p>
        </w:tc>
      </w:tr>
      <w:tr>
        <w:trPr>
          <w:trHeight w:val="270" w:hRule="atLeast"/>
        </w:trPr>
        <w:tc>
          <w:tcPr>
            <w:tcW w:w="2721" w:type="dxa"/>
            <w:vMerge/>
            <w:tcBorders>
              <w:top w:val="nil"/>
            </w:tcBorders>
            <w:shd w:val="clear" w:color="auto" w:fill="783A79"/>
          </w:tcPr>
          <w:p>
            <w:pPr>
              <w:rPr>
                <w:sz w:val="2"/>
                <w:szCs w:val="2"/>
              </w:rPr>
            </w:pPr>
          </w:p>
        </w:tc>
        <w:tc>
          <w:tcPr>
            <w:tcW w:w="1513" w:type="dxa"/>
            <w:gridSpan w:val="2"/>
            <w:shd w:val="clear" w:color="auto" w:fill="783A79"/>
          </w:tcPr>
          <w:p>
            <w:pPr>
              <w:pStyle w:val="TableParagraph"/>
              <w:spacing w:before="7"/>
              <w:ind w:left="492" w:right="554"/>
              <w:jc w:val="center"/>
              <w:rPr>
                <w:b/>
                <w:sz w:val="19"/>
              </w:rPr>
            </w:pPr>
            <w:r>
              <w:rPr>
                <w:b/>
                <w:color w:val="FFFFFF"/>
                <w:sz w:val="19"/>
              </w:rPr>
              <w:t>$000</w:t>
            </w:r>
          </w:p>
        </w:tc>
        <w:tc>
          <w:tcPr>
            <w:tcW w:w="585" w:type="dxa"/>
            <w:shd w:val="clear" w:color="auto" w:fill="783A79"/>
          </w:tcPr>
          <w:p>
            <w:pPr>
              <w:pStyle w:val="TableParagraph"/>
              <w:spacing w:before="7"/>
              <w:ind w:left="48"/>
              <w:rPr>
                <w:b/>
                <w:sz w:val="19"/>
              </w:rPr>
            </w:pPr>
            <w:r>
              <w:rPr>
                <w:b/>
                <w:color w:val="FFFFFF"/>
                <w:sz w:val="19"/>
              </w:rPr>
              <w:t>$000</w:t>
            </w:r>
          </w:p>
        </w:tc>
        <w:tc>
          <w:tcPr>
            <w:tcW w:w="1513" w:type="dxa"/>
            <w:gridSpan w:val="2"/>
            <w:shd w:val="clear" w:color="auto" w:fill="783A79"/>
          </w:tcPr>
          <w:p>
            <w:pPr>
              <w:pStyle w:val="TableParagraph"/>
              <w:spacing w:before="7"/>
              <w:ind w:left="492" w:right="555"/>
              <w:jc w:val="center"/>
              <w:rPr>
                <w:b/>
                <w:sz w:val="19"/>
              </w:rPr>
            </w:pPr>
            <w:r>
              <w:rPr>
                <w:b/>
                <w:color w:val="FFFFFF"/>
                <w:sz w:val="19"/>
              </w:rPr>
              <w:t>$000</w:t>
            </w:r>
          </w:p>
        </w:tc>
        <w:tc>
          <w:tcPr>
            <w:tcW w:w="585" w:type="dxa"/>
            <w:shd w:val="clear" w:color="auto" w:fill="783A79"/>
          </w:tcPr>
          <w:p>
            <w:pPr>
              <w:pStyle w:val="TableParagraph"/>
              <w:spacing w:before="7"/>
              <w:ind w:left="48"/>
              <w:rPr>
                <w:b/>
                <w:sz w:val="19"/>
              </w:rPr>
            </w:pPr>
            <w:r>
              <w:rPr>
                <w:b/>
                <w:color w:val="FFFFFF"/>
                <w:sz w:val="19"/>
              </w:rPr>
              <w:t>$000</w:t>
            </w:r>
          </w:p>
        </w:tc>
        <w:tc>
          <w:tcPr>
            <w:tcW w:w="1513" w:type="dxa"/>
            <w:gridSpan w:val="2"/>
            <w:shd w:val="clear" w:color="auto" w:fill="783A79"/>
          </w:tcPr>
          <w:p>
            <w:pPr>
              <w:pStyle w:val="TableParagraph"/>
              <w:spacing w:before="7"/>
              <w:ind w:left="492" w:right="555"/>
              <w:jc w:val="center"/>
              <w:rPr>
                <w:b/>
                <w:sz w:val="19"/>
              </w:rPr>
            </w:pPr>
            <w:r>
              <w:rPr>
                <w:b/>
                <w:color w:val="FFFFFF"/>
                <w:sz w:val="19"/>
              </w:rPr>
              <w:t>$000</w:t>
            </w:r>
          </w:p>
        </w:tc>
        <w:tc>
          <w:tcPr>
            <w:tcW w:w="585" w:type="dxa"/>
            <w:shd w:val="clear" w:color="auto" w:fill="783A79"/>
          </w:tcPr>
          <w:p>
            <w:pPr>
              <w:pStyle w:val="TableParagraph"/>
              <w:spacing w:before="7"/>
              <w:ind w:left="28" w:right="92"/>
              <w:jc w:val="center"/>
              <w:rPr>
                <w:b/>
                <w:sz w:val="19"/>
              </w:rPr>
            </w:pPr>
            <w:r>
              <w:rPr>
                <w:b/>
                <w:color w:val="FFFFFF"/>
                <w:sz w:val="19"/>
              </w:rPr>
              <w:t>$000</w:t>
            </w:r>
          </w:p>
        </w:tc>
        <w:tc>
          <w:tcPr>
            <w:tcW w:w="1513" w:type="dxa"/>
            <w:gridSpan w:val="2"/>
            <w:shd w:val="clear" w:color="auto" w:fill="783A79"/>
          </w:tcPr>
          <w:p>
            <w:pPr>
              <w:pStyle w:val="TableParagraph"/>
              <w:spacing w:before="7"/>
              <w:ind w:left="492" w:right="556"/>
              <w:jc w:val="center"/>
              <w:rPr>
                <w:b/>
                <w:sz w:val="19"/>
              </w:rPr>
            </w:pPr>
            <w:r>
              <w:rPr>
                <w:b/>
                <w:color w:val="FFFFFF"/>
                <w:sz w:val="19"/>
              </w:rPr>
              <w:t>$000</w:t>
            </w:r>
          </w:p>
        </w:tc>
        <w:tc>
          <w:tcPr>
            <w:tcW w:w="585" w:type="dxa"/>
            <w:shd w:val="clear" w:color="auto" w:fill="783A79"/>
          </w:tcPr>
          <w:p>
            <w:pPr>
              <w:pStyle w:val="TableParagraph"/>
              <w:spacing w:before="7"/>
              <w:ind w:left="28" w:right="93"/>
              <w:jc w:val="center"/>
              <w:rPr>
                <w:b/>
                <w:sz w:val="19"/>
              </w:rPr>
            </w:pPr>
            <w:r>
              <w:rPr>
                <w:b/>
                <w:color w:val="FFFFFF"/>
                <w:sz w:val="19"/>
              </w:rPr>
              <w:t>$000</w:t>
            </w:r>
          </w:p>
        </w:tc>
        <w:tc>
          <w:tcPr>
            <w:tcW w:w="1513" w:type="dxa"/>
            <w:gridSpan w:val="2"/>
            <w:shd w:val="clear" w:color="auto" w:fill="783A79"/>
          </w:tcPr>
          <w:p>
            <w:pPr>
              <w:pStyle w:val="TableParagraph"/>
              <w:spacing w:before="7"/>
              <w:ind w:left="491" w:right="556"/>
              <w:jc w:val="center"/>
              <w:rPr>
                <w:b/>
                <w:sz w:val="19"/>
              </w:rPr>
            </w:pPr>
            <w:r>
              <w:rPr>
                <w:b/>
                <w:color w:val="FFFFFF"/>
                <w:sz w:val="19"/>
              </w:rPr>
              <w:t>$000</w:t>
            </w:r>
          </w:p>
        </w:tc>
        <w:tc>
          <w:tcPr>
            <w:tcW w:w="585" w:type="dxa"/>
            <w:shd w:val="clear" w:color="auto" w:fill="783A79"/>
          </w:tcPr>
          <w:p>
            <w:pPr>
              <w:pStyle w:val="TableParagraph"/>
              <w:spacing w:before="7"/>
              <w:ind w:left="47"/>
              <w:rPr>
                <w:b/>
                <w:sz w:val="19"/>
              </w:rPr>
            </w:pPr>
            <w:r>
              <w:rPr>
                <w:b/>
                <w:color w:val="FFFFFF"/>
                <w:sz w:val="19"/>
              </w:rPr>
              <w:t>$000</w:t>
            </w:r>
          </w:p>
        </w:tc>
        <w:tc>
          <w:tcPr>
            <w:tcW w:w="1345" w:type="dxa"/>
            <w:gridSpan w:val="2"/>
            <w:shd w:val="clear" w:color="auto" w:fill="783A79"/>
          </w:tcPr>
          <w:p>
            <w:pPr>
              <w:pStyle w:val="TableParagraph"/>
              <w:spacing w:before="7"/>
              <w:ind w:left="511"/>
              <w:rPr>
                <w:b/>
                <w:sz w:val="19"/>
              </w:rPr>
            </w:pPr>
            <w:r>
              <w:rPr>
                <w:b/>
                <w:color w:val="FFFFFF"/>
                <w:sz w:val="19"/>
              </w:rPr>
              <w:t>$000</w:t>
            </w:r>
          </w:p>
        </w:tc>
        <w:tc>
          <w:tcPr>
            <w:tcW w:w="754" w:type="dxa"/>
            <w:shd w:val="clear" w:color="auto" w:fill="783A79"/>
          </w:tcPr>
          <w:p>
            <w:pPr>
              <w:pStyle w:val="TableParagraph"/>
              <w:spacing w:before="7"/>
              <w:ind w:right="114"/>
              <w:jc w:val="right"/>
              <w:rPr>
                <w:b/>
                <w:sz w:val="19"/>
              </w:rPr>
            </w:pPr>
            <w:r>
              <w:rPr>
                <w:b/>
                <w:color w:val="FFFFFF"/>
                <w:w w:val="95"/>
                <w:sz w:val="19"/>
              </w:rPr>
              <w:t>$000</w:t>
            </w:r>
          </w:p>
        </w:tc>
      </w:tr>
      <w:tr>
        <w:trPr>
          <w:trHeight w:val="523" w:hRule="atLeast"/>
        </w:trPr>
        <w:tc>
          <w:tcPr>
            <w:tcW w:w="2721" w:type="dxa"/>
            <w:tcBorders>
              <w:bottom w:val="single" w:sz="8" w:space="0" w:color="FFFFFF"/>
            </w:tcBorders>
            <w:shd w:val="clear" w:color="auto" w:fill="F4F4F4"/>
          </w:tcPr>
          <w:p>
            <w:pPr>
              <w:pStyle w:val="TableParagraph"/>
              <w:spacing w:line="249" w:lineRule="auto" w:before="42"/>
              <w:ind w:left="113"/>
              <w:rPr>
                <w:b/>
                <w:sz w:val="19"/>
              </w:rPr>
            </w:pPr>
            <w:r>
              <w:rPr>
                <w:b/>
                <w:sz w:val="19"/>
              </w:rPr>
              <w:t>INCOME FROM STATE GOVERNMENT</w:t>
            </w:r>
          </w:p>
        </w:tc>
        <w:tc>
          <w:tcPr>
            <w:tcW w:w="1049" w:type="dxa"/>
            <w:shd w:val="clear" w:color="auto" w:fill="E1E4BB"/>
          </w:tcPr>
          <w:p>
            <w:pPr>
              <w:pStyle w:val="TableParagraph"/>
              <w:spacing w:before="0"/>
              <w:rPr>
                <w:rFonts w:ascii="Times New Roman"/>
                <w:sz w:val="20"/>
              </w:rPr>
            </w:pP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50" w:type="dxa"/>
            <w:gridSpan w:val="2"/>
            <w:tcBorders>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ind w:left="113"/>
              <w:rPr>
                <w:sz w:val="19"/>
              </w:rPr>
            </w:pPr>
            <w:r>
              <w:rPr>
                <w:sz w:val="19"/>
              </w:rPr>
              <w:t>Service appropriations</w:t>
            </w:r>
          </w:p>
        </w:tc>
        <w:tc>
          <w:tcPr>
            <w:tcW w:w="1049" w:type="dxa"/>
            <w:shd w:val="clear" w:color="auto" w:fill="E1E4BB"/>
          </w:tcPr>
          <w:p>
            <w:pPr>
              <w:pStyle w:val="TableParagraph"/>
              <w:ind w:right="115"/>
              <w:jc w:val="right"/>
              <w:rPr>
                <w:sz w:val="19"/>
              </w:rPr>
            </w:pPr>
            <w:r>
              <w:rPr>
                <w:w w:val="95"/>
                <w:sz w:val="19"/>
              </w:rPr>
              <w:t>42,372</w:t>
            </w:r>
          </w:p>
        </w:tc>
        <w:tc>
          <w:tcPr>
            <w:tcW w:w="1049" w:type="dxa"/>
            <w:gridSpan w:val="2"/>
            <w:tcBorders>
              <w:top w:val="single" w:sz="8" w:space="0" w:color="FFFFFF"/>
              <w:bottom w:val="single" w:sz="8" w:space="0" w:color="FFFFFF"/>
            </w:tcBorders>
            <w:shd w:val="clear" w:color="auto" w:fill="FAF9F9"/>
          </w:tcPr>
          <w:p>
            <w:pPr>
              <w:pStyle w:val="TableParagraph"/>
              <w:ind w:left="373"/>
              <w:rPr>
                <w:sz w:val="19"/>
              </w:rPr>
            </w:pPr>
            <w:r>
              <w:rPr>
                <w:sz w:val="19"/>
              </w:rPr>
              <w:t>53,680</w:t>
            </w:r>
          </w:p>
        </w:tc>
        <w:tc>
          <w:tcPr>
            <w:tcW w:w="1049" w:type="dxa"/>
            <w:shd w:val="clear" w:color="auto" w:fill="E1E4BB"/>
          </w:tcPr>
          <w:p>
            <w:pPr>
              <w:pStyle w:val="TableParagraph"/>
              <w:ind w:right="115"/>
              <w:jc w:val="right"/>
              <w:rPr>
                <w:sz w:val="19"/>
              </w:rPr>
            </w:pPr>
            <w:r>
              <w:rPr>
                <w:w w:val="95"/>
                <w:sz w:val="19"/>
              </w:rPr>
              <w:t>30,781</w:t>
            </w:r>
          </w:p>
        </w:tc>
        <w:tc>
          <w:tcPr>
            <w:tcW w:w="1049" w:type="dxa"/>
            <w:gridSpan w:val="2"/>
            <w:tcBorders>
              <w:top w:val="single" w:sz="8" w:space="0" w:color="FFFFFF"/>
              <w:bottom w:val="single" w:sz="8" w:space="0" w:color="FFFFFF"/>
            </w:tcBorders>
            <w:shd w:val="clear" w:color="auto" w:fill="FAF9F9"/>
          </w:tcPr>
          <w:p>
            <w:pPr>
              <w:pStyle w:val="TableParagraph"/>
              <w:ind w:left="372"/>
              <w:rPr>
                <w:sz w:val="19"/>
              </w:rPr>
            </w:pPr>
            <w:r>
              <w:rPr>
                <w:sz w:val="19"/>
              </w:rPr>
              <w:t>19,812</w:t>
            </w:r>
          </w:p>
        </w:tc>
        <w:tc>
          <w:tcPr>
            <w:tcW w:w="1049" w:type="dxa"/>
            <w:shd w:val="clear" w:color="auto" w:fill="E1E4BB"/>
          </w:tcPr>
          <w:p>
            <w:pPr>
              <w:pStyle w:val="TableParagraph"/>
              <w:ind w:right="116"/>
              <w:jc w:val="right"/>
              <w:rPr>
                <w:sz w:val="19"/>
              </w:rPr>
            </w:pPr>
            <w:r>
              <w:rPr>
                <w:w w:val="95"/>
                <w:sz w:val="19"/>
              </w:rPr>
              <w:t>6,150</w:t>
            </w:r>
          </w:p>
        </w:tc>
        <w:tc>
          <w:tcPr>
            <w:tcW w:w="1049" w:type="dxa"/>
            <w:gridSpan w:val="2"/>
            <w:tcBorders>
              <w:top w:val="single" w:sz="8" w:space="0" w:color="FFFFFF"/>
              <w:bottom w:val="single" w:sz="8" w:space="0" w:color="FFFFFF"/>
            </w:tcBorders>
            <w:shd w:val="clear" w:color="auto" w:fill="FAF9F9"/>
          </w:tcPr>
          <w:p>
            <w:pPr>
              <w:pStyle w:val="TableParagraph"/>
              <w:ind w:left="474"/>
              <w:rPr>
                <w:sz w:val="19"/>
              </w:rPr>
            </w:pPr>
            <w:r>
              <w:rPr>
                <w:sz w:val="19"/>
              </w:rPr>
              <w:t>6,685</w:t>
            </w:r>
          </w:p>
        </w:tc>
        <w:tc>
          <w:tcPr>
            <w:tcW w:w="1049" w:type="dxa"/>
            <w:shd w:val="clear" w:color="auto" w:fill="E1E4BB"/>
          </w:tcPr>
          <w:p>
            <w:pPr>
              <w:pStyle w:val="TableParagraph"/>
              <w:ind w:right="116"/>
              <w:jc w:val="right"/>
              <w:rPr>
                <w:sz w:val="19"/>
              </w:rPr>
            </w:pPr>
            <w:r>
              <w:rPr>
                <w:w w:val="95"/>
                <w:sz w:val="19"/>
              </w:rPr>
              <w:t>69,129</w:t>
            </w:r>
          </w:p>
        </w:tc>
        <w:tc>
          <w:tcPr>
            <w:tcW w:w="1049" w:type="dxa"/>
            <w:gridSpan w:val="2"/>
            <w:tcBorders>
              <w:top w:val="single" w:sz="8" w:space="0" w:color="FFFFFF"/>
              <w:bottom w:val="single" w:sz="8" w:space="0" w:color="FFFFFF"/>
            </w:tcBorders>
            <w:shd w:val="clear" w:color="auto" w:fill="FAF9F9"/>
          </w:tcPr>
          <w:p>
            <w:pPr>
              <w:pStyle w:val="TableParagraph"/>
              <w:ind w:left="372"/>
              <w:rPr>
                <w:sz w:val="19"/>
              </w:rPr>
            </w:pPr>
            <w:r>
              <w:rPr>
                <w:sz w:val="19"/>
              </w:rPr>
              <w:t>78,930</w:t>
            </w:r>
          </w:p>
        </w:tc>
        <w:tc>
          <w:tcPr>
            <w:tcW w:w="1049" w:type="dxa"/>
            <w:shd w:val="clear" w:color="auto" w:fill="E1E4BB"/>
          </w:tcPr>
          <w:p>
            <w:pPr>
              <w:pStyle w:val="TableParagraph"/>
              <w:ind w:right="116"/>
              <w:jc w:val="right"/>
              <w:rPr>
                <w:sz w:val="19"/>
              </w:rPr>
            </w:pPr>
            <w:r>
              <w:rPr>
                <w:w w:val="95"/>
                <w:sz w:val="19"/>
              </w:rPr>
              <w:t>18,718</w:t>
            </w:r>
          </w:p>
        </w:tc>
        <w:tc>
          <w:tcPr>
            <w:tcW w:w="1049" w:type="dxa"/>
            <w:gridSpan w:val="2"/>
            <w:tcBorders>
              <w:top w:val="single" w:sz="8" w:space="0" w:color="FFFFFF"/>
              <w:bottom w:val="single" w:sz="8" w:space="0" w:color="FFFFFF"/>
            </w:tcBorders>
            <w:shd w:val="clear" w:color="auto" w:fill="FAF9F9"/>
          </w:tcPr>
          <w:p>
            <w:pPr>
              <w:pStyle w:val="TableParagraph"/>
              <w:ind w:left="371"/>
              <w:rPr>
                <w:sz w:val="19"/>
              </w:rPr>
            </w:pPr>
            <w:r>
              <w:rPr>
                <w:sz w:val="19"/>
              </w:rPr>
              <w:t>29,826</w:t>
            </w:r>
          </w:p>
        </w:tc>
        <w:tc>
          <w:tcPr>
            <w:tcW w:w="1049" w:type="dxa"/>
            <w:shd w:val="clear" w:color="auto" w:fill="E1E4BB"/>
          </w:tcPr>
          <w:p>
            <w:pPr>
              <w:pStyle w:val="TableParagraph"/>
              <w:ind w:right="117"/>
              <w:jc w:val="right"/>
              <w:rPr>
                <w:sz w:val="19"/>
              </w:rPr>
            </w:pPr>
            <w:r>
              <w:rPr>
                <w:w w:val="95"/>
                <w:sz w:val="19"/>
              </w:rPr>
              <w:t>167,150</w:t>
            </w:r>
          </w:p>
        </w:tc>
        <w:tc>
          <w:tcPr>
            <w:tcW w:w="1050" w:type="dxa"/>
            <w:gridSpan w:val="2"/>
            <w:tcBorders>
              <w:top w:val="single" w:sz="8" w:space="0" w:color="FFFFFF"/>
              <w:bottom w:val="single" w:sz="8" w:space="0" w:color="FFFFFF"/>
            </w:tcBorders>
            <w:shd w:val="clear" w:color="auto" w:fill="FAF9F9"/>
          </w:tcPr>
          <w:p>
            <w:pPr>
              <w:pStyle w:val="TableParagraph"/>
              <w:ind w:left="269"/>
              <w:rPr>
                <w:sz w:val="19"/>
              </w:rPr>
            </w:pPr>
            <w:r>
              <w:rPr>
                <w:sz w:val="19"/>
              </w:rPr>
              <w:t>188,932</w:t>
            </w:r>
          </w:p>
        </w:tc>
      </w:tr>
      <w:tr>
        <w:trPr>
          <w:trHeight w:val="513" w:hRule="atLeast"/>
        </w:trPr>
        <w:tc>
          <w:tcPr>
            <w:tcW w:w="2721" w:type="dxa"/>
            <w:tcBorders>
              <w:top w:val="single" w:sz="8" w:space="0" w:color="FFFFFF"/>
              <w:bottom w:val="single" w:sz="8" w:space="0" w:color="FFFFFF"/>
            </w:tcBorders>
            <w:shd w:val="clear" w:color="auto" w:fill="F4F4F4"/>
          </w:tcPr>
          <w:p>
            <w:pPr>
              <w:pStyle w:val="TableParagraph"/>
              <w:spacing w:line="249" w:lineRule="auto"/>
              <w:ind w:left="112" w:right="632"/>
              <w:rPr>
                <w:sz w:val="19"/>
              </w:rPr>
            </w:pPr>
            <w:r>
              <w:rPr>
                <w:w w:val="95"/>
                <w:sz w:val="19"/>
              </w:rPr>
              <w:t>Resources received free </w:t>
            </w:r>
            <w:r>
              <w:rPr>
                <w:sz w:val="19"/>
              </w:rPr>
              <w:t>of charge</w:t>
            </w:r>
          </w:p>
        </w:tc>
        <w:tc>
          <w:tcPr>
            <w:tcW w:w="1049" w:type="dxa"/>
            <w:shd w:val="clear" w:color="auto" w:fill="E1E4BB"/>
          </w:tcPr>
          <w:p>
            <w:pPr>
              <w:pStyle w:val="TableParagraph"/>
              <w:ind w:right="115"/>
              <w:jc w:val="right"/>
              <w:rPr>
                <w:sz w:val="19"/>
              </w:rPr>
            </w:pPr>
            <w:r>
              <w:rPr>
                <w:w w:val="95"/>
                <w:sz w:val="19"/>
              </w:rPr>
              <w:t>12,321</w:t>
            </w:r>
          </w:p>
        </w:tc>
        <w:tc>
          <w:tcPr>
            <w:tcW w:w="1049" w:type="dxa"/>
            <w:gridSpan w:val="2"/>
            <w:tcBorders>
              <w:top w:val="single" w:sz="8" w:space="0" w:color="FFFFFF"/>
              <w:bottom w:val="single" w:sz="8" w:space="0" w:color="FFFFFF"/>
            </w:tcBorders>
            <w:shd w:val="clear" w:color="auto" w:fill="F4F4F4"/>
          </w:tcPr>
          <w:p>
            <w:pPr>
              <w:pStyle w:val="TableParagraph"/>
              <w:ind w:left="373"/>
              <w:rPr>
                <w:sz w:val="19"/>
              </w:rPr>
            </w:pPr>
            <w:r>
              <w:rPr>
                <w:sz w:val="19"/>
              </w:rPr>
              <w:t>12,884</w:t>
            </w:r>
          </w:p>
        </w:tc>
        <w:tc>
          <w:tcPr>
            <w:tcW w:w="1049" w:type="dxa"/>
            <w:shd w:val="clear" w:color="auto" w:fill="E1E4BB"/>
          </w:tcPr>
          <w:p>
            <w:pPr>
              <w:pStyle w:val="TableParagraph"/>
              <w:ind w:right="115"/>
              <w:jc w:val="right"/>
              <w:rPr>
                <w:sz w:val="19"/>
              </w:rPr>
            </w:pPr>
            <w:r>
              <w:rPr>
                <w:w w:val="95"/>
                <w:sz w:val="19"/>
              </w:rPr>
              <w:t>21</w:t>
            </w:r>
          </w:p>
        </w:tc>
        <w:tc>
          <w:tcPr>
            <w:tcW w:w="1049" w:type="dxa"/>
            <w:gridSpan w:val="2"/>
            <w:tcBorders>
              <w:top w:val="single" w:sz="8" w:space="0" w:color="FFFFFF"/>
              <w:bottom w:val="single" w:sz="8" w:space="0" w:color="FFFFFF"/>
            </w:tcBorders>
            <w:shd w:val="clear" w:color="auto" w:fill="F4F4F4"/>
          </w:tcPr>
          <w:p>
            <w:pPr>
              <w:pStyle w:val="TableParagraph"/>
              <w:ind w:right="116"/>
              <w:jc w:val="right"/>
              <w:rPr>
                <w:sz w:val="19"/>
              </w:rPr>
            </w:pPr>
            <w:r>
              <w:rPr>
                <w:w w:val="95"/>
                <w:sz w:val="19"/>
              </w:rPr>
              <w:t>73</w:t>
            </w:r>
          </w:p>
        </w:tc>
        <w:tc>
          <w:tcPr>
            <w:tcW w:w="1049" w:type="dxa"/>
            <w:shd w:val="clear" w:color="auto" w:fill="E1E4BB"/>
          </w:tcPr>
          <w:p>
            <w:pPr>
              <w:pStyle w:val="TableParagraph"/>
              <w:ind w:right="116"/>
              <w:jc w:val="right"/>
              <w:rPr>
                <w:sz w:val="19"/>
              </w:rPr>
            </w:pPr>
            <w:r>
              <w:rPr>
                <w:w w:val="95"/>
                <w:sz w:val="19"/>
              </w:rPr>
              <w:t>20</w:t>
            </w:r>
          </w:p>
        </w:tc>
        <w:tc>
          <w:tcPr>
            <w:tcW w:w="1049" w:type="dxa"/>
            <w:gridSpan w:val="2"/>
            <w:tcBorders>
              <w:top w:val="single" w:sz="8" w:space="0" w:color="FFFFFF"/>
              <w:bottom w:val="single" w:sz="8" w:space="0" w:color="FFFFFF"/>
            </w:tcBorders>
            <w:shd w:val="clear" w:color="auto" w:fill="F4F4F4"/>
          </w:tcPr>
          <w:p>
            <w:pPr>
              <w:pStyle w:val="TableParagraph"/>
              <w:ind w:right="112"/>
              <w:jc w:val="right"/>
              <w:rPr>
                <w:sz w:val="19"/>
              </w:rPr>
            </w:pPr>
            <w:r>
              <w:rPr>
                <w:w w:val="111"/>
                <w:sz w:val="19"/>
              </w:rPr>
              <w:t>-</w:t>
            </w:r>
          </w:p>
        </w:tc>
        <w:tc>
          <w:tcPr>
            <w:tcW w:w="1049" w:type="dxa"/>
            <w:shd w:val="clear" w:color="auto" w:fill="E1E4BB"/>
          </w:tcPr>
          <w:p>
            <w:pPr>
              <w:pStyle w:val="TableParagraph"/>
              <w:ind w:right="116"/>
              <w:jc w:val="right"/>
              <w:rPr>
                <w:sz w:val="19"/>
              </w:rPr>
            </w:pPr>
            <w:r>
              <w:rPr>
                <w:w w:val="95"/>
                <w:sz w:val="19"/>
              </w:rPr>
              <w:t>616</w:t>
            </w:r>
          </w:p>
        </w:tc>
        <w:tc>
          <w:tcPr>
            <w:tcW w:w="1049" w:type="dxa"/>
            <w:gridSpan w:val="2"/>
            <w:tcBorders>
              <w:top w:val="single" w:sz="8" w:space="0" w:color="FFFFFF"/>
              <w:bottom w:val="single" w:sz="8" w:space="0" w:color="FFFFFF"/>
            </w:tcBorders>
            <w:shd w:val="clear" w:color="auto" w:fill="F4F4F4"/>
          </w:tcPr>
          <w:p>
            <w:pPr>
              <w:pStyle w:val="TableParagraph"/>
              <w:ind w:left="624"/>
              <w:rPr>
                <w:sz w:val="19"/>
              </w:rPr>
            </w:pPr>
            <w:r>
              <w:rPr>
                <w:sz w:val="19"/>
              </w:rPr>
              <w:t>903</w:t>
            </w:r>
          </w:p>
        </w:tc>
        <w:tc>
          <w:tcPr>
            <w:tcW w:w="1049" w:type="dxa"/>
            <w:shd w:val="clear" w:color="auto" w:fill="E1E4BB"/>
          </w:tcPr>
          <w:p>
            <w:pPr>
              <w:pStyle w:val="TableParagraph"/>
              <w:ind w:right="117"/>
              <w:jc w:val="right"/>
              <w:rPr>
                <w:sz w:val="19"/>
              </w:rPr>
            </w:pPr>
            <w:r>
              <w:rPr>
                <w:w w:val="95"/>
                <w:sz w:val="19"/>
              </w:rPr>
              <w:t>326</w:t>
            </w:r>
          </w:p>
        </w:tc>
        <w:tc>
          <w:tcPr>
            <w:tcW w:w="1049" w:type="dxa"/>
            <w:gridSpan w:val="2"/>
            <w:tcBorders>
              <w:top w:val="single" w:sz="8" w:space="0" w:color="FFFFFF"/>
              <w:bottom w:val="single" w:sz="8" w:space="0" w:color="FFFFFF"/>
            </w:tcBorders>
            <w:shd w:val="clear" w:color="auto" w:fill="F4F4F4"/>
          </w:tcPr>
          <w:p>
            <w:pPr>
              <w:pStyle w:val="TableParagraph"/>
              <w:ind w:left="624"/>
              <w:rPr>
                <w:sz w:val="19"/>
              </w:rPr>
            </w:pPr>
            <w:r>
              <w:rPr>
                <w:sz w:val="19"/>
              </w:rPr>
              <w:t>656</w:t>
            </w:r>
          </w:p>
        </w:tc>
        <w:tc>
          <w:tcPr>
            <w:tcW w:w="1049" w:type="dxa"/>
            <w:shd w:val="clear" w:color="auto" w:fill="E1E4BB"/>
          </w:tcPr>
          <w:p>
            <w:pPr>
              <w:pStyle w:val="TableParagraph"/>
              <w:ind w:right="117"/>
              <w:jc w:val="right"/>
              <w:rPr>
                <w:sz w:val="19"/>
              </w:rPr>
            </w:pPr>
            <w:r>
              <w:rPr>
                <w:w w:val="95"/>
                <w:sz w:val="19"/>
              </w:rPr>
              <w:t>13,303</w:t>
            </w:r>
          </w:p>
        </w:tc>
        <w:tc>
          <w:tcPr>
            <w:tcW w:w="1050" w:type="dxa"/>
            <w:gridSpan w:val="2"/>
            <w:tcBorders>
              <w:top w:val="single" w:sz="8" w:space="0" w:color="FFFFFF"/>
              <w:bottom w:val="single" w:sz="8" w:space="0" w:color="FFFFFF"/>
            </w:tcBorders>
            <w:shd w:val="clear" w:color="auto" w:fill="F4F4F4"/>
          </w:tcPr>
          <w:p>
            <w:pPr>
              <w:pStyle w:val="TableParagraph"/>
              <w:ind w:left="371"/>
              <w:rPr>
                <w:sz w:val="19"/>
              </w:rPr>
            </w:pPr>
            <w:r>
              <w:rPr>
                <w:sz w:val="19"/>
              </w:rPr>
              <w:t>14,518</w:t>
            </w: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ind w:left="112"/>
              <w:rPr>
                <w:sz w:val="19"/>
              </w:rPr>
            </w:pPr>
            <w:r>
              <w:rPr>
                <w:sz w:val="19"/>
              </w:rPr>
              <w:t>Royalties for Regions Fund</w:t>
            </w:r>
          </w:p>
        </w:tc>
        <w:tc>
          <w:tcPr>
            <w:tcW w:w="1049" w:type="dxa"/>
            <w:tcBorders>
              <w:bottom w:val="single" w:sz="4" w:space="0" w:color="000000"/>
            </w:tcBorders>
            <w:shd w:val="clear" w:color="auto" w:fill="E1E4BB"/>
          </w:tcPr>
          <w:p>
            <w:pPr>
              <w:pStyle w:val="TableParagraph"/>
              <w:ind w:right="111"/>
              <w:jc w:val="right"/>
              <w:rPr>
                <w:sz w:val="19"/>
              </w:rPr>
            </w:pPr>
            <w:r>
              <w:rPr>
                <w:w w:val="111"/>
                <w:sz w:val="19"/>
              </w:rPr>
              <w:t>-</w:t>
            </w:r>
          </w:p>
        </w:tc>
        <w:tc>
          <w:tcPr>
            <w:tcW w:w="1049" w:type="dxa"/>
            <w:gridSpan w:val="2"/>
            <w:tcBorders>
              <w:top w:val="single" w:sz="8" w:space="0" w:color="FFFFFF"/>
              <w:bottom w:val="single" w:sz="4" w:space="0" w:color="000000"/>
            </w:tcBorders>
            <w:shd w:val="clear" w:color="auto" w:fill="FAF9F9"/>
          </w:tcPr>
          <w:p>
            <w:pPr>
              <w:pStyle w:val="TableParagraph"/>
              <w:ind w:right="112"/>
              <w:jc w:val="right"/>
              <w:rPr>
                <w:sz w:val="19"/>
              </w:rPr>
            </w:pPr>
            <w:r>
              <w:rPr>
                <w:w w:val="111"/>
                <w:sz w:val="19"/>
              </w:rPr>
              <w:t>-</w:t>
            </w:r>
          </w:p>
        </w:tc>
        <w:tc>
          <w:tcPr>
            <w:tcW w:w="1049" w:type="dxa"/>
            <w:tcBorders>
              <w:bottom w:val="single" w:sz="4" w:space="0" w:color="000000"/>
            </w:tcBorders>
            <w:shd w:val="clear" w:color="auto" w:fill="E1E4BB"/>
          </w:tcPr>
          <w:p>
            <w:pPr>
              <w:pStyle w:val="TableParagraph"/>
              <w:ind w:right="112"/>
              <w:jc w:val="right"/>
              <w:rPr>
                <w:sz w:val="19"/>
              </w:rPr>
            </w:pPr>
            <w:r>
              <w:rPr>
                <w:w w:val="111"/>
                <w:sz w:val="19"/>
              </w:rPr>
              <w:t>-</w:t>
            </w:r>
          </w:p>
        </w:tc>
        <w:tc>
          <w:tcPr>
            <w:tcW w:w="1049" w:type="dxa"/>
            <w:gridSpan w:val="2"/>
            <w:tcBorders>
              <w:top w:val="single" w:sz="8" w:space="0" w:color="FFFFFF"/>
              <w:bottom w:val="single" w:sz="4" w:space="0" w:color="000000"/>
            </w:tcBorders>
            <w:shd w:val="clear" w:color="auto" w:fill="FAF9F9"/>
          </w:tcPr>
          <w:p>
            <w:pPr>
              <w:pStyle w:val="TableParagraph"/>
              <w:ind w:right="112"/>
              <w:jc w:val="right"/>
              <w:rPr>
                <w:sz w:val="19"/>
              </w:rPr>
            </w:pPr>
            <w:r>
              <w:rPr>
                <w:w w:val="111"/>
                <w:sz w:val="19"/>
              </w:rPr>
              <w:t>-</w:t>
            </w:r>
          </w:p>
        </w:tc>
        <w:tc>
          <w:tcPr>
            <w:tcW w:w="1049" w:type="dxa"/>
            <w:tcBorders>
              <w:bottom w:val="single" w:sz="4" w:space="0" w:color="000000"/>
            </w:tcBorders>
            <w:shd w:val="clear" w:color="auto" w:fill="E1E4BB"/>
          </w:tcPr>
          <w:p>
            <w:pPr>
              <w:pStyle w:val="TableParagraph"/>
              <w:ind w:right="112"/>
              <w:jc w:val="right"/>
              <w:rPr>
                <w:sz w:val="19"/>
              </w:rPr>
            </w:pPr>
            <w:r>
              <w:rPr>
                <w:w w:val="111"/>
                <w:sz w:val="19"/>
              </w:rPr>
              <w:t>-</w:t>
            </w:r>
          </w:p>
        </w:tc>
        <w:tc>
          <w:tcPr>
            <w:tcW w:w="1049" w:type="dxa"/>
            <w:gridSpan w:val="2"/>
            <w:tcBorders>
              <w:top w:val="single" w:sz="8" w:space="0" w:color="FFFFFF"/>
              <w:bottom w:val="single" w:sz="4" w:space="0" w:color="000000"/>
            </w:tcBorders>
            <w:shd w:val="clear" w:color="auto" w:fill="FAF9F9"/>
          </w:tcPr>
          <w:p>
            <w:pPr>
              <w:pStyle w:val="TableParagraph"/>
              <w:ind w:right="112"/>
              <w:jc w:val="right"/>
              <w:rPr>
                <w:sz w:val="19"/>
              </w:rPr>
            </w:pPr>
            <w:r>
              <w:rPr>
                <w:w w:val="111"/>
                <w:sz w:val="19"/>
              </w:rPr>
              <w:t>-</w:t>
            </w:r>
          </w:p>
        </w:tc>
        <w:tc>
          <w:tcPr>
            <w:tcW w:w="1049" w:type="dxa"/>
            <w:tcBorders>
              <w:bottom w:val="single" w:sz="4" w:space="0" w:color="000000"/>
            </w:tcBorders>
            <w:shd w:val="clear" w:color="auto" w:fill="E1E4BB"/>
          </w:tcPr>
          <w:p>
            <w:pPr>
              <w:pStyle w:val="TableParagraph"/>
              <w:ind w:right="116"/>
              <w:jc w:val="right"/>
              <w:rPr>
                <w:sz w:val="19"/>
              </w:rPr>
            </w:pPr>
            <w:r>
              <w:rPr>
                <w:w w:val="95"/>
                <w:sz w:val="19"/>
              </w:rPr>
              <w:t>125</w:t>
            </w:r>
          </w:p>
        </w:tc>
        <w:tc>
          <w:tcPr>
            <w:tcW w:w="1049" w:type="dxa"/>
            <w:gridSpan w:val="2"/>
            <w:tcBorders>
              <w:top w:val="single" w:sz="8" w:space="0" w:color="FFFFFF"/>
              <w:bottom w:val="single" w:sz="4" w:space="0" w:color="000000"/>
            </w:tcBorders>
            <w:shd w:val="clear" w:color="auto" w:fill="FAF9F9"/>
          </w:tcPr>
          <w:p>
            <w:pPr>
              <w:pStyle w:val="TableParagraph"/>
              <w:ind w:left="624"/>
              <w:rPr>
                <w:sz w:val="19"/>
              </w:rPr>
            </w:pPr>
            <w:r>
              <w:rPr>
                <w:sz w:val="19"/>
              </w:rPr>
              <w:t>127</w:t>
            </w:r>
          </w:p>
        </w:tc>
        <w:tc>
          <w:tcPr>
            <w:tcW w:w="1049" w:type="dxa"/>
            <w:tcBorders>
              <w:bottom w:val="single" w:sz="4" w:space="0" w:color="000000"/>
            </w:tcBorders>
            <w:shd w:val="clear" w:color="auto" w:fill="E1E4BB"/>
          </w:tcPr>
          <w:p>
            <w:pPr>
              <w:pStyle w:val="TableParagraph"/>
              <w:ind w:right="113"/>
              <w:jc w:val="right"/>
              <w:rPr>
                <w:sz w:val="19"/>
              </w:rPr>
            </w:pPr>
            <w:r>
              <w:rPr>
                <w:w w:val="111"/>
                <w:sz w:val="19"/>
              </w:rPr>
              <w:t>-</w:t>
            </w:r>
          </w:p>
        </w:tc>
        <w:tc>
          <w:tcPr>
            <w:tcW w:w="1049" w:type="dxa"/>
            <w:gridSpan w:val="2"/>
            <w:tcBorders>
              <w:top w:val="single" w:sz="8" w:space="0" w:color="FFFFFF"/>
              <w:bottom w:val="single" w:sz="4" w:space="0" w:color="000000"/>
            </w:tcBorders>
            <w:shd w:val="clear" w:color="auto" w:fill="FAF9F9"/>
          </w:tcPr>
          <w:p>
            <w:pPr>
              <w:pStyle w:val="TableParagraph"/>
              <w:ind w:right="113"/>
              <w:jc w:val="right"/>
              <w:rPr>
                <w:sz w:val="19"/>
              </w:rPr>
            </w:pPr>
            <w:r>
              <w:rPr>
                <w:w w:val="111"/>
                <w:sz w:val="19"/>
              </w:rPr>
              <w:t>-</w:t>
            </w:r>
          </w:p>
        </w:tc>
        <w:tc>
          <w:tcPr>
            <w:tcW w:w="1049" w:type="dxa"/>
            <w:tcBorders>
              <w:bottom w:val="single" w:sz="4" w:space="0" w:color="000000"/>
            </w:tcBorders>
            <w:shd w:val="clear" w:color="auto" w:fill="E1E4BB"/>
          </w:tcPr>
          <w:p>
            <w:pPr>
              <w:pStyle w:val="TableParagraph"/>
              <w:ind w:right="117"/>
              <w:jc w:val="right"/>
              <w:rPr>
                <w:sz w:val="19"/>
              </w:rPr>
            </w:pPr>
            <w:r>
              <w:rPr>
                <w:w w:val="95"/>
                <w:sz w:val="19"/>
              </w:rPr>
              <w:t>125</w:t>
            </w:r>
          </w:p>
        </w:tc>
        <w:tc>
          <w:tcPr>
            <w:tcW w:w="1050" w:type="dxa"/>
            <w:gridSpan w:val="2"/>
            <w:tcBorders>
              <w:top w:val="single" w:sz="8" w:space="0" w:color="FFFFFF"/>
              <w:bottom w:val="single" w:sz="4" w:space="0" w:color="000000"/>
            </w:tcBorders>
            <w:shd w:val="clear" w:color="auto" w:fill="FAF9F9"/>
          </w:tcPr>
          <w:p>
            <w:pPr>
              <w:pStyle w:val="TableParagraph"/>
              <w:ind w:left="623"/>
              <w:rPr>
                <w:sz w:val="19"/>
              </w:rPr>
            </w:pPr>
            <w:r>
              <w:rPr>
                <w:sz w:val="19"/>
              </w:rPr>
              <w:t>127</w:t>
            </w:r>
          </w:p>
        </w:tc>
      </w:tr>
      <w:tr>
        <w:trPr>
          <w:trHeight w:val="513" w:hRule="atLeast"/>
        </w:trPr>
        <w:tc>
          <w:tcPr>
            <w:tcW w:w="2721" w:type="dxa"/>
            <w:tcBorders>
              <w:top w:val="single" w:sz="8" w:space="0" w:color="FFFFFF"/>
              <w:bottom w:val="single" w:sz="8" w:space="0" w:color="FFFFFF"/>
            </w:tcBorders>
            <w:shd w:val="clear" w:color="auto" w:fill="F4F4F4"/>
          </w:tcPr>
          <w:p>
            <w:pPr>
              <w:pStyle w:val="TableParagraph"/>
              <w:spacing w:line="249" w:lineRule="auto"/>
              <w:ind w:left="112"/>
              <w:rPr>
                <w:b/>
                <w:sz w:val="19"/>
              </w:rPr>
            </w:pPr>
            <w:r>
              <w:rPr>
                <w:b/>
                <w:sz w:val="19"/>
              </w:rPr>
              <w:t>Total income from State Government</w:t>
            </w:r>
          </w:p>
        </w:tc>
        <w:tc>
          <w:tcPr>
            <w:tcW w:w="1049" w:type="dxa"/>
            <w:tcBorders>
              <w:top w:val="single" w:sz="4" w:space="0" w:color="000000"/>
              <w:bottom w:val="single" w:sz="4" w:space="0" w:color="000000"/>
            </w:tcBorders>
            <w:shd w:val="clear" w:color="auto" w:fill="DFE1B8"/>
          </w:tcPr>
          <w:p>
            <w:pPr>
              <w:pStyle w:val="TableParagraph"/>
              <w:ind w:right="115"/>
              <w:jc w:val="right"/>
              <w:rPr>
                <w:b/>
                <w:sz w:val="19"/>
              </w:rPr>
            </w:pPr>
            <w:r>
              <w:rPr>
                <w:b/>
                <w:w w:val="95"/>
                <w:sz w:val="19"/>
              </w:rPr>
              <w:t>54,693</w:t>
            </w:r>
          </w:p>
        </w:tc>
        <w:tc>
          <w:tcPr>
            <w:tcW w:w="1049" w:type="dxa"/>
            <w:gridSpan w:val="2"/>
            <w:tcBorders>
              <w:top w:val="single" w:sz="4" w:space="0" w:color="000000"/>
              <w:bottom w:val="single" w:sz="4" w:space="0" w:color="000000"/>
            </w:tcBorders>
            <w:shd w:val="clear" w:color="auto" w:fill="F4F4F4"/>
          </w:tcPr>
          <w:p>
            <w:pPr>
              <w:pStyle w:val="TableParagraph"/>
              <w:ind w:left="372"/>
              <w:rPr>
                <w:b/>
                <w:sz w:val="19"/>
              </w:rPr>
            </w:pPr>
            <w:r>
              <w:rPr>
                <w:b/>
                <w:sz w:val="19"/>
              </w:rPr>
              <w:t>66,564</w:t>
            </w:r>
          </w:p>
        </w:tc>
        <w:tc>
          <w:tcPr>
            <w:tcW w:w="1049" w:type="dxa"/>
            <w:tcBorders>
              <w:top w:val="single" w:sz="4" w:space="0" w:color="000000"/>
              <w:bottom w:val="single" w:sz="4" w:space="0" w:color="000000"/>
            </w:tcBorders>
            <w:shd w:val="clear" w:color="auto" w:fill="DFE1B8"/>
          </w:tcPr>
          <w:p>
            <w:pPr>
              <w:pStyle w:val="TableParagraph"/>
              <w:ind w:right="116"/>
              <w:jc w:val="right"/>
              <w:rPr>
                <w:b/>
                <w:sz w:val="19"/>
              </w:rPr>
            </w:pPr>
            <w:r>
              <w:rPr>
                <w:b/>
                <w:w w:val="95"/>
                <w:sz w:val="19"/>
              </w:rPr>
              <w:t>30,802</w:t>
            </w:r>
          </w:p>
        </w:tc>
        <w:tc>
          <w:tcPr>
            <w:tcW w:w="1049" w:type="dxa"/>
            <w:gridSpan w:val="2"/>
            <w:tcBorders>
              <w:top w:val="single" w:sz="4" w:space="0" w:color="000000"/>
              <w:bottom w:val="single" w:sz="4" w:space="0" w:color="000000"/>
            </w:tcBorders>
            <w:shd w:val="clear" w:color="auto" w:fill="F4F4F4"/>
          </w:tcPr>
          <w:p>
            <w:pPr>
              <w:pStyle w:val="TableParagraph"/>
              <w:ind w:left="372"/>
              <w:rPr>
                <w:b/>
                <w:sz w:val="19"/>
              </w:rPr>
            </w:pPr>
            <w:r>
              <w:rPr>
                <w:b/>
                <w:sz w:val="19"/>
              </w:rPr>
              <w:t>19,885</w:t>
            </w:r>
          </w:p>
        </w:tc>
        <w:tc>
          <w:tcPr>
            <w:tcW w:w="1049" w:type="dxa"/>
            <w:tcBorders>
              <w:top w:val="single" w:sz="4" w:space="0" w:color="000000"/>
              <w:bottom w:val="single" w:sz="4" w:space="0" w:color="000000"/>
            </w:tcBorders>
            <w:shd w:val="clear" w:color="auto" w:fill="DFE1B8"/>
          </w:tcPr>
          <w:p>
            <w:pPr>
              <w:pStyle w:val="TableParagraph"/>
              <w:ind w:right="116"/>
              <w:jc w:val="right"/>
              <w:rPr>
                <w:b/>
                <w:sz w:val="19"/>
              </w:rPr>
            </w:pPr>
            <w:r>
              <w:rPr>
                <w:b/>
                <w:w w:val="95"/>
                <w:sz w:val="19"/>
              </w:rPr>
              <w:t>6,169</w:t>
            </w:r>
          </w:p>
        </w:tc>
        <w:tc>
          <w:tcPr>
            <w:tcW w:w="1049" w:type="dxa"/>
            <w:gridSpan w:val="2"/>
            <w:tcBorders>
              <w:top w:val="single" w:sz="4" w:space="0" w:color="000000"/>
              <w:bottom w:val="single" w:sz="4" w:space="0" w:color="000000"/>
            </w:tcBorders>
            <w:shd w:val="clear" w:color="auto" w:fill="F4F4F4"/>
          </w:tcPr>
          <w:p>
            <w:pPr>
              <w:pStyle w:val="TableParagraph"/>
              <w:ind w:left="473"/>
              <w:rPr>
                <w:b/>
                <w:sz w:val="19"/>
              </w:rPr>
            </w:pPr>
            <w:r>
              <w:rPr>
                <w:b/>
                <w:sz w:val="19"/>
              </w:rPr>
              <w:t>6,685</w:t>
            </w:r>
          </w:p>
        </w:tc>
        <w:tc>
          <w:tcPr>
            <w:tcW w:w="1049" w:type="dxa"/>
            <w:tcBorders>
              <w:top w:val="single" w:sz="4" w:space="0" w:color="000000"/>
              <w:bottom w:val="single" w:sz="4" w:space="0" w:color="000000"/>
            </w:tcBorders>
            <w:shd w:val="clear" w:color="auto" w:fill="DFE1B8"/>
          </w:tcPr>
          <w:p>
            <w:pPr>
              <w:pStyle w:val="TableParagraph"/>
              <w:ind w:right="117"/>
              <w:jc w:val="right"/>
              <w:rPr>
                <w:b/>
                <w:sz w:val="19"/>
              </w:rPr>
            </w:pPr>
            <w:r>
              <w:rPr>
                <w:b/>
                <w:w w:val="95"/>
                <w:sz w:val="19"/>
              </w:rPr>
              <w:t>69,870</w:t>
            </w:r>
          </w:p>
        </w:tc>
        <w:tc>
          <w:tcPr>
            <w:tcW w:w="1049" w:type="dxa"/>
            <w:gridSpan w:val="2"/>
            <w:tcBorders>
              <w:top w:val="single" w:sz="4" w:space="0" w:color="000000"/>
              <w:bottom w:val="single" w:sz="4" w:space="0" w:color="000000"/>
            </w:tcBorders>
            <w:shd w:val="clear" w:color="auto" w:fill="F4F4F4"/>
          </w:tcPr>
          <w:p>
            <w:pPr>
              <w:pStyle w:val="TableParagraph"/>
              <w:ind w:left="371"/>
              <w:rPr>
                <w:b/>
                <w:sz w:val="19"/>
              </w:rPr>
            </w:pPr>
            <w:r>
              <w:rPr>
                <w:b/>
                <w:sz w:val="19"/>
              </w:rPr>
              <w:t>79,960</w:t>
            </w:r>
          </w:p>
        </w:tc>
        <w:tc>
          <w:tcPr>
            <w:tcW w:w="1049" w:type="dxa"/>
            <w:tcBorders>
              <w:top w:val="single" w:sz="4" w:space="0" w:color="000000"/>
              <w:bottom w:val="single" w:sz="4" w:space="0" w:color="000000"/>
            </w:tcBorders>
            <w:shd w:val="clear" w:color="auto" w:fill="DFE1B8"/>
          </w:tcPr>
          <w:p>
            <w:pPr>
              <w:pStyle w:val="TableParagraph"/>
              <w:ind w:right="117"/>
              <w:jc w:val="right"/>
              <w:rPr>
                <w:b/>
                <w:sz w:val="19"/>
              </w:rPr>
            </w:pPr>
            <w:r>
              <w:rPr>
                <w:b/>
                <w:w w:val="95"/>
                <w:sz w:val="19"/>
              </w:rPr>
              <w:t>19,044</w:t>
            </w:r>
          </w:p>
        </w:tc>
        <w:tc>
          <w:tcPr>
            <w:tcW w:w="1049" w:type="dxa"/>
            <w:gridSpan w:val="2"/>
            <w:tcBorders>
              <w:top w:val="single" w:sz="4" w:space="0" w:color="000000"/>
              <w:bottom w:val="single" w:sz="4" w:space="0" w:color="000000"/>
            </w:tcBorders>
            <w:shd w:val="clear" w:color="auto" w:fill="F4F4F4"/>
          </w:tcPr>
          <w:p>
            <w:pPr>
              <w:pStyle w:val="TableParagraph"/>
              <w:ind w:left="371"/>
              <w:rPr>
                <w:b/>
                <w:sz w:val="19"/>
              </w:rPr>
            </w:pPr>
            <w:r>
              <w:rPr>
                <w:b/>
                <w:sz w:val="19"/>
              </w:rPr>
              <w:t>30,482</w:t>
            </w:r>
          </w:p>
        </w:tc>
        <w:tc>
          <w:tcPr>
            <w:tcW w:w="1049" w:type="dxa"/>
            <w:tcBorders>
              <w:top w:val="single" w:sz="4" w:space="0" w:color="000000"/>
              <w:bottom w:val="single" w:sz="4" w:space="0" w:color="000000"/>
            </w:tcBorders>
            <w:shd w:val="clear" w:color="auto" w:fill="DFE1B8"/>
          </w:tcPr>
          <w:p>
            <w:pPr>
              <w:pStyle w:val="TableParagraph"/>
              <w:ind w:right="117"/>
              <w:jc w:val="right"/>
              <w:rPr>
                <w:b/>
                <w:sz w:val="19"/>
              </w:rPr>
            </w:pPr>
            <w:r>
              <w:rPr>
                <w:b/>
                <w:w w:val="95"/>
                <w:sz w:val="19"/>
              </w:rPr>
              <w:t>180,578</w:t>
            </w:r>
          </w:p>
        </w:tc>
        <w:tc>
          <w:tcPr>
            <w:tcW w:w="1050" w:type="dxa"/>
            <w:gridSpan w:val="2"/>
            <w:tcBorders>
              <w:top w:val="single" w:sz="4" w:space="0" w:color="000000"/>
              <w:bottom w:val="single" w:sz="4" w:space="0" w:color="000000"/>
            </w:tcBorders>
            <w:shd w:val="clear" w:color="auto" w:fill="F4F4F4"/>
          </w:tcPr>
          <w:p>
            <w:pPr>
              <w:pStyle w:val="TableParagraph"/>
              <w:ind w:left="268"/>
              <w:rPr>
                <w:b/>
                <w:sz w:val="19"/>
              </w:rPr>
            </w:pPr>
            <w:r>
              <w:rPr>
                <w:b/>
                <w:sz w:val="19"/>
              </w:rPr>
              <w:t>203,577</w:t>
            </w:r>
          </w:p>
        </w:tc>
      </w:tr>
      <w:tr>
        <w:trPr>
          <w:trHeight w:val="493" w:hRule="atLeast"/>
        </w:trPr>
        <w:tc>
          <w:tcPr>
            <w:tcW w:w="2721" w:type="dxa"/>
            <w:tcBorders>
              <w:top w:val="single" w:sz="8" w:space="0" w:color="FFFFFF"/>
              <w:bottom w:val="single" w:sz="8" w:space="0" w:color="FFFFFF"/>
            </w:tcBorders>
            <w:shd w:val="clear" w:color="auto" w:fill="FAF9F9"/>
          </w:tcPr>
          <w:p>
            <w:pPr>
              <w:pStyle w:val="TableParagraph"/>
              <w:spacing w:line="220" w:lineRule="atLeast" w:before="30"/>
              <w:ind w:left="112" w:right="95"/>
              <w:rPr>
                <w:b/>
                <w:sz w:val="19"/>
              </w:rPr>
            </w:pPr>
            <w:r>
              <w:rPr>
                <w:b/>
                <w:sz w:val="19"/>
              </w:rPr>
              <w:t>SURPLUS/DEFICIT FOR THE PERIOD</w:t>
            </w:r>
          </w:p>
        </w:tc>
        <w:tc>
          <w:tcPr>
            <w:tcW w:w="1049" w:type="dxa"/>
            <w:tcBorders>
              <w:top w:val="single" w:sz="4" w:space="0" w:color="000000"/>
              <w:bottom w:val="single" w:sz="24" w:space="0" w:color="FFFFFF"/>
            </w:tcBorders>
            <w:shd w:val="clear" w:color="auto" w:fill="E1E4BB"/>
          </w:tcPr>
          <w:p>
            <w:pPr>
              <w:pStyle w:val="TableParagraph"/>
              <w:ind w:right="116"/>
              <w:jc w:val="right"/>
              <w:rPr>
                <w:b/>
                <w:sz w:val="19"/>
              </w:rPr>
            </w:pPr>
            <w:r>
              <w:rPr>
                <w:b/>
                <w:w w:val="95"/>
                <w:sz w:val="19"/>
              </w:rPr>
              <w:t>700</w:t>
            </w:r>
          </w:p>
        </w:tc>
        <w:tc>
          <w:tcPr>
            <w:tcW w:w="1049" w:type="dxa"/>
            <w:gridSpan w:val="2"/>
            <w:tcBorders>
              <w:top w:val="single" w:sz="4" w:space="0" w:color="000000"/>
              <w:bottom w:val="single" w:sz="24" w:space="0" w:color="FFFFFF"/>
            </w:tcBorders>
            <w:shd w:val="clear" w:color="auto" w:fill="FAF9F9"/>
          </w:tcPr>
          <w:p>
            <w:pPr>
              <w:pStyle w:val="TableParagraph"/>
              <w:ind w:left="372"/>
              <w:rPr>
                <w:b/>
                <w:sz w:val="19"/>
              </w:rPr>
            </w:pPr>
            <w:r>
              <w:rPr>
                <w:b/>
                <w:sz w:val="19"/>
              </w:rPr>
              <w:t>13,202</w:t>
            </w:r>
          </w:p>
        </w:tc>
        <w:tc>
          <w:tcPr>
            <w:tcW w:w="1049" w:type="dxa"/>
            <w:tcBorders>
              <w:top w:val="single" w:sz="4" w:space="0" w:color="000000"/>
              <w:bottom w:val="single" w:sz="24" w:space="0" w:color="FFFFFF"/>
            </w:tcBorders>
            <w:shd w:val="clear" w:color="auto" w:fill="E1E4BB"/>
          </w:tcPr>
          <w:p>
            <w:pPr>
              <w:pStyle w:val="TableParagraph"/>
              <w:ind w:right="116"/>
              <w:jc w:val="right"/>
              <w:rPr>
                <w:b/>
                <w:sz w:val="19"/>
              </w:rPr>
            </w:pPr>
            <w:r>
              <w:rPr>
                <w:b/>
                <w:w w:val="95"/>
                <w:sz w:val="19"/>
              </w:rPr>
              <w:t>24,568</w:t>
            </w:r>
          </w:p>
        </w:tc>
        <w:tc>
          <w:tcPr>
            <w:tcW w:w="1049" w:type="dxa"/>
            <w:gridSpan w:val="2"/>
            <w:tcBorders>
              <w:top w:val="single" w:sz="4" w:space="0" w:color="000000"/>
              <w:bottom w:val="single" w:sz="24" w:space="0" w:color="FFFFFF"/>
            </w:tcBorders>
            <w:shd w:val="clear" w:color="auto" w:fill="FAF9F9"/>
          </w:tcPr>
          <w:p>
            <w:pPr>
              <w:pStyle w:val="TableParagraph"/>
              <w:ind w:left="473"/>
              <w:rPr>
                <w:b/>
                <w:sz w:val="19"/>
              </w:rPr>
            </w:pPr>
            <w:r>
              <w:rPr>
                <w:b/>
                <w:sz w:val="19"/>
              </w:rPr>
              <w:t>4,375</w:t>
            </w:r>
          </w:p>
        </w:tc>
        <w:tc>
          <w:tcPr>
            <w:tcW w:w="1049" w:type="dxa"/>
            <w:tcBorders>
              <w:top w:val="single" w:sz="4" w:space="0" w:color="000000"/>
              <w:bottom w:val="single" w:sz="24" w:space="0" w:color="FFFFFF"/>
            </w:tcBorders>
            <w:shd w:val="clear" w:color="auto" w:fill="E1E4BB"/>
          </w:tcPr>
          <w:p>
            <w:pPr>
              <w:pStyle w:val="TableParagraph"/>
              <w:ind w:right="116"/>
              <w:jc w:val="right"/>
              <w:rPr>
                <w:b/>
                <w:sz w:val="19"/>
              </w:rPr>
            </w:pPr>
            <w:r>
              <w:rPr>
                <w:b/>
                <w:w w:val="95"/>
                <w:sz w:val="19"/>
              </w:rPr>
              <w:t>(589)</w:t>
            </w:r>
          </w:p>
        </w:tc>
        <w:tc>
          <w:tcPr>
            <w:tcW w:w="1049" w:type="dxa"/>
            <w:gridSpan w:val="2"/>
            <w:tcBorders>
              <w:top w:val="single" w:sz="4" w:space="0" w:color="000000"/>
              <w:bottom w:val="single" w:sz="24" w:space="0" w:color="FFFFFF"/>
            </w:tcBorders>
            <w:shd w:val="clear" w:color="auto" w:fill="FAF9F9"/>
          </w:tcPr>
          <w:p>
            <w:pPr>
              <w:pStyle w:val="TableParagraph"/>
              <w:ind w:right="113"/>
              <w:jc w:val="right"/>
              <w:rPr>
                <w:b/>
                <w:sz w:val="19"/>
              </w:rPr>
            </w:pPr>
            <w:r>
              <w:rPr>
                <w:b/>
                <w:w w:val="122"/>
                <w:sz w:val="19"/>
              </w:rPr>
              <w:t>-</w:t>
            </w:r>
          </w:p>
        </w:tc>
        <w:tc>
          <w:tcPr>
            <w:tcW w:w="1049" w:type="dxa"/>
            <w:tcBorders>
              <w:top w:val="single" w:sz="4" w:space="0" w:color="000000"/>
              <w:bottom w:val="single" w:sz="24" w:space="0" w:color="FFFFFF"/>
            </w:tcBorders>
            <w:shd w:val="clear" w:color="auto" w:fill="E1E4BB"/>
          </w:tcPr>
          <w:p>
            <w:pPr>
              <w:pStyle w:val="TableParagraph"/>
              <w:ind w:right="117"/>
              <w:jc w:val="right"/>
              <w:rPr>
                <w:b/>
                <w:sz w:val="19"/>
              </w:rPr>
            </w:pPr>
            <w:r>
              <w:rPr>
                <w:b/>
                <w:w w:val="95"/>
                <w:sz w:val="19"/>
              </w:rPr>
              <w:t>(16,976)</w:t>
            </w:r>
          </w:p>
        </w:tc>
        <w:tc>
          <w:tcPr>
            <w:tcW w:w="1049" w:type="dxa"/>
            <w:gridSpan w:val="2"/>
            <w:tcBorders>
              <w:top w:val="single" w:sz="4" w:space="0" w:color="000000"/>
              <w:bottom w:val="single" w:sz="24" w:space="0" w:color="FFFFFF"/>
            </w:tcBorders>
            <w:shd w:val="clear" w:color="auto" w:fill="FAF9F9"/>
          </w:tcPr>
          <w:p>
            <w:pPr>
              <w:pStyle w:val="TableParagraph"/>
              <w:ind w:left="266"/>
              <w:rPr>
                <w:b/>
                <w:sz w:val="19"/>
              </w:rPr>
            </w:pPr>
            <w:r>
              <w:rPr>
                <w:b/>
                <w:sz w:val="19"/>
              </w:rPr>
              <w:t>(44,200)</w:t>
            </w:r>
          </w:p>
        </w:tc>
        <w:tc>
          <w:tcPr>
            <w:tcW w:w="1049" w:type="dxa"/>
            <w:tcBorders>
              <w:top w:val="single" w:sz="4" w:space="0" w:color="000000"/>
              <w:bottom w:val="single" w:sz="24" w:space="0" w:color="FFFFFF"/>
            </w:tcBorders>
            <w:shd w:val="clear" w:color="auto" w:fill="E1E4BB"/>
          </w:tcPr>
          <w:p>
            <w:pPr>
              <w:pStyle w:val="TableParagraph"/>
              <w:ind w:right="117"/>
              <w:jc w:val="right"/>
              <w:rPr>
                <w:b/>
                <w:sz w:val="19"/>
              </w:rPr>
            </w:pPr>
            <w:r>
              <w:rPr>
                <w:b/>
                <w:w w:val="95"/>
                <w:sz w:val="19"/>
              </w:rPr>
              <w:t>3,140</w:t>
            </w:r>
          </w:p>
        </w:tc>
        <w:tc>
          <w:tcPr>
            <w:tcW w:w="1049" w:type="dxa"/>
            <w:gridSpan w:val="2"/>
            <w:tcBorders>
              <w:top w:val="single" w:sz="4" w:space="0" w:color="000000"/>
              <w:bottom w:val="single" w:sz="24" w:space="0" w:color="FFFFFF"/>
            </w:tcBorders>
            <w:shd w:val="clear" w:color="auto" w:fill="FAF9F9"/>
          </w:tcPr>
          <w:p>
            <w:pPr>
              <w:pStyle w:val="TableParagraph"/>
              <w:ind w:left="472"/>
              <w:rPr>
                <w:b/>
                <w:sz w:val="19"/>
              </w:rPr>
            </w:pPr>
            <w:r>
              <w:rPr>
                <w:b/>
                <w:sz w:val="19"/>
              </w:rPr>
              <w:t>6,129</w:t>
            </w:r>
          </w:p>
        </w:tc>
        <w:tc>
          <w:tcPr>
            <w:tcW w:w="1049" w:type="dxa"/>
            <w:tcBorders>
              <w:top w:val="single" w:sz="4" w:space="0" w:color="000000"/>
              <w:bottom w:val="single" w:sz="24" w:space="0" w:color="FFFFFF"/>
            </w:tcBorders>
            <w:shd w:val="clear" w:color="auto" w:fill="E1E4BB"/>
          </w:tcPr>
          <w:p>
            <w:pPr>
              <w:pStyle w:val="TableParagraph"/>
              <w:ind w:right="118"/>
              <w:jc w:val="right"/>
              <w:rPr>
                <w:b/>
                <w:sz w:val="19"/>
              </w:rPr>
            </w:pPr>
            <w:r>
              <w:rPr>
                <w:b/>
                <w:w w:val="95"/>
                <w:sz w:val="19"/>
              </w:rPr>
              <w:t>10,841</w:t>
            </w:r>
          </w:p>
        </w:tc>
        <w:tc>
          <w:tcPr>
            <w:tcW w:w="1050" w:type="dxa"/>
            <w:gridSpan w:val="2"/>
            <w:tcBorders>
              <w:top w:val="single" w:sz="4" w:space="0" w:color="000000"/>
              <w:bottom w:val="single" w:sz="24" w:space="0" w:color="FFFFFF"/>
            </w:tcBorders>
            <w:shd w:val="clear" w:color="auto" w:fill="FAF9F9"/>
          </w:tcPr>
          <w:p>
            <w:pPr>
              <w:pStyle w:val="TableParagraph"/>
              <w:ind w:left="265"/>
              <w:rPr>
                <w:b/>
                <w:sz w:val="19"/>
              </w:rPr>
            </w:pPr>
            <w:r>
              <w:rPr>
                <w:b/>
                <w:sz w:val="19"/>
              </w:rPr>
              <w:t>(20,491)</w:t>
            </w:r>
          </w:p>
        </w:tc>
      </w:tr>
    </w:tbl>
    <w:p>
      <w:pPr>
        <w:pStyle w:val="BodyText"/>
        <w:spacing w:line="20" w:lineRule="exact"/>
        <w:ind w:left="13969"/>
        <w:rPr>
          <w:sz w:val="2"/>
        </w:rPr>
      </w:pPr>
      <w:r>
        <w:rPr>
          <w:sz w:val="2"/>
        </w:rPr>
        <w:pict>
          <v:group style="width:104.9pt;height:.550pt;mso-position-horizontal-relative:char;mso-position-vertical-relative:line" coordorigin="0,0" coordsize="2098,11">
            <v:line style="position:absolute" from="0,5" to="1049,5" stroked="true" strokeweight=".501pt" strokecolor="#000000">
              <v:stroke dashstyle="solid"/>
            </v:line>
            <v:line style="position:absolute" from="1049,5" to="2098,5" stroked="true" strokeweight=".501pt" strokecolor="#000000">
              <v:stroke dashstyle="solid"/>
            </v:line>
          </v:group>
        </w:pict>
      </w:r>
      <w:r>
        <w:rPr>
          <w:sz w:val="2"/>
        </w:rPr>
      </w:r>
    </w:p>
    <w:p>
      <w:pPr>
        <w:spacing w:line="450" w:lineRule="atLeast" w:before="43"/>
        <w:ind w:left="764" w:right="6997" w:firstLine="0"/>
        <w:jc w:val="left"/>
        <w:rPr>
          <w:sz w:val="19"/>
        </w:rPr>
      </w:pPr>
      <w:r>
        <w:rPr>
          <w:sz w:val="19"/>
        </w:rPr>
        <w:t>The</w:t>
      </w:r>
      <w:r>
        <w:rPr>
          <w:spacing w:val="-17"/>
          <w:sz w:val="19"/>
        </w:rPr>
        <w:t> </w:t>
      </w:r>
      <w:r>
        <w:rPr>
          <w:sz w:val="19"/>
        </w:rPr>
        <w:t>Schedule</w:t>
      </w:r>
      <w:r>
        <w:rPr>
          <w:spacing w:val="-16"/>
          <w:sz w:val="19"/>
        </w:rPr>
        <w:t> </w:t>
      </w:r>
      <w:r>
        <w:rPr>
          <w:sz w:val="19"/>
        </w:rPr>
        <w:t>of</w:t>
      </w:r>
      <w:r>
        <w:rPr>
          <w:spacing w:val="-16"/>
          <w:sz w:val="19"/>
        </w:rPr>
        <w:t> </w:t>
      </w:r>
      <w:r>
        <w:rPr>
          <w:sz w:val="19"/>
        </w:rPr>
        <w:t>Income</w:t>
      </w:r>
      <w:r>
        <w:rPr>
          <w:spacing w:val="-16"/>
          <w:sz w:val="19"/>
        </w:rPr>
        <w:t> </w:t>
      </w:r>
      <w:r>
        <w:rPr>
          <w:sz w:val="19"/>
        </w:rPr>
        <w:t>and</w:t>
      </w:r>
      <w:r>
        <w:rPr>
          <w:spacing w:val="-16"/>
          <w:sz w:val="19"/>
        </w:rPr>
        <w:t> </w:t>
      </w:r>
      <w:r>
        <w:rPr>
          <w:sz w:val="19"/>
        </w:rPr>
        <w:t>Expenses</w:t>
      </w:r>
      <w:r>
        <w:rPr>
          <w:spacing w:val="-17"/>
          <w:sz w:val="19"/>
        </w:rPr>
        <w:t> </w:t>
      </w:r>
      <w:r>
        <w:rPr>
          <w:sz w:val="19"/>
        </w:rPr>
        <w:t>by</w:t>
      </w:r>
      <w:r>
        <w:rPr>
          <w:spacing w:val="-16"/>
          <w:sz w:val="19"/>
        </w:rPr>
        <w:t> </w:t>
      </w:r>
      <w:r>
        <w:rPr>
          <w:sz w:val="19"/>
        </w:rPr>
        <w:t>Service</w:t>
      </w:r>
      <w:r>
        <w:rPr>
          <w:spacing w:val="-16"/>
          <w:sz w:val="19"/>
        </w:rPr>
        <w:t> </w:t>
      </w:r>
      <w:r>
        <w:rPr>
          <w:sz w:val="19"/>
        </w:rPr>
        <w:t>should</w:t>
      </w:r>
      <w:r>
        <w:rPr>
          <w:spacing w:val="-16"/>
          <w:sz w:val="19"/>
        </w:rPr>
        <w:t> </w:t>
      </w:r>
      <w:r>
        <w:rPr>
          <w:sz w:val="19"/>
        </w:rPr>
        <w:t>be</w:t>
      </w:r>
      <w:r>
        <w:rPr>
          <w:spacing w:val="-16"/>
          <w:sz w:val="19"/>
        </w:rPr>
        <w:t> </w:t>
      </w:r>
      <w:r>
        <w:rPr>
          <w:sz w:val="19"/>
        </w:rPr>
        <w:t>read</w:t>
      </w:r>
      <w:r>
        <w:rPr>
          <w:spacing w:val="-17"/>
          <w:sz w:val="19"/>
        </w:rPr>
        <w:t> </w:t>
      </w:r>
      <w:r>
        <w:rPr>
          <w:sz w:val="19"/>
        </w:rPr>
        <w:t>in</w:t>
      </w:r>
      <w:r>
        <w:rPr>
          <w:spacing w:val="-16"/>
          <w:sz w:val="19"/>
        </w:rPr>
        <w:t> </w:t>
      </w:r>
      <w:r>
        <w:rPr>
          <w:sz w:val="19"/>
        </w:rPr>
        <w:t>conjunction</w:t>
      </w:r>
      <w:r>
        <w:rPr>
          <w:spacing w:val="-16"/>
          <w:sz w:val="19"/>
        </w:rPr>
        <w:t> </w:t>
      </w:r>
      <w:r>
        <w:rPr>
          <w:sz w:val="19"/>
        </w:rPr>
        <w:t>with</w:t>
      </w:r>
      <w:r>
        <w:rPr>
          <w:spacing w:val="-16"/>
          <w:sz w:val="19"/>
        </w:rPr>
        <w:t> </w:t>
      </w:r>
      <w:r>
        <w:rPr>
          <w:sz w:val="19"/>
        </w:rPr>
        <w:t>the</w:t>
      </w:r>
      <w:r>
        <w:rPr>
          <w:spacing w:val="-16"/>
          <w:sz w:val="19"/>
        </w:rPr>
        <w:t> </w:t>
      </w:r>
      <w:r>
        <w:rPr>
          <w:sz w:val="19"/>
        </w:rPr>
        <w:t>accompanying</w:t>
      </w:r>
      <w:r>
        <w:rPr>
          <w:spacing w:val="-17"/>
          <w:sz w:val="19"/>
        </w:rPr>
        <w:t> </w:t>
      </w:r>
      <w:r>
        <w:rPr>
          <w:spacing w:val="-3"/>
          <w:sz w:val="19"/>
        </w:rPr>
        <w:t>notes. </w:t>
      </w:r>
      <w:r>
        <w:rPr>
          <w:sz w:val="19"/>
        </w:rPr>
        <w:t>Service</w:t>
      </w:r>
      <w:r>
        <w:rPr>
          <w:spacing w:val="-6"/>
          <w:sz w:val="19"/>
        </w:rPr>
        <w:t> </w:t>
      </w:r>
      <w:r>
        <w:rPr>
          <w:sz w:val="19"/>
        </w:rPr>
        <w:t>1:</w:t>
      </w:r>
      <w:r>
        <w:rPr>
          <w:spacing w:val="-5"/>
          <w:sz w:val="19"/>
        </w:rPr>
        <w:t> </w:t>
      </w:r>
      <w:r>
        <w:rPr>
          <w:sz w:val="19"/>
        </w:rPr>
        <w:t>Revenue</w:t>
      </w:r>
      <w:r>
        <w:rPr>
          <w:spacing w:val="-5"/>
          <w:sz w:val="19"/>
        </w:rPr>
        <w:t> </w:t>
      </w:r>
      <w:r>
        <w:rPr>
          <w:sz w:val="19"/>
        </w:rPr>
        <w:t>assessment</w:t>
      </w:r>
      <w:r>
        <w:rPr>
          <w:spacing w:val="-5"/>
          <w:sz w:val="19"/>
        </w:rPr>
        <w:t> </w:t>
      </w:r>
      <w:r>
        <w:rPr>
          <w:sz w:val="19"/>
        </w:rPr>
        <w:t>and</w:t>
      </w:r>
      <w:r>
        <w:rPr>
          <w:spacing w:val="-6"/>
          <w:sz w:val="19"/>
        </w:rPr>
        <w:t> </w:t>
      </w:r>
      <w:r>
        <w:rPr>
          <w:sz w:val="19"/>
        </w:rPr>
        <w:t>collection,</w:t>
      </w:r>
      <w:r>
        <w:rPr>
          <w:spacing w:val="-5"/>
          <w:sz w:val="19"/>
        </w:rPr>
        <w:t> </w:t>
      </w:r>
      <w:r>
        <w:rPr>
          <w:sz w:val="19"/>
        </w:rPr>
        <w:t>and</w:t>
      </w:r>
      <w:r>
        <w:rPr>
          <w:spacing w:val="-5"/>
          <w:sz w:val="19"/>
        </w:rPr>
        <w:t> </w:t>
      </w:r>
      <w:r>
        <w:rPr>
          <w:sz w:val="19"/>
        </w:rPr>
        <w:t>grants</w:t>
      </w:r>
      <w:r>
        <w:rPr>
          <w:spacing w:val="-5"/>
          <w:sz w:val="19"/>
        </w:rPr>
        <w:t> </w:t>
      </w:r>
      <w:r>
        <w:rPr>
          <w:sz w:val="19"/>
        </w:rPr>
        <w:t>and</w:t>
      </w:r>
      <w:r>
        <w:rPr>
          <w:spacing w:val="-5"/>
          <w:sz w:val="19"/>
        </w:rPr>
        <w:t> </w:t>
      </w:r>
      <w:r>
        <w:rPr>
          <w:sz w:val="19"/>
        </w:rPr>
        <w:t>subsidies</w:t>
      </w:r>
      <w:r>
        <w:rPr>
          <w:spacing w:val="-6"/>
          <w:sz w:val="19"/>
        </w:rPr>
        <w:t> </w:t>
      </w:r>
      <w:r>
        <w:rPr>
          <w:sz w:val="19"/>
        </w:rPr>
        <w:t>administration</w:t>
      </w:r>
    </w:p>
    <w:p>
      <w:pPr>
        <w:spacing w:line="249" w:lineRule="auto" w:before="16"/>
        <w:ind w:left="764" w:right="1480" w:firstLine="0"/>
        <w:jc w:val="left"/>
        <w:rPr>
          <w:sz w:val="19"/>
        </w:rPr>
      </w:pPr>
      <w:r>
        <w:rPr>
          <w:sz w:val="19"/>
        </w:rPr>
        <w:t>Service</w:t>
      </w:r>
      <w:r>
        <w:rPr>
          <w:spacing w:val="-21"/>
          <w:sz w:val="19"/>
        </w:rPr>
        <w:t> </w:t>
      </w:r>
      <w:r>
        <w:rPr>
          <w:sz w:val="19"/>
        </w:rPr>
        <w:t>2:</w:t>
      </w:r>
      <w:r>
        <w:rPr>
          <w:spacing w:val="-21"/>
          <w:sz w:val="19"/>
        </w:rPr>
        <w:t> </w:t>
      </w:r>
      <w:r>
        <w:rPr>
          <w:sz w:val="19"/>
        </w:rPr>
        <w:t>Development</w:t>
      </w:r>
      <w:r>
        <w:rPr>
          <w:spacing w:val="-22"/>
          <w:sz w:val="19"/>
        </w:rPr>
        <w:t> </w:t>
      </w:r>
      <w:r>
        <w:rPr>
          <w:sz w:val="19"/>
        </w:rPr>
        <w:t>and</w:t>
      </w:r>
      <w:r>
        <w:rPr>
          <w:spacing w:val="-21"/>
          <w:sz w:val="19"/>
        </w:rPr>
        <w:t> </w:t>
      </w:r>
      <w:r>
        <w:rPr>
          <w:sz w:val="19"/>
        </w:rPr>
        <w:t>management</w:t>
      </w:r>
      <w:r>
        <w:rPr>
          <w:spacing w:val="-21"/>
          <w:sz w:val="19"/>
        </w:rPr>
        <w:t> </w:t>
      </w:r>
      <w:r>
        <w:rPr>
          <w:sz w:val="19"/>
        </w:rPr>
        <w:t>of</w:t>
      </w:r>
      <w:r>
        <w:rPr>
          <w:spacing w:val="-21"/>
          <w:sz w:val="19"/>
        </w:rPr>
        <w:t> </w:t>
      </w:r>
      <w:r>
        <w:rPr>
          <w:sz w:val="19"/>
        </w:rPr>
        <w:t>Common</w:t>
      </w:r>
      <w:r>
        <w:rPr>
          <w:spacing w:val="-21"/>
          <w:sz w:val="19"/>
        </w:rPr>
        <w:t> </w:t>
      </w:r>
      <w:r>
        <w:rPr>
          <w:sz w:val="19"/>
        </w:rPr>
        <w:t>Use</w:t>
      </w:r>
      <w:r>
        <w:rPr>
          <w:spacing w:val="-21"/>
          <w:sz w:val="19"/>
        </w:rPr>
        <w:t> </w:t>
      </w:r>
      <w:r>
        <w:rPr>
          <w:sz w:val="19"/>
        </w:rPr>
        <w:t>Contract</w:t>
      </w:r>
      <w:r>
        <w:rPr>
          <w:spacing w:val="-21"/>
          <w:sz w:val="19"/>
        </w:rPr>
        <w:t> </w:t>
      </w:r>
      <w:r>
        <w:rPr>
          <w:sz w:val="19"/>
        </w:rPr>
        <w:t>Arrangements,</w:t>
      </w:r>
      <w:r>
        <w:rPr>
          <w:spacing w:val="-21"/>
          <w:sz w:val="19"/>
        </w:rPr>
        <w:t> </w:t>
      </w:r>
      <w:r>
        <w:rPr>
          <w:sz w:val="19"/>
        </w:rPr>
        <w:t>State</w:t>
      </w:r>
      <w:r>
        <w:rPr>
          <w:spacing w:val="-21"/>
          <w:sz w:val="19"/>
        </w:rPr>
        <w:t> </w:t>
      </w:r>
      <w:r>
        <w:rPr>
          <w:sz w:val="19"/>
        </w:rPr>
        <w:t>Fleet</w:t>
      </w:r>
      <w:r>
        <w:rPr>
          <w:spacing w:val="-21"/>
          <w:sz w:val="19"/>
        </w:rPr>
        <w:t> </w:t>
      </w:r>
      <w:r>
        <w:rPr>
          <w:sz w:val="19"/>
        </w:rPr>
        <w:t>leasing</w:t>
      </w:r>
      <w:r>
        <w:rPr>
          <w:spacing w:val="-21"/>
          <w:sz w:val="19"/>
        </w:rPr>
        <w:t> </w:t>
      </w:r>
      <w:r>
        <w:rPr>
          <w:sz w:val="19"/>
        </w:rPr>
        <w:t>and</w:t>
      </w:r>
      <w:r>
        <w:rPr>
          <w:spacing w:val="-21"/>
          <w:sz w:val="19"/>
        </w:rPr>
        <w:t> </w:t>
      </w:r>
      <w:r>
        <w:rPr>
          <w:sz w:val="19"/>
        </w:rPr>
        <w:t>disposal,</w:t>
      </w:r>
      <w:r>
        <w:rPr>
          <w:spacing w:val="-21"/>
          <w:sz w:val="19"/>
        </w:rPr>
        <w:t> </w:t>
      </w:r>
      <w:r>
        <w:rPr>
          <w:sz w:val="19"/>
        </w:rPr>
        <w:t>and</w:t>
      </w:r>
      <w:r>
        <w:rPr>
          <w:spacing w:val="-21"/>
          <w:sz w:val="19"/>
        </w:rPr>
        <w:t> </w:t>
      </w:r>
      <w:r>
        <w:rPr>
          <w:sz w:val="19"/>
        </w:rPr>
        <w:t>providing</w:t>
      </w:r>
      <w:r>
        <w:rPr>
          <w:spacing w:val="-21"/>
          <w:sz w:val="19"/>
        </w:rPr>
        <w:t> </w:t>
      </w:r>
      <w:r>
        <w:rPr>
          <w:sz w:val="19"/>
        </w:rPr>
        <w:t>facilitation</w:t>
      </w:r>
      <w:r>
        <w:rPr>
          <w:spacing w:val="-21"/>
          <w:sz w:val="19"/>
        </w:rPr>
        <w:t> </w:t>
      </w:r>
      <w:r>
        <w:rPr>
          <w:sz w:val="19"/>
        </w:rPr>
        <w:t>service</w:t>
      </w:r>
      <w:r>
        <w:rPr>
          <w:spacing w:val="-21"/>
          <w:sz w:val="19"/>
        </w:rPr>
        <w:t> </w:t>
      </w:r>
      <w:r>
        <w:rPr>
          <w:sz w:val="19"/>
        </w:rPr>
        <w:t>for</w:t>
      </w:r>
      <w:r>
        <w:rPr>
          <w:spacing w:val="-21"/>
          <w:sz w:val="19"/>
        </w:rPr>
        <w:t> </w:t>
      </w:r>
      <w:r>
        <w:rPr>
          <w:sz w:val="19"/>
        </w:rPr>
        <w:t>agency</w:t>
      </w:r>
      <w:r>
        <w:rPr>
          <w:spacing w:val="-21"/>
          <w:sz w:val="19"/>
        </w:rPr>
        <w:t> </w:t>
      </w:r>
      <w:r>
        <w:rPr>
          <w:sz w:val="19"/>
        </w:rPr>
        <w:t>specific</w:t>
      </w:r>
      <w:r>
        <w:rPr>
          <w:spacing w:val="-21"/>
          <w:sz w:val="19"/>
        </w:rPr>
        <w:t> </w:t>
      </w:r>
      <w:r>
        <w:rPr>
          <w:sz w:val="19"/>
        </w:rPr>
        <w:t>contracts Service 3: Corporate services to client</w:t>
      </w:r>
      <w:r>
        <w:rPr>
          <w:spacing w:val="-4"/>
          <w:sz w:val="19"/>
        </w:rPr>
        <w:t> </w:t>
      </w:r>
      <w:r>
        <w:rPr>
          <w:sz w:val="19"/>
        </w:rPr>
        <w:t>agencies</w:t>
      </w:r>
    </w:p>
    <w:p>
      <w:pPr>
        <w:spacing w:before="1"/>
        <w:ind w:left="764" w:right="0" w:firstLine="0"/>
        <w:jc w:val="left"/>
        <w:rPr>
          <w:sz w:val="19"/>
        </w:rPr>
      </w:pPr>
      <w:r>
        <w:rPr>
          <w:sz w:val="19"/>
        </w:rPr>
        <w:t>Service 4: Leads the planning, delivery, management and maintenance of government buildings, projects and office accommodation</w:t>
      </w:r>
    </w:p>
    <w:p>
      <w:pPr>
        <w:spacing w:before="10"/>
        <w:ind w:left="764" w:right="0" w:firstLine="0"/>
        <w:jc w:val="left"/>
        <w:rPr>
          <w:sz w:val="19"/>
        </w:rPr>
      </w:pPr>
      <w:r>
        <w:rPr>
          <w:sz w:val="19"/>
        </w:rPr>
        <w:t>Service 5: Development and implementation of energy policy and economic reform, assessment of proposed policy changes and the impact on regulatory functions</w:t>
      </w:r>
    </w:p>
    <w:p>
      <w:pPr>
        <w:spacing w:after="0"/>
        <w:jc w:val="left"/>
        <w:rPr>
          <w:sz w:val="19"/>
        </w:rPr>
        <w:sectPr>
          <w:footerReference w:type="default" r:id="rId186"/>
          <w:pgSz w:w="16840" w:h="11910" w:orient="landscape"/>
          <w:pgMar w:footer="448" w:header="0" w:top="0" w:bottom="640" w:left="0" w:right="0"/>
        </w:sectPr>
      </w:pPr>
    </w:p>
    <w:p>
      <w:pPr>
        <w:tabs>
          <w:tab w:pos="14432" w:val="left" w:leader="none"/>
        </w:tabs>
        <w:spacing w:line="240" w:lineRule="auto"/>
        <w:ind w:left="9621" w:right="-58" w:firstLine="0"/>
        <w:rPr>
          <w:sz w:val="20"/>
        </w:rPr>
      </w:pPr>
      <w:bookmarkStart w:name="_bookmark25" w:id="26"/>
      <w:bookmarkEnd w:id="26"/>
      <w:r>
        <w:rPr/>
      </w: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rPr>
          <w:sz w:val="20"/>
        </w:rPr>
      </w:pPr>
    </w:p>
    <w:p>
      <w:pPr>
        <w:pStyle w:val="BodyText"/>
        <w:spacing w:before="7"/>
        <w:rPr>
          <w:sz w:val="21"/>
        </w:rPr>
      </w:pPr>
    </w:p>
    <w:p>
      <w:pPr>
        <w:pStyle w:val="Heading2"/>
      </w:pPr>
      <w:r>
        <w:rPr/>
        <w:pict>
          <v:group style="position:absolute;margin-left:763.172119pt;margin-top:-13.941721pt;width:61.1pt;height:45.2pt;mso-position-horizontal-relative:page;mso-position-vertical-relative:paragraph;z-index:11608" coordorigin="15263,-279" coordsize="1222,904">
            <v:shape style="position:absolute;left:15424;top:-279;width:900;height:904" coordorigin="15424,-279" coordsize="900,904" path="m15874,-279l15424,171,15424,174,15874,624,16324,174,16324,171,15874,-279xe" filled="true" fillcolor="#c4cd71" stroked="false">
              <v:path arrowok="t"/>
              <v:fill type="solid"/>
            </v:shape>
            <v:shape style="position:absolute;left:15263;top:11;width:161;height:322" type="#_x0000_t75" stroked="false">
              <v:imagedata r:id="rId16" o:title=""/>
            </v:shape>
            <v:shape style="position:absolute;left:16324;top:11;width:161;height:322" type="#_x0000_t75" stroked="false">
              <v:imagedata r:id="rId11" o:title=""/>
            </v:shape>
            <v:shape style="position:absolute;left:15263;top:-279;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67.721718pt;width:481.1pt;height:42.55pt;mso-position-horizontal-relative:page;mso-position-vertical-relative:paragraph;z-index:11728" coordorigin="0,-1354" coordsize="9622,851">
            <v:rect style="position:absolute;left:7216;top:-1355;width:2406;height:851" filled="true" fillcolor="#e6e7e8" stroked="false">
              <v:fill type="solid"/>
            </v:rect>
            <v:shape style="position:absolute;left:7216;top:-1355;width:583;height:583" type="#_x0000_t75" stroked="false">
              <v:imagedata r:id="rId174" o:title=""/>
            </v:shape>
            <v:shape style="position:absolute;left:7217;top:-1355;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355;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355;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355;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67.721718pt;width:120.3pt;height:42.55pt;mso-position-horizontal-relative:page;mso-position-vertical-relative:paragraph;z-index:1175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rPr>
        <w:t>Schedule of Assets and Liabilities by</w:t>
      </w:r>
      <w:r>
        <w:rPr>
          <w:color w:val="6F2770"/>
          <w:spacing w:val="-92"/>
        </w:rPr>
        <w:t> </w:t>
      </w:r>
      <w:r>
        <w:rPr>
          <w:color w:val="6F2770"/>
        </w:rPr>
        <w:t>Service</w:t>
      </w:r>
    </w:p>
    <w:p>
      <w:pPr>
        <w:pStyle w:val="Heading4"/>
        <w:spacing w:before="28" w:after="56"/>
      </w:pPr>
      <w:r>
        <w:rPr>
          <w:color w:val="A7BE39"/>
        </w:rPr>
        <w:t>As at 30 June 2017</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1"/>
        <w:gridCol w:w="1049"/>
        <w:gridCol w:w="464"/>
        <w:gridCol w:w="585"/>
        <w:gridCol w:w="1049"/>
        <w:gridCol w:w="464"/>
        <w:gridCol w:w="585"/>
        <w:gridCol w:w="1049"/>
        <w:gridCol w:w="464"/>
        <w:gridCol w:w="585"/>
        <w:gridCol w:w="1049"/>
        <w:gridCol w:w="464"/>
        <w:gridCol w:w="585"/>
        <w:gridCol w:w="1049"/>
        <w:gridCol w:w="464"/>
        <w:gridCol w:w="585"/>
        <w:gridCol w:w="1049"/>
        <w:gridCol w:w="365"/>
        <w:gridCol w:w="683"/>
      </w:tblGrid>
      <w:tr>
        <w:trPr>
          <w:trHeight w:val="306" w:hRule="atLeast"/>
        </w:trPr>
        <w:tc>
          <w:tcPr>
            <w:tcW w:w="2721" w:type="dxa"/>
            <w:vMerge w:val="restart"/>
            <w:shd w:val="clear" w:color="auto" w:fill="783A79"/>
          </w:tcPr>
          <w:p>
            <w:pPr>
              <w:pStyle w:val="TableParagraph"/>
              <w:spacing w:before="0"/>
              <w:rPr>
                <w:rFonts w:ascii="Times New Roman"/>
                <w:sz w:val="20"/>
              </w:rPr>
            </w:pPr>
          </w:p>
        </w:tc>
        <w:tc>
          <w:tcPr>
            <w:tcW w:w="1513" w:type="dxa"/>
            <w:gridSpan w:val="2"/>
            <w:shd w:val="clear" w:color="auto" w:fill="783A79"/>
          </w:tcPr>
          <w:p>
            <w:pPr>
              <w:pStyle w:val="TableParagraph"/>
              <w:spacing w:before="47"/>
              <w:ind w:left="633"/>
              <w:rPr>
                <w:b/>
                <w:sz w:val="19"/>
              </w:rPr>
            </w:pPr>
            <w:r>
              <w:rPr>
                <w:b/>
                <w:color w:val="FFFFFF"/>
                <w:sz w:val="19"/>
              </w:rPr>
              <w:t>Service 1</w:t>
            </w:r>
          </w:p>
        </w:tc>
        <w:tc>
          <w:tcPr>
            <w:tcW w:w="585" w:type="dxa"/>
            <w:shd w:val="clear" w:color="auto" w:fill="783A79"/>
          </w:tcPr>
          <w:p>
            <w:pPr>
              <w:pStyle w:val="TableParagraph"/>
              <w:spacing w:before="0"/>
              <w:rPr>
                <w:rFonts w:ascii="Times New Roman"/>
                <w:sz w:val="20"/>
              </w:rPr>
            </w:pPr>
          </w:p>
        </w:tc>
        <w:tc>
          <w:tcPr>
            <w:tcW w:w="1513" w:type="dxa"/>
            <w:gridSpan w:val="2"/>
            <w:shd w:val="clear" w:color="auto" w:fill="783A79"/>
          </w:tcPr>
          <w:p>
            <w:pPr>
              <w:pStyle w:val="TableParagraph"/>
              <w:spacing w:before="47"/>
              <w:ind w:left="633"/>
              <w:rPr>
                <w:b/>
                <w:sz w:val="19"/>
              </w:rPr>
            </w:pPr>
            <w:r>
              <w:rPr>
                <w:b/>
                <w:color w:val="FFFFFF"/>
                <w:sz w:val="19"/>
              </w:rPr>
              <w:t>Service 2</w:t>
            </w:r>
          </w:p>
        </w:tc>
        <w:tc>
          <w:tcPr>
            <w:tcW w:w="585" w:type="dxa"/>
            <w:shd w:val="clear" w:color="auto" w:fill="783A79"/>
          </w:tcPr>
          <w:p>
            <w:pPr>
              <w:pStyle w:val="TableParagraph"/>
              <w:spacing w:before="0"/>
              <w:rPr>
                <w:rFonts w:ascii="Times New Roman"/>
                <w:sz w:val="20"/>
              </w:rPr>
            </w:pPr>
          </w:p>
        </w:tc>
        <w:tc>
          <w:tcPr>
            <w:tcW w:w="1513" w:type="dxa"/>
            <w:gridSpan w:val="2"/>
            <w:shd w:val="clear" w:color="auto" w:fill="783A79"/>
          </w:tcPr>
          <w:p>
            <w:pPr>
              <w:pStyle w:val="TableParagraph"/>
              <w:spacing w:before="47"/>
              <w:ind w:left="632"/>
              <w:rPr>
                <w:b/>
                <w:sz w:val="19"/>
              </w:rPr>
            </w:pPr>
            <w:r>
              <w:rPr>
                <w:b/>
                <w:color w:val="FFFFFF"/>
                <w:sz w:val="19"/>
              </w:rPr>
              <w:t>Service 3</w:t>
            </w:r>
          </w:p>
        </w:tc>
        <w:tc>
          <w:tcPr>
            <w:tcW w:w="585" w:type="dxa"/>
            <w:shd w:val="clear" w:color="auto" w:fill="783A79"/>
          </w:tcPr>
          <w:p>
            <w:pPr>
              <w:pStyle w:val="TableParagraph"/>
              <w:spacing w:before="0"/>
              <w:rPr>
                <w:rFonts w:ascii="Times New Roman"/>
                <w:sz w:val="20"/>
              </w:rPr>
            </w:pPr>
          </w:p>
        </w:tc>
        <w:tc>
          <w:tcPr>
            <w:tcW w:w="1513" w:type="dxa"/>
            <w:gridSpan w:val="2"/>
            <w:shd w:val="clear" w:color="auto" w:fill="783A79"/>
          </w:tcPr>
          <w:p>
            <w:pPr>
              <w:pStyle w:val="TableParagraph"/>
              <w:spacing w:before="47"/>
              <w:ind w:left="632"/>
              <w:rPr>
                <w:b/>
                <w:sz w:val="19"/>
              </w:rPr>
            </w:pPr>
            <w:r>
              <w:rPr>
                <w:b/>
                <w:color w:val="FFFFFF"/>
                <w:sz w:val="19"/>
              </w:rPr>
              <w:t>Service 4</w:t>
            </w:r>
          </w:p>
        </w:tc>
        <w:tc>
          <w:tcPr>
            <w:tcW w:w="585" w:type="dxa"/>
            <w:shd w:val="clear" w:color="auto" w:fill="783A79"/>
          </w:tcPr>
          <w:p>
            <w:pPr>
              <w:pStyle w:val="TableParagraph"/>
              <w:spacing w:before="0"/>
              <w:rPr>
                <w:rFonts w:ascii="Times New Roman"/>
                <w:sz w:val="20"/>
              </w:rPr>
            </w:pPr>
          </w:p>
        </w:tc>
        <w:tc>
          <w:tcPr>
            <w:tcW w:w="1513" w:type="dxa"/>
            <w:gridSpan w:val="2"/>
            <w:shd w:val="clear" w:color="auto" w:fill="783A79"/>
          </w:tcPr>
          <w:p>
            <w:pPr>
              <w:pStyle w:val="TableParagraph"/>
              <w:spacing w:before="47"/>
              <w:ind w:left="632"/>
              <w:rPr>
                <w:b/>
                <w:sz w:val="19"/>
              </w:rPr>
            </w:pPr>
            <w:r>
              <w:rPr>
                <w:b/>
                <w:color w:val="FFFFFF"/>
                <w:sz w:val="19"/>
              </w:rPr>
              <w:t>Service 5</w:t>
            </w:r>
          </w:p>
        </w:tc>
        <w:tc>
          <w:tcPr>
            <w:tcW w:w="585" w:type="dxa"/>
            <w:shd w:val="clear" w:color="auto" w:fill="783A79"/>
          </w:tcPr>
          <w:p>
            <w:pPr>
              <w:pStyle w:val="TableParagraph"/>
              <w:spacing w:before="0"/>
              <w:rPr>
                <w:rFonts w:ascii="Times New Roman"/>
                <w:sz w:val="20"/>
              </w:rPr>
            </w:pPr>
          </w:p>
        </w:tc>
        <w:tc>
          <w:tcPr>
            <w:tcW w:w="1414" w:type="dxa"/>
            <w:gridSpan w:val="2"/>
            <w:shd w:val="clear" w:color="auto" w:fill="783A79"/>
          </w:tcPr>
          <w:p>
            <w:pPr>
              <w:pStyle w:val="TableParagraph"/>
              <w:spacing w:before="47"/>
              <w:ind w:left="829"/>
              <w:rPr>
                <w:b/>
                <w:sz w:val="19"/>
              </w:rPr>
            </w:pPr>
            <w:r>
              <w:rPr>
                <w:b/>
                <w:color w:val="FFFFFF"/>
                <w:sz w:val="19"/>
              </w:rPr>
              <w:t>Total</w:t>
            </w:r>
          </w:p>
        </w:tc>
        <w:tc>
          <w:tcPr>
            <w:tcW w:w="683" w:type="dxa"/>
            <w:shd w:val="clear" w:color="auto" w:fill="783A79"/>
          </w:tcPr>
          <w:p>
            <w:pPr>
              <w:pStyle w:val="TableParagraph"/>
              <w:spacing w:before="0"/>
              <w:rPr>
                <w:rFonts w:ascii="Times New Roman"/>
                <w:sz w:val="20"/>
              </w:rPr>
            </w:pPr>
          </w:p>
        </w:tc>
      </w:tr>
      <w:tr>
        <w:trPr>
          <w:trHeight w:val="266" w:hRule="atLeast"/>
        </w:trPr>
        <w:tc>
          <w:tcPr>
            <w:tcW w:w="2721" w:type="dxa"/>
            <w:vMerge/>
            <w:tcBorders>
              <w:top w:val="nil"/>
            </w:tcBorders>
            <w:shd w:val="clear" w:color="auto" w:fill="783A79"/>
          </w:tcPr>
          <w:p>
            <w:pPr>
              <w:rPr>
                <w:sz w:val="2"/>
                <w:szCs w:val="2"/>
              </w:rPr>
            </w:pPr>
          </w:p>
        </w:tc>
        <w:tc>
          <w:tcPr>
            <w:tcW w:w="1513" w:type="dxa"/>
            <w:gridSpan w:val="2"/>
            <w:shd w:val="clear" w:color="auto" w:fill="783A79"/>
          </w:tcPr>
          <w:p>
            <w:pPr>
              <w:pStyle w:val="TableParagraph"/>
              <w:spacing w:line="200" w:lineRule="exact" w:before="46"/>
              <w:ind w:left="492" w:right="554"/>
              <w:jc w:val="center"/>
              <w:rPr>
                <w:b/>
                <w:sz w:val="19"/>
              </w:rPr>
            </w:pPr>
            <w:r>
              <w:rPr>
                <w:b/>
                <w:color w:val="FFFFFF"/>
                <w:sz w:val="19"/>
              </w:rPr>
              <w:t>2017</w:t>
            </w:r>
          </w:p>
        </w:tc>
        <w:tc>
          <w:tcPr>
            <w:tcW w:w="585" w:type="dxa"/>
            <w:shd w:val="clear" w:color="auto" w:fill="783A79"/>
          </w:tcPr>
          <w:p>
            <w:pPr>
              <w:pStyle w:val="TableParagraph"/>
              <w:spacing w:line="200" w:lineRule="exact" w:before="46"/>
              <w:ind w:left="48"/>
              <w:rPr>
                <w:b/>
                <w:sz w:val="19"/>
              </w:rPr>
            </w:pPr>
            <w:r>
              <w:rPr>
                <w:b/>
                <w:color w:val="FFFFFF"/>
                <w:sz w:val="19"/>
              </w:rPr>
              <w:t>2016</w:t>
            </w:r>
          </w:p>
        </w:tc>
        <w:tc>
          <w:tcPr>
            <w:tcW w:w="1513" w:type="dxa"/>
            <w:gridSpan w:val="2"/>
            <w:shd w:val="clear" w:color="auto" w:fill="783A79"/>
          </w:tcPr>
          <w:p>
            <w:pPr>
              <w:pStyle w:val="TableParagraph"/>
              <w:spacing w:line="200" w:lineRule="exact" w:before="46"/>
              <w:ind w:left="492" w:right="555"/>
              <w:jc w:val="center"/>
              <w:rPr>
                <w:b/>
                <w:sz w:val="19"/>
              </w:rPr>
            </w:pPr>
            <w:r>
              <w:rPr>
                <w:b/>
                <w:color w:val="FFFFFF"/>
                <w:sz w:val="19"/>
              </w:rPr>
              <w:t>2017</w:t>
            </w:r>
          </w:p>
        </w:tc>
        <w:tc>
          <w:tcPr>
            <w:tcW w:w="585" w:type="dxa"/>
            <w:shd w:val="clear" w:color="auto" w:fill="783A79"/>
          </w:tcPr>
          <w:p>
            <w:pPr>
              <w:pStyle w:val="TableParagraph"/>
              <w:spacing w:line="200" w:lineRule="exact" w:before="46"/>
              <w:ind w:left="48"/>
              <w:rPr>
                <w:b/>
                <w:sz w:val="19"/>
              </w:rPr>
            </w:pPr>
            <w:r>
              <w:rPr>
                <w:b/>
                <w:color w:val="FFFFFF"/>
                <w:sz w:val="19"/>
              </w:rPr>
              <w:t>2016</w:t>
            </w:r>
          </w:p>
        </w:tc>
        <w:tc>
          <w:tcPr>
            <w:tcW w:w="1513" w:type="dxa"/>
            <w:gridSpan w:val="2"/>
            <w:shd w:val="clear" w:color="auto" w:fill="783A79"/>
          </w:tcPr>
          <w:p>
            <w:pPr>
              <w:pStyle w:val="TableParagraph"/>
              <w:spacing w:line="200" w:lineRule="exact" w:before="46"/>
              <w:ind w:left="492" w:right="555"/>
              <w:jc w:val="center"/>
              <w:rPr>
                <w:b/>
                <w:sz w:val="19"/>
              </w:rPr>
            </w:pPr>
            <w:r>
              <w:rPr>
                <w:b/>
                <w:color w:val="FFFFFF"/>
                <w:sz w:val="19"/>
              </w:rPr>
              <w:t>2017</w:t>
            </w:r>
          </w:p>
        </w:tc>
        <w:tc>
          <w:tcPr>
            <w:tcW w:w="585" w:type="dxa"/>
            <w:shd w:val="clear" w:color="auto" w:fill="783A79"/>
          </w:tcPr>
          <w:p>
            <w:pPr>
              <w:pStyle w:val="TableParagraph"/>
              <w:spacing w:line="200" w:lineRule="exact" w:before="46"/>
              <w:ind w:left="28" w:right="92"/>
              <w:jc w:val="center"/>
              <w:rPr>
                <w:b/>
                <w:sz w:val="19"/>
              </w:rPr>
            </w:pPr>
            <w:r>
              <w:rPr>
                <w:b/>
                <w:color w:val="FFFFFF"/>
                <w:sz w:val="19"/>
              </w:rPr>
              <w:t>2016</w:t>
            </w:r>
          </w:p>
        </w:tc>
        <w:tc>
          <w:tcPr>
            <w:tcW w:w="1513" w:type="dxa"/>
            <w:gridSpan w:val="2"/>
            <w:shd w:val="clear" w:color="auto" w:fill="783A79"/>
          </w:tcPr>
          <w:p>
            <w:pPr>
              <w:pStyle w:val="TableParagraph"/>
              <w:spacing w:line="200" w:lineRule="exact" w:before="46"/>
              <w:ind w:left="492" w:right="556"/>
              <w:jc w:val="center"/>
              <w:rPr>
                <w:b/>
                <w:sz w:val="19"/>
              </w:rPr>
            </w:pPr>
            <w:r>
              <w:rPr>
                <w:b/>
                <w:color w:val="FFFFFF"/>
                <w:sz w:val="19"/>
              </w:rPr>
              <w:t>2017</w:t>
            </w:r>
          </w:p>
        </w:tc>
        <w:tc>
          <w:tcPr>
            <w:tcW w:w="585" w:type="dxa"/>
            <w:shd w:val="clear" w:color="auto" w:fill="783A79"/>
          </w:tcPr>
          <w:p>
            <w:pPr>
              <w:pStyle w:val="TableParagraph"/>
              <w:spacing w:line="200" w:lineRule="exact" w:before="46"/>
              <w:ind w:left="28" w:right="93"/>
              <w:jc w:val="center"/>
              <w:rPr>
                <w:b/>
                <w:sz w:val="19"/>
              </w:rPr>
            </w:pPr>
            <w:r>
              <w:rPr>
                <w:b/>
                <w:color w:val="FFFFFF"/>
                <w:sz w:val="19"/>
              </w:rPr>
              <w:t>2016</w:t>
            </w:r>
          </w:p>
        </w:tc>
        <w:tc>
          <w:tcPr>
            <w:tcW w:w="1513" w:type="dxa"/>
            <w:gridSpan w:val="2"/>
            <w:shd w:val="clear" w:color="auto" w:fill="783A79"/>
          </w:tcPr>
          <w:p>
            <w:pPr>
              <w:pStyle w:val="TableParagraph"/>
              <w:spacing w:line="200" w:lineRule="exact" w:before="46"/>
              <w:ind w:left="491" w:right="556"/>
              <w:jc w:val="center"/>
              <w:rPr>
                <w:b/>
                <w:sz w:val="19"/>
              </w:rPr>
            </w:pPr>
            <w:r>
              <w:rPr>
                <w:b/>
                <w:color w:val="FFFFFF"/>
                <w:sz w:val="19"/>
              </w:rPr>
              <w:t>2017</w:t>
            </w:r>
          </w:p>
        </w:tc>
        <w:tc>
          <w:tcPr>
            <w:tcW w:w="585" w:type="dxa"/>
            <w:shd w:val="clear" w:color="auto" w:fill="783A79"/>
          </w:tcPr>
          <w:p>
            <w:pPr>
              <w:pStyle w:val="TableParagraph"/>
              <w:spacing w:line="200" w:lineRule="exact" w:before="46"/>
              <w:ind w:left="47"/>
              <w:rPr>
                <w:b/>
                <w:sz w:val="19"/>
              </w:rPr>
            </w:pPr>
            <w:r>
              <w:rPr>
                <w:b/>
                <w:color w:val="FFFFFF"/>
                <w:sz w:val="19"/>
              </w:rPr>
              <w:t>2016</w:t>
            </w:r>
          </w:p>
        </w:tc>
        <w:tc>
          <w:tcPr>
            <w:tcW w:w="1414" w:type="dxa"/>
            <w:gridSpan w:val="2"/>
            <w:shd w:val="clear" w:color="auto" w:fill="783A79"/>
          </w:tcPr>
          <w:p>
            <w:pPr>
              <w:pStyle w:val="TableParagraph"/>
              <w:spacing w:line="200" w:lineRule="exact" w:before="46"/>
              <w:ind w:left="490" w:right="460"/>
              <w:jc w:val="center"/>
              <w:rPr>
                <w:b/>
                <w:sz w:val="19"/>
              </w:rPr>
            </w:pPr>
            <w:r>
              <w:rPr>
                <w:b/>
                <w:color w:val="FFFFFF"/>
                <w:sz w:val="19"/>
              </w:rPr>
              <w:t>2017</w:t>
            </w:r>
          </w:p>
        </w:tc>
        <w:tc>
          <w:tcPr>
            <w:tcW w:w="683" w:type="dxa"/>
            <w:shd w:val="clear" w:color="auto" w:fill="783A79"/>
          </w:tcPr>
          <w:p>
            <w:pPr>
              <w:pStyle w:val="TableParagraph"/>
              <w:spacing w:line="200" w:lineRule="exact" w:before="46"/>
              <w:ind w:left="125" w:right="94"/>
              <w:jc w:val="center"/>
              <w:rPr>
                <w:b/>
                <w:sz w:val="19"/>
              </w:rPr>
            </w:pPr>
            <w:r>
              <w:rPr>
                <w:b/>
                <w:color w:val="FFFFFF"/>
                <w:sz w:val="19"/>
              </w:rPr>
              <w:t>2016</w:t>
            </w:r>
          </w:p>
        </w:tc>
      </w:tr>
      <w:tr>
        <w:trPr>
          <w:trHeight w:val="270" w:hRule="atLeast"/>
        </w:trPr>
        <w:tc>
          <w:tcPr>
            <w:tcW w:w="2721" w:type="dxa"/>
            <w:vMerge/>
            <w:tcBorders>
              <w:top w:val="nil"/>
            </w:tcBorders>
            <w:shd w:val="clear" w:color="auto" w:fill="783A79"/>
          </w:tcPr>
          <w:p>
            <w:pPr>
              <w:rPr>
                <w:sz w:val="2"/>
                <w:szCs w:val="2"/>
              </w:rPr>
            </w:pPr>
          </w:p>
        </w:tc>
        <w:tc>
          <w:tcPr>
            <w:tcW w:w="1513" w:type="dxa"/>
            <w:gridSpan w:val="2"/>
            <w:shd w:val="clear" w:color="auto" w:fill="783A79"/>
          </w:tcPr>
          <w:p>
            <w:pPr>
              <w:pStyle w:val="TableParagraph"/>
              <w:spacing w:before="7"/>
              <w:ind w:left="492" w:right="554"/>
              <w:jc w:val="center"/>
              <w:rPr>
                <w:b/>
                <w:sz w:val="19"/>
              </w:rPr>
            </w:pPr>
            <w:r>
              <w:rPr>
                <w:b/>
                <w:color w:val="FFFFFF"/>
                <w:sz w:val="19"/>
              </w:rPr>
              <w:t>$000</w:t>
            </w:r>
          </w:p>
        </w:tc>
        <w:tc>
          <w:tcPr>
            <w:tcW w:w="585" w:type="dxa"/>
            <w:shd w:val="clear" w:color="auto" w:fill="783A79"/>
          </w:tcPr>
          <w:p>
            <w:pPr>
              <w:pStyle w:val="TableParagraph"/>
              <w:spacing w:before="7"/>
              <w:ind w:left="48"/>
              <w:rPr>
                <w:b/>
                <w:sz w:val="19"/>
              </w:rPr>
            </w:pPr>
            <w:r>
              <w:rPr>
                <w:b/>
                <w:color w:val="FFFFFF"/>
                <w:sz w:val="19"/>
              </w:rPr>
              <w:t>$000</w:t>
            </w:r>
          </w:p>
        </w:tc>
        <w:tc>
          <w:tcPr>
            <w:tcW w:w="1513" w:type="dxa"/>
            <w:gridSpan w:val="2"/>
            <w:shd w:val="clear" w:color="auto" w:fill="783A79"/>
          </w:tcPr>
          <w:p>
            <w:pPr>
              <w:pStyle w:val="TableParagraph"/>
              <w:spacing w:before="7"/>
              <w:ind w:left="492" w:right="555"/>
              <w:jc w:val="center"/>
              <w:rPr>
                <w:b/>
                <w:sz w:val="19"/>
              </w:rPr>
            </w:pPr>
            <w:r>
              <w:rPr>
                <w:b/>
                <w:color w:val="FFFFFF"/>
                <w:sz w:val="19"/>
              </w:rPr>
              <w:t>$000</w:t>
            </w:r>
          </w:p>
        </w:tc>
        <w:tc>
          <w:tcPr>
            <w:tcW w:w="585" w:type="dxa"/>
            <w:shd w:val="clear" w:color="auto" w:fill="783A79"/>
          </w:tcPr>
          <w:p>
            <w:pPr>
              <w:pStyle w:val="TableParagraph"/>
              <w:spacing w:before="7"/>
              <w:ind w:left="48"/>
              <w:rPr>
                <w:b/>
                <w:sz w:val="19"/>
              </w:rPr>
            </w:pPr>
            <w:r>
              <w:rPr>
                <w:b/>
                <w:color w:val="FFFFFF"/>
                <w:sz w:val="19"/>
              </w:rPr>
              <w:t>$000</w:t>
            </w:r>
          </w:p>
        </w:tc>
        <w:tc>
          <w:tcPr>
            <w:tcW w:w="1513" w:type="dxa"/>
            <w:gridSpan w:val="2"/>
            <w:shd w:val="clear" w:color="auto" w:fill="783A79"/>
          </w:tcPr>
          <w:p>
            <w:pPr>
              <w:pStyle w:val="TableParagraph"/>
              <w:spacing w:before="7"/>
              <w:ind w:left="492" w:right="555"/>
              <w:jc w:val="center"/>
              <w:rPr>
                <w:b/>
                <w:sz w:val="19"/>
              </w:rPr>
            </w:pPr>
            <w:r>
              <w:rPr>
                <w:b/>
                <w:color w:val="FFFFFF"/>
                <w:sz w:val="19"/>
              </w:rPr>
              <w:t>$000</w:t>
            </w:r>
          </w:p>
        </w:tc>
        <w:tc>
          <w:tcPr>
            <w:tcW w:w="585" w:type="dxa"/>
            <w:shd w:val="clear" w:color="auto" w:fill="783A79"/>
          </w:tcPr>
          <w:p>
            <w:pPr>
              <w:pStyle w:val="TableParagraph"/>
              <w:spacing w:before="7"/>
              <w:ind w:left="28" w:right="92"/>
              <w:jc w:val="center"/>
              <w:rPr>
                <w:b/>
                <w:sz w:val="19"/>
              </w:rPr>
            </w:pPr>
            <w:r>
              <w:rPr>
                <w:b/>
                <w:color w:val="FFFFFF"/>
                <w:sz w:val="19"/>
              </w:rPr>
              <w:t>$000</w:t>
            </w:r>
          </w:p>
        </w:tc>
        <w:tc>
          <w:tcPr>
            <w:tcW w:w="1513" w:type="dxa"/>
            <w:gridSpan w:val="2"/>
            <w:shd w:val="clear" w:color="auto" w:fill="783A79"/>
          </w:tcPr>
          <w:p>
            <w:pPr>
              <w:pStyle w:val="TableParagraph"/>
              <w:spacing w:before="7"/>
              <w:ind w:left="492" w:right="556"/>
              <w:jc w:val="center"/>
              <w:rPr>
                <w:b/>
                <w:sz w:val="19"/>
              </w:rPr>
            </w:pPr>
            <w:r>
              <w:rPr>
                <w:b/>
                <w:color w:val="FFFFFF"/>
                <w:sz w:val="19"/>
              </w:rPr>
              <w:t>$000</w:t>
            </w:r>
          </w:p>
        </w:tc>
        <w:tc>
          <w:tcPr>
            <w:tcW w:w="585" w:type="dxa"/>
            <w:shd w:val="clear" w:color="auto" w:fill="783A79"/>
          </w:tcPr>
          <w:p>
            <w:pPr>
              <w:pStyle w:val="TableParagraph"/>
              <w:spacing w:before="7"/>
              <w:ind w:left="28" w:right="93"/>
              <w:jc w:val="center"/>
              <w:rPr>
                <w:b/>
                <w:sz w:val="19"/>
              </w:rPr>
            </w:pPr>
            <w:r>
              <w:rPr>
                <w:b/>
                <w:color w:val="FFFFFF"/>
                <w:sz w:val="19"/>
              </w:rPr>
              <w:t>$000</w:t>
            </w:r>
          </w:p>
        </w:tc>
        <w:tc>
          <w:tcPr>
            <w:tcW w:w="1513" w:type="dxa"/>
            <w:gridSpan w:val="2"/>
            <w:shd w:val="clear" w:color="auto" w:fill="783A79"/>
          </w:tcPr>
          <w:p>
            <w:pPr>
              <w:pStyle w:val="TableParagraph"/>
              <w:spacing w:before="7"/>
              <w:ind w:left="491" w:right="556"/>
              <w:jc w:val="center"/>
              <w:rPr>
                <w:b/>
                <w:sz w:val="19"/>
              </w:rPr>
            </w:pPr>
            <w:r>
              <w:rPr>
                <w:b/>
                <w:color w:val="FFFFFF"/>
                <w:sz w:val="19"/>
              </w:rPr>
              <w:t>$000</w:t>
            </w:r>
          </w:p>
        </w:tc>
        <w:tc>
          <w:tcPr>
            <w:tcW w:w="585" w:type="dxa"/>
            <w:shd w:val="clear" w:color="auto" w:fill="783A79"/>
          </w:tcPr>
          <w:p>
            <w:pPr>
              <w:pStyle w:val="TableParagraph"/>
              <w:spacing w:before="7"/>
              <w:ind w:left="47"/>
              <w:rPr>
                <w:b/>
                <w:sz w:val="19"/>
              </w:rPr>
            </w:pPr>
            <w:r>
              <w:rPr>
                <w:b/>
                <w:color w:val="FFFFFF"/>
                <w:sz w:val="19"/>
              </w:rPr>
              <w:t>$000</w:t>
            </w:r>
          </w:p>
        </w:tc>
        <w:tc>
          <w:tcPr>
            <w:tcW w:w="1414" w:type="dxa"/>
            <w:gridSpan w:val="2"/>
            <w:shd w:val="clear" w:color="auto" w:fill="783A79"/>
          </w:tcPr>
          <w:p>
            <w:pPr>
              <w:pStyle w:val="TableParagraph"/>
              <w:spacing w:before="7"/>
              <w:ind w:left="490" w:right="460"/>
              <w:jc w:val="center"/>
              <w:rPr>
                <w:b/>
                <w:sz w:val="19"/>
              </w:rPr>
            </w:pPr>
            <w:r>
              <w:rPr>
                <w:b/>
                <w:color w:val="FFFFFF"/>
                <w:sz w:val="19"/>
              </w:rPr>
              <w:t>$000</w:t>
            </w:r>
          </w:p>
        </w:tc>
        <w:tc>
          <w:tcPr>
            <w:tcW w:w="683" w:type="dxa"/>
            <w:shd w:val="clear" w:color="auto" w:fill="783A79"/>
          </w:tcPr>
          <w:p>
            <w:pPr>
              <w:pStyle w:val="TableParagraph"/>
              <w:spacing w:before="7"/>
              <w:ind w:left="125" w:right="94"/>
              <w:jc w:val="center"/>
              <w:rPr>
                <w:b/>
                <w:sz w:val="19"/>
              </w:rPr>
            </w:pPr>
            <w:r>
              <w:rPr>
                <w:b/>
                <w:color w:val="FFFFFF"/>
                <w:sz w:val="19"/>
              </w:rPr>
              <w:t>$000</w:t>
            </w:r>
          </w:p>
        </w:tc>
      </w:tr>
      <w:tr>
        <w:trPr>
          <w:trHeight w:val="317" w:hRule="atLeast"/>
        </w:trPr>
        <w:tc>
          <w:tcPr>
            <w:tcW w:w="2721" w:type="dxa"/>
            <w:tcBorders>
              <w:bottom w:val="single" w:sz="8" w:space="0" w:color="FFFFFF"/>
            </w:tcBorders>
            <w:shd w:val="clear" w:color="auto" w:fill="F4F4F4"/>
          </w:tcPr>
          <w:p>
            <w:pPr>
              <w:pStyle w:val="TableParagraph"/>
              <w:spacing w:before="42"/>
              <w:ind w:left="113"/>
              <w:rPr>
                <w:i/>
                <w:sz w:val="19"/>
              </w:rPr>
            </w:pPr>
            <w:r>
              <w:rPr>
                <w:i/>
                <w:color w:val="A7BE39"/>
                <w:sz w:val="19"/>
              </w:rPr>
              <w:t>Assets</w:t>
            </w:r>
          </w:p>
        </w:tc>
        <w:tc>
          <w:tcPr>
            <w:tcW w:w="1049" w:type="dxa"/>
            <w:vMerge w:val="restart"/>
            <w:tcBorders>
              <w:bottom w:val="single" w:sz="4" w:space="0" w:color="000000"/>
            </w:tcBorders>
            <w:shd w:val="clear" w:color="auto" w:fill="E1E4BB"/>
          </w:tcPr>
          <w:p>
            <w:pPr>
              <w:pStyle w:val="TableParagraph"/>
              <w:spacing w:before="1"/>
              <w:rPr>
                <w:sz w:val="32"/>
              </w:rPr>
            </w:pPr>
          </w:p>
          <w:p>
            <w:pPr>
              <w:pStyle w:val="TableParagraph"/>
              <w:spacing w:before="0"/>
              <w:ind w:left="351" w:right="95"/>
              <w:jc w:val="center"/>
              <w:rPr>
                <w:sz w:val="19"/>
              </w:rPr>
            </w:pPr>
            <w:r>
              <w:rPr>
                <w:spacing w:val="-4"/>
                <w:sz w:val="19"/>
              </w:rPr>
              <w:t>24,253</w:t>
            </w:r>
          </w:p>
          <w:p>
            <w:pPr>
              <w:pStyle w:val="TableParagraph"/>
              <w:spacing w:before="88"/>
              <w:ind w:left="250" w:right="97"/>
              <w:jc w:val="center"/>
              <w:rPr>
                <w:sz w:val="19"/>
              </w:rPr>
            </w:pPr>
            <w:r>
              <w:rPr>
                <w:spacing w:val="-4"/>
                <w:sz w:val="19"/>
              </w:rPr>
              <w:t>140,658</w:t>
            </w: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vMerge w:val="restart"/>
            <w:tcBorders>
              <w:bottom w:val="single" w:sz="4" w:space="0" w:color="000000"/>
            </w:tcBorders>
            <w:shd w:val="clear" w:color="auto" w:fill="E1E4BB"/>
          </w:tcPr>
          <w:p>
            <w:pPr>
              <w:pStyle w:val="TableParagraph"/>
              <w:spacing w:before="1"/>
              <w:rPr>
                <w:sz w:val="32"/>
              </w:rPr>
            </w:pPr>
          </w:p>
          <w:p>
            <w:pPr>
              <w:pStyle w:val="TableParagraph"/>
              <w:spacing w:before="0"/>
              <w:ind w:left="351" w:right="96"/>
              <w:jc w:val="center"/>
              <w:rPr>
                <w:sz w:val="19"/>
              </w:rPr>
            </w:pPr>
            <w:r>
              <w:rPr>
                <w:spacing w:val="-4"/>
                <w:sz w:val="19"/>
              </w:rPr>
              <w:t>38,781</w:t>
            </w:r>
          </w:p>
          <w:p>
            <w:pPr>
              <w:pStyle w:val="TableParagraph"/>
              <w:spacing w:before="88"/>
              <w:ind w:left="250" w:right="97"/>
              <w:jc w:val="center"/>
              <w:rPr>
                <w:sz w:val="19"/>
              </w:rPr>
            </w:pPr>
            <w:r>
              <w:rPr>
                <w:spacing w:val="-4"/>
                <w:sz w:val="19"/>
              </w:rPr>
              <w:t>321,133</w:t>
            </w: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vMerge w:val="restart"/>
            <w:tcBorders>
              <w:bottom w:val="single" w:sz="4" w:space="0" w:color="000000"/>
            </w:tcBorders>
            <w:shd w:val="clear" w:color="auto" w:fill="E1E4BB"/>
          </w:tcPr>
          <w:p>
            <w:pPr>
              <w:pStyle w:val="TableParagraph"/>
              <w:spacing w:before="1"/>
              <w:rPr>
                <w:sz w:val="32"/>
              </w:rPr>
            </w:pPr>
          </w:p>
          <w:p>
            <w:pPr>
              <w:pStyle w:val="TableParagraph"/>
              <w:spacing w:before="0"/>
              <w:ind w:right="112"/>
              <w:jc w:val="right"/>
              <w:rPr>
                <w:sz w:val="19"/>
              </w:rPr>
            </w:pPr>
            <w:r>
              <w:rPr>
                <w:w w:val="111"/>
                <w:sz w:val="19"/>
              </w:rPr>
              <w:t>-</w:t>
            </w:r>
          </w:p>
          <w:p>
            <w:pPr>
              <w:pStyle w:val="TableParagraph"/>
              <w:spacing w:before="88"/>
              <w:ind w:right="112"/>
              <w:jc w:val="right"/>
              <w:rPr>
                <w:sz w:val="19"/>
              </w:rPr>
            </w:pPr>
            <w:r>
              <w:rPr>
                <w:w w:val="111"/>
                <w:sz w:val="19"/>
              </w:rPr>
              <w:t>-</w:t>
            </w: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vMerge w:val="restart"/>
            <w:tcBorders>
              <w:bottom w:val="single" w:sz="4" w:space="0" w:color="000000"/>
            </w:tcBorders>
            <w:shd w:val="clear" w:color="auto" w:fill="E1E4BB"/>
          </w:tcPr>
          <w:p>
            <w:pPr>
              <w:pStyle w:val="TableParagraph"/>
              <w:spacing w:before="1"/>
              <w:rPr>
                <w:sz w:val="32"/>
              </w:rPr>
            </w:pPr>
          </w:p>
          <w:p>
            <w:pPr>
              <w:pStyle w:val="TableParagraph"/>
              <w:spacing w:before="0"/>
              <w:ind w:left="270"/>
              <w:rPr>
                <w:sz w:val="19"/>
              </w:rPr>
            </w:pPr>
            <w:r>
              <w:rPr>
                <w:spacing w:val="-4"/>
                <w:sz w:val="19"/>
              </w:rPr>
              <w:t>213,944</w:t>
            </w:r>
          </w:p>
          <w:p>
            <w:pPr>
              <w:pStyle w:val="TableParagraph"/>
              <w:spacing w:before="88"/>
              <w:ind w:left="270"/>
              <w:rPr>
                <w:sz w:val="19"/>
              </w:rPr>
            </w:pPr>
            <w:r>
              <w:rPr>
                <w:spacing w:val="-4"/>
                <w:sz w:val="19"/>
              </w:rPr>
              <w:t>738,180</w:t>
            </w: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vMerge w:val="restart"/>
            <w:tcBorders>
              <w:bottom w:val="single" w:sz="4" w:space="0" w:color="000000"/>
            </w:tcBorders>
            <w:shd w:val="clear" w:color="auto" w:fill="E1E4BB"/>
          </w:tcPr>
          <w:p>
            <w:pPr>
              <w:pStyle w:val="TableParagraph"/>
              <w:spacing w:before="1"/>
              <w:rPr>
                <w:sz w:val="32"/>
              </w:rPr>
            </w:pPr>
          </w:p>
          <w:p>
            <w:pPr>
              <w:pStyle w:val="TableParagraph"/>
              <w:spacing w:before="0"/>
              <w:ind w:left="451" w:right="97"/>
              <w:jc w:val="center"/>
              <w:rPr>
                <w:sz w:val="19"/>
              </w:rPr>
            </w:pPr>
            <w:r>
              <w:rPr>
                <w:spacing w:val="-4"/>
                <w:sz w:val="19"/>
              </w:rPr>
              <w:t>5,240</w:t>
            </w:r>
          </w:p>
          <w:p>
            <w:pPr>
              <w:pStyle w:val="TableParagraph"/>
              <w:spacing w:before="88"/>
              <w:ind w:left="349" w:right="97"/>
              <w:jc w:val="center"/>
              <w:rPr>
                <w:sz w:val="19"/>
              </w:rPr>
            </w:pPr>
            <w:r>
              <w:rPr>
                <w:spacing w:val="-4"/>
                <w:sz w:val="19"/>
              </w:rPr>
              <w:t>23,487</w:t>
            </w:r>
          </w:p>
        </w:tc>
        <w:tc>
          <w:tcPr>
            <w:tcW w:w="1049" w:type="dxa"/>
            <w:gridSpan w:val="2"/>
            <w:tcBorders>
              <w:bottom w:val="single" w:sz="8" w:space="0" w:color="FFFFFF"/>
            </w:tcBorders>
            <w:shd w:val="clear" w:color="auto" w:fill="F4F4F4"/>
          </w:tcPr>
          <w:p>
            <w:pPr>
              <w:pStyle w:val="TableParagraph"/>
              <w:spacing w:before="0"/>
              <w:rPr>
                <w:rFonts w:ascii="Times New Roman"/>
                <w:sz w:val="20"/>
              </w:rPr>
            </w:pPr>
          </w:p>
        </w:tc>
        <w:tc>
          <w:tcPr>
            <w:tcW w:w="1049" w:type="dxa"/>
            <w:vMerge w:val="restart"/>
            <w:tcBorders>
              <w:bottom w:val="single" w:sz="4" w:space="0" w:color="000000"/>
            </w:tcBorders>
            <w:shd w:val="clear" w:color="auto" w:fill="E1E4BB"/>
          </w:tcPr>
          <w:p>
            <w:pPr>
              <w:pStyle w:val="TableParagraph"/>
              <w:spacing w:before="1"/>
              <w:rPr>
                <w:sz w:val="32"/>
              </w:rPr>
            </w:pPr>
          </w:p>
          <w:p>
            <w:pPr>
              <w:pStyle w:val="TableParagraph"/>
              <w:spacing w:before="0"/>
              <w:ind w:left="247" w:right="97"/>
              <w:jc w:val="center"/>
              <w:rPr>
                <w:sz w:val="19"/>
              </w:rPr>
            </w:pPr>
            <w:r>
              <w:rPr>
                <w:spacing w:val="-4"/>
                <w:sz w:val="19"/>
              </w:rPr>
              <w:t>282,218</w:t>
            </w:r>
          </w:p>
          <w:p>
            <w:pPr>
              <w:pStyle w:val="TableParagraph"/>
              <w:spacing w:before="88"/>
              <w:ind w:left="97" w:right="97"/>
              <w:jc w:val="center"/>
              <w:rPr>
                <w:sz w:val="19"/>
              </w:rPr>
            </w:pPr>
            <w:r>
              <w:rPr>
                <w:spacing w:val="-4"/>
                <w:sz w:val="19"/>
              </w:rPr>
              <w:t>1,223,458</w:t>
            </w:r>
          </w:p>
        </w:tc>
        <w:tc>
          <w:tcPr>
            <w:tcW w:w="1048" w:type="dxa"/>
            <w:gridSpan w:val="2"/>
            <w:tcBorders>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ind w:left="113"/>
              <w:rPr>
                <w:sz w:val="19"/>
              </w:rPr>
            </w:pPr>
            <w:r>
              <w:rPr>
                <w:sz w:val="19"/>
              </w:rPr>
              <w:t>Current assets</w:t>
            </w:r>
          </w:p>
        </w:tc>
        <w:tc>
          <w:tcPr>
            <w:tcW w:w="1049" w:type="dxa"/>
            <w:vMerge/>
            <w:tcBorders>
              <w:top w:val="nil"/>
              <w:bottom w:val="single" w:sz="4" w:space="0" w:color="000000"/>
            </w:tcBorders>
            <w:shd w:val="clear" w:color="auto" w:fill="E1E4BB"/>
          </w:tcPr>
          <w:p>
            <w:pPr>
              <w:rPr>
                <w:sz w:val="2"/>
                <w:szCs w:val="2"/>
              </w:rPr>
            </w:pPr>
          </w:p>
        </w:tc>
        <w:tc>
          <w:tcPr>
            <w:tcW w:w="1049" w:type="dxa"/>
            <w:gridSpan w:val="2"/>
            <w:tcBorders>
              <w:top w:val="single" w:sz="8" w:space="0" w:color="FFFFFF"/>
              <w:bottom w:val="single" w:sz="8" w:space="0" w:color="FFFFFF"/>
            </w:tcBorders>
            <w:shd w:val="clear" w:color="auto" w:fill="FAF9F9"/>
          </w:tcPr>
          <w:p>
            <w:pPr>
              <w:pStyle w:val="TableParagraph"/>
              <w:ind w:left="373"/>
              <w:rPr>
                <w:sz w:val="19"/>
              </w:rPr>
            </w:pPr>
            <w:r>
              <w:rPr>
                <w:sz w:val="19"/>
              </w:rPr>
              <w:t>39,113</w:t>
            </w:r>
          </w:p>
        </w:tc>
        <w:tc>
          <w:tcPr>
            <w:tcW w:w="1049" w:type="dxa"/>
            <w:vMerge/>
            <w:tcBorders>
              <w:top w:val="nil"/>
              <w:bottom w:val="single" w:sz="4" w:space="0" w:color="000000"/>
            </w:tcBorders>
            <w:shd w:val="clear" w:color="auto" w:fill="E1E4BB"/>
          </w:tcPr>
          <w:p>
            <w:pPr>
              <w:rPr>
                <w:sz w:val="2"/>
                <w:szCs w:val="2"/>
              </w:rPr>
            </w:pPr>
          </w:p>
        </w:tc>
        <w:tc>
          <w:tcPr>
            <w:tcW w:w="1049" w:type="dxa"/>
            <w:gridSpan w:val="2"/>
            <w:tcBorders>
              <w:top w:val="single" w:sz="8" w:space="0" w:color="FFFFFF"/>
              <w:bottom w:val="single" w:sz="8" w:space="0" w:color="FFFFFF"/>
            </w:tcBorders>
            <w:shd w:val="clear" w:color="auto" w:fill="FAF9F9"/>
          </w:tcPr>
          <w:p>
            <w:pPr>
              <w:pStyle w:val="TableParagraph"/>
              <w:ind w:left="372"/>
              <w:rPr>
                <w:sz w:val="19"/>
              </w:rPr>
            </w:pPr>
            <w:r>
              <w:rPr>
                <w:sz w:val="19"/>
              </w:rPr>
              <w:t>43,449</w:t>
            </w:r>
          </w:p>
        </w:tc>
        <w:tc>
          <w:tcPr>
            <w:tcW w:w="1049" w:type="dxa"/>
            <w:vMerge/>
            <w:tcBorders>
              <w:top w:val="nil"/>
              <w:bottom w:val="single" w:sz="4" w:space="0" w:color="000000"/>
            </w:tcBorders>
            <w:shd w:val="clear" w:color="auto" w:fill="E1E4BB"/>
          </w:tcPr>
          <w:p>
            <w:pPr>
              <w:rPr>
                <w:sz w:val="2"/>
                <w:szCs w:val="2"/>
              </w:rPr>
            </w:pPr>
          </w:p>
        </w:tc>
        <w:tc>
          <w:tcPr>
            <w:tcW w:w="1049" w:type="dxa"/>
            <w:gridSpan w:val="2"/>
            <w:tcBorders>
              <w:top w:val="single" w:sz="8" w:space="0" w:color="FFFFFF"/>
              <w:bottom w:val="single" w:sz="8" w:space="0" w:color="FFFFFF"/>
            </w:tcBorders>
            <w:shd w:val="clear" w:color="auto" w:fill="FAF9F9"/>
          </w:tcPr>
          <w:p>
            <w:pPr>
              <w:pStyle w:val="TableParagraph"/>
              <w:ind w:right="112"/>
              <w:jc w:val="right"/>
              <w:rPr>
                <w:sz w:val="19"/>
              </w:rPr>
            </w:pPr>
            <w:r>
              <w:rPr>
                <w:w w:val="111"/>
                <w:sz w:val="19"/>
              </w:rPr>
              <w:t>-</w:t>
            </w:r>
          </w:p>
        </w:tc>
        <w:tc>
          <w:tcPr>
            <w:tcW w:w="1049" w:type="dxa"/>
            <w:vMerge/>
            <w:tcBorders>
              <w:top w:val="nil"/>
              <w:bottom w:val="single" w:sz="4" w:space="0" w:color="000000"/>
            </w:tcBorders>
            <w:shd w:val="clear" w:color="auto" w:fill="E1E4BB"/>
          </w:tcPr>
          <w:p>
            <w:pPr>
              <w:rPr>
                <w:sz w:val="2"/>
                <w:szCs w:val="2"/>
              </w:rPr>
            </w:pPr>
          </w:p>
        </w:tc>
        <w:tc>
          <w:tcPr>
            <w:tcW w:w="1049" w:type="dxa"/>
            <w:gridSpan w:val="2"/>
            <w:tcBorders>
              <w:top w:val="single" w:sz="8" w:space="0" w:color="FFFFFF"/>
              <w:bottom w:val="single" w:sz="8" w:space="0" w:color="FFFFFF"/>
            </w:tcBorders>
            <w:shd w:val="clear" w:color="auto" w:fill="FAF9F9"/>
          </w:tcPr>
          <w:p>
            <w:pPr>
              <w:pStyle w:val="TableParagraph"/>
              <w:ind w:left="270"/>
              <w:rPr>
                <w:sz w:val="19"/>
              </w:rPr>
            </w:pPr>
            <w:r>
              <w:rPr>
                <w:sz w:val="19"/>
              </w:rPr>
              <w:t>332,133</w:t>
            </w:r>
          </w:p>
        </w:tc>
        <w:tc>
          <w:tcPr>
            <w:tcW w:w="1049" w:type="dxa"/>
            <w:vMerge/>
            <w:tcBorders>
              <w:top w:val="nil"/>
              <w:bottom w:val="single" w:sz="4" w:space="0" w:color="000000"/>
            </w:tcBorders>
            <w:shd w:val="clear" w:color="auto" w:fill="E1E4BB"/>
          </w:tcPr>
          <w:p>
            <w:pPr>
              <w:rPr>
                <w:sz w:val="2"/>
                <w:szCs w:val="2"/>
              </w:rPr>
            </w:pPr>
          </w:p>
        </w:tc>
        <w:tc>
          <w:tcPr>
            <w:tcW w:w="1049" w:type="dxa"/>
            <w:gridSpan w:val="2"/>
            <w:tcBorders>
              <w:top w:val="single" w:sz="8" w:space="0" w:color="FFFFFF"/>
              <w:bottom w:val="single" w:sz="8" w:space="0" w:color="FFFFFF"/>
            </w:tcBorders>
            <w:shd w:val="clear" w:color="auto" w:fill="FAF9F9"/>
          </w:tcPr>
          <w:p>
            <w:pPr>
              <w:pStyle w:val="TableParagraph"/>
              <w:ind w:left="473"/>
              <w:rPr>
                <w:sz w:val="19"/>
              </w:rPr>
            </w:pPr>
            <w:r>
              <w:rPr>
                <w:sz w:val="19"/>
              </w:rPr>
              <w:t>9,211</w:t>
            </w:r>
          </w:p>
        </w:tc>
        <w:tc>
          <w:tcPr>
            <w:tcW w:w="1049" w:type="dxa"/>
            <w:vMerge/>
            <w:tcBorders>
              <w:top w:val="nil"/>
              <w:bottom w:val="single" w:sz="4" w:space="0" w:color="000000"/>
            </w:tcBorders>
            <w:shd w:val="clear" w:color="auto" w:fill="E1E4BB"/>
          </w:tcPr>
          <w:p>
            <w:pPr>
              <w:rPr>
                <w:sz w:val="2"/>
                <w:szCs w:val="2"/>
              </w:rPr>
            </w:pPr>
          </w:p>
        </w:tc>
        <w:tc>
          <w:tcPr>
            <w:tcW w:w="1048" w:type="dxa"/>
            <w:gridSpan w:val="2"/>
            <w:tcBorders>
              <w:top w:val="single" w:sz="8" w:space="0" w:color="FFFFFF"/>
              <w:bottom w:val="single" w:sz="8" w:space="0" w:color="FFFFFF"/>
            </w:tcBorders>
            <w:shd w:val="clear" w:color="auto" w:fill="FAF9F9"/>
          </w:tcPr>
          <w:p>
            <w:pPr>
              <w:pStyle w:val="TableParagraph"/>
              <w:ind w:left="269"/>
              <w:rPr>
                <w:sz w:val="19"/>
              </w:rPr>
            </w:pPr>
            <w:r>
              <w:rPr>
                <w:sz w:val="19"/>
              </w:rPr>
              <w:t>423,906</w:t>
            </w:r>
          </w:p>
        </w:tc>
      </w:tr>
      <w:tr>
        <w:trPr>
          <w:trHeight w:val="285" w:hRule="atLeast"/>
        </w:trPr>
        <w:tc>
          <w:tcPr>
            <w:tcW w:w="2721" w:type="dxa"/>
            <w:tcBorders>
              <w:top w:val="single" w:sz="8" w:space="0" w:color="FFFFFF"/>
              <w:bottom w:val="single" w:sz="8" w:space="0" w:color="FFFFFF"/>
            </w:tcBorders>
            <w:shd w:val="clear" w:color="auto" w:fill="F4F4F4"/>
          </w:tcPr>
          <w:p>
            <w:pPr>
              <w:pStyle w:val="TableParagraph"/>
              <w:ind w:left="112"/>
              <w:rPr>
                <w:sz w:val="19"/>
              </w:rPr>
            </w:pPr>
            <w:r>
              <w:rPr>
                <w:sz w:val="19"/>
              </w:rPr>
              <w:t>Non-current assets</w:t>
            </w:r>
          </w:p>
        </w:tc>
        <w:tc>
          <w:tcPr>
            <w:tcW w:w="1049" w:type="dxa"/>
            <w:vMerge/>
            <w:tcBorders>
              <w:top w:val="nil"/>
              <w:bottom w:val="single" w:sz="4" w:space="0" w:color="000000"/>
            </w:tcBorders>
            <w:shd w:val="clear" w:color="auto" w:fill="E1E4BB"/>
          </w:tcPr>
          <w:p>
            <w:pPr>
              <w:rPr>
                <w:sz w:val="2"/>
                <w:szCs w:val="2"/>
              </w:rPr>
            </w:pPr>
          </w:p>
        </w:tc>
        <w:tc>
          <w:tcPr>
            <w:tcW w:w="1049" w:type="dxa"/>
            <w:gridSpan w:val="2"/>
            <w:tcBorders>
              <w:top w:val="single" w:sz="8" w:space="0" w:color="FFFFFF"/>
              <w:bottom w:val="single" w:sz="4" w:space="0" w:color="000000"/>
            </w:tcBorders>
            <w:shd w:val="clear" w:color="auto" w:fill="F4F4F4"/>
          </w:tcPr>
          <w:p>
            <w:pPr>
              <w:pStyle w:val="TableParagraph"/>
              <w:ind w:left="271"/>
              <w:rPr>
                <w:sz w:val="19"/>
              </w:rPr>
            </w:pPr>
            <w:r>
              <w:rPr>
                <w:sz w:val="19"/>
              </w:rPr>
              <w:t>113,042</w:t>
            </w:r>
          </w:p>
        </w:tc>
        <w:tc>
          <w:tcPr>
            <w:tcW w:w="1049" w:type="dxa"/>
            <w:vMerge/>
            <w:tcBorders>
              <w:top w:val="nil"/>
              <w:bottom w:val="single" w:sz="4" w:space="0" w:color="000000"/>
            </w:tcBorders>
            <w:shd w:val="clear" w:color="auto" w:fill="E1E4BB"/>
          </w:tcPr>
          <w:p>
            <w:pPr>
              <w:rPr>
                <w:sz w:val="2"/>
                <w:szCs w:val="2"/>
              </w:rPr>
            </w:pPr>
          </w:p>
        </w:tc>
        <w:tc>
          <w:tcPr>
            <w:tcW w:w="1049" w:type="dxa"/>
            <w:gridSpan w:val="2"/>
            <w:tcBorders>
              <w:top w:val="single" w:sz="8" w:space="0" w:color="FFFFFF"/>
              <w:bottom w:val="single" w:sz="4" w:space="0" w:color="000000"/>
            </w:tcBorders>
            <w:shd w:val="clear" w:color="auto" w:fill="F4F4F4"/>
          </w:tcPr>
          <w:p>
            <w:pPr>
              <w:pStyle w:val="TableParagraph"/>
              <w:ind w:left="270"/>
              <w:rPr>
                <w:sz w:val="19"/>
              </w:rPr>
            </w:pPr>
            <w:r>
              <w:rPr>
                <w:sz w:val="19"/>
              </w:rPr>
              <w:t>352,857</w:t>
            </w:r>
          </w:p>
        </w:tc>
        <w:tc>
          <w:tcPr>
            <w:tcW w:w="1049" w:type="dxa"/>
            <w:vMerge/>
            <w:tcBorders>
              <w:top w:val="nil"/>
              <w:bottom w:val="single" w:sz="4" w:space="0" w:color="000000"/>
            </w:tcBorders>
            <w:shd w:val="clear" w:color="auto" w:fill="E1E4BB"/>
          </w:tcPr>
          <w:p>
            <w:pPr>
              <w:rPr>
                <w:sz w:val="2"/>
                <w:szCs w:val="2"/>
              </w:rPr>
            </w:pPr>
          </w:p>
        </w:tc>
        <w:tc>
          <w:tcPr>
            <w:tcW w:w="1049" w:type="dxa"/>
            <w:gridSpan w:val="2"/>
            <w:tcBorders>
              <w:top w:val="single" w:sz="8" w:space="0" w:color="FFFFFF"/>
              <w:bottom w:val="single" w:sz="4" w:space="0" w:color="000000"/>
            </w:tcBorders>
            <w:shd w:val="clear" w:color="auto" w:fill="F4F4F4"/>
          </w:tcPr>
          <w:p>
            <w:pPr>
              <w:pStyle w:val="TableParagraph"/>
              <w:ind w:right="112"/>
              <w:jc w:val="right"/>
              <w:rPr>
                <w:sz w:val="19"/>
              </w:rPr>
            </w:pPr>
            <w:r>
              <w:rPr>
                <w:w w:val="111"/>
                <w:sz w:val="19"/>
              </w:rPr>
              <w:t>-</w:t>
            </w:r>
          </w:p>
        </w:tc>
        <w:tc>
          <w:tcPr>
            <w:tcW w:w="1049" w:type="dxa"/>
            <w:vMerge/>
            <w:tcBorders>
              <w:top w:val="nil"/>
              <w:bottom w:val="single" w:sz="4" w:space="0" w:color="000000"/>
            </w:tcBorders>
            <w:shd w:val="clear" w:color="auto" w:fill="E1E4BB"/>
          </w:tcPr>
          <w:p>
            <w:pPr>
              <w:rPr>
                <w:sz w:val="2"/>
                <w:szCs w:val="2"/>
              </w:rPr>
            </w:pPr>
          </w:p>
        </w:tc>
        <w:tc>
          <w:tcPr>
            <w:tcW w:w="1049" w:type="dxa"/>
            <w:gridSpan w:val="2"/>
            <w:tcBorders>
              <w:top w:val="single" w:sz="8" w:space="0" w:color="FFFFFF"/>
              <w:bottom w:val="single" w:sz="4" w:space="0" w:color="000000"/>
            </w:tcBorders>
            <w:shd w:val="clear" w:color="auto" w:fill="F4F4F4"/>
          </w:tcPr>
          <w:p>
            <w:pPr>
              <w:pStyle w:val="TableParagraph"/>
              <w:ind w:left="270"/>
              <w:rPr>
                <w:sz w:val="19"/>
              </w:rPr>
            </w:pPr>
            <w:r>
              <w:rPr>
                <w:sz w:val="19"/>
              </w:rPr>
              <w:t>725,555</w:t>
            </w:r>
          </w:p>
        </w:tc>
        <w:tc>
          <w:tcPr>
            <w:tcW w:w="1049" w:type="dxa"/>
            <w:vMerge/>
            <w:tcBorders>
              <w:top w:val="nil"/>
              <w:bottom w:val="single" w:sz="4" w:space="0" w:color="000000"/>
            </w:tcBorders>
            <w:shd w:val="clear" w:color="auto" w:fill="E1E4BB"/>
          </w:tcPr>
          <w:p>
            <w:pPr>
              <w:rPr>
                <w:sz w:val="2"/>
                <w:szCs w:val="2"/>
              </w:rPr>
            </w:pPr>
          </w:p>
        </w:tc>
        <w:tc>
          <w:tcPr>
            <w:tcW w:w="1049" w:type="dxa"/>
            <w:gridSpan w:val="2"/>
            <w:tcBorders>
              <w:top w:val="single" w:sz="8" w:space="0" w:color="FFFFFF"/>
              <w:bottom w:val="single" w:sz="4" w:space="0" w:color="000000"/>
            </w:tcBorders>
            <w:shd w:val="clear" w:color="auto" w:fill="F4F4F4"/>
          </w:tcPr>
          <w:p>
            <w:pPr>
              <w:pStyle w:val="TableParagraph"/>
              <w:ind w:left="371"/>
              <w:rPr>
                <w:sz w:val="19"/>
              </w:rPr>
            </w:pPr>
            <w:r>
              <w:rPr>
                <w:sz w:val="19"/>
              </w:rPr>
              <w:t>20,325</w:t>
            </w:r>
          </w:p>
        </w:tc>
        <w:tc>
          <w:tcPr>
            <w:tcW w:w="1049" w:type="dxa"/>
            <w:vMerge/>
            <w:tcBorders>
              <w:top w:val="nil"/>
              <w:bottom w:val="single" w:sz="4" w:space="0" w:color="000000"/>
            </w:tcBorders>
            <w:shd w:val="clear" w:color="auto" w:fill="E1E4BB"/>
          </w:tcPr>
          <w:p>
            <w:pPr>
              <w:rPr>
                <w:sz w:val="2"/>
                <w:szCs w:val="2"/>
              </w:rPr>
            </w:pPr>
          </w:p>
        </w:tc>
        <w:tc>
          <w:tcPr>
            <w:tcW w:w="1048" w:type="dxa"/>
            <w:gridSpan w:val="2"/>
            <w:tcBorders>
              <w:top w:val="single" w:sz="8" w:space="0" w:color="FFFFFF"/>
              <w:bottom w:val="single" w:sz="4" w:space="0" w:color="000000"/>
            </w:tcBorders>
            <w:shd w:val="clear" w:color="auto" w:fill="F4F4F4"/>
          </w:tcPr>
          <w:p>
            <w:pPr>
              <w:pStyle w:val="TableParagraph"/>
              <w:ind w:left="118"/>
              <w:rPr>
                <w:sz w:val="19"/>
              </w:rPr>
            </w:pPr>
            <w:r>
              <w:rPr>
                <w:sz w:val="19"/>
              </w:rPr>
              <w:t>1,211,779</w:t>
            </w: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ind w:left="112"/>
              <w:rPr>
                <w:b/>
                <w:sz w:val="19"/>
              </w:rPr>
            </w:pPr>
            <w:r>
              <w:rPr>
                <w:b/>
                <w:sz w:val="19"/>
              </w:rPr>
              <w:t>Total assets</w:t>
            </w:r>
          </w:p>
        </w:tc>
        <w:tc>
          <w:tcPr>
            <w:tcW w:w="1049" w:type="dxa"/>
            <w:tcBorders>
              <w:top w:val="single" w:sz="4" w:space="0" w:color="000000"/>
              <w:bottom w:val="single" w:sz="4" w:space="0" w:color="000000"/>
            </w:tcBorders>
            <w:shd w:val="clear" w:color="auto" w:fill="E1E4BB"/>
          </w:tcPr>
          <w:p>
            <w:pPr>
              <w:pStyle w:val="TableParagraph"/>
              <w:ind w:right="115"/>
              <w:jc w:val="right"/>
              <w:rPr>
                <w:b/>
                <w:sz w:val="19"/>
              </w:rPr>
            </w:pPr>
            <w:r>
              <w:rPr>
                <w:b/>
                <w:w w:val="95"/>
                <w:sz w:val="19"/>
              </w:rPr>
              <w:t>164,911</w:t>
            </w:r>
          </w:p>
        </w:tc>
        <w:tc>
          <w:tcPr>
            <w:tcW w:w="1049" w:type="dxa"/>
            <w:gridSpan w:val="2"/>
            <w:tcBorders>
              <w:top w:val="single" w:sz="4" w:space="0" w:color="000000"/>
              <w:bottom w:val="single" w:sz="4" w:space="0" w:color="000000"/>
            </w:tcBorders>
            <w:shd w:val="clear" w:color="auto" w:fill="FAF9F9"/>
          </w:tcPr>
          <w:p>
            <w:pPr>
              <w:pStyle w:val="TableParagraph"/>
              <w:ind w:left="271"/>
              <w:rPr>
                <w:b/>
                <w:sz w:val="19"/>
              </w:rPr>
            </w:pPr>
            <w:r>
              <w:rPr>
                <w:b/>
                <w:sz w:val="19"/>
              </w:rPr>
              <w:t>152,155</w:t>
            </w:r>
          </w:p>
        </w:tc>
        <w:tc>
          <w:tcPr>
            <w:tcW w:w="1049" w:type="dxa"/>
            <w:tcBorders>
              <w:top w:val="single" w:sz="4" w:space="0" w:color="000000"/>
              <w:bottom w:val="single" w:sz="4" w:space="0" w:color="000000"/>
            </w:tcBorders>
            <w:shd w:val="clear" w:color="auto" w:fill="E1E4BB"/>
          </w:tcPr>
          <w:p>
            <w:pPr>
              <w:pStyle w:val="TableParagraph"/>
              <w:ind w:right="116"/>
              <w:jc w:val="right"/>
              <w:rPr>
                <w:b/>
                <w:sz w:val="19"/>
              </w:rPr>
            </w:pPr>
            <w:r>
              <w:rPr>
                <w:b/>
                <w:w w:val="95"/>
                <w:sz w:val="19"/>
              </w:rPr>
              <w:t>359,914</w:t>
            </w:r>
          </w:p>
        </w:tc>
        <w:tc>
          <w:tcPr>
            <w:tcW w:w="1049" w:type="dxa"/>
            <w:gridSpan w:val="2"/>
            <w:tcBorders>
              <w:top w:val="single" w:sz="4" w:space="0" w:color="000000"/>
              <w:bottom w:val="single" w:sz="4" w:space="0" w:color="000000"/>
            </w:tcBorders>
            <w:shd w:val="clear" w:color="auto" w:fill="FAF9F9"/>
          </w:tcPr>
          <w:p>
            <w:pPr>
              <w:pStyle w:val="TableParagraph"/>
              <w:ind w:left="270"/>
              <w:rPr>
                <w:b/>
                <w:sz w:val="19"/>
              </w:rPr>
            </w:pPr>
            <w:r>
              <w:rPr>
                <w:b/>
                <w:sz w:val="19"/>
              </w:rPr>
              <w:t>396,306</w:t>
            </w:r>
          </w:p>
        </w:tc>
        <w:tc>
          <w:tcPr>
            <w:tcW w:w="1049" w:type="dxa"/>
            <w:tcBorders>
              <w:top w:val="single" w:sz="4" w:space="0" w:color="000000"/>
              <w:bottom w:val="single" w:sz="4" w:space="0" w:color="000000"/>
            </w:tcBorders>
            <w:shd w:val="clear" w:color="auto" w:fill="E1E4BB"/>
          </w:tcPr>
          <w:p>
            <w:pPr>
              <w:pStyle w:val="TableParagraph"/>
              <w:ind w:right="112"/>
              <w:jc w:val="right"/>
              <w:rPr>
                <w:b/>
                <w:sz w:val="19"/>
              </w:rPr>
            </w:pPr>
            <w:r>
              <w:rPr>
                <w:b/>
                <w:w w:val="122"/>
                <w:sz w:val="19"/>
              </w:rPr>
              <w:t>-</w:t>
            </w:r>
          </w:p>
        </w:tc>
        <w:tc>
          <w:tcPr>
            <w:tcW w:w="1049" w:type="dxa"/>
            <w:gridSpan w:val="2"/>
            <w:tcBorders>
              <w:top w:val="single" w:sz="4" w:space="0" w:color="000000"/>
              <w:bottom w:val="single" w:sz="4" w:space="0" w:color="000000"/>
            </w:tcBorders>
            <w:shd w:val="clear" w:color="auto" w:fill="FAF9F9"/>
          </w:tcPr>
          <w:p>
            <w:pPr>
              <w:pStyle w:val="TableParagraph"/>
              <w:ind w:right="112"/>
              <w:jc w:val="right"/>
              <w:rPr>
                <w:b/>
                <w:sz w:val="19"/>
              </w:rPr>
            </w:pPr>
            <w:r>
              <w:rPr>
                <w:b/>
                <w:w w:val="122"/>
                <w:sz w:val="19"/>
              </w:rPr>
              <w:t>-</w:t>
            </w:r>
          </w:p>
        </w:tc>
        <w:tc>
          <w:tcPr>
            <w:tcW w:w="1049" w:type="dxa"/>
            <w:tcBorders>
              <w:top w:val="single" w:sz="4" w:space="0" w:color="000000"/>
              <w:bottom w:val="single" w:sz="4" w:space="0" w:color="000000"/>
            </w:tcBorders>
            <w:shd w:val="clear" w:color="auto" w:fill="E1E4BB"/>
          </w:tcPr>
          <w:p>
            <w:pPr>
              <w:pStyle w:val="TableParagraph"/>
              <w:ind w:right="116"/>
              <w:jc w:val="right"/>
              <w:rPr>
                <w:b/>
                <w:sz w:val="19"/>
              </w:rPr>
            </w:pPr>
            <w:r>
              <w:rPr>
                <w:b/>
                <w:w w:val="95"/>
                <w:sz w:val="19"/>
              </w:rPr>
              <w:t>952,124</w:t>
            </w:r>
          </w:p>
        </w:tc>
        <w:tc>
          <w:tcPr>
            <w:tcW w:w="1049" w:type="dxa"/>
            <w:gridSpan w:val="2"/>
            <w:tcBorders>
              <w:top w:val="single" w:sz="4" w:space="0" w:color="000000"/>
              <w:bottom w:val="single" w:sz="4" w:space="0" w:color="000000"/>
            </w:tcBorders>
            <w:shd w:val="clear" w:color="auto" w:fill="FAF9F9"/>
          </w:tcPr>
          <w:p>
            <w:pPr>
              <w:pStyle w:val="TableParagraph"/>
              <w:ind w:left="118"/>
              <w:rPr>
                <w:b/>
                <w:sz w:val="19"/>
              </w:rPr>
            </w:pPr>
            <w:r>
              <w:rPr>
                <w:b/>
                <w:sz w:val="19"/>
              </w:rPr>
              <w:t>1,057,688</w:t>
            </w:r>
          </w:p>
        </w:tc>
        <w:tc>
          <w:tcPr>
            <w:tcW w:w="1049" w:type="dxa"/>
            <w:tcBorders>
              <w:top w:val="single" w:sz="4" w:space="0" w:color="000000"/>
              <w:bottom w:val="single" w:sz="4" w:space="0" w:color="000000"/>
            </w:tcBorders>
            <w:shd w:val="clear" w:color="auto" w:fill="E1E4BB"/>
          </w:tcPr>
          <w:p>
            <w:pPr>
              <w:pStyle w:val="TableParagraph"/>
              <w:ind w:right="117"/>
              <w:jc w:val="right"/>
              <w:rPr>
                <w:b/>
                <w:sz w:val="19"/>
              </w:rPr>
            </w:pPr>
            <w:r>
              <w:rPr>
                <w:b/>
                <w:w w:val="95"/>
                <w:sz w:val="19"/>
              </w:rPr>
              <w:t>28,727</w:t>
            </w:r>
          </w:p>
        </w:tc>
        <w:tc>
          <w:tcPr>
            <w:tcW w:w="1049" w:type="dxa"/>
            <w:gridSpan w:val="2"/>
            <w:tcBorders>
              <w:top w:val="single" w:sz="4" w:space="0" w:color="000000"/>
              <w:bottom w:val="single" w:sz="4" w:space="0" w:color="000000"/>
            </w:tcBorders>
            <w:shd w:val="clear" w:color="auto" w:fill="FAF9F9"/>
          </w:tcPr>
          <w:p>
            <w:pPr>
              <w:pStyle w:val="TableParagraph"/>
              <w:ind w:left="371"/>
              <w:rPr>
                <w:b/>
                <w:sz w:val="19"/>
              </w:rPr>
            </w:pPr>
            <w:r>
              <w:rPr>
                <w:b/>
                <w:sz w:val="19"/>
              </w:rPr>
              <w:t>29,536</w:t>
            </w:r>
          </w:p>
        </w:tc>
        <w:tc>
          <w:tcPr>
            <w:tcW w:w="1049" w:type="dxa"/>
            <w:tcBorders>
              <w:top w:val="single" w:sz="4" w:space="0" w:color="000000"/>
              <w:bottom w:val="single" w:sz="4" w:space="0" w:color="000000"/>
            </w:tcBorders>
            <w:shd w:val="clear" w:color="auto" w:fill="E1E4BB"/>
          </w:tcPr>
          <w:p>
            <w:pPr>
              <w:pStyle w:val="TableParagraph"/>
              <w:ind w:right="117"/>
              <w:jc w:val="right"/>
              <w:rPr>
                <w:b/>
                <w:sz w:val="19"/>
              </w:rPr>
            </w:pPr>
            <w:r>
              <w:rPr>
                <w:b/>
                <w:w w:val="95"/>
                <w:sz w:val="19"/>
              </w:rPr>
              <w:t>1,505,676</w:t>
            </w:r>
          </w:p>
        </w:tc>
        <w:tc>
          <w:tcPr>
            <w:tcW w:w="1048" w:type="dxa"/>
            <w:gridSpan w:val="2"/>
            <w:tcBorders>
              <w:top w:val="single" w:sz="4" w:space="0" w:color="000000"/>
              <w:bottom w:val="single" w:sz="4" w:space="0" w:color="000000"/>
            </w:tcBorders>
            <w:shd w:val="clear" w:color="auto" w:fill="FAF9F9"/>
          </w:tcPr>
          <w:p>
            <w:pPr>
              <w:pStyle w:val="TableParagraph"/>
              <w:ind w:left="118"/>
              <w:rPr>
                <w:b/>
                <w:sz w:val="19"/>
              </w:rPr>
            </w:pPr>
            <w:r>
              <w:rPr>
                <w:b/>
                <w:sz w:val="19"/>
              </w:rPr>
              <w:t>1,635,685</w:t>
            </w:r>
          </w:p>
        </w:tc>
      </w:tr>
      <w:tr>
        <w:trPr>
          <w:trHeight w:val="285" w:hRule="atLeast"/>
        </w:trPr>
        <w:tc>
          <w:tcPr>
            <w:tcW w:w="272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049" w:type="dxa"/>
            <w:tcBorders>
              <w:top w:val="single" w:sz="4" w:space="0" w:color="000000"/>
            </w:tcBorders>
            <w:shd w:val="clear" w:color="auto" w:fill="E1E4BB"/>
          </w:tcPr>
          <w:p>
            <w:pPr>
              <w:pStyle w:val="TableParagraph"/>
              <w:spacing w:before="0"/>
              <w:rPr>
                <w:rFonts w:ascii="Times New Roman"/>
                <w:sz w:val="20"/>
              </w:rPr>
            </w:pPr>
          </w:p>
        </w:tc>
        <w:tc>
          <w:tcPr>
            <w:tcW w:w="1049" w:type="dxa"/>
            <w:gridSpan w:val="2"/>
            <w:tcBorders>
              <w:top w:val="single" w:sz="4" w:space="0" w:color="000000"/>
              <w:bottom w:val="single" w:sz="8" w:space="0" w:color="FFFFFF"/>
            </w:tcBorders>
            <w:shd w:val="clear" w:color="auto" w:fill="F4F4F4"/>
          </w:tcPr>
          <w:p>
            <w:pPr>
              <w:pStyle w:val="TableParagraph"/>
              <w:spacing w:before="0"/>
              <w:rPr>
                <w:rFonts w:ascii="Times New Roman"/>
                <w:sz w:val="20"/>
              </w:rPr>
            </w:pPr>
          </w:p>
        </w:tc>
        <w:tc>
          <w:tcPr>
            <w:tcW w:w="1049" w:type="dxa"/>
            <w:tcBorders>
              <w:top w:val="single" w:sz="4" w:space="0" w:color="000000"/>
            </w:tcBorders>
            <w:shd w:val="clear" w:color="auto" w:fill="E1E4BB"/>
          </w:tcPr>
          <w:p>
            <w:pPr>
              <w:pStyle w:val="TableParagraph"/>
              <w:spacing w:before="0"/>
              <w:rPr>
                <w:rFonts w:ascii="Times New Roman"/>
                <w:sz w:val="20"/>
              </w:rPr>
            </w:pPr>
          </w:p>
        </w:tc>
        <w:tc>
          <w:tcPr>
            <w:tcW w:w="1049" w:type="dxa"/>
            <w:gridSpan w:val="2"/>
            <w:tcBorders>
              <w:top w:val="single" w:sz="4" w:space="0" w:color="000000"/>
              <w:bottom w:val="single" w:sz="8" w:space="0" w:color="FFFFFF"/>
            </w:tcBorders>
            <w:shd w:val="clear" w:color="auto" w:fill="F4F4F4"/>
          </w:tcPr>
          <w:p>
            <w:pPr>
              <w:pStyle w:val="TableParagraph"/>
              <w:spacing w:before="0"/>
              <w:rPr>
                <w:rFonts w:ascii="Times New Roman"/>
                <w:sz w:val="20"/>
              </w:rPr>
            </w:pPr>
          </w:p>
        </w:tc>
        <w:tc>
          <w:tcPr>
            <w:tcW w:w="1049" w:type="dxa"/>
            <w:tcBorders>
              <w:top w:val="single" w:sz="4" w:space="0" w:color="000000"/>
            </w:tcBorders>
            <w:shd w:val="clear" w:color="auto" w:fill="E1E4BB"/>
          </w:tcPr>
          <w:p>
            <w:pPr>
              <w:pStyle w:val="TableParagraph"/>
              <w:spacing w:before="0"/>
              <w:rPr>
                <w:rFonts w:ascii="Times New Roman"/>
                <w:sz w:val="20"/>
              </w:rPr>
            </w:pPr>
          </w:p>
        </w:tc>
        <w:tc>
          <w:tcPr>
            <w:tcW w:w="1049" w:type="dxa"/>
            <w:gridSpan w:val="2"/>
            <w:tcBorders>
              <w:top w:val="single" w:sz="4" w:space="0" w:color="000000"/>
              <w:bottom w:val="single" w:sz="8" w:space="0" w:color="FFFFFF"/>
            </w:tcBorders>
            <w:shd w:val="clear" w:color="auto" w:fill="F4F4F4"/>
          </w:tcPr>
          <w:p>
            <w:pPr>
              <w:pStyle w:val="TableParagraph"/>
              <w:spacing w:before="0"/>
              <w:rPr>
                <w:rFonts w:ascii="Times New Roman"/>
                <w:sz w:val="20"/>
              </w:rPr>
            </w:pPr>
          </w:p>
        </w:tc>
        <w:tc>
          <w:tcPr>
            <w:tcW w:w="1049" w:type="dxa"/>
            <w:tcBorders>
              <w:top w:val="single" w:sz="4" w:space="0" w:color="000000"/>
            </w:tcBorders>
            <w:shd w:val="clear" w:color="auto" w:fill="E1E4BB"/>
          </w:tcPr>
          <w:p>
            <w:pPr>
              <w:pStyle w:val="TableParagraph"/>
              <w:spacing w:before="0"/>
              <w:rPr>
                <w:rFonts w:ascii="Times New Roman"/>
                <w:sz w:val="20"/>
              </w:rPr>
            </w:pPr>
          </w:p>
        </w:tc>
        <w:tc>
          <w:tcPr>
            <w:tcW w:w="1049" w:type="dxa"/>
            <w:gridSpan w:val="2"/>
            <w:tcBorders>
              <w:top w:val="single" w:sz="4" w:space="0" w:color="000000"/>
              <w:bottom w:val="single" w:sz="8" w:space="0" w:color="FFFFFF"/>
            </w:tcBorders>
            <w:shd w:val="clear" w:color="auto" w:fill="F4F4F4"/>
          </w:tcPr>
          <w:p>
            <w:pPr>
              <w:pStyle w:val="TableParagraph"/>
              <w:spacing w:before="0"/>
              <w:rPr>
                <w:rFonts w:ascii="Times New Roman"/>
                <w:sz w:val="20"/>
              </w:rPr>
            </w:pPr>
          </w:p>
        </w:tc>
        <w:tc>
          <w:tcPr>
            <w:tcW w:w="1049" w:type="dxa"/>
            <w:tcBorders>
              <w:top w:val="single" w:sz="4" w:space="0" w:color="000000"/>
            </w:tcBorders>
            <w:shd w:val="clear" w:color="auto" w:fill="E1E4BB"/>
          </w:tcPr>
          <w:p>
            <w:pPr>
              <w:pStyle w:val="TableParagraph"/>
              <w:spacing w:before="0"/>
              <w:rPr>
                <w:rFonts w:ascii="Times New Roman"/>
                <w:sz w:val="20"/>
              </w:rPr>
            </w:pPr>
          </w:p>
        </w:tc>
        <w:tc>
          <w:tcPr>
            <w:tcW w:w="1049" w:type="dxa"/>
            <w:gridSpan w:val="2"/>
            <w:tcBorders>
              <w:top w:val="single" w:sz="4" w:space="0" w:color="000000"/>
              <w:bottom w:val="single" w:sz="8" w:space="0" w:color="FFFFFF"/>
            </w:tcBorders>
            <w:shd w:val="clear" w:color="auto" w:fill="F4F4F4"/>
          </w:tcPr>
          <w:p>
            <w:pPr>
              <w:pStyle w:val="TableParagraph"/>
              <w:spacing w:before="0"/>
              <w:rPr>
                <w:rFonts w:ascii="Times New Roman"/>
                <w:sz w:val="20"/>
              </w:rPr>
            </w:pPr>
          </w:p>
        </w:tc>
        <w:tc>
          <w:tcPr>
            <w:tcW w:w="1049" w:type="dxa"/>
            <w:tcBorders>
              <w:top w:val="single" w:sz="4" w:space="0" w:color="000000"/>
            </w:tcBorders>
            <w:shd w:val="clear" w:color="auto" w:fill="E1E4BB"/>
          </w:tcPr>
          <w:p>
            <w:pPr>
              <w:pStyle w:val="TableParagraph"/>
              <w:spacing w:before="0"/>
              <w:rPr>
                <w:rFonts w:ascii="Times New Roman"/>
                <w:sz w:val="20"/>
              </w:rPr>
            </w:pPr>
          </w:p>
        </w:tc>
        <w:tc>
          <w:tcPr>
            <w:tcW w:w="1048" w:type="dxa"/>
            <w:gridSpan w:val="2"/>
            <w:tcBorders>
              <w:top w:val="single" w:sz="4" w:space="0" w:color="000000"/>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ind w:left="112"/>
              <w:rPr>
                <w:i/>
                <w:sz w:val="19"/>
              </w:rPr>
            </w:pPr>
            <w:r>
              <w:rPr>
                <w:i/>
                <w:color w:val="A7BE39"/>
                <w:sz w:val="19"/>
              </w:rPr>
              <w:t>Liabilities</w:t>
            </w:r>
          </w:p>
        </w:tc>
        <w:tc>
          <w:tcPr>
            <w:tcW w:w="1049" w:type="dxa"/>
            <w:shd w:val="clear" w:color="auto" w:fill="E1E4BB"/>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9" w:type="dxa"/>
            <w:gridSpan w:val="2"/>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049" w:type="dxa"/>
            <w:shd w:val="clear" w:color="auto" w:fill="E1E4BB"/>
          </w:tcPr>
          <w:p>
            <w:pPr>
              <w:pStyle w:val="TableParagraph"/>
              <w:spacing w:before="0"/>
              <w:rPr>
                <w:rFonts w:ascii="Times New Roman"/>
                <w:sz w:val="20"/>
              </w:rPr>
            </w:pPr>
          </w:p>
        </w:tc>
        <w:tc>
          <w:tcPr>
            <w:tcW w:w="1048" w:type="dxa"/>
            <w:gridSpan w:val="2"/>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2721" w:type="dxa"/>
            <w:tcBorders>
              <w:top w:val="single" w:sz="8" w:space="0" w:color="FFFFFF"/>
              <w:bottom w:val="single" w:sz="8" w:space="0" w:color="FFFFFF"/>
            </w:tcBorders>
            <w:shd w:val="clear" w:color="auto" w:fill="F4F4F4"/>
          </w:tcPr>
          <w:p>
            <w:pPr>
              <w:pStyle w:val="TableParagraph"/>
              <w:ind w:left="112"/>
              <w:rPr>
                <w:sz w:val="19"/>
              </w:rPr>
            </w:pPr>
            <w:r>
              <w:rPr>
                <w:sz w:val="19"/>
              </w:rPr>
              <w:t>Current liabilities</w:t>
            </w:r>
          </w:p>
        </w:tc>
        <w:tc>
          <w:tcPr>
            <w:tcW w:w="1049" w:type="dxa"/>
            <w:shd w:val="clear" w:color="auto" w:fill="E1E4BB"/>
          </w:tcPr>
          <w:p>
            <w:pPr>
              <w:pStyle w:val="TableParagraph"/>
              <w:ind w:right="115"/>
              <w:jc w:val="right"/>
              <w:rPr>
                <w:sz w:val="19"/>
              </w:rPr>
            </w:pPr>
            <w:r>
              <w:rPr>
                <w:w w:val="95"/>
                <w:sz w:val="19"/>
              </w:rPr>
              <w:t>2,972</w:t>
            </w:r>
          </w:p>
        </w:tc>
        <w:tc>
          <w:tcPr>
            <w:tcW w:w="1049" w:type="dxa"/>
            <w:gridSpan w:val="2"/>
            <w:tcBorders>
              <w:top w:val="single" w:sz="8" w:space="0" w:color="FFFFFF"/>
              <w:bottom w:val="single" w:sz="8" w:space="0" w:color="FFFFFF"/>
            </w:tcBorders>
            <w:shd w:val="clear" w:color="auto" w:fill="F4F4F4"/>
          </w:tcPr>
          <w:p>
            <w:pPr>
              <w:pStyle w:val="TableParagraph"/>
              <w:ind w:left="372"/>
              <w:rPr>
                <w:sz w:val="19"/>
              </w:rPr>
            </w:pPr>
            <w:r>
              <w:rPr>
                <w:sz w:val="19"/>
              </w:rPr>
              <w:t>10,687</w:t>
            </w:r>
          </w:p>
        </w:tc>
        <w:tc>
          <w:tcPr>
            <w:tcW w:w="1049" w:type="dxa"/>
            <w:shd w:val="clear" w:color="auto" w:fill="E1E4BB"/>
          </w:tcPr>
          <w:p>
            <w:pPr>
              <w:pStyle w:val="TableParagraph"/>
              <w:ind w:right="116"/>
              <w:jc w:val="right"/>
              <w:rPr>
                <w:sz w:val="19"/>
              </w:rPr>
            </w:pPr>
            <w:r>
              <w:rPr>
                <w:w w:val="95"/>
                <w:sz w:val="19"/>
              </w:rPr>
              <w:t>43,428</w:t>
            </w:r>
          </w:p>
        </w:tc>
        <w:tc>
          <w:tcPr>
            <w:tcW w:w="1049" w:type="dxa"/>
            <w:gridSpan w:val="2"/>
            <w:tcBorders>
              <w:top w:val="single" w:sz="8" w:space="0" w:color="FFFFFF"/>
              <w:bottom w:val="single" w:sz="8" w:space="0" w:color="FFFFFF"/>
            </w:tcBorders>
            <w:shd w:val="clear" w:color="auto" w:fill="F4F4F4"/>
          </w:tcPr>
          <w:p>
            <w:pPr>
              <w:pStyle w:val="TableParagraph"/>
              <w:ind w:left="372"/>
              <w:rPr>
                <w:sz w:val="19"/>
              </w:rPr>
            </w:pPr>
            <w:r>
              <w:rPr>
                <w:sz w:val="19"/>
              </w:rPr>
              <w:t>55,077</w:t>
            </w:r>
          </w:p>
        </w:tc>
        <w:tc>
          <w:tcPr>
            <w:tcW w:w="1049" w:type="dxa"/>
            <w:shd w:val="clear" w:color="auto" w:fill="E1E4BB"/>
          </w:tcPr>
          <w:p>
            <w:pPr>
              <w:pStyle w:val="TableParagraph"/>
              <w:ind w:right="112"/>
              <w:jc w:val="right"/>
              <w:rPr>
                <w:sz w:val="19"/>
              </w:rPr>
            </w:pPr>
            <w:r>
              <w:rPr>
                <w:w w:val="111"/>
                <w:sz w:val="19"/>
              </w:rPr>
              <w:t>-</w:t>
            </w:r>
          </w:p>
        </w:tc>
        <w:tc>
          <w:tcPr>
            <w:tcW w:w="1049" w:type="dxa"/>
            <w:gridSpan w:val="2"/>
            <w:tcBorders>
              <w:top w:val="single" w:sz="8" w:space="0" w:color="FFFFFF"/>
              <w:bottom w:val="single" w:sz="8" w:space="0" w:color="FFFFFF"/>
            </w:tcBorders>
            <w:shd w:val="clear" w:color="auto" w:fill="F4F4F4"/>
          </w:tcPr>
          <w:p>
            <w:pPr>
              <w:pStyle w:val="TableParagraph"/>
              <w:ind w:right="113"/>
              <w:jc w:val="right"/>
              <w:rPr>
                <w:sz w:val="19"/>
              </w:rPr>
            </w:pPr>
            <w:r>
              <w:rPr>
                <w:w w:val="111"/>
                <w:sz w:val="19"/>
              </w:rPr>
              <w:t>-</w:t>
            </w:r>
          </w:p>
        </w:tc>
        <w:tc>
          <w:tcPr>
            <w:tcW w:w="1049" w:type="dxa"/>
            <w:shd w:val="clear" w:color="auto" w:fill="E1E4BB"/>
          </w:tcPr>
          <w:p>
            <w:pPr>
              <w:pStyle w:val="TableParagraph"/>
              <w:ind w:right="117"/>
              <w:jc w:val="right"/>
              <w:rPr>
                <w:sz w:val="19"/>
              </w:rPr>
            </w:pPr>
            <w:r>
              <w:rPr>
                <w:w w:val="95"/>
                <w:sz w:val="19"/>
              </w:rPr>
              <w:t>154,247</w:t>
            </w:r>
          </w:p>
        </w:tc>
        <w:tc>
          <w:tcPr>
            <w:tcW w:w="1049" w:type="dxa"/>
            <w:gridSpan w:val="2"/>
            <w:tcBorders>
              <w:top w:val="single" w:sz="8" w:space="0" w:color="FFFFFF"/>
              <w:bottom w:val="single" w:sz="8" w:space="0" w:color="FFFFFF"/>
            </w:tcBorders>
            <w:shd w:val="clear" w:color="auto" w:fill="F4F4F4"/>
          </w:tcPr>
          <w:p>
            <w:pPr>
              <w:pStyle w:val="TableParagraph"/>
              <w:ind w:left="269"/>
              <w:rPr>
                <w:sz w:val="19"/>
              </w:rPr>
            </w:pPr>
            <w:r>
              <w:rPr>
                <w:sz w:val="19"/>
              </w:rPr>
              <w:t>299,066</w:t>
            </w:r>
          </w:p>
        </w:tc>
        <w:tc>
          <w:tcPr>
            <w:tcW w:w="1049" w:type="dxa"/>
            <w:shd w:val="clear" w:color="auto" w:fill="E1E4BB"/>
          </w:tcPr>
          <w:p>
            <w:pPr>
              <w:pStyle w:val="TableParagraph"/>
              <w:ind w:right="117"/>
              <w:jc w:val="right"/>
              <w:rPr>
                <w:sz w:val="19"/>
              </w:rPr>
            </w:pPr>
            <w:r>
              <w:rPr>
                <w:w w:val="95"/>
                <w:sz w:val="19"/>
              </w:rPr>
              <w:t>4,581</w:t>
            </w:r>
          </w:p>
        </w:tc>
        <w:tc>
          <w:tcPr>
            <w:tcW w:w="1049" w:type="dxa"/>
            <w:gridSpan w:val="2"/>
            <w:tcBorders>
              <w:top w:val="single" w:sz="8" w:space="0" w:color="FFFFFF"/>
              <w:bottom w:val="single" w:sz="8" w:space="0" w:color="FFFFFF"/>
            </w:tcBorders>
            <w:shd w:val="clear" w:color="auto" w:fill="F4F4F4"/>
          </w:tcPr>
          <w:p>
            <w:pPr>
              <w:pStyle w:val="TableParagraph"/>
              <w:ind w:left="472"/>
              <w:rPr>
                <w:sz w:val="19"/>
              </w:rPr>
            </w:pPr>
            <w:r>
              <w:rPr>
                <w:sz w:val="19"/>
              </w:rPr>
              <w:t>5,387</w:t>
            </w:r>
          </w:p>
        </w:tc>
        <w:tc>
          <w:tcPr>
            <w:tcW w:w="1049" w:type="dxa"/>
            <w:shd w:val="clear" w:color="auto" w:fill="E1E4BB"/>
          </w:tcPr>
          <w:p>
            <w:pPr>
              <w:pStyle w:val="TableParagraph"/>
              <w:ind w:right="117"/>
              <w:jc w:val="right"/>
              <w:rPr>
                <w:sz w:val="19"/>
              </w:rPr>
            </w:pPr>
            <w:r>
              <w:rPr>
                <w:w w:val="95"/>
                <w:sz w:val="19"/>
              </w:rPr>
              <w:t>205,228</w:t>
            </w:r>
          </w:p>
        </w:tc>
        <w:tc>
          <w:tcPr>
            <w:tcW w:w="1048" w:type="dxa"/>
            <w:gridSpan w:val="2"/>
            <w:tcBorders>
              <w:top w:val="single" w:sz="8" w:space="0" w:color="FFFFFF"/>
              <w:bottom w:val="single" w:sz="8" w:space="0" w:color="FFFFFF"/>
            </w:tcBorders>
            <w:shd w:val="clear" w:color="auto" w:fill="F4F4F4"/>
          </w:tcPr>
          <w:p>
            <w:pPr>
              <w:pStyle w:val="TableParagraph"/>
              <w:ind w:left="268"/>
              <w:rPr>
                <w:sz w:val="19"/>
              </w:rPr>
            </w:pPr>
            <w:r>
              <w:rPr>
                <w:sz w:val="19"/>
              </w:rPr>
              <w:t>370,217</w:t>
            </w:r>
          </w:p>
        </w:tc>
      </w:tr>
      <w:tr>
        <w:trPr>
          <w:trHeight w:val="285" w:hRule="atLeast"/>
        </w:trPr>
        <w:tc>
          <w:tcPr>
            <w:tcW w:w="2721" w:type="dxa"/>
            <w:tcBorders>
              <w:top w:val="single" w:sz="8" w:space="0" w:color="FFFFFF"/>
              <w:bottom w:val="single" w:sz="8" w:space="0" w:color="FFFFFF"/>
            </w:tcBorders>
            <w:shd w:val="clear" w:color="auto" w:fill="FAF9F9"/>
          </w:tcPr>
          <w:p>
            <w:pPr>
              <w:pStyle w:val="TableParagraph"/>
              <w:ind w:left="112"/>
              <w:rPr>
                <w:sz w:val="19"/>
              </w:rPr>
            </w:pPr>
            <w:r>
              <w:rPr>
                <w:sz w:val="19"/>
              </w:rPr>
              <w:t>Non-current liabilities</w:t>
            </w:r>
          </w:p>
        </w:tc>
        <w:tc>
          <w:tcPr>
            <w:tcW w:w="1049" w:type="dxa"/>
            <w:tcBorders>
              <w:bottom w:val="single" w:sz="4" w:space="0" w:color="000000"/>
            </w:tcBorders>
            <w:shd w:val="clear" w:color="auto" w:fill="E1E4BB"/>
          </w:tcPr>
          <w:p>
            <w:pPr>
              <w:pStyle w:val="TableParagraph"/>
              <w:ind w:right="116"/>
              <w:jc w:val="right"/>
              <w:rPr>
                <w:sz w:val="19"/>
              </w:rPr>
            </w:pPr>
            <w:r>
              <w:rPr>
                <w:w w:val="95"/>
                <w:sz w:val="19"/>
              </w:rPr>
              <w:t>2,126</w:t>
            </w:r>
          </w:p>
        </w:tc>
        <w:tc>
          <w:tcPr>
            <w:tcW w:w="1049" w:type="dxa"/>
            <w:gridSpan w:val="2"/>
            <w:tcBorders>
              <w:top w:val="single" w:sz="8" w:space="0" w:color="FFFFFF"/>
              <w:bottom w:val="single" w:sz="4" w:space="0" w:color="000000"/>
            </w:tcBorders>
            <w:shd w:val="clear" w:color="auto" w:fill="FAF9F9"/>
          </w:tcPr>
          <w:p>
            <w:pPr>
              <w:pStyle w:val="TableParagraph"/>
              <w:ind w:left="474"/>
              <w:rPr>
                <w:sz w:val="19"/>
              </w:rPr>
            </w:pPr>
            <w:r>
              <w:rPr>
                <w:sz w:val="19"/>
              </w:rPr>
              <w:t>2,167</w:t>
            </w:r>
          </w:p>
        </w:tc>
        <w:tc>
          <w:tcPr>
            <w:tcW w:w="1049" w:type="dxa"/>
            <w:tcBorders>
              <w:bottom w:val="single" w:sz="4" w:space="0" w:color="000000"/>
            </w:tcBorders>
            <w:shd w:val="clear" w:color="auto" w:fill="E1E4BB"/>
          </w:tcPr>
          <w:p>
            <w:pPr>
              <w:pStyle w:val="TableParagraph"/>
              <w:ind w:right="116"/>
              <w:jc w:val="right"/>
              <w:rPr>
                <w:sz w:val="19"/>
              </w:rPr>
            </w:pPr>
            <w:r>
              <w:rPr>
                <w:w w:val="95"/>
                <w:sz w:val="19"/>
              </w:rPr>
              <w:t>30,427</w:t>
            </w:r>
          </w:p>
        </w:tc>
        <w:tc>
          <w:tcPr>
            <w:tcW w:w="1049" w:type="dxa"/>
            <w:gridSpan w:val="2"/>
            <w:tcBorders>
              <w:top w:val="single" w:sz="8" w:space="0" w:color="FFFFFF"/>
              <w:bottom w:val="single" w:sz="4" w:space="0" w:color="000000"/>
            </w:tcBorders>
            <w:shd w:val="clear" w:color="auto" w:fill="FAF9F9"/>
          </w:tcPr>
          <w:p>
            <w:pPr>
              <w:pStyle w:val="TableParagraph"/>
              <w:ind w:left="372"/>
              <w:rPr>
                <w:sz w:val="19"/>
              </w:rPr>
            </w:pPr>
            <w:r>
              <w:rPr>
                <w:sz w:val="19"/>
              </w:rPr>
              <w:t>52,266</w:t>
            </w:r>
          </w:p>
        </w:tc>
        <w:tc>
          <w:tcPr>
            <w:tcW w:w="1049" w:type="dxa"/>
            <w:tcBorders>
              <w:bottom w:val="single" w:sz="4" w:space="0" w:color="000000"/>
            </w:tcBorders>
            <w:shd w:val="clear" w:color="auto" w:fill="E1E4BB"/>
          </w:tcPr>
          <w:p>
            <w:pPr>
              <w:pStyle w:val="TableParagraph"/>
              <w:ind w:right="113"/>
              <w:jc w:val="right"/>
              <w:rPr>
                <w:sz w:val="19"/>
              </w:rPr>
            </w:pPr>
            <w:r>
              <w:rPr>
                <w:w w:val="111"/>
                <w:sz w:val="19"/>
              </w:rPr>
              <w:t>-</w:t>
            </w:r>
          </w:p>
        </w:tc>
        <w:tc>
          <w:tcPr>
            <w:tcW w:w="1049" w:type="dxa"/>
            <w:gridSpan w:val="2"/>
            <w:tcBorders>
              <w:top w:val="single" w:sz="8" w:space="0" w:color="FFFFFF"/>
              <w:bottom w:val="single" w:sz="4" w:space="0" w:color="000000"/>
            </w:tcBorders>
            <w:shd w:val="clear" w:color="auto" w:fill="FAF9F9"/>
          </w:tcPr>
          <w:p>
            <w:pPr>
              <w:pStyle w:val="TableParagraph"/>
              <w:ind w:right="113"/>
              <w:jc w:val="right"/>
              <w:rPr>
                <w:sz w:val="19"/>
              </w:rPr>
            </w:pPr>
            <w:r>
              <w:rPr>
                <w:w w:val="111"/>
                <w:sz w:val="19"/>
              </w:rPr>
              <w:t>-</w:t>
            </w:r>
          </w:p>
        </w:tc>
        <w:tc>
          <w:tcPr>
            <w:tcW w:w="1049" w:type="dxa"/>
            <w:tcBorders>
              <w:bottom w:val="single" w:sz="4" w:space="0" w:color="000000"/>
            </w:tcBorders>
            <w:shd w:val="clear" w:color="auto" w:fill="E1E4BB"/>
          </w:tcPr>
          <w:p>
            <w:pPr>
              <w:pStyle w:val="TableParagraph"/>
              <w:ind w:right="117"/>
              <w:jc w:val="right"/>
              <w:rPr>
                <w:sz w:val="19"/>
              </w:rPr>
            </w:pPr>
            <w:r>
              <w:rPr>
                <w:w w:val="95"/>
                <w:sz w:val="19"/>
              </w:rPr>
              <w:t>152,197</w:t>
            </w:r>
          </w:p>
        </w:tc>
        <w:tc>
          <w:tcPr>
            <w:tcW w:w="1049" w:type="dxa"/>
            <w:gridSpan w:val="2"/>
            <w:tcBorders>
              <w:top w:val="single" w:sz="8" w:space="0" w:color="FFFFFF"/>
              <w:bottom w:val="single" w:sz="4" w:space="0" w:color="000000"/>
            </w:tcBorders>
            <w:shd w:val="clear" w:color="auto" w:fill="FAF9F9"/>
          </w:tcPr>
          <w:p>
            <w:pPr>
              <w:pStyle w:val="TableParagraph"/>
              <w:ind w:left="269"/>
              <w:rPr>
                <w:sz w:val="19"/>
              </w:rPr>
            </w:pPr>
            <w:r>
              <w:rPr>
                <w:sz w:val="19"/>
              </w:rPr>
              <w:t>135,221</w:t>
            </w:r>
          </w:p>
        </w:tc>
        <w:tc>
          <w:tcPr>
            <w:tcW w:w="1049" w:type="dxa"/>
            <w:tcBorders>
              <w:bottom w:val="single" w:sz="4" w:space="0" w:color="000000"/>
            </w:tcBorders>
            <w:shd w:val="clear" w:color="auto" w:fill="E1E4BB"/>
          </w:tcPr>
          <w:p>
            <w:pPr>
              <w:pStyle w:val="TableParagraph"/>
              <w:ind w:right="117"/>
              <w:jc w:val="right"/>
              <w:rPr>
                <w:sz w:val="19"/>
              </w:rPr>
            </w:pPr>
            <w:r>
              <w:rPr>
                <w:w w:val="95"/>
                <w:sz w:val="19"/>
              </w:rPr>
              <w:t>637</w:t>
            </w:r>
          </w:p>
        </w:tc>
        <w:tc>
          <w:tcPr>
            <w:tcW w:w="1049" w:type="dxa"/>
            <w:gridSpan w:val="2"/>
            <w:tcBorders>
              <w:top w:val="single" w:sz="8" w:space="0" w:color="FFFFFF"/>
              <w:bottom w:val="single" w:sz="4" w:space="0" w:color="000000"/>
            </w:tcBorders>
            <w:shd w:val="clear" w:color="auto" w:fill="FAF9F9"/>
          </w:tcPr>
          <w:p>
            <w:pPr>
              <w:pStyle w:val="TableParagraph"/>
              <w:ind w:left="623"/>
              <w:rPr>
                <w:sz w:val="19"/>
              </w:rPr>
            </w:pPr>
            <w:r>
              <w:rPr>
                <w:sz w:val="19"/>
              </w:rPr>
              <w:t>578</w:t>
            </w:r>
          </w:p>
        </w:tc>
        <w:tc>
          <w:tcPr>
            <w:tcW w:w="1049" w:type="dxa"/>
            <w:tcBorders>
              <w:bottom w:val="single" w:sz="4" w:space="0" w:color="000000"/>
            </w:tcBorders>
            <w:shd w:val="clear" w:color="auto" w:fill="E1E4BB"/>
          </w:tcPr>
          <w:p>
            <w:pPr>
              <w:pStyle w:val="TableParagraph"/>
              <w:ind w:right="118"/>
              <w:jc w:val="right"/>
              <w:rPr>
                <w:sz w:val="19"/>
              </w:rPr>
            </w:pPr>
            <w:r>
              <w:rPr>
                <w:w w:val="95"/>
                <w:sz w:val="19"/>
              </w:rPr>
              <w:t>185,387</w:t>
            </w:r>
          </w:p>
        </w:tc>
        <w:tc>
          <w:tcPr>
            <w:tcW w:w="1048" w:type="dxa"/>
            <w:gridSpan w:val="2"/>
            <w:tcBorders>
              <w:top w:val="single" w:sz="8" w:space="0" w:color="FFFFFF"/>
              <w:bottom w:val="single" w:sz="4" w:space="0" w:color="000000"/>
            </w:tcBorders>
            <w:shd w:val="clear" w:color="auto" w:fill="FAF9F9"/>
          </w:tcPr>
          <w:p>
            <w:pPr>
              <w:pStyle w:val="TableParagraph"/>
              <w:ind w:left="268"/>
              <w:rPr>
                <w:sz w:val="19"/>
              </w:rPr>
            </w:pPr>
            <w:r>
              <w:rPr>
                <w:sz w:val="19"/>
              </w:rPr>
              <w:t>190,232</w:t>
            </w:r>
          </w:p>
        </w:tc>
      </w:tr>
      <w:tr>
        <w:trPr>
          <w:trHeight w:val="285" w:hRule="atLeast"/>
        </w:trPr>
        <w:tc>
          <w:tcPr>
            <w:tcW w:w="2721" w:type="dxa"/>
            <w:tcBorders>
              <w:top w:val="single" w:sz="8" w:space="0" w:color="FFFFFF"/>
              <w:bottom w:val="single" w:sz="8" w:space="0" w:color="FFFFFF"/>
            </w:tcBorders>
            <w:shd w:val="clear" w:color="auto" w:fill="F4F4F4"/>
          </w:tcPr>
          <w:p>
            <w:pPr>
              <w:pStyle w:val="TableParagraph"/>
              <w:ind w:left="112"/>
              <w:rPr>
                <w:b/>
                <w:sz w:val="19"/>
              </w:rPr>
            </w:pPr>
            <w:r>
              <w:rPr>
                <w:b/>
                <w:sz w:val="19"/>
              </w:rPr>
              <w:t>Total liabilities</w:t>
            </w:r>
          </w:p>
        </w:tc>
        <w:tc>
          <w:tcPr>
            <w:tcW w:w="1049" w:type="dxa"/>
            <w:tcBorders>
              <w:top w:val="single" w:sz="4" w:space="0" w:color="000000"/>
              <w:bottom w:val="single" w:sz="4" w:space="0" w:color="000000"/>
            </w:tcBorders>
            <w:shd w:val="clear" w:color="auto" w:fill="DFE1B8"/>
          </w:tcPr>
          <w:p>
            <w:pPr>
              <w:pStyle w:val="TableParagraph"/>
              <w:ind w:right="116"/>
              <w:jc w:val="right"/>
              <w:rPr>
                <w:b/>
                <w:sz w:val="19"/>
              </w:rPr>
            </w:pPr>
            <w:r>
              <w:rPr>
                <w:b/>
                <w:w w:val="95"/>
                <w:sz w:val="19"/>
              </w:rPr>
              <w:t>5,098</w:t>
            </w:r>
          </w:p>
        </w:tc>
        <w:tc>
          <w:tcPr>
            <w:tcW w:w="1049" w:type="dxa"/>
            <w:gridSpan w:val="2"/>
            <w:tcBorders>
              <w:top w:val="single" w:sz="4" w:space="0" w:color="000000"/>
              <w:bottom w:val="single" w:sz="4" w:space="0" w:color="000000"/>
            </w:tcBorders>
            <w:shd w:val="clear" w:color="auto" w:fill="F4F4F4"/>
          </w:tcPr>
          <w:p>
            <w:pPr>
              <w:pStyle w:val="TableParagraph"/>
              <w:ind w:left="372"/>
              <w:rPr>
                <w:b/>
                <w:sz w:val="19"/>
              </w:rPr>
            </w:pPr>
            <w:r>
              <w:rPr>
                <w:b/>
                <w:sz w:val="19"/>
              </w:rPr>
              <w:t>12,854</w:t>
            </w:r>
          </w:p>
        </w:tc>
        <w:tc>
          <w:tcPr>
            <w:tcW w:w="1049" w:type="dxa"/>
            <w:tcBorders>
              <w:top w:val="single" w:sz="4" w:space="0" w:color="000000"/>
              <w:bottom w:val="single" w:sz="4" w:space="0" w:color="000000"/>
            </w:tcBorders>
            <w:shd w:val="clear" w:color="auto" w:fill="DFE1B8"/>
          </w:tcPr>
          <w:p>
            <w:pPr>
              <w:pStyle w:val="TableParagraph"/>
              <w:ind w:right="116"/>
              <w:jc w:val="right"/>
              <w:rPr>
                <w:b/>
                <w:sz w:val="19"/>
              </w:rPr>
            </w:pPr>
            <w:r>
              <w:rPr>
                <w:b/>
                <w:w w:val="95"/>
                <w:sz w:val="19"/>
              </w:rPr>
              <w:t>73,855</w:t>
            </w:r>
          </w:p>
        </w:tc>
        <w:tc>
          <w:tcPr>
            <w:tcW w:w="1049" w:type="dxa"/>
            <w:gridSpan w:val="2"/>
            <w:tcBorders>
              <w:top w:val="single" w:sz="4" w:space="0" w:color="000000"/>
              <w:bottom w:val="single" w:sz="4" w:space="0" w:color="000000"/>
            </w:tcBorders>
            <w:shd w:val="clear" w:color="auto" w:fill="F4F4F4"/>
          </w:tcPr>
          <w:p>
            <w:pPr>
              <w:pStyle w:val="TableParagraph"/>
              <w:ind w:left="270"/>
              <w:rPr>
                <w:b/>
                <w:sz w:val="19"/>
              </w:rPr>
            </w:pPr>
            <w:r>
              <w:rPr>
                <w:b/>
                <w:sz w:val="19"/>
              </w:rPr>
              <w:t>107,343</w:t>
            </w:r>
          </w:p>
        </w:tc>
        <w:tc>
          <w:tcPr>
            <w:tcW w:w="1049" w:type="dxa"/>
            <w:tcBorders>
              <w:top w:val="single" w:sz="4" w:space="0" w:color="000000"/>
              <w:bottom w:val="single" w:sz="4" w:space="0" w:color="000000"/>
            </w:tcBorders>
            <w:shd w:val="clear" w:color="auto" w:fill="DFE1B8"/>
          </w:tcPr>
          <w:p>
            <w:pPr>
              <w:pStyle w:val="TableParagraph"/>
              <w:ind w:right="113"/>
              <w:jc w:val="right"/>
              <w:rPr>
                <w:b/>
                <w:sz w:val="19"/>
              </w:rPr>
            </w:pPr>
            <w:r>
              <w:rPr>
                <w:b/>
                <w:w w:val="122"/>
                <w:sz w:val="19"/>
              </w:rPr>
              <w:t>-</w:t>
            </w:r>
          </w:p>
        </w:tc>
        <w:tc>
          <w:tcPr>
            <w:tcW w:w="1049" w:type="dxa"/>
            <w:gridSpan w:val="2"/>
            <w:tcBorders>
              <w:top w:val="single" w:sz="4" w:space="0" w:color="000000"/>
              <w:bottom w:val="single" w:sz="4" w:space="0" w:color="000000"/>
            </w:tcBorders>
            <w:shd w:val="clear" w:color="auto" w:fill="F4F4F4"/>
          </w:tcPr>
          <w:p>
            <w:pPr>
              <w:pStyle w:val="TableParagraph"/>
              <w:ind w:right="113"/>
              <w:jc w:val="right"/>
              <w:rPr>
                <w:b/>
                <w:sz w:val="19"/>
              </w:rPr>
            </w:pPr>
            <w:r>
              <w:rPr>
                <w:b/>
                <w:w w:val="122"/>
                <w:sz w:val="19"/>
              </w:rPr>
              <w:t>-</w:t>
            </w:r>
          </w:p>
        </w:tc>
        <w:tc>
          <w:tcPr>
            <w:tcW w:w="1049" w:type="dxa"/>
            <w:tcBorders>
              <w:top w:val="single" w:sz="4" w:space="0" w:color="000000"/>
              <w:bottom w:val="single" w:sz="4" w:space="0" w:color="000000"/>
            </w:tcBorders>
            <w:shd w:val="clear" w:color="auto" w:fill="DFE1B8"/>
          </w:tcPr>
          <w:p>
            <w:pPr>
              <w:pStyle w:val="TableParagraph"/>
              <w:ind w:right="117"/>
              <w:jc w:val="right"/>
              <w:rPr>
                <w:b/>
                <w:sz w:val="19"/>
              </w:rPr>
            </w:pPr>
            <w:r>
              <w:rPr>
                <w:b/>
                <w:w w:val="95"/>
                <w:sz w:val="19"/>
              </w:rPr>
              <w:t>306,444</w:t>
            </w:r>
          </w:p>
        </w:tc>
        <w:tc>
          <w:tcPr>
            <w:tcW w:w="1049" w:type="dxa"/>
            <w:gridSpan w:val="2"/>
            <w:tcBorders>
              <w:top w:val="single" w:sz="4" w:space="0" w:color="000000"/>
              <w:bottom w:val="single" w:sz="4" w:space="0" w:color="000000"/>
            </w:tcBorders>
            <w:shd w:val="clear" w:color="auto" w:fill="F4F4F4"/>
          </w:tcPr>
          <w:p>
            <w:pPr>
              <w:pStyle w:val="TableParagraph"/>
              <w:ind w:left="269"/>
              <w:rPr>
                <w:b/>
                <w:sz w:val="19"/>
              </w:rPr>
            </w:pPr>
            <w:r>
              <w:rPr>
                <w:b/>
                <w:sz w:val="19"/>
              </w:rPr>
              <w:t>434,287</w:t>
            </w:r>
          </w:p>
        </w:tc>
        <w:tc>
          <w:tcPr>
            <w:tcW w:w="1049" w:type="dxa"/>
            <w:tcBorders>
              <w:top w:val="single" w:sz="4" w:space="0" w:color="000000"/>
              <w:bottom w:val="single" w:sz="4" w:space="0" w:color="000000"/>
            </w:tcBorders>
            <w:shd w:val="clear" w:color="auto" w:fill="DFE1B8"/>
          </w:tcPr>
          <w:p>
            <w:pPr>
              <w:pStyle w:val="TableParagraph"/>
              <w:ind w:right="117"/>
              <w:jc w:val="right"/>
              <w:rPr>
                <w:b/>
                <w:sz w:val="19"/>
              </w:rPr>
            </w:pPr>
            <w:r>
              <w:rPr>
                <w:b/>
                <w:w w:val="95"/>
                <w:sz w:val="19"/>
              </w:rPr>
              <w:t>5,218</w:t>
            </w:r>
          </w:p>
        </w:tc>
        <w:tc>
          <w:tcPr>
            <w:tcW w:w="1049" w:type="dxa"/>
            <w:gridSpan w:val="2"/>
            <w:tcBorders>
              <w:top w:val="single" w:sz="4" w:space="0" w:color="000000"/>
              <w:bottom w:val="single" w:sz="4" w:space="0" w:color="000000"/>
            </w:tcBorders>
            <w:shd w:val="clear" w:color="auto" w:fill="F4F4F4"/>
          </w:tcPr>
          <w:p>
            <w:pPr>
              <w:pStyle w:val="TableParagraph"/>
              <w:ind w:left="472"/>
              <w:rPr>
                <w:b/>
                <w:sz w:val="19"/>
              </w:rPr>
            </w:pPr>
            <w:r>
              <w:rPr>
                <w:b/>
                <w:sz w:val="19"/>
              </w:rPr>
              <w:t>5,965</w:t>
            </w:r>
          </w:p>
        </w:tc>
        <w:tc>
          <w:tcPr>
            <w:tcW w:w="1049" w:type="dxa"/>
            <w:tcBorders>
              <w:top w:val="single" w:sz="4" w:space="0" w:color="000000"/>
              <w:bottom w:val="single" w:sz="4" w:space="0" w:color="000000"/>
            </w:tcBorders>
            <w:shd w:val="clear" w:color="auto" w:fill="DFE1B8"/>
          </w:tcPr>
          <w:p>
            <w:pPr>
              <w:pStyle w:val="TableParagraph"/>
              <w:ind w:right="118"/>
              <w:jc w:val="right"/>
              <w:rPr>
                <w:b/>
                <w:sz w:val="19"/>
              </w:rPr>
            </w:pPr>
            <w:r>
              <w:rPr>
                <w:b/>
                <w:w w:val="95"/>
                <w:sz w:val="19"/>
              </w:rPr>
              <w:t>390,615</w:t>
            </w:r>
          </w:p>
        </w:tc>
        <w:tc>
          <w:tcPr>
            <w:tcW w:w="1048" w:type="dxa"/>
            <w:gridSpan w:val="2"/>
            <w:tcBorders>
              <w:top w:val="single" w:sz="4" w:space="0" w:color="000000"/>
              <w:bottom w:val="single" w:sz="4" w:space="0" w:color="000000"/>
            </w:tcBorders>
            <w:shd w:val="clear" w:color="auto" w:fill="F4F4F4"/>
          </w:tcPr>
          <w:p>
            <w:pPr>
              <w:pStyle w:val="TableParagraph"/>
              <w:ind w:left="268"/>
              <w:rPr>
                <w:b/>
                <w:sz w:val="19"/>
              </w:rPr>
            </w:pPr>
            <w:r>
              <w:rPr>
                <w:b/>
                <w:sz w:val="19"/>
              </w:rPr>
              <w:t>560,449</w:t>
            </w:r>
          </w:p>
        </w:tc>
      </w:tr>
      <w:tr>
        <w:trPr>
          <w:trHeight w:val="265" w:hRule="atLeast"/>
        </w:trPr>
        <w:tc>
          <w:tcPr>
            <w:tcW w:w="2721" w:type="dxa"/>
            <w:tcBorders>
              <w:top w:val="single" w:sz="8" w:space="0" w:color="FFFFFF"/>
              <w:bottom w:val="single" w:sz="8" w:space="0" w:color="FFFFFF"/>
            </w:tcBorders>
            <w:shd w:val="clear" w:color="auto" w:fill="FAF9F9"/>
          </w:tcPr>
          <w:p>
            <w:pPr>
              <w:pStyle w:val="TableParagraph"/>
              <w:spacing w:line="214" w:lineRule="exact"/>
              <w:ind w:left="112"/>
              <w:rPr>
                <w:b/>
                <w:sz w:val="19"/>
              </w:rPr>
            </w:pPr>
            <w:r>
              <w:rPr>
                <w:b/>
                <w:sz w:val="19"/>
              </w:rPr>
              <w:t>NET ASSETS</w:t>
            </w:r>
          </w:p>
        </w:tc>
        <w:tc>
          <w:tcPr>
            <w:tcW w:w="1049" w:type="dxa"/>
            <w:tcBorders>
              <w:top w:val="single" w:sz="4" w:space="0" w:color="000000"/>
              <w:bottom w:val="single" w:sz="24" w:space="0" w:color="FFFFFF"/>
            </w:tcBorders>
            <w:shd w:val="clear" w:color="auto" w:fill="E1E4BB"/>
          </w:tcPr>
          <w:p>
            <w:pPr>
              <w:pStyle w:val="TableParagraph"/>
              <w:spacing w:line="214" w:lineRule="exact"/>
              <w:ind w:right="116"/>
              <w:jc w:val="right"/>
              <w:rPr>
                <w:b/>
                <w:sz w:val="19"/>
              </w:rPr>
            </w:pPr>
            <w:r>
              <w:rPr>
                <w:b/>
                <w:w w:val="95"/>
                <w:sz w:val="19"/>
              </w:rPr>
              <w:t>159,813</w:t>
            </w:r>
          </w:p>
        </w:tc>
        <w:tc>
          <w:tcPr>
            <w:tcW w:w="1049" w:type="dxa"/>
            <w:gridSpan w:val="2"/>
            <w:tcBorders>
              <w:top w:val="single" w:sz="4" w:space="0" w:color="000000"/>
              <w:bottom w:val="single" w:sz="24" w:space="0" w:color="FFFFFF"/>
            </w:tcBorders>
            <w:shd w:val="clear" w:color="auto" w:fill="FAF9F9"/>
          </w:tcPr>
          <w:p>
            <w:pPr>
              <w:pStyle w:val="TableParagraph"/>
              <w:spacing w:line="214" w:lineRule="exact"/>
              <w:ind w:left="270"/>
              <w:rPr>
                <w:b/>
                <w:sz w:val="19"/>
              </w:rPr>
            </w:pPr>
            <w:r>
              <w:rPr>
                <w:b/>
                <w:sz w:val="19"/>
              </w:rPr>
              <w:t>139,301</w:t>
            </w:r>
          </w:p>
        </w:tc>
        <w:tc>
          <w:tcPr>
            <w:tcW w:w="1049" w:type="dxa"/>
            <w:tcBorders>
              <w:top w:val="single" w:sz="4" w:space="0" w:color="000000"/>
              <w:bottom w:val="single" w:sz="24" w:space="0" w:color="FFFFFF"/>
            </w:tcBorders>
            <w:shd w:val="clear" w:color="auto" w:fill="E1E4BB"/>
          </w:tcPr>
          <w:p>
            <w:pPr>
              <w:pStyle w:val="TableParagraph"/>
              <w:spacing w:line="214" w:lineRule="exact"/>
              <w:ind w:right="116"/>
              <w:jc w:val="right"/>
              <w:rPr>
                <w:b/>
                <w:sz w:val="19"/>
              </w:rPr>
            </w:pPr>
            <w:r>
              <w:rPr>
                <w:b/>
                <w:w w:val="95"/>
                <w:sz w:val="19"/>
              </w:rPr>
              <w:t>286,059</w:t>
            </w:r>
          </w:p>
        </w:tc>
        <w:tc>
          <w:tcPr>
            <w:tcW w:w="1049" w:type="dxa"/>
            <w:gridSpan w:val="2"/>
            <w:tcBorders>
              <w:top w:val="single" w:sz="4" w:space="0" w:color="000000"/>
              <w:bottom w:val="single" w:sz="24" w:space="0" w:color="FFFFFF"/>
            </w:tcBorders>
            <w:shd w:val="clear" w:color="auto" w:fill="FAF9F9"/>
          </w:tcPr>
          <w:p>
            <w:pPr>
              <w:pStyle w:val="TableParagraph"/>
              <w:spacing w:line="214" w:lineRule="exact"/>
              <w:ind w:left="269"/>
              <w:rPr>
                <w:b/>
                <w:sz w:val="19"/>
              </w:rPr>
            </w:pPr>
            <w:r>
              <w:rPr>
                <w:b/>
                <w:sz w:val="19"/>
              </w:rPr>
              <w:t>288,963</w:t>
            </w:r>
          </w:p>
        </w:tc>
        <w:tc>
          <w:tcPr>
            <w:tcW w:w="1049" w:type="dxa"/>
            <w:tcBorders>
              <w:top w:val="single" w:sz="4" w:space="0" w:color="000000"/>
              <w:bottom w:val="single" w:sz="24" w:space="0" w:color="FFFFFF"/>
            </w:tcBorders>
            <w:shd w:val="clear" w:color="auto" w:fill="E1E4BB"/>
          </w:tcPr>
          <w:p>
            <w:pPr>
              <w:pStyle w:val="TableParagraph"/>
              <w:spacing w:line="214" w:lineRule="exact"/>
              <w:ind w:right="113"/>
              <w:jc w:val="right"/>
              <w:rPr>
                <w:b/>
                <w:sz w:val="19"/>
              </w:rPr>
            </w:pPr>
            <w:r>
              <w:rPr>
                <w:b/>
                <w:w w:val="122"/>
                <w:sz w:val="19"/>
              </w:rPr>
              <w:t>-</w:t>
            </w:r>
          </w:p>
        </w:tc>
        <w:tc>
          <w:tcPr>
            <w:tcW w:w="1049" w:type="dxa"/>
            <w:gridSpan w:val="2"/>
            <w:tcBorders>
              <w:top w:val="single" w:sz="4" w:space="0" w:color="000000"/>
              <w:bottom w:val="single" w:sz="24" w:space="0" w:color="FFFFFF"/>
            </w:tcBorders>
            <w:shd w:val="clear" w:color="auto" w:fill="FAF9F9"/>
          </w:tcPr>
          <w:p>
            <w:pPr>
              <w:pStyle w:val="TableParagraph"/>
              <w:spacing w:line="214" w:lineRule="exact"/>
              <w:ind w:right="113"/>
              <w:jc w:val="right"/>
              <w:rPr>
                <w:b/>
                <w:sz w:val="19"/>
              </w:rPr>
            </w:pPr>
            <w:r>
              <w:rPr>
                <w:b/>
                <w:w w:val="122"/>
                <w:sz w:val="19"/>
              </w:rPr>
              <w:t>-</w:t>
            </w:r>
          </w:p>
        </w:tc>
        <w:tc>
          <w:tcPr>
            <w:tcW w:w="1049" w:type="dxa"/>
            <w:tcBorders>
              <w:top w:val="single" w:sz="4" w:space="0" w:color="000000"/>
              <w:bottom w:val="single" w:sz="24" w:space="0" w:color="FFFFFF"/>
            </w:tcBorders>
            <w:shd w:val="clear" w:color="auto" w:fill="E1E4BB"/>
          </w:tcPr>
          <w:p>
            <w:pPr>
              <w:pStyle w:val="TableParagraph"/>
              <w:spacing w:line="214" w:lineRule="exact"/>
              <w:ind w:right="117"/>
              <w:jc w:val="right"/>
              <w:rPr>
                <w:b/>
                <w:sz w:val="19"/>
              </w:rPr>
            </w:pPr>
            <w:r>
              <w:rPr>
                <w:b/>
                <w:w w:val="95"/>
                <w:sz w:val="19"/>
              </w:rPr>
              <w:t>645,680</w:t>
            </w:r>
          </w:p>
        </w:tc>
        <w:tc>
          <w:tcPr>
            <w:tcW w:w="1049" w:type="dxa"/>
            <w:gridSpan w:val="2"/>
            <w:tcBorders>
              <w:top w:val="single" w:sz="4" w:space="0" w:color="000000"/>
              <w:bottom w:val="single" w:sz="24" w:space="0" w:color="FFFFFF"/>
            </w:tcBorders>
            <w:shd w:val="clear" w:color="auto" w:fill="FAF9F9"/>
          </w:tcPr>
          <w:p>
            <w:pPr>
              <w:pStyle w:val="TableParagraph"/>
              <w:spacing w:line="214" w:lineRule="exact"/>
              <w:ind w:left="269"/>
              <w:rPr>
                <w:b/>
                <w:sz w:val="19"/>
              </w:rPr>
            </w:pPr>
            <w:r>
              <w:rPr>
                <w:b/>
                <w:sz w:val="19"/>
              </w:rPr>
              <w:t>623,401</w:t>
            </w:r>
          </w:p>
        </w:tc>
        <w:tc>
          <w:tcPr>
            <w:tcW w:w="1049" w:type="dxa"/>
            <w:tcBorders>
              <w:top w:val="single" w:sz="4" w:space="0" w:color="000000"/>
              <w:bottom w:val="single" w:sz="24" w:space="0" w:color="FFFFFF"/>
            </w:tcBorders>
            <w:shd w:val="clear" w:color="auto" w:fill="E1E4BB"/>
          </w:tcPr>
          <w:p>
            <w:pPr>
              <w:pStyle w:val="TableParagraph"/>
              <w:spacing w:line="214" w:lineRule="exact"/>
              <w:ind w:right="118"/>
              <w:jc w:val="right"/>
              <w:rPr>
                <w:b/>
                <w:sz w:val="19"/>
              </w:rPr>
            </w:pPr>
            <w:r>
              <w:rPr>
                <w:b/>
                <w:w w:val="95"/>
                <w:sz w:val="19"/>
              </w:rPr>
              <w:t>23,509</w:t>
            </w:r>
          </w:p>
        </w:tc>
        <w:tc>
          <w:tcPr>
            <w:tcW w:w="1049" w:type="dxa"/>
            <w:gridSpan w:val="2"/>
            <w:tcBorders>
              <w:top w:val="single" w:sz="4" w:space="0" w:color="000000"/>
              <w:bottom w:val="single" w:sz="24" w:space="0" w:color="FFFFFF"/>
            </w:tcBorders>
            <w:shd w:val="clear" w:color="auto" w:fill="FAF9F9"/>
          </w:tcPr>
          <w:p>
            <w:pPr>
              <w:pStyle w:val="TableParagraph"/>
              <w:spacing w:line="214" w:lineRule="exact"/>
              <w:ind w:left="370"/>
              <w:rPr>
                <w:b/>
                <w:sz w:val="19"/>
              </w:rPr>
            </w:pPr>
            <w:r>
              <w:rPr>
                <w:b/>
                <w:sz w:val="19"/>
              </w:rPr>
              <w:t>23,571</w:t>
            </w:r>
          </w:p>
        </w:tc>
        <w:tc>
          <w:tcPr>
            <w:tcW w:w="1049" w:type="dxa"/>
            <w:tcBorders>
              <w:top w:val="single" w:sz="4" w:space="0" w:color="000000"/>
              <w:bottom w:val="single" w:sz="24" w:space="0" w:color="FFFFFF"/>
            </w:tcBorders>
            <w:shd w:val="clear" w:color="auto" w:fill="E1E4BB"/>
          </w:tcPr>
          <w:p>
            <w:pPr>
              <w:pStyle w:val="TableParagraph"/>
              <w:spacing w:line="214" w:lineRule="exact"/>
              <w:ind w:right="118"/>
              <w:jc w:val="right"/>
              <w:rPr>
                <w:b/>
                <w:sz w:val="19"/>
              </w:rPr>
            </w:pPr>
            <w:r>
              <w:rPr>
                <w:b/>
                <w:w w:val="95"/>
                <w:sz w:val="19"/>
              </w:rPr>
              <w:t>1,115,061</w:t>
            </w:r>
          </w:p>
        </w:tc>
        <w:tc>
          <w:tcPr>
            <w:tcW w:w="1048" w:type="dxa"/>
            <w:gridSpan w:val="2"/>
            <w:tcBorders>
              <w:top w:val="single" w:sz="4" w:space="0" w:color="000000"/>
              <w:bottom w:val="single" w:sz="24" w:space="0" w:color="FFFFFF"/>
            </w:tcBorders>
            <w:shd w:val="clear" w:color="auto" w:fill="FAF9F9"/>
          </w:tcPr>
          <w:p>
            <w:pPr>
              <w:pStyle w:val="TableParagraph"/>
              <w:spacing w:line="214" w:lineRule="exact"/>
              <w:ind w:left="117"/>
              <w:rPr>
                <w:b/>
                <w:sz w:val="19"/>
              </w:rPr>
            </w:pPr>
            <w:r>
              <w:rPr>
                <w:b/>
                <w:sz w:val="19"/>
              </w:rPr>
              <w:t>1,075,236</w:t>
            </w:r>
          </w:p>
        </w:tc>
      </w:tr>
    </w:tbl>
    <w:p>
      <w:pPr>
        <w:pStyle w:val="BodyText"/>
        <w:spacing w:line="20" w:lineRule="exact"/>
        <w:ind w:left="13969"/>
        <w:rPr>
          <w:sz w:val="2"/>
        </w:rPr>
      </w:pPr>
      <w:r>
        <w:rPr>
          <w:sz w:val="2"/>
        </w:rPr>
        <w:pict>
          <v:group style="width:104.9pt;height:.550pt;mso-position-horizontal-relative:char;mso-position-vertical-relative:line" coordorigin="0,0" coordsize="2098,11">
            <v:line style="position:absolute" from="0,5" to="1049,5" stroked="true" strokeweight=".501pt" strokecolor="#000000">
              <v:stroke dashstyle="solid"/>
            </v:line>
            <v:line style="position:absolute" from="1049,5" to="2098,5" stroked="true" strokeweight=".501pt" strokecolor="#000000">
              <v:stroke dashstyle="solid"/>
            </v:line>
          </v:group>
        </w:pict>
      </w:r>
      <w:r>
        <w:rPr>
          <w:sz w:val="2"/>
        </w:rPr>
      </w:r>
    </w:p>
    <w:p>
      <w:pPr>
        <w:spacing w:line="450" w:lineRule="atLeast" w:before="71"/>
        <w:ind w:left="765" w:right="7115" w:firstLine="0"/>
        <w:jc w:val="left"/>
        <w:rPr>
          <w:sz w:val="19"/>
        </w:rPr>
      </w:pPr>
      <w:r>
        <w:rPr>
          <w:sz w:val="19"/>
        </w:rPr>
        <w:t>The</w:t>
      </w:r>
      <w:r>
        <w:rPr>
          <w:spacing w:val="-18"/>
          <w:sz w:val="19"/>
        </w:rPr>
        <w:t> </w:t>
      </w:r>
      <w:r>
        <w:rPr>
          <w:sz w:val="19"/>
        </w:rPr>
        <w:t>Schedule</w:t>
      </w:r>
      <w:r>
        <w:rPr>
          <w:spacing w:val="-17"/>
          <w:sz w:val="19"/>
        </w:rPr>
        <w:t> </w:t>
      </w:r>
      <w:r>
        <w:rPr>
          <w:sz w:val="19"/>
        </w:rPr>
        <w:t>of</w:t>
      </w:r>
      <w:r>
        <w:rPr>
          <w:spacing w:val="-17"/>
          <w:sz w:val="19"/>
        </w:rPr>
        <w:t> </w:t>
      </w:r>
      <w:r>
        <w:rPr>
          <w:sz w:val="19"/>
        </w:rPr>
        <w:t>Assets</w:t>
      </w:r>
      <w:r>
        <w:rPr>
          <w:spacing w:val="-17"/>
          <w:sz w:val="19"/>
        </w:rPr>
        <w:t> </w:t>
      </w:r>
      <w:r>
        <w:rPr>
          <w:sz w:val="19"/>
        </w:rPr>
        <w:t>and</w:t>
      </w:r>
      <w:r>
        <w:rPr>
          <w:spacing w:val="-17"/>
          <w:sz w:val="19"/>
        </w:rPr>
        <w:t> </w:t>
      </w:r>
      <w:r>
        <w:rPr>
          <w:sz w:val="19"/>
        </w:rPr>
        <w:t>Liabilities</w:t>
      </w:r>
      <w:r>
        <w:rPr>
          <w:spacing w:val="-17"/>
          <w:sz w:val="19"/>
        </w:rPr>
        <w:t> </w:t>
      </w:r>
      <w:r>
        <w:rPr>
          <w:sz w:val="19"/>
        </w:rPr>
        <w:t>by</w:t>
      </w:r>
      <w:r>
        <w:rPr>
          <w:spacing w:val="-17"/>
          <w:sz w:val="19"/>
        </w:rPr>
        <w:t> </w:t>
      </w:r>
      <w:r>
        <w:rPr>
          <w:sz w:val="19"/>
        </w:rPr>
        <w:t>Service</w:t>
      </w:r>
      <w:r>
        <w:rPr>
          <w:spacing w:val="-17"/>
          <w:sz w:val="19"/>
        </w:rPr>
        <w:t> </w:t>
      </w:r>
      <w:r>
        <w:rPr>
          <w:sz w:val="19"/>
        </w:rPr>
        <w:t>should</w:t>
      </w:r>
      <w:r>
        <w:rPr>
          <w:spacing w:val="-17"/>
          <w:sz w:val="19"/>
        </w:rPr>
        <w:t> </w:t>
      </w:r>
      <w:r>
        <w:rPr>
          <w:sz w:val="19"/>
        </w:rPr>
        <w:t>be</w:t>
      </w:r>
      <w:r>
        <w:rPr>
          <w:spacing w:val="-17"/>
          <w:sz w:val="19"/>
        </w:rPr>
        <w:t> </w:t>
      </w:r>
      <w:r>
        <w:rPr>
          <w:sz w:val="19"/>
        </w:rPr>
        <w:t>read</w:t>
      </w:r>
      <w:r>
        <w:rPr>
          <w:spacing w:val="-17"/>
          <w:sz w:val="19"/>
        </w:rPr>
        <w:t> </w:t>
      </w:r>
      <w:r>
        <w:rPr>
          <w:sz w:val="19"/>
        </w:rPr>
        <w:t>in</w:t>
      </w:r>
      <w:r>
        <w:rPr>
          <w:spacing w:val="-17"/>
          <w:sz w:val="19"/>
        </w:rPr>
        <w:t> </w:t>
      </w:r>
      <w:r>
        <w:rPr>
          <w:sz w:val="19"/>
        </w:rPr>
        <w:t>conjunction</w:t>
      </w:r>
      <w:r>
        <w:rPr>
          <w:spacing w:val="-17"/>
          <w:sz w:val="19"/>
        </w:rPr>
        <w:t> </w:t>
      </w:r>
      <w:r>
        <w:rPr>
          <w:sz w:val="19"/>
        </w:rPr>
        <w:t>with</w:t>
      </w:r>
      <w:r>
        <w:rPr>
          <w:spacing w:val="-17"/>
          <w:sz w:val="19"/>
        </w:rPr>
        <w:t> </w:t>
      </w:r>
      <w:r>
        <w:rPr>
          <w:sz w:val="19"/>
        </w:rPr>
        <w:t>the</w:t>
      </w:r>
      <w:r>
        <w:rPr>
          <w:spacing w:val="-17"/>
          <w:sz w:val="19"/>
        </w:rPr>
        <w:t> </w:t>
      </w:r>
      <w:r>
        <w:rPr>
          <w:sz w:val="19"/>
        </w:rPr>
        <w:t>accompanying</w:t>
      </w:r>
      <w:r>
        <w:rPr>
          <w:spacing w:val="-18"/>
          <w:sz w:val="19"/>
        </w:rPr>
        <w:t> </w:t>
      </w:r>
      <w:r>
        <w:rPr>
          <w:spacing w:val="-3"/>
          <w:sz w:val="19"/>
        </w:rPr>
        <w:t>notes. </w:t>
      </w:r>
      <w:r>
        <w:rPr>
          <w:sz w:val="19"/>
        </w:rPr>
        <w:t>Service</w:t>
      </w:r>
      <w:r>
        <w:rPr>
          <w:spacing w:val="-6"/>
          <w:sz w:val="19"/>
        </w:rPr>
        <w:t> </w:t>
      </w:r>
      <w:r>
        <w:rPr>
          <w:sz w:val="19"/>
        </w:rPr>
        <w:t>1:</w:t>
      </w:r>
      <w:r>
        <w:rPr>
          <w:spacing w:val="-5"/>
          <w:sz w:val="19"/>
        </w:rPr>
        <w:t> </w:t>
      </w:r>
      <w:r>
        <w:rPr>
          <w:sz w:val="19"/>
        </w:rPr>
        <w:t>Revenue</w:t>
      </w:r>
      <w:r>
        <w:rPr>
          <w:spacing w:val="-6"/>
          <w:sz w:val="19"/>
        </w:rPr>
        <w:t> </w:t>
      </w:r>
      <w:r>
        <w:rPr>
          <w:sz w:val="19"/>
        </w:rPr>
        <w:t>assessment</w:t>
      </w:r>
      <w:r>
        <w:rPr>
          <w:spacing w:val="-5"/>
          <w:sz w:val="19"/>
        </w:rPr>
        <w:t> </w:t>
      </w:r>
      <w:r>
        <w:rPr>
          <w:sz w:val="19"/>
        </w:rPr>
        <w:t>and</w:t>
      </w:r>
      <w:r>
        <w:rPr>
          <w:spacing w:val="-6"/>
          <w:sz w:val="19"/>
        </w:rPr>
        <w:t> </w:t>
      </w:r>
      <w:r>
        <w:rPr>
          <w:sz w:val="19"/>
        </w:rPr>
        <w:t>collection,</w:t>
      </w:r>
      <w:r>
        <w:rPr>
          <w:spacing w:val="-5"/>
          <w:sz w:val="19"/>
        </w:rPr>
        <w:t> </w:t>
      </w:r>
      <w:r>
        <w:rPr>
          <w:sz w:val="19"/>
        </w:rPr>
        <w:t>and</w:t>
      </w:r>
      <w:r>
        <w:rPr>
          <w:spacing w:val="-6"/>
          <w:sz w:val="19"/>
        </w:rPr>
        <w:t> </w:t>
      </w:r>
      <w:r>
        <w:rPr>
          <w:sz w:val="19"/>
        </w:rPr>
        <w:t>grants</w:t>
      </w:r>
      <w:r>
        <w:rPr>
          <w:spacing w:val="-5"/>
          <w:sz w:val="19"/>
        </w:rPr>
        <w:t> </w:t>
      </w:r>
      <w:r>
        <w:rPr>
          <w:sz w:val="19"/>
        </w:rPr>
        <w:t>and</w:t>
      </w:r>
      <w:r>
        <w:rPr>
          <w:spacing w:val="-6"/>
          <w:sz w:val="19"/>
        </w:rPr>
        <w:t> </w:t>
      </w:r>
      <w:r>
        <w:rPr>
          <w:sz w:val="19"/>
        </w:rPr>
        <w:t>subsidies</w:t>
      </w:r>
      <w:r>
        <w:rPr>
          <w:spacing w:val="-5"/>
          <w:sz w:val="19"/>
        </w:rPr>
        <w:t> </w:t>
      </w:r>
      <w:r>
        <w:rPr>
          <w:sz w:val="19"/>
        </w:rPr>
        <w:t>administration</w:t>
      </w:r>
    </w:p>
    <w:p>
      <w:pPr>
        <w:spacing w:line="249" w:lineRule="auto" w:before="16"/>
        <w:ind w:left="765" w:right="1479" w:firstLine="0"/>
        <w:jc w:val="left"/>
        <w:rPr>
          <w:sz w:val="19"/>
        </w:rPr>
      </w:pPr>
      <w:r>
        <w:rPr>
          <w:sz w:val="19"/>
        </w:rPr>
        <w:t>Service</w:t>
      </w:r>
      <w:r>
        <w:rPr>
          <w:spacing w:val="-21"/>
          <w:sz w:val="19"/>
        </w:rPr>
        <w:t> </w:t>
      </w:r>
      <w:r>
        <w:rPr>
          <w:sz w:val="19"/>
        </w:rPr>
        <w:t>2:</w:t>
      </w:r>
      <w:r>
        <w:rPr>
          <w:spacing w:val="-21"/>
          <w:sz w:val="19"/>
        </w:rPr>
        <w:t> </w:t>
      </w:r>
      <w:r>
        <w:rPr>
          <w:sz w:val="19"/>
        </w:rPr>
        <w:t>Development</w:t>
      </w:r>
      <w:r>
        <w:rPr>
          <w:spacing w:val="-22"/>
          <w:sz w:val="19"/>
        </w:rPr>
        <w:t> </w:t>
      </w:r>
      <w:r>
        <w:rPr>
          <w:sz w:val="19"/>
        </w:rPr>
        <w:t>and</w:t>
      </w:r>
      <w:r>
        <w:rPr>
          <w:spacing w:val="-21"/>
          <w:sz w:val="19"/>
        </w:rPr>
        <w:t> </w:t>
      </w:r>
      <w:r>
        <w:rPr>
          <w:sz w:val="19"/>
        </w:rPr>
        <w:t>management</w:t>
      </w:r>
      <w:r>
        <w:rPr>
          <w:spacing w:val="-21"/>
          <w:sz w:val="19"/>
        </w:rPr>
        <w:t> </w:t>
      </w:r>
      <w:r>
        <w:rPr>
          <w:sz w:val="19"/>
        </w:rPr>
        <w:t>of</w:t>
      </w:r>
      <w:r>
        <w:rPr>
          <w:spacing w:val="-21"/>
          <w:sz w:val="19"/>
        </w:rPr>
        <w:t> </w:t>
      </w:r>
      <w:r>
        <w:rPr>
          <w:sz w:val="19"/>
        </w:rPr>
        <w:t>Common</w:t>
      </w:r>
      <w:r>
        <w:rPr>
          <w:spacing w:val="-21"/>
          <w:sz w:val="19"/>
        </w:rPr>
        <w:t> </w:t>
      </w:r>
      <w:r>
        <w:rPr>
          <w:sz w:val="19"/>
        </w:rPr>
        <w:t>Use</w:t>
      </w:r>
      <w:r>
        <w:rPr>
          <w:spacing w:val="-21"/>
          <w:sz w:val="19"/>
        </w:rPr>
        <w:t> </w:t>
      </w:r>
      <w:r>
        <w:rPr>
          <w:sz w:val="19"/>
        </w:rPr>
        <w:t>Contract</w:t>
      </w:r>
      <w:r>
        <w:rPr>
          <w:spacing w:val="-21"/>
          <w:sz w:val="19"/>
        </w:rPr>
        <w:t> </w:t>
      </w:r>
      <w:r>
        <w:rPr>
          <w:sz w:val="19"/>
        </w:rPr>
        <w:t>Arrangements,</w:t>
      </w:r>
      <w:r>
        <w:rPr>
          <w:spacing w:val="-21"/>
          <w:sz w:val="19"/>
        </w:rPr>
        <w:t> </w:t>
      </w:r>
      <w:r>
        <w:rPr>
          <w:sz w:val="19"/>
        </w:rPr>
        <w:t>State</w:t>
      </w:r>
      <w:r>
        <w:rPr>
          <w:spacing w:val="-21"/>
          <w:sz w:val="19"/>
        </w:rPr>
        <w:t> </w:t>
      </w:r>
      <w:r>
        <w:rPr>
          <w:sz w:val="19"/>
        </w:rPr>
        <w:t>Fleet</w:t>
      </w:r>
      <w:r>
        <w:rPr>
          <w:spacing w:val="-21"/>
          <w:sz w:val="19"/>
        </w:rPr>
        <w:t> </w:t>
      </w:r>
      <w:r>
        <w:rPr>
          <w:sz w:val="19"/>
        </w:rPr>
        <w:t>leasing</w:t>
      </w:r>
      <w:r>
        <w:rPr>
          <w:spacing w:val="-21"/>
          <w:sz w:val="19"/>
        </w:rPr>
        <w:t> </w:t>
      </w:r>
      <w:r>
        <w:rPr>
          <w:sz w:val="19"/>
        </w:rPr>
        <w:t>and</w:t>
      </w:r>
      <w:r>
        <w:rPr>
          <w:spacing w:val="-21"/>
          <w:sz w:val="19"/>
        </w:rPr>
        <w:t> </w:t>
      </w:r>
      <w:r>
        <w:rPr>
          <w:sz w:val="19"/>
        </w:rPr>
        <w:t>disposal,</w:t>
      </w:r>
      <w:r>
        <w:rPr>
          <w:spacing w:val="-21"/>
          <w:sz w:val="19"/>
        </w:rPr>
        <w:t> </w:t>
      </w:r>
      <w:r>
        <w:rPr>
          <w:sz w:val="19"/>
        </w:rPr>
        <w:t>and</w:t>
      </w:r>
      <w:r>
        <w:rPr>
          <w:spacing w:val="-21"/>
          <w:sz w:val="19"/>
        </w:rPr>
        <w:t> </w:t>
      </w:r>
      <w:r>
        <w:rPr>
          <w:sz w:val="19"/>
        </w:rPr>
        <w:t>providing</w:t>
      </w:r>
      <w:r>
        <w:rPr>
          <w:spacing w:val="-21"/>
          <w:sz w:val="19"/>
        </w:rPr>
        <w:t> </w:t>
      </w:r>
      <w:r>
        <w:rPr>
          <w:sz w:val="19"/>
        </w:rPr>
        <w:t>facilitation</w:t>
      </w:r>
      <w:r>
        <w:rPr>
          <w:spacing w:val="-21"/>
          <w:sz w:val="19"/>
        </w:rPr>
        <w:t> </w:t>
      </w:r>
      <w:r>
        <w:rPr>
          <w:sz w:val="19"/>
        </w:rPr>
        <w:t>service</w:t>
      </w:r>
      <w:r>
        <w:rPr>
          <w:spacing w:val="-21"/>
          <w:sz w:val="19"/>
        </w:rPr>
        <w:t> </w:t>
      </w:r>
      <w:r>
        <w:rPr>
          <w:sz w:val="19"/>
        </w:rPr>
        <w:t>for</w:t>
      </w:r>
      <w:r>
        <w:rPr>
          <w:spacing w:val="-21"/>
          <w:sz w:val="19"/>
        </w:rPr>
        <w:t> </w:t>
      </w:r>
      <w:r>
        <w:rPr>
          <w:sz w:val="19"/>
        </w:rPr>
        <w:t>agency</w:t>
      </w:r>
      <w:r>
        <w:rPr>
          <w:spacing w:val="-21"/>
          <w:sz w:val="19"/>
        </w:rPr>
        <w:t> </w:t>
      </w:r>
      <w:r>
        <w:rPr>
          <w:sz w:val="19"/>
        </w:rPr>
        <w:t>specific</w:t>
      </w:r>
      <w:r>
        <w:rPr>
          <w:spacing w:val="-21"/>
          <w:sz w:val="19"/>
        </w:rPr>
        <w:t> </w:t>
      </w:r>
      <w:r>
        <w:rPr>
          <w:sz w:val="19"/>
        </w:rPr>
        <w:t>contracts Service 3: Corporate services to client</w:t>
      </w:r>
      <w:r>
        <w:rPr>
          <w:spacing w:val="-4"/>
          <w:sz w:val="19"/>
        </w:rPr>
        <w:t> </w:t>
      </w:r>
      <w:r>
        <w:rPr>
          <w:sz w:val="19"/>
        </w:rPr>
        <w:t>agencies</w:t>
      </w:r>
    </w:p>
    <w:p>
      <w:pPr>
        <w:spacing w:before="1"/>
        <w:ind w:left="765" w:right="0" w:firstLine="0"/>
        <w:jc w:val="left"/>
        <w:rPr>
          <w:sz w:val="19"/>
        </w:rPr>
      </w:pPr>
      <w:r>
        <w:rPr>
          <w:sz w:val="19"/>
        </w:rPr>
        <w:t>Service 4: Leads the planning, delivery, management and maintenance of government buildings, projects and office accommodation</w:t>
      </w:r>
    </w:p>
    <w:p>
      <w:pPr>
        <w:spacing w:before="10"/>
        <w:ind w:left="765" w:right="0" w:firstLine="0"/>
        <w:jc w:val="left"/>
        <w:rPr>
          <w:sz w:val="19"/>
        </w:rPr>
      </w:pPr>
      <w:r>
        <w:rPr>
          <w:sz w:val="19"/>
        </w:rPr>
        <w:t>Service 5: Development and implementation of energy policy and economic reform, assessment of proposed policy changes and the impact on regulatory functions</w:t>
      </w:r>
    </w:p>
    <w:p>
      <w:pPr>
        <w:spacing w:after="0"/>
        <w:jc w:val="left"/>
        <w:rPr>
          <w:sz w:val="19"/>
        </w:rPr>
        <w:sectPr>
          <w:footerReference w:type="default" r:id="rId187"/>
          <w:pgSz w:w="16840" w:h="11910" w:orient="landscape"/>
          <w:pgMar w:footer="448" w:header="0" w:top="0" w:bottom="640" w:left="0" w:right="0"/>
        </w:sectPr>
      </w:pPr>
    </w:p>
    <w:p>
      <w:pPr>
        <w:pStyle w:val="BodyText"/>
        <w:ind w:left="2397"/>
        <w:rPr>
          <w:sz w:val="20"/>
        </w:rPr>
      </w:pPr>
      <w:bookmarkStart w:name="_bookmark26" w:id="27"/>
      <w:bookmarkEnd w:id="27"/>
      <w:r>
        <w:rPr/>
      </w: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rPr>
          <w:sz w:val="20"/>
        </w:rPr>
      </w:pPr>
    </w:p>
    <w:p>
      <w:pPr>
        <w:spacing w:after="0"/>
        <w:rPr>
          <w:sz w:val="20"/>
        </w:rPr>
        <w:sectPr>
          <w:footerReference w:type="default" r:id="rId188"/>
          <w:pgSz w:w="16840" w:h="11910" w:orient="landscape"/>
          <w:pgMar w:footer="0" w:header="0" w:top="0" w:bottom="280" w:left="0" w:right="0"/>
        </w:sectPr>
      </w:pPr>
    </w:p>
    <w:p>
      <w:pPr>
        <w:pStyle w:val="Heading2"/>
        <w:spacing w:before="333"/>
      </w:pPr>
      <w:r>
        <w:rPr>
          <w:color w:val="6F2770"/>
          <w:spacing w:val="-20"/>
          <w:w w:val="95"/>
        </w:rPr>
        <w:t>Summary</w:t>
      </w:r>
      <w:r>
        <w:rPr>
          <w:color w:val="6F2770"/>
          <w:spacing w:val="-72"/>
          <w:w w:val="95"/>
        </w:rPr>
        <w:t> </w:t>
      </w:r>
      <w:r>
        <w:rPr>
          <w:color w:val="6F2770"/>
          <w:spacing w:val="-19"/>
          <w:w w:val="95"/>
        </w:rPr>
        <w:t>of</w:t>
      </w:r>
      <w:r>
        <w:rPr>
          <w:color w:val="6F2770"/>
          <w:spacing w:val="-71"/>
          <w:w w:val="95"/>
        </w:rPr>
        <w:t> </w:t>
      </w:r>
      <w:r>
        <w:rPr>
          <w:color w:val="6F2770"/>
          <w:spacing w:val="-29"/>
          <w:w w:val="95"/>
        </w:rPr>
        <w:t>Consolidated</w:t>
      </w:r>
      <w:r>
        <w:rPr>
          <w:color w:val="6F2770"/>
          <w:spacing w:val="-71"/>
          <w:w w:val="95"/>
        </w:rPr>
        <w:t> </w:t>
      </w:r>
      <w:r>
        <w:rPr>
          <w:color w:val="6F2770"/>
          <w:spacing w:val="-26"/>
          <w:w w:val="95"/>
        </w:rPr>
        <w:t>Account</w:t>
      </w:r>
      <w:r>
        <w:rPr>
          <w:color w:val="6F2770"/>
          <w:spacing w:val="-71"/>
          <w:w w:val="95"/>
        </w:rPr>
        <w:t> </w:t>
      </w:r>
      <w:r>
        <w:rPr>
          <w:color w:val="6F2770"/>
          <w:spacing w:val="-28"/>
          <w:w w:val="95"/>
        </w:rPr>
        <w:t>Appropriations</w:t>
      </w:r>
      <w:r>
        <w:rPr>
          <w:color w:val="6F2770"/>
          <w:spacing w:val="-71"/>
          <w:w w:val="95"/>
        </w:rPr>
        <w:t> </w:t>
      </w:r>
      <w:r>
        <w:rPr>
          <w:color w:val="6F2770"/>
          <w:spacing w:val="-18"/>
          <w:w w:val="95"/>
        </w:rPr>
        <w:t>and</w:t>
      </w:r>
      <w:r>
        <w:rPr>
          <w:color w:val="6F2770"/>
          <w:spacing w:val="-71"/>
          <w:w w:val="95"/>
        </w:rPr>
        <w:t> </w:t>
      </w:r>
      <w:r>
        <w:rPr>
          <w:color w:val="6F2770"/>
          <w:spacing w:val="-24"/>
          <w:w w:val="95"/>
        </w:rPr>
        <w:t>Income</w:t>
      </w:r>
      <w:r>
        <w:rPr>
          <w:color w:val="6F2770"/>
          <w:spacing w:val="-72"/>
          <w:w w:val="95"/>
        </w:rPr>
        <w:t> </w:t>
      </w:r>
      <w:r>
        <w:rPr>
          <w:color w:val="6F2770"/>
          <w:spacing w:val="-30"/>
          <w:w w:val="95"/>
        </w:rPr>
        <w:t>Estimates</w:t>
      </w:r>
    </w:p>
    <w:p>
      <w:pPr>
        <w:pStyle w:val="Heading4"/>
        <w:spacing w:before="28"/>
      </w:pPr>
      <w:r>
        <w:rPr/>
        <w:pict>
          <v:group style="position:absolute;margin-left:38.2677pt;margin-top:24.884785pt;width:765.4pt;height:432.45pt;mso-position-horizontal-relative:page;mso-position-vertical-relative:paragraph;z-index:-801760" coordorigin="765,498" coordsize="15308,8649">
            <v:shape style="position:absolute;left:765;top:502;width:12756;height:706" coordorigin="765,503" coordsize="12756,706" path="m8306,503l765,503,765,1208,8306,1208,8306,503m13521,503l12246,503,10970,503,9638,503,8306,503,8306,1208,9638,1208,10970,1208,12246,1208,13521,1208,13521,503e" filled="true" fillcolor="#783a79" stroked="false">
              <v:path arrowok="t"/>
              <v:fill type="solid"/>
            </v:shape>
            <v:line style="position:absolute" from="13521,503" to="13521,1208" stroked="true" strokeweight=".001pt" strokecolor="#783a79">
              <v:stroke dashstyle="solid"/>
            </v:line>
            <v:shape style="position:absolute;left:13521;top:502;width:2552;height:706" coordorigin="13521,503" coordsize="2552,706" path="m16072,503l14797,503,13521,503,13521,1208,14797,1208,16072,1208,16072,503e" filled="true" fillcolor="#783a79" stroked="false">
              <v:path arrowok="t"/>
              <v:fill type="solid"/>
            </v:shape>
            <v:shape style="position:absolute;left:765;top:1208;width:15308;height:918" coordorigin="765,1208" coordsize="15308,918" path="m8306,1820l765,1820,765,2126,8306,2126,8306,1820m8306,1208l765,1208,765,1514,8306,1514,8306,1208m9638,1820l8306,1820,8306,2126,9638,2126,9638,1820m9638,1208l8306,1208,8306,1514,9638,1514,9638,1208m16072,1208l14797,1208,13521,1208,13521,1514,14797,1514,16072,1514,16072,1208e" filled="true" fillcolor="#f4f4f4" stroked="false">
              <v:path arrowok="t"/>
              <v:fill type="solid"/>
            </v:shape>
            <v:shape style="position:absolute;left:765;top:1514;width:8873;height:306" coordorigin="765,1514" coordsize="8873,306" path="m8306,1514l765,1514,765,1820,8306,1820,8306,1514m9638,1514l8306,1514,8306,1820,9638,1820,9638,1514e" filled="true" fillcolor="#faf9f9" stroked="false">
              <v:path arrowok="t"/>
              <v:fill type="solid"/>
            </v:shape>
            <v:shape style="position:absolute;left:13521;top:1819;width:2552;height:306" coordorigin="13521,1820" coordsize="2552,306" path="m16072,1820l14797,1820,13521,1820,13521,2126,14797,2126,16072,2126,16072,1820e" filled="true" fillcolor="#f4f4f4" stroked="false">
              <v:path arrowok="t"/>
              <v:fill type="solid"/>
            </v:shape>
            <v:shape style="position:absolute;left:13521;top:1514;width:2552;height:306" coordorigin="13521,1514" coordsize="2552,306" path="m16072,1514l14797,1514,13521,1514,13521,1820,14797,1820,16072,1820,16072,1514e" filled="true" fillcolor="#faf9f9" stroked="false">
              <v:path arrowok="t"/>
              <v:fill type="solid"/>
            </v:shape>
            <v:shape style="position:absolute;left:765;top:2431;width:8873;height:306" coordorigin="765,2431" coordsize="8873,306" path="m8306,2431l765,2431,765,2737,8306,2737,8306,2431m9638,2431l8306,2431,8306,2737,9638,2737,9638,2431e" filled="true" fillcolor="#f4f4f4" stroked="false">
              <v:path arrowok="t"/>
              <v:fill type="solid"/>
            </v:shape>
            <v:shape style="position:absolute;left:765;top:2125;width:8873;height:306" coordorigin="765,2126" coordsize="8873,306" path="m8306,2126l765,2126,765,2431,8306,2431,8306,2126m9638,2126l8306,2126,8306,2431,9638,2431,9638,2126e" filled="true" fillcolor="#faf9f9" stroked="false">
              <v:path arrowok="t"/>
              <v:fill type="solid"/>
            </v:shape>
            <v:shape style="position:absolute;left:13521;top:2431;width:2552;height:306" coordorigin="13521,2431" coordsize="2552,306" path="m16072,2431l14797,2431,13521,2431,13521,2737,14797,2737,16072,2737,16072,2431e" filled="true" fillcolor="#f4f4f4" stroked="false">
              <v:path arrowok="t"/>
              <v:fill type="solid"/>
            </v:shape>
            <v:shape style="position:absolute;left:765;top:2125;width:15308;height:918" coordorigin="765,2126" coordsize="15308,918" path="m8306,2737l765,2737,765,3043,8306,3043,8306,2737m9638,2737l8306,2737,8306,3043,9638,3043,9638,2737m16072,2126l14797,2126,13521,2126,13521,2431,14797,2431,16072,2431,16072,2126e" filled="true" fillcolor="#faf9f9" stroked="false">
              <v:path arrowok="t"/>
              <v:fill type="solid"/>
            </v:shape>
            <v:shape style="position:absolute;left:13521;top:3042;width:2552;height:306" coordorigin="13521,3043" coordsize="2552,306" path="m16072,3043l14797,3043,13521,3043,13521,3349,14797,3349,16072,3349,16072,3043e" filled="true" fillcolor="#f4f4f4" stroked="false">
              <v:path arrowok="t"/>
              <v:fill type="solid"/>
            </v:shape>
            <v:shape style="position:absolute;left:13521;top:2737;width:2552;height:306" coordorigin="13521,2737" coordsize="2552,306" path="m16072,2737l14797,2737,13521,2737,13521,3043,14797,3043,16072,3043,16072,2737e" filled="true" fillcolor="#faf9f9" stroked="false">
              <v:path arrowok="t"/>
              <v:fill type="solid"/>
            </v:shape>
            <v:shape style="position:absolute;left:13521;top:3654;width:2552;height:306" coordorigin="13521,3654" coordsize="2552,306" path="m16072,3654l14797,3654,13521,3654,13521,3960,14797,3960,16072,3960,16072,3654e" filled="true" fillcolor="#f4f4f4" stroked="false">
              <v:path arrowok="t"/>
              <v:fill type="solid"/>
            </v:shape>
            <v:shape style="position:absolute;left:13521;top:3348;width:2552;height:306" coordorigin="13521,3349" coordsize="2552,306" path="m16072,3349l14797,3349,13521,3349,13521,3654,14797,3654,16072,3654,16072,3349e" filled="true" fillcolor="#faf9f9" stroked="false">
              <v:path arrowok="t"/>
              <v:fill type="solid"/>
            </v:shape>
            <v:shape style="position:absolute;left:13521;top:4265;width:2552;height:306" coordorigin="13521,4266" coordsize="2552,306" path="m16072,4266l14797,4266,13521,4266,13521,4572,14797,4572,16072,4572,16072,4266e" filled="true" fillcolor="#f4f4f4" stroked="false">
              <v:path arrowok="t"/>
              <v:fill type="solid"/>
            </v:shape>
            <v:shape style="position:absolute;left:13521;top:3960;width:2552;height:306" coordorigin="13521,3960" coordsize="2552,306" path="m16072,3960l14797,3960,13521,3960,13521,4266,14797,4266,16072,4266,16072,3960e" filled="true" fillcolor="#faf9f9" stroked="false">
              <v:path arrowok="t"/>
              <v:fill type="solid"/>
            </v:shape>
            <v:shape style="position:absolute;left:13521;top:4877;width:2552;height:306" coordorigin="13521,4877" coordsize="2552,306" path="m16072,4877l14797,4877,13521,4877,13521,5183,14797,5183,16072,5183,16072,4877e" filled="true" fillcolor="#f4f4f4" stroked="false">
              <v:path arrowok="t"/>
              <v:fill type="solid"/>
            </v:shape>
            <v:shape style="position:absolute;left:13521;top:4571;width:2552;height:306" coordorigin="13521,4572" coordsize="2552,306" path="m16072,4572l14797,4572,13521,4572,13521,4877,14797,4877,16072,4877,16072,4572e" filled="true" fillcolor="#faf9f9" stroked="false">
              <v:path arrowok="t"/>
              <v:fill type="solid"/>
            </v:shape>
            <v:shape style="position:absolute;left:13521;top:5488;width:2552;height:306" coordorigin="13521,5489" coordsize="2552,306" path="m16072,5489l14797,5489,13521,5489,13521,5794,14797,5794,16072,5794,16072,5489e" filled="true" fillcolor="#f4f4f4" stroked="false">
              <v:path arrowok="t"/>
              <v:fill type="solid"/>
            </v:shape>
            <v:shape style="position:absolute;left:13521;top:5183;width:2552;height:306" coordorigin="13521,5183" coordsize="2552,306" path="m16072,5183l14797,5183,13521,5183,13521,5489,14797,5489,16072,5489,16072,5183e" filled="true" fillcolor="#faf9f9" stroked="false">
              <v:path arrowok="t"/>
              <v:fill type="solid"/>
            </v:shape>
            <v:shape style="position:absolute;left:13521;top:6100;width:2552;height:306" coordorigin="13521,6100" coordsize="2552,306" path="m16072,6100l14797,6100,13521,6100,13521,6406,14797,6406,16072,6406,16072,6100e" filled="true" fillcolor="#f4f4f4" stroked="false">
              <v:path arrowok="t"/>
              <v:fill type="solid"/>
            </v:shape>
            <v:shape style="position:absolute;left:13521;top:5794;width:2552;height:306" coordorigin="13521,5794" coordsize="2552,306" path="m16072,5794l14797,5794,13521,5794,13521,6100,14797,6100,16072,6100,16072,5794e" filled="true" fillcolor="#faf9f9" stroked="false">
              <v:path arrowok="t"/>
              <v:fill type="solid"/>
            </v:shape>
            <v:shape style="position:absolute;left:13521;top:6711;width:2552;height:506" coordorigin="13521,6712" coordsize="2552,506" path="m16072,6712l14797,6712,13521,6712,13521,7217,14797,7217,16072,7217,16072,6712e" filled="true" fillcolor="#f4f4f4" stroked="false">
              <v:path arrowok="t"/>
              <v:fill type="solid"/>
            </v:shape>
            <v:shape style="position:absolute;left:13521;top:6405;width:2552;height:306" coordorigin="13521,6406" coordsize="2552,306" path="m16072,6406l14797,6406,13521,6406,13521,6712,14797,6712,16072,6712,16072,6406e" filled="true" fillcolor="#faf9f9" stroked="false">
              <v:path arrowok="t"/>
              <v:fill type="solid"/>
            </v:shape>
            <v:shape style="position:absolute;left:13521;top:7523;width:2552;height:506" coordorigin="13521,7523" coordsize="2552,506" path="m16072,7523l14797,7523,13521,7523,13521,8029,14797,8029,16072,8029,16072,7523e" filled="true" fillcolor="#f4f4f4" stroked="false">
              <v:path arrowok="t"/>
              <v:fill type="solid"/>
            </v:shape>
            <v:shape style="position:absolute;left:13521;top:7217;width:2552;height:306" coordorigin="13521,7217" coordsize="2552,306" path="m16072,7217l14797,7217,13521,7217,13521,7523,14797,7523,16072,7523,16072,7217e" filled="true" fillcolor="#faf9f9" stroked="false">
              <v:path arrowok="t"/>
              <v:fill type="solid"/>
            </v:shape>
            <v:shape style="position:absolute;left:13521;top:8534;width:2552;height:306" coordorigin="13521,8535" coordsize="2552,306" path="m16072,8535l14797,8535,13521,8535,13521,8840,14797,8840,16072,8840,16072,8535e" filled="true" fillcolor="#f4f4f4" stroked="false">
              <v:path arrowok="t"/>
              <v:fill type="solid"/>
            </v:shape>
            <v:shape style="position:absolute;left:13521;top:8028;width:2552;height:1118" coordorigin="13521,8029" coordsize="2552,1118" path="m16072,8840l14797,8840,13521,8840,13521,9146,14797,9146,16072,9146,16072,8840m16072,8029l14797,8029,13521,8029,13521,8535,14797,8535,16072,8535,16072,8029e" filled="true" fillcolor="#faf9f9" stroked="false">
              <v:path arrowok="t"/>
              <v:fill type="solid"/>
            </v:shape>
            <v:shape style="position:absolute;left:765;top:1504;width:15308;height:6535" coordorigin="765,1504" coordsize="15308,6535" path="m8296,3644l765,3644,765,3664,8296,3664,8296,3644m8296,3033l765,3033,765,3053,8296,3053,8296,3033m8296,2727l765,2727,765,2747,8296,2747,8296,2727m8296,2421l765,2421,765,2441,8296,2441,8296,2421m8296,1810l765,1810,765,1830,8296,1830,8296,1810m8296,1504l765,1504,765,1524,8296,1524,8296,1504m9638,2116l8296,2116,765,2116,765,2136,8296,2136,9638,2136,9638,2116m9638,1810l8316,1810,8316,1830,9638,1830,9638,1810m9638,1504l8316,1504,8316,1524,9638,1524,9638,1504m14787,1810l13521,1810,13521,1830,14787,1830,14787,1810m14787,1504l13521,1504,13521,1524,14787,1524,14787,1504m16072,8019l14797,8019,14797,8019,13521,8019,13521,8039,14797,8039,14797,8039,16072,8039,16072,8019m16072,7513l14797,7513,14797,7513,13521,7513,13521,7533,14797,7533,14797,7533,16072,7533,16072,7513m16072,7207l14797,7207,14797,7207,13521,7207,13521,7227,14797,7227,14797,7227,16072,7227,16072,7207m16072,6702l14797,6702,14797,6702,13521,6702,13521,6722,14797,6722,14797,6722,16072,6722,16072,6702m16072,6396l14797,6396,14797,6396,13521,6396,13521,6416,14797,6416,14797,6416,16072,6416,16072,6396m16072,6090l14797,6090,14797,6090,13521,6090,13521,6110,14797,6110,14797,6110,16072,6110,16072,6090m16072,4867l14797,4867,14797,4867,13521,4867,13521,4887,14797,4887,14797,4887,16072,4887,16072,4867m16072,4562l14797,4562,14797,4562,13521,4562,13521,4582,14797,4582,14797,4582,16072,4582,16072,4562m16072,4256l14797,4256,14797,4256,13521,4256,13521,4276,14797,4276,14797,4276,16072,4276,16072,4256m16072,2116l14797,2116,14797,2116,13521,2116,13521,2136,14797,2136,14797,2136,16072,2136,16072,2116m16072,1810l14807,1810,14807,1830,16072,1830,16072,1810m16072,1504l14807,1504,14807,1524,16072,1524,16072,1504e" filled="true" fillcolor="#ffffff" stroked="false">
              <v:path arrowok="t"/>
              <v:fill type="solid"/>
            </v:shape>
            <v:line style="position:absolute" from="14797,1514" to="14797,1213" stroked="true" strokeweight="1pt" strokecolor="#ffffff">
              <v:stroke dashstyle="solid"/>
            </v:line>
            <v:line style="position:absolute" from="14797,1820" to="14797,1514" stroked="true" strokeweight="1pt" strokecolor="#ffffff">
              <v:stroke dashstyle="solid"/>
            </v:line>
            <v:line style="position:absolute" from="14797,2116" to="14797,1820" stroked="true" strokeweight="1pt" strokecolor="#ffffff">
              <v:stroke dashstyle="solid"/>
            </v:line>
            <v:line style="position:absolute" from="14797,2426" to="14797,2136" stroked="true" strokeweight="1pt" strokecolor="#ffffff">
              <v:stroke dashstyle="solid"/>
            </v:line>
            <v:line style="position:absolute" from="14797,2732" to="14797,2436" stroked="true" strokeweight="1pt" strokecolor="#ffffff">
              <v:stroke dashstyle="solid"/>
            </v:line>
            <v:line style="position:absolute" from="14797,3038" to="14797,2742" stroked="true" strokeweight="1pt" strokecolor="#ffffff">
              <v:stroke dashstyle="solid"/>
            </v:line>
            <v:line style="position:absolute" from="14797,3649" to="14797,3354" stroked="true" strokeweight="1pt" strokecolor="#ffffff">
              <v:stroke dashstyle="solid"/>
            </v:line>
            <v:line style="position:absolute" from="14797,3950" to="14797,3659" stroked="true" strokeweight="1pt" strokecolor="#ffffff">
              <v:stroke dashstyle="solid"/>
            </v:line>
            <v:line style="position:absolute" from="14797,4256" to="14797,3970" stroked="true" strokeweight="1pt" strokecolor="#ffffff">
              <v:stroke dashstyle="solid"/>
            </v:line>
            <v:line style="position:absolute" from="14797,4562" to="14797,4276" stroked="true" strokeweight="1pt" strokecolor="#ffffff">
              <v:stroke dashstyle="solid"/>
            </v:line>
            <v:line style="position:absolute" from="14797,4867" to="14797,4582" stroked="true" strokeweight="1pt" strokecolor="#ffffff">
              <v:stroke dashstyle="solid"/>
            </v:line>
            <v:line style="position:absolute" from="14797,5178" to="14797,4887" stroked="true" strokeweight="1pt" strokecolor="#ffffff">
              <v:stroke dashstyle="solid"/>
            </v:line>
            <v:line style="position:absolute" from="14797,5764" to="14797,5494" stroked="true" strokeweight="1pt" strokecolor="#ffffff">
              <v:stroke dashstyle="solid"/>
            </v:line>
            <v:line style="position:absolute" from="14797,6090" to="14797,5824" stroked="true" strokeweight="1pt" strokecolor="#ffffff">
              <v:stroke dashstyle="solid"/>
            </v:line>
            <v:line style="position:absolute" from="14797,6396" to="14797,6110" stroked="true" strokeweight="1pt" strokecolor="#ffffff">
              <v:stroke dashstyle="solid"/>
            </v:line>
            <v:line style="position:absolute" from="14797,6702" to="14797,6416" stroked="true" strokeweight="1pt" strokecolor="#ffffff">
              <v:stroke dashstyle="solid"/>
            </v:line>
            <v:line style="position:absolute" from="14797,7207" to="14797,6722" stroked="true" strokeweight="1pt" strokecolor="#ffffff">
              <v:stroke dashstyle="solid"/>
            </v:line>
            <v:line style="position:absolute" from="14797,7513" to="14797,7227" stroked="true" strokeweight="1pt" strokecolor="#ffffff">
              <v:stroke dashstyle="solid"/>
            </v:line>
            <v:line style="position:absolute" from="14797,8019" to="14797,7533" stroked="true" strokeweight="1pt" strokecolor="#ffffff">
              <v:stroke dashstyle="solid"/>
            </v:line>
            <v:line style="position:absolute" from="14797,8530" to="14797,8039" stroked="true" strokeweight="1pt" strokecolor="#ffffff">
              <v:stroke dashstyle="solid"/>
            </v:line>
            <v:line style="position:absolute" from="14797,8835" to="14797,8540" stroked="true" strokeweight="1pt" strokecolor="#ffffff">
              <v:stroke dashstyle="solid"/>
            </v:line>
            <v:line style="position:absolute" from="8306,1514" to="8306,1213" stroked="true" strokeweight="1pt" strokecolor="#ffffff">
              <v:stroke dashstyle="solid"/>
            </v:line>
            <v:line style="position:absolute" from="8306,1820" to="8306,1514" stroked="true" strokeweight="1pt" strokecolor="#ffffff">
              <v:stroke dashstyle="solid"/>
            </v:line>
            <v:line style="position:absolute" from="8306,2116" to="8306,1820" stroked="true" strokeweight="1pt" strokecolor="#ffffff">
              <v:stroke dashstyle="solid"/>
            </v:line>
            <v:line style="position:absolute" from="8306,2431" to="8306,2136" stroked="true" strokeweight="1pt" strokecolor="#ffffff">
              <v:stroke dashstyle="solid"/>
            </v:line>
            <v:line style="position:absolute" from="8306,2737" to="8306,2431" stroked="true" strokeweight="1pt" strokecolor="#ffffff">
              <v:stroke dashstyle="solid"/>
            </v:line>
            <v:line style="position:absolute" from="8306,3043" to="8306,2737" stroked="true" strokeweight="1pt" strokecolor="#ffffff">
              <v:stroke dashstyle="solid"/>
            </v:line>
            <v:line style="position:absolute" from="8306,3349" to="8306,3043" stroked="true" strokeweight="1pt" strokecolor="#ffffff">
              <v:stroke dashstyle="solid"/>
            </v:line>
            <v:line style="position:absolute" from="8306,3654" to="8306,3349" stroked="true" strokeweight="1pt" strokecolor="#ffffff">
              <v:stroke dashstyle="solid"/>
            </v:line>
            <v:line style="position:absolute" from="8306,3950" to="8306,3654" stroked="true" strokeweight="1pt" strokecolor="#ffffff">
              <v:stroke dashstyle="solid"/>
            </v:line>
            <v:line style="position:absolute" from="14797,9141" to="14797,8845" stroked="true" strokeweight="1pt" strokecolor="#ffffff">
              <v:stroke dashstyle="solid"/>
            </v:line>
            <v:shape style="position:absolute;left:13521;top:3950;width:2552;height:20" coordorigin="13521,3950" coordsize="2552,20" path="m16072,3950l14797,3950,13521,3950,13521,3970,14797,3970,16072,3970,16072,3950e" filled="true" fillcolor="#ffffff" stroked="false">
              <v:path arrowok="t"/>
              <v:fill type="solid"/>
            </v:shape>
            <v:line style="position:absolute" from="14797,3344" to="14797,3048" stroked="true" strokeweight="1pt" strokecolor="#ffffff">
              <v:stroke dashstyle="solid"/>
            </v:line>
            <v:line style="position:absolute" from="14797,5484" to="14797,5188" stroked="true" strokeweight="1pt" strokecolor="#ffffff">
              <v:stroke dashstyle="solid"/>
            </v:line>
            <v:line style="position:absolute" from="8306,1203" to="8306,508" stroked="true" strokeweight="1pt" strokecolor="#783a79">
              <v:stroke dashstyle="solid"/>
            </v:line>
            <v:line style="position:absolute" from="9638,1203" to="9638,508" stroked="true" strokeweight="1pt" strokecolor="#783a79">
              <v:stroke dashstyle="solid"/>
            </v:line>
            <v:line style="position:absolute" from="10970,1203" to="10970,508" stroked="true" strokeweight="1pt" strokecolor="#783a79">
              <v:stroke dashstyle="solid"/>
            </v:line>
            <v:line style="position:absolute" from="12246,1203" to="12246,508" stroked="true" strokeweight="1pt" strokecolor="#783a79">
              <v:stroke dashstyle="solid"/>
            </v:line>
            <v:line style="position:absolute" from="13521,1203" to="13521,508" stroked="true" strokeweight="1pt" strokecolor="#783a79">
              <v:stroke dashstyle="solid"/>
            </v:line>
            <v:line style="position:absolute" from="14797,1203" to="14797,508" stroked="true" strokeweight="1pt" strokecolor="#783a79">
              <v:stroke dashstyle="solid"/>
            </v:line>
            <v:line style="position:absolute" from="765,503" to="8306,503" stroked="true" strokeweight=".5pt" strokecolor="#783a79">
              <v:stroke dashstyle="solid"/>
            </v:line>
            <v:line style="position:absolute" from="8306,503" to="9638,503" stroked="true" strokeweight=".5pt" strokecolor="#783a79">
              <v:stroke dashstyle="solid"/>
            </v:line>
            <v:line style="position:absolute" from="9638,503" to="10970,503" stroked="true" strokeweight=".5pt" strokecolor="#783a79">
              <v:stroke dashstyle="solid"/>
            </v:line>
            <v:line style="position:absolute" from="10970,503" to="12246,503" stroked="true" strokeweight=".5pt" strokecolor="#783a79">
              <v:stroke dashstyle="solid"/>
            </v:line>
            <v:line style="position:absolute" from="12246,503" to="13521,503" stroked="true" strokeweight=".5pt" strokecolor="#783a79">
              <v:stroke dashstyle="solid"/>
            </v:line>
            <v:line style="position:absolute" from="13521,503" to="14797,503" stroked="true" strokeweight=".5pt" strokecolor="#783a79">
              <v:stroke dashstyle="solid"/>
            </v:line>
            <v:line style="position:absolute" from="14797,503" to="16072,503" stroked="true" strokeweight=".5pt" strokecolor="#783a79">
              <v:stroke dashstyle="solid"/>
            </v:line>
            <v:line style="position:absolute" from="765,1208" to="8306,1208" stroked="true" strokeweight=".5pt" strokecolor="#783a79">
              <v:stroke dashstyle="solid"/>
            </v:line>
            <v:line style="position:absolute" from="8306,1208" to="9638,1208" stroked="true" strokeweight=".5pt" strokecolor="#783a79">
              <v:stroke dashstyle="solid"/>
            </v:line>
            <v:line style="position:absolute" from="9638,1208" to="10970,1208" stroked="true" strokeweight=".5pt" strokecolor="#783a79">
              <v:stroke dashstyle="solid"/>
            </v:line>
            <v:line style="position:absolute" from="10970,1208" to="12246,1208" stroked="true" strokeweight=".5pt" strokecolor="#783a79">
              <v:stroke dashstyle="solid"/>
            </v:line>
            <v:line style="position:absolute" from="12246,1208" to="13521,1208" stroked="true" strokeweight=".5pt" strokecolor="#783a79">
              <v:stroke dashstyle="solid"/>
            </v:line>
            <v:line style="position:absolute" from="13521,1208" to="14797,1208" stroked="true" strokeweight=".5pt" strokecolor="#783a79">
              <v:stroke dashstyle="solid"/>
            </v:line>
            <v:line style="position:absolute" from="14797,1208" to="16072,1208" stroked="true" strokeweight=".5pt" strokecolor="#783a79">
              <v:stroke dashstyle="solid"/>
            </v:line>
            <w10:wrap type="none"/>
          </v:group>
        </w:pict>
      </w:r>
      <w:r>
        <w:rPr>
          <w:color w:val="A7BE39"/>
        </w:rPr>
        <w:t>For the year ended 30 June 2017</w:t>
      </w:r>
    </w:p>
    <w:p>
      <w:pPr>
        <w:pStyle w:val="BodyText"/>
        <w:spacing w:before="3"/>
      </w:pPr>
      <w:r>
        <w:rPr/>
        <w:br w:type="column"/>
      </w:r>
      <w:r>
        <w:rPr/>
      </w:r>
    </w:p>
    <w:p>
      <w:pPr>
        <w:spacing w:line="208" w:lineRule="auto" w:before="0"/>
        <w:ind w:left="396" w:right="660" w:hanging="137"/>
        <w:jc w:val="left"/>
        <w:rPr>
          <w:sz w:val="16"/>
        </w:rPr>
      </w:pPr>
      <w:r>
        <w:rPr/>
        <w:pict>
          <v:group style="position:absolute;margin-left:0pt;margin-top:-68.580612pt;width:120.3pt;height:42.55pt;mso-position-horizontal-relative:page;mso-position-vertical-relative:paragraph;z-index:11944" coordorigin="0,-1372" coordsize="2406,851">
            <v:rect style="position:absolute;left:0;top:-1372;width:2406;height:851" filled="true" fillcolor="#aebd37" stroked="false">
              <v:fill type="solid"/>
            </v:rect>
            <v:shape style="position:absolute;left:0;top:-1372;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68.580612pt;width:360.85pt;height:42.55pt;mso-position-horizontal-relative:page;mso-position-vertical-relative:paragraph;z-index:12040" coordorigin="9622,-1372" coordsize="7217,851">
            <v:rect style="position:absolute;left:14432;top:-1372;width:2406;height:851" filled="true" fillcolor="#aebd37" stroked="false">
              <v:fill type="solid"/>
            </v:rect>
            <v:shape style="position:absolute;left:14432;top:-1372;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72;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372;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FFFFFF"/>
          <w:w w:val="95"/>
          <w:sz w:val="16"/>
        </w:rPr>
        <w:t>previous </w:t>
      </w:r>
      <w:r>
        <w:rPr>
          <w:color w:val="FFFFFF"/>
          <w:sz w:val="16"/>
        </w:rPr>
        <w:t>view</w:t>
      </w:r>
    </w:p>
    <w:p>
      <w:pPr>
        <w:spacing w:after="0" w:line="208" w:lineRule="auto"/>
        <w:jc w:val="left"/>
        <w:rPr>
          <w:sz w:val="16"/>
        </w:rPr>
        <w:sectPr>
          <w:type w:val="continuous"/>
          <w:pgSz w:w="16840" w:h="11910" w:orient="landscape"/>
          <w:pgMar w:top="0" w:bottom="0" w:left="0" w:right="0"/>
          <w:cols w:num="2" w:equalWidth="0">
            <w:col w:w="15286" w:space="40"/>
            <w:col w:w="1514"/>
          </w:cols>
        </w:sectPr>
      </w:pPr>
    </w:p>
    <w:p>
      <w:pPr>
        <w:pStyle w:val="BodyText"/>
        <w:spacing w:before="4"/>
        <w:rPr>
          <w:sz w:val="8"/>
        </w:rPr>
      </w:pPr>
      <w:r>
        <w:rPr/>
        <w:pict>
          <v:group style="position:absolute;margin-left:763.172119pt;margin-top:53.780003pt;width:61.1pt;height:45.2pt;mso-position-horizontal-relative:page;mso-position-vertical-relative:page;z-index:-801736" coordorigin="15263,1076" coordsize="1222,904">
            <v:shape style="position:absolute;left:15424;top:1075;width:900;height:904" coordorigin="15424,1076" coordsize="900,904" path="m15874,1076l15424,1526,15424,1529,15874,1979,16324,1529,16324,1526,15874,1076xe" filled="true" fillcolor="#c4cd71" stroked="false">
              <v:path arrowok="t"/>
              <v:fill type="solid"/>
            </v:shape>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shape style="position:absolute;left:15263;top:1366;width:161;height:322" type="#_x0000_t75" stroked="false">
              <v:imagedata r:id="rId16" o:title=""/>
            </v:shape>
            <v:shape style="position:absolute;left:16324;top:1366;width:161;height:322" type="#_x0000_t75" stroked="false">
              <v:imagedata r:id="rId11" o:title=""/>
            </v:shape>
            <w10:wrap type="none"/>
          </v:group>
        </w:pic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50"/>
        <w:gridCol w:w="1322"/>
        <w:gridCol w:w="1332"/>
        <w:gridCol w:w="1275"/>
        <w:gridCol w:w="1275"/>
        <w:gridCol w:w="1411"/>
        <w:gridCol w:w="1140"/>
      </w:tblGrid>
      <w:tr>
        <w:trPr>
          <w:trHeight w:val="413" w:hRule="atLeast"/>
        </w:trPr>
        <w:tc>
          <w:tcPr>
            <w:tcW w:w="8872" w:type="dxa"/>
            <w:gridSpan w:val="2"/>
            <w:shd w:val="clear" w:color="auto" w:fill="783A79"/>
          </w:tcPr>
          <w:p>
            <w:pPr>
              <w:pStyle w:val="TableParagraph"/>
              <w:spacing w:line="209" w:lineRule="exact" w:before="7"/>
              <w:ind w:right="110"/>
              <w:jc w:val="right"/>
              <w:rPr>
                <w:b/>
                <w:sz w:val="19"/>
              </w:rPr>
            </w:pPr>
            <w:r>
              <w:rPr>
                <w:b/>
                <w:color w:val="FFFFFF"/>
                <w:w w:val="95"/>
                <w:sz w:val="19"/>
              </w:rPr>
              <w:t>2017</w:t>
            </w:r>
          </w:p>
          <w:p>
            <w:pPr>
              <w:pStyle w:val="TableParagraph"/>
              <w:spacing w:line="178" w:lineRule="exact" w:before="0"/>
              <w:ind w:right="110"/>
              <w:jc w:val="right"/>
              <w:rPr>
                <w:b/>
                <w:sz w:val="19"/>
              </w:rPr>
            </w:pPr>
            <w:r>
              <w:rPr>
                <w:b/>
                <w:color w:val="FFFFFF"/>
                <w:sz w:val="19"/>
              </w:rPr>
              <w:t>Estimate</w:t>
            </w:r>
          </w:p>
        </w:tc>
        <w:tc>
          <w:tcPr>
            <w:tcW w:w="1332" w:type="dxa"/>
            <w:shd w:val="clear" w:color="auto" w:fill="783A79"/>
          </w:tcPr>
          <w:p>
            <w:pPr>
              <w:pStyle w:val="TableParagraph"/>
              <w:spacing w:line="209" w:lineRule="exact" w:before="7"/>
              <w:ind w:left="762" w:right="78"/>
              <w:jc w:val="center"/>
              <w:rPr>
                <w:b/>
                <w:sz w:val="19"/>
              </w:rPr>
            </w:pPr>
            <w:r>
              <w:rPr>
                <w:b/>
                <w:color w:val="FFFFFF"/>
                <w:sz w:val="19"/>
              </w:rPr>
              <w:t>2017</w:t>
            </w:r>
          </w:p>
          <w:p>
            <w:pPr>
              <w:pStyle w:val="TableParagraph"/>
              <w:spacing w:line="177" w:lineRule="exact" w:before="0"/>
              <w:ind w:left="530" w:right="1"/>
              <w:jc w:val="center"/>
              <w:rPr>
                <w:b/>
                <w:sz w:val="19"/>
              </w:rPr>
            </w:pPr>
            <w:r>
              <w:rPr>
                <w:b/>
                <w:color w:val="FFFFFF"/>
                <w:sz w:val="19"/>
              </w:rPr>
              <w:t>Actual</w:t>
            </w:r>
          </w:p>
        </w:tc>
        <w:tc>
          <w:tcPr>
            <w:tcW w:w="1275" w:type="dxa"/>
            <w:shd w:val="clear" w:color="auto" w:fill="783A79"/>
          </w:tcPr>
          <w:p>
            <w:pPr>
              <w:pStyle w:val="TableParagraph"/>
              <w:spacing w:before="7"/>
              <w:ind w:right="110"/>
              <w:jc w:val="right"/>
              <w:rPr>
                <w:b/>
                <w:sz w:val="19"/>
              </w:rPr>
            </w:pPr>
            <w:r>
              <w:rPr>
                <w:b/>
                <w:color w:val="FFFFFF"/>
                <w:sz w:val="19"/>
              </w:rPr>
              <w:t>Variance</w:t>
            </w:r>
          </w:p>
        </w:tc>
        <w:tc>
          <w:tcPr>
            <w:tcW w:w="1275" w:type="dxa"/>
            <w:shd w:val="clear" w:color="auto" w:fill="783A79"/>
          </w:tcPr>
          <w:p>
            <w:pPr>
              <w:pStyle w:val="TableParagraph"/>
              <w:spacing w:line="209" w:lineRule="exact" w:before="7"/>
              <w:ind w:left="718" w:right="89"/>
              <w:jc w:val="center"/>
              <w:rPr>
                <w:b/>
                <w:sz w:val="19"/>
              </w:rPr>
            </w:pPr>
            <w:r>
              <w:rPr>
                <w:b/>
                <w:color w:val="FFFFFF"/>
                <w:sz w:val="19"/>
              </w:rPr>
              <w:t>2017</w:t>
            </w:r>
          </w:p>
          <w:p>
            <w:pPr>
              <w:pStyle w:val="TableParagraph"/>
              <w:spacing w:line="177" w:lineRule="exact" w:before="0"/>
              <w:ind w:left="564" w:right="89"/>
              <w:jc w:val="center"/>
              <w:rPr>
                <w:b/>
                <w:sz w:val="19"/>
              </w:rPr>
            </w:pPr>
            <w:r>
              <w:rPr>
                <w:b/>
                <w:color w:val="FFFFFF"/>
                <w:sz w:val="19"/>
              </w:rPr>
              <w:t>Actual</w:t>
            </w:r>
          </w:p>
        </w:tc>
        <w:tc>
          <w:tcPr>
            <w:tcW w:w="1411" w:type="dxa"/>
            <w:shd w:val="clear" w:color="auto" w:fill="783A79"/>
          </w:tcPr>
          <w:p>
            <w:pPr>
              <w:pStyle w:val="TableParagraph"/>
              <w:spacing w:line="209" w:lineRule="exact" w:before="7"/>
              <w:ind w:left="565" w:right="70"/>
              <w:jc w:val="center"/>
              <w:rPr>
                <w:b/>
                <w:sz w:val="19"/>
              </w:rPr>
            </w:pPr>
            <w:r>
              <w:rPr>
                <w:b/>
                <w:color w:val="FFFFFF"/>
                <w:sz w:val="19"/>
              </w:rPr>
              <w:t>2016</w:t>
            </w:r>
          </w:p>
          <w:p>
            <w:pPr>
              <w:pStyle w:val="TableParagraph"/>
              <w:spacing w:line="177" w:lineRule="exact" w:before="0"/>
              <w:ind w:left="565" w:right="225"/>
              <w:jc w:val="center"/>
              <w:rPr>
                <w:b/>
                <w:sz w:val="19"/>
              </w:rPr>
            </w:pPr>
            <w:r>
              <w:rPr>
                <w:b/>
                <w:color w:val="FFFFFF"/>
                <w:sz w:val="19"/>
              </w:rPr>
              <w:t>Actual</w:t>
            </w:r>
          </w:p>
        </w:tc>
        <w:tc>
          <w:tcPr>
            <w:tcW w:w="1140" w:type="dxa"/>
            <w:shd w:val="clear" w:color="auto" w:fill="783A79"/>
          </w:tcPr>
          <w:p>
            <w:pPr>
              <w:pStyle w:val="TableParagraph"/>
              <w:spacing w:before="8"/>
              <w:ind w:right="109"/>
              <w:jc w:val="right"/>
              <w:rPr>
                <w:b/>
                <w:sz w:val="19"/>
              </w:rPr>
            </w:pPr>
            <w:r>
              <w:rPr>
                <w:b/>
                <w:color w:val="FFFFFF"/>
                <w:sz w:val="19"/>
              </w:rPr>
              <w:t>Variance</w:t>
            </w:r>
          </w:p>
        </w:tc>
      </w:tr>
      <w:tr>
        <w:trPr>
          <w:trHeight w:val="256" w:hRule="atLeast"/>
        </w:trPr>
        <w:tc>
          <w:tcPr>
            <w:tcW w:w="7550" w:type="dxa"/>
            <w:shd w:val="clear" w:color="auto" w:fill="783A79"/>
          </w:tcPr>
          <w:p>
            <w:pPr>
              <w:pStyle w:val="TableParagraph"/>
              <w:spacing w:before="0"/>
              <w:rPr>
                <w:rFonts w:ascii="Times New Roman"/>
                <w:sz w:val="20"/>
              </w:rPr>
            </w:pPr>
          </w:p>
        </w:tc>
        <w:tc>
          <w:tcPr>
            <w:tcW w:w="1322" w:type="dxa"/>
            <w:shd w:val="clear" w:color="auto" w:fill="783A79"/>
          </w:tcPr>
          <w:p>
            <w:pPr>
              <w:pStyle w:val="TableParagraph"/>
              <w:spacing w:before="7"/>
              <w:ind w:right="110"/>
              <w:jc w:val="right"/>
              <w:rPr>
                <w:b/>
                <w:sz w:val="19"/>
              </w:rPr>
            </w:pPr>
            <w:r>
              <w:rPr>
                <w:b/>
                <w:color w:val="FFFFFF"/>
                <w:w w:val="95"/>
                <w:sz w:val="19"/>
              </w:rPr>
              <w:t>$000</w:t>
            </w:r>
          </w:p>
        </w:tc>
        <w:tc>
          <w:tcPr>
            <w:tcW w:w="1332" w:type="dxa"/>
            <w:shd w:val="clear" w:color="auto" w:fill="783A79"/>
          </w:tcPr>
          <w:p>
            <w:pPr>
              <w:pStyle w:val="TableParagraph"/>
              <w:spacing w:before="7"/>
              <w:ind w:right="110"/>
              <w:jc w:val="right"/>
              <w:rPr>
                <w:b/>
                <w:sz w:val="19"/>
              </w:rPr>
            </w:pPr>
            <w:r>
              <w:rPr>
                <w:b/>
                <w:color w:val="FFFFFF"/>
                <w:w w:val="95"/>
                <w:sz w:val="19"/>
              </w:rPr>
              <w:t>$000</w:t>
            </w:r>
          </w:p>
        </w:tc>
        <w:tc>
          <w:tcPr>
            <w:tcW w:w="1275" w:type="dxa"/>
            <w:shd w:val="clear" w:color="auto" w:fill="783A79"/>
          </w:tcPr>
          <w:p>
            <w:pPr>
              <w:pStyle w:val="TableParagraph"/>
              <w:spacing w:before="7"/>
              <w:ind w:right="110"/>
              <w:jc w:val="right"/>
              <w:rPr>
                <w:b/>
                <w:sz w:val="19"/>
              </w:rPr>
            </w:pPr>
            <w:r>
              <w:rPr>
                <w:b/>
                <w:color w:val="FFFFFF"/>
                <w:w w:val="95"/>
                <w:sz w:val="19"/>
              </w:rPr>
              <w:t>$000</w:t>
            </w:r>
          </w:p>
        </w:tc>
        <w:tc>
          <w:tcPr>
            <w:tcW w:w="1275" w:type="dxa"/>
            <w:shd w:val="clear" w:color="auto" w:fill="783A79"/>
          </w:tcPr>
          <w:p>
            <w:pPr>
              <w:pStyle w:val="TableParagraph"/>
              <w:spacing w:before="7"/>
              <w:ind w:right="109"/>
              <w:jc w:val="right"/>
              <w:rPr>
                <w:b/>
                <w:sz w:val="19"/>
              </w:rPr>
            </w:pPr>
            <w:r>
              <w:rPr>
                <w:b/>
                <w:color w:val="FFFFFF"/>
                <w:w w:val="95"/>
                <w:sz w:val="19"/>
              </w:rPr>
              <w:t>$000</w:t>
            </w:r>
          </w:p>
        </w:tc>
        <w:tc>
          <w:tcPr>
            <w:tcW w:w="1411" w:type="dxa"/>
            <w:shd w:val="clear" w:color="auto" w:fill="783A79"/>
          </w:tcPr>
          <w:p>
            <w:pPr>
              <w:pStyle w:val="TableParagraph"/>
              <w:spacing w:before="7"/>
              <w:ind w:right="244"/>
              <w:jc w:val="right"/>
              <w:rPr>
                <w:b/>
                <w:sz w:val="19"/>
              </w:rPr>
            </w:pPr>
            <w:r>
              <w:rPr>
                <w:b/>
                <w:color w:val="FFFFFF"/>
                <w:w w:val="95"/>
                <w:sz w:val="19"/>
              </w:rPr>
              <w:t>$000</w:t>
            </w:r>
          </w:p>
        </w:tc>
        <w:tc>
          <w:tcPr>
            <w:tcW w:w="1140" w:type="dxa"/>
            <w:shd w:val="clear" w:color="auto" w:fill="783A79"/>
          </w:tcPr>
          <w:p>
            <w:pPr>
              <w:pStyle w:val="TableParagraph"/>
              <w:spacing w:before="8"/>
              <w:ind w:right="109"/>
              <w:jc w:val="right"/>
              <w:rPr>
                <w:b/>
                <w:sz w:val="19"/>
              </w:rPr>
            </w:pPr>
            <w:r>
              <w:rPr>
                <w:b/>
                <w:color w:val="FFFFFF"/>
                <w:w w:val="95"/>
                <w:sz w:val="19"/>
              </w:rPr>
              <w:t>$000</w:t>
            </w:r>
          </w:p>
        </w:tc>
      </w:tr>
      <w:tr>
        <w:trPr>
          <w:trHeight w:val="295" w:hRule="atLeast"/>
        </w:trPr>
        <w:tc>
          <w:tcPr>
            <w:tcW w:w="7550" w:type="dxa"/>
            <w:shd w:val="clear" w:color="auto" w:fill="F4F4F4"/>
          </w:tcPr>
          <w:p>
            <w:pPr>
              <w:pStyle w:val="TableParagraph"/>
              <w:spacing w:before="43"/>
              <w:ind w:left="113"/>
              <w:rPr>
                <w:i/>
                <w:sz w:val="19"/>
              </w:rPr>
            </w:pPr>
            <w:r>
              <w:rPr>
                <w:i/>
                <w:color w:val="A7BE39"/>
                <w:sz w:val="19"/>
              </w:rPr>
              <w:t>Delivery of services</w:t>
            </w:r>
          </w:p>
        </w:tc>
        <w:tc>
          <w:tcPr>
            <w:tcW w:w="1322" w:type="dxa"/>
            <w:shd w:val="clear" w:color="auto" w:fill="F4F4F4"/>
          </w:tcPr>
          <w:p>
            <w:pPr>
              <w:pStyle w:val="TableParagraph"/>
              <w:spacing w:before="0"/>
              <w:rPr>
                <w:rFonts w:ascii="Times New Roman"/>
                <w:sz w:val="20"/>
              </w:rPr>
            </w:pPr>
          </w:p>
        </w:tc>
        <w:tc>
          <w:tcPr>
            <w:tcW w:w="1332" w:type="dxa"/>
            <w:shd w:val="clear" w:color="auto" w:fill="DFE1B8"/>
          </w:tcPr>
          <w:p>
            <w:pPr>
              <w:pStyle w:val="TableParagraph"/>
              <w:spacing w:before="0"/>
              <w:rPr>
                <w:rFonts w:ascii="Times New Roman"/>
                <w:sz w:val="20"/>
              </w:rPr>
            </w:pPr>
          </w:p>
        </w:tc>
        <w:tc>
          <w:tcPr>
            <w:tcW w:w="1275" w:type="dxa"/>
            <w:tcBorders>
              <w:bottom w:val="single" w:sz="8" w:space="0" w:color="FFFFFF"/>
            </w:tcBorders>
            <w:shd w:val="clear" w:color="auto" w:fill="F4F4F4"/>
          </w:tcPr>
          <w:p>
            <w:pPr>
              <w:pStyle w:val="TableParagraph"/>
              <w:spacing w:before="0"/>
              <w:rPr>
                <w:rFonts w:ascii="Times New Roman"/>
                <w:sz w:val="20"/>
              </w:rPr>
            </w:pPr>
          </w:p>
        </w:tc>
        <w:tc>
          <w:tcPr>
            <w:tcW w:w="1275" w:type="dxa"/>
            <w:shd w:val="clear" w:color="auto" w:fill="DFE1B8"/>
          </w:tcPr>
          <w:p>
            <w:pPr>
              <w:pStyle w:val="TableParagraph"/>
              <w:spacing w:before="0"/>
              <w:rPr>
                <w:rFonts w:ascii="Times New Roman"/>
                <w:sz w:val="20"/>
              </w:rPr>
            </w:pPr>
          </w:p>
        </w:tc>
        <w:tc>
          <w:tcPr>
            <w:tcW w:w="1411" w:type="dxa"/>
            <w:shd w:val="clear" w:color="auto" w:fill="F4F4F4"/>
          </w:tcPr>
          <w:p>
            <w:pPr>
              <w:pStyle w:val="TableParagraph"/>
              <w:spacing w:before="0"/>
              <w:rPr>
                <w:rFonts w:ascii="Times New Roman"/>
                <w:sz w:val="20"/>
              </w:rPr>
            </w:pPr>
          </w:p>
        </w:tc>
        <w:tc>
          <w:tcPr>
            <w:tcW w:w="1140" w:type="dxa"/>
            <w:shd w:val="clear" w:color="auto" w:fill="F4F4F4"/>
          </w:tcPr>
          <w:p>
            <w:pPr>
              <w:pStyle w:val="TableParagraph"/>
              <w:spacing w:before="0"/>
              <w:rPr>
                <w:rFonts w:ascii="Times New Roman"/>
                <w:sz w:val="20"/>
              </w:rPr>
            </w:pPr>
          </w:p>
        </w:tc>
      </w:tr>
      <w:tr>
        <w:trPr>
          <w:trHeight w:val="285" w:hRule="atLeast"/>
        </w:trPr>
        <w:tc>
          <w:tcPr>
            <w:tcW w:w="7550" w:type="dxa"/>
            <w:shd w:val="clear" w:color="auto" w:fill="FAF9F9"/>
          </w:tcPr>
          <w:p>
            <w:pPr>
              <w:pStyle w:val="TableParagraph"/>
              <w:spacing w:before="33"/>
              <w:ind w:left="113"/>
              <w:rPr>
                <w:sz w:val="19"/>
              </w:rPr>
            </w:pPr>
            <w:r>
              <w:rPr>
                <w:sz w:val="19"/>
              </w:rPr>
              <w:t>Item 69 net amount appropriated to deliver services</w:t>
            </w:r>
          </w:p>
        </w:tc>
        <w:tc>
          <w:tcPr>
            <w:tcW w:w="1322" w:type="dxa"/>
            <w:shd w:val="clear" w:color="auto" w:fill="FAF9F9"/>
          </w:tcPr>
          <w:p>
            <w:pPr>
              <w:pStyle w:val="TableParagraph"/>
              <w:spacing w:before="33"/>
              <w:ind w:right="113"/>
              <w:jc w:val="right"/>
              <w:rPr>
                <w:sz w:val="19"/>
              </w:rPr>
            </w:pPr>
            <w:r>
              <w:rPr>
                <w:w w:val="95"/>
                <w:sz w:val="19"/>
              </w:rPr>
              <w:t>176,158</w:t>
            </w:r>
          </w:p>
        </w:tc>
        <w:tc>
          <w:tcPr>
            <w:tcW w:w="1332" w:type="dxa"/>
            <w:shd w:val="clear" w:color="auto" w:fill="E1E4BB"/>
          </w:tcPr>
          <w:p>
            <w:pPr>
              <w:pStyle w:val="TableParagraph"/>
              <w:spacing w:before="33"/>
              <w:ind w:right="113"/>
              <w:jc w:val="right"/>
              <w:rPr>
                <w:sz w:val="19"/>
              </w:rPr>
            </w:pPr>
            <w:r>
              <w:rPr>
                <w:w w:val="95"/>
                <w:sz w:val="19"/>
              </w:rPr>
              <w:t>165,525</w:t>
            </w:r>
          </w:p>
        </w:tc>
        <w:tc>
          <w:tcPr>
            <w:tcW w:w="1275" w:type="dxa"/>
            <w:tcBorders>
              <w:top w:val="single" w:sz="8" w:space="0" w:color="FFFFFF"/>
              <w:bottom w:val="single" w:sz="8" w:space="0" w:color="FFFFFF"/>
            </w:tcBorders>
            <w:shd w:val="clear" w:color="auto" w:fill="FAF9F9"/>
          </w:tcPr>
          <w:p>
            <w:pPr>
              <w:pStyle w:val="TableParagraph"/>
              <w:spacing w:before="33"/>
              <w:ind w:right="112"/>
              <w:jc w:val="right"/>
              <w:rPr>
                <w:sz w:val="19"/>
              </w:rPr>
            </w:pPr>
            <w:r>
              <w:rPr>
                <w:w w:val="95"/>
                <w:sz w:val="19"/>
              </w:rPr>
              <w:t>(10,633)</w:t>
            </w:r>
          </w:p>
        </w:tc>
        <w:tc>
          <w:tcPr>
            <w:tcW w:w="1275" w:type="dxa"/>
            <w:shd w:val="clear" w:color="auto" w:fill="E1E4BB"/>
          </w:tcPr>
          <w:p>
            <w:pPr>
              <w:pStyle w:val="TableParagraph"/>
              <w:spacing w:before="33"/>
              <w:ind w:right="111"/>
              <w:jc w:val="right"/>
              <w:rPr>
                <w:sz w:val="19"/>
              </w:rPr>
            </w:pPr>
            <w:r>
              <w:rPr>
                <w:w w:val="95"/>
                <w:sz w:val="19"/>
              </w:rPr>
              <w:t>165,525</w:t>
            </w:r>
          </w:p>
        </w:tc>
        <w:tc>
          <w:tcPr>
            <w:tcW w:w="1411" w:type="dxa"/>
            <w:shd w:val="clear" w:color="auto" w:fill="FAF9F9"/>
          </w:tcPr>
          <w:p>
            <w:pPr>
              <w:pStyle w:val="TableParagraph"/>
              <w:spacing w:before="33"/>
              <w:ind w:right="247"/>
              <w:jc w:val="right"/>
              <w:rPr>
                <w:sz w:val="19"/>
              </w:rPr>
            </w:pPr>
            <w:r>
              <w:rPr>
                <w:w w:val="95"/>
                <w:sz w:val="19"/>
              </w:rPr>
              <w:t>187,307</w:t>
            </w:r>
          </w:p>
        </w:tc>
        <w:tc>
          <w:tcPr>
            <w:tcW w:w="1140" w:type="dxa"/>
            <w:shd w:val="clear" w:color="auto" w:fill="FAF9F9"/>
          </w:tcPr>
          <w:p>
            <w:pPr>
              <w:pStyle w:val="TableParagraph"/>
              <w:spacing w:before="33"/>
              <w:ind w:right="111"/>
              <w:jc w:val="right"/>
              <w:rPr>
                <w:sz w:val="19"/>
              </w:rPr>
            </w:pPr>
            <w:r>
              <w:rPr>
                <w:w w:val="95"/>
                <w:sz w:val="19"/>
              </w:rPr>
              <w:t>(21,782)</w:t>
            </w:r>
          </w:p>
        </w:tc>
      </w:tr>
      <w:tr>
        <w:trPr>
          <w:trHeight w:val="280" w:hRule="atLeast"/>
        </w:trPr>
        <w:tc>
          <w:tcPr>
            <w:tcW w:w="7550" w:type="dxa"/>
            <w:shd w:val="clear" w:color="auto" w:fill="F4F4F4"/>
          </w:tcPr>
          <w:p>
            <w:pPr>
              <w:pStyle w:val="TableParagraph"/>
              <w:spacing w:before="33"/>
              <w:ind w:left="114"/>
              <w:rPr>
                <w:sz w:val="19"/>
              </w:rPr>
            </w:pPr>
            <w:r>
              <w:rPr>
                <w:sz w:val="19"/>
              </w:rPr>
              <w:t>Amount authorised by other statutes:</w:t>
            </w:r>
          </w:p>
        </w:tc>
        <w:tc>
          <w:tcPr>
            <w:tcW w:w="1322" w:type="dxa"/>
            <w:shd w:val="clear" w:color="auto" w:fill="F4F4F4"/>
          </w:tcPr>
          <w:p>
            <w:pPr>
              <w:pStyle w:val="TableParagraph"/>
              <w:spacing w:before="0"/>
              <w:rPr>
                <w:rFonts w:ascii="Times New Roman"/>
                <w:sz w:val="20"/>
              </w:rPr>
            </w:pPr>
          </w:p>
        </w:tc>
        <w:tc>
          <w:tcPr>
            <w:tcW w:w="1332" w:type="dxa"/>
            <w:shd w:val="clear" w:color="auto" w:fill="DFE1B8"/>
          </w:tcPr>
          <w:p>
            <w:pPr>
              <w:pStyle w:val="TableParagraph"/>
              <w:spacing w:before="0"/>
              <w:rPr>
                <w:rFonts w:ascii="Times New Roman"/>
                <w:sz w:val="20"/>
              </w:rPr>
            </w:pPr>
          </w:p>
        </w:tc>
        <w:tc>
          <w:tcPr>
            <w:tcW w:w="1275"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275" w:type="dxa"/>
            <w:shd w:val="clear" w:color="auto" w:fill="DFE1B8"/>
          </w:tcPr>
          <w:p>
            <w:pPr>
              <w:pStyle w:val="TableParagraph"/>
              <w:spacing w:before="0"/>
              <w:rPr>
                <w:rFonts w:ascii="Times New Roman"/>
                <w:sz w:val="20"/>
              </w:rPr>
            </w:pPr>
          </w:p>
        </w:tc>
        <w:tc>
          <w:tcPr>
            <w:tcW w:w="1411" w:type="dxa"/>
            <w:shd w:val="clear" w:color="auto" w:fill="F4F4F4"/>
          </w:tcPr>
          <w:p>
            <w:pPr>
              <w:pStyle w:val="TableParagraph"/>
              <w:spacing w:before="0"/>
              <w:rPr>
                <w:rFonts w:ascii="Times New Roman"/>
                <w:sz w:val="20"/>
              </w:rPr>
            </w:pPr>
          </w:p>
        </w:tc>
        <w:tc>
          <w:tcPr>
            <w:tcW w:w="1140" w:type="dxa"/>
            <w:shd w:val="clear" w:color="auto" w:fill="F4F4F4"/>
          </w:tcPr>
          <w:p>
            <w:pPr>
              <w:pStyle w:val="TableParagraph"/>
              <w:spacing w:before="0"/>
              <w:rPr>
                <w:rFonts w:ascii="Times New Roman"/>
                <w:sz w:val="20"/>
              </w:rPr>
            </w:pPr>
          </w:p>
        </w:tc>
      </w:tr>
      <w:tr>
        <w:trPr>
          <w:trHeight w:val="295" w:hRule="atLeast"/>
        </w:trPr>
        <w:tc>
          <w:tcPr>
            <w:tcW w:w="7550" w:type="dxa"/>
            <w:shd w:val="clear" w:color="auto" w:fill="FAF9F9"/>
          </w:tcPr>
          <w:p>
            <w:pPr>
              <w:pStyle w:val="TableParagraph"/>
              <w:spacing w:before="38"/>
              <w:ind w:left="114"/>
              <w:rPr>
                <w:i/>
                <w:sz w:val="19"/>
              </w:rPr>
            </w:pPr>
            <w:r>
              <w:rPr>
                <w:i/>
                <w:sz w:val="19"/>
              </w:rPr>
              <w:t>- Salaries and Allowances Act 1975</w:t>
            </w:r>
          </w:p>
        </w:tc>
        <w:tc>
          <w:tcPr>
            <w:tcW w:w="1322" w:type="dxa"/>
            <w:tcBorders>
              <w:bottom w:val="single" w:sz="4" w:space="0" w:color="000000"/>
            </w:tcBorders>
            <w:shd w:val="clear" w:color="auto" w:fill="FAF9F9"/>
          </w:tcPr>
          <w:p>
            <w:pPr>
              <w:pStyle w:val="TableParagraph"/>
              <w:spacing w:before="38"/>
              <w:ind w:right="113"/>
              <w:jc w:val="right"/>
              <w:rPr>
                <w:sz w:val="19"/>
              </w:rPr>
            </w:pPr>
            <w:r>
              <w:rPr>
                <w:w w:val="95"/>
                <w:sz w:val="19"/>
              </w:rPr>
              <w:t>1,625</w:t>
            </w:r>
          </w:p>
        </w:tc>
        <w:tc>
          <w:tcPr>
            <w:tcW w:w="1332" w:type="dxa"/>
            <w:tcBorders>
              <w:bottom w:val="single" w:sz="4" w:space="0" w:color="000000"/>
            </w:tcBorders>
            <w:shd w:val="clear" w:color="auto" w:fill="E1E4BB"/>
          </w:tcPr>
          <w:p>
            <w:pPr>
              <w:pStyle w:val="TableParagraph"/>
              <w:spacing w:before="38"/>
              <w:ind w:right="112"/>
              <w:jc w:val="right"/>
              <w:rPr>
                <w:sz w:val="19"/>
              </w:rPr>
            </w:pPr>
            <w:r>
              <w:rPr>
                <w:w w:val="95"/>
                <w:sz w:val="19"/>
              </w:rPr>
              <w:t>1,625</w:t>
            </w:r>
          </w:p>
        </w:tc>
        <w:tc>
          <w:tcPr>
            <w:tcW w:w="1275" w:type="dxa"/>
            <w:tcBorders>
              <w:top w:val="single" w:sz="8" w:space="0" w:color="FFFFFF"/>
              <w:bottom w:val="single" w:sz="4" w:space="0" w:color="000000"/>
            </w:tcBorders>
            <w:shd w:val="clear" w:color="auto" w:fill="FAF9F9"/>
          </w:tcPr>
          <w:p>
            <w:pPr>
              <w:pStyle w:val="TableParagraph"/>
              <w:spacing w:before="38"/>
              <w:ind w:right="109"/>
              <w:jc w:val="right"/>
              <w:rPr>
                <w:sz w:val="19"/>
              </w:rPr>
            </w:pPr>
            <w:r>
              <w:rPr>
                <w:w w:val="111"/>
                <w:sz w:val="19"/>
              </w:rPr>
              <w:t>-</w:t>
            </w:r>
          </w:p>
        </w:tc>
        <w:tc>
          <w:tcPr>
            <w:tcW w:w="1275" w:type="dxa"/>
            <w:tcBorders>
              <w:bottom w:val="single" w:sz="4" w:space="0" w:color="000000"/>
            </w:tcBorders>
            <w:shd w:val="clear" w:color="auto" w:fill="E1E4BB"/>
          </w:tcPr>
          <w:p>
            <w:pPr>
              <w:pStyle w:val="TableParagraph"/>
              <w:spacing w:before="38"/>
              <w:ind w:right="111"/>
              <w:jc w:val="right"/>
              <w:rPr>
                <w:sz w:val="19"/>
              </w:rPr>
            </w:pPr>
            <w:r>
              <w:rPr>
                <w:w w:val="95"/>
                <w:sz w:val="19"/>
              </w:rPr>
              <w:t>1,625</w:t>
            </w:r>
          </w:p>
        </w:tc>
        <w:tc>
          <w:tcPr>
            <w:tcW w:w="1411" w:type="dxa"/>
            <w:tcBorders>
              <w:bottom w:val="single" w:sz="4" w:space="0" w:color="000000"/>
            </w:tcBorders>
            <w:shd w:val="clear" w:color="auto" w:fill="FAF9F9"/>
          </w:tcPr>
          <w:p>
            <w:pPr>
              <w:pStyle w:val="TableParagraph"/>
              <w:spacing w:before="38"/>
              <w:ind w:right="246"/>
              <w:jc w:val="right"/>
              <w:rPr>
                <w:sz w:val="19"/>
              </w:rPr>
            </w:pPr>
            <w:r>
              <w:rPr>
                <w:w w:val="95"/>
                <w:sz w:val="19"/>
              </w:rPr>
              <w:t>1,625</w:t>
            </w:r>
          </w:p>
        </w:tc>
        <w:tc>
          <w:tcPr>
            <w:tcW w:w="1140" w:type="dxa"/>
            <w:tcBorders>
              <w:bottom w:val="single" w:sz="4" w:space="0" w:color="000000"/>
            </w:tcBorders>
            <w:shd w:val="clear" w:color="auto" w:fill="FAF9F9"/>
          </w:tcPr>
          <w:p>
            <w:pPr>
              <w:pStyle w:val="TableParagraph"/>
              <w:spacing w:before="38"/>
              <w:ind w:right="108"/>
              <w:jc w:val="right"/>
              <w:rPr>
                <w:sz w:val="19"/>
              </w:rPr>
            </w:pPr>
            <w:r>
              <w:rPr>
                <w:w w:val="111"/>
                <w:sz w:val="19"/>
              </w:rPr>
              <w:t>-</w:t>
            </w:r>
          </w:p>
        </w:tc>
      </w:tr>
      <w:tr>
        <w:trPr>
          <w:trHeight w:val="295" w:hRule="atLeast"/>
        </w:trPr>
        <w:tc>
          <w:tcPr>
            <w:tcW w:w="7550" w:type="dxa"/>
            <w:shd w:val="clear" w:color="auto" w:fill="F4F4F4"/>
          </w:tcPr>
          <w:p>
            <w:pPr>
              <w:pStyle w:val="TableParagraph"/>
              <w:spacing w:before="38"/>
              <w:ind w:left="114"/>
              <w:rPr>
                <w:b/>
                <w:sz w:val="19"/>
              </w:rPr>
            </w:pPr>
            <w:r>
              <w:rPr>
                <w:b/>
                <w:sz w:val="19"/>
              </w:rPr>
              <w:t>Total appropriations provided to deliver services</w:t>
            </w:r>
          </w:p>
        </w:tc>
        <w:tc>
          <w:tcPr>
            <w:tcW w:w="1322" w:type="dxa"/>
            <w:tcBorders>
              <w:top w:val="single" w:sz="4" w:space="0" w:color="000000"/>
              <w:bottom w:val="single" w:sz="4" w:space="0" w:color="000000"/>
            </w:tcBorders>
            <w:shd w:val="clear" w:color="auto" w:fill="F4F4F4"/>
          </w:tcPr>
          <w:p>
            <w:pPr>
              <w:pStyle w:val="TableParagraph"/>
              <w:spacing w:before="38"/>
              <w:ind w:right="112"/>
              <w:jc w:val="right"/>
              <w:rPr>
                <w:b/>
                <w:sz w:val="19"/>
              </w:rPr>
            </w:pPr>
            <w:r>
              <w:rPr>
                <w:b/>
                <w:w w:val="95"/>
                <w:sz w:val="19"/>
              </w:rPr>
              <w:t>177,783</w:t>
            </w:r>
          </w:p>
        </w:tc>
        <w:tc>
          <w:tcPr>
            <w:tcW w:w="1332" w:type="dxa"/>
            <w:tcBorders>
              <w:top w:val="single" w:sz="4" w:space="0" w:color="000000"/>
              <w:bottom w:val="single" w:sz="4" w:space="0" w:color="000000"/>
            </w:tcBorders>
            <w:shd w:val="clear" w:color="auto" w:fill="DFE1B8"/>
          </w:tcPr>
          <w:p>
            <w:pPr>
              <w:pStyle w:val="TableParagraph"/>
              <w:spacing w:before="38"/>
              <w:ind w:right="112"/>
              <w:jc w:val="right"/>
              <w:rPr>
                <w:b/>
                <w:sz w:val="19"/>
              </w:rPr>
            </w:pPr>
            <w:r>
              <w:rPr>
                <w:b/>
                <w:w w:val="95"/>
                <w:sz w:val="19"/>
              </w:rPr>
              <w:t>167,150</w:t>
            </w:r>
          </w:p>
        </w:tc>
        <w:tc>
          <w:tcPr>
            <w:tcW w:w="1275" w:type="dxa"/>
            <w:tcBorders>
              <w:top w:val="single" w:sz="4" w:space="0" w:color="000000"/>
              <w:bottom w:val="single" w:sz="4" w:space="0" w:color="000000"/>
            </w:tcBorders>
            <w:shd w:val="clear" w:color="auto" w:fill="F4F4F4"/>
          </w:tcPr>
          <w:p>
            <w:pPr>
              <w:pStyle w:val="TableParagraph"/>
              <w:spacing w:before="38"/>
              <w:ind w:right="111"/>
              <w:jc w:val="right"/>
              <w:rPr>
                <w:b/>
                <w:sz w:val="19"/>
              </w:rPr>
            </w:pPr>
            <w:r>
              <w:rPr>
                <w:b/>
                <w:w w:val="95"/>
                <w:sz w:val="19"/>
              </w:rPr>
              <w:t>(10,633)</w:t>
            </w:r>
          </w:p>
        </w:tc>
        <w:tc>
          <w:tcPr>
            <w:tcW w:w="1275" w:type="dxa"/>
            <w:tcBorders>
              <w:top w:val="single" w:sz="4" w:space="0" w:color="000000"/>
              <w:bottom w:val="single" w:sz="4" w:space="0" w:color="000000"/>
            </w:tcBorders>
            <w:shd w:val="clear" w:color="auto" w:fill="DFE1B8"/>
          </w:tcPr>
          <w:p>
            <w:pPr>
              <w:pStyle w:val="TableParagraph"/>
              <w:spacing w:before="38"/>
              <w:ind w:right="111"/>
              <w:jc w:val="right"/>
              <w:rPr>
                <w:b/>
                <w:sz w:val="19"/>
              </w:rPr>
            </w:pPr>
            <w:r>
              <w:rPr>
                <w:b/>
                <w:w w:val="95"/>
                <w:sz w:val="19"/>
              </w:rPr>
              <w:t>167,150</w:t>
            </w:r>
          </w:p>
        </w:tc>
        <w:tc>
          <w:tcPr>
            <w:tcW w:w="1411" w:type="dxa"/>
            <w:tcBorders>
              <w:top w:val="single" w:sz="4" w:space="0" w:color="000000"/>
              <w:bottom w:val="single" w:sz="4" w:space="0" w:color="000000"/>
            </w:tcBorders>
            <w:shd w:val="clear" w:color="auto" w:fill="F4F4F4"/>
          </w:tcPr>
          <w:p>
            <w:pPr>
              <w:pStyle w:val="TableParagraph"/>
              <w:spacing w:before="38"/>
              <w:ind w:right="246"/>
              <w:jc w:val="right"/>
              <w:rPr>
                <w:b/>
                <w:sz w:val="19"/>
              </w:rPr>
            </w:pPr>
            <w:r>
              <w:rPr>
                <w:b/>
                <w:w w:val="95"/>
                <w:sz w:val="19"/>
              </w:rPr>
              <w:t>188,932</w:t>
            </w:r>
          </w:p>
        </w:tc>
        <w:tc>
          <w:tcPr>
            <w:tcW w:w="1140" w:type="dxa"/>
            <w:tcBorders>
              <w:top w:val="single" w:sz="4" w:space="0" w:color="000000"/>
              <w:bottom w:val="single" w:sz="4" w:space="0" w:color="000000"/>
            </w:tcBorders>
            <w:shd w:val="clear" w:color="auto" w:fill="F4F4F4"/>
          </w:tcPr>
          <w:p>
            <w:pPr>
              <w:pStyle w:val="TableParagraph"/>
              <w:spacing w:before="38"/>
              <w:ind w:right="110"/>
              <w:jc w:val="right"/>
              <w:rPr>
                <w:b/>
                <w:sz w:val="19"/>
              </w:rPr>
            </w:pPr>
            <w:r>
              <w:rPr>
                <w:b/>
                <w:w w:val="95"/>
                <w:sz w:val="19"/>
              </w:rPr>
              <w:t>(21,782)</w:t>
            </w:r>
          </w:p>
        </w:tc>
      </w:tr>
      <w:tr>
        <w:trPr>
          <w:trHeight w:val="295" w:hRule="atLeast"/>
        </w:trPr>
        <w:tc>
          <w:tcPr>
            <w:tcW w:w="7550" w:type="dxa"/>
            <w:shd w:val="clear" w:color="auto" w:fill="FAF9F9"/>
          </w:tcPr>
          <w:p>
            <w:pPr>
              <w:pStyle w:val="TableParagraph"/>
              <w:spacing w:before="38"/>
              <w:ind w:left="114"/>
              <w:rPr>
                <w:i/>
                <w:sz w:val="19"/>
              </w:rPr>
            </w:pPr>
            <w:r>
              <w:rPr>
                <w:i/>
                <w:color w:val="A7BE39"/>
                <w:sz w:val="19"/>
              </w:rPr>
              <w:t>Capital</w:t>
            </w:r>
          </w:p>
        </w:tc>
        <w:tc>
          <w:tcPr>
            <w:tcW w:w="1322" w:type="dxa"/>
            <w:tcBorders>
              <w:top w:val="single" w:sz="4" w:space="0" w:color="000000"/>
              <w:bottom w:val="single" w:sz="4" w:space="0" w:color="000000"/>
            </w:tcBorders>
            <w:shd w:val="clear" w:color="auto" w:fill="FAF9F9"/>
          </w:tcPr>
          <w:p>
            <w:pPr>
              <w:pStyle w:val="TableParagraph"/>
              <w:spacing w:before="0"/>
              <w:rPr>
                <w:rFonts w:ascii="Times New Roman"/>
                <w:sz w:val="20"/>
              </w:rPr>
            </w:pPr>
          </w:p>
        </w:tc>
        <w:tc>
          <w:tcPr>
            <w:tcW w:w="1332" w:type="dxa"/>
            <w:tcBorders>
              <w:top w:val="single" w:sz="4" w:space="0" w:color="000000"/>
              <w:bottom w:val="single" w:sz="4" w:space="0" w:color="000000"/>
            </w:tcBorders>
            <w:shd w:val="clear" w:color="auto" w:fill="E1E4BB"/>
          </w:tcPr>
          <w:p>
            <w:pPr>
              <w:pStyle w:val="TableParagraph"/>
              <w:spacing w:before="0"/>
              <w:rPr>
                <w:rFonts w:ascii="Times New Roman"/>
                <w:sz w:val="20"/>
              </w:rPr>
            </w:pPr>
          </w:p>
        </w:tc>
        <w:tc>
          <w:tcPr>
            <w:tcW w:w="1275" w:type="dxa"/>
            <w:tcBorders>
              <w:top w:val="single" w:sz="4" w:space="0" w:color="000000"/>
              <w:bottom w:val="single" w:sz="4" w:space="0" w:color="000000"/>
            </w:tcBorders>
            <w:shd w:val="clear" w:color="auto" w:fill="FAF9F9"/>
          </w:tcPr>
          <w:p>
            <w:pPr>
              <w:pStyle w:val="TableParagraph"/>
              <w:spacing w:before="0"/>
              <w:rPr>
                <w:rFonts w:ascii="Times New Roman"/>
                <w:sz w:val="20"/>
              </w:rPr>
            </w:pPr>
          </w:p>
        </w:tc>
        <w:tc>
          <w:tcPr>
            <w:tcW w:w="1275" w:type="dxa"/>
            <w:tcBorders>
              <w:top w:val="single" w:sz="4" w:space="0" w:color="000000"/>
              <w:bottom w:val="single" w:sz="4" w:space="0" w:color="000000"/>
            </w:tcBorders>
            <w:shd w:val="clear" w:color="auto" w:fill="E1E4BB"/>
          </w:tcPr>
          <w:p>
            <w:pPr>
              <w:pStyle w:val="TableParagraph"/>
              <w:spacing w:before="0"/>
              <w:rPr>
                <w:rFonts w:ascii="Times New Roman"/>
                <w:sz w:val="20"/>
              </w:rPr>
            </w:pPr>
          </w:p>
        </w:tc>
        <w:tc>
          <w:tcPr>
            <w:tcW w:w="1411" w:type="dxa"/>
            <w:tcBorders>
              <w:top w:val="single" w:sz="4" w:space="0" w:color="000000"/>
              <w:bottom w:val="single" w:sz="4" w:space="0" w:color="000000"/>
            </w:tcBorders>
            <w:shd w:val="clear" w:color="auto" w:fill="FAF9F9"/>
          </w:tcPr>
          <w:p>
            <w:pPr>
              <w:pStyle w:val="TableParagraph"/>
              <w:spacing w:before="0"/>
              <w:rPr>
                <w:rFonts w:ascii="Times New Roman"/>
                <w:sz w:val="20"/>
              </w:rPr>
            </w:pPr>
          </w:p>
        </w:tc>
        <w:tc>
          <w:tcPr>
            <w:tcW w:w="1140" w:type="dxa"/>
            <w:tcBorders>
              <w:top w:val="single" w:sz="4" w:space="0" w:color="000000"/>
              <w:bottom w:val="single" w:sz="4" w:space="0" w:color="000000"/>
            </w:tcBorders>
            <w:shd w:val="clear" w:color="auto" w:fill="FAF9F9"/>
          </w:tcPr>
          <w:p>
            <w:pPr>
              <w:pStyle w:val="TableParagraph"/>
              <w:spacing w:before="0"/>
              <w:rPr>
                <w:rFonts w:ascii="Times New Roman"/>
                <w:sz w:val="20"/>
              </w:rPr>
            </w:pPr>
          </w:p>
        </w:tc>
      </w:tr>
      <w:tr>
        <w:trPr>
          <w:trHeight w:val="295" w:hRule="atLeast"/>
        </w:trPr>
        <w:tc>
          <w:tcPr>
            <w:tcW w:w="7550" w:type="dxa"/>
            <w:shd w:val="clear" w:color="auto" w:fill="F4F4F4"/>
          </w:tcPr>
          <w:p>
            <w:pPr>
              <w:pStyle w:val="TableParagraph"/>
              <w:spacing w:before="38"/>
              <w:ind w:left="114"/>
              <w:rPr>
                <w:sz w:val="19"/>
              </w:rPr>
            </w:pPr>
            <w:r>
              <w:rPr>
                <w:sz w:val="19"/>
              </w:rPr>
              <w:t>Item 149 capital appropriations</w:t>
            </w:r>
          </w:p>
        </w:tc>
        <w:tc>
          <w:tcPr>
            <w:tcW w:w="1322" w:type="dxa"/>
            <w:tcBorders>
              <w:top w:val="single" w:sz="4" w:space="0" w:color="000000"/>
              <w:bottom w:val="single" w:sz="4" w:space="0" w:color="000000"/>
            </w:tcBorders>
            <w:shd w:val="clear" w:color="auto" w:fill="F4F4F4"/>
          </w:tcPr>
          <w:p>
            <w:pPr>
              <w:pStyle w:val="TableParagraph"/>
              <w:spacing w:before="38"/>
              <w:ind w:right="112"/>
              <w:jc w:val="right"/>
              <w:rPr>
                <w:sz w:val="19"/>
              </w:rPr>
            </w:pPr>
            <w:r>
              <w:rPr>
                <w:w w:val="95"/>
                <w:sz w:val="19"/>
              </w:rPr>
              <w:t>29,109</w:t>
            </w:r>
          </w:p>
        </w:tc>
        <w:tc>
          <w:tcPr>
            <w:tcW w:w="1332" w:type="dxa"/>
            <w:tcBorders>
              <w:top w:val="single" w:sz="4" w:space="0" w:color="000000"/>
              <w:bottom w:val="single" w:sz="4" w:space="0" w:color="000000"/>
            </w:tcBorders>
            <w:shd w:val="clear" w:color="auto" w:fill="DFE1B8"/>
          </w:tcPr>
          <w:p>
            <w:pPr>
              <w:pStyle w:val="TableParagraph"/>
              <w:spacing w:before="38"/>
              <w:ind w:right="113"/>
              <w:jc w:val="right"/>
              <w:rPr>
                <w:sz w:val="19"/>
              </w:rPr>
            </w:pPr>
            <w:r>
              <w:rPr>
                <w:w w:val="95"/>
                <w:sz w:val="19"/>
              </w:rPr>
              <w:t>28,763</w:t>
            </w:r>
          </w:p>
        </w:tc>
        <w:tc>
          <w:tcPr>
            <w:tcW w:w="1275" w:type="dxa"/>
            <w:tcBorders>
              <w:top w:val="single" w:sz="4" w:space="0" w:color="000000"/>
              <w:bottom w:val="single" w:sz="4" w:space="0" w:color="000000"/>
            </w:tcBorders>
            <w:shd w:val="clear" w:color="auto" w:fill="F4F4F4"/>
          </w:tcPr>
          <w:p>
            <w:pPr>
              <w:pStyle w:val="TableParagraph"/>
              <w:spacing w:before="38"/>
              <w:ind w:right="111"/>
              <w:jc w:val="right"/>
              <w:rPr>
                <w:sz w:val="19"/>
              </w:rPr>
            </w:pPr>
            <w:r>
              <w:rPr>
                <w:w w:val="90"/>
                <w:sz w:val="19"/>
              </w:rPr>
              <w:t>(346)</w:t>
            </w:r>
          </w:p>
        </w:tc>
        <w:tc>
          <w:tcPr>
            <w:tcW w:w="1275" w:type="dxa"/>
            <w:tcBorders>
              <w:top w:val="single" w:sz="4" w:space="0" w:color="000000"/>
              <w:bottom w:val="single" w:sz="4" w:space="0" w:color="000000"/>
            </w:tcBorders>
            <w:shd w:val="clear" w:color="auto" w:fill="DFE1B8"/>
          </w:tcPr>
          <w:p>
            <w:pPr>
              <w:pStyle w:val="TableParagraph"/>
              <w:spacing w:before="38"/>
              <w:ind w:right="110"/>
              <w:jc w:val="right"/>
              <w:rPr>
                <w:sz w:val="19"/>
              </w:rPr>
            </w:pPr>
            <w:r>
              <w:rPr>
                <w:w w:val="95"/>
                <w:sz w:val="19"/>
              </w:rPr>
              <w:t>28,763</w:t>
            </w:r>
          </w:p>
        </w:tc>
        <w:tc>
          <w:tcPr>
            <w:tcW w:w="1411" w:type="dxa"/>
            <w:tcBorders>
              <w:top w:val="single" w:sz="4" w:space="0" w:color="000000"/>
              <w:bottom w:val="single" w:sz="4" w:space="0" w:color="000000"/>
            </w:tcBorders>
            <w:shd w:val="clear" w:color="auto" w:fill="F4F4F4"/>
          </w:tcPr>
          <w:p>
            <w:pPr>
              <w:pStyle w:val="TableParagraph"/>
              <w:spacing w:before="38"/>
              <w:ind w:right="246"/>
              <w:jc w:val="right"/>
              <w:rPr>
                <w:sz w:val="19"/>
              </w:rPr>
            </w:pPr>
            <w:r>
              <w:rPr>
                <w:w w:val="95"/>
                <w:sz w:val="19"/>
              </w:rPr>
              <w:t>84,268</w:t>
            </w:r>
          </w:p>
        </w:tc>
        <w:tc>
          <w:tcPr>
            <w:tcW w:w="1140" w:type="dxa"/>
            <w:tcBorders>
              <w:top w:val="single" w:sz="4" w:space="0" w:color="000000"/>
              <w:bottom w:val="single" w:sz="4" w:space="0" w:color="000000"/>
            </w:tcBorders>
            <w:shd w:val="clear" w:color="auto" w:fill="F4F4F4"/>
          </w:tcPr>
          <w:p>
            <w:pPr>
              <w:pStyle w:val="TableParagraph"/>
              <w:spacing w:before="38"/>
              <w:ind w:right="110"/>
              <w:jc w:val="right"/>
              <w:rPr>
                <w:sz w:val="19"/>
              </w:rPr>
            </w:pPr>
            <w:r>
              <w:rPr>
                <w:w w:val="95"/>
                <w:sz w:val="19"/>
              </w:rPr>
              <w:t>(55,505)</w:t>
            </w:r>
          </w:p>
        </w:tc>
      </w:tr>
      <w:tr>
        <w:trPr>
          <w:trHeight w:val="295" w:hRule="atLeast"/>
        </w:trPr>
        <w:tc>
          <w:tcPr>
            <w:tcW w:w="7550" w:type="dxa"/>
            <w:shd w:val="clear" w:color="auto" w:fill="FAF9F9"/>
          </w:tcPr>
          <w:p>
            <w:pPr>
              <w:pStyle w:val="TableParagraph"/>
              <w:spacing w:before="38"/>
              <w:ind w:left="115"/>
              <w:rPr>
                <w:b/>
                <w:sz w:val="19"/>
              </w:rPr>
            </w:pPr>
            <w:r>
              <w:rPr>
                <w:b/>
                <w:sz w:val="19"/>
              </w:rPr>
              <w:t>Total capital appropriations provided to deliver services</w:t>
            </w:r>
          </w:p>
        </w:tc>
        <w:tc>
          <w:tcPr>
            <w:tcW w:w="1322" w:type="dxa"/>
            <w:tcBorders>
              <w:top w:val="single" w:sz="4" w:space="0" w:color="000000"/>
              <w:bottom w:val="single" w:sz="4" w:space="0" w:color="000000"/>
            </w:tcBorders>
            <w:shd w:val="clear" w:color="auto" w:fill="FAF9F9"/>
          </w:tcPr>
          <w:p>
            <w:pPr>
              <w:pStyle w:val="TableParagraph"/>
              <w:spacing w:before="38"/>
              <w:ind w:right="111"/>
              <w:jc w:val="right"/>
              <w:rPr>
                <w:b/>
                <w:sz w:val="19"/>
              </w:rPr>
            </w:pPr>
            <w:r>
              <w:rPr>
                <w:b/>
                <w:w w:val="95"/>
                <w:sz w:val="19"/>
              </w:rPr>
              <w:t>29,109</w:t>
            </w:r>
          </w:p>
        </w:tc>
        <w:tc>
          <w:tcPr>
            <w:tcW w:w="1332" w:type="dxa"/>
            <w:tcBorders>
              <w:top w:val="single" w:sz="4" w:space="0" w:color="000000"/>
              <w:bottom w:val="single" w:sz="4" w:space="0" w:color="000000"/>
            </w:tcBorders>
            <w:shd w:val="clear" w:color="auto" w:fill="E1E4BB"/>
          </w:tcPr>
          <w:p>
            <w:pPr>
              <w:pStyle w:val="TableParagraph"/>
              <w:spacing w:before="38"/>
              <w:ind w:right="111"/>
              <w:jc w:val="right"/>
              <w:rPr>
                <w:b/>
                <w:sz w:val="19"/>
              </w:rPr>
            </w:pPr>
            <w:r>
              <w:rPr>
                <w:b/>
                <w:w w:val="95"/>
                <w:sz w:val="19"/>
              </w:rPr>
              <w:t>28,763</w:t>
            </w:r>
          </w:p>
        </w:tc>
        <w:tc>
          <w:tcPr>
            <w:tcW w:w="1275" w:type="dxa"/>
            <w:tcBorders>
              <w:top w:val="single" w:sz="4" w:space="0" w:color="000000"/>
              <w:bottom w:val="single" w:sz="4" w:space="0" w:color="000000"/>
            </w:tcBorders>
            <w:shd w:val="clear" w:color="auto" w:fill="FAF9F9"/>
          </w:tcPr>
          <w:p>
            <w:pPr>
              <w:pStyle w:val="TableParagraph"/>
              <w:spacing w:before="38"/>
              <w:ind w:right="110"/>
              <w:jc w:val="right"/>
              <w:rPr>
                <w:b/>
                <w:sz w:val="19"/>
              </w:rPr>
            </w:pPr>
            <w:r>
              <w:rPr>
                <w:b/>
                <w:w w:val="95"/>
                <w:sz w:val="19"/>
              </w:rPr>
              <w:t>(346)</w:t>
            </w:r>
          </w:p>
        </w:tc>
        <w:tc>
          <w:tcPr>
            <w:tcW w:w="1275" w:type="dxa"/>
            <w:tcBorders>
              <w:top w:val="single" w:sz="4" w:space="0" w:color="000000"/>
              <w:bottom w:val="single" w:sz="4" w:space="0" w:color="000000"/>
            </w:tcBorders>
            <w:shd w:val="clear" w:color="auto" w:fill="E1E4BB"/>
          </w:tcPr>
          <w:p>
            <w:pPr>
              <w:pStyle w:val="TableParagraph"/>
              <w:spacing w:before="38"/>
              <w:ind w:right="110"/>
              <w:jc w:val="right"/>
              <w:rPr>
                <w:b/>
                <w:sz w:val="19"/>
              </w:rPr>
            </w:pPr>
            <w:r>
              <w:rPr>
                <w:b/>
                <w:w w:val="95"/>
                <w:sz w:val="19"/>
              </w:rPr>
              <w:t>28,763</w:t>
            </w:r>
          </w:p>
        </w:tc>
        <w:tc>
          <w:tcPr>
            <w:tcW w:w="1411" w:type="dxa"/>
            <w:tcBorders>
              <w:top w:val="single" w:sz="4" w:space="0" w:color="000000"/>
              <w:bottom w:val="single" w:sz="4" w:space="0" w:color="000000"/>
            </w:tcBorders>
            <w:shd w:val="clear" w:color="auto" w:fill="FAF9F9"/>
          </w:tcPr>
          <w:p>
            <w:pPr>
              <w:pStyle w:val="TableParagraph"/>
              <w:spacing w:before="38"/>
              <w:ind w:right="245"/>
              <w:jc w:val="right"/>
              <w:rPr>
                <w:b/>
                <w:sz w:val="19"/>
              </w:rPr>
            </w:pPr>
            <w:r>
              <w:rPr>
                <w:b/>
                <w:w w:val="95"/>
                <w:sz w:val="19"/>
              </w:rPr>
              <w:t>84,268</w:t>
            </w:r>
          </w:p>
        </w:tc>
        <w:tc>
          <w:tcPr>
            <w:tcW w:w="1140" w:type="dxa"/>
            <w:tcBorders>
              <w:top w:val="single" w:sz="4" w:space="0" w:color="000000"/>
              <w:bottom w:val="single" w:sz="4" w:space="0" w:color="000000"/>
            </w:tcBorders>
            <w:shd w:val="clear" w:color="auto" w:fill="FAF9F9"/>
          </w:tcPr>
          <w:p>
            <w:pPr>
              <w:pStyle w:val="TableParagraph"/>
              <w:spacing w:before="38"/>
              <w:ind w:right="109"/>
              <w:jc w:val="right"/>
              <w:rPr>
                <w:b/>
                <w:sz w:val="19"/>
              </w:rPr>
            </w:pPr>
            <w:r>
              <w:rPr>
                <w:b/>
                <w:w w:val="95"/>
                <w:sz w:val="19"/>
              </w:rPr>
              <w:t>(55,505)</w:t>
            </w:r>
          </w:p>
        </w:tc>
      </w:tr>
      <w:tr>
        <w:trPr>
          <w:trHeight w:val="290" w:hRule="atLeast"/>
        </w:trPr>
        <w:tc>
          <w:tcPr>
            <w:tcW w:w="7550" w:type="dxa"/>
            <w:shd w:val="clear" w:color="auto" w:fill="F4F4F4"/>
          </w:tcPr>
          <w:p>
            <w:pPr>
              <w:pStyle w:val="TableParagraph"/>
              <w:spacing w:before="38"/>
              <w:ind w:left="115"/>
              <w:rPr>
                <w:i/>
                <w:sz w:val="19"/>
              </w:rPr>
            </w:pPr>
            <w:r>
              <w:rPr>
                <w:i/>
                <w:color w:val="A7BE39"/>
                <w:sz w:val="19"/>
              </w:rPr>
              <w:t>Administered Transactions</w:t>
            </w:r>
          </w:p>
        </w:tc>
        <w:tc>
          <w:tcPr>
            <w:tcW w:w="1322" w:type="dxa"/>
            <w:tcBorders>
              <w:top w:val="single" w:sz="4" w:space="0" w:color="000000"/>
            </w:tcBorders>
            <w:shd w:val="clear" w:color="auto" w:fill="F4F4F4"/>
          </w:tcPr>
          <w:p>
            <w:pPr>
              <w:pStyle w:val="TableParagraph"/>
              <w:spacing w:before="0"/>
              <w:rPr>
                <w:rFonts w:ascii="Times New Roman"/>
                <w:sz w:val="20"/>
              </w:rPr>
            </w:pPr>
          </w:p>
        </w:tc>
        <w:tc>
          <w:tcPr>
            <w:tcW w:w="1332" w:type="dxa"/>
            <w:tcBorders>
              <w:top w:val="single" w:sz="4" w:space="0" w:color="000000"/>
            </w:tcBorders>
            <w:shd w:val="clear" w:color="auto" w:fill="DFE1B8"/>
          </w:tcPr>
          <w:p>
            <w:pPr>
              <w:pStyle w:val="TableParagraph"/>
              <w:spacing w:before="0"/>
              <w:rPr>
                <w:rFonts w:ascii="Times New Roman"/>
                <w:sz w:val="20"/>
              </w:rPr>
            </w:pPr>
          </w:p>
        </w:tc>
        <w:tc>
          <w:tcPr>
            <w:tcW w:w="1275" w:type="dxa"/>
            <w:tcBorders>
              <w:top w:val="single" w:sz="4" w:space="0" w:color="000000"/>
              <w:bottom w:val="single" w:sz="8" w:space="0" w:color="FFFFFF"/>
            </w:tcBorders>
            <w:shd w:val="clear" w:color="auto" w:fill="F4F4F4"/>
          </w:tcPr>
          <w:p>
            <w:pPr>
              <w:pStyle w:val="TableParagraph"/>
              <w:spacing w:before="0"/>
              <w:rPr>
                <w:rFonts w:ascii="Times New Roman"/>
                <w:sz w:val="20"/>
              </w:rPr>
            </w:pPr>
          </w:p>
        </w:tc>
        <w:tc>
          <w:tcPr>
            <w:tcW w:w="1275" w:type="dxa"/>
            <w:tcBorders>
              <w:top w:val="single" w:sz="4" w:space="0" w:color="000000"/>
            </w:tcBorders>
            <w:shd w:val="clear" w:color="auto" w:fill="DFE1B8"/>
          </w:tcPr>
          <w:p>
            <w:pPr>
              <w:pStyle w:val="TableParagraph"/>
              <w:spacing w:before="0"/>
              <w:rPr>
                <w:rFonts w:ascii="Times New Roman"/>
                <w:sz w:val="20"/>
              </w:rPr>
            </w:pPr>
          </w:p>
        </w:tc>
        <w:tc>
          <w:tcPr>
            <w:tcW w:w="1411" w:type="dxa"/>
            <w:tcBorders>
              <w:top w:val="single" w:sz="4" w:space="0" w:color="000000"/>
            </w:tcBorders>
            <w:shd w:val="clear" w:color="auto" w:fill="F4F4F4"/>
          </w:tcPr>
          <w:p>
            <w:pPr>
              <w:pStyle w:val="TableParagraph"/>
              <w:spacing w:before="0"/>
              <w:rPr>
                <w:rFonts w:ascii="Times New Roman"/>
                <w:sz w:val="20"/>
              </w:rPr>
            </w:pPr>
          </w:p>
        </w:tc>
        <w:tc>
          <w:tcPr>
            <w:tcW w:w="1140" w:type="dxa"/>
            <w:tcBorders>
              <w:top w:val="single" w:sz="4" w:space="0" w:color="000000"/>
            </w:tcBorders>
            <w:shd w:val="clear" w:color="auto" w:fill="F4F4F4"/>
          </w:tcPr>
          <w:p>
            <w:pPr>
              <w:pStyle w:val="TableParagraph"/>
              <w:spacing w:before="0"/>
              <w:rPr>
                <w:rFonts w:ascii="Times New Roman"/>
                <w:sz w:val="20"/>
              </w:rPr>
            </w:pPr>
          </w:p>
        </w:tc>
      </w:tr>
      <w:tr>
        <w:trPr>
          <w:trHeight w:val="285" w:hRule="atLeast"/>
        </w:trPr>
        <w:tc>
          <w:tcPr>
            <w:tcW w:w="7550" w:type="dxa"/>
            <w:tcBorders>
              <w:bottom w:val="single" w:sz="8" w:space="0" w:color="FFFFFF"/>
            </w:tcBorders>
            <w:shd w:val="clear" w:color="auto" w:fill="FAF9F9"/>
          </w:tcPr>
          <w:p>
            <w:pPr>
              <w:pStyle w:val="TableParagraph"/>
              <w:spacing w:before="33"/>
              <w:ind w:left="115"/>
              <w:rPr>
                <w:sz w:val="19"/>
              </w:rPr>
            </w:pPr>
            <w:r>
              <w:rPr>
                <w:sz w:val="19"/>
              </w:rPr>
              <w:t>Community service obligation payments</w:t>
            </w:r>
          </w:p>
        </w:tc>
        <w:tc>
          <w:tcPr>
            <w:tcW w:w="1322" w:type="dxa"/>
            <w:tcBorders>
              <w:bottom w:val="single" w:sz="8" w:space="0" w:color="FFFFFF"/>
            </w:tcBorders>
            <w:shd w:val="clear" w:color="auto" w:fill="FAF9F9"/>
          </w:tcPr>
          <w:p>
            <w:pPr>
              <w:pStyle w:val="TableParagraph"/>
              <w:spacing w:before="0"/>
              <w:rPr>
                <w:rFonts w:ascii="Times New Roman"/>
                <w:sz w:val="20"/>
              </w:rPr>
            </w:pPr>
          </w:p>
        </w:tc>
        <w:tc>
          <w:tcPr>
            <w:tcW w:w="1332" w:type="dxa"/>
            <w:shd w:val="clear" w:color="auto" w:fill="E1E4BB"/>
          </w:tcPr>
          <w:p>
            <w:pPr>
              <w:pStyle w:val="TableParagraph"/>
              <w:spacing w:before="0"/>
              <w:rPr>
                <w:rFonts w:ascii="Times New Roman"/>
                <w:sz w:val="20"/>
              </w:rPr>
            </w:pPr>
          </w:p>
        </w:tc>
        <w:tc>
          <w:tcPr>
            <w:tcW w:w="1275"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275" w:type="dxa"/>
            <w:shd w:val="clear" w:color="auto" w:fill="E1E4BB"/>
          </w:tcPr>
          <w:p>
            <w:pPr>
              <w:pStyle w:val="TableParagraph"/>
              <w:spacing w:before="0"/>
              <w:rPr>
                <w:rFonts w:ascii="Times New Roman"/>
                <w:sz w:val="20"/>
              </w:rPr>
            </w:pPr>
          </w:p>
        </w:tc>
        <w:tc>
          <w:tcPr>
            <w:tcW w:w="1411" w:type="dxa"/>
            <w:shd w:val="clear" w:color="auto" w:fill="FAF9F9"/>
          </w:tcPr>
          <w:p>
            <w:pPr>
              <w:pStyle w:val="TableParagraph"/>
              <w:spacing w:before="0"/>
              <w:rPr>
                <w:rFonts w:ascii="Times New Roman"/>
                <w:sz w:val="20"/>
              </w:rPr>
            </w:pPr>
          </w:p>
        </w:tc>
        <w:tc>
          <w:tcPr>
            <w:tcW w:w="1140" w:type="dxa"/>
            <w:shd w:val="clear" w:color="auto" w:fill="FAF9F9"/>
          </w:tcPr>
          <w:p>
            <w:pPr>
              <w:pStyle w:val="TableParagraph"/>
              <w:spacing w:before="0"/>
              <w:rPr>
                <w:rFonts w:ascii="Times New Roman"/>
                <w:sz w:val="20"/>
              </w:rPr>
            </w:pPr>
          </w:p>
        </w:tc>
      </w:tr>
      <w:tr>
        <w:trPr>
          <w:trHeight w:val="285" w:hRule="atLeast"/>
        </w:trPr>
        <w:tc>
          <w:tcPr>
            <w:tcW w:w="7550" w:type="dxa"/>
            <w:tcBorders>
              <w:top w:val="single" w:sz="8" w:space="0" w:color="FFFFFF"/>
              <w:bottom w:val="single" w:sz="8" w:space="0" w:color="FFFFFF"/>
              <w:right w:val="single" w:sz="8" w:space="0" w:color="FFFFFF"/>
            </w:tcBorders>
            <w:shd w:val="clear" w:color="auto" w:fill="F4F4F4"/>
          </w:tcPr>
          <w:p>
            <w:pPr>
              <w:pStyle w:val="TableParagraph"/>
              <w:spacing w:before="33"/>
              <w:ind w:left="115"/>
              <w:rPr>
                <w:sz w:val="19"/>
              </w:rPr>
            </w:pPr>
            <w:r>
              <w:rPr>
                <w:sz w:val="19"/>
              </w:rPr>
              <w:t>Item</w:t>
            </w:r>
            <w:r>
              <w:rPr>
                <w:spacing w:val="-27"/>
                <w:sz w:val="19"/>
              </w:rPr>
              <w:t> </w:t>
            </w:r>
            <w:r>
              <w:rPr>
                <w:spacing w:val="-4"/>
                <w:sz w:val="19"/>
              </w:rPr>
              <w:t>70</w:t>
            </w:r>
            <w:r>
              <w:rPr>
                <w:spacing w:val="-27"/>
                <w:sz w:val="19"/>
              </w:rPr>
              <w:t> </w:t>
            </w:r>
            <w:r>
              <w:rPr>
                <w:sz w:val="19"/>
              </w:rPr>
              <w:t>Amount</w:t>
            </w:r>
            <w:r>
              <w:rPr>
                <w:spacing w:val="-27"/>
                <w:sz w:val="19"/>
              </w:rPr>
              <w:t> </w:t>
            </w:r>
            <w:r>
              <w:rPr>
                <w:sz w:val="19"/>
              </w:rPr>
              <w:t>provided</w:t>
            </w:r>
            <w:r>
              <w:rPr>
                <w:spacing w:val="-27"/>
                <w:sz w:val="19"/>
              </w:rPr>
              <w:t> </w:t>
            </w:r>
            <w:r>
              <w:rPr>
                <w:sz w:val="19"/>
              </w:rPr>
              <w:t>for</w:t>
            </w:r>
            <w:r>
              <w:rPr>
                <w:spacing w:val="-26"/>
                <w:sz w:val="19"/>
              </w:rPr>
              <w:t> </w:t>
            </w:r>
            <w:r>
              <w:rPr>
                <w:sz w:val="19"/>
              </w:rPr>
              <w:t>Administered</w:t>
            </w:r>
            <w:r>
              <w:rPr>
                <w:spacing w:val="-27"/>
                <w:sz w:val="19"/>
              </w:rPr>
              <w:t> </w:t>
            </w:r>
            <w:r>
              <w:rPr>
                <w:sz w:val="19"/>
              </w:rPr>
              <w:t>Grants,</w:t>
            </w:r>
            <w:r>
              <w:rPr>
                <w:spacing w:val="-27"/>
                <w:sz w:val="19"/>
              </w:rPr>
              <w:t> </w:t>
            </w:r>
            <w:r>
              <w:rPr>
                <w:sz w:val="19"/>
              </w:rPr>
              <w:t>Subsidies</w:t>
            </w:r>
            <w:r>
              <w:rPr>
                <w:spacing w:val="-27"/>
                <w:sz w:val="19"/>
              </w:rPr>
              <w:t> </w:t>
            </w:r>
            <w:r>
              <w:rPr>
                <w:sz w:val="19"/>
              </w:rPr>
              <w:t>and</w:t>
            </w:r>
            <w:r>
              <w:rPr>
                <w:spacing w:val="-26"/>
                <w:sz w:val="19"/>
              </w:rPr>
              <w:t> </w:t>
            </w:r>
            <w:r>
              <w:rPr>
                <w:sz w:val="19"/>
              </w:rPr>
              <w:t>Other</w:t>
            </w:r>
            <w:r>
              <w:rPr>
                <w:spacing w:val="-27"/>
                <w:sz w:val="19"/>
              </w:rPr>
              <w:t> </w:t>
            </w:r>
            <w:r>
              <w:rPr>
                <w:spacing w:val="-3"/>
                <w:sz w:val="19"/>
              </w:rPr>
              <w:t>Transfer</w:t>
            </w:r>
            <w:r>
              <w:rPr>
                <w:spacing w:val="-27"/>
                <w:sz w:val="19"/>
              </w:rPr>
              <w:t> </w:t>
            </w:r>
            <w:r>
              <w:rPr>
                <w:sz w:val="19"/>
              </w:rPr>
              <w:t>Payments</w:t>
            </w:r>
          </w:p>
        </w:tc>
        <w:tc>
          <w:tcPr>
            <w:tcW w:w="1322" w:type="dxa"/>
            <w:tcBorders>
              <w:top w:val="single" w:sz="8" w:space="0" w:color="FFFFFF"/>
              <w:left w:val="single" w:sz="8" w:space="0" w:color="FFFFFF"/>
              <w:bottom w:val="single" w:sz="8" w:space="0" w:color="FFFFFF"/>
            </w:tcBorders>
            <w:shd w:val="clear" w:color="auto" w:fill="F4F4F4"/>
          </w:tcPr>
          <w:p>
            <w:pPr>
              <w:pStyle w:val="TableParagraph"/>
              <w:spacing w:before="33"/>
              <w:ind w:right="111"/>
              <w:jc w:val="right"/>
              <w:rPr>
                <w:sz w:val="19"/>
              </w:rPr>
            </w:pPr>
            <w:r>
              <w:rPr>
                <w:w w:val="95"/>
                <w:sz w:val="19"/>
              </w:rPr>
              <w:t>204,210</w:t>
            </w:r>
          </w:p>
        </w:tc>
        <w:tc>
          <w:tcPr>
            <w:tcW w:w="1332" w:type="dxa"/>
            <w:shd w:val="clear" w:color="auto" w:fill="DFE1B8"/>
          </w:tcPr>
          <w:p>
            <w:pPr>
              <w:pStyle w:val="TableParagraph"/>
              <w:spacing w:before="33"/>
              <w:ind w:right="111"/>
              <w:jc w:val="right"/>
              <w:rPr>
                <w:sz w:val="19"/>
              </w:rPr>
            </w:pPr>
            <w:r>
              <w:rPr>
                <w:w w:val="95"/>
                <w:sz w:val="19"/>
              </w:rPr>
              <w:t>164,281</w:t>
            </w:r>
          </w:p>
        </w:tc>
        <w:tc>
          <w:tcPr>
            <w:tcW w:w="1275" w:type="dxa"/>
            <w:tcBorders>
              <w:top w:val="single" w:sz="8" w:space="0" w:color="FFFFFF"/>
              <w:bottom w:val="single" w:sz="8" w:space="0" w:color="FFFFFF"/>
            </w:tcBorders>
            <w:shd w:val="clear" w:color="auto" w:fill="F4F4F4"/>
          </w:tcPr>
          <w:p>
            <w:pPr>
              <w:pStyle w:val="TableParagraph"/>
              <w:spacing w:before="33"/>
              <w:ind w:right="110"/>
              <w:jc w:val="right"/>
              <w:rPr>
                <w:sz w:val="19"/>
              </w:rPr>
            </w:pPr>
            <w:r>
              <w:rPr>
                <w:w w:val="95"/>
                <w:sz w:val="19"/>
              </w:rPr>
              <w:t>(39,929)</w:t>
            </w:r>
          </w:p>
        </w:tc>
        <w:tc>
          <w:tcPr>
            <w:tcW w:w="1275" w:type="dxa"/>
            <w:shd w:val="clear" w:color="auto" w:fill="DFE1B8"/>
          </w:tcPr>
          <w:p>
            <w:pPr>
              <w:pStyle w:val="TableParagraph"/>
              <w:spacing w:before="33"/>
              <w:ind w:right="109"/>
              <w:jc w:val="right"/>
              <w:rPr>
                <w:sz w:val="19"/>
              </w:rPr>
            </w:pPr>
            <w:r>
              <w:rPr>
                <w:w w:val="95"/>
                <w:sz w:val="19"/>
              </w:rPr>
              <w:t>164,281</w:t>
            </w:r>
          </w:p>
        </w:tc>
        <w:tc>
          <w:tcPr>
            <w:tcW w:w="1411" w:type="dxa"/>
            <w:shd w:val="clear" w:color="auto" w:fill="F4F4F4"/>
          </w:tcPr>
          <w:p>
            <w:pPr>
              <w:pStyle w:val="TableParagraph"/>
              <w:spacing w:before="33"/>
              <w:ind w:right="245"/>
              <w:jc w:val="right"/>
              <w:rPr>
                <w:sz w:val="19"/>
              </w:rPr>
            </w:pPr>
            <w:r>
              <w:rPr>
                <w:w w:val="95"/>
                <w:sz w:val="19"/>
              </w:rPr>
              <w:t>148,881</w:t>
            </w:r>
          </w:p>
        </w:tc>
        <w:tc>
          <w:tcPr>
            <w:tcW w:w="1140" w:type="dxa"/>
            <w:shd w:val="clear" w:color="auto" w:fill="F4F4F4"/>
          </w:tcPr>
          <w:p>
            <w:pPr>
              <w:pStyle w:val="TableParagraph"/>
              <w:spacing w:before="33"/>
              <w:ind w:right="109"/>
              <w:jc w:val="right"/>
              <w:rPr>
                <w:sz w:val="19"/>
              </w:rPr>
            </w:pPr>
            <w:r>
              <w:rPr>
                <w:w w:val="95"/>
                <w:sz w:val="19"/>
              </w:rPr>
              <w:t>15,400</w:t>
            </w:r>
          </w:p>
        </w:tc>
      </w:tr>
      <w:tr>
        <w:trPr>
          <w:trHeight w:val="285" w:hRule="atLeast"/>
        </w:trPr>
        <w:tc>
          <w:tcPr>
            <w:tcW w:w="7550" w:type="dxa"/>
            <w:tcBorders>
              <w:top w:val="single" w:sz="8" w:space="0" w:color="FFFFFF"/>
              <w:bottom w:val="single" w:sz="8" w:space="0" w:color="FFFFFF"/>
            </w:tcBorders>
            <w:shd w:val="clear" w:color="auto" w:fill="FAF9F9"/>
          </w:tcPr>
          <w:p>
            <w:pPr>
              <w:pStyle w:val="TableParagraph"/>
              <w:spacing w:before="33"/>
              <w:ind w:left="115"/>
              <w:rPr>
                <w:sz w:val="19"/>
              </w:rPr>
            </w:pPr>
            <w:r>
              <w:rPr>
                <w:sz w:val="19"/>
              </w:rPr>
              <w:t>Amount authorised by other statutes</w:t>
            </w:r>
          </w:p>
        </w:tc>
        <w:tc>
          <w:tcPr>
            <w:tcW w:w="1322"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332" w:type="dxa"/>
            <w:shd w:val="clear" w:color="auto" w:fill="E1E4BB"/>
          </w:tcPr>
          <w:p>
            <w:pPr>
              <w:pStyle w:val="TableParagraph"/>
              <w:spacing w:before="0"/>
              <w:rPr>
                <w:rFonts w:ascii="Times New Roman"/>
                <w:sz w:val="20"/>
              </w:rPr>
            </w:pPr>
          </w:p>
        </w:tc>
        <w:tc>
          <w:tcPr>
            <w:tcW w:w="1275"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275" w:type="dxa"/>
            <w:shd w:val="clear" w:color="auto" w:fill="E1E4BB"/>
          </w:tcPr>
          <w:p>
            <w:pPr>
              <w:pStyle w:val="TableParagraph"/>
              <w:spacing w:before="0"/>
              <w:rPr>
                <w:rFonts w:ascii="Times New Roman"/>
                <w:sz w:val="20"/>
              </w:rPr>
            </w:pPr>
          </w:p>
        </w:tc>
        <w:tc>
          <w:tcPr>
            <w:tcW w:w="1411" w:type="dxa"/>
            <w:shd w:val="clear" w:color="auto" w:fill="FAF9F9"/>
          </w:tcPr>
          <w:p>
            <w:pPr>
              <w:pStyle w:val="TableParagraph"/>
              <w:spacing w:before="0"/>
              <w:rPr>
                <w:rFonts w:ascii="Times New Roman"/>
                <w:sz w:val="20"/>
              </w:rPr>
            </w:pPr>
          </w:p>
        </w:tc>
        <w:tc>
          <w:tcPr>
            <w:tcW w:w="1140" w:type="dxa"/>
            <w:shd w:val="clear" w:color="auto" w:fill="FAF9F9"/>
          </w:tcPr>
          <w:p>
            <w:pPr>
              <w:pStyle w:val="TableParagraph"/>
              <w:spacing w:before="0"/>
              <w:rPr>
                <w:rFonts w:ascii="Times New Roman"/>
                <w:sz w:val="20"/>
              </w:rPr>
            </w:pPr>
          </w:p>
        </w:tc>
      </w:tr>
      <w:tr>
        <w:trPr>
          <w:trHeight w:val="290" w:hRule="atLeast"/>
        </w:trPr>
        <w:tc>
          <w:tcPr>
            <w:tcW w:w="7550" w:type="dxa"/>
            <w:tcBorders>
              <w:top w:val="single" w:sz="8" w:space="0" w:color="FFFFFF"/>
              <w:right w:val="single" w:sz="8" w:space="0" w:color="FFFFFF"/>
            </w:tcBorders>
            <w:shd w:val="clear" w:color="auto" w:fill="F4F4F4"/>
          </w:tcPr>
          <w:p>
            <w:pPr>
              <w:pStyle w:val="TableParagraph"/>
              <w:spacing w:before="33"/>
              <w:ind w:left="115"/>
              <w:rPr>
                <w:i/>
                <w:sz w:val="19"/>
              </w:rPr>
            </w:pPr>
            <w:r>
              <w:rPr>
                <w:i/>
                <w:sz w:val="19"/>
              </w:rPr>
              <w:t>First Home Owner Grant Act 2000</w:t>
            </w:r>
          </w:p>
        </w:tc>
        <w:tc>
          <w:tcPr>
            <w:tcW w:w="1322" w:type="dxa"/>
            <w:tcBorders>
              <w:top w:val="single" w:sz="8" w:space="0" w:color="FFFFFF"/>
              <w:left w:val="single" w:sz="8" w:space="0" w:color="FFFFFF"/>
              <w:bottom w:val="single" w:sz="4" w:space="0" w:color="000000"/>
            </w:tcBorders>
            <w:shd w:val="clear" w:color="auto" w:fill="F4F4F4"/>
          </w:tcPr>
          <w:p>
            <w:pPr>
              <w:pStyle w:val="TableParagraph"/>
              <w:spacing w:before="33"/>
              <w:ind w:right="111"/>
              <w:jc w:val="right"/>
              <w:rPr>
                <w:sz w:val="19"/>
              </w:rPr>
            </w:pPr>
            <w:r>
              <w:rPr>
                <w:w w:val="95"/>
                <w:sz w:val="19"/>
              </w:rPr>
              <w:t>73,678</w:t>
            </w:r>
          </w:p>
        </w:tc>
        <w:tc>
          <w:tcPr>
            <w:tcW w:w="1332" w:type="dxa"/>
            <w:tcBorders>
              <w:bottom w:val="single" w:sz="4" w:space="0" w:color="000000"/>
            </w:tcBorders>
            <w:shd w:val="clear" w:color="auto" w:fill="DFE1B8"/>
          </w:tcPr>
          <w:p>
            <w:pPr>
              <w:pStyle w:val="TableParagraph"/>
              <w:spacing w:before="33"/>
              <w:ind w:right="110"/>
              <w:jc w:val="right"/>
              <w:rPr>
                <w:sz w:val="19"/>
              </w:rPr>
            </w:pPr>
            <w:r>
              <w:rPr>
                <w:w w:val="95"/>
                <w:sz w:val="19"/>
              </w:rPr>
              <w:t>72,765</w:t>
            </w:r>
          </w:p>
        </w:tc>
        <w:tc>
          <w:tcPr>
            <w:tcW w:w="1275" w:type="dxa"/>
            <w:tcBorders>
              <w:top w:val="single" w:sz="8" w:space="0" w:color="FFFFFF"/>
              <w:bottom w:val="single" w:sz="4" w:space="0" w:color="000000"/>
            </w:tcBorders>
            <w:shd w:val="clear" w:color="auto" w:fill="F4F4F4"/>
          </w:tcPr>
          <w:p>
            <w:pPr>
              <w:pStyle w:val="TableParagraph"/>
              <w:spacing w:before="33"/>
              <w:ind w:right="110"/>
              <w:jc w:val="right"/>
              <w:rPr>
                <w:sz w:val="19"/>
              </w:rPr>
            </w:pPr>
            <w:r>
              <w:rPr>
                <w:w w:val="90"/>
                <w:sz w:val="19"/>
              </w:rPr>
              <w:t>(913)</w:t>
            </w:r>
          </w:p>
        </w:tc>
        <w:tc>
          <w:tcPr>
            <w:tcW w:w="1275" w:type="dxa"/>
            <w:tcBorders>
              <w:bottom w:val="single" w:sz="4" w:space="0" w:color="000000"/>
            </w:tcBorders>
            <w:shd w:val="clear" w:color="auto" w:fill="DFE1B8"/>
          </w:tcPr>
          <w:p>
            <w:pPr>
              <w:pStyle w:val="TableParagraph"/>
              <w:spacing w:before="33"/>
              <w:ind w:right="109"/>
              <w:jc w:val="right"/>
              <w:rPr>
                <w:sz w:val="19"/>
              </w:rPr>
            </w:pPr>
            <w:r>
              <w:rPr>
                <w:w w:val="95"/>
                <w:sz w:val="19"/>
              </w:rPr>
              <w:t>72,765</w:t>
            </w:r>
          </w:p>
        </w:tc>
        <w:tc>
          <w:tcPr>
            <w:tcW w:w="1411" w:type="dxa"/>
            <w:tcBorders>
              <w:bottom w:val="single" w:sz="4" w:space="0" w:color="000000"/>
            </w:tcBorders>
            <w:shd w:val="clear" w:color="auto" w:fill="F4F4F4"/>
          </w:tcPr>
          <w:p>
            <w:pPr>
              <w:pStyle w:val="TableParagraph"/>
              <w:spacing w:before="33"/>
              <w:ind w:right="244"/>
              <w:jc w:val="right"/>
              <w:rPr>
                <w:sz w:val="19"/>
              </w:rPr>
            </w:pPr>
            <w:r>
              <w:rPr>
                <w:w w:val="95"/>
                <w:sz w:val="19"/>
              </w:rPr>
              <w:t>98,582</w:t>
            </w:r>
          </w:p>
        </w:tc>
        <w:tc>
          <w:tcPr>
            <w:tcW w:w="1140" w:type="dxa"/>
            <w:tcBorders>
              <w:bottom w:val="single" w:sz="4" w:space="0" w:color="000000"/>
            </w:tcBorders>
            <w:shd w:val="clear" w:color="auto" w:fill="F4F4F4"/>
          </w:tcPr>
          <w:p>
            <w:pPr>
              <w:pStyle w:val="TableParagraph"/>
              <w:spacing w:before="33"/>
              <w:ind w:right="109"/>
              <w:jc w:val="right"/>
              <w:rPr>
                <w:sz w:val="19"/>
              </w:rPr>
            </w:pPr>
            <w:r>
              <w:rPr>
                <w:w w:val="95"/>
                <w:sz w:val="19"/>
              </w:rPr>
              <w:t>(25,817)</w:t>
            </w:r>
          </w:p>
        </w:tc>
      </w:tr>
      <w:tr>
        <w:trPr>
          <w:trHeight w:val="290" w:hRule="atLeast"/>
        </w:trPr>
        <w:tc>
          <w:tcPr>
            <w:tcW w:w="7550" w:type="dxa"/>
            <w:tcBorders>
              <w:bottom w:val="single" w:sz="8" w:space="0" w:color="FFFFFF"/>
              <w:right w:val="single" w:sz="8" w:space="0" w:color="FFFFFF"/>
            </w:tcBorders>
            <w:shd w:val="clear" w:color="auto" w:fill="FAF9F9"/>
          </w:tcPr>
          <w:p>
            <w:pPr>
              <w:pStyle w:val="TableParagraph"/>
              <w:spacing w:before="38"/>
              <w:ind w:left="116"/>
              <w:rPr>
                <w:b/>
                <w:sz w:val="19"/>
              </w:rPr>
            </w:pPr>
            <w:r>
              <w:rPr>
                <w:b/>
                <w:sz w:val="19"/>
              </w:rPr>
              <w:t>Total administered transactions</w:t>
            </w:r>
          </w:p>
        </w:tc>
        <w:tc>
          <w:tcPr>
            <w:tcW w:w="1322" w:type="dxa"/>
            <w:tcBorders>
              <w:top w:val="single" w:sz="4" w:space="0" w:color="000000"/>
              <w:left w:val="single" w:sz="8" w:space="0" w:color="FFFFFF"/>
              <w:bottom w:val="single" w:sz="4" w:space="0" w:color="000000"/>
            </w:tcBorders>
            <w:shd w:val="clear" w:color="auto" w:fill="FAF9F9"/>
          </w:tcPr>
          <w:p>
            <w:pPr>
              <w:pStyle w:val="TableParagraph"/>
              <w:spacing w:before="38"/>
              <w:ind w:right="110"/>
              <w:jc w:val="right"/>
              <w:rPr>
                <w:b/>
                <w:sz w:val="19"/>
              </w:rPr>
            </w:pPr>
            <w:r>
              <w:rPr>
                <w:b/>
                <w:w w:val="95"/>
                <w:sz w:val="19"/>
              </w:rPr>
              <w:t>277,888</w:t>
            </w:r>
          </w:p>
        </w:tc>
        <w:tc>
          <w:tcPr>
            <w:tcW w:w="1332" w:type="dxa"/>
            <w:tcBorders>
              <w:top w:val="single" w:sz="4" w:space="0" w:color="000000"/>
              <w:bottom w:val="single" w:sz="4" w:space="0" w:color="000000"/>
            </w:tcBorders>
            <w:shd w:val="clear" w:color="auto" w:fill="E1E4BB"/>
          </w:tcPr>
          <w:p>
            <w:pPr>
              <w:pStyle w:val="TableParagraph"/>
              <w:spacing w:before="38"/>
              <w:ind w:right="110"/>
              <w:jc w:val="right"/>
              <w:rPr>
                <w:b/>
                <w:sz w:val="19"/>
              </w:rPr>
            </w:pPr>
            <w:r>
              <w:rPr>
                <w:b/>
                <w:w w:val="95"/>
                <w:sz w:val="19"/>
              </w:rPr>
              <w:t>237,046</w:t>
            </w:r>
          </w:p>
        </w:tc>
        <w:tc>
          <w:tcPr>
            <w:tcW w:w="1275" w:type="dxa"/>
            <w:tcBorders>
              <w:top w:val="single" w:sz="4" w:space="0" w:color="000000"/>
              <w:bottom w:val="single" w:sz="4" w:space="0" w:color="000000"/>
            </w:tcBorders>
            <w:shd w:val="clear" w:color="auto" w:fill="FAF9F9"/>
          </w:tcPr>
          <w:p>
            <w:pPr>
              <w:pStyle w:val="TableParagraph"/>
              <w:spacing w:before="38"/>
              <w:ind w:right="109"/>
              <w:jc w:val="right"/>
              <w:rPr>
                <w:b/>
                <w:sz w:val="19"/>
              </w:rPr>
            </w:pPr>
            <w:r>
              <w:rPr>
                <w:b/>
                <w:w w:val="95"/>
                <w:sz w:val="19"/>
              </w:rPr>
              <w:t>(40,842)</w:t>
            </w:r>
          </w:p>
        </w:tc>
        <w:tc>
          <w:tcPr>
            <w:tcW w:w="1275" w:type="dxa"/>
            <w:tcBorders>
              <w:top w:val="single" w:sz="4" w:space="0" w:color="000000"/>
              <w:bottom w:val="single" w:sz="4" w:space="0" w:color="000000"/>
            </w:tcBorders>
            <w:shd w:val="clear" w:color="auto" w:fill="E1E4BB"/>
          </w:tcPr>
          <w:p>
            <w:pPr>
              <w:pStyle w:val="TableParagraph"/>
              <w:spacing w:before="38"/>
              <w:ind w:right="109"/>
              <w:jc w:val="right"/>
              <w:rPr>
                <w:b/>
                <w:sz w:val="19"/>
              </w:rPr>
            </w:pPr>
            <w:r>
              <w:rPr>
                <w:b/>
                <w:w w:val="95"/>
                <w:sz w:val="19"/>
              </w:rPr>
              <w:t>237,046</w:t>
            </w:r>
          </w:p>
        </w:tc>
        <w:tc>
          <w:tcPr>
            <w:tcW w:w="1411" w:type="dxa"/>
            <w:tcBorders>
              <w:top w:val="single" w:sz="4" w:space="0" w:color="000000"/>
              <w:bottom w:val="single" w:sz="4" w:space="0" w:color="000000"/>
            </w:tcBorders>
            <w:shd w:val="clear" w:color="auto" w:fill="FAF9F9"/>
          </w:tcPr>
          <w:p>
            <w:pPr>
              <w:pStyle w:val="TableParagraph"/>
              <w:spacing w:before="38"/>
              <w:ind w:right="244"/>
              <w:jc w:val="right"/>
              <w:rPr>
                <w:b/>
                <w:sz w:val="19"/>
              </w:rPr>
            </w:pPr>
            <w:r>
              <w:rPr>
                <w:b/>
                <w:w w:val="95"/>
                <w:sz w:val="19"/>
              </w:rPr>
              <w:t>247,463</w:t>
            </w:r>
          </w:p>
        </w:tc>
        <w:tc>
          <w:tcPr>
            <w:tcW w:w="1140" w:type="dxa"/>
            <w:tcBorders>
              <w:top w:val="single" w:sz="4" w:space="0" w:color="000000"/>
              <w:bottom w:val="single" w:sz="4" w:space="0" w:color="000000"/>
            </w:tcBorders>
            <w:shd w:val="clear" w:color="auto" w:fill="FAF9F9"/>
          </w:tcPr>
          <w:p>
            <w:pPr>
              <w:pStyle w:val="TableParagraph"/>
              <w:spacing w:before="38"/>
              <w:ind w:right="108"/>
              <w:jc w:val="right"/>
              <w:rPr>
                <w:b/>
                <w:sz w:val="19"/>
              </w:rPr>
            </w:pPr>
            <w:r>
              <w:rPr>
                <w:b/>
                <w:w w:val="95"/>
                <w:sz w:val="19"/>
              </w:rPr>
              <w:t>(10,417)</w:t>
            </w:r>
          </w:p>
        </w:tc>
      </w:tr>
      <w:tr>
        <w:trPr>
          <w:trHeight w:val="273" w:hRule="atLeast"/>
        </w:trPr>
        <w:tc>
          <w:tcPr>
            <w:tcW w:w="7550" w:type="dxa"/>
            <w:tcBorders>
              <w:top w:val="single" w:sz="8" w:space="0" w:color="FFFFFF"/>
              <w:right w:val="single" w:sz="8" w:space="0" w:color="FFFFFF"/>
            </w:tcBorders>
            <w:shd w:val="clear" w:color="auto" w:fill="F4F4F4"/>
          </w:tcPr>
          <w:p>
            <w:pPr>
              <w:pStyle w:val="TableParagraph"/>
              <w:spacing w:before="33"/>
              <w:ind w:left="116"/>
              <w:rPr>
                <w:b/>
                <w:sz w:val="19"/>
              </w:rPr>
            </w:pPr>
            <w:r>
              <w:rPr>
                <w:b/>
                <w:sz w:val="19"/>
              </w:rPr>
              <w:t>GRAND TOTAL</w:t>
            </w:r>
          </w:p>
        </w:tc>
        <w:tc>
          <w:tcPr>
            <w:tcW w:w="1322" w:type="dxa"/>
            <w:tcBorders>
              <w:top w:val="single" w:sz="4" w:space="0" w:color="000000"/>
              <w:left w:val="single" w:sz="8" w:space="0" w:color="FFFFFF"/>
              <w:bottom w:val="double" w:sz="2" w:space="0" w:color="000000"/>
            </w:tcBorders>
            <w:shd w:val="clear" w:color="auto" w:fill="F4F4F4"/>
          </w:tcPr>
          <w:p>
            <w:pPr>
              <w:pStyle w:val="TableParagraph"/>
              <w:spacing w:before="33"/>
              <w:ind w:right="110"/>
              <w:jc w:val="right"/>
              <w:rPr>
                <w:b/>
                <w:sz w:val="19"/>
              </w:rPr>
            </w:pPr>
            <w:r>
              <w:rPr>
                <w:b/>
                <w:w w:val="95"/>
                <w:sz w:val="19"/>
              </w:rPr>
              <w:t>484,780</w:t>
            </w:r>
          </w:p>
        </w:tc>
        <w:tc>
          <w:tcPr>
            <w:tcW w:w="1332" w:type="dxa"/>
            <w:tcBorders>
              <w:top w:val="single" w:sz="4" w:space="0" w:color="000000"/>
              <w:bottom w:val="double" w:sz="2" w:space="0" w:color="000000"/>
            </w:tcBorders>
            <w:shd w:val="clear" w:color="auto" w:fill="DFE1B8"/>
          </w:tcPr>
          <w:p>
            <w:pPr>
              <w:pStyle w:val="TableParagraph"/>
              <w:spacing w:before="33"/>
              <w:ind w:right="110"/>
              <w:jc w:val="right"/>
              <w:rPr>
                <w:b/>
                <w:sz w:val="19"/>
              </w:rPr>
            </w:pPr>
            <w:r>
              <w:rPr>
                <w:b/>
                <w:w w:val="95"/>
                <w:sz w:val="19"/>
              </w:rPr>
              <w:t>432,959</w:t>
            </w:r>
          </w:p>
        </w:tc>
        <w:tc>
          <w:tcPr>
            <w:tcW w:w="1275" w:type="dxa"/>
            <w:tcBorders>
              <w:top w:val="single" w:sz="4" w:space="0" w:color="000000"/>
              <w:bottom w:val="double" w:sz="2" w:space="0" w:color="000000"/>
            </w:tcBorders>
            <w:shd w:val="clear" w:color="auto" w:fill="F4F4F4"/>
          </w:tcPr>
          <w:p>
            <w:pPr>
              <w:pStyle w:val="TableParagraph"/>
              <w:spacing w:before="33"/>
              <w:ind w:right="109"/>
              <w:jc w:val="right"/>
              <w:rPr>
                <w:b/>
                <w:sz w:val="19"/>
              </w:rPr>
            </w:pPr>
            <w:r>
              <w:rPr>
                <w:b/>
                <w:w w:val="95"/>
                <w:sz w:val="19"/>
              </w:rPr>
              <w:t>(51,821)</w:t>
            </w:r>
          </w:p>
        </w:tc>
        <w:tc>
          <w:tcPr>
            <w:tcW w:w="1275" w:type="dxa"/>
            <w:tcBorders>
              <w:top w:val="single" w:sz="4" w:space="0" w:color="000000"/>
              <w:bottom w:val="double" w:sz="2" w:space="0" w:color="000000"/>
            </w:tcBorders>
            <w:shd w:val="clear" w:color="auto" w:fill="DFE1B8"/>
          </w:tcPr>
          <w:p>
            <w:pPr>
              <w:pStyle w:val="TableParagraph"/>
              <w:spacing w:before="33"/>
              <w:ind w:right="108"/>
              <w:jc w:val="right"/>
              <w:rPr>
                <w:b/>
                <w:sz w:val="19"/>
              </w:rPr>
            </w:pPr>
            <w:r>
              <w:rPr>
                <w:b/>
                <w:w w:val="95"/>
                <w:sz w:val="19"/>
              </w:rPr>
              <w:t>432,959</w:t>
            </w:r>
          </w:p>
        </w:tc>
        <w:tc>
          <w:tcPr>
            <w:tcW w:w="1411" w:type="dxa"/>
            <w:tcBorders>
              <w:top w:val="single" w:sz="4" w:space="0" w:color="000000"/>
              <w:bottom w:val="double" w:sz="2" w:space="0" w:color="000000"/>
            </w:tcBorders>
            <w:shd w:val="clear" w:color="auto" w:fill="F4F4F4"/>
          </w:tcPr>
          <w:p>
            <w:pPr>
              <w:pStyle w:val="TableParagraph"/>
              <w:spacing w:before="33"/>
              <w:ind w:right="244"/>
              <w:jc w:val="right"/>
              <w:rPr>
                <w:b/>
                <w:sz w:val="19"/>
              </w:rPr>
            </w:pPr>
            <w:r>
              <w:rPr>
                <w:b/>
                <w:w w:val="95"/>
                <w:sz w:val="19"/>
              </w:rPr>
              <w:t>520,663</w:t>
            </w:r>
          </w:p>
        </w:tc>
        <w:tc>
          <w:tcPr>
            <w:tcW w:w="1140" w:type="dxa"/>
            <w:tcBorders>
              <w:top w:val="single" w:sz="4" w:space="0" w:color="000000"/>
              <w:bottom w:val="double" w:sz="2" w:space="0" w:color="000000"/>
            </w:tcBorders>
            <w:shd w:val="clear" w:color="auto" w:fill="F4F4F4"/>
          </w:tcPr>
          <w:p>
            <w:pPr>
              <w:pStyle w:val="TableParagraph"/>
              <w:spacing w:before="33"/>
              <w:ind w:right="108"/>
              <w:jc w:val="right"/>
              <w:rPr>
                <w:b/>
                <w:sz w:val="19"/>
              </w:rPr>
            </w:pPr>
            <w:r>
              <w:rPr>
                <w:b/>
                <w:w w:val="95"/>
                <w:sz w:val="19"/>
              </w:rPr>
              <w:t>(87,704)</w:t>
            </w:r>
          </w:p>
        </w:tc>
      </w:tr>
      <w:tr>
        <w:trPr>
          <w:trHeight w:val="273" w:hRule="atLeast"/>
        </w:trPr>
        <w:tc>
          <w:tcPr>
            <w:tcW w:w="7550" w:type="dxa"/>
            <w:tcBorders>
              <w:bottom w:val="single" w:sz="8" w:space="0" w:color="FFFFFF"/>
              <w:right w:val="single" w:sz="8" w:space="0" w:color="FFFFFF"/>
            </w:tcBorders>
            <w:shd w:val="clear" w:color="auto" w:fill="FAF9F9"/>
          </w:tcPr>
          <w:p>
            <w:pPr>
              <w:pStyle w:val="TableParagraph"/>
              <w:spacing w:before="0"/>
              <w:rPr>
                <w:rFonts w:ascii="Times New Roman"/>
                <w:sz w:val="20"/>
              </w:rPr>
            </w:pPr>
          </w:p>
        </w:tc>
        <w:tc>
          <w:tcPr>
            <w:tcW w:w="1322" w:type="dxa"/>
            <w:tcBorders>
              <w:top w:val="double" w:sz="2" w:space="0" w:color="000000"/>
              <w:left w:val="single" w:sz="8" w:space="0" w:color="FFFFFF"/>
              <w:bottom w:val="single" w:sz="8" w:space="0" w:color="FFFFFF"/>
            </w:tcBorders>
            <w:shd w:val="clear" w:color="auto" w:fill="FAF9F9"/>
          </w:tcPr>
          <w:p>
            <w:pPr>
              <w:pStyle w:val="TableParagraph"/>
              <w:spacing w:before="0"/>
              <w:rPr>
                <w:rFonts w:ascii="Times New Roman"/>
                <w:sz w:val="20"/>
              </w:rPr>
            </w:pPr>
          </w:p>
        </w:tc>
        <w:tc>
          <w:tcPr>
            <w:tcW w:w="1332" w:type="dxa"/>
            <w:tcBorders>
              <w:top w:val="double" w:sz="2" w:space="0" w:color="000000"/>
            </w:tcBorders>
            <w:shd w:val="clear" w:color="auto" w:fill="E1E4BB"/>
          </w:tcPr>
          <w:p>
            <w:pPr>
              <w:pStyle w:val="TableParagraph"/>
              <w:spacing w:before="0"/>
              <w:rPr>
                <w:rFonts w:ascii="Times New Roman"/>
                <w:sz w:val="20"/>
              </w:rPr>
            </w:pPr>
          </w:p>
        </w:tc>
        <w:tc>
          <w:tcPr>
            <w:tcW w:w="1275" w:type="dxa"/>
            <w:tcBorders>
              <w:top w:val="double" w:sz="2" w:space="0" w:color="000000"/>
              <w:bottom w:val="single" w:sz="8" w:space="0" w:color="FFFFFF"/>
            </w:tcBorders>
            <w:shd w:val="clear" w:color="auto" w:fill="FAF9F9"/>
          </w:tcPr>
          <w:p>
            <w:pPr>
              <w:pStyle w:val="TableParagraph"/>
              <w:spacing w:before="0"/>
              <w:rPr>
                <w:rFonts w:ascii="Times New Roman"/>
                <w:sz w:val="20"/>
              </w:rPr>
            </w:pPr>
          </w:p>
        </w:tc>
        <w:tc>
          <w:tcPr>
            <w:tcW w:w="1275" w:type="dxa"/>
            <w:tcBorders>
              <w:top w:val="double" w:sz="2" w:space="0" w:color="000000"/>
            </w:tcBorders>
            <w:shd w:val="clear" w:color="auto" w:fill="E1E4BB"/>
          </w:tcPr>
          <w:p>
            <w:pPr>
              <w:pStyle w:val="TableParagraph"/>
              <w:spacing w:before="0"/>
              <w:rPr>
                <w:rFonts w:ascii="Times New Roman"/>
                <w:sz w:val="20"/>
              </w:rPr>
            </w:pPr>
          </w:p>
        </w:tc>
        <w:tc>
          <w:tcPr>
            <w:tcW w:w="1411" w:type="dxa"/>
            <w:tcBorders>
              <w:top w:val="double" w:sz="2" w:space="0" w:color="000000"/>
            </w:tcBorders>
            <w:shd w:val="clear" w:color="auto" w:fill="FAF9F9"/>
          </w:tcPr>
          <w:p>
            <w:pPr>
              <w:pStyle w:val="TableParagraph"/>
              <w:spacing w:before="0"/>
              <w:rPr>
                <w:rFonts w:ascii="Times New Roman"/>
                <w:sz w:val="20"/>
              </w:rPr>
            </w:pPr>
          </w:p>
        </w:tc>
        <w:tc>
          <w:tcPr>
            <w:tcW w:w="1140" w:type="dxa"/>
            <w:tcBorders>
              <w:top w:val="double" w:sz="2" w:space="0" w:color="000000"/>
            </w:tcBorders>
            <w:shd w:val="clear" w:color="auto" w:fill="FAF9F9"/>
          </w:tcPr>
          <w:p>
            <w:pPr>
              <w:pStyle w:val="TableParagraph"/>
              <w:spacing w:before="0"/>
              <w:rPr>
                <w:rFonts w:ascii="Times New Roman"/>
                <w:sz w:val="20"/>
              </w:rPr>
            </w:pPr>
          </w:p>
        </w:tc>
      </w:tr>
      <w:tr>
        <w:trPr>
          <w:trHeight w:val="285" w:hRule="atLeast"/>
        </w:trPr>
        <w:tc>
          <w:tcPr>
            <w:tcW w:w="7550" w:type="dxa"/>
            <w:tcBorders>
              <w:top w:val="single" w:sz="8" w:space="0" w:color="FFFFFF"/>
              <w:bottom w:val="single" w:sz="8" w:space="0" w:color="FFFFFF"/>
              <w:right w:val="single" w:sz="8" w:space="0" w:color="FFFFFF"/>
            </w:tcBorders>
            <w:shd w:val="clear" w:color="auto" w:fill="F4F4F4"/>
          </w:tcPr>
          <w:p>
            <w:pPr>
              <w:pStyle w:val="TableParagraph"/>
              <w:spacing w:before="33"/>
              <w:ind w:left="117"/>
              <w:rPr>
                <w:i/>
                <w:sz w:val="19"/>
              </w:rPr>
            </w:pPr>
            <w:r>
              <w:rPr>
                <w:i/>
                <w:color w:val="A7BE39"/>
                <w:sz w:val="19"/>
              </w:rPr>
              <w:t>Details of expenses by service</w:t>
            </w:r>
          </w:p>
        </w:tc>
        <w:tc>
          <w:tcPr>
            <w:tcW w:w="1322"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20"/>
              </w:rPr>
            </w:pPr>
          </w:p>
        </w:tc>
        <w:tc>
          <w:tcPr>
            <w:tcW w:w="1332" w:type="dxa"/>
            <w:shd w:val="clear" w:color="auto" w:fill="DFE1B8"/>
          </w:tcPr>
          <w:p>
            <w:pPr>
              <w:pStyle w:val="TableParagraph"/>
              <w:spacing w:before="0"/>
              <w:rPr>
                <w:rFonts w:ascii="Times New Roman"/>
                <w:sz w:val="20"/>
              </w:rPr>
            </w:pPr>
          </w:p>
        </w:tc>
        <w:tc>
          <w:tcPr>
            <w:tcW w:w="1275"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275" w:type="dxa"/>
            <w:shd w:val="clear" w:color="auto" w:fill="DFE1B8"/>
          </w:tcPr>
          <w:p>
            <w:pPr>
              <w:pStyle w:val="TableParagraph"/>
              <w:spacing w:before="0"/>
              <w:rPr>
                <w:rFonts w:ascii="Times New Roman"/>
                <w:sz w:val="20"/>
              </w:rPr>
            </w:pPr>
          </w:p>
        </w:tc>
        <w:tc>
          <w:tcPr>
            <w:tcW w:w="1411" w:type="dxa"/>
            <w:shd w:val="clear" w:color="auto" w:fill="F4F4F4"/>
          </w:tcPr>
          <w:p>
            <w:pPr>
              <w:pStyle w:val="TableParagraph"/>
              <w:spacing w:before="0"/>
              <w:rPr>
                <w:rFonts w:ascii="Times New Roman"/>
                <w:sz w:val="20"/>
              </w:rPr>
            </w:pPr>
          </w:p>
        </w:tc>
        <w:tc>
          <w:tcPr>
            <w:tcW w:w="1140" w:type="dxa"/>
            <w:shd w:val="clear" w:color="auto" w:fill="F4F4F4"/>
          </w:tcPr>
          <w:p>
            <w:pPr>
              <w:pStyle w:val="TableParagraph"/>
              <w:spacing w:before="0"/>
              <w:rPr>
                <w:rFonts w:ascii="Times New Roman"/>
                <w:sz w:val="20"/>
              </w:rPr>
            </w:pPr>
          </w:p>
        </w:tc>
      </w:tr>
      <w:tr>
        <w:trPr>
          <w:trHeight w:val="285" w:hRule="atLeast"/>
        </w:trPr>
        <w:tc>
          <w:tcPr>
            <w:tcW w:w="7550" w:type="dxa"/>
            <w:tcBorders>
              <w:top w:val="single" w:sz="8" w:space="0" w:color="FFFFFF"/>
              <w:bottom w:val="single" w:sz="8" w:space="0" w:color="FFFFFF"/>
            </w:tcBorders>
            <w:shd w:val="clear" w:color="auto" w:fill="FAF9F9"/>
          </w:tcPr>
          <w:p>
            <w:pPr>
              <w:pStyle w:val="TableParagraph"/>
              <w:spacing w:before="33"/>
              <w:ind w:left="117"/>
              <w:rPr>
                <w:sz w:val="19"/>
              </w:rPr>
            </w:pPr>
            <w:r>
              <w:rPr>
                <w:sz w:val="19"/>
              </w:rPr>
              <w:t>Revenue assessment and collection, and grants and subsidies administration</w:t>
            </w:r>
          </w:p>
        </w:tc>
        <w:tc>
          <w:tcPr>
            <w:tcW w:w="1322" w:type="dxa"/>
            <w:tcBorders>
              <w:top w:val="single" w:sz="8" w:space="0" w:color="FFFFFF"/>
              <w:bottom w:val="single" w:sz="8" w:space="0" w:color="FFFFFF"/>
            </w:tcBorders>
            <w:shd w:val="clear" w:color="auto" w:fill="FAF9F9"/>
          </w:tcPr>
          <w:p>
            <w:pPr>
              <w:pStyle w:val="TableParagraph"/>
              <w:spacing w:before="33"/>
              <w:ind w:right="111"/>
              <w:jc w:val="right"/>
              <w:rPr>
                <w:sz w:val="19"/>
              </w:rPr>
            </w:pPr>
            <w:r>
              <w:rPr>
                <w:w w:val="95"/>
                <w:sz w:val="19"/>
              </w:rPr>
              <w:t>61,053</w:t>
            </w:r>
          </w:p>
        </w:tc>
        <w:tc>
          <w:tcPr>
            <w:tcW w:w="1332" w:type="dxa"/>
            <w:shd w:val="clear" w:color="auto" w:fill="E1E4BB"/>
          </w:tcPr>
          <w:p>
            <w:pPr>
              <w:pStyle w:val="TableParagraph"/>
              <w:spacing w:before="33"/>
              <w:ind w:right="109"/>
              <w:jc w:val="right"/>
              <w:rPr>
                <w:sz w:val="19"/>
              </w:rPr>
            </w:pPr>
            <w:r>
              <w:rPr>
                <w:w w:val="95"/>
                <w:sz w:val="19"/>
              </w:rPr>
              <w:t>56,985</w:t>
            </w:r>
          </w:p>
        </w:tc>
        <w:tc>
          <w:tcPr>
            <w:tcW w:w="1275" w:type="dxa"/>
            <w:tcBorders>
              <w:top w:val="single" w:sz="8" w:space="0" w:color="FFFFFF"/>
              <w:bottom w:val="single" w:sz="8" w:space="0" w:color="FFFFFF"/>
            </w:tcBorders>
            <w:shd w:val="clear" w:color="auto" w:fill="FAF9F9"/>
          </w:tcPr>
          <w:p>
            <w:pPr>
              <w:pStyle w:val="TableParagraph"/>
              <w:spacing w:before="33"/>
              <w:ind w:right="109"/>
              <w:jc w:val="right"/>
              <w:rPr>
                <w:sz w:val="19"/>
              </w:rPr>
            </w:pPr>
            <w:r>
              <w:rPr>
                <w:w w:val="90"/>
                <w:sz w:val="19"/>
              </w:rPr>
              <w:t>(4,068)</w:t>
            </w:r>
          </w:p>
        </w:tc>
        <w:tc>
          <w:tcPr>
            <w:tcW w:w="1275" w:type="dxa"/>
            <w:shd w:val="clear" w:color="auto" w:fill="E1E4BB"/>
          </w:tcPr>
          <w:p>
            <w:pPr>
              <w:pStyle w:val="TableParagraph"/>
              <w:spacing w:before="33"/>
              <w:ind w:right="108"/>
              <w:jc w:val="right"/>
              <w:rPr>
                <w:sz w:val="19"/>
              </w:rPr>
            </w:pPr>
            <w:r>
              <w:rPr>
                <w:w w:val="95"/>
                <w:sz w:val="19"/>
              </w:rPr>
              <w:t>56,985</w:t>
            </w:r>
          </w:p>
        </w:tc>
        <w:tc>
          <w:tcPr>
            <w:tcW w:w="1411" w:type="dxa"/>
            <w:shd w:val="clear" w:color="auto" w:fill="FAF9F9"/>
          </w:tcPr>
          <w:p>
            <w:pPr>
              <w:pStyle w:val="TableParagraph"/>
              <w:spacing w:before="33"/>
              <w:ind w:right="243"/>
              <w:jc w:val="right"/>
              <w:rPr>
                <w:sz w:val="19"/>
              </w:rPr>
            </w:pPr>
            <w:r>
              <w:rPr>
                <w:w w:val="95"/>
                <w:sz w:val="19"/>
              </w:rPr>
              <w:t>56,528</w:t>
            </w:r>
          </w:p>
        </w:tc>
        <w:tc>
          <w:tcPr>
            <w:tcW w:w="1140" w:type="dxa"/>
            <w:shd w:val="clear" w:color="auto" w:fill="FAF9F9"/>
          </w:tcPr>
          <w:p>
            <w:pPr>
              <w:pStyle w:val="TableParagraph"/>
              <w:spacing w:before="33"/>
              <w:ind w:right="108"/>
              <w:jc w:val="right"/>
              <w:rPr>
                <w:sz w:val="19"/>
              </w:rPr>
            </w:pPr>
            <w:r>
              <w:rPr>
                <w:w w:val="95"/>
                <w:sz w:val="19"/>
              </w:rPr>
              <w:t>457</w:t>
            </w:r>
          </w:p>
        </w:tc>
      </w:tr>
      <w:tr>
        <w:trPr>
          <w:trHeight w:val="485" w:hRule="atLeast"/>
        </w:trPr>
        <w:tc>
          <w:tcPr>
            <w:tcW w:w="7550" w:type="dxa"/>
            <w:tcBorders>
              <w:top w:val="single" w:sz="8" w:space="0" w:color="FFFFFF"/>
              <w:bottom w:val="single" w:sz="8" w:space="0" w:color="FFFFFF"/>
              <w:right w:val="single" w:sz="8" w:space="0" w:color="FFFFFF"/>
            </w:tcBorders>
            <w:shd w:val="clear" w:color="auto" w:fill="F4F4F4"/>
          </w:tcPr>
          <w:p>
            <w:pPr>
              <w:pStyle w:val="TableParagraph"/>
              <w:spacing w:line="220" w:lineRule="auto" w:before="47"/>
              <w:ind w:left="117" w:right="496"/>
              <w:rPr>
                <w:sz w:val="19"/>
              </w:rPr>
            </w:pPr>
            <w:r>
              <w:rPr>
                <w:sz w:val="19"/>
              </w:rPr>
              <w:t>Development</w:t>
            </w:r>
            <w:r>
              <w:rPr>
                <w:spacing w:val="-22"/>
                <w:sz w:val="19"/>
              </w:rPr>
              <w:t> </w:t>
            </w:r>
            <w:r>
              <w:rPr>
                <w:sz w:val="19"/>
              </w:rPr>
              <w:t>and</w:t>
            </w:r>
            <w:r>
              <w:rPr>
                <w:spacing w:val="-21"/>
                <w:sz w:val="19"/>
              </w:rPr>
              <w:t> </w:t>
            </w:r>
            <w:r>
              <w:rPr>
                <w:sz w:val="19"/>
              </w:rPr>
              <w:t>management</w:t>
            </w:r>
            <w:r>
              <w:rPr>
                <w:spacing w:val="-21"/>
                <w:sz w:val="19"/>
              </w:rPr>
              <w:t> </w:t>
            </w:r>
            <w:r>
              <w:rPr>
                <w:sz w:val="19"/>
              </w:rPr>
              <w:t>of</w:t>
            </w:r>
            <w:r>
              <w:rPr>
                <w:spacing w:val="-21"/>
                <w:sz w:val="19"/>
              </w:rPr>
              <w:t> </w:t>
            </w:r>
            <w:r>
              <w:rPr>
                <w:sz w:val="19"/>
              </w:rPr>
              <w:t>Common</w:t>
            </w:r>
            <w:r>
              <w:rPr>
                <w:spacing w:val="-22"/>
                <w:sz w:val="19"/>
              </w:rPr>
              <w:t> </w:t>
            </w:r>
            <w:r>
              <w:rPr>
                <w:sz w:val="19"/>
              </w:rPr>
              <w:t>Use</w:t>
            </w:r>
            <w:r>
              <w:rPr>
                <w:spacing w:val="-21"/>
                <w:sz w:val="19"/>
              </w:rPr>
              <w:t> </w:t>
            </w:r>
            <w:r>
              <w:rPr>
                <w:sz w:val="19"/>
              </w:rPr>
              <w:t>Contract</w:t>
            </w:r>
            <w:r>
              <w:rPr>
                <w:spacing w:val="-21"/>
                <w:sz w:val="19"/>
              </w:rPr>
              <w:t> </w:t>
            </w:r>
            <w:r>
              <w:rPr>
                <w:sz w:val="19"/>
              </w:rPr>
              <w:t>Arrangements,</w:t>
            </w:r>
            <w:r>
              <w:rPr>
                <w:spacing w:val="-21"/>
                <w:sz w:val="19"/>
              </w:rPr>
              <w:t> </w:t>
            </w:r>
            <w:r>
              <w:rPr>
                <w:sz w:val="19"/>
              </w:rPr>
              <w:t>State</w:t>
            </w:r>
            <w:r>
              <w:rPr>
                <w:spacing w:val="-21"/>
                <w:sz w:val="19"/>
              </w:rPr>
              <w:t> </w:t>
            </w:r>
            <w:r>
              <w:rPr>
                <w:spacing w:val="-4"/>
                <w:sz w:val="19"/>
              </w:rPr>
              <w:t>Fleet </w:t>
            </w:r>
            <w:r>
              <w:rPr>
                <w:sz w:val="19"/>
              </w:rPr>
              <w:t>leasing</w:t>
            </w:r>
            <w:r>
              <w:rPr>
                <w:spacing w:val="-17"/>
                <w:sz w:val="19"/>
              </w:rPr>
              <w:t> </w:t>
            </w:r>
            <w:r>
              <w:rPr>
                <w:sz w:val="19"/>
              </w:rPr>
              <w:t>and</w:t>
            </w:r>
            <w:r>
              <w:rPr>
                <w:spacing w:val="-17"/>
                <w:sz w:val="19"/>
              </w:rPr>
              <w:t> </w:t>
            </w:r>
            <w:r>
              <w:rPr>
                <w:sz w:val="19"/>
              </w:rPr>
              <w:t>disposal,</w:t>
            </w:r>
            <w:r>
              <w:rPr>
                <w:spacing w:val="-16"/>
                <w:sz w:val="19"/>
              </w:rPr>
              <w:t> </w:t>
            </w:r>
            <w:r>
              <w:rPr>
                <w:sz w:val="19"/>
              </w:rPr>
              <w:t>and</w:t>
            </w:r>
            <w:r>
              <w:rPr>
                <w:spacing w:val="-17"/>
                <w:sz w:val="19"/>
              </w:rPr>
              <w:t> </w:t>
            </w:r>
            <w:r>
              <w:rPr>
                <w:sz w:val="19"/>
              </w:rPr>
              <w:t>providing</w:t>
            </w:r>
            <w:r>
              <w:rPr>
                <w:spacing w:val="-16"/>
                <w:sz w:val="19"/>
              </w:rPr>
              <w:t> </w:t>
            </w:r>
            <w:r>
              <w:rPr>
                <w:sz w:val="19"/>
              </w:rPr>
              <w:t>facilitation</w:t>
            </w:r>
            <w:r>
              <w:rPr>
                <w:spacing w:val="-17"/>
                <w:sz w:val="19"/>
              </w:rPr>
              <w:t> </w:t>
            </w:r>
            <w:r>
              <w:rPr>
                <w:sz w:val="19"/>
              </w:rPr>
              <w:t>service</w:t>
            </w:r>
            <w:r>
              <w:rPr>
                <w:spacing w:val="-16"/>
                <w:sz w:val="19"/>
              </w:rPr>
              <w:t> </w:t>
            </w:r>
            <w:r>
              <w:rPr>
                <w:sz w:val="19"/>
              </w:rPr>
              <w:t>for</w:t>
            </w:r>
            <w:r>
              <w:rPr>
                <w:spacing w:val="-17"/>
                <w:sz w:val="19"/>
              </w:rPr>
              <w:t> </w:t>
            </w:r>
            <w:r>
              <w:rPr>
                <w:sz w:val="19"/>
              </w:rPr>
              <w:t>agency</w:t>
            </w:r>
            <w:r>
              <w:rPr>
                <w:spacing w:val="-16"/>
                <w:sz w:val="19"/>
              </w:rPr>
              <w:t> </w:t>
            </w:r>
            <w:r>
              <w:rPr>
                <w:sz w:val="19"/>
              </w:rPr>
              <w:t>specific</w:t>
            </w:r>
            <w:r>
              <w:rPr>
                <w:spacing w:val="-17"/>
                <w:sz w:val="19"/>
              </w:rPr>
              <w:t> </w:t>
            </w:r>
            <w:r>
              <w:rPr>
                <w:sz w:val="19"/>
              </w:rPr>
              <w:t>contracts</w:t>
            </w:r>
          </w:p>
        </w:tc>
        <w:tc>
          <w:tcPr>
            <w:tcW w:w="1322" w:type="dxa"/>
            <w:tcBorders>
              <w:top w:val="single" w:sz="8" w:space="0" w:color="FFFFFF"/>
              <w:left w:val="single" w:sz="8" w:space="0" w:color="FFFFFF"/>
              <w:bottom w:val="single" w:sz="8" w:space="0" w:color="FFFFFF"/>
            </w:tcBorders>
            <w:shd w:val="clear" w:color="auto" w:fill="F4F4F4"/>
          </w:tcPr>
          <w:p>
            <w:pPr>
              <w:pStyle w:val="TableParagraph"/>
              <w:spacing w:before="33"/>
              <w:ind w:right="109"/>
              <w:jc w:val="right"/>
              <w:rPr>
                <w:sz w:val="19"/>
              </w:rPr>
            </w:pPr>
            <w:r>
              <w:rPr>
                <w:w w:val="95"/>
                <w:sz w:val="19"/>
              </w:rPr>
              <w:t>108,573</w:t>
            </w:r>
          </w:p>
        </w:tc>
        <w:tc>
          <w:tcPr>
            <w:tcW w:w="1332" w:type="dxa"/>
            <w:shd w:val="clear" w:color="auto" w:fill="DFE1B8"/>
          </w:tcPr>
          <w:p>
            <w:pPr>
              <w:pStyle w:val="TableParagraph"/>
              <w:spacing w:before="33"/>
              <w:ind w:right="109"/>
              <w:jc w:val="right"/>
              <w:rPr>
                <w:sz w:val="19"/>
              </w:rPr>
            </w:pPr>
            <w:r>
              <w:rPr>
                <w:w w:val="95"/>
                <w:sz w:val="19"/>
              </w:rPr>
              <w:t>77,994</w:t>
            </w:r>
          </w:p>
        </w:tc>
        <w:tc>
          <w:tcPr>
            <w:tcW w:w="1275" w:type="dxa"/>
            <w:tcBorders>
              <w:top w:val="single" w:sz="8" w:space="0" w:color="FFFFFF"/>
              <w:bottom w:val="single" w:sz="8" w:space="0" w:color="FFFFFF"/>
            </w:tcBorders>
            <w:shd w:val="clear" w:color="auto" w:fill="F4F4F4"/>
          </w:tcPr>
          <w:p>
            <w:pPr>
              <w:pStyle w:val="TableParagraph"/>
              <w:spacing w:before="33"/>
              <w:ind w:right="108"/>
              <w:jc w:val="right"/>
              <w:rPr>
                <w:sz w:val="19"/>
              </w:rPr>
            </w:pPr>
            <w:r>
              <w:rPr>
                <w:w w:val="95"/>
                <w:sz w:val="19"/>
              </w:rPr>
              <w:t>(30,579)</w:t>
            </w:r>
          </w:p>
        </w:tc>
        <w:tc>
          <w:tcPr>
            <w:tcW w:w="1275" w:type="dxa"/>
            <w:shd w:val="clear" w:color="auto" w:fill="DFE1B8"/>
          </w:tcPr>
          <w:p>
            <w:pPr>
              <w:pStyle w:val="TableParagraph"/>
              <w:spacing w:before="33"/>
              <w:ind w:right="108"/>
              <w:jc w:val="right"/>
              <w:rPr>
                <w:sz w:val="19"/>
              </w:rPr>
            </w:pPr>
            <w:r>
              <w:rPr>
                <w:w w:val="95"/>
                <w:sz w:val="19"/>
              </w:rPr>
              <w:t>77,994</w:t>
            </w:r>
          </w:p>
        </w:tc>
        <w:tc>
          <w:tcPr>
            <w:tcW w:w="1411" w:type="dxa"/>
            <w:shd w:val="clear" w:color="auto" w:fill="F4F4F4"/>
          </w:tcPr>
          <w:p>
            <w:pPr>
              <w:pStyle w:val="TableParagraph"/>
              <w:spacing w:before="33"/>
              <w:ind w:right="243"/>
              <w:jc w:val="right"/>
              <w:rPr>
                <w:sz w:val="19"/>
              </w:rPr>
            </w:pPr>
            <w:r>
              <w:rPr>
                <w:w w:val="95"/>
                <w:sz w:val="19"/>
              </w:rPr>
              <w:t>95,849</w:t>
            </w:r>
          </w:p>
        </w:tc>
        <w:tc>
          <w:tcPr>
            <w:tcW w:w="1140" w:type="dxa"/>
            <w:shd w:val="clear" w:color="auto" w:fill="F4F4F4"/>
          </w:tcPr>
          <w:p>
            <w:pPr>
              <w:pStyle w:val="TableParagraph"/>
              <w:spacing w:before="33"/>
              <w:ind w:right="107"/>
              <w:jc w:val="right"/>
              <w:rPr>
                <w:sz w:val="19"/>
              </w:rPr>
            </w:pPr>
            <w:r>
              <w:rPr>
                <w:w w:val="95"/>
                <w:sz w:val="19"/>
              </w:rPr>
              <w:t>(17,855)</w:t>
            </w:r>
          </w:p>
        </w:tc>
      </w:tr>
      <w:tr>
        <w:trPr>
          <w:trHeight w:val="285" w:hRule="atLeast"/>
        </w:trPr>
        <w:tc>
          <w:tcPr>
            <w:tcW w:w="7550" w:type="dxa"/>
            <w:tcBorders>
              <w:top w:val="single" w:sz="8" w:space="0" w:color="FFFFFF"/>
              <w:bottom w:val="single" w:sz="8" w:space="0" w:color="FFFFFF"/>
            </w:tcBorders>
            <w:shd w:val="clear" w:color="auto" w:fill="FAF9F9"/>
          </w:tcPr>
          <w:p>
            <w:pPr>
              <w:pStyle w:val="TableParagraph"/>
              <w:spacing w:before="33"/>
              <w:ind w:left="117"/>
              <w:rPr>
                <w:sz w:val="19"/>
              </w:rPr>
            </w:pPr>
            <w:r>
              <w:rPr>
                <w:sz w:val="19"/>
              </w:rPr>
              <w:t>Corporate services to client agencies</w:t>
            </w:r>
          </w:p>
        </w:tc>
        <w:tc>
          <w:tcPr>
            <w:tcW w:w="1322" w:type="dxa"/>
            <w:tcBorders>
              <w:top w:val="single" w:sz="8" w:space="0" w:color="FFFFFF"/>
              <w:bottom w:val="single" w:sz="8" w:space="0" w:color="FFFFFF"/>
            </w:tcBorders>
            <w:shd w:val="clear" w:color="auto" w:fill="FAF9F9"/>
          </w:tcPr>
          <w:p>
            <w:pPr>
              <w:pStyle w:val="TableParagraph"/>
              <w:spacing w:before="33"/>
              <w:ind w:right="109"/>
              <w:jc w:val="right"/>
              <w:rPr>
                <w:sz w:val="19"/>
              </w:rPr>
            </w:pPr>
            <w:r>
              <w:rPr>
                <w:w w:val="95"/>
                <w:sz w:val="19"/>
              </w:rPr>
              <w:t>6,809</w:t>
            </w:r>
          </w:p>
        </w:tc>
        <w:tc>
          <w:tcPr>
            <w:tcW w:w="1332" w:type="dxa"/>
            <w:shd w:val="clear" w:color="auto" w:fill="E1E4BB"/>
          </w:tcPr>
          <w:p>
            <w:pPr>
              <w:pStyle w:val="TableParagraph"/>
              <w:spacing w:before="33"/>
              <w:ind w:right="108"/>
              <w:jc w:val="right"/>
              <w:rPr>
                <w:sz w:val="19"/>
              </w:rPr>
            </w:pPr>
            <w:r>
              <w:rPr>
                <w:w w:val="95"/>
                <w:sz w:val="19"/>
              </w:rPr>
              <w:t>7,354</w:t>
            </w:r>
          </w:p>
        </w:tc>
        <w:tc>
          <w:tcPr>
            <w:tcW w:w="1275" w:type="dxa"/>
            <w:tcBorders>
              <w:top w:val="single" w:sz="8" w:space="0" w:color="FFFFFF"/>
              <w:bottom w:val="single" w:sz="8" w:space="0" w:color="FFFFFF"/>
            </w:tcBorders>
            <w:shd w:val="clear" w:color="auto" w:fill="FAF9F9"/>
          </w:tcPr>
          <w:p>
            <w:pPr>
              <w:pStyle w:val="TableParagraph"/>
              <w:spacing w:before="33"/>
              <w:ind w:right="108"/>
              <w:jc w:val="right"/>
              <w:rPr>
                <w:sz w:val="19"/>
              </w:rPr>
            </w:pPr>
            <w:r>
              <w:rPr>
                <w:w w:val="95"/>
                <w:sz w:val="19"/>
              </w:rPr>
              <w:t>545</w:t>
            </w:r>
          </w:p>
        </w:tc>
        <w:tc>
          <w:tcPr>
            <w:tcW w:w="1275" w:type="dxa"/>
            <w:shd w:val="clear" w:color="auto" w:fill="E1E4BB"/>
          </w:tcPr>
          <w:p>
            <w:pPr>
              <w:pStyle w:val="TableParagraph"/>
              <w:spacing w:before="33"/>
              <w:ind w:right="107"/>
              <w:jc w:val="right"/>
              <w:rPr>
                <w:sz w:val="19"/>
              </w:rPr>
            </w:pPr>
            <w:r>
              <w:rPr>
                <w:w w:val="95"/>
                <w:sz w:val="19"/>
              </w:rPr>
              <w:t>7,354</w:t>
            </w:r>
          </w:p>
        </w:tc>
        <w:tc>
          <w:tcPr>
            <w:tcW w:w="1411" w:type="dxa"/>
            <w:shd w:val="clear" w:color="auto" w:fill="FAF9F9"/>
          </w:tcPr>
          <w:p>
            <w:pPr>
              <w:pStyle w:val="TableParagraph"/>
              <w:spacing w:before="33"/>
              <w:ind w:right="242"/>
              <w:jc w:val="right"/>
              <w:rPr>
                <w:sz w:val="19"/>
              </w:rPr>
            </w:pPr>
            <w:r>
              <w:rPr>
                <w:w w:val="95"/>
                <w:sz w:val="19"/>
              </w:rPr>
              <w:t>7,019</w:t>
            </w:r>
          </w:p>
        </w:tc>
        <w:tc>
          <w:tcPr>
            <w:tcW w:w="1140" w:type="dxa"/>
            <w:shd w:val="clear" w:color="auto" w:fill="FAF9F9"/>
          </w:tcPr>
          <w:p>
            <w:pPr>
              <w:pStyle w:val="TableParagraph"/>
              <w:spacing w:before="33"/>
              <w:ind w:right="107"/>
              <w:jc w:val="right"/>
              <w:rPr>
                <w:sz w:val="19"/>
              </w:rPr>
            </w:pPr>
            <w:r>
              <w:rPr>
                <w:w w:val="95"/>
                <w:sz w:val="19"/>
              </w:rPr>
              <w:t>335</w:t>
            </w:r>
          </w:p>
        </w:tc>
      </w:tr>
      <w:tr>
        <w:trPr>
          <w:trHeight w:val="485" w:hRule="atLeast"/>
        </w:trPr>
        <w:tc>
          <w:tcPr>
            <w:tcW w:w="7550" w:type="dxa"/>
            <w:tcBorders>
              <w:top w:val="single" w:sz="8" w:space="0" w:color="FFFFFF"/>
              <w:bottom w:val="single" w:sz="8" w:space="0" w:color="FFFFFF"/>
              <w:right w:val="single" w:sz="8" w:space="0" w:color="FFFFFF"/>
            </w:tcBorders>
            <w:shd w:val="clear" w:color="auto" w:fill="F4F4F4"/>
          </w:tcPr>
          <w:p>
            <w:pPr>
              <w:pStyle w:val="TableParagraph"/>
              <w:spacing w:line="220" w:lineRule="auto" w:before="47"/>
              <w:ind w:left="118" w:right="440"/>
              <w:rPr>
                <w:sz w:val="19"/>
              </w:rPr>
            </w:pPr>
            <w:r>
              <w:rPr>
                <w:sz w:val="19"/>
              </w:rPr>
              <w:t>Leads</w:t>
            </w:r>
            <w:r>
              <w:rPr>
                <w:spacing w:val="-29"/>
                <w:sz w:val="19"/>
              </w:rPr>
              <w:t> </w:t>
            </w:r>
            <w:r>
              <w:rPr>
                <w:sz w:val="19"/>
              </w:rPr>
              <w:t>the</w:t>
            </w:r>
            <w:r>
              <w:rPr>
                <w:spacing w:val="-28"/>
                <w:sz w:val="19"/>
              </w:rPr>
              <w:t> </w:t>
            </w:r>
            <w:r>
              <w:rPr>
                <w:sz w:val="19"/>
              </w:rPr>
              <w:t>planning,</w:t>
            </w:r>
            <w:r>
              <w:rPr>
                <w:spacing w:val="-28"/>
                <w:sz w:val="19"/>
              </w:rPr>
              <w:t> </w:t>
            </w:r>
            <w:r>
              <w:rPr>
                <w:sz w:val="19"/>
              </w:rPr>
              <w:t>delivery,</w:t>
            </w:r>
            <w:r>
              <w:rPr>
                <w:spacing w:val="-28"/>
                <w:sz w:val="19"/>
              </w:rPr>
              <w:t> </w:t>
            </w:r>
            <w:r>
              <w:rPr>
                <w:sz w:val="19"/>
              </w:rPr>
              <w:t>management</w:t>
            </w:r>
            <w:r>
              <w:rPr>
                <w:spacing w:val="-28"/>
                <w:sz w:val="19"/>
              </w:rPr>
              <w:t> </w:t>
            </w:r>
            <w:r>
              <w:rPr>
                <w:sz w:val="19"/>
              </w:rPr>
              <w:t>and</w:t>
            </w:r>
            <w:r>
              <w:rPr>
                <w:spacing w:val="-28"/>
                <w:sz w:val="19"/>
              </w:rPr>
              <w:t> </w:t>
            </w:r>
            <w:r>
              <w:rPr>
                <w:sz w:val="19"/>
              </w:rPr>
              <w:t>maintenance</w:t>
            </w:r>
            <w:r>
              <w:rPr>
                <w:spacing w:val="-28"/>
                <w:sz w:val="19"/>
              </w:rPr>
              <w:t> </w:t>
            </w:r>
            <w:r>
              <w:rPr>
                <w:sz w:val="19"/>
              </w:rPr>
              <w:t>of</w:t>
            </w:r>
            <w:r>
              <w:rPr>
                <w:spacing w:val="-28"/>
                <w:sz w:val="19"/>
              </w:rPr>
              <w:t> </w:t>
            </w:r>
            <w:r>
              <w:rPr>
                <w:sz w:val="19"/>
              </w:rPr>
              <w:t>government</w:t>
            </w:r>
            <w:r>
              <w:rPr>
                <w:spacing w:val="-28"/>
                <w:sz w:val="19"/>
              </w:rPr>
              <w:t> </w:t>
            </w:r>
            <w:r>
              <w:rPr>
                <w:sz w:val="19"/>
              </w:rPr>
              <w:t>buildings, projects and office</w:t>
            </w:r>
            <w:r>
              <w:rPr>
                <w:spacing w:val="-3"/>
                <w:sz w:val="19"/>
              </w:rPr>
              <w:t> </w:t>
            </w:r>
            <w:r>
              <w:rPr>
                <w:sz w:val="19"/>
              </w:rPr>
              <w:t>accommodation</w:t>
            </w:r>
          </w:p>
        </w:tc>
        <w:tc>
          <w:tcPr>
            <w:tcW w:w="1322" w:type="dxa"/>
            <w:tcBorders>
              <w:top w:val="single" w:sz="8" w:space="0" w:color="FFFFFF"/>
              <w:left w:val="single" w:sz="8" w:space="0" w:color="FFFFFF"/>
              <w:bottom w:val="single" w:sz="8" w:space="0" w:color="FFFFFF"/>
            </w:tcBorders>
            <w:shd w:val="clear" w:color="auto" w:fill="F4F4F4"/>
          </w:tcPr>
          <w:p>
            <w:pPr>
              <w:pStyle w:val="TableParagraph"/>
              <w:spacing w:before="33"/>
              <w:ind w:right="108"/>
              <w:jc w:val="right"/>
              <w:rPr>
                <w:sz w:val="19"/>
              </w:rPr>
            </w:pPr>
            <w:r>
              <w:rPr>
                <w:w w:val="95"/>
                <w:sz w:val="19"/>
              </w:rPr>
              <w:t>1,153,898</w:t>
            </w:r>
          </w:p>
        </w:tc>
        <w:tc>
          <w:tcPr>
            <w:tcW w:w="1332" w:type="dxa"/>
            <w:shd w:val="clear" w:color="auto" w:fill="DFE1B8"/>
          </w:tcPr>
          <w:p>
            <w:pPr>
              <w:pStyle w:val="TableParagraph"/>
              <w:spacing w:before="33"/>
              <w:ind w:right="108"/>
              <w:jc w:val="right"/>
              <w:rPr>
                <w:sz w:val="19"/>
              </w:rPr>
            </w:pPr>
            <w:r>
              <w:rPr>
                <w:w w:val="95"/>
                <w:sz w:val="19"/>
              </w:rPr>
              <w:t>1,084,641</w:t>
            </w:r>
          </w:p>
        </w:tc>
        <w:tc>
          <w:tcPr>
            <w:tcW w:w="1275" w:type="dxa"/>
            <w:tcBorders>
              <w:top w:val="single" w:sz="8" w:space="0" w:color="FFFFFF"/>
              <w:bottom w:val="single" w:sz="8" w:space="0" w:color="FFFFFF"/>
            </w:tcBorders>
            <w:shd w:val="clear" w:color="auto" w:fill="F4F4F4"/>
          </w:tcPr>
          <w:p>
            <w:pPr>
              <w:pStyle w:val="TableParagraph"/>
              <w:spacing w:before="33"/>
              <w:ind w:right="107"/>
              <w:jc w:val="right"/>
              <w:rPr>
                <w:sz w:val="19"/>
              </w:rPr>
            </w:pPr>
            <w:r>
              <w:rPr>
                <w:w w:val="95"/>
                <w:sz w:val="19"/>
              </w:rPr>
              <w:t>(69,257)</w:t>
            </w:r>
          </w:p>
        </w:tc>
        <w:tc>
          <w:tcPr>
            <w:tcW w:w="1275" w:type="dxa"/>
            <w:shd w:val="clear" w:color="auto" w:fill="DFE1B8"/>
          </w:tcPr>
          <w:p>
            <w:pPr>
              <w:pStyle w:val="TableParagraph"/>
              <w:spacing w:before="33"/>
              <w:ind w:right="107"/>
              <w:jc w:val="right"/>
              <w:rPr>
                <w:sz w:val="19"/>
              </w:rPr>
            </w:pPr>
            <w:r>
              <w:rPr>
                <w:w w:val="95"/>
                <w:sz w:val="19"/>
              </w:rPr>
              <w:t>1,084,641</w:t>
            </w:r>
          </w:p>
        </w:tc>
        <w:tc>
          <w:tcPr>
            <w:tcW w:w="1411" w:type="dxa"/>
            <w:shd w:val="clear" w:color="auto" w:fill="F4F4F4"/>
          </w:tcPr>
          <w:p>
            <w:pPr>
              <w:pStyle w:val="TableParagraph"/>
              <w:spacing w:before="33"/>
              <w:ind w:right="242"/>
              <w:jc w:val="right"/>
              <w:rPr>
                <w:sz w:val="19"/>
              </w:rPr>
            </w:pPr>
            <w:r>
              <w:rPr>
                <w:w w:val="95"/>
                <w:sz w:val="19"/>
              </w:rPr>
              <w:t>998,621</w:t>
            </w:r>
          </w:p>
        </w:tc>
        <w:tc>
          <w:tcPr>
            <w:tcW w:w="1140" w:type="dxa"/>
            <w:shd w:val="clear" w:color="auto" w:fill="F4F4F4"/>
          </w:tcPr>
          <w:p>
            <w:pPr>
              <w:pStyle w:val="TableParagraph"/>
              <w:spacing w:before="33"/>
              <w:ind w:right="106"/>
              <w:jc w:val="right"/>
              <w:rPr>
                <w:sz w:val="19"/>
              </w:rPr>
            </w:pPr>
            <w:r>
              <w:rPr>
                <w:w w:val="95"/>
                <w:sz w:val="19"/>
              </w:rPr>
              <w:t>86,020</w:t>
            </w:r>
          </w:p>
        </w:tc>
      </w:tr>
      <w:tr>
        <w:trPr>
          <w:trHeight w:val="485" w:hRule="atLeast"/>
        </w:trPr>
        <w:tc>
          <w:tcPr>
            <w:tcW w:w="7550" w:type="dxa"/>
            <w:tcBorders>
              <w:top w:val="single" w:sz="8" w:space="0" w:color="FFFFFF"/>
              <w:bottom w:val="single" w:sz="8" w:space="0" w:color="FFFFFF"/>
            </w:tcBorders>
            <w:shd w:val="clear" w:color="auto" w:fill="FAF9F9"/>
          </w:tcPr>
          <w:p>
            <w:pPr>
              <w:pStyle w:val="TableParagraph"/>
              <w:spacing w:line="220" w:lineRule="auto" w:before="47"/>
              <w:ind w:left="118" w:right="930"/>
              <w:rPr>
                <w:sz w:val="19"/>
              </w:rPr>
            </w:pPr>
            <w:r>
              <w:rPr>
                <w:sz w:val="19"/>
              </w:rPr>
              <w:t>Development and implementation of energy policy and economic reform, assessment</w:t>
            </w:r>
            <w:r>
              <w:rPr>
                <w:spacing w:val="-18"/>
                <w:sz w:val="19"/>
              </w:rPr>
              <w:t> </w:t>
            </w:r>
            <w:r>
              <w:rPr>
                <w:sz w:val="19"/>
              </w:rPr>
              <w:t>of</w:t>
            </w:r>
            <w:r>
              <w:rPr>
                <w:spacing w:val="-17"/>
                <w:sz w:val="19"/>
              </w:rPr>
              <w:t> </w:t>
            </w:r>
            <w:r>
              <w:rPr>
                <w:sz w:val="19"/>
              </w:rPr>
              <w:t>proposed</w:t>
            </w:r>
            <w:r>
              <w:rPr>
                <w:spacing w:val="-17"/>
                <w:sz w:val="19"/>
              </w:rPr>
              <w:t> </w:t>
            </w:r>
            <w:r>
              <w:rPr>
                <w:sz w:val="19"/>
              </w:rPr>
              <w:t>policy</w:t>
            </w:r>
            <w:r>
              <w:rPr>
                <w:spacing w:val="-17"/>
                <w:sz w:val="19"/>
              </w:rPr>
              <w:t> </w:t>
            </w:r>
            <w:r>
              <w:rPr>
                <w:sz w:val="19"/>
              </w:rPr>
              <w:t>changes</w:t>
            </w:r>
            <w:r>
              <w:rPr>
                <w:spacing w:val="-17"/>
                <w:sz w:val="19"/>
              </w:rPr>
              <w:t> </w:t>
            </w:r>
            <w:r>
              <w:rPr>
                <w:sz w:val="19"/>
              </w:rPr>
              <w:t>and</w:t>
            </w:r>
            <w:r>
              <w:rPr>
                <w:spacing w:val="-17"/>
                <w:sz w:val="19"/>
              </w:rPr>
              <w:t> </w:t>
            </w:r>
            <w:r>
              <w:rPr>
                <w:sz w:val="19"/>
              </w:rPr>
              <w:t>the</w:t>
            </w:r>
            <w:r>
              <w:rPr>
                <w:spacing w:val="-18"/>
                <w:sz w:val="19"/>
              </w:rPr>
              <w:t> </w:t>
            </w:r>
            <w:r>
              <w:rPr>
                <w:sz w:val="19"/>
              </w:rPr>
              <w:t>impact</w:t>
            </w:r>
            <w:r>
              <w:rPr>
                <w:spacing w:val="-17"/>
                <w:sz w:val="19"/>
              </w:rPr>
              <w:t> </w:t>
            </w:r>
            <w:r>
              <w:rPr>
                <w:sz w:val="19"/>
              </w:rPr>
              <w:t>on</w:t>
            </w:r>
            <w:r>
              <w:rPr>
                <w:spacing w:val="-17"/>
                <w:sz w:val="19"/>
              </w:rPr>
              <w:t> </w:t>
            </w:r>
            <w:r>
              <w:rPr>
                <w:sz w:val="19"/>
              </w:rPr>
              <w:t>regulatory</w:t>
            </w:r>
            <w:r>
              <w:rPr>
                <w:spacing w:val="-17"/>
                <w:sz w:val="19"/>
              </w:rPr>
              <w:t> </w:t>
            </w:r>
            <w:r>
              <w:rPr>
                <w:sz w:val="19"/>
              </w:rPr>
              <w:t>functions</w:t>
            </w:r>
          </w:p>
        </w:tc>
        <w:tc>
          <w:tcPr>
            <w:tcW w:w="1322" w:type="dxa"/>
            <w:tcBorders>
              <w:top w:val="single" w:sz="8" w:space="0" w:color="FFFFFF"/>
              <w:bottom w:val="single" w:sz="4" w:space="0" w:color="000000"/>
            </w:tcBorders>
            <w:shd w:val="clear" w:color="auto" w:fill="FAF9F9"/>
          </w:tcPr>
          <w:p>
            <w:pPr>
              <w:pStyle w:val="TableParagraph"/>
              <w:spacing w:before="33"/>
              <w:ind w:right="108"/>
              <w:jc w:val="right"/>
              <w:rPr>
                <w:sz w:val="19"/>
              </w:rPr>
            </w:pPr>
            <w:r>
              <w:rPr>
                <w:w w:val="95"/>
                <w:sz w:val="19"/>
              </w:rPr>
              <w:t>29,429</w:t>
            </w:r>
          </w:p>
        </w:tc>
        <w:tc>
          <w:tcPr>
            <w:tcW w:w="1332" w:type="dxa"/>
            <w:tcBorders>
              <w:bottom w:val="single" w:sz="4" w:space="0" w:color="000000"/>
            </w:tcBorders>
            <w:shd w:val="clear" w:color="auto" w:fill="E1E4BB"/>
          </w:tcPr>
          <w:p>
            <w:pPr>
              <w:pStyle w:val="TableParagraph"/>
              <w:spacing w:before="33"/>
              <w:ind w:right="108"/>
              <w:jc w:val="right"/>
              <w:rPr>
                <w:sz w:val="19"/>
              </w:rPr>
            </w:pPr>
            <w:r>
              <w:rPr>
                <w:w w:val="95"/>
                <w:sz w:val="19"/>
              </w:rPr>
              <w:t>16,004</w:t>
            </w:r>
          </w:p>
        </w:tc>
        <w:tc>
          <w:tcPr>
            <w:tcW w:w="1275" w:type="dxa"/>
            <w:tcBorders>
              <w:top w:val="single" w:sz="8" w:space="0" w:color="FFFFFF"/>
              <w:bottom w:val="single" w:sz="4" w:space="0" w:color="000000"/>
            </w:tcBorders>
            <w:shd w:val="clear" w:color="auto" w:fill="FAF9F9"/>
          </w:tcPr>
          <w:p>
            <w:pPr>
              <w:pStyle w:val="TableParagraph"/>
              <w:spacing w:before="33"/>
              <w:ind w:right="107"/>
              <w:jc w:val="right"/>
              <w:rPr>
                <w:sz w:val="19"/>
              </w:rPr>
            </w:pPr>
            <w:r>
              <w:rPr>
                <w:w w:val="95"/>
                <w:sz w:val="19"/>
              </w:rPr>
              <w:t>(13,425)</w:t>
            </w:r>
          </w:p>
        </w:tc>
        <w:tc>
          <w:tcPr>
            <w:tcW w:w="1275" w:type="dxa"/>
            <w:tcBorders>
              <w:bottom w:val="single" w:sz="4" w:space="0" w:color="000000"/>
            </w:tcBorders>
            <w:shd w:val="clear" w:color="auto" w:fill="E1E4BB"/>
          </w:tcPr>
          <w:p>
            <w:pPr>
              <w:pStyle w:val="TableParagraph"/>
              <w:spacing w:before="33"/>
              <w:ind w:right="106"/>
              <w:jc w:val="right"/>
              <w:rPr>
                <w:sz w:val="19"/>
              </w:rPr>
            </w:pPr>
            <w:r>
              <w:rPr>
                <w:w w:val="95"/>
                <w:sz w:val="19"/>
              </w:rPr>
              <w:t>16,004</w:t>
            </w:r>
          </w:p>
        </w:tc>
        <w:tc>
          <w:tcPr>
            <w:tcW w:w="1411" w:type="dxa"/>
            <w:tcBorders>
              <w:bottom w:val="single" w:sz="4" w:space="0" w:color="000000"/>
            </w:tcBorders>
            <w:shd w:val="clear" w:color="auto" w:fill="FAF9F9"/>
          </w:tcPr>
          <w:p>
            <w:pPr>
              <w:pStyle w:val="TableParagraph"/>
              <w:spacing w:before="33"/>
              <w:ind w:right="242"/>
              <w:jc w:val="right"/>
              <w:rPr>
                <w:sz w:val="19"/>
              </w:rPr>
            </w:pPr>
            <w:r>
              <w:rPr>
                <w:w w:val="95"/>
                <w:sz w:val="19"/>
              </w:rPr>
              <w:t>24,396</w:t>
            </w:r>
          </w:p>
        </w:tc>
        <w:tc>
          <w:tcPr>
            <w:tcW w:w="1140" w:type="dxa"/>
            <w:tcBorders>
              <w:bottom w:val="single" w:sz="4" w:space="0" w:color="000000"/>
            </w:tcBorders>
            <w:shd w:val="clear" w:color="auto" w:fill="FAF9F9"/>
          </w:tcPr>
          <w:p>
            <w:pPr>
              <w:pStyle w:val="TableParagraph"/>
              <w:spacing w:before="33"/>
              <w:ind w:right="106"/>
              <w:jc w:val="right"/>
              <w:rPr>
                <w:sz w:val="19"/>
              </w:rPr>
            </w:pPr>
            <w:r>
              <w:rPr>
                <w:w w:val="90"/>
                <w:sz w:val="19"/>
              </w:rPr>
              <w:t>(8,392)</w:t>
            </w:r>
          </w:p>
        </w:tc>
      </w:tr>
      <w:tr>
        <w:trPr>
          <w:trHeight w:val="290" w:hRule="atLeast"/>
        </w:trPr>
        <w:tc>
          <w:tcPr>
            <w:tcW w:w="7550" w:type="dxa"/>
            <w:tcBorders>
              <w:top w:val="single" w:sz="8" w:space="0" w:color="FFFFFF"/>
              <w:right w:val="single" w:sz="8" w:space="0" w:color="FFFFFF"/>
            </w:tcBorders>
            <w:shd w:val="clear" w:color="auto" w:fill="F4F4F4"/>
          </w:tcPr>
          <w:p>
            <w:pPr>
              <w:pStyle w:val="TableParagraph"/>
              <w:spacing w:before="33"/>
              <w:ind w:left="118"/>
              <w:rPr>
                <w:sz w:val="19"/>
              </w:rPr>
            </w:pPr>
            <w:r>
              <w:rPr>
                <w:sz w:val="19"/>
              </w:rPr>
              <w:t>Total details of expenses by service</w:t>
            </w:r>
          </w:p>
        </w:tc>
        <w:tc>
          <w:tcPr>
            <w:tcW w:w="1322" w:type="dxa"/>
            <w:tcBorders>
              <w:top w:val="single" w:sz="4" w:space="0" w:color="000000"/>
              <w:left w:val="single" w:sz="8" w:space="0" w:color="FFFFFF"/>
              <w:bottom w:val="single" w:sz="4" w:space="0" w:color="000000"/>
            </w:tcBorders>
            <w:shd w:val="clear" w:color="auto" w:fill="F4F4F4"/>
          </w:tcPr>
          <w:p>
            <w:pPr>
              <w:pStyle w:val="TableParagraph"/>
              <w:spacing w:before="33"/>
              <w:ind w:right="108"/>
              <w:jc w:val="right"/>
              <w:rPr>
                <w:b/>
                <w:sz w:val="19"/>
              </w:rPr>
            </w:pPr>
            <w:r>
              <w:rPr>
                <w:b/>
                <w:w w:val="95"/>
                <w:sz w:val="19"/>
              </w:rPr>
              <w:t>1,359,762</w:t>
            </w:r>
          </w:p>
        </w:tc>
        <w:tc>
          <w:tcPr>
            <w:tcW w:w="1332" w:type="dxa"/>
            <w:tcBorders>
              <w:top w:val="single" w:sz="4" w:space="0" w:color="000000"/>
              <w:bottom w:val="single" w:sz="4" w:space="0" w:color="000000"/>
            </w:tcBorders>
            <w:shd w:val="clear" w:color="auto" w:fill="DFE1B8"/>
          </w:tcPr>
          <w:p>
            <w:pPr>
              <w:pStyle w:val="TableParagraph"/>
              <w:spacing w:before="33"/>
              <w:ind w:right="107"/>
              <w:jc w:val="right"/>
              <w:rPr>
                <w:b/>
                <w:sz w:val="19"/>
              </w:rPr>
            </w:pPr>
            <w:r>
              <w:rPr>
                <w:b/>
                <w:w w:val="95"/>
                <w:sz w:val="19"/>
              </w:rPr>
              <w:t>1,242,978</w:t>
            </w:r>
          </w:p>
        </w:tc>
        <w:tc>
          <w:tcPr>
            <w:tcW w:w="1275" w:type="dxa"/>
            <w:tcBorders>
              <w:top w:val="single" w:sz="4" w:space="0" w:color="000000"/>
              <w:bottom w:val="single" w:sz="4" w:space="0" w:color="000000"/>
            </w:tcBorders>
            <w:shd w:val="clear" w:color="auto" w:fill="F4F4F4"/>
          </w:tcPr>
          <w:p>
            <w:pPr>
              <w:pStyle w:val="TableParagraph"/>
              <w:spacing w:before="33"/>
              <w:ind w:right="107"/>
              <w:jc w:val="right"/>
              <w:rPr>
                <w:b/>
                <w:sz w:val="19"/>
              </w:rPr>
            </w:pPr>
            <w:r>
              <w:rPr>
                <w:b/>
                <w:w w:val="95"/>
                <w:sz w:val="19"/>
              </w:rPr>
              <w:t>(116,784)</w:t>
            </w:r>
          </w:p>
        </w:tc>
        <w:tc>
          <w:tcPr>
            <w:tcW w:w="1275" w:type="dxa"/>
            <w:tcBorders>
              <w:top w:val="single" w:sz="4" w:space="0" w:color="000000"/>
              <w:bottom w:val="single" w:sz="4" w:space="0" w:color="000000"/>
            </w:tcBorders>
            <w:shd w:val="clear" w:color="auto" w:fill="DFE1B8"/>
          </w:tcPr>
          <w:p>
            <w:pPr>
              <w:pStyle w:val="TableParagraph"/>
              <w:spacing w:before="33"/>
              <w:ind w:right="106"/>
              <w:jc w:val="right"/>
              <w:rPr>
                <w:b/>
                <w:sz w:val="19"/>
              </w:rPr>
            </w:pPr>
            <w:r>
              <w:rPr>
                <w:b/>
                <w:w w:val="95"/>
                <w:sz w:val="19"/>
              </w:rPr>
              <w:t>1,242,978</w:t>
            </w:r>
          </w:p>
        </w:tc>
        <w:tc>
          <w:tcPr>
            <w:tcW w:w="1411" w:type="dxa"/>
            <w:tcBorders>
              <w:top w:val="single" w:sz="4" w:space="0" w:color="000000"/>
              <w:bottom w:val="single" w:sz="4" w:space="0" w:color="000000"/>
            </w:tcBorders>
            <w:shd w:val="clear" w:color="auto" w:fill="F4F4F4"/>
          </w:tcPr>
          <w:p>
            <w:pPr>
              <w:pStyle w:val="TableParagraph"/>
              <w:spacing w:before="33"/>
              <w:ind w:right="241"/>
              <w:jc w:val="right"/>
              <w:rPr>
                <w:b/>
                <w:sz w:val="19"/>
              </w:rPr>
            </w:pPr>
            <w:r>
              <w:rPr>
                <w:b/>
                <w:w w:val="95"/>
                <w:sz w:val="19"/>
              </w:rPr>
              <w:t>1,182,413</w:t>
            </w:r>
          </w:p>
        </w:tc>
        <w:tc>
          <w:tcPr>
            <w:tcW w:w="1140" w:type="dxa"/>
            <w:tcBorders>
              <w:top w:val="single" w:sz="4" w:space="0" w:color="000000"/>
              <w:bottom w:val="single" w:sz="4" w:space="0" w:color="000000"/>
            </w:tcBorders>
            <w:shd w:val="clear" w:color="auto" w:fill="F4F4F4"/>
          </w:tcPr>
          <w:p>
            <w:pPr>
              <w:pStyle w:val="TableParagraph"/>
              <w:spacing w:before="33"/>
              <w:ind w:right="106"/>
              <w:jc w:val="right"/>
              <w:rPr>
                <w:b/>
                <w:sz w:val="19"/>
              </w:rPr>
            </w:pPr>
            <w:r>
              <w:rPr>
                <w:b/>
                <w:w w:val="95"/>
                <w:sz w:val="19"/>
              </w:rPr>
              <w:t>60,565</w:t>
            </w:r>
          </w:p>
        </w:tc>
      </w:tr>
      <w:tr>
        <w:trPr>
          <w:trHeight w:val="290" w:hRule="atLeast"/>
        </w:trPr>
        <w:tc>
          <w:tcPr>
            <w:tcW w:w="7550" w:type="dxa"/>
            <w:tcBorders>
              <w:bottom w:val="single" w:sz="8" w:space="0" w:color="FFFFFF"/>
              <w:right w:val="single" w:sz="8" w:space="0" w:color="FFFFFF"/>
            </w:tcBorders>
            <w:shd w:val="clear" w:color="auto" w:fill="FAF9F9"/>
          </w:tcPr>
          <w:p>
            <w:pPr>
              <w:pStyle w:val="TableParagraph"/>
              <w:spacing w:before="38"/>
              <w:ind w:left="119"/>
              <w:rPr>
                <w:sz w:val="19"/>
              </w:rPr>
            </w:pPr>
            <w:r>
              <w:rPr>
                <w:sz w:val="19"/>
              </w:rPr>
              <w:t>Less total income</w:t>
            </w:r>
          </w:p>
        </w:tc>
        <w:tc>
          <w:tcPr>
            <w:tcW w:w="1322" w:type="dxa"/>
            <w:tcBorders>
              <w:top w:val="single" w:sz="4" w:space="0" w:color="000000"/>
              <w:left w:val="single" w:sz="8" w:space="0" w:color="FFFFFF"/>
              <w:bottom w:val="single" w:sz="4" w:space="0" w:color="000000"/>
            </w:tcBorders>
            <w:shd w:val="clear" w:color="auto" w:fill="FAF9F9"/>
          </w:tcPr>
          <w:p>
            <w:pPr>
              <w:pStyle w:val="TableParagraph"/>
              <w:spacing w:before="38"/>
              <w:ind w:right="107"/>
              <w:jc w:val="right"/>
              <w:rPr>
                <w:b/>
                <w:sz w:val="19"/>
              </w:rPr>
            </w:pPr>
            <w:r>
              <w:rPr>
                <w:b/>
                <w:w w:val="95"/>
                <w:sz w:val="19"/>
              </w:rPr>
              <w:t>(1,171,441)</w:t>
            </w:r>
          </w:p>
        </w:tc>
        <w:tc>
          <w:tcPr>
            <w:tcW w:w="1332" w:type="dxa"/>
            <w:tcBorders>
              <w:top w:val="single" w:sz="4" w:space="0" w:color="000000"/>
              <w:bottom w:val="single" w:sz="4" w:space="0" w:color="000000"/>
            </w:tcBorders>
            <w:shd w:val="clear" w:color="auto" w:fill="E1E4BB"/>
          </w:tcPr>
          <w:p>
            <w:pPr>
              <w:pStyle w:val="TableParagraph"/>
              <w:spacing w:before="38"/>
              <w:ind w:right="107"/>
              <w:jc w:val="right"/>
              <w:rPr>
                <w:b/>
                <w:sz w:val="19"/>
              </w:rPr>
            </w:pPr>
            <w:r>
              <w:rPr>
                <w:b/>
                <w:w w:val="95"/>
                <w:sz w:val="19"/>
              </w:rPr>
              <w:t>(1,073,241)</w:t>
            </w:r>
          </w:p>
        </w:tc>
        <w:tc>
          <w:tcPr>
            <w:tcW w:w="1275" w:type="dxa"/>
            <w:tcBorders>
              <w:top w:val="single" w:sz="4" w:space="0" w:color="000000"/>
              <w:bottom w:val="single" w:sz="4" w:space="0" w:color="000000"/>
            </w:tcBorders>
            <w:shd w:val="clear" w:color="auto" w:fill="FAF9F9"/>
          </w:tcPr>
          <w:p>
            <w:pPr>
              <w:pStyle w:val="TableParagraph"/>
              <w:spacing w:before="38"/>
              <w:ind w:right="106"/>
              <w:jc w:val="right"/>
              <w:rPr>
                <w:b/>
                <w:sz w:val="19"/>
              </w:rPr>
            </w:pPr>
            <w:r>
              <w:rPr>
                <w:b/>
                <w:w w:val="95"/>
                <w:sz w:val="19"/>
              </w:rPr>
              <w:t>98,200</w:t>
            </w:r>
          </w:p>
        </w:tc>
        <w:tc>
          <w:tcPr>
            <w:tcW w:w="1275" w:type="dxa"/>
            <w:tcBorders>
              <w:top w:val="single" w:sz="4" w:space="0" w:color="000000"/>
              <w:bottom w:val="single" w:sz="4" w:space="0" w:color="000000"/>
            </w:tcBorders>
            <w:shd w:val="clear" w:color="auto" w:fill="E1E4BB"/>
          </w:tcPr>
          <w:p>
            <w:pPr>
              <w:pStyle w:val="TableParagraph"/>
              <w:spacing w:before="38"/>
              <w:ind w:right="106"/>
              <w:jc w:val="right"/>
              <w:rPr>
                <w:b/>
                <w:sz w:val="19"/>
              </w:rPr>
            </w:pPr>
            <w:r>
              <w:rPr>
                <w:b/>
                <w:w w:val="95"/>
                <w:sz w:val="19"/>
              </w:rPr>
              <w:t>(1,073,241)</w:t>
            </w:r>
          </w:p>
        </w:tc>
        <w:tc>
          <w:tcPr>
            <w:tcW w:w="1411" w:type="dxa"/>
            <w:tcBorders>
              <w:top w:val="single" w:sz="4" w:space="0" w:color="000000"/>
              <w:bottom w:val="single" w:sz="4" w:space="0" w:color="000000"/>
            </w:tcBorders>
            <w:shd w:val="clear" w:color="auto" w:fill="FAF9F9"/>
          </w:tcPr>
          <w:p>
            <w:pPr>
              <w:pStyle w:val="TableParagraph"/>
              <w:spacing w:before="38"/>
              <w:ind w:right="241"/>
              <w:jc w:val="right"/>
              <w:rPr>
                <w:b/>
                <w:sz w:val="19"/>
              </w:rPr>
            </w:pPr>
            <w:r>
              <w:rPr>
                <w:b/>
                <w:w w:val="95"/>
                <w:sz w:val="19"/>
              </w:rPr>
              <w:t>(958,345)</w:t>
            </w:r>
          </w:p>
        </w:tc>
        <w:tc>
          <w:tcPr>
            <w:tcW w:w="1140" w:type="dxa"/>
            <w:tcBorders>
              <w:top w:val="single" w:sz="4" w:space="0" w:color="000000"/>
              <w:bottom w:val="single" w:sz="4" w:space="0" w:color="000000"/>
            </w:tcBorders>
            <w:shd w:val="clear" w:color="auto" w:fill="FAF9F9"/>
          </w:tcPr>
          <w:p>
            <w:pPr>
              <w:pStyle w:val="TableParagraph"/>
              <w:spacing w:before="38"/>
              <w:ind w:right="105"/>
              <w:jc w:val="right"/>
              <w:rPr>
                <w:b/>
                <w:sz w:val="19"/>
              </w:rPr>
            </w:pPr>
            <w:r>
              <w:rPr>
                <w:b/>
                <w:w w:val="95"/>
                <w:sz w:val="19"/>
              </w:rPr>
              <w:t>(114,896)</w:t>
            </w:r>
          </w:p>
        </w:tc>
      </w:tr>
    </w:tbl>
    <w:p>
      <w:pPr>
        <w:tabs>
          <w:tab w:pos="1227" w:val="left" w:leader="none"/>
          <w:tab w:pos="4671" w:val="left" w:leader="none"/>
          <w:tab w:pos="16072" w:val="left" w:leader="none"/>
        </w:tabs>
        <w:spacing w:before="27"/>
        <w:ind w:left="765" w:right="0" w:firstLine="0"/>
        <w:jc w:val="left"/>
        <w:rPr>
          <w:sz w:val="16"/>
        </w:rPr>
      </w:pPr>
      <w:r>
        <w:rPr>
          <w:b/>
          <w:color w:val="6F2770"/>
          <w:sz w:val="16"/>
        </w:rPr>
        <w:t>36</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rPr>
          <w:sz w:val="20"/>
        </w:rPr>
      </w:pPr>
    </w:p>
    <w:p>
      <w:pPr>
        <w:spacing w:after="0"/>
        <w:rPr>
          <w:sz w:val="20"/>
        </w:rPr>
        <w:sectPr>
          <w:footerReference w:type="default" r:id="rId189"/>
          <w:pgSz w:w="16840" w:h="11910" w:orient="landscape"/>
          <w:pgMar w:footer="448" w:header="0" w:top="0" w:bottom="640" w:left="0" w:right="0"/>
        </w:sectPr>
      </w:pPr>
    </w:p>
    <w:p>
      <w:pPr>
        <w:pStyle w:val="Heading2"/>
        <w:spacing w:before="333"/>
      </w:pPr>
      <w:r>
        <w:rPr>
          <w:color w:val="6F2770"/>
          <w:spacing w:val="-20"/>
          <w:w w:val="95"/>
        </w:rPr>
        <w:t>Summary</w:t>
      </w:r>
      <w:r>
        <w:rPr>
          <w:color w:val="6F2770"/>
          <w:spacing w:val="-72"/>
          <w:w w:val="95"/>
        </w:rPr>
        <w:t> </w:t>
      </w:r>
      <w:r>
        <w:rPr>
          <w:color w:val="6F2770"/>
          <w:spacing w:val="-19"/>
          <w:w w:val="95"/>
        </w:rPr>
        <w:t>of</w:t>
      </w:r>
      <w:r>
        <w:rPr>
          <w:color w:val="6F2770"/>
          <w:spacing w:val="-71"/>
          <w:w w:val="95"/>
        </w:rPr>
        <w:t> </w:t>
      </w:r>
      <w:r>
        <w:rPr>
          <w:color w:val="6F2770"/>
          <w:spacing w:val="-29"/>
          <w:w w:val="95"/>
        </w:rPr>
        <w:t>Consolidated</w:t>
      </w:r>
      <w:r>
        <w:rPr>
          <w:color w:val="6F2770"/>
          <w:spacing w:val="-71"/>
          <w:w w:val="95"/>
        </w:rPr>
        <w:t> </w:t>
      </w:r>
      <w:r>
        <w:rPr>
          <w:color w:val="6F2770"/>
          <w:spacing w:val="-26"/>
          <w:w w:val="95"/>
        </w:rPr>
        <w:t>Account</w:t>
      </w:r>
      <w:r>
        <w:rPr>
          <w:color w:val="6F2770"/>
          <w:spacing w:val="-71"/>
          <w:w w:val="95"/>
        </w:rPr>
        <w:t> </w:t>
      </w:r>
      <w:r>
        <w:rPr>
          <w:color w:val="6F2770"/>
          <w:spacing w:val="-28"/>
          <w:w w:val="95"/>
        </w:rPr>
        <w:t>Appropriations</w:t>
      </w:r>
      <w:r>
        <w:rPr>
          <w:color w:val="6F2770"/>
          <w:spacing w:val="-71"/>
          <w:w w:val="95"/>
        </w:rPr>
        <w:t> </w:t>
      </w:r>
      <w:r>
        <w:rPr>
          <w:color w:val="6F2770"/>
          <w:spacing w:val="-18"/>
          <w:w w:val="95"/>
        </w:rPr>
        <w:t>and</w:t>
      </w:r>
      <w:r>
        <w:rPr>
          <w:color w:val="6F2770"/>
          <w:spacing w:val="-71"/>
          <w:w w:val="95"/>
        </w:rPr>
        <w:t> </w:t>
      </w:r>
      <w:r>
        <w:rPr>
          <w:color w:val="6F2770"/>
          <w:spacing w:val="-24"/>
          <w:w w:val="95"/>
        </w:rPr>
        <w:t>Income</w:t>
      </w:r>
      <w:r>
        <w:rPr>
          <w:color w:val="6F2770"/>
          <w:spacing w:val="-72"/>
          <w:w w:val="95"/>
        </w:rPr>
        <w:t> </w:t>
      </w:r>
      <w:r>
        <w:rPr>
          <w:color w:val="6F2770"/>
          <w:spacing w:val="-30"/>
          <w:w w:val="95"/>
        </w:rPr>
        <w:t>Estimates</w:t>
      </w:r>
    </w:p>
    <w:p>
      <w:pPr>
        <w:pStyle w:val="Heading4"/>
        <w:spacing w:before="28"/>
      </w:pPr>
      <w:r>
        <w:rPr>
          <w:color w:val="A7BE39"/>
        </w:rPr>
        <w:t>For the year ended 30 June 2017</w:t>
      </w:r>
    </w:p>
    <w:p>
      <w:pPr>
        <w:pStyle w:val="BodyText"/>
        <w:spacing w:before="3"/>
      </w:pPr>
      <w:r>
        <w:rPr/>
        <w:br w:type="column"/>
      </w:r>
      <w:r>
        <w:rPr/>
      </w:r>
    </w:p>
    <w:p>
      <w:pPr>
        <w:spacing w:line="208" w:lineRule="auto" w:before="0"/>
        <w:ind w:left="396" w:right="660" w:hanging="137"/>
        <w:jc w:val="left"/>
        <w:rPr>
          <w:sz w:val="16"/>
        </w:rPr>
      </w:pPr>
      <w:r>
        <w:rPr/>
        <w:pict>
          <v:group style="position:absolute;margin-left:0pt;margin-top:-68.580612pt;width:120.3pt;height:42.55pt;mso-position-horizontal-relative:page;mso-position-vertical-relative:paragraph;z-index:12208" coordorigin="0,-1372" coordsize="2406,851">
            <v:rect style="position:absolute;left:0;top:-1372;width:2406;height:851" filled="true" fillcolor="#aebd37" stroked="false">
              <v:fill type="solid"/>
            </v:rect>
            <v:line style="position:absolute" from="0,-1372" to="0,-521" stroked="true" strokeweight="0pt" strokecolor="#aebd37">
              <v:stroke dashstyle="solid"/>
            </v:line>
            <v:shape style="position:absolute;left:0;top:-1372;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68.580612pt;width:360.85pt;height:42.55pt;mso-position-horizontal-relative:page;mso-position-vertical-relative:paragraph;z-index:12304" coordorigin="9622,-1372" coordsize="7217,851">
            <v:rect style="position:absolute;left:14432;top:-1372;width:2406;height:851" filled="true" fillcolor="#aebd37" stroked="false">
              <v:fill type="solid"/>
            </v:rect>
            <v:shape style="position:absolute;left:14432;top:-1372;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72;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372;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FFFFFF"/>
          <w:w w:val="95"/>
          <w:sz w:val="16"/>
        </w:rPr>
        <w:t>previous </w:t>
      </w:r>
      <w:r>
        <w:rPr>
          <w:color w:val="FFFFFF"/>
          <w:sz w:val="16"/>
        </w:rPr>
        <w:t>view</w:t>
      </w:r>
    </w:p>
    <w:p>
      <w:pPr>
        <w:spacing w:after="0" w:line="208" w:lineRule="auto"/>
        <w:jc w:val="left"/>
        <w:rPr>
          <w:sz w:val="16"/>
        </w:rPr>
        <w:sectPr>
          <w:type w:val="continuous"/>
          <w:pgSz w:w="16840" w:h="11910" w:orient="landscape"/>
          <w:pgMar w:top="0" w:bottom="0" w:left="0" w:right="0"/>
          <w:cols w:num="2" w:equalWidth="0">
            <w:col w:w="15286" w:space="40"/>
            <w:col w:w="1514"/>
          </w:cols>
        </w:sectPr>
      </w:pPr>
    </w:p>
    <w:p>
      <w:pPr>
        <w:pStyle w:val="BodyText"/>
        <w:spacing w:before="9"/>
        <w:rPr>
          <w:sz w:val="4"/>
        </w:rPr>
      </w:pPr>
      <w:r>
        <w:rPr/>
        <w:pict>
          <v:group style="position:absolute;margin-left:763.172119pt;margin-top:53.780003pt;width:61.1pt;height:45.2pt;mso-position-horizontal-relative:page;mso-position-vertical-relative:page;z-index:-801472" coordorigin="15263,1076" coordsize="1222,904">
            <v:shape style="position:absolute;left:15424;top:1075;width:900;height:904" coordorigin="15424,1076" coordsize="900,904" path="m15874,1076l15424,1526,15424,1529,15874,1979,16324,1529,16324,1526,15874,1076xe" filled="true" fillcolor="#c4cd71" stroked="false">
              <v:path arrowok="t"/>
              <v:fill type="solid"/>
            </v:shape>
            <v:shape style="position:absolute;left:15263;top:1366;width:161;height:322" type="#_x0000_t75" stroked="false">
              <v:imagedata r:id="rId16" o:title=""/>
            </v:shape>
            <v:shape style="position:absolute;left:16324;top:1366;width:161;height:322" type="#_x0000_t75" stroked="false">
              <v:imagedata r:id="rId11" o:title=""/>
            </v:shape>
            <w10:wrap type="none"/>
          </v:group>
        </w:pict>
      </w:r>
    </w:p>
    <w:tbl>
      <w:tblPr>
        <w:tblW w:w="0" w:type="auto"/>
        <w:jc w:val="left"/>
        <w:tblInd w:w="7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7313"/>
        <w:gridCol w:w="1332"/>
        <w:gridCol w:w="1332"/>
        <w:gridCol w:w="1332"/>
        <w:gridCol w:w="1332"/>
        <w:gridCol w:w="1332"/>
        <w:gridCol w:w="1332"/>
      </w:tblGrid>
      <w:tr>
        <w:trPr>
          <w:trHeight w:val="710" w:hRule="atLeast"/>
        </w:trPr>
        <w:tc>
          <w:tcPr>
            <w:tcW w:w="15305" w:type="dxa"/>
            <w:gridSpan w:val="7"/>
            <w:tcBorders>
              <w:top w:val="nil"/>
              <w:left w:val="nil"/>
              <w:bottom w:val="nil"/>
              <w:right w:val="nil"/>
            </w:tcBorders>
            <w:shd w:val="clear" w:color="auto" w:fill="783A79"/>
          </w:tcPr>
          <w:p>
            <w:pPr>
              <w:pStyle w:val="TableParagraph"/>
              <w:tabs>
                <w:tab w:pos="9287" w:val="left" w:leader="none"/>
                <w:tab w:pos="9441" w:val="left" w:leader="none"/>
                <w:tab w:pos="10415" w:val="left" w:leader="none"/>
                <w:tab w:pos="11952" w:val="left" w:leader="none"/>
                <w:tab w:pos="12106" w:val="left" w:leader="none"/>
                <w:tab w:pos="13284" w:val="left" w:leader="none"/>
                <w:tab w:pos="13438" w:val="left" w:leader="none"/>
                <w:tab w:pos="14412" w:val="left" w:leader="none"/>
              </w:tabs>
              <w:spacing w:line="218" w:lineRule="auto" w:before="64"/>
              <w:ind w:left="7734" w:right="109" w:firstLine="375"/>
              <w:rPr>
                <w:b/>
                <w:sz w:val="19"/>
              </w:rPr>
            </w:pPr>
            <w:r>
              <w:rPr>
                <w:b/>
                <w:color w:val="FFFFFF"/>
                <w:sz w:val="19"/>
              </w:rPr>
              <w:t>2017</w:t>
              <w:tab/>
              <w:tab/>
              <w:t>2017</w:t>
              <w:tab/>
              <w:t>Variance</w:t>
              <w:tab/>
              <w:tab/>
              <w:t>2017</w:t>
              <w:tab/>
              <w:tab/>
              <w:t>2016</w:t>
              <w:tab/>
            </w:r>
            <w:r>
              <w:rPr>
                <w:b/>
                <w:color w:val="FFFFFF"/>
                <w:spacing w:val="-5"/>
                <w:sz w:val="19"/>
              </w:rPr>
              <w:t>Variance </w:t>
            </w:r>
            <w:r>
              <w:rPr>
                <w:b/>
                <w:color w:val="FFFFFF"/>
                <w:sz w:val="19"/>
              </w:rPr>
              <w:t>Estimate</w:t>
              <w:tab/>
              <w:t>Actual</w:t>
              <w:tab/>
              <w:tab/>
              <w:t>Actual</w:t>
              <w:tab/>
              <w:t>Actual</w:t>
            </w:r>
          </w:p>
          <w:p>
            <w:pPr>
              <w:pStyle w:val="TableParagraph"/>
              <w:tabs>
                <w:tab w:pos="9441" w:val="left" w:leader="none"/>
                <w:tab w:pos="10774" w:val="left" w:leader="none"/>
                <w:tab w:pos="12106" w:val="left" w:leader="none"/>
                <w:tab w:pos="13438" w:val="left" w:leader="none"/>
                <w:tab w:pos="14771" w:val="left" w:leader="none"/>
              </w:tabs>
              <w:spacing w:line="205" w:lineRule="exact" w:before="0"/>
              <w:ind w:left="8109"/>
              <w:rPr>
                <w:b/>
                <w:sz w:val="19"/>
              </w:rPr>
            </w:pPr>
            <w:r>
              <w:rPr>
                <w:b/>
                <w:color w:val="FFFFFF"/>
                <w:sz w:val="19"/>
              </w:rPr>
              <w:t>$000</w:t>
              <w:tab/>
              <w:t>$000</w:t>
              <w:tab/>
              <w:t>$000</w:t>
              <w:tab/>
              <w:t>$000</w:t>
              <w:tab/>
              <w:t>$000</w:t>
              <w:tab/>
              <w:t>$000</w:t>
            </w:r>
          </w:p>
        </w:tc>
      </w:tr>
      <w:tr>
        <w:trPr>
          <w:trHeight w:val="317" w:hRule="atLeast"/>
        </w:trPr>
        <w:tc>
          <w:tcPr>
            <w:tcW w:w="7313" w:type="dxa"/>
            <w:vMerge w:val="restart"/>
            <w:tcBorders>
              <w:top w:val="nil"/>
              <w:left w:val="nil"/>
            </w:tcBorders>
            <w:shd w:val="clear" w:color="auto" w:fill="FAF9F9"/>
          </w:tcPr>
          <w:p>
            <w:pPr>
              <w:pStyle w:val="TableParagraph"/>
              <w:spacing w:before="43"/>
              <w:ind w:left="113"/>
              <w:rPr>
                <w:i/>
                <w:sz w:val="19"/>
              </w:rPr>
            </w:pPr>
            <w:r>
              <w:rPr>
                <w:i/>
                <w:color w:val="A7BE39"/>
                <w:sz w:val="19"/>
              </w:rPr>
              <w:t>Details of capital expenditure</w:t>
            </w:r>
          </w:p>
          <w:p>
            <w:pPr>
              <w:pStyle w:val="TableParagraph"/>
              <w:spacing w:before="109"/>
              <w:ind w:left="113"/>
              <w:rPr>
                <w:sz w:val="19"/>
              </w:rPr>
            </w:pPr>
            <w:r>
              <w:rPr>
                <w:sz w:val="19"/>
              </w:rPr>
              <w:t>Purchase of non-current physical assets</w:t>
            </w:r>
          </w:p>
        </w:tc>
        <w:tc>
          <w:tcPr>
            <w:tcW w:w="1332" w:type="dxa"/>
            <w:vMerge w:val="restart"/>
            <w:tcBorders>
              <w:top w:val="nil"/>
              <w:right w:val="nil"/>
            </w:tcBorders>
            <w:shd w:val="clear" w:color="auto" w:fill="FAF9F9"/>
          </w:tcPr>
          <w:p>
            <w:pPr>
              <w:pStyle w:val="TableParagraph"/>
              <w:spacing w:before="2"/>
              <w:rPr>
                <w:sz w:val="32"/>
              </w:rPr>
            </w:pPr>
          </w:p>
          <w:p>
            <w:pPr>
              <w:pStyle w:val="TableParagraph"/>
              <w:spacing w:before="0"/>
              <w:ind w:left="539"/>
              <w:rPr>
                <w:sz w:val="19"/>
              </w:rPr>
            </w:pPr>
            <w:r>
              <w:rPr>
                <w:sz w:val="19"/>
              </w:rPr>
              <w:t>118,718</w:t>
            </w:r>
          </w:p>
        </w:tc>
        <w:tc>
          <w:tcPr>
            <w:tcW w:w="1332" w:type="dxa"/>
            <w:vMerge w:val="restart"/>
            <w:tcBorders>
              <w:top w:val="nil"/>
              <w:left w:val="nil"/>
              <w:bottom w:val="single" w:sz="4" w:space="0" w:color="000000"/>
              <w:right w:val="nil"/>
            </w:tcBorders>
            <w:shd w:val="clear" w:color="auto" w:fill="E1E4BB"/>
          </w:tcPr>
          <w:p>
            <w:pPr>
              <w:pStyle w:val="TableParagraph"/>
              <w:spacing w:before="2"/>
              <w:rPr>
                <w:sz w:val="32"/>
              </w:rPr>
            </w:pPr>
          </w:p>
          <w:p>
            <w:pPr>
              <w:pStyle w:val="TableParagraph"/>
              <w:spacing w:before="0"/>
              <w:ind w:left="512" w:right="78"/>
              <w:jc w:val="center"/>
              <w:rPr>
                <w:sz w:val="19"/>
              </w:rPr>
            </w:pPr>
            <w:r>
              <w:rPr>
                <w:spacing w:val="-3"/>
                <w:sz w:val="19"/>
              </w:rPr>
              <w:t>148,153</w:t>
            </w:r>
          </w:p>
          <w:p>
            <w:pPr>
              <w:pStyle w:val="TableParagraph"/>
              <w:spacing w:before="88"/>
              <w:ind w:left="615" w:right="78"/>
              <w:jc w:val="center"/>
              <w:rPr>
                <w:sz w:val="19"/>
              </w:rPr>
            </w:pPr>
            <w:r>
              <w:rPr>
                <w:spacing w:val="-3"/>
                <w:sz w:val="19"/>
              </w:rPr>
              <w:t>30,689</w:t>
            </w:r>
          </w:p>
          <w:p>
            <w:pPr>
              <w:pStyle w:val="TableParagraph"/>
              <w:spacing w:before="87"/>
              <w:ind w:left="377" w:right="29"/>
              <w:jc w:val="center"/>
              <w:rPr>
                <w:sz w:val="19"/>
              </w:rPr>
            </w:pPr>
            <w:r>
              <w:rPr>
                <w:spacing w:val="-3"/>
                <w:sz w:val="19"/>
              </w:rPr>
              <w:t>(150,079)</w:t>
            </w:r>
          </w:p>
        </w:tc>
        <w:tc>
          <w:tcPr>
            <w:tcW w:w="1332" w:type="dxa"/>
            <w:tcBorders>
              <w:top w:val="nil"/>
              <w:left w:val="nil"/>
              <w:right w:val="nil"/>
            </w:tcBorders>
            <w:shd w:val="clear" w:color="auto" w:fill="F4F4F4"/>
          </w:tcPr>
          <w:p>
            <w:pPr>
              <w:pStyle w:val="TableParagraph"/>
              <w:spacing w:before="0"/>
              <w:rPr>
                <w:rFonts w:ascii="Times New Roman"/>
                <w:sz w:val="20"/>
              </w:rPr>
            </w:pPr>
          </w:p>
        </w:tc>
        <w:tc>
          <w:tcPr>
            <w:tcW w:w="1332" w:type="dxa"/>
            <w:vMerge w:val="restart"/>
            <w:tcBorders>
              <w:top w:val="nil"/>
              <w:left w:val="nil"/>
              <w:bottom w:val="single" w:sz="4" w:space="0" w:color="000000"/>
              <w:right w:val="nil"/>
            </w:tcBorders>
            <w:shd w:val="clear" w:color="auto" w:fill="E1E4BB"/>
          </w:tcPr>
          <w:p>
            <w:pPr>
              <w:pStyle w:val="TableParagraph"/>
              <w:spacing w:before="2"/>
              <w:rPr>
                <w:sz w:val="32"/>
              </w:rPr>
            </w:pPr>
          </w:p>
          <w:p>
            <w:pPr>
              <w:pStyle w:val="TableParagraph"/>
              <w:spacing w:before="0"/>
              <w:ind w:left="513" w:right="78"/>
              <w:jc w:val="center"/>
              <w:rPr>
                <w:sz w:val="19"/>
              </w:rPr>
            </w:pPr>
            <w:r>
              <w:rPr>
                <w:spacing w:val="-3"/>
                <w:sz w:val="19"/>
              </w:rPr>
              <w:t>148,153</w:t>
            </w:r>
          </w:p>
          <w:p>
            <w:pPr>
              <w:pStyle w:val="TableParagraph"/>
              <w:spacing w:before="88"/>
              <w:ind w:left="616" w:right="78"/>
              <w:jc w:val="center"/>
              <w:rPr>
                <w:sz w:val="19"/>
              </w:rPr>
            </w:pPr>
            <w:r>
              <w:rPr>
                <w:spacing w:val="-3"/>
                <w:sz w:val="19"/>
              </w:rPr>
              <w:t>30,689</w:t>
            </w:r>
          </w:p>
          <w:p>
            <w:pPr>
              <w:pStyle w:val="TableParagraph"/>
              <w:spacing w:before="87"/>
              <w:ind w:left="377" w:right="28"/>
              <w:jc w:val="center"/>
              <w:rPr>
                <w:sz w:val="19"/>
              </w:rPr>
            </w:pPr>
            <w:r>
              <w:rPr>
                <w:spacing w:val="-3"/>
                <w:sz w:val="19"/>
              </w:rPr>
              <w:t>(150,079)</w:t>
            </w:r>
          </w:p>
        </w:tc>
        <w:tc>
          <w:tcPr>
            <w:tcW w:w="2664" w:type="dxa"/>
            <w:gridSpan w:val="2"/>
            <w:vMerge w:val="restart"/>
            <w:tcBorders>
              <w:top w:val="nil"/>
              <w:left w:val="nil"/>
              <w:bottom w:val="single" w:sz="4" w:space="0" w:color="000000"/>
              <w:right w:val="nil"/>
            </w:tcBorders>
            <w:shd w:val="clear" w:color="auto" w:fill="FFFFFF"/>
          </w:tcPr>
          <w:p>
            <w:pPr>
              <w:pStyle w:val="TableParagraph"/>
              <w:spacing w:before="2"/>
              <w:rPr>
                <w:sz w:val="32"/>
              </w:rPr>
            </w:pPr>
          </w:p>
          <w:p>
            <w:pPr>
              <w:pStyle w:val="TableParagraph"/>
              <w:tabs>
                <w:tab w:pos="1785" w:val="left" w:leader="none"/>
              </w:tabs>
              <w:spacing w:before="0"/>
              <w:ind w:left="436"/>
              <w:jc w:val="center"/>
              <w:rPr>
                <w:sz w:val="19"/>
              </w:rPr>
            </w:pPr>
            <w:r>
              <w:rPr>
                <w:spacing w:val="-3"/>
                <w:sz w:val="19"/>
              </w:rPr>
              <w:t>199,917</w:t>
              <w:tab/>
              <w:t>(51,764)</w:t>
            </w:r>
          </w:p>
          <w:p>
            <w:pPr>
              <w:pStyle w:val="TableParagraph"/>
              <w:tabs>
                <w:tab w:pos="1871" w:val="left" w:leader="none"/>
              </w:tabs>
              <w:spacing w:before="88"/>
              <w:ind w:left="539"/>
              <w:jc w:val="center"/>
              <w:rPr>
                <w:sz w:val="19"/>
              </w:rPr>
            </w:pPr>
            <w:r>
              <w:rPr>
                <w:spacing w:val="-3"/>
                <w:sz w:val="19"/>
              </w:rPr>
              <w:t>20,487</w:t>
              <w:tab/>
              <w:t>10,202</w:t>
            </w:r>
          </w:p>
          <w:p>
            <w:pPr>
              <w:pStyle w:val="TableParagraph"/>
              <w:tabs>
                <w:tab w:pos="1785" w:val="left" w:leader="none"/>
              </w:tabs>
              <w:spacing w:before="87"/>
              <w:ind w:left="350"/>
              <w:jc w:val="center"/>
              <w:rPr>
                <w:sz w:val="19"/>
              </w:rPr>
            </w:pPr>
            <w:r>
              <w:rPr>
                <w:spacing w:val="-3"/>
                <w:sz w:val="19"/>
              </w:rPr>
              <w:t>(136,136)</w:t>
              <w:tab/>
              <w:t>(13,943)</w:t>
            </w:r>
          </w:p>
        </w:tc>
      </w:tr>
      <w:tr>
        <w:trPr>
          <w:trHeight w:val="285" w:hRule="atLeast"/>
        </w:trPr>
        <w:tc>
          <w:tcPr>
            <w:tcW w:w="7313" w:type="dxa"/>
            <w:vMerge/>
            <w:tcBorders>
              <w:top w:val="nil"/>
              <w:left w:val="nil"/>
            </w:tcBorders>
            <w:shd w:val="clear" w:color="auto" w:fill="FAF9F9"/>
          </w:tcPr>
          <w:p>
            <w:pPr>
              <w:rPr>
                <w:sz w:val="2"/>
                <w:szCs w:val="2"/>
              </w:rPr>
            </w:pPr>
          </w:p>
        </w:tc>
        <w:tc>
          <w:tcPr>
            <w:tcW w:w="1332" w:type="dxa"/>
            <w:vMerge/>
            <w:tcBorders>
              <w:top w:val="nil"/>
              <w:right w:val="nil"/>
            </w:tcBorders>
            <w:shd w:val="clear" w:color="auto" w:fill="FAF9F9"/>
          </w:tcPr>
          <w:p>
            <w:pPr>
              <w:rPr>
                <w:sz w:val="2"/>
                <w:szCs w:val="2"/>
              </w:rPr>
            </w:pP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right w:val="nil"/>
            </w:tcBorders>
            <w:shd w:val="clear" w:color="auto" w:fill="FAF9F9"/>
          </w:tcPr>
          <w:p>
            <w:pPr>
              <w:pStyle w:val="TableParagraph"/>
              <w:spacing w:before="33"/>
              <w:ind w:right="113"/>
              <w:jc w:val="right"/>
              <w:rPr>
                <w:sz w:val="19"/>
              </w:rPr>
            </w:pPr>
            <w:r>
              <w:rPr>
                <w:w w:val="95"/>
                <w:sz w:val="19"/>
              </w:rPr>
              <w:t>29,435</w:t>
            </w:r>
          </w:p>
        </w:tc>
        <w:tc>
          <w:tcPr>
            <w:tcW w:w="1332" w:type="dxa"/>
            <w:vMerge/>
            <w:tcBorders>
              <w:top w:val="nil"/>
              <w:left w:val="nil"/>
              <w:bottom w:val="single" w:sz="4" w:space="0" w:color="000000"/>
              <w:right w:val="nil"/>
            </w:tcBorders>
            <w:shd w:val="clear" w:color="auto" w:fill="E1E4BB"/>
          </w:tcPr>
          <w:p>
            <w:pPr>
              <w:rPr>
                <w:sz w:val="2"/>
                <w:szCs w:val="2"/>
              </w:rPr>
            </w:pPr>
          </w:p>
        </w:tc>
        <w:tc>
          <w:tcPr>
            <w:tcW w:w="2664" w:type="dxa"/>
            <w:gridSpan w:val="2"/>
            <w:vMerge/>
            <w:tcBorders>
              <w:top w:val="nil"/>
              <w:left w:val="nil"/>
              <w:bottom w:val="single" w:sz="4" w:space="0" w:color="000000"/>
              <w:right w:val="nil"/>
            </w:tcBorders>
            <w:shd w:val="clear" w:color="auto" w:fill="FFFFFF"/>
          </w:tcPr>
          <w:p>
            <w:pPr>
              <w:rPr>
                <w:sz w:val="2"/>
                <w:szCs w:val="2"/>
              </w:rPr>
            </w:pPr>
          </w:p>
        </w:tc>
      </w:tr>
      <w:tr>
        <w:trPr>
          <w:trHeight w:val="285" w:hRule="atLeast"/>
        </w:trPr>
        <w:tc>
          <w:tcPr>
            <w:tcW w:w="7313" w:type="dxa"/>
            <w:tcBorders>
              <w:left w:val="nil"/>
            </w:tcBorders>
            <w:shd w:val="clear" w:color="auto" w:fill="F4F4F4"/>
          </w:tcPr>
          <w:p>
            <w:pPr>
              <w:pStyle w:val="TableParagraph"/>
              <w:spacing w:before="33"/>
              <w:ind w:left="113"/>
              <w:rPr>
                <w:sz w:val="19"/>
              </w:rPr>
            </w:pPr>
            <w:r>
              <w:rPr>
                <w:sz w:val="19"/>
              </w:rPr>
              <w:t>Repayment of borrowings</w:t>
            </w:r>
          </w:p>
        </w:tc>
        <w:tc>
          <w:tcPr>
            <w:tcW w:w="1332" w:type="dxa"/>
            <w:tcBorders>
              <w:right w:val="nil"/>
            </w:tcBorders>
            <w:shd w:val="clear" w:color="auto" w:fill="F4F4F4"/>
          </w:tcPr>
          <w:p>
            <w:pPr>
              <w:pStyle w:val="TableParagraph"/>
              <w:spacing w:before="33"/>
              <w:ind w:right="113"/>
              <w:jc w:val="right"/>
              <w:rPr>
                <w:sz w:val="19"/>
              </w:rPr>
            </w:pPr>
            <w:r>
              <w:rPr>
                <w:w w:val="95"/>
                <w:sz w:val="19"/>
              </w:rPr>
              <w:t>23,511</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right w:val="nil"/>
            </w:tcBorders>
            <w:shd w:val="clear" w:color="auto" w:fill="F4F4F4"/>
          </w:tcPr>
          <w:p>
            <w:pPr>
              <w:pStyle w:val="TableParagraph"/>
              <w:spacing w:before="33"/>
              <w:ind w:right="113"/>
              <w:jc w:val="right"/>
              <w:rPr>
                <w:sz w:val="19"/>
              </w:rPr>
            </w:pPr>
            <w:r>
              <w:rPr>
                <w:w w:val="95"/>
                <w:sz w:val="19"/>
              </w:rPr>
              <w:t>7,178</w:t>
            </w:r>
          </w:p>
        </w:tc>
        <w:tc>
          <w:tcPr>
            <w:tcW w:w="1332" w:type="dxa"/>
            <w:vMerge/>
            <w:tcBorders>
              <w:top w:val="nil"/>
              <w:left w:val="nil"/>
              <w:bottom w:val="single" w:sz="4" w:space="0" w:color="000000"/>
              <w:right w:val="nil"/>
            </w:tcBorders>
            <w:shd w:val="clear" w:color="auto" w:fill="E1E4BB"/>
          </w:tcPr>
          <w:p>
            <w:pPr>
              <w:rPr>
                <w:sz w:val="2"/>
                <w:szCs w:val="2"/>
              </w:rPr>
            </w:pPr>
          </w:p>
        </w:tc>
        <w:tc>
          <w:tcPr>
            <w:tcW w:w="2664" w:type="dxa"/>
            <w:gridSpan w:val="2"/>
            <w:vMerge/>
            <w:tcBorders>
              <w:top w:val="nil"/>
              <w:left w:val="nil"/>
              <w:bottom w:val="single" w:sz="4" w:space="0" w:color="000000"/>
              <w:right w:val="nil"/>
            </w:tcBorders>
            <w:shd w:val="clear" w:color="auto" w:fill="FFFFFF"/>
          </w:tcPr>
          <w:p>
            <w:pPr>
              <w:rPr>
                <w:sz w:val="2"/>
                <w:szCs w:val="2"/>
              </w:rPr>
            </w:pPr>
          </w:p>
        </w:tc>
      </w:tr>
      <w:tr>
        <w:trPr>
          <w:trHeight w:val="285" w:hRule="atLeast"/>
        </w:trPr>
        <w:tc>
          <w:tcPr>
            <w:tcW w:w="7313" w:type="dxa"/>
            <w:tcBorders>
              <w:left w:val="nil"/>
            </w:tcBorders>
            <w:shd w:val="clear" w:color="auto" w:fill="FAF9F9"/>
          </w:tcPr>
          <w:p>
            <w:pPr>
              <w:pStyle w:val="TableParagraph"/>
              <w:spacing w:before="33"/>
              <w:ind w:left="113"/>
              <w:rPr>
                <w:sz w:val="19"/>
              </w:rPr>
            </w:pPr>
            <w:r>
              <w:rPr>
                <w:sz w:val="19"/>
              </w:rPr>
              <w:t>Adjustments for other funding sources</w:t>
            </w:r>
          </w:p>
        </w:tc>
        <w:tc>
          <w:tcPr>
            <w:tcW w:w="1332" w:type="dxa"/>
            <w:tcBorders>
              <w:bottom w:val="single" w:sz="4" w:space="0" w:color="000000"/>
              <w:right w:val="nil"/>
            </w:tcBorders>
            <w:shd w:val="clear" w:color="auto" w:fill="FAF9F9"/>
          </w:tcPr>
          <w:p>
            <w:pPr>
              <w:pStyle w:val="TableParagraph"/>
              <w:spacing w:before="33"/>
              <w:ind w:right="113"/>
              <w:jc w:val="right"/>
              <w:rPr>
                <w:sz w:val="19"/>
              </w:rPr>
            </w:pPr>
            <w:r>
              <w:rPr>
                <w:w w:val="95"/>
                <w:sz w:val="19"/>
              </w:rPr>
              <w:t>(113,120)</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bottom w:val="single" w:sz="4" w:space="0" w:color="000000"/>
              <w:right w:val="nil"/>
            </w:tcBorders>
            <w:shd w:val="clear" w:color="auto" w:fill="FAF9F9"/>
          </w:tcPr>
          <w:p>
            <w:pPr>
              <w:pStyle w:val="TableParagraph"/>
              <w:spacing w:before="33"/>
              <w:ind w:right="113"/>
              <w:jc w:val="right"/>
              <w:rPr>
                <w:sz w:val="19"/>
              </w:rPr>
            </w:pPr>
            <w:r>
              <w:rPr>
                <w:w w:val="95"/>
                <w:sz w:val="19"/>
              </w:rPr>
              <w:t>(36,959)</w:t>
            </w:r>
          </w:p>
        </w:tc>
        <w:tc>
          <w:tcPr>
            <w:tcW w:w="1332" w:type="dxa"/>
            <w:vMerge/>
            <w:tcBorders>
              <w:top w:val="nil"/>
              <w:left w:val="nil"/>
              <w:bottom w:val="single" w:sz="4" w:space="0" w:color="000000"/>
              <w:right w:val="nil"/>
            </w:tcBorders>
            <w:shd w:val="clear" w:color="auto" w:fill="E1E4BB"/>
          </w:tcPr>
          <w:p>
            <w:pPr>
              <w:rPr>
                <w:sz w:val="2"/>
                <w:szCs w:val="2"/>
              </w:rPr>
            </w:pPr>
          </w:p>
        </w:tc>
        <w:tc>
          <w:tcPr>
            <w:tcW w:w="2664" w:type="dxa"/>
            <w:gridSpan w:val="2"/>
            <w:vMerge/>
            <w:tcBorders>
              <w:top w:val="nil"/>
              <w:left w:val="nil"/>
              <w:bottom w:val="single" w:sz="4" w:space="0" w:color="000000"/>
              <w:right w:val="nil"/>
            </w:tcBorders>
            <w:shd w:val="clear" w:color="auto" w:fill="FFFFFF"/>
          </w:tcPr>
          <w:p>
            <w:pPr>
              <w:rPr>
                <w:sz w:val="2"/>
                <w:szCs w:val="2"/>
              </w:rPr>
            </w:pPr>
          </w:p>
        </w:tc>
      </w:tr>
      <w:tr>
        <w:trPr>
          <w:trHeight w:val="285" w:hRule="atLeast"/>
        </w:trPr>
        <w:tc>
          <w:tcPr>
            <w:tcW w:w="7313" w:type="dxa"/>
            <w:vMerge w:val="restart"/>
            <w:tcBorders>
              <w:left w:val="nil"/>
            </w:tcBorders>
            <w:shd w:val="clear" w:color="auto" w:fill="FAF9F9"/>
          </w:tcPr>
          <w:p>
            <w:pPr>
              <w:pStyle w:val="TableParagraph"/>
              <w:spacing w:before="33"/>
              <w:ind w:left="113"/>
              <w:rPr>
                <w:b/>
                <w:sz w:val="19"/>
              </w:rPr>
            </w:pPr>
            <w:r>
              <w:rPr>
                <w:b/>
                <w:sz w:val="19"/>
              </w:rPr>
              <w:t>Capital appropriations</w:t>
            </w:r>
          </w:p>
          <w:p>
            <w:pPr>
              <w:pStyle w:val="TableParagraph"/>
              <w:spacing w:before="0"/>
              <w:rPr>
                <w:sz w:val="22"/>
              </w:rPr>
            </w:pPr>
          </w:p>
          <w:p>
            <w:pPr>
              <w:pStyle w:val="TableParagraph"/>
              <w:spacing w:before="140"/>
              <w:ind w:left="113"/>
              <w:rPr>
                <w:b/>
                <w:sz w:val="19"/>
              </w:rPr>
            </w:pPr>
            <w:r>
              <w:rPr>
                <w:b/>
                <w:sz w:val="19"/>
              </w:rPr>
              <w:t>DETAILS OF ADMINISTERED INCOME ESTIMATES</w:t>
            </w:r>
          </w:p>
        </w:tc>
        <w:tc>
          <w:tcPr>
            <w:tcW w:w="1332" w:type="dxa"/>
            <w:tcBorders>
              <w:top w:val="single" w:sz="4" w:space="0" w:color="000000"/>
              <w:bottom w:val="single" w:sz="4" w:space="0" w:color="000000"/>
              <w:right w:val="nil"/>
            </w:tcBorders>
            <w:shd w:val="clear" w:color="auto" w:fill="F4F4F4"/>
          </w:tcPr>
          <w:p>
            <w:pPr>
              <w:pStyle w:val="TableParagraph"/>
              <w:spacing w:before="33"/>
              <w:ind w:right="113"/>
              <w:jc w:val="right"/>
              <w:rPr>
                <w:b/>
                <w:sz w:val="19"/>
              </w:rPr>
            </w:pPr>
            <w:r>
              <w:rPr>
                <w:b/>
                <w:w w:val="95"/>
                <w:sz w:val="19"/>
              </w:rPr>
              <w:t>29,109</w:t>
            </w:r>
          </w:p>
        </w:tc>
        <w:tc>
          <w:tcPr>
            <w:tcW w:w="1332" w:type="dxa"/>
            <w:tcBorders>
              <w:top w:val="single" w:sz="4" w:space="0" w:color="000000"/>
              <w:left w:val="nil"/>
              <w:bottom w:val="single" w:sz="4" w:space="0" w:color="000000"/>
              <w:right w:val="nil"/>
            </w:tcBorders>
            <w:shd w:val="clear" w:color="auto" w:fill="DFE1B8"/>
          </w:tcPr>
          <w:p>
            <w:pPr>
              <w:pStyle w:val="TableParagraph"/>
              <w:spacing w:before="33"/>
              <w:ind w:right="113"/>
              <w:jc w:val="right"/>
              <w:rPr>
                <w:b/>
                <w:sz w:val="19"/>
              </w:rPr>
            </w:pPr>
            <w:r>
              <w:rPr>
                <w:b/>
                <w:w w:val="95"/>
                <w:sz w:val="19"/>
              </w:rPr>
              <w:t>28,763</w:t>
            </w:r>
          </w:p>
        </w:tc>
        <w:tc>
          <w:tcPr>
            <w:tcW w:w="1332" w:type="dxa"/>
            <w:tcBorders>
              <w:top w:val="single" w:sz="4" w:space="0" w:color="000000"/>
              <w:left w:val="nil"/>
              <w:bottom w:val="single" w:sz="4" w:space="0" w:color="000000"/>
              <w:right w:val="nil"/>
            </w:tcBorders>
            <w:shd w:val="clear" w:color="auto" w:fill="F4F4F4"/>
          </w:tcPr>
          <w:p>
            <w:pPr>
              <w:pStyle w:val="TableParagraph"/>
              <w:spacing w:before="33"/>
              <w:ind w:right="113"/>
              <w:jc w:val="right"/>
              <w:rPr>
                <w:b/>
                <w:sz w:val="19"/>
              </w:rPr>
            </w:pPr>
            <w:r>
              <w:rPr>
                <w:b/>
                <w:w w:val="95"/>
                <w:sz w:val="19"/>
              </w:rPr>
              <w:t>(346)</w:t>
            </w:r>
          </w:p>
        </w:tc>
        <w:tc>
          <w:tcPr>
            <w:tcW w:w="1332" w:type="dxa"/>
            <w:tcBorders>
              <w:top w:val="single" w:sz="4" w:space="0" w:color="000000"/>
              <w:left w:val="nil"/>
              <w:bottom w:val="single" w:sz="4" w:space="0" w:color="000000"/>
              <w:right w:val="nil"/>
            </w:tcBorders>
            <w:shd w:val="clear" w:color="auto" w:fill="DFE1B8"/>
          </w:tcPr>
          <w:p>
            <w:pPr>
              <w:pStyle w:val="TableParagraph"/>
              <w:spacing w:before="33"/>
              <w:ind w:right="112"/>
              <w:jc w:val="right"/>
              <w:rPr>
                <w:b/>
                <w:sz w:val="19"/>
              </w:rPr>
            </w:pPr>
            <w:r>
              <w:rPr>
                <w:b/>
                <w:w w:val="95"/>
                <w:sz w:val="19"/>
              </w:rPr>
              <w:t>28,763</w:t>
            </w:r>
          </w:p>
        </w:tc>
        <w:tc>
          <w:tcPr>
            <w:tcW w:w="1332" w:type="dxa"/>
            <w:tcBorders>
              <w:top w:val="single" w:sz="4" w:space="0" w:color="000000"/>
              <w:left w:val="nil"/>
              <w:bottom w:val="single" w:sz="4" w:space="0" w:color="000000"/>
            </w:tcBorders>
            <w:shd w:val="clear" w:color="auto" w:fill="F4F4F4"/>
          </w:tcPr>
          <w:p>
            <w:pPr>
              <w:pStyle w:val="TableParagraph"/>
              <w:spacing w:before="33"/>
              <w:ind w:right="102"/>
              <w:jc w:val="right"/>
              <w:rPr>
                <w:b/>
                <w:sz w:val="19"/>
              </w:rPr>
            </w:pPr>
            <w:r>
              <w:rPr>
                <w:b/>
                <w:w w:val="95"/>
                <w:sz w:val="19"/>
              </w:rPr>
              <w:t>84,268</w:t>
            </w:r>
          </w:p>
        </w:tc>
        <w:tc>
          <w:tcPr>
            <w:tcW w:w="1332" w:type="dxa"/>
            <w:tcBorders>
              <w:top w:val="single" w:sz="4" w:space="0" w:color="000000"/>
              <w:bottom w:val="single" w:sz="4" w:space="0" w:color="000000"/>
              <w:right w:val="nil"/>
            </w:tcBorders>
            <w:shd w:val="clear" w:color="auto" w:fill="F4F4F4"/>
          </w:tcPr>
          <w:p>
            <w:pPr>
              <w:pStyle w:val="TableParagraph"/>
              <w:spacing w:before="33"/>
              <w:ind w:right="112"/>
              <w:jc w:val="right"/>
              <w:rPr>
                <w:b/>
                <w:sz w:val="19"/>
              </w:rPr>
            </w:pPr>
            <w:r>
              <w:rPr>
                <w:b/>
                <w:w w:val="95"/>
                <w:sz w:val="19"/>
              </w:rPr>
              <w:t>(55,505)</w:t>
            </w:r>
          </w:p>
        </w:tc>
      </w:tr>
      <w:tr>
        <w:trPr>
          <w:trHeight w:val="285" w:hRule="atLeast"/>
        </w:trPr>
        <w:tc>
          <w:tcPr>
            <w:tcW w:w="7313" w:type="dxa"/>
            <w:vMerge/>
            <w:tcBorders>
              <w:top w:val="nil"/>
              <w:left w:val="nil"/>
            </w:tcBorders>
            <w:shd w:val="clear" w:color="auto" w:fill="FAF9F9"/>
          </w:tcPr>
          <w:p>
            <w:pPr>
              <w:rPr>
                <w:sz w:val="2"/>
                <w:szCs w:val="2"/>
              </w:rPr>
            </w:pPr>
          </w:p>
        </w:tc>
        <w:tc>
          <w:tcPr>
            <w:tcW w:w="1332" w:type="dxa"/>
            <w:vMerge w:val="restart"/>
            <w:tcBorders>
              <w:top w:val="single" w:sz="4" w:space="0" w:color="000000"/>
              <w:right w:val="nil"/>
            </w:tcBorders>
            <w:shd w:val="clear" w:color="auto" w:fill="FAF9F9"/>
          </w:tcPr>
          <w:p>
            <w:pPr>
              <w:pStyle w:val="TableParagraph"/>
              <w:spacing w:before="0"/>
              <w:rPr>
                <w:rFonts w:ascii="Times New Roman"/>
                <w:sz w:val="20"/>
              </w:rPr>
            </w:pPr>
          </w:p>
        </w:tc>
        <w:tc>
          <w:tcPr>
            <w:tcW w:w="1332" w:type="dxa"/>
            <w:vMerge w:val="restart"/>
            <w:tcBorders>
              <w:top w:val="single" w:sz="4" w:space="0" w:color="000000"/>
              <w:left w:val="nil"/>
              <w:bottom w:val="single" w:sz="4" w:space="0" w:color="000000"/>
              <w:right w:val="nil"/>
            </w:tcBorders>
            <w:shd w:val="clear" w:color="auto" w:fill="E1E4BB"/>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191"/>
              <w:ind w:left="512" w:right="78"/>
              <w:jc w:val="center"/>
              <w:rPr>
                <w:sz w:val="19"/>
              </w:rPr>
            </w:pPr>
            <w:r>
              <w:rPr>
                <w:spacing w:val="-3"/>
                <w:sz w:val="19"/>
              </w:rPr>
              <w:t>641,372</w:t>
            </w:r>
          </w:p>
          <w:p>
            <w:pPr>
              <w:pStyle w:val="TableParagraph"/>
              <w:spacing w:before="88"/>
              <w:ind w:left="512" w:right="78"/>
              <w:jc w:val="center"/>
              <w:rPr>
                <w:sz w:val="19"/>
              </w:rPr>
            </w:pPr>
            <w:r>
              <w:rPr>
                <w:spacing w:val="-3"/>
                <w:sz w:val="19"/>
              </w:rPr>
              <w:t>873,746</w:t>
            </w:r>
          </w:p>
          <w:p>
            <w:pPr>
              <w:pStyle w:val="TableParagraph"/>
              <w:spacing w:before="87"/>
              <w:ind w:left="615" w:right="78"/>
              <w:jc w:val="center"/>
              <w:rPr>
                <w:sz w:val="19"/>
              </w:rPr>
            </w:pPr>
            <w:r>
              <w:rPr>
                <w:spacing w:val="-3"/>
                <w:sz w:val="19"/>
              </w:rPr>
              <w:t>95,959</w:t>
            </w:r>
          </w:p>
          <w:p>
            <w:pPr>
              <w:pStyle w:val="TableParagraph"/>
              <w:spacing w:before="87"/>
              <w:ind w:left="359" w:right="78"/>
              <w:jc w:val="center"/>
              <w:rPr>
                <w:sz w:val="19"/>
              </w:rPr>
            </w:pPr>
            <w:r>
              <w:rPr>
                <w:spacing w:val="-3"/>
                <w:sz w:val="19"/>
              </w:rPr>
              <w:t>3,255,594</w:t>
            </w:r>
          </w:p>
          <w:p>
            <w:pPr>
              <w:pStyle w:val="TableParagraph"/>
              <w:spacing w:before="87"/>
              <w:ind w:left="615" w:right="78"/>
              <w:jc w:val="center"/>
              <w:rPr>
                <w:sz w:val="19"/>
              </w:rPr>
            </w:pPr>
            <w:r>
              <w:rPr>
                <w:spacing w:val="-3"/>
                <w:sz w:val="19"/>
              </w:rPr>
              <w:t>40,045</w:t>
            </w:r>
          </w:p>
          <w:p>
            <w:pPr>
              <w:pStyle w:val="TableParagraph"/>
              <w:spacing w:before="87"/>
              <w:ind w:left="359" w:right="78"/>
              <w:jc w:val="center"/>
              <w:rPr>
                <w:sz w:val="19"/>
              </w:rPr>
            </w:pPr>
            <w:r>
              <w:rPr>
                <w:spacing w:val="-3"/>
                <w:sz w:val="19"/>
              </w:rPr>
              <w:t>1,356,805</w:t>
            </w:r>
          </w:p>
          <w:p>
            <w:pPr>
              <w:pStyle w:val="TableParagraph"/>
              <w:spacing w:before="88"/>
              <w:ind w:left="512" w:right="78"/>
              <w:jc w:val="center"/>
              <w:rPr>
                <w:sz w:val="19"/>
              </w:rPr>
            </w:pPr>
            <w:r>
              <w:rPr>
                <w:spacing w:val="-3"/>
                <w:sz w:val="19"/>
              </w:rPr>
              <w:t>151,014</w:t>
            </w:r>
          </w:p>
          <w:p>
            <w:pPr>
              <w:pStyle w:val="TableParagraph"/>
              <w:spacing w:before="87"/>
              <w:ind w:left="512" w:right="78"/>
              <w:jc w:val="center"/>
              <w:rPr>
                <w:sz w:val="19"/>
              </w:rPr>
            </w:pPr>
            <w:r>
              <w:rPr>
                <w:spacing w:val="-3"/>
                <w:sz w:val="19"/>
              </w:rPr>
              <w:t>344,133</w:t>
            </w:r>
          </w:p>
          <w:p>
            <w:pPr>
              <w:pStyle w:val="TableParagraph"/>
              <w:spacing w:before="87"/>
              <w:ind w:right="113"/>
              <w:jc w:val="right"/>
              <w:rPr>
                <w:sz w:val="19"/>
              </w:rPr>
            </w:pPr>
            <w:r>
              <w:rPr>
                <w:spacing w:val="-3"/>
                <w:w w:val="95"/>
                <w:sz w:val="19"/>
              </w:rPr>
              <w:t>17</w:t>
            </w:r>
          </w:p>
          <w:p>
            <w:pPr>
              <w:pStyle w:val="TableParagraph"/>
              <w:spacing w:before="87"/>
              <w:ind w:left="615" w:right="78"/>
              <w:jc w:val="center"/>
              <w:rPr>
                <w:sz w:val="19"/>
              </w:rPr>
            </w:pPr>
            <w:r>
              <w:rPr>
                <w:spacing w:val="-3"/>
                <w:sz w:val="19"/>
              </w:rPr>
              <w:t>40,660</w:t>
            </w:r>
          </w:p>
        </w:tc>
        <w:tc>
          <w:tcPr>
            <w:tcW w:w="1332" w:type="dxa"/>
            <w:tcBorders>
              <w:top w:val="single" w:sz="4" w:space="0" w:color="000000"/>
              <w:left w:val="nil"/>
              <w:right w:val="nil"/>
            </w:tcBorders>
            <w:shd w:val="clear" w:color="auto" w:fill="FAF9F9"/>
          </w:tcPr>
          <w:p>
            <w:pPr>
              <w:pStyle w:val="TableParagraph"/>
              <w:spacing w:before="0"/>
              <w:rPr>
                <w:rFonts w:ascii="Times New Roman"/>
                <w:sz w:val="20"/>
              </w:rPr>
            </w:pPr>
          </w:p>
        </w:tc>
        <w:tc>
          <w:tcPr>
            <w:tcW w:w="1332" w:type="dxa"/>
            <w:vMerge w:val="restart"/>
            <w:tcBorders>
              <w:top w:val="single" w:sz="4" w:space="0" w:color="000000"/>
              <w:left w:val="nil"/>
              <w:bottom w:val="single" w:sz="4" w:space="0" w:color="000000"/>
              <w:right w:val="nil"/>
            </w:tcBorders>
            <w:shd w:val="clear" w:color="auto" w:fill="E1E4BB"/>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191"/>
              <w:ind w:left="513" w:right="78"/>
              <w:jc w:val="center"/>
              <w:rPr>
                <w:sz w:val="19"/>
              </w:rPr>
            </w:pPr>
            <w:r>
              <w:rPr>
                <w:spacing w:val="-3"/>
                <w:sz w:val="19"/>
              </w:rPr>
              <w:t>641,372</w:t>
            </w:r>
          </w:p>
          <w:p>
            <w:pPr>
              <w:pStyle w:val="TableParagraph"/>
              <w:spacing w:before="88"/>
              <w:ind w:left="513" w:right="78"/>
              <w:jc w:val="center"/>
              <w:rPr>
                <w:sz w:val="19"/>
              </w:rPr>
            </w:pPr>
            <w:r>
              <w:rPr>
                <w:spacing w:val="-3"/>
                <w:sz w:val="19"/>
              </w:rPr>
              <w:t>873,746</w:t>
            </w:r>
          </w:p>
          <w:p>
            <w:pPr>
              <w:pStyle w:val="TableParagraph"/>
              <w:spacing w:before="87"/>
              <w:ind w:left="616" w:right="78"/>
              <w:jc w:val="center"/>
              <w:rPr>
                <w:sz w:val="19"/>
              </w:rPr>
            </w:pPr>
            <w:r>
              <w:rPr>
                <w:spacing w:val="-3"/>
                <w:sz w:val="19"/>
              </w:rPr>
              <w:t>95,959</w:t>
            </w:r>
          </w:p>
          <w:p>
            <w:pPr>
              <w:pStyle w:val="TableParagraph"/>
              <w:spacing w:before="87"/>
              <w:ind w:left="361" w:right="78"/>
              <w:jc w:val="center"/>
              <w:rPr>
                <w:sz w:val="19"/>
              </w:rPr>
            </w:pPr>
            <w:r>
              <w:rPr>
                <w:spacing w:val="-3"/>
                <w:sz w:val="19"/>
              </w:rPr>
              <w:t>3,255,594</w:t>
            </w:r>
          </w:p>
          <w:p>
            <w:pPr>
              <w:pStyle w:val="TableParagraph"/>
              <w:spacing w:before="87"/>
              <w:ind w:left="616" w:right="78"/>
              <w:jc w:val="center"/>
              <w:rPr>
                <w:sz w:val="19"/>
              </w:rPr>
            </w:pPr>
            <w:r>
              <w:rPr>
                <w:spacing w:val="-3"/>
                <w:sz w:val="19"/>
              </w:rPr>
              <w:t>40,045</w:t>
            </w:r>
          </w:p>
          <w:p>
            <w:pPr>
              <w:pStyle w:val="TableParagraph"/>
              <w:spacing w:before="87"/>
              <w:ind w:left="361" w:right="78"/>
              <w:jc w:val="center"/>
              <w:rPr>
                <w:sz w:val="19"/>
              </w:rPr>
            </w:pPr>
            <w:r>
              <w:rPr>
                <w:spacing w:val="-3"/>
                <w:sz w:val="19"/>
              </w:rPr>
              <w:t>1,356,805</w:t>
            </w:r>
          </w:p>
          <w:p>
            <w:pPr>
              <w:pStyle w:val="TableParagraph"/>
              <w:spacing w:before="88"/>
              <w:ind w:left="513" w:right="78"/>
              <w:jc w:val="center"/>
              <w:rPr>
                <w:sz w:val="19"/>
              </w:rPr>
            </w:pPr>
            <w:r>
              <w:rPr>
                <w:spacing w:val="-3"/>
                <w:sz w:val="19"/>
              </w:rPr>
              <w:t>151,014</w:t>
            </w:r>
          </w:p>
          <w:p>
            <w:pPr>
              <w:pStyle w:val="TableParagraph"/>
              <w:spacing w:before="87"/>
              <w:ind w:left="513" w:right="78"/>
              <w:jc w:val="center"/>
              <w:rPr>
                <w:sz w:val="19"/>
              </w:rPr>
            </w:pPr>
            <w:r>
              <w:rPr>
                <w:spacing w:val="-3"/>
                <w:sz w:val="19"/>
              </w:rPr>
              <w:t>344,133</w:t>
            </w:r>
          </w:p>
          <w:p>
            <w:pPr>
              <w:pStyle w:val="TableParagraph"/>
              <w:spacing w:before="87"/>
              <w:ind w:right="112"/>
              <w:jc w:val="right"/>
              <w:rPr>
                <w:sz w:val="19"/>
              </w:rPr>
            </w:pPr>
            <w:r>
              <w:rPr>
                <w:spacing w:val="-3"/>
                <w:w w:val="95"/>
                <w:sz w:val="19"/>
              </w:rPr>
              <w:t>17</w:t>
            </w:r>
          </w:p>
          <w:p>
            <w:pPr>
              <w:pStyle w:val="TableParagraph"/>
              <w:spacing w:before="87"/>
              <w:ind w:left="616" w:right="78"/>
              <w:jc w:val="center"/>
              <w:rPr>
                <w:sz w:val="19"/>
              </w:rPr>
            </w:pPr>
            <w:r>
              <w:rPr>
                <w:spacing w:val="-3"/>
                <w:sz w:val="19"/>
              </w:rPr>
              <w:t>40,660</w:t>
            </w:r>
          </w:p>
        </w:tc>
        <w:tc>
          <w:tcPr>
            <w:tcW w:w="2664" w:type="dxa"/>
            <w:gridSpan w:val="2"/>
            <w:tcBorders>
              <w:top w:val="single" w:sz="4" w:space="0" w:color="000000"/>
              <w:left w:val="nil"/>
              <w:bottom w:val="nil"/>
              <w:right w:val="nil"/>
            </w:tcBorders>
            <w:shd w:val="clear" w:color="auto" w:fill="FFFFFF"/>
          </w:tcPr>
          <w:p>
            <w:pPr>
              <w:pStyle w:val="TableParagraph"/>
              <w:spacing w:before="0"/>
              <w:rPr>
                <w:rFonts w:ascii="Times New Roman"/>
                <w:sz w:val="20"/>
              </w:rPr>
            </w:pPr>
          </w:p>
        </w:tc>
      </w:tr>
      <w:tr>
        <w:trPr>
          <w:trHeight w:val="275" w:hRule="atLeast"/>
        </w:trPr>
        <w:tc>
          <w:tcPr>
            <w:tcW w:w="7313" w:type="dxa"/>
            <w:vMerge/>
            <w:tcBorders>
              <w:top w:val="nil"/>
              <w:left w:val="nil"/>
            </w:tcBorders>
            <w:shd w:val="clear" w:color="auto" w:fill="FAF9F9"/>
          </w:tcPr>
          <w:p>
            <w:pPr>
              <w:rPr>
                <w:sz w:val="2"/>
                <w:szCs w:val="2"/>
              </w:rPr>
            </w:pPr>
          </w:p>
        </w:tc>
        <w:tc>
          <w:tcPr>
            <w:tcW w:w="1332" w:type="dxa"/>
            <w:vMerge/>
            <w:tcBorders>
              <w:top w:val="nil"/>
              <w:right w:val="nil"/>
            </w:tcBorders>
            <w:shd w:val="clear" w:color="auto" w:fill="FAF9F9"/>
          </w:tcPr>
          <w:p>
            <w:pPr>
              <w:rPr>
                <w:sz w:val="2"/>
                <w:szCs w:val="2"/>
              </w:rPr>
            </w:pP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right w:val="nil"/>
            </w:tcBorders>
            <w:shd w:val="clear" w:color="auto" w:fill="F4F4F4"/>
          </w:tcPr>
          <w:p>
            <w:pPr>
              <w:pStyle w:val="TableParagraph"/>
              <w:spacing w:before="0"/>
              <w:rPr>
                <w:rFonts w:ascii="Times New Roman"/>
                <w:sz w:val="20"/>
              </w:rPr>
            </w:pP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top w:val="nil"/>
              <w:left w:val="nil"/>
            </w:tcBorders>
            <w:shd w:val="clear" w:color="auto" w:fill="F4F4F4"/>
          </w:tcPr>
          <w:p>
            <w:pPr>
              <w:pStyle w:val="TableParagraph"/>
              <w:spacing w:before="0"/>
              <w:rPr>
                <w:rFonts w:ascii="Times New Roman"/>
                <w:sz w:val="20"/>
              </w:rPr>
            </w:pPr>
          </w:p>
        </w:tc>
        <w:tc>
          <w:tcPr>
            <w:tcW w:w="1332" w:type="dxa"/>
            <w:tcBorders>
              <w:top w:val="nil"/>
              <w:right w:val="nil"/>
            </w:tcBorders>
            <w:shd w:val="clear" w:color="auto" w:fill="F4F4F4"/>
          </w:tcPr>
          <w:p>
            <w:pPr>
              <w:pStyle w:val="TableParagraph"/>
              <w:spacing w:before="0"/>
              <w:rPr>
                <w:rFonts w:ascii="Times New Roman"/>
                <w:sz w:val="20"/>
              </w:rPr>
            </w:pPr>
          </w:p>
        </w:tc>
      </w:tr>
      <w:tr>
        <w:trPr>
          <w:trHeight w:val="285" w:hRule="atLeast"/>
        </w:trPr>
        <w:tc>
          <w:tcPr>
            <w:tcW w:w="7313" w:type="dxa"/>
            <w:tcBorders>
              <w:left w:val="nil"/>
            </w:tcBorders>
            <w:shd w:val="clear" w:color="auto" w:fill="FAF9F9"/>
          </w:tcPr>
          <w:p>
            <w:pPr>
              <w:pStyle w:val="TableParagraph"/>
              <w:spacing w:before="33"/>
              <w:ind w:left="113"/>
              <w:rPr>
                <w:i/>
                <w:sz w:val="19"/>
              </w:rPr>
            </w:pPr>
            <w:r>
              <w:rPr>
                <w:i/>
                <w:color w:val="A7BE39"/>
                <w:sz w:val="19"/>
              </w:rPr>
              <w:t>Taxation</w:t>
            </w:r>
          </w:p>
        </w:tc>
        <w:tc>
          <w:tcPr>
            <w:tcW w:w="1332" w:type="dxa"/>
            <w:tcBorders>
              <w:right w:val="nil"/>
            </w:tcBorders>
            <w:shd w:val="clear" w:color="auto" w:fill="FAF9F9"/>
          </w:tcPr>
          <w:p>
            <w:pPr>
              <w:pStyle w:val="TableParagraph"/>
              <w:spacing w:before="0"/>
              <w:rPr>
                <w:rFonts w:ascii="Times New Roman"/>
                <w:sz w:val="20"/>
              </w:rPr>
            </w:pP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right w:val="nil"/>
            </w:tcBorders>
            <w:shd w:val="clear" w:color="auto" w:fill="FAF9F9"/>
          </w:tcPr>
          <w:p>
            <w:pPr>
              <w:pStyle w:val="TableParagraph"/>
              <w:spacing w:before="0"/>
              <w:rPr>
                <w:rFonts w:ascii="Times New Roman"/>
                <w:sz w:val="20"/>
              </w:rPr>
            </w:pPr>
          </w:p>
        </w:tc>
        <w:tc>
          <w:tcPr>
            <w:tcW w:w="1332" w:type="dxa"/>
            <w:vMerge/>
            <w:tcBorders>
              <w:top w:val="nil"/>
              <w:left w:val="nil"/>
              <w:bottom w:val="single" w:sz="4" w:space="0" w:color="000000"/>
              <w:right w:val="nil"/>
            </w:tcBorders>
            <w:shd w:val="clear" w:color="auto" w:fill="E1E4BB"/>
          </w:tcPr>
          <w:p>
            <w:pPr>
              <w:rPr>
                <w:sz w:val="2"/>
                <w:szCs w:val="2"/>
              </w:rPr>
            </w:pPr>
          </w:p>
        </w:tc>
        <w:tc>
          <w:tcPr>
            <w:tcW w:w="2664" w:type="dxa"/>
            <w:gridSpan w:val="2"/>
            <w:tcBorders>
              <w:top w:val="nil"/>
              <w:left w:val="nil"/>
              <w:bottom w:val="nil"/>
              <w:right w:val="nil"/>
            </w:tcBorders>
            <w:shd w:val="clear" w:color="auto" w:fill="FFFFFF"/>
          </w:tcPr>
          <w:p>
            <w:pPr>
              <w:pStyle w:val="TableParagraph"/>
              <w:spacing w:before="0"/>
              <w:rPr>
                <w:rFonts w:ascii="Times New Roman"/>
                <w:sz w:val="20"/>
              </w:rPr>
            </w:pPr>
          </w:p>
        </w:tc>
      </w:tr>
      <w:tr>
        <w:trPr>
          <w:trHeight w:val="285" w:hRule="atLeast"/>
        </w:trPr>
        <w:tc>
          <w:tcPr>
            <w:tcW w:w="7313" w:type="dxa"/>
            <w:tcBorders>
              <w:left w:val="nil"/>
            </w:tcBorders>
            <w:shd w:val="clear" w:color="auto" w:fill="F4F4F4"/>
          </w:tcPr>
          <w:p>
            <w:pPr>
              <w:pStyle w:val="TableParagraph"/>
              <w:spacing w:before="33"/>
              <w:ind w:left="113"/>
              <w:rPr>
                <w:sz w:val="19"/>
              </w:rPr>
            </w:pPr>
            <w:r>
              <w:rPr>
                <w:sz w:val="19"/>
              </w:rPr>
              <w:t>Insurance Duty</w:t>
            </w:r>
          </w:p>
        </w:tc>
        <w:tc>
          <w:tcPr>
            <w:tcW w:w="1332" w:type="dxa"/>
            <w:tcBorders>
              <w:right w:val="nil"/>
            </w:tcBorders>
            <w:shd w:val="clear" w:color="auto" w:fill="F4F4F4"/>
          </w:tcPr>
          <w:p>
            <w:pPr>
              <w:pStyle w:val="TableParagraph"/>
              <w:spacing w:before="33"/>
              <w:ind w:right="113"/>
              <w:jc w:val="right"/>
              <w:rPr>
                <w:sz w:val="19"/>
              </w:rPr>
            </w:pPr>
            <w:r>
              <w:rPr>
                <w:w w:val="95"/>
                <w:sz w:val="19"/>
              </w:rPr>
              <w:t>655,887</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right w:val="nil"/>
            </w:tcBorders>
            <w:shd w:val="clear" w:color="auto" w:fill="F4F4F4"/>
          </w:tcPr>
          <w:p>
            <w:pPr>
              <w:pStyle w:val="TableParagraph"/>
              <w:spacing w:before="33"/>
              <w:ind w:right="113"/>
              <w:jc w:val="right"/>
              <w:rPr>
                <w:sz w:val="19"/>
              </w:rPr>
            </w:pPr>
            <w:r>
              <w:rPr>
                <w:w w:val="95"/>
                <w:sz w:val="19"/>
              </w:rPr>
              <w:t>(14,515)</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tcBorders>
            <w:shd w:val="clear" w:color="auto" w:fill="F4F4F4"/>
          </w:tcPr>
          <w:p>
            <w:pPr>
              <w:pStyle w:val="TableParagraph"/>
              <w:spacing w:before="33"/>
              <w:ind w:right="102"/>
              <w:jc w:val="right"/>
              <w:rPr>
                <w:sz w:val="19"/>
              </w:rPr>
            </w:pPr>
            <w:r>
              <w:rPr>
                <w:w w:val="95"/>
                <w:sz w:val="19"/>
              </w:rPr>
              <w:t>591,502</w:t>
            </w:r>
          </w:p>
        </w:tc>
        <w:tc>
          <w:tcPr>
            <w:tcW w:w="1332" w:type="dxa"/>
            <w:tcBorders>
              <w:right w:val="nil"/>
            </w:tcBorders>
            <w:shd w:val="clear" w:color="auto" w:fill="F4F4F4"/>
          </w:tcPr>
          <w:p>
            <w:pPr>
              <w:pStyle w:val="TableParagraph"/>
              <w:spacing w:before="33"/>
              <w:ind w:right="112"/>
              <w:jc w:val="right"/>
              <w:rPr>
                <w:sz w:val="19"/>
              </w:rPr>
            </w:pPr>
            <w:r>
              <w:rPr>
                <w:w w:val="95"/>
                <w:sz w:val="19"/>
              </w:rPr>
              <w:t>49,870</w:t>
            </w:r>
          </w:p>
        </w:tc>
      </w:tr>
      <w:tr>
        <w:trPr>
          <w:trHeight w:val="285" w:hRule="atLeast"/>
        </w:trPr>
        <w:tc>
          <w:tcPr>
            <w:tcW w:w="7313" w:type="dxa"/>
            <w:tcBorders>
              <w:left w:val="nil"/>
            </w:tcBorders>
            <w:shd w:val="clear" w:color="auto" w:fill="FAF9F9"/>
          </w:tcPr>
          <w:p>
            <w:pPr>
              <w:pStyle w:val="TableParagraph"/>
              <w:spacing w:before="33"/>
              <w:ind w:left="113"/>
              <w:rPr>
                <w:sz w:val="19"/>
              </w:rPr>
            </w:pPr>
            <w:r>
              <w:rPr>
                <w:sz w:val="19"/>
              </w:rPr>
              <w:t>Land Tax</w:t>
            </w:r>
          </w:p>
        </w:tc>
        <w:tc>
          <w:tcPr>
            <w:tcW w:w="1332" w:type="dxa"/>
            <w:tcBorders>
              <w:right w:val="nil"/>
            </w:tcBorders>
            <w:shd w:val="clear" w:color="auto" w:fill="FAF9F9"/>
          </w:tcPr>
          <w:p>
            <w:pPr>
              <w:pStyle w:val="TableParagraph"/>
              <w:spacing w:before="33"/>
              <w:ind w:right="113"/>
              <w:jc w:val="right"/>
              <w:rPr>
                <w:sz w:val="19"/>
              </w:rPr>
            </w:pPr>
            <w:r>
              <w:rPr>
                <w:w w:val="95"/>
                <w:sz w:val="19"/>
              </w:rPr>
              <w:t>893,176</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right w:val="nil"/>
            </w:tcBorders>
            <w:shd w:val="clear" w:color="auto" w:fill="FAF9F9"/>
          </w:tcPr>
          <w:p>
            <w:pPr>
              <w:pStyle w:val="TableParagraph"/>
              <w:spacing w:before="33"/>
              <w:ind w:right="113"/>
              <w:jc w:val="right"/>
              <w:rPr>
                <w:sz w:val="19"/>
              </w:rPr>
            </w:pPr>
            <w:r>
              <w:rPr>
                <w:w w:val="95"/>
                <w:sz w:val="19"/>
              </w:rPr>
              <w:t>(19,430)</w:t>
            </w:r>
          </w:p>
        </w:tc>
        <w:tc>
          <w:tcPr>
            <w:tcW w:w="1332" w:type="dxa"/>
            <w:vMerge/>
            <w:tcBorders>
              <w:top w:val="nil"/>
              <w:left w:val="nil"/>
              <w:bottom w:val="single" w:sz="4" w:space="0" w:color="000000"/>
              <w:right w:val="nil"/>
            </w:tcBorders>
            <w:shd w:val="clear" w:color="auto" w:fill="E1E4BB"/>
          </w:tcPr>
          <w:p>
            <w:pPr>
              <w:rPr>
                <w:sz w:val="2"/>
                <w:szCs w:val="2"/>
              </w:rPr>
            </w:pPr>
          </w:p>
        </w:tc>
        <w:tc>
          <w:tcPr>
            <w:tcW w:w="2664" w:type="dxa"/>
            <w:gridSpan w:val="2"/>
            <w:tcBorders>
              <w:top w:val="nil"/>
              <w:left w:val="nil"/>
              <w:bottom w:val="nil"/>
              <w:right w:val="nil"/>
            </w:tcBorders>
            <w:shd w:val="clear" w:color="auto" w:fill="FFFFFF"/>
          </w:tcPr>
          <w:p>
            <w:pPr>
              <w:pStyle w:val="TableParagraph"/>
              <w:tabs>
                <w:tab w:pos="1899" w:val="left" w:leader="none"/>
              </w:tabs>
              <w:spacing w:before="33"/>
              <w:ind w:left="550"/>
              <w:rPr>
                <w:sz w:val="19"/>
              </w:rPr>
            </w:pPr>
            <w:r>
              <w:rPr>
                <w:spacing w:val="-3"/>
                <w:sz w:val="19"/>
              </w:rPr>
              <w:t>945,532</w:t>
              <w:tab/>
              <w:t>(71,786)</w:t>
            </w:r>
          </w:p>
        </w:tc>
      </w:tr>
      <w:tr>
        <w:trPr>
          <w:trHeight w:val="285" w:hRule="atLeast"/>
        </w:trPr>
        <w:tc>
          <w:tcPr>
            <w:tcW w:w="7313" w:type="dxa"/>
            <w:tcBorders>
              <w:left w:val="nil"/>
            </w:tcBorders>
            <w:shd w:val="clear" w:color="auto" w:fill="F4F4F4"/>
          </w:tcPr>
          <w:p>
            <w:pPr>
              <w:pStyle w:val="TableParagraph"/>
              <w:spacing w:before="33"/>
              <w:ind w:left="113"/>
              <w:rPr>
                <w:sz w:val="19"/>
              </w:rPr>
            </w:pPr>
            <w:r>
              <w:rPr>
                <w:sz w:val="19"/>
              </w:rPr>
              <w:t>Metropolitan Region Improvement Tax</w:t>
            </w:r>
          </w:p>
        </w:tc>
        <w:tc>
          <w:tcPr>
            <w:tcW w:w="1332" w:type="dxa"/>
            <w:tcBorders>
              <w:right w:val="nil"/>
            </w:tcBorders>
            <w:shd w:val="clear" w:color="auto" w:fill="F4F4F4"/>
          </w:tcPr>
          <w:p>
            <w:pPr>
              <w:pStyle w:val="TableParagraph"/>
              <w:spacing w:before="33"/>
              <w:ind w:right="113"/>
              <w:jc w:val="right"/>
              <w:rPr>
                <w:sz w:val="19"/>
              </w:rPr>
            </w:pPr>
            <w:r>
              <w:rPr>
                <w:w w:val="95"/>
                <w:sz w:val="19"/>
              </w:rPr>
              <w:t>97,960</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right w:val="nil"/>
            </w:tcBorders>
            <w:shd w:val="clear" w:color="auto" w:fill="F4F4F4"/>
          </w:tcPr>
          <w:p>
            <w:pPr>
              <w:pStyle w:val="TableParagraph"/>
              <w:spacing w:before="33"/>
              <w:ind w:right="113"/>
              <w:jc w:val="right"/>
              <w:rPr>
                <w:sz w:val="19"/>
              </w:rPr>
            </w:pPr>
            <w:r>
              <w:rPr>
                <w:w w:val="90"/>
                <w:sz w:val="19"/>
              </w:rPr>
              <w:t>(2,001)</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tcBorders>
            <w:shd w:val="clear" w:color="auto" w:fill="F4F4F4"/>
          </w:tcPr>
          <w:p>
            <w:pPr>
              <w:pStyle w:val="TableParagraph"/>
              <w:spacing w:before="33"/>
              <w:ind w:right="102"/>
              <w:jc w:val="right"/>
              <w:rPr>
                <w:sz w:val="19"/>
              </w:rPr>
            </w:pPr>
            <w:r>
              <w:rPr>
                <w:w w:val="95"/>
                <w:sz w:val="19"/>
              </w:rPr>
              <w:t>97,870</w:t>
            </w:r>
          </w:p>
        </w:tc>
        <w:tc>
          <w:tcPr>
            <w:tcW w:w="1332" w:type="dxa"/>
            <w:tcBorders>
              <w:right w:val="nil"/>
            </w:tcBorders>
            <w:shd w:val="clear" w:color="auto" w:fill="F4F4F4"/>
          </w:tcPr>
          <w:p>
            <w:pPr>
              <w:pStyle w:val="TableParagraph"/>
              <w:spacing w:before="33"/>
              <w:ind w:right="112"/>
              <w:jc w:val="right"/>
              <w:rPr>
                <w:sz w:val="19"/>
              </w:rPr>
            </w:pPr>
            <w:r>
              <w:rPr>
                <w:w w:val="90"/>
                <w:sz w:val="19"/>
              </w:rPr>
              <w:t>(1,911)</w:t>
            </w:r>
          </w:p>
        </w:tc>
      </w:tr>
      <w:tr>
        <w:trPr>
          <w:trHeight w:val="285" w:hRule="atLeast"/>
        </w:trPr>
        <w:tc>
          <w:tcPr>
            <w:tcW w:w="7313" w:type="dxa"/>
            <w:tcBorders>
              <w:left w:val="nil"/>
            </w:tcBorders>
            <w:shd w:val="clear" w:color="auto" w:fill="FAF9F9"/>
          </w:tcPr>
          <w:p>
            <w:pPr>
              <w:pStyle w:val="TableParagraph"/>
              <w:spacing w:before="33"/>
              <w:ind w:left="113"/>
              <w:rPr>
                <w:sz w:val="19"/>
              </w:rPr>
            </w:pPr>
            <w:r>
              <w:rPr>
                <w:sz w:val="19"/>
              </w:rPr>
              <w:t>Payroll Tax</w:t>
            </w:r>
          </w:p>
        </w:tc>
        <w:tc>
          <w:tcPr>
            <w:tcW w:w="1332" w:type="dxa"/>
            <w:tcBorders>
              <w:right w:val="nil"/>
            </w:tcBorders>
            <w:shd w:val="clear" w:color="auto" w:fill="FAF9F9"/>
          </w:tcPr>
          <w:p>
            <w:pPr>
              <w:pStyle w:val="TableParagraph"/>
              <w:spacing w:before="33"/>
              <w:ind w:right="113"/>
              <w:jc w:val="right"/>
              <w:rPr>
                <w:sz w:val="19"/>
              </w:rPr>
            </w:pPr>
            <w:r>
              <w:rPr>
                <w:w w:val="95"/>
                <w:sz w:val="19"/>
              </w:rPr>
              <w:t>3,524,426</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right w:val="nil"/>
            </w:tcBorders>
            <w:shd w:val="clear" w:color="auto" w:fill="FAF9F9"/>
          </w:tcPr>
          <w:p>
            <w:pPr>
              <w:pStyle w:val="TableParagraph"/>
              <w:spacing w:before="33"/>
              <w:ind w:right="113"/>
              <w:jc w:val="right"/>
              <w:rPr>
                <w:sz w:val="19"/>
              </w:rPr>
            </w:pPr>
            <w:r>
              <w:rPr>
                <w:w w:val="95"/>
                <w:sz w:val="19"/>
              </w:rPr>
              <w:t>(268,832)</w:t>
            </w:r>
          </w:p>
        </w:tc>
        <w:tc>
          <w:tcPr>
            <w:tcW w:w="1332" w:type="dxa"/>
            <w:vMerge/>
            <w:tcBorders>
              <w:top w:val="nil"/>
              <w:left w:val="nil"/>
              <w:bottom w:val="single" w:sz="4" w:space="0" w:color="000000"/>
              <w:right w:val="nil"/>
            </w:tcBorders>
            <w:shd w:val="clear" w:color="auto" w:fill="E1E4BB"/>
          </w:tcPr>
          <w:p>
            <w:pPr>
              <w:rPr>
                <w:sz w:val="2"/>
                <w:szCs w:val="2"/>
              </w:rPr>
            </w:pPr>
          </w:p>
        </w:tc>
        <w:tc>
          <w:tcPr>
            <w:tcW w:w="2664" w:type="dxa"/>
            <w:gridSpan w:val="2"/>
            <w:tcBorders>
              <w:top w:val="nil"/>
              <w:left w:val="nil"/>
              <w:bottom w:val="nil"/>
              <w:right w:val="nil"/>
            </w:tcBorders>
            <w:shd w:val="clear" w:color="auto" w:fill="FFFFFF"/>
          </w:tcPr>
          <w:p>
            <w:pPr>
              <w:pStyle w:val="TableParagraph"/>
              <w:tabs>
                <w:tab w:pos="1797" w:val="left" w:leader="none"/>
              </w:tabs>
              <w:spacing w:before="33"/>
              <w:ind w:left="398"/>
              <w:rPr>
                <w:sz w:val="19"/>
              </w:rPr>
            </w:pPr>
            <w:r>
              <w:rPr>
                <w:spacing w:val="-3"/>
                <w:sz w:val="19"/>
              </w:rPr>
              <w:t>3,492,369</w:t>
              <w:tab/>
              <w:t>(236,775)</w:t>
            </w:r>
          </w:p>
        </w:tc>
      </w:tr>
      <w:tr>
        <w:trPr>
          <w:trHeight w:val="285" w:hRule="atLeast"/>
        </w:trPr>
        <w:tc>
          <w:tcPr>
            <w:tcW w:w="7313" w:type="dxa"/>
            <w:tcBorders>
              <w:left w:val="nil"/>
            </w:tcBorders>
            <w:shd w:val="clear" w:color="auto" w:fill="F4F4F4"/>
          </w:tcPr>
          <w:p>
            <w:pPr>
              <w:pStyle w:val="TableParagraph"/>
              <w:spacing w:before="33"/>
              <w:ind w:left="113"/>
              <w:rPr>
                <w:sz w:val="19"/>
              </w:rPr>
            </w:pPr>
            <w:r>
              <w:rPr>
                <w:sz w:val="19"/>
              </w:rPr>
              <w:t>Racing and Wagering Western Australia Tax</w:t>
            </w:r>
          </w:p>
        </w:tc>
        <w:tc>
          <w:tcPr>
            <w:tcW w:w="1332" w:type="dxa"/>
            <w:tcBorders>
              <w:right w:val="nil"/>
            </w:tcBorders>
            <w:shd w:val="clear" w:color="auto" w:fill="F4F4F4"/>
          </w:tcPr>
          <w:p>
            <w:pPr>
              <w:pStyle w:val="TableParagraph"/>
              <w:spacing w:before="33"/>
              <w:ind w:right="113"/>
              <w:jc w:val="right"/>
              <w:rPr>
                <w:sz w:val="19"/>
              </w:rPr>
            </w:pPr>
            <w:r>
              <w:rPr>
                <w:w w:val="95"/>
                <w:sz w:val="19"/>
              </w:rPr>
              <w:t>45,160</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right w:val="nil"/>
            </w:tcBorders>
            <w:shd w:val="clear" w:color="auto" w:fill="F4F4F4"/>
          </w:tcPr>
          <w:p>
            <w:pPr>
              <w:pStyle w:val="TableParagraph"/>
              <w:spacing w:before="33"/>
              <w:ind w:right="113"/>
              <w:jc w:val="right"/>
              <w:rPr>
                <w:sz w:val="19"/>
              </w:rPr>
            </w:pPr>
            <w:r>
              <w:rPr>
                <w:w w:val="90"/>
                <w:sz w:val="19"/>
              </w:rPr>
              <w:t>(5,115)</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tcBorders>
            <w:shd w:val="clear" w:color="auto" w:fill="F4F4F4"/>
          </w:tcPr>
          <w:p>
            <w:pPr>
              <w:pStyle w:val="TableParagraph"/>
              <w:spacing w:before="33"/>
              <w:ind w:right="102"/>
              <w:jc w:val="right"/>
              <w:rPr>
                <w:sz w:val="19"/>
              </w:rPr>
            </w:pPr>
            <w:r>
              <w:rPr>
                <w:w w:val="95"/>
                <w:sz w:val="19"/>
              </w:rPr>
              <w:t>42,411</w:t>
            </w:r>
          </w:p>
        </w:tc>
        <w:tc>
          <w:tcPr>
            <w:tcW w:w="1332" w:type="dxa"/>
            <w:tcBorders>
              <w:right w:val="nil"/>
            </w:tcBorders>
            <w:shd w:val="clear" w:color="auto" w:fill="F4F4F4"/>
          </w:tcPr>
          <w:p>
            <w:pPr>
              <w:pStyle w:val="TableParagraph"/>
              <w:spacing w:before="33"/>
              <w:ind w:right="112"/>
              <w:jc w:val="right"/>
              <w:rPr>
                <w:sz w:val="19"/>
              </w:rPr>
            </w:pPr>
            <w:r>
              <w:rPr>
                <w:w w:val="90"/>
                <w:sz w:val="19"/>
              </w:rPr>
              <w:t>(2,366)</w:t>
            </w:r>
          </w:p>
        </w:tc>
      </w:tr>
      <w:tr>
        <w:trPr>
          <w:trHeight w:val="285" w:hRule="atLeast"/>
        </w:trPr>
        <w:tc>
          <w:tcPr>
            <w:tcW w:w="7313" w:type="dxa"/>
            <w:tcBorders>
              <w:left w:val="nil"/>
            </w:tcBorders>
            <w:shd w:val="clear" w:color="auto" w:fill="FAF9F9"/>
          </w:tcPr>
          <w:p>
            <w:pPr>
              <w:pStyle w:val="TableParagraph"/>
              <w:spacing w:before="33"/>
              <w:ind w:left="113"/>
              <w:rPr>
                <w:sz w:val="19"/>
              </w:rPr>
            </w:pPr>
            <w:r>
              <w:rPr>
                <w:sz w:val="19"/>
              </w:rPr>
              <w:t>Transfer Duty</w:t>
            </w:r>
          </w:p>
        </w:tc>
        <w:tc>
          <w:tcPr>
            <w:tcW w:w="1332" w:type="dxa"/>
            <w:tcBorders>
              <w:right w:val="nil"/>
            </w:tcBorders>
            <w:shd w:val="clear" w:color="auto" w:fill="FAF9F9"/>
          </w:tcPr>
          <w:p>
            <w:pPr>
              <w:pStyle w:val="TableParagraph"/>
              <w:spacing w:before="33"/>
              <w:ind w:right="113"/>
              <w:jc w:val="right"/>
              <w:rPr>
                <w:sz w:val="19"/>
              </w:rPr>
            </w:pPr>
            <w:r>
              <w:rPr>
                <w:w w:val="95"/>
                <w:sz w:val="19"/>
              </w:rPr>
              <w:t>1,387,238</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right w:val="nil"/>
            </w:tcBorders>
            <w:shd w:val="clear" w:color="auto" w:fill="FAF9F9"/>
          </w:tcPr>
          <w:p>
            <w:pPr>
              <w:pStyle w:val="TableParagraph"/>
              <w:spacing w:before="33"/>
              <w:ind w:right="113"/>
              <w:jc w:val="right"/>
              <w:rPr>
                <w:sz w:val="19"/>
              </w:rPr>
            </w:pPr>
            <w:r>
              <w:rPr>
                <w:w w:val="95"/>
                <w:sz w:val="19"/>
              </w:rPr>
              <w:t>(30,433)</w:t>
            </w:r>
          </w:p>
        </w:tc>
        <w:tc>
          <w:tcPr>
            <w:tcW w:w="1332" w:type="dxa"/>
            <w:vMerge/>
            <w:tcBorders>
              <w:top w:val="nil"/>
              <w:left w:val="nil"/>
              <w:bottom w:val="single" w:sz="4" w:space="0" w:color="000000"/>
              <w:right w:val="nil"/>
            </w:tcBorders>
            <w:shd w:val="clear" w:color="auto" w:fill="E1E4BB"/>
          </w:tcPr>
          <w:p>
            <w:pPr>
              <w:rPr>
                <w:sz w:val="2"/>
                <w:szCs w:val="2"/>
              </w:rPr>
            </w:pPr>
          </w:p>
        </w:tc>
        <w:tc>
          <w:tcPr>
            <w:tcW w:w="2664" w:type="dxa"/>
            <w:gridSpan w:val="2"/>
            <w:tcBorders>
              <w:top w:val="nil"/>
              <w:left w:val="nil"/>
              <w:bottom w:val="nil"/>
              <w:right w:val="nil"/>
            </w:tcBorders>
            <w:shd w:val="clear" w:color="auto" w:fill="FFFFFF"/>
          </w:tcPr>
          <w:p>
            <w:pPr>
              <w:pStyle w:val="TableParagraph"/>
              <w:tabs>
                <w:tab w:pos="1985" w:val="left" w:leader="none"/>
              </w:tabs>
              <w:spacing w:before="33"/>
              <w:ind w:left="398"/>
              <w:rPr>
                <w:sz w:val="19"/>
              </w:rPr>
            </w:pPr>
            <w:r>
              <w:rPr>
                <w:spacing w:val="-3"/>
                <w:sz w:val="19"/>
              </w:rPr>
              <w:t>1,337,635</w:t>
              <w:tab/>
              <w:t>19,170</w:t>
            </w:r>
          </w:p>
        </w:tc>
      </w:tr>
      <w:tr>
        <w:trPr>
          <w:trHeight w:val="285" w:hRule="atLeast"/>
        </w:trPr>
        <w:tc>
          <w:tcPr>
            <w:tcW w:w="7313" w:type="dxa"/>
            <w:vMerge w:val="restart"/>
            <w:tcBorders>
              <w:left w:val="nil"/>
            </w:tcBorders>
            <w:shd w:val="clear" w:color="auto" w:fill="FAF9F9"/>
          </w:tcPr>
          <w:p>
            <w:pPr>
              <w:pStyle w:val="TableParagraph"/>
              <w:spacing w:before="33"/>
              <w:ind w:left="113"/>
              <w:rPr>
                <w:sz w:val="19"/>
              </w:rPr>
            </w:pPr>
            <w:r>
              <w:rPr>
                <w:sz w:val="19"/>
              </w:rPr>
              <w:t>Landholder Duty</w:t>
            </w:r>
          </w:p>
          <w:p>
            <w:pPr>
              <w:pStyle w:val="TableParagraph"/>
              <w:spacing w:before="87"/>
              <w:ind w:left="113"/>
              <w:rPr>
                <w:sz w:val="19"/>
              </w:rPr>
            </w:pPr>
            <w:r>
              <w:rPr>
                <w:sz w:val="19"/>
              </w:rPr>
              <w:t>Vehicle Licence Duty</w:t>
            </w:r>
          </w:p>
        </w:tc>
        <w:tc>
          <w:tcPr>
            <w:tcW w:w="1332" w:type="dxa"/>
            <w:vMerge w:val="restart"/>
            <w:tcBorders>
              <w:right w:val="nil"/>
            </w:tcBorders>
            <w:shd w:val="clear" w:color="auto" w:fill="FAF9F9"/>
          </w:tcPr>
          <w:p>
            <w:pPr>
              <w:pStyle w:val="TableParagraph"/>
              <w:spacing w:before="33"/>
              <w:ind w:left="539"/>
              <w:rPr>
                <w:sz w:val="19"/>
              </w:rPr>
            </w:pPr>
            <w:r>
              <w:rPr>
                <w:spacing w:val="-3"/>
                <w:sz w:val="19"/>
              </w:rPr>
              <w:t>101,406</w:t>
            </w:r>
          </w:p>
          <w:p>
            <w:pPr>
              <w:pStyle w:val="TableParagraph"/>
              <w:spacing w:before="87"/>
              <w:ind w:left="539"/>
              <w:rPr>
                <w:sz w:val="19"/>
              </w:rPr>
            </w:pPr>
            <w:r>
              <w:rPr>
                <w:spacing w:val="-3"/>
                <w:sz w:val="19"/>
              </w:rPr>
              <w:t>350,367</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bottom w:val="double" w:sz="1" w:space="0" w:color="FFFFFF"/>
              <w:right w:val="nil"/>
            </w:tcBorders>
            <w:shd w:val="clear" w:color="auto" w:fill="F4F4F4"/>
          </w:tcPr>
          <w:p>
            <w:pPr>
              <w:pStyle w:val="TableParagraph"/>
              <w:spacing w:before="33"/>
              <w:ind w:right="113"/>
              <w:jc w:val="right"/>
              <w:rPr>
                <w:sz w:val="19"/>
              </w:rPr>
            </w:pPr>
            <w:r>
              <w:rPr>
                <w:w w:val="95"/>
                <w:sz w:val="19"/>
              </w:rPr>
              <w:t>49,608</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bottom w:val="double" w:sz="1" w:space="0" w:color="FFFFFF"/>
            </w:tcBorders>
            <w:shd w:val="clear" w:color="auto" w:fill="F4F4F4"/>
          </w:tcPr>
          <w:p>
            <w:pPr>
              <w:pStyle w:val="TableParagraph"/>
              <w:spacing w:before="33"/>
              <w:ind w:right="102"/>
              <w:jc w:val="right"/>
              <w:rPr>
                <w:sz w:val="19"/>
              </w:rPr>
            </w:pPr>
            <w:r>
              <w:rPr>
                <w:w w:val="95"/>
                <w:sz w:val="19"/>
              </w:rPr>
              <w:t>418,812</w:t>
            </w:r>
          </w:p>
        </w:tc>
        <w:tc>
          <w:tcPr>
            <w:tcW w:w="1332" w:type="dxa"/>
            <w:tcBorders>
              <w:bottom w:val="double" w:sz="1" w:space="0" w:color="FFFFFF"/>
              <w:right w:val="nil"/>
            </w:tcBorders>
            <w:shd w:val="clear" w:color="auto" w:fill="F4F4F4"/>
          </w:tcPr>
          <w:p>
            <w:pPr>
              <w:pStyle w:val="TableParagraph"/>
              <w:spacing w:before="33"/>
              <w:ind w:right="112"/>
              <w:jc w:val="right"/>
              <w:rPr>
                <w:sz w:val="19"/>
              </w:rPr>
            </w:pPr>
            <w:r>
              <w:rPr>
                <w:w w:val="95"/>
                <w:sz w:val="19"/>
              </w:rPr>
              <w:t>(267,798)</w:t>
            </w:r>
          </w:p>
        </w:tc>
      </w:tr>
      <w:tr>
        <w:trPr>
          <w:trHeight w:val="285" w:hRule="atLeast"/>
        </w:trPr>
        <w:tc>
          <w:tcPr>
            <w:tcW w:w="7313" w:type="dxa"/>
            <w:vMerge/>
            <w:tcBorders>
              <w:top w:val="nil"/>
              <w:left w:val="nil"/>
            </w:tcBorders>
            <w:shd w:val="clear" w:color="auto" w:fill="FAF9F9"/>
          </w:tcPr>
          <w:p>
            <w:pPr>
              <w:rPr>
                <w:sz w:val="2"/>
                <w:szCs w:val="2"/>
              </w:rPr>
            </w:pPr>
          </w:p>
        </w:tc>
        <w:tc>
          <w:tcPr>
            <w:tcW w:w="1332" w:type="dxa"/>
            <w:vMerge/>
            <w:tcBorders>
              <w:top w:val="nil"/>
              <w:right w:val="nil"/>
            </w:tcBorders>
            <w:shd w:val="clear" w:color="auto" w:fill="FAF9F9"/>
          </w:tcPr>
          <w:p>
            <w:pPr>
              <w:rPr>
                <w:sz w:val="2"/>
                <w:szCs w:val="2"/>
              </w:rPr>
            </w:pP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top w:val="double" w:sz="1" w:space="0" w:color="FFFFFF"/>
              <w:left w:val="nil"/>
              <w:right w:val="nil"/>
            </w:tcBorders>
            <w:shd w:val="clear" w:color="auto" w:fill="FAF9F9"/>
          </w:tcPr>
          <w:p>
            <w:pPr>
              <w:pStyle w:val="TableParagraph"/>
              <w:spacing w:before="33"/>
              <w:ind w:right="113"/>
              <w:jc w:val="right"/>
              <w:rPr>
                <w:sz w:val="19"/>
              </w:rPr>
            </w:pPr>
            <w:r>
              <w:rPr>
                <w:w w:val="90"/>
                <w:sz w:val="19"/>
              </w:rPr>
              <w:t>(6,234)</w:t>
            </w:r>
          </w:p>
        </w:tc>
        <w:tc>
          <w:tcPr>
            <w:tcW w:w="1332" w:type="dxa"/>
            <w:vMerge/>
            <w:tcBorders>
              <w:top w:val="nil"/>
              <w:left w:val="nil"/>
              <w:bottom w:val="single" w:sz="4" w:space="0" w:color="000000"/>
              <w:right w:val="nil"/>
            </w:tcBorders>
            <w:shd w:val="clear" w:color="auto" w:fill="E1E4BB"/>
          </w:tcPr>
          <w:p>
            <w:pPr>
              <w:rPr>
                <w:sz w:val="2"/>
                <w:szCs w:val="2"/>
              </w:rPr>
            </w:pPr>
          </w:p>
        </w:tc>
        <w:tc>
          <w:tcPr>
            <w:tcW w:w="2664" w:type="dxa"/>
            <w:gridSpan w:val="2"/>
            <w:tcBorders>
              <w:top w:val="nil"/>
              <w:left w:val="nil"/>
              <w:bottom w:val="nil"/>
              <w:right w:val="nil"/>
            </w:tcBorders>
            <w:shd w:val="clear" w:color="auto" w:fill="FFFFFF"/>
          </w:tcPr>
          <w:p>
            <w:pPr>
              <w:pStyle w:val="TableParagraph"/>
              <w:tabs>
                <w:tab w:pos="2002" w:val="left" w:leader="none"/>
              </w:tabs>
              <w:spacing w:before="33"/>
              <w:ind w:left="550"/>
              <w:rPr>
                <w:sz w:val="19"/>
              </w:rPr>
            </w:pPr>
            <w:r>
              <w:rPr>
                <w:spacing w:val="-3"/>
                <w:sz w:val="19"/>
              </w:rPr>
              <w:t>345,655</w:t>
              <w:tab/>
              <w:t>(1,522)</w:t>
            </w:r>
          </w:p>
        </w:tc>
      </w:tr>
      <w:tr>
        <w:trPr>
          <w:trHeight w:val="285" w:hRule="atLeast"/>
        </w:trPr>
        <w:tc>
          <w:tcPr>
            <w:tcW w:w="7313" w:type="dxa"/>
            <w:tcBorders>
              <w:left w:val="nil"/>
            </w:tcBorders>
            <w:shd w:val="clear" w:color="auto" w:fill="F4F4F4"/>
          </w:tcPr>
          <w:p>
            <w:pPr>
              <w:pStyle w:val="TableParagraph"/>
              <w:spacing w:before="33"/>
              <w:ind w:left="113"/>
              <w:rPr>
                <w:sz w:val="19"/>
              </w:rPr>
            </w:pPr>
            <w:r>
              <w:rPr>
                <w:sz w:val="19"/>
              </w:rPr>
              <w:t>Other duties</w:t>
            </w:r>
          </w:p>
        </w:tc>
        <w:tc>
          <w:tcPr>
            <w:tcW w:w="1332" w:type="dxa"/>
            <w:tcBorders>
              <w:right w:val="nil"/>
            </w:tcBorders>
            <w:shd w:val="clear" w:color="auto" w:fill="F4F4F4"/>
          </w:tcPr>
          <w:p>
            <w:pPr>
              <w:pStyle w:val="TableParagraph"/>
              <w:spacing w:before="33"/>
              <w:ind w:right="110"/>
              <w:jc w:val="right"/>
              <w:rPr>
                <w:sz w:val="19"/>
              </w:rPr>
            </w:pPr>
            <w:r>
              <w:rPr>
                <w:w w:val="99"/>
                <w:sz w:val="19"/>
              </w:rPr>
              <w:t>1</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right w:val="nil"/>
            </w:tcBorders>
            <w:shd w:val="clear" w:color="auto" w:fill="F4F4F4"/>
          </w:tcPr>
          <w:p>
            <w:pPr>
              <w:pStyle w:val="TableParagraph"/>
              <w:spacing w:before="33"/>
              <w:ind w:right="113"/>
              <w:jc w:val="right"/>
              <w:rPr>
                <w:sz w:val="19"/>
              </w:rPr>
            </w:pPr>
            <w:r>
              <w:rPr>
                <w:w w:val="95"/>
                <w:sz w:val="19"/>
              </w:rPr>
              <w:t>16</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tcBorders>
            <w:shd w:val="clear" w:color="auto" w:fill="F4F4F4"/>
          </w:tcPr>
          <w:p>
            <w:pPr>
              <w:pStyle w:val="TableParagraph"/>
              <w:spacing w:before="33"/>
              <w:ind w:right="99"/>
              <w:jc w:val="right"/>
              <w:rPr>
                <w:sz w:val="19"/>
              </w:rPr>
            </w:pPr>
            <w:r>
              <w:rPr>
                <w:w w:val="99"/>
                <w:sz w:val="19"/>
              </w:rPr>
              <w:t>6</w:t>
            </w:r>
          </w:p>
        </w:tc>
        <w:tc>
          <w:tcPr>
            <w:tcW w:w="1332" w:type="dxa"/>
            <w:tcBorders>
              <w:right w:val="nil"/>
            </w:tcBorders>
            <w:shd w:val="clear" w:color="auto" w:fill="F4F4F4"/>
          </w:tcPr>
          <w:p>
            <w:pPr>
              <w:pStyle w:val="TableParagraph"/>
              <w:spacing w:before="33"/>
              <w:ind w:right="112"/>
              <w:jc w:val="right"/>
              <w:rPr>
                <w:sz w:val="19"/>
              </w:rPr>
            </w:pPr>
            <w:r>
              <w:rPr>
                <w:w w:val="95"/>
                <w:sz w:val="19"/>
              </w:rPr>
              <w:t>11</w:t>
            </w:r>
          </w:p>
        </w:tc>
      </w:tr>
      <w:tr>
        <w:trPr>
          <w:trHeight w:val="285" w:hRule="atLeast"/>
        </w:trPr>
        <w:tc>
          <w:tcPr>
            <w:tcW w:w="7313" w:type="dxa"/>
            <w:tcBorders>
              <w:left w:val="nil"/>
            </w:tcBorders>
            <w:shd w:val="clear" w:color="auto" w:fill="FAF9F9"/>
          </w:tcPr>
          <w:p>
            <w:pPr>
              <w:pStyle w:val="TableParagraph"/>
              <w:spacing w:before="33"/>
              <w:ind w:left="113"/>
              <w:rPr>
                <w:sz w:val="19"/>
              </w:rPr>
            </w:pPr>
            <w:r>
              <w:rPr>
                <w:sz w:val="19"/>
              </w:rPr>
              <w:t>Commonwealth Mirror Taxes</w:t>
            </w:r>
          </w:p>
        </w:tc>
        <w:tc>
          <w:tcPr>
            <w:tcW w:w="1332" w:type="dxa"/>
            <w:tcBorders>
              <w:bottom w:val="single" w:sz="4" w:space="0" w:color="000000"/>
              <w:right w:val="nil"/>
            </w:tcBorders>
            <w:shd w:val="clear" w:color="auto" w:fill="FAF9F9"/>
          </w:tcPr>
          <w:p>
            <w:pPr>
              <w:pStyle w:val="TableParagraph"/>
              <w:spacing w:before="33"/>
              <w:ind w:right="113"/>
              <w:jc w:val="right"/>
              <w:rPr>
                <w:sz w:val="19"/>
              </w:rPr>
            </w:pPr>
            <w:r>
              <w:rPr>
                <w:w w:val="95"/>
                <w:sz w:val="19"/>
              </w:rPr>
              <w:t>45,517</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bottom w:val="single" w:sz="4" w:space="0" w:color="000000"/>
              <w:right w:val="nil"/>
            </w:tcBorders>
            <w:shd w:val="clear" w:color="auto" w:fill="FAF9F9"/>
          </w:tcPr>
          <w:p>
            <w:pPr>
              <w:pStyle w:val="TableParagraph"/>
              <w:spacing w:before="33"/>
              <w:ind w:right="113"/>
              <w:jc w:val="right"/>
              <w:rPr>
                <w:sz w:val="19"/>
              </w:rPr>
            </w:pPr>
            <w:r>
              <w:rPr>
                <w:w w:val="90"/>
                <w:sz w:val="19"/>
              </w:rPr>
              <w:t>(4,857)</w:t>
            </w:r>
          </w:p>
        </w:tc>
        <w:tc>
          <w:tcPr>
            <w:tcW w:w="1332" w:type="dxa"/>
            <w:vMerge/>
            <w:tcBorders>
              <w:top w:val="nil"/>
              <w:left w:val="nil"/>
              <w:bottom w:val="single" w:sz="4" w:space="0" w:color="000000"/>
              <w:right w:val="nil"/>
            </w:tcBorders>
            <w:shd w:val="clear" w:color="auto" w:fill="E1E4BB"/>
          </w:tcPr>
          <w:p>
            <w:pPr>
              <w:rPr>
                <w:sz w:val="2"/>
                <w:szCs w:val="2"/>
              </w:rPr>
            </w:pPr>
          </w:p>
        </w:tc>
        <w:tc>
          <w:tcPr>
            <w:tcW w:w="2664" w:type="dxa"/>
            <w:gridSpan w:val="2"/>
            <w:tcBorders>
              <w:top w:val="nil"/>
              <w:left w:val="nil"/>
              <w:bottom w:val="single" w:sz="4" w:space="0" w:color="000000"/>
              <w:right w:val="nil"/>
            </w:tcBorders>
            <w:shd w:val="clear" w:color="auto" w:fill="FFFFFF"/>
          </w:tcPr>
          <w:p>
            <w:pPr>
              <w:pStyle w:val="TableParagraph"/>
              <w:tabs>
                <w:tab w:pos="2002" w:val="left" w:leader="none"/>
              </w:tabs>
              <w:spacing w:before="33"/>
              <w:ind w:left="653"/>
              <w:rPr>
                <w:sz w:val="19"/>
              </w:rPr>
            </w:pPr>
            <w:r>
              <w:rPr>
                <w:spacing w:val="-3"/>
                <w:sz w:val="19"/>
              </w:rPr>
              <w:t>43,325</w:t>
              <w:tab/>
              <w:t>(2,665)</w:t>
            </w:r>
          </w:p>
        </w:tc>
      </w:tr>
      <w:tr>
        <w:trPr>
          <w:trHeight w:val="285" w:hRule="atLeast"/>
        </w:trPr>
        <w:tc>
          <w:tcPr>
            <w:tcW w:w="7313" w:type="dxa"/>
            <w:vMerge w:val="restart"/>
            <w:tcBorders>
              <w:left w:val="nil"/>
            </w:tcBorders>
            <w:shd w:val="clear" w:color="auto" w:fill="FAF9F9"/>
          </w:tcPr>
          <w:p>
            <w:pPr>
              <w:pStyle w:val="TableParagraph"/>
              <w:spacing w:before="33"/>
              <w:ind w:left="113"/>
              <w:rPr>
                <w:b/>
                <w:sz w:val="19"/>
              </w:rPr>
            </w:pPr>
            <w:r>
              <w:rPr>
                <w:b/>
                <w:sz w:val="19"/>
              </w:rPr>
              <w:t>Total taxation</w:t>
            </w:r>
          </w:p>
        </w:tc>
        <w:tc>
          <w:tcPr>
            <w:tcW w:w="1332" w:type="dxa"/>
            <w:tcBorders>
              <w:top w:val="single" w:sz="4" w:space="0" w:color="000000"/>
              <w:bottom w:val="single" w:sz="4" w:space="0" w:color="000000"/>
              <w:right w:val="nil"/>
            </w:tcBorders>
            <w:shd w:val="clear" w:color="auto" w:fill="F4F4F4"/>
          </w:tcPr>
          <w:p>
            <w:pPr>
              <w:pStyle w:val="TableParagraph"/>
              <w:spacing w:before="33"/>
              <w:ind w:right="113"/>
              <w:jc w:val="right"/>
              <w:rPr>
                <w:b/>
                <w:sz w:val="19"/>
              </w:rPr>
            </w:pPr>
            <w:r>
              <w:rPr>
                <w:b/>
                <w:w w:val="95"/>
                <w:sz w:val="19"/>
              </w:rPr>
              <w:t>7,101,138</w:t>
            </w:r>
          </w:p>
        </w:tc>
        <w:tc>
          <w:tcPr>
            <w:tcW w:w="1332" w:type="dxa"/>
            <w:tcBorders>
              <w:top w:val="single" w:sz="4" w:space="0" w:color="000000"/>
              <w:left w:val="nil"/>
              <w:bottom w:val="single" w:sz="4" w:space="0" w:color="000000"/>
              <w:right w:val="nil"/>
            </w:tcBorders>
            <w:shd w:val="clear" w:color="auto" w:fill="DFE1B8"/>
          </w:tcPr>
          <w:p>
            <w:pPr>
              <w:pStyle w:val="TableParagraph"/>
              <w:spacing w:before="33"/>
              <w:ind w:right="113"/>
              <w:jc w:val="right"/>
              <w:rPr>
                <w:b/>
                <w:sz w:val="19"/>
              </w:rPr>
            </w:pPr>
            <w:r>
              <w:rPr>
                <w:b/>
                <w:w w:val="95"/>
                <w:sz w:val="19"/>
              </w:rPr>
              <w:t>6,799,345</w:t>
            </w:r>
          </w:p>
        </w:tc>
        <w:tc>
          <w:tcPr>
            <w:tcW w:w="1332" w:type="dxa"/>
            <w:tcBorders>
              <w:top w:val="single" w:sz="4" w:space="0" w:color="000000"/>
              <w:left w:val="nil"/>
              <w:bottom w:val="single" w:sz="4" w:space="0" w:color="000000"/>
              <w:right w:val="nil"/>
            </w:tcBorders>
            <w:shd w:val="clear" w:color="auto" w:fill="F4F4F4"/>
          </w:tcPr>
          <w:p>
            <w:pPr>
              <w:pStyle w:val="TableParagraph"/>
              <w:spacing w:before="33"/>
              <w:ind w:right="113"/>
              <w:jc w:val="right"/>
              <w:rPr>
                <w:b/>
                <w:sz w:val="19"/>
              </w:rPr>
            </w:pPr>
            <w:r>
              <w:rPr>
                <w:b/>
                <w:w w:val="95"/>
                <w:sz w:val="19"/>
              </w:rPr>
              <w:t>(301,793)</w:t>
            </w:r>
          </w:p>
        </w:tc>
        <w:tc>
          <w:tcPr>
            <w:tcW w:w="1332" w:type="dxa"/>
            <w:tcBorders>
              <w:top w:val="single" w:sz="4" w:space="0" w:color="000000"/>
              <w:left w:val="nil"/>
              <w:bottom w:val="single" w:sz="4" w:space="0" w:color="000000"/>
              <w:right w:val="nil"/>
            </w:tcBorders>
            <w:shd w:val="clear" w:color="auto" w:fill="DFE1B8"/>
          </w:tcPr>
          <w:p>
            <w:pPr>
              <w:pStyle w:val="TableParagraph"/>
              <w:spacing w:before="33"/>
              <w:ind w:right="112"/>
              <w:jc w:val="right"/>
              <w:rPr>
                <w:b/>
                <w:sz w:val="19"/>
              </w:rPr>
            </w:pPr>
            <w:r>
              <w:rPr>
                <w:b/>
                <w:w w:val="95"/>
                <w:sz w:val="19"/>
              </w:rPr>
              <w:t>6,799,345</w:t>
            </w:r>
          </w:p>
        </w:tc>
        <w:tc>
          <w:tcPr>
            <w:tcW w:w="1332" w:type="dxa"/>
            <w:tcBorders>
              <w:top w:val="single" w:sz="4" w:space="0" w:color="000000"/>
              <w:left w:val="nil"/>
              <w:bottom w:val="single" w:sz="4" w:space="0" w:color="000000"/>
            </w:tcBorders>
            <w:shd w:val="clear" w:color="auto" w:fill="F4F4F4"/>
          </w:tcPr>
          <w:p>
            <w:pPr>
              <w:pStyle w:val="TableParagraph"/>
              <w:spacing w:before="33"/>
              <w:ind w:right="102"/>
              <w:jc w:val="right"/>
              <w:rPr>
                <w:b/>
                <w:sz w:val="19"/>
              </w:rPr>
            </w:pPr>
            <w:r>
              <w:rPr>
                <w:b/>
                <w:w w:val="95"/>
                <w:sz w:val="19"/>
              </w:rPr>
              <w:t>7,315,117</w:t>
            </w:r>
          </w:p>
        </w:tc>
        <w:tc>
          <w:tcPr>
            <w:tcW w:w="1332" w:type="dxa"/>
            <w:tcBorders>
              <w:top w:val="single" w:sz="4" w:space="0" w:color="000000"/>
              <w:bottom w:val="single" w:sz="4" w:space="0" w:color="000000"/>
              <w:right w:val="nil"/>
            </w:tcBorders>
            <w:shd w:val="clear" w:color="auto" w:fill="F4F4F4"/>
          </w:tcPr>
          <w:p>
            <w:pPr>
              <w:pStyle w:val="TableParagraph"/>
              <w:spacing w:before="33"/>
              <w:ind w:right="112"/>
              <w:jc w:val="right"/>
              <w:rPr>
                <w:b/>
                <w:sz w:val="19"/>
              </w:rPr>
            </w:pPr>
            <w:r>
              <w:rPr>
                <w:b/>
                <w:w w:val="95"/>
                <w:sz w:val="19"/>
              </w:rPr>
              <w:t>(515,772)</w:t>
            </w:r>
          </w:p>
        </w:tc>
      </w:tr>
      <w:tr>
        <w:trPr>
          <w:trHeight w:val="285" w:hRule="atLeast"/>
        </w:trPr>
        <w:tc>
          <w:tcPr>
            <w:tcW w:w="7313" w:type="dxa"/>
            <w:vMerge/>
            <w:tcBorders>
              <w:top w:val="nil"/>
              <w:left w:val="nil"/>
            </w:tcBorders>
            <w:shd w:val="clear" w:color="auto" w:fill="FAF9F9"/>
          </w:tcPr>
          <w:p>
            <w:pPr>
              <w:rPr>
                <w:sz w:val="2"/>
                <w:szCs w:val="2"/>
              </w:rPr>
            </w:pPr>
          </w:p>
        </w:tc>
        <w:tc>
          <w:tcPr>
            <w:tcW w:w="1332" w:type="dxa"/>
            <w:tcBorders>
              <w:top w:val="single" w:sz="4" w:space="0" w:color="000000"/>
              <w:right w:val="nil"/>
            </w:tcBorders>
            <w:shd w:val="clear" w:color="auto" w:fill="FAF9F9"/>
          </w:tcPr>
          <w:p>
            <w:pPr>
              <w:pStyle w:val="TableParagraph"/>
              <w:spacing w:before="0"/>
              <w:rPr>
                <w:rFonts w:ascii="Times New Roman"/>
                <w:sz w:val="20"/>
              </w:rPr>
            </w:pPr>
          </w:p>
        </w:tc>
        <w:tc>
          <w:tcPr>
            <w:tcW w:w="1332" w:type="dxa"/>
            <w:vMerge w:val="restart"/>
            <w:tcBorders>
              <w:top w:val="single" w:sz="4" w:space="0" w:color="000000"/>
              <w:left w:val="nil"/>
              <w:bottom w:val="single" w:sz="4" w:space="0" w:color="000000"/>
              <w:right w:val="nil"/>
            </w:tcBorders>
            <w:shd w:val="clear" w:color="auto" w:fill="E1E4BB"/>
          </w:tcPr>
          <w:p>
            <w:pPr>
              <w:pStyle w:val="TableParagraph"/>
              <w:spacing w:before="0"/>
              <w:rPr>
                <w:sz w:val="22"/>
              </w:rPr>
            </w:pPr>
          </w:p>
          <w:p>
            <w:pPr>
              <w:pStyle w:val="TableParagraph"/>
              <w:spacing w:before="0"/>
              <w:rPr>
                <w:sz w:val="22"/>
              </w:rPr>
            </w:pPr>
          </w:p>
          <w:p>
            <w:pPr>
              <w:pStyle w:val="TableParagraph"/>
              <w:spacing w:before="138"/>
              <w:ind w:left="652"/>
              <w:rPr>
                <w:sz w:val="19"/>
              </w:rPr>
            </w:pPr>
            <w:r>
              <w:rPr>
                <w:spacing w:val="-3"/>
                <w:sz w:val="19"/>
              </w:rPr>
              <w:t>40,086</w:t>
            </w:r>
          </w:p>
          <w:p>
            <w:pPr>
              <w:pStyle w:val="TableParagraph"/>
              <w:spacing w:before="87"/>
              <w:ind w:left="652"/>
              <w:rPr>
                <w:sz w:val="19"/>
              </w:rPr>
            </w:pPr>
            <w:r>
              <w:rPr>
                <w:spacing w:val="-3"/>
                <w:sz w:val="19"/>
              </w:rPr>
              <w:t>63,549</w:t>
            </w:r>
          </w:p>
        </w:tc>
        <w:tc>
          <w:tcPr>
            <w:tcW w:w="1332" w:type="dxa"/>
            <w:tcBorders>
              <w:top w:val="single" w:sz="4" w:space="0" w:color="000000"/>
              <w:left w:val="nil"/>
              <w:right w:val="nil"/>
            </w:tcBorders>
            <w:shd w:val="clear" w:color="auto" w:fill="FAF9F9"/>
          </w:tcPr>
          <w:p>
            <w:pPr>
              <w:pStyle w:val="TableParagraph"/>
              <w:spacing w:before="0"/>
              <w:rPr>
                <w:rFonts w:ascii="Times New Roman"/>
                <w:sz w:val="20"/>
              </w:rPr>
            </w:pPr>
          </w:p>
        </w:tc>
        <w:tc>
          <w:tcPr>
            <w:tcW w:w="1332" w:type="dxa"/>
            <w:vMerge w:val="restart"/>
            <w:tcBorders>
              <w:top w:val="single" w:sz="4" w:space="0" w:color="000000"/>
              <w:left w:val="nil"/>
              <w:bottom w:val="single" w:sz="4" w:space="0" w:color="000000"/>
              <w:right w:val="nil"/>
            </w:tcBorders>
            <w:shd w:val="clear" w:color="auto" w:fill="E1E4BB"/>
          </w:tcPr>
          <w:p>
            <w:pPr>
              <w:pStyle w:val="TableParagraph"/>
              <w:spacing w:before="0"/>
              <w:rPr>
                <w:sz w:val="22"/>
              </w:rPr>
            </w:pPr>
          </w:p>
          <w:p>
            <w:pPr>
              <w:pStyle w:val="TableParagraph"/>
              <w:spacing w:before="0"/>
              <w:rPr>
                <w:sz w:val="22"/>
              </w:rPr>
            </w:pPr>
          </w:p>
          <w:p>
            <w:pPr>
              <w:pStyle w:val="TableParagraph"/>
              <w:spacing w:before="138"/>
              <w:ind w:left="653"/>
              <w:rPr>
                <w:sz w:val="19"/>
              </w:rPr>
            </w:pPr>
            <w:r>
              <w:rPr>
                <w:spacing w:val="-3"/>
                <w:sz w:val="19"/>
              </w:rPr>
              <w:t>40,086</w:t>
            </w:r>
          </w:p>
          <w:p>
            <w:pPr>
              <w:pStyle w:val="TableParagraph"/>
              <w:spacing w:before="87"/>
              <w:ind w:left="653"/>
              <w:rPr>
                <w:sz w:val="19"/>
              </w:rPr>
            </w:pPr>
            <w:r>
              <w:rPr>
                <w:spacing w:val="-3"/>
                <w:sz w:val="19"/>
              </w:rPr>
              <w:t>63,549</w:t>
            </w:r>
          </w:p>
        </w:tc>
        <w:tc>
          <w:tcPr>
            <w:tcW w:w="2664" w:type="dxa"/>
            <w:gridSpan w:val="2"/>
            <w:tcBorders>
              <w:top w:val="single" w:sz="4" w:space="0" w:color="000000"/>
              <w:left w:val="nil"/>
              <w:bottom w:val="nil"/>
              <w:right w:val="nil"/>
            </w:tcBorders>
            <w:shd w:val="clear" w:color="auto" w:fill="FFFFFF"/>
          </w:tcPr>
          <w:p>
            <w:pPr>
              <w:pStyle w:val="TableParagraph"/>
              <w:spacing w:before="0"/>
              <w:rPr>
                <w:rFonts w:ascii="Times New Roman"/>
                <w:sz w:val="20"/>
              </w:rPr>
            </w:pPr>
          </w:p>
        </w:tc>
      </w:tr>
      <w:tr>
        <w:trPr>
          <w:trHeight w:val="285" w:hRule="atLeast"/>
        </w:trPr>
        <w:tc>
          <w:tcPr>
            <w:tcW w:w="7313" w:type="dxa"/>
            <w:tcBorders>
              <w:left w:val="nil"/>
            </w:tcBorders>
            <w:shd w:val="clear" w:color="auto" w:fill="F4F4F4"/>
          </w:tcPr>
          <w:p>
            <w:pPr>
              <w:pStyle w:val="TableParagraph"/>
              <w:spacing w:before="33"/>
              <w:ind w:left="113"/>
              <w:rPr>
                <w:i/>
                <w:sz w:val="19"/>
              </w:rPr>
            </w:pPr>
            <w:r>
              <w:rPr>
                <w:i/>
                <w:color w:val="A7BE39"/>
                <w:sz w:val="19"/>
              </w:rPr>
              <w:t>Other revenue</w:t>
            </w:r>
          </w:p>
        </w:tc>
        <w:tc>
          <w:tcPr>
            <w:tcW w:w="1332" w:type="dxa"/>
            <w:tcBorders>
              <w:right w:val="nil"/>
            </w:tcBorders>
            <w:shd w:val="clear" w:color="auto" w:fill="F4F4F4"/>
          </w:tcPr>
          <w:p>
            <w:pPr>
              <w:pStyle w:val="TableParagraph"/>
              <w:spacing w:before="0"/>
              <w:rPr>
                <w:rFonts w:ascii="Times New Roman"/>
                <w:sz w:val="20"/>
              </w:rPr>
            </w:pP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right w:val="nil"/>
            </w:tcBorders>
            <w:shd w:val="clear" w:color="auto" w:fill="F4F4F4"/>
          </w:tcPr>
          <w:p>
            <w:pPr>
              <w:pStyle w:val="TableParagraph"/>
              <w:spacing w:before="0"/>
              <w:rPr>
                <w:rFonts w:ascii="Times New Roman"/>
                <w:sz w:val="20"/>
              </w:rPr>
            </w:pP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tcBorders>
            <w:shd w:val="clear" w:color="auto" w:fill="F4F4F4"/>
          </w:tcPr>
          <w:p>
            <w:pPr>
              <w:pStyle w:val="TableParagraph"/>
              <w:spacing w:before="0"/>
              <w:rPr>
                <w:rFonts w:ascii="Times New Roman"/>
                <w:sz w:val="20"/>
              </w:rPr>
            </w:pPr>
          </w:p>
        </w:tc>
        <w:tc>
          <w:tcPr>
            <w:tcW w:w="1332" w:type="dxa"/>
            <w:tcBorders>
              <w:right w:val="nil"/>
            </w:tcBorders>
            <w:shd w:val="clear" w:color="auto" w:fill="F4F4F4"/>
          </w:tcPr>
          <w:p>
            <w:pPr>
              <w:pStyle w:val="TableParagraph"/>
              <w:spacing w:before="0"/>
              <w:rPr>
                <w:rFonts w:ascii="Times New Roman"/>
                <w:sz w:val="20"/>
              </w:rPr>
            </w:pPr>
          </w:p>
        </w:tc>
      </w:tr>
      <w:tr>
        <w:trPr>
          <w:trHeight w:val="285" w:hRule="atLeast"/>
        </w:trPr>
        <w:tc>
          <w:tcPr>
            <w:tcW w:w="7313" w:type="dxa"/>
            <w:tcBorders>
              <w:left w:val="nil"/>
            </w:tcBorders>
            <w:shd w:val="clear" w:color="auto" w:fill="FAF9F9"/>
          </w:tcPr>
          <w:p>
            <w:pPr>
              <w:pStyle w:val="TableParagraph"/>
              <w:spacing w:before="33"/>
              <w:ind w:left="113"/>
              <w:rPr>
                <w:sz w:val="19"/>
              </w:rPr>
            </w:pPr>
            <w:r>
              <w:rPr>
                <w:sz w:val="19"/>
              </w:rPr>
              <w:t>Office lease rental revenue</w:t>
            </w:r>
          </w:p>
        </w:tc>
        <w:tc>
          <w:tcPr>
            <w:tcW w:w="1332" w:type="dxa"/>
            <w:tcBorders>
              <w:right w:val="nil"/>
            </w:tcBorders>
            <w:shd w:val="clear" w:color="auto" w:fill="FAF9F9"/>
          </w:tcPr>
          <w:p>
            <w:pPr>
              <w:pStyle w:val="TableParagraph"/>
              <w:spacing w:before="33"/>
              <w:ind w:right="113"/>
              <w:jc w:val="right"/>
              <w:rPr>
                <w:sz w:val="19"/>
              </w:rPr>
            </w:pPr>
            <w:r>
              <w:rPr>
                <w:w w:val="95"/>
                <w:sz w:val="19"/>
              </w:rPr>
              <w:t>39,000</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right w:val="nil"/>
            </w:tcBorders>
            <w:shd w:val="clear" w:color="auto" w:fill="FAF9F9"/>
          </w:tcPr>
          <w:p>
            <w:pPr>
              <w:pStyle w:val="TableParagraph"/>
              <w:spacing w:before="33"/>
              <w:ind w:right="113"/>
              <w:jc w:val="right"/>
              <w:rPr>
                <w:sz w:val="19"/>
              </w:rPr>
            </w:pPr>
            <w:r>
              <w:rPr>
                <w:w w:val="95"/>
                <w:sz w:val="19"/>
              </w:rPr>
              <w:t>1,086</w:t>
            </w:r>
          </w:p>
        </w:tc>
        <w:tc>
          <w:tcPr>
            <w:tcW w:w="1332" w:type="dxa"/>
            <w:vMerge/>
            <w:tcBorders>
              <w:top w:val="nil"/>
              <w:left w:val="nil"/>
              <w:bottom w:val="single" w:sz="4" w:space="0" w:color="000000"/>
              <w:right w:val="nil"/>
            </w:tcBorders>
            <w:shd w:val="clear" w:color="auto" w:fill="E1E4BB"/>
          </w:tcPr>
          <w:p>
            <w:pPr>
              <w:rPr>
                <w:sz w:val="2"/>
                <w:szCs w:val="2"/>
              </w:rPr>
            </w:pPr>
          </w:p>
        </w:tc>
        <w:tc>
          <w:tcPr>
            <w:tcW w:w="2664" w:type="dxa"/>
            <w:gridSpan w:val="2"/>
            <w:tcBorders>
              <w:top w:val="nil"/>
              <w:left w:val="nil"/>
              <w:bottom w:val="nil"/>
              <w:right w:val="nil"/>
            </w:tcBorders>
            <w:shd w:val="clear" w:color="auto" w:fill="FFFFFF"/>
          </w:tcPr>
          <w:p>
            <w:pPr>
              <w:pStyle w:val="TableParagraph"/>
              <w:tabs>
                <w:tab w:pos="2002" w:val="left" w:leader="none"/>
              </w:tabs>
              <w:spacing w:before="33"/>
              <w:ind w:left="653"/>
              <w:rPr>
                <w:sz w:val="19"/>
              </w:rPr>
            </w:pPr>
            <w:r>
              <w:rPr>
                <w:spacing w:val="-3"/>
                <w:sz w:val="19"/>
              </w:rPr>
              <w:t>41,623</w:t>
              <w:tab/>
              <w:t>(1,537)</w:t>
            </w:r>
          </w:p>
        </w:tc>
      </w:tr>
      <w:tr>
        <w:trPr>
          <w:trHeight w:val="285" w:hRule="atLeast"/>
        </w:trPr>
        <w:tc>
          <w:tcPr>
            <w:tcW w:w="7313" w:type="dxa"/>
            <w:vMerge w:val="restart"/>
            <w:tcBorders>
              <w:left w:val="nil"/>
            </w:tcBorders>
            <w:shd w:val="clear" w:color="auto" w:fill="FAF9F9"/>
          </w:tcPr>
          <w:p>
            <w:pPr>
              <w:pStyle w:val="TableParagraph"/>
              <w:spacing w:before="33"/>
              <w:ind w:left="113"/>
              <w:rPr>
                <w:sz w:val="19"/>
              </w:rPr>
            </w:pPr>
            <w:r>
              <w:rPr>
                <w:sz w:val="19"/>
              </w:rPr>
              <w:t>Other income</w:t>
            </w:r>
          </w:p>
          <w:p>
            <w:pPr>
              <w:pStyle w:val="TableParagraph"/>
              <w:spacing w:before="87"/>
              <w:ind w:left="113"/>
              <w:rPr>
                <w:b/>
                <w:sz w:val="19"/>
              </w:rPr>
            </w:pPr>
            <w:r>
              <w:rPr>
                <w:b/>
                <w:sz w:val="19"/>
              </w:rPr>
              <w:t>Total other revenue</w:t>
            </w:r>
          </w:p>
        </w:tc>
        <w:tc>
          <w:tcPr>
            <w:tcW w:w="1332" w:type="dxa"/>
            <w:tcBorders>
              <w:bottom w:val="single" w:sz="4" w:space="0" w:color="000000"/>
              <w:right w:val="nil"/>
            </w:tcBorders>
            <w:shd w:val="clear" w:color="auto" w:fill="F4F4F4"/>
          </w:tcPr>
          <w:p>
            <w:pPr>
              <w:pStyle w:val="TableParagraph"/>
              <w:spacing w:before="33"/>
              <w:ind w:right="113"/>
              <w:jc w:val="right"/>
              <w:rPr>
                <w:sz w:val="19"/>
              </w:rPr>
            </w:pPr>
            <w:r>
              <w:rPr>
                <w:w w:val="95"/>
                <w:sz w:val="19"/>
              </w:rPr>
              <w:t>65,331</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bottom w:val="single" w:sz="4" w:space="0" w:color="000000"/>
              <w:right w:val="nil"/>
            </w:tcBorders>
            <w:shd w:val="clear" w:color="auto" w:fill="F4F4F4"/>
          </w:tcPr>
          <w:p>
            <w:pPr>
              <w:pStyle w:val="TableParagraph"/>
              <w:spacing w:before="33"/>
              <w:ind w:right="113"/>
              <w:jc w:val="right"/>
              <w:rPr>
                <w:sz w:val="19"/>
              </w:rPr>
            </w:pPr>
            <w:r>
              <w:rPr>
                <w:w w:val="90"/>
                <w:sz w:val="19"/>
              </w:rPr>
              <w:t>(1,782)</w:t>
            </w:r>
          </w:p>
        </w:tc>
        <w:tc>
          <w:tcPr>
            <w:tcW w:w="1332" w:type="dxa"/>
            <w:vMerge/>
            <w:tcBorders>
              <w:top w:val="nil"/>
              <w:left w:val="nil"/>
              <w:bottom w:val="single" w:sz="4" w:space="0" w:color="000000"/>
              <w:right w:val="nil"/>
            </w:tcBorders>
            <w:shd w:val="clear" w:color="auto" w:fill="E1E4BB"/>
          </w:tcPr>
          <w:p>
            <w:pPr>
              <w:rPr>
                <w:sz w:val="2"/>
                <w:szCs w:val="2"/>
              </w:rPr>
            </w:pPr>
          </w:p>
        </w:tc>
        <w:tc>
          <w:tcPr>
            <w:tcW w:w="1332" w:type="dxa"/>
            <w:tcBorders>
              <w:left w:val="nil"/>
              <w:bottom w:val="single" w:sz="4" w:space="0" w:color="000000"/>
            </w:tcBorders>
            <w:shd w:val="clear" w:color="auto" w:fill="F4F4F4"/>
          </w:tcPr>
          <w:p>
            <w:pPr>
              <w:pStyle w:val="TableParagraph"/>
              <w:spacing w:before="33"/>
              <w:ind w:right="102"/>
              <w:jc w:val="right"/>
              <w:rPr>
                <w:sz w:val="19"/>
              </w:rPr>
            </w:pPr>
            <w:r>
              <w:rPr>
                <w:w w:val="95"/>
                <w:sz w:val="19"/>
              </w:rPr>
              <w:t>63,043</w:t>
            </w:r>
          </w:p>
        </w:tc>
        <w:tc>
          <w:tcPr>
            <w:tcW w:w="1332" w:type="dxa"/>
            <w:tcBorders>
              <w:bottom w:val="single" w:sz="4" w:space="0" w:color="000000"/>
              <w:right w:val="nil"/>
            </w:tcBorders>
            <w:shd w:val="clear" w:color="auto" w:fill="F4F4F4"/>
          </w:tcPr>
          <w:p>
            <w:pPr>
              <w:pStyle w:val="TableParagraph"/>
              <w:spacing w:before="33"/>
              <w:ind w:right="112"/>
              <w:jc w:val="right"/>
              <w:rPr>
                <w:sz w:val="19"/>
              </w:rPr>
            </w:pPr>
            <w:r>
              <w:rPr>
                <w:w w:val="95"/>
                <w:sz w:val="19"/>
              </w:rPr>
              <w:t>506</w:t>
            </w:r>
          </w:p>
        </w:tc>
      </w:tr>
      <w:tr>
        <w:trPr>
          <w:trHeight w:val="285" w:hRule="atLeast"/>
        </w:trPr>
        <w:tc>
          <w:tcPr>
            <w:tcW w:w="7313" w:type="dxa"/>
            <w:vMerge/>
            <w:tcBorders>
              <w:top w:val="nil"/>
              <w:left w:val="nil"/>
            </w:tcBorders>
            <w:shd w:val="clear" w:color="auto" w:fill="FAF9F9"/>
          </w:tcPr>
          <w:p>
            <w:pPr>
              <w:rPr>
                <w:sz w:val="2"/>
                <w:szCs w:val="2"/>
              </w:rPr>
            </w:pPr>
          </w:p>
        </w:tc>
        <w:tc>
          <w:tcPr>
            <w:tcW w:w="1332" w:type="dxa"/>
            <w:tcBorders>
              <w:top w:val="single" w:sz="4" w:space="0" w:color="000000"/>
              <w:bottom w:val="single" w:sz="4" w:space="0" w:color="000000"/>
              <w:right w:val="nil"/>
            </w:tcBorders>
            <w:shd w:val="clear" w:color="auto" w:fill="FAF9F9"/>
          </w:tcPr>
          <w:p>
            <w:pPr>
              <w:pStyle w:val="TableParagraph"/>
              <w:spacing w:before="33"/>
              <w:ind w:right="113"/>
              <w:jc w:val="right"/>
              <w:rPr>
                <w:b/>
                <w:sz w:val="19"/>
              </w:rPr>
            </w:pPr>
            <w:r>
              <w:rPr>
                <w:b/>
                <w:w w:val="95"/>
                <w:sz w:val="19"/>
              </w:rPr>
              <w:t>104,331</w:t>
            </w:r>
          </w:p>
        </w:tc>
        <w:tc>
          <w:tcPr>
            <w:tcW w:w="1332" w:type="dxa"/>
            <w:tcBorders>
              <w:top w:val="single" w:sz="4" w:space="0" w:color="000000"/>
              <w:left w:val="nil"/>
              <w:bottom w:val="single" w:sz="4" w:space="0" w:color="000000"/>
              <w:right w:val="nil"/>
            </w:tcBorders>
            <w:shd w:val="clear" w:color="auto" w:fill="E1E4BB"/>
          </w:tcPr>
          <w:p>
            <w:pPr>
              <w:pStyle w:val="TableParagraph"/>
              <w:spacing w:before="33"/>
              <w:ind w:right="113"/>
              <w:jc w:val="right"/>
              <w:rPr>
                <w:b/>
                <w:sz w:val="19"/>
              </w:rPr>
            </w:pPr>
            <w:r>
              <w:rPr>
                <w:b/>
                <w:w w:val="95"/>
                <w:sz w:val="19"/>
              </w:rPr>
              <w:t>103,635</w:t>
            </w:r>
          </w:p>
        </w:tc>
        <w:tc>
          <w:tcPr>
            <w:tcW w:w="1332" w:type="dxa"/>
            <w:tcBorders>
              <w:top w:val="single" w:sz="4" w:space="0" w:color="000000"/>
              <w:left w:val="nil"/>
              <w:bottom w:val="single" w:sz="4" w:space="0" w:color="000000"/>
              <w:right w:val="nil"/>
            </w:tcBorders>
            <w:shd w:val="clear" w:color="auto" w:fill="FAF9F9"/>
          </w:tcPr>
          <w:p>
            <w:pPr>
              <w:pStyle w:val="TableParagraph"/>
              <w:spacing w:before="33"/>
              <w:ind w:right="113"/>
              <w:jc w:val="right"/>
              <w:rPr>
                <w:b/>
                <w:sz w:val="19"/>
              </w:rPr>
            </w:pPr>
            <w:r>
              <w:rPr>
                <w:b/>
                <w:w w:val="95"/>
                <w:sz w:val="19"/>
              </w:rPr>
              <w:t>(696)</w:t>
            </w:r>
          </w:p>
        </w:tc>
        <w:tc>
          <w:tcPr>
            <w:tcW w:w="1332" w:type="dxa"/>
            <w:tcBorders>
              <w:top w:val="single" w:sz="4" w:space="0" w:color="000000"/>
              <w:left w:val="nil"/>
              <w:bottom w:val="single" w:sz="4" w:space="0" w:color="000000"/>
              <w:right w:val="nil"/>
            </w:tcBorders>
            <w:shd w:val="clear" w:color="auto" w:fill="E1E4BB"/>
          </w:tcPr>
          <w:p>
            <w:pPr>
              <w:pStyle w:val="TableParagraph"/>
              <w:spacing w:before="33"/>
              <w:ind w:right="112"/>
              <w:jc w:val="right"/>
              <w:rPr>
                <w:b/>
                <w:sz w:val="19"/>
              </w:rPr>
            </w:pPr>
            <w:r>
              <w:rPr>
                <w:b/>
                <w:w w:val="95"/>
                <w:sz w:val="19"/>
              </w:rPr>
              <w:t>103,635</w:t>
            </w:r>
          </w:p>
        </w:tc>
        <w:tc>
          <w:tcPr>
            <w:tcW w:w="2664" w:type="dxa"/>
            <w:gridSpan w:val="2"/>
            <w:tcBorders>
              <w:top w:val="single" w:sz="4" w:space="0" w:color="000000"/>
              <w:left w:val="nil"/>
              <w:bottom w:val="single" w:sz="4" w:space="0" w:color="000000"/>
              <w:right w:val="nil"/>
            </w:tcBorders>
            <w:shd w:val="clear" w:color="auto" w:fill="FFFFFF"/>
          </w:tcPr>
          <w:p>
            <w:pPr>
              <w:pStyle w:val="TableParagraph"/>
              <w:tabs>
                <w:tab w:pos="1981" w:val="left" w:leader="none"/>
              </w:tabs>
              <w:spacing w:before="33"/>
              <w:ind w:left="550"/>
              <w:rPr>
                <w:b/>
                <w:sz w:val="19"/>
              </w:rPr>
            </w:pPr>
            <w:r>
              <w:rPr>
                <w:b/>
                <w:spacing w:val="-3"/>
                <w:sz w:val="19"/>
              </w:rPr>
              <w:t>104,666</w:t>
              <w:tab/>
              <w:t>(1,031)</w:t>
            </w:r>
          </w:p>
        </w:tc>
      </w:tr>
    </w:tbl>
    <w:p>
      <w:pPr>
        <w:spacing w:after="0"/>
        <w:rPr>
          <w:sz w:val="19"/>
        </w:rPr>
        <w:sectPr>
          <w:type w:val="continuous"/>
          <w:pgSz w:w="16840" w:h="11910" w:orient="landscape"/>
          <w:pgMar w:top="0" w:bottom="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rPr>
          <w:sz w:val="20"/>
        </w:rPr>
      </w:pPr>
    </w:p>
    <w:p>
      <w:pPr>
        <w:spacing w:after="0"/>
        <w:rPr>
          <w:sz w:val="20"/>
        </w:rPr>
        <w:sectPr>
          <w:footerReference w:type="default" r:id="rId190"/>
          <w:pgSz w:w="16840" w:h="11910" w:orient="landscape"/>
          <w:pgMar w:footer="448" w:header="0" w:top="0" w:bottom="640" w:left="0" w:right="0"/>
        </w:sectPr>
      </w:pPr>
    </w:p>
    <w:p>
      <w:pPr>
        <w:pStyle w:val="Heading2"/>
        <w:spacing w:before="333"/>
      </w:pPr>
      <w:r>
        <w:rPr>
          <w:color w:val="6F2770"/>
          <w:spacing w:val="-20"/>
          <w:w w:val="95"/>
        </w:rPr>
        <w:t>Summary</w:t>
      </w:r>
      <w:r>
        <w:rPr>
          <w:color w:val="6F2770"/>
          <w:spacing w:val="-72"/>
          <w:w w:val="95"/>
        </w:rPr>
        <w:t> </w:t>
      </w:r>
      <w:r>
        <w:rPr>
          <w:color w:val="6F2770"/>
          <w:spacing w:val="-19"/>
          <w:w w:val="95"/>
        </w:rPr>
        <w:t>of</w:t>
      </w:r>
      <w:r>
        <w:rPr>
          <w:color w:val="6F2770"/>
          <w:spacing w:val="-71"/>
          <w:w w:val="95"/>
        </w:rPr>
        <w:t> </w:t>
      </w:r>
      <w:r>
        <w:rPr>
          <w:color w:val="6F2770"/>
          <w:spacing w:val="-29"/>
          <w:w w:val="95"/>
        </w:rPr>
        <w:t>Consolidated</w:t>
      </w:r>
      <w:r>
        <w:rPr>
          <w:color w:val="6F2770"/>
          <w:spacing w:val="-71"/>
          <w:w w:val="95"/>
        </w:rPr>
        <w:t> </w:t>
      </w:r>
      <w:r>
        <w:rPr>
          <w:color w:val="6F2770"/>
          <w:spacing w:val="-26"/>
          <w:w w:val="95"/>
        </w:rPr>
        <w:t>Account</w:t>
      </w:r>
      <w:r>
        <w:rPr>
          <w:color w:val="6F2770"/>
          <w:spacing w:val="-71"/>
          <w:w w:val="95"/>
        </w:rPr>
        <w:t> </w:t>
      </w:r>
      <w:r>
        <w:rPr>
          <w:color w:val="6F2770"/>
          <w:spacing w:val="-28"/>
          <w:w w:val="95"/>
        </w:rPr>
        <w:t>Appropriations</w:t>
      </w:r>
      <w:r>
        <w:rPr>
          <w:color w:val="6F2770"/>
          <w:spacing w:val="-71"/>
          <w:w w:val="95"/>
        </w:rPr>
        <w:t> </w:t>
      </w:r>
      <w:r>
        <w:rPr>
          <w:color w:val="6F2770"/>
          <w:spacing w:val="-18"/>
          <w:w w:val="95"/>
        </w:rPr>
        <w:t>and</w:t>
      </w:r>
      <w:r>
        <w:rPr>
          <w:color w:val="6F2770"/>
          <w:spacing w:val="-71"/>
          <w:w w:val="95"/>
        </w:rPr>
        <w:t> </w:t>
      </w:r>
      <w:r>
        <w:rPr>
          <w:color w:val="6F2770"/>
          <w:spacing w:val="-24"/>
          <w:w w:val="95"/>
        </w:rPr>
        <w:t>Income</w:t>
      </w:r>
      <w:r>
        <w:rPr>
          <w:color w:val="6F2770"/>
          <w:spacing w:val="-72"/>
          <w:w w:val="95"/>
        </w:rPr>
        <w:t> </w:t>
      </w:r>
      <w:r>
        <w:rPr>
          <w:color w:val="6F2770"/>
          <w:spacing w:val="-30"/>
          <w:w w:val="95"/>
        </w:rPr>
        <w:t>Estimates</w:t>
      </w:r>
    </w:p>
    <w:p>
      <w:pPr>
        <w:pStyle w:val="Heading4"/>
        <w:spacing w:before="28"/>
      </w:pPr>
      <w:r>
        <w:rPr>
          <w:color w:val="A7BE39"/>
        </w:rPr>
        <w:t>For the year ended 30 June 2017</w:t>
      </w:r>
    </w:p>
    <w:p>
      <w:pPr>
        <w:pStyle w:val="BodyText"/>
        <w:spacing w:before="3"/>
      </w:pPr>
      <w:r>
        <w:rPr/>
        <w:br w:type="column"/>
      </w:r>
      <w:r>
        <w:rPr/>
      </w:r>
    </w:p>
    <w:p>
      <w:pPr>
        <w:spacing w:line="208" w:lineRule="auto" w:before="0"/>
        <w:ind w:left="396" w:right="660" w:hanging="137"/>
        <w:jc w:val="left"/>
        <w:rPr>
          <w:sz w:val="16"/>
        </w:rPr>
      </w:pPr>
      <w:r>
        <w:rPr/>
        <w:pict>
          <v:group style="position:absolute;margin-left:0pt;margin-top:-68.580612pt;width:120.3pt;height:42.55pt;mso-position-horizontal-relative:page;mso-position-vertical-relative:paragraph;z-index:12496" coordorigin="0,-1372" coordsize="2406,851">
            <v:rect style="position:absolute;left:0;top:-1372;width:2406;height:851" filled="true" fillcolor="#aebd37" stroked="false">
              <v:fill type="solid"/>
            </v:rect>
            <v:shape style="position:absolute;left:0;top:-1372;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68.580612pt;width:360.85pt;height:42.55pt;mso-position-horizontal-relative:page;mso-position-vertical-relative:paragraph;z-index:12592" coordorigin="9622,-1372" coordsize="7217,851">
            <v:rect style="position:absolute;left:14432;top:-1372;width:2406;height:851" filled="true" fillcolor="#aebd37" stroked="false">
              <v:fill type="solid"/>
            </v:rect>
            <v:shape style="position:absolute;left:14432;top:-1372;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72;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372;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FFFFFF"/>
          <w:w w:val="95"/>
          <w:sz w:val="16"/>
        </w:rPr>
        <w:t>previous </w:t>
      </w:r>
      <w:r>
        <w:rPr>
          <w:color w:val="FFFFFF"/>
          <w:sz w:val="16"/>
        </w:rPr>
        <w:t>view</w:t>
      </w:r>
    </w:p>
    <w:p>
      <w:pPr>
        <w:spacing w:after="0" w:line="208" w:lineRule="auto"/>
        <w:jc w:val="left"/>
        <w:rPr>
          <w:sz w:val="16"/>
        </w:rPr>
        <w:sectPr>
          <w:type w:val="continuous"/>
          <w:pgSz w:w="16840" w:h="11910" w:orient="landscape"/>
          <w:pgMar w:top="0" w:bottom="0" w:left="0" w:right="0"/>
          <w:cols w:num="2" w:equalWidth="0">
            <w:col w:w="15286" w:space="40"/>
            <w:col w:w="1514"/>
          </w:cols>
        </w:sectPr>
      </w:pPr>
    </w:p>
    <w:p>
      <w:pPr>
        <w:pStyle w:val="BodyText"/>
        <w:spacing w:before="9"/>
        <w:rPr>
          <w:sz w:val="4"/>
        </w:rPr>
      </w:pPr>
      <w:r>
        <w:rPr/>
        <w:pict>
          <v:group style="position:absolute;margin-left:763.172119pt;margin-top:53.780003pt;width:61.1pt;height:45.2pt;mso-position-horizontal-relative:page;mso-position-vertical-relative:page;z-index:-801184" coordorigin="15263,1076" coordsize="1222,904">
            <v:shape style="position:absolute;left:15424;top:1075;width:900;height:904" coordorigin="15424,1076" coordsize="900,904" path="m15874,1076l15424,1526,15424,1529,15874,1979,16324,1529,16324,1526,15874,1076xe" filled="true" fillcolor="#c4cd71" stroked="false">
              <v:path arrowok="t"/>
              <v:fill type="solid"/>
            </v:shape>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shape style="position:absolute;left:15263;top:1366;width:161;height:322" type="#_x0000_t75" stroked="false">
              <v:imagedata r:id="rId16" o:title=""/>
            </v:shape>
            <v:shape style="position:absolute;left:16324;top:1366;width:161;height:322" type="#_x0000_t75" stroked="false">
              <v:imagedata r:id="rId11" o:title=""/>
            </v:shape>
            <w10:wrap type="none"/>
          </v:group>
        </w:pic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34"/>
        <w:gridCol w:w="1162"/>
        <w:gridCol w:w="1162"/>
        <w:gridCol w:w="1162"/>
        <w:gridCol w:w="1162"/>
        <w:gridCol w:w="1162"/>
        <w:gridCol w:w="1162"/>
      </w:tblGrid>
      <w:tr>
        <w:trPr>
          <w:trHeight w:val="710" w:hRule="atLeast"/>
        </w:trPr>
        <w:tc>
          <w:tcPr>
            <w:tcW w:w="9496" w:type="dxa"/>
            <w:gridSpan w:val="2"/>
            <w:shd w:val="clear" w:color="auto" w:fill="783A79"/>
          </w:tcPr>
          <w:p>
            <w:pPr>
              <w:pStyle w:val="TableParagraph"/>
              <w:spacing w:line="209" w:lineRule="exact" w:before="47"/>
              <w:ind w:right="111"/>
              <w:jc w:val="right"/>
              <w:rPr>
                <w:b/>
                <w:sz w:val="19"/>
              </w:rPr>
            </w:pPr>
            <w:r>
              <w:rPr>
                <w:b/>
                <w:color w:val="FFFFFF"/>
                <w:w w:val="95"/>
                <w:sz w:val="19"/>
              </w:rPr>
              <w:t>2017</w:t>
            </w:r>
          </w:p>
          <w:p>
            <w:pPr>
              <w:pStyle w:val="TableParagraph"/>
              <w:spacing w:line="200" w:lineRule="exact" w:before="0"/>
              <w:ind w:right="111"/>
              <w:jc w:val="right"/>
              <w:rPr>
                <w:b/>
                <w:sz w:val="19"/>
              </w:rPr>
            </w:pPr>
            <w:r>
              <w:rPr>
                <w:b/>
                <w:color w:val="FFFFFF"/>
                <w:sz w:val="19"/>
              </w:rPr>
              <w:t>Estimate</w:t>
            </w:r>
          </w:p>
          <w:p>
            <w:pPr>
              <w:pStyle w:val="TableParagraph"/>
              <w:spacing w:line="209" w:lineRule="exact" w:before="0"/>
              <w:ind w:right="111"/>
              <w:jc w:val="right"/>
              <w:rPr>
                <w:b/>
                <w:sz w:val="19"/>
              </w:rPr>
            </w:pPr>
            <w:r>
              <w:rPr>
                <w:b/>
                <w:color w:val="FFFFFF"/>
                <w:w w:val="95"/>
                <w:sz w:val="19"/>
              </w:rPr>
              <w:t>$000</w:t>
            </w:r>
          </w:p>
        </w:tc>
        <w:tc>
          <w:tcPr>
            <w:tcW w:w="1162" w:type="dxa"/>
            <w:shd w:val="clear" w:color="auto" w:fill="783A79"/>
          </w:tcPr>
          <w:p>
            <w:pPr>
              <w:pStyle w:val="TableParagraph"/>
              <w:spacing w:line="209" w:lineRule="exact" w:before="47"/>
              <w:ind w:left="603" w:right="90"/>
              <w:jc w:val="center"/>
              <w:rPr>
                <w:b/>
                <w:sz w:val="19"/>
              </w:rPr>
            </w:pPr>
            <w:r>
              <w:rPr>
                <w:b/>
                <w:color w:val="FFFFFF"/>
                <w:sz w:val="19"/>
              </w:rPr>
              <w:t>2017</w:t>
            </w:r>
          </w:p>
          <w:p>
            <w:pPr>
              <w:pStyle w:val="TableParagraph"/>
              <w:spacing w:line="200" w:lineRule="exact" w:before="0"/>
              <w:ind w:left="448" w:right="90"/>
              <w:jc w:val="center"/>
              <w:rPr>
                <w:b/>
                <w:sz w:val="19"/>
              </w:rPr>
            </w:pPr>
            <w:r>
              <w:rPr>
                <w:b/>
                <w:color w:val="FFFFFF"/>
                <w:sz w:val="19"/>
              </w:rPr>
              <w:t>Actual</w:t>
            </w:r>
          </w:p>
          <w:p>
            <w:pPr>
              <w:pStyle w:val="TableParagraph"/>
              <w:spacing w:line="209" w:lineRule="exact" w:before="0"/>
              <w:ind w:left="603" w:right="90"/>
              <w:jc w:val="center"/>
              <w:rPr>
                <w:b/>
                <w:sz w:val="19"/>
              </w:rPr>
            </w:pPr>
            <w:r>
              <w:rPr>
                <w:b/>
                <w:color w:val="FFFFFF"/>
                <w:sz w:val="19"/>
              </w:rPr>
              <w:t>$000</w:t>
            </w:r>
          </w:p>
        </w:tc>
        <w:tc>
          <w:tcPr>
            <w:tcW w:w="1162" w:type="dxa"/>
            <w:shd w:val="clear" w:color="auto" w:fill="783A79"/>
          </w:tcPr>
          <w:p>
            <w:pPr>
              <w:pStyle w:val="TableParagraph"/>
              <w:spacing w:before="48"/>
              <w:ind w:left="268"/>
              <w:rPr>
                <w:b/>
                <w:sz w:val="19"/>
              </w:rPr>
            </w:pPr>
            <w:r>
              <w:rPr>
                <w:b/>
                <w:color w:val="FFFFFF"/>
                <w:sz w:val="19"/>
              </w:rPr>
              <w:t>Variance</w:t>
            </w:r>
          </w:p>
          <w:p>
            <w:pPr>
              <w:pStyle w:val="TableParagraph"/>
              <w:spacing w:before="181"/>
              <w:ind w:left="626"/>
              <w:rPr>
                <w:b/>
                <w:sz w:val="19"/>
              </w:rPr>
            </w:pPr>
            <w:r>
              <w:rPr>
                <w:b/>
                <w:color w:val="FFFFFF"/>
                <w:sz w:val="19"/>
              </w:rPr>
              <w:t>$000</w:t>
            </w:r>
          </w:p>
        </w:tc>
        <w:tc>
          <w:tcPr>
            <w:tcW w:w="1162" w:type="dxa"/>
            <w:shd w:val="clear" w:color="auto" w:fill="783A79"/>
          </w:tcPr>
          <w:p>
            <w:pPr>
              <w:pStyle w:val="TableParagraph"/>
              <w:spacing w:line="209" w:lineRule="exact" w:before="48"/>
              <w:ind w:left="604" w:right="90"/>
              <w:jc w:val="center"/>
              <w:rPr>
                <w:b/>
                <w:sz w:val="19"/>
              </w:rPr>
            </w:pPr>
            <w:r>
              <w:rPr>
                <w:b/>
                <w:color w:val="FFFFFF"/>
                <w:sz w:val="19"/>
              </w:rPr>
              <w:t>2017</w:t>
            </w:r>
          </w:p>
          <w:p>
            <w:pPr>
              <w:pStyle w:val="TableParagraph"/>
              <w:spacing w:line="200" w:lineRule="exact" w:before="0"/>
              <w:ind w:left="449" w:right="90"/>
              <w:jc w:val="center"/>
              <w:rPr>
                <w:b/>
                <w:sz w:val="19"/>
              </w:rPr>
            </w:pPr>
            <w:r>
              <w:rPr>
                <w:b/>
                <w:color w:val="FFFFFF"/>
                <w:sz w:val="19"/>
              </w:rPr>
              <w:t>Actual</w:t>
            </w:r>
          </w:p>
          <w:p>
            <w:pPr>
              <w:pStyle w:val="TableParagraph"/>
              <w:spacing w:line="209" w:lineRule="exact" w:before="0"/>
              <w:ind w:left="604" w:right="90"/>
              <w:jc w:val="center"/>
              <w:rPr>
                <w:b/>
                <w:sz w:val="19"/>
              </w:rPr>
            </w:pPr>
            <w:r>
              <w:rPr>
                <w:b/>
                <w:color w:val="FFFFFF"/>
                <w:sz w:val="19"/>
              </w:rPr>
              <w:t>$000</w:t>
            </w:r>
          </w:p>
        </w:tc>
        <w:tc>
          <w:tcPr>
            <w:tcW w:w="1162" w:type="dxa"/>
            <w:shd w:val="clear" w:color="auto" w:fill="783A79"/>
          </w:tcPr>
          <w:p>
            <w:pPr>
              <w:pStyle w:val="TableParagraph"/>
              <w:spacing w:line="209" w:lineRule="exact" w:before="48"/>
              <w:ind w:left="604" w:right="90"/>
              <w:jc w:val="center"/>
              <w:rPr>
                <w:b/>
                <w:sz w:val="19"/>
              </w:rPr>
            </w:pPr>
            <w:r>
              <w:rPr>
                <w:b/>
                <w:color w:val="FFFFFF"/>
                <w:sz w:val="19"/>
              </w:rPr>
              <w:t>2016</w:t>
            </w:r>
          </w:p>
          <w:p>
            <w:pPr>
              <w:pStyle w:val="TableParagraph"/>
              <w:spacing w:line="200" w:lineRule="exact" w:before="0"/>
              <w:ind w:left="449" w:right="89"/>
              <w:jc w:val="center"/>
              <w:rPr>
                <w:b/>
                <w:sz w:val="19"/>
              </w:rPr>
            </w:pPr>
            <w:r>
              <w:rPr>
                <w:b/>
                <w:color w:val="FFFFFF"/>
                <w:sz w:val="19"/>
              </w:rPr>
              <w:t>Actual</w:t>
            </w:r>
          </w:p>
          <w:p>
            <w:pPr>
              <w:pStyle w:val="TableParagraph"/>
              <w:spacing w:line="209" w:lineRule="exact" w:before="0"/>
              <w:ind w:left="604" w:right="90"/>
              <w:jc w:val="center"/>
              <w:rPr>
                <w:b/>
                <w:sz w:val="19"/>
              </w:rPr>
            </w:pPr>
            <w:r>
              <w:rPr>
                <w:b/>
                <w:color w:val="FFFFFF"/>
                <w:sz w:val="19"/>
              </w:rPr>
              <w:t>$000</w:t>
            </w:r>
          </w:p>
        </w:tc>
        <w:tc>
          <w:tcPr>
            <w:tcW w:w="1162" w:type="dxa"/>
            <w:shd w:val="clear" w:color="auto" w:fill="783A79"/>
          </w:tcPr>
          <w:p>
            <w:pPr>
              <w:pStyle w:val="TableParagraph"/>
              <w:spacing w:before="48"/>
              <w:ind w:left="268"/>
              <w:rPr>
                <w:b/>
                <w:sz w:val="19"/>
              </w:rPr>
            </w:pPr>
            <w:r>
              <w:rPr>
                <w:b/>
                <w:color w:val="FFFFFF"/>
                <w:sz w:val="19"/>
              </w:rPr>
              <w:t>Variance</w:t>
            </w:r>
          </w:p>
          <w:p>
            <w:pPr>
              <w:pStyle w:val="TableParagraph"/>
              <w:spacing w:before="182"/>
              <w:ind w:left="627"/>
              <w:rPr>
                <w:b/>
                <w:sz w:val="19"/>
              </w:rPr>
            </w:pPr>
            <w:r>
              <w:rPr>
                <w:b/>
                <w:color w:val="FFFFFF"/>
                <w:sz w:val="19"/>
              </w:rPr>
              <w:t>$000</w:t>
            </w:r>
          </w:p>
        </w:tc>
      </w:tr>
      <w:tr>
        <w:trPr>
          <w:trHeight w:val="317" w:hRule="atLeast"/>
        </w:trPr>
        <w:tc>
          <w:tcPr>
            <w:tcW w:w="8334" w:type="dxa"/>
            <w:shd w:val="clear" w:color="auto" w:fill="FFFFFF"/>
          </w:tcPr>
          <w:p>
            <w:pPr>
              <w:pStyle w:val="TableParagraph"/>
              <w:spacing w:before="43"/>
              <w:ind w:left="113"/>
              <w:rPr>
                <w:i/>
                <w:sz w:val="19"/>
              </w:rPr>
            </w:pPr>
            <w:r>
              <w:rPr>
                <w:i/>
                <w:color w:val="A7BE39"/>
                <w:sz w:val="19"/>
              </w:rPr>
              <w:t>Appropriations</w:t>
            </w:r>
          </w:p>
        </w:tc>
        <w:tc>
          <w:tcPr>
            <w:tcW w:w="1162" w:type="dxa"/>
            <w:shd w:val="clear" w:color="auto" w:fill="FFFFFF"/>
          </w:tcPr>
          <w:p>
            <w:pPr>
              <w:pStyle w:val="TableParagraph"/>
              <w:spacing w:before="0"/>
              <w:rPr>
                <w:rFonts w:ascii="Times New Roman"/>
                <w:sz w:val="20"/>
              </w:rPr>
            </w:pPr>
          </w:p>
        </w:tc>
        <w:tc>
          <w:tcPr>
            <w:tcW w:w="1162" w:type="dxa"/>
            <w:shd w:val="clear" w:color="auto" w:fill="E1E4BB"/>
          </w:tcPr>
          <w:p>
            <w:pPr>
              <w:pStyle w:val="TableParagraph"/>
              <w:spacing w:before="0"/>
              <w:rPr>
                <w:rFonts w:ascii="Times New Roman"/>
                <w:sz w:val="20"/>
              </w:rPr>
            </w:pPr>
          </w:p>
        </w:tc>
        <w:tc>
          <w:tcPr>
            <w:tcW w:w="1162" w:type="dxa"/>
            <w:tcBorders>
              <w:bottom w:val="single" w:sz="8" w:space="0" w:color="FFFFFF"/>
            </w:tcBorders>
            <w:shd w:val="clear" w:color="auto" w:fill="F4F4F4"/>
          </w:tcPr>
          <w:p>
            <w:pPr>
              <w:pStyle w:val="TableParagraph"/>
              <w:spacing w:before="0"/>
              <w:rPr>
                <w:rFonts w:ascii="Times New Roman"/>
                <w:sz w:val="20"/>
              </w:rPr>
            </w:pPr>
          </w:p>
        </w:tc>
        <w:tc>
          <w:tcPr>
            <w:tcW w:w="1162" w:type="dxa"/>
            <w:shd w:val="clear" w:color="auto" w:fill="E1E4BB"/>
          </w:tcPr>
          <w:p>
            <w:pPr>
              <w:pStyle w:val="TableParagraph"/>
              <w:spacing w:before="0"/>
              <w:rPr>
                <w:rFonts w:ascii="Times New Roman"/>
                <w:sz w:val="20"/>
              </w:rPr>
            </w:pPr>
          </w:p>
        </w:tc>
        <w:tc>
          <w:tcPr>
            <w:tcW w:w="1162" w:type="dxa"/>
            <w:tcBorders>
              <w:right w:val="single" w:sz="8" w:space="0" w:color="FFFFFF"/>
            </w:tcBorders>
            <w:shd w:val="clear" w:color="auto" w:fill="F4F4F4"/>
          </w:tcPr>
          <w:p>
            <w:pPr>
              <w:pStyle w:val="TableParagraph"/>
              <w:spacing w:before="0"/>
              <w:rPr>
                <w:rFonts w:ascii="Times New Roman"/>
                <w:sz w:val="20"/>
              </w:rPr>
            </w:pPr>
          </w:p>
        </w:tc>
        <w:tc>
          <w:tcPr>
            <w:tcW w:w="1162" w:type="dxa"/>
            <w:tcBorders>
              <w:left w:val="single" w:sz="8" w:space="0" w:color="FFFFFF"/>
            </w:tcBorders>
            <w:shd w:val="clear" w:color="auto" w:fill="F4F4F4"/>
          </w:tcPr>
          <w:p>
            <w:pPr>
              <w:pStyle w:val="TableParagraph"/>
              <w:spacing w:before="0"/>
              <w:rPr>
                <w:rFonts w:ascii="Times New Roman"/>
                <w:sz w:val="20"/>
              </w:rPr>
            </w:pPr>
          </w:p>
        </w:tc>
      </w:tr>
      <w:tr>
        <w:trPr>
          <w:trHeight w:val="285" w:hRule="atLeast"/>
        </w:trPr>
        <w:tc>
          <w:tcPr>
            <w:tcW w:w="8334" w:type="dxa"/>
            <w:shd w:val="clear" w:color="auto" w:fill="FFFFFF"/>
          </w:tcPr>
          <w:p>
            <w:pPr>
              <w:pStyle w:val="TableParagraph"/>
              <w:spacing w:before="33"/>
              <w:ind w:left="113"/>
              <w:rPr>
                <w:i/>
                <w:sz w:val="19"/>
              </w:rPr>
            </w:pPr>
            <w:r>
              <w:rPr>
                <w:i/>
                <w:sz w:val="19"/>
              </w:rPr>
              <w:t>First Home Owner Grant Act 2000</w:t>
            </w:r>
          </w:p>
        </w:tc>
        <w:tc>
          <w:tcPr>
            <w:tcW w:w="1162" w:type="dxa"/>
            <w:shd w:val="clear" w:color="auto" w:fill="FFFFFF"/>
          </w:tcPr>
          <w:p>
            <w:pPr>
              <w:pStyle w:val="TableParagraph"/>
              <w:spacing w:before="33"/>
              <w:ind w:right="113"/>
              <w:jc w:val="right"/>
              <w:rPr>
                <w:sz w:val="19"/>
              </w:rPr>
            </w:pPr>
            <w:r>
              <w:rPr>
                <w:w w:val="95"/>
                <w:sz w:val="19"/>
              </w:rPr>
              <w:t>73,678</w:t>
            </w:r>
          </w:p>
        </w:tc>
        <w:tc>
          <w:tcPr>
            <w:tcW w:w="1162" w:type="dxa"/>
            <w:shd w:val="clear" w:color="auto" w:fill="E1E4BB"/>
          </w:tcPr>
          <w:p>
            <w:pPr>
              <w:pStyle w:val="TableParagraph"/>
              <w:spacing w:before="33"/>
              <w:ind w:right="113"/>
              <w:jc w:val="right"/>
              <w:rPr>
                <w:sz w:val="19"/>
              </w:rPr>
            </w:pPr>
            <w:r>
              <w:rPr>
                <w:w w:val="95"/>
                <w:sz w:val="19"/>
              </w:rPr>
              <w:t>72,765</w:t>
            </w:r>
          </w:p>
        </w:tc>
        <w:tc>
          <w:tcPr>
            <w:tcW w:w="1162" w:type="dxa"/>
            <w:tcBorders>
              <w:top w:val="single" w:sz="8" w:space="0" w:color="FFFFFF"/>
              <w:bottom w:val="single" w:sz="8" w:space="0" w:color="FFFFFF"/>
            </w:tcBorders>
            <w:shd w:val="clear" w:color="auto" w:fill="FAF9F9"/>
          </w:tcPr>
          <w:p>
            <w:pPr>
              <w:pStyle w:val="TableParagraph"/>
              <w:spacing w:before="33"/>
              <w:ind w:right="113"/>
              <w:jc w:val="right"/>
              <w:rPr>
                <w:sz w:val="19"/>
              </w:rPr>
            </w:pPr>
            <w:r>
              <w:rPr>
                <w:w w:val="90"/>
                <w:sz w:val="19"/>
              </w:rPr>
              <w:t>(913)</w:t>
            </w:r>
          </w:p>
        </w:tc>
        <w:tc>
          <w:tcPr>
            <w:tcW w:w="1162" w:type="dxa"/>
            <w:shd w:val="clear" w:color="auto" w:fill="E1E4BB"/>
          </w:tcPr>
          <w:p>
            <w:pPr>
              <w:pStyle w:val="TableParagraph"/>
              <w:spacing w:before="33"/>
              <w:ind w:right="113"/>
              <w:jc w:val="right"/>
              <w:rPr>
                <w:sz w:val="19"/>
              </w:rPr>
            </w:pPr>
            <w:r>
              <w:rPr>
                <w:w w:val="95"/>
                <w:sz w:val="19"/>
              </w:rPr>
              <w:t>72,765</w:t>
            </w:r>
          </w:p>
        </w:tc>
        <w:tc>
          <w:tcPr>
            <w:tcW w:w="1162" w:type="dxa"/>
            <w:tcBorders>
              <w:bottom w:val="single" w:sz="8" w:space="0" w:color="FFFFFF"/>
              <w:right w:val="single" w:sz="8" w:space="0" w:color="FFFFFF"/>
            </w:tcBorders>
            <w:shd w:val="clear" w:color="auto" w:fill="FAF9F9"/>
          </w:tcPr>
          <w:p>
            <w:pPr>
              <w:pStyle w:val="TableParagraph"/>
              <w:spacing w:before="33"/>
              <w:ind w:right="103"/>
              <w:jc w:val="right"/>
              <w:rPr>
                <w:sz w:val="19"/>
              </w:rPr>
            </w:pPr>
            <w:r>
              <w:rPr>
                <w:w w:val="95"/>
                <w:sz w:val="19"/>
              </w:rPr>
              <w:t>98,582</w:t>
            </w:r>
          </w:p>
        </w:tc>
        <w:tc>
          <w:tcPr>
            <w:tcW w:w="1162" w:type="dxa"/>
            <w:tcBorders>
              <w:left w:val="single" w:sz="8" w:space="0" w:color="FFFFFF"/>
              <w:bottom w:val="single" w:sz="8" w:space="0" w:color="FFFFFF"/>
            </w:tcBorders>
            <w:shd w:val="clear" w:color="auto" w:fill="FAF9F9"/>
          </w:tcPr>
          <w:p>
            <w:pPr>
              <w:pStyle w:val="TableParagraph"/>
              <w:spacing w:before="33"/>
              <w:ind w:right="112"/>
              <w:jc w:val="right"/>
              <w:rPr>
                <w:sz w:val="19"/>
              </w:rPr>
            </w:pPr>
            <w:r>
              <w:rPr>
                <w:w w:val="95"/>
                <w:sz w:val="19"/>
              </w:rPr>
              <w:t>(25,817)</w:t>
            </w:r>
          </w:p>
        </w:tc>
      </w:tr>
      <w:tr>
        <w:trPr>
          <w:trHeight w:val="290" w:hRule="atLeast"/>
        </w:trPr>
        <w:tc>
          <w:tcPr>
            <w:tcW w:w="8334" w:type="dxa"/>
            <w:shd w:val="clear" w:color="auto" w:fill="FFFFFF"/>
          </w:tcPr>
          <w:p>
            <w:pPr>
              <w:pStyle w:val="TableParagraph"/>
              <w:spacing w:before="33"/>
              <w:ind w:left="113"/>
              <w:rPr>
                <w:sz w:val="19"/>
              </w:rPr>
            </w:pPr>
            <w:r>
              <w:rPr>
                <w:sz w:val="19"/>
              </w:rPr>
              <w:t>Administered grants and transfer payments</w:t>
            </w:r>
          </w:p>
        </w:tc>
        <w:tc>
          <w:tcPr>
            <w:tcW w:w="1162" w:type="dxa"/>
            <w:tcBorders>
              <w:top w:val="single" w:sz="8" w:space="0" w:color="FFFFFF"/>
              <w:left w:val="single" w:sz="8" w:space="0" w:color="FFFFFF"/>
              <w:bottom w:val="single" w:sz="4" w:space="0" w:color="000000"/>
            </w:tcBorders>
            <w:shd w:val="clear" w:color="auto" w:fill="F4F4F4"/>
          </w:tcPr>
          <w:p>
            <w:pPr>
              <w:pStyle w:val="TableParagraph"/>
              <w:spacing w:before="33"/>
              <w:ind w:right="113"/>
              <w:jc w:val="right"/>
              <w:rPr>
                <w:sz w:val="19"/>
              </w:rPr>
            </w:pPr>
            <w:r>
              <w:rPr>
                <w:w w:val="95"/>
                <w:sz w:val="19"/>
              </w:rPr>
              <w:t>204,210</w:t>
            </w:r>
          </w:p>
        </w:tc>
        <w:tc>
          <w:tcPr>
            <w:tcW w:w="1162" w:type="dxa"/>
            <w:tcBorders>
              <w:bottom w:val="single" w:sz="4" w:space="0" w:color="000000"/>
            </w:tcBorders>
            <w:shd w:val="clear" w:color="auto" w:fill="E1E4BB"/>
          </w:tcPr>
          <w:p>
            <w:pPr>
              <w:pStyle w:val="TableParagraph"/>
              <w:spacing w:before="33"/>
              <w:ind w:right="113"/>
              <w:jc w:val="right"/>
              <w:rPr>
                <w:sz w:val="19"/>
              </w:rPr>
            </w:pPr>
            <w:r>
              <w:rPr>
                <w:w w:val="95"/>
                <w:sz w:val="19"/>
              </w:rPr>
              <w:t>164,281</w:t>
            </w:r>
          </w:p>
        </w:tc>
        <w:tc>
          <w:tcPr>
            <w:tcW w:w="1162" w:type="dxa"/>
            <w:tcBorders>
              <w:top w:val="single" w:sz="8" w:space="0" w:color="FFFFFF"/>
              <w:bottom w:val="single" w:sz="4" w:space="0" w:color="000000"/>
            </w:tcBorders>
            <w:shd w:val="clear" w:color="auto" w:fill="F4F4F4"/>
          </w:tcPr>
          <w:p>
            <w:pPr>
              <w:pStyle w:val="TableParagraph"/>
              <w:spacing w:before="33"/>
              <w:ind w:right="113"/>
              <w:jc w:val="right"/>
              <w:rPr>
                <w:sz w:val="19"/>
              </w:rPr>
            </w:pPr>
            <w:r>
              <w:rPr>
                <w:w w:val="95"/>
                <w:sz w:val="19"/>
              </w:rPr>
              <w:t>(39,929)</w:t>
            </w:r>
          </w:p>
        </w:tc>
        <w:tc>
          <w:tcPr>
            <w:tcW w:w="1162" w:type="dxa"/>
            <w:tcBorders>
              <w:bottom w:val="single" w:sz="4" w:space="0" w:color="000000"/>
            </w:tcBorders>
            <w:shd w:val="clear" w:color="auto" w:fill="E1E4BB"/>
          </w:tcPr>
          <w:p>
            <w:pPr>
              <w:pStyle w:val="TableParagraph"/>
              <w:spacing w:before="33"/>
              <w:ind w:right="113"/>
              <w:jc w:val="right"/>
              <w:rPr>
                <w:sz w:val="19"/>
              </w:rPr>
            </w:pPr>
            <w:r>
              <w:rPr>
                <w:w w:val="95"/>
                <w:sz w:val="19"/>
              </w:rPr>
              <w:t>164,281</w:t>
            </w:r>
          </w:p>
        </w:tc>
        <w:tc>
          <w:tcPr>
            <w:tcW w:w="1162" w:type="dxa"/>
            <w:tcBorders>
              <w:top w:val="single" w:sz="8" w:space="0" w:color="FFFFFF"/>
              <w:bottom w:val="single" w:sz="4" w:space="0" w:color="000000"/>
              <w:right w:val="single" w:sz="8" w:space="0" w:color="FFFFFF"/>
            </w:tcBorders>
            <w:shd w:val="clear" w:color="auto" w:fill="F4F4F4"/>
          </w:tcPr>
          <w:p>
            <w:pPr>
              <w:pStyle w:val="TableParagraph"/>
              <w:spacing w:before="33"/>
              <w:ind w:right="102"/>
              <w:jc w:val="right"/>
              <w:rPr>
                <w:sz w:val="19"/>
              </w:rPr>
            </w:pPr>
            <w:r>
              <w:rPr>
                <w:w w:val="95"/>
                <w:sz w:val="19"/>
              </w:rPr>
              <w:t>148,881</w:t>
            </w:r>
          </w:p>
        </w:tc>
        <w:tc>
          <w:tcPr>
            <w:tcW w:w="1162" w:type="dxa"/>
            <w:tcBorders>
              <w:top w:val="single" w:sz="8" w:space="0" w:color="FFFFFF"/>
              <w:left w:val="single" w:sz="8" w:space="0" w:color="FFFFFF"/>
              <w:bottom w:val="single" w:sz="4" w:space="0" w:color="000000"/>
            </w:tcBorders>
            <w:shd w:val="clear" w:color="auto" w:fill="F4F4F4"/>
          </w:tcPr>
          <w:p>
            <w:pPr>
              <w:pStyle w:val="TableParagraph"/>
              <w:spacing w:before="33"/>
              <w:ind w:right="112"/>
              <w:jc w:val="right"/>
              <w:rPr>
                <w:sz w:val="19"/>
              </w:rPr>
            </w:pPr>
            <w:r>
              <w:rPr>
                <w:w w:val="95"/>
                <w:sz w:val="19"/>
              </w:rPr>
              <w:t>15,400</w:t>
            </w:r>
          </w:p>
        </w:tc>
      </w:tr>
      <w:tr>
        <w:trPr>
          <w:trHeight w:val="295" w:hRule="atLeast"/>
        </w:trPr>
        <w:tc>
          <w:tcPr>
            <w:tcW w:w="8334" w:type="dxa"/>
            <w:shd w:val="clear" w:color="auto" w:fill="FFFFFF"/>
          </w:tcPr>
          <w:p>
            <w:pPr>
              <w:pStyle w:val="TableParagraph"/>
              <w:spacing w:before="0"/>
              <w:rPr>
                <w:rFonts w:ascii="Times New Roman"/>
                <w:sz w:val="20"/>
              </w:rPr>
            </w:pPr>
          </w:p>
        </w:tc>
        <w:tc>
          <w:tcPr>
            <w:tcW w:w="1162" w:type="dxa"/>
            <w:tcBorders>
              <w:top w:val="single" w:sz="4" w:space="0" w:color="000000"/>
              <w:left w:val="single" w:sz="8" w:space="0" w:color="FFFFFF"/>
              <w:bottom w:val="single" w:sz="4" w:space="0" w:color="000000"/>
            </w:tcBorders>
            <w:shd w:val="clear" w:color="auto" w:fill="FAF9F9"/>
          </w:tcPr>
          <w:p>
            <w:pPr>
              <w:pStyle w:val="TableParagraph"/>
              <w:spacing w:before="38"/>
              <w:ind w:right="113"/>
              <w:jc w:val="right"/>
              <w:rPr>
                <w:b/>
                <w:sz w:val="19"/>
              </w:rPr>
            </w:pPr>
            <w:r>
              <w:rPr>
                <w:b/>
                <w:w w:val="95"/>
                <w:sz w:val="19"/>
              </w:rPr>
              <w:t>277,888</w:t>
            </w:r>
          </w:p>
        </w:tc>
        <w:tc>
          <w:tcPr>
            <w:tcW w:w="1162" w:type="dxa"/>
            <w:tcBorders>
              <w:top w:val="single" w:sz="4" w:space="0" w:color="000000"/>
              <w:bottom w:val="single" w:sz="4" w:space="0" w:color="000000"/>
            </w:tcBorders>
            <w:shd w:val="clear" w:color="auto" w:fill="E1E4BB"/>
          </w:tcPr>
          <w:p>
            <w:pPr>
              <w:pStyle w:val="TableParagraph"/>
              <w:spacing w:before="38"/>
              <w:ind w:right="113"/>
              <w:jc w:val="right"/>
              <w:rPr>
                <w:b/>
                <w:sz w:val="19"/>
              </w:rPr>
            </w:pPr>
            <w:r>
              <w:rPr>
                <w:b/>
                <w:w w:val="95"/>
                <w:sz w:val="19"/>
              </w:rPr>
              <w:t>237,046</w:t>
            </w:r>
          </w:p>
        </w:tc>
        <w:tc>
          <w:tcPr>
            <w:tcW w:w="1162" w:type="dxa"/>
            <w:tcBorders>
              <w:top w:val="single" w:sz="4" w:space="0" w:color="000000"/>
              <w:bottom w:val="single" w:sz="4" w:space="0" w:color="000000"/>
            </w:tcBorders>
            <w:shd w:val="clear" w:color="auto" w:fill="FAF9F9"/>
          </w:tcPr>
          <w:p>
            <w:pPr>
              <w:pStyle w:val="TableParagraph"/>
              <w:spacing w:before="38"/>
              <w:ind w:right="113"/>
              <w:jc w:val="right"/>
              <w:rPr>
                <w:b/>
                <w:sz w:val="19"/>
              </w:rPr>
            </w:pPr>
            <w:r>
              <w:rPr>
                <w:b/>
                <w:w w:val="95"/>
                <w:sz w:val="19"/>
              </w:rPr>
              <w:t>(40,842)</w:t>
            </w:r>
          </w:p>
        </w:tc>
        <w:tc>
          <w:tcPr>
            <w:tcW w:w="1162" w:type="dxa"/>
            <w:tcBorders>
              <w:top w:val="single" w:sz="4" w:space="0" w:color="000000"/>
              <w:bottom w:val="single" w:sz="4" w:space="0" w:color="000000"/>
            </w:tcBorders>
            <w:shd w:val="clear" w:color="auto" w:fill="E1E4BB"/>
          </w:tcPr>
          <w:p>
            <w:pPr>
              <w:pStyle w:val="TableParagraph"/>
              <w:spacing w:before="38"/>
              <w:ind w:right="112"/>
              <w:jc w:val="right"/>
              <w:rPr>
                <w:b/>
                <w:sz w:val="19"/>
              </w:rPr>
            </w:pPr>
            <w:r>
              <w:rPr>
                <w:b/>
                <w:w w:val="95"/>
                <w:sz w:val="19"/>
              </w:rPr>
              <w:t>237,046</w:t>
            </w:r>
          </w:p>
        </w:tc>
        <w:tc>
          <w:tcPr>
            <w:tcW w:w="1162" w:type="dxa"/>
            <w:tcBorders>
              <w:top w:val="single" w:sz="4" w:space="0" w:color="000000"/>
              <w:bottom w:val="single" w:sz="4" w:space="0" w:color="000000"/>
            </w:tcBorders>
            <w:shd w:val="clear" w:color="auto" w:fill="FAF9F9"/>
          </w:tcPr>
          <w:p>
            <w:pPr>
              <w:pStyle w:val="TableParagraph"/>
              <w:spacing w:before="38"/>
              <w:ind w:right="112"/>
              <w:jc w:val="right"/>
              <w:rPr>
                <w:b/>
                <w:sz w:val="19"/>
              </w:rPr>
            </w:pPr>
            <w:r>
              <w:rPr>
                <w:b/>
                <w:w w:val="95"/>
                <w:sz w:val="19"/>
              </w:rPr>
              <w:t>247,463</w:t>
            </w:r>
          </w:p>
        </w:tc>
        <w:tc>
          <w:tcPr>
            <w:tcW w:w="1162" w:type="dxa"/>
            <w:tcBorders>
              <w:top w:val="single" w:sz="4" w:space="0" w:color="000000"/>
              <w:bottom w:val="single" w:sz="4" w:space="0" w:color="000000"/>
            </w:tcBorders>
            <w:shd w:val="clear" w:color="auto" w:fill="FAF9F9"/>
          </w:tcPr>
          <w:p>
            <w:pPr>
              <w:pStyle w:val="TableParagraph"/>
              <w:spacing w:before="38"/>
              <w:ind w:right="112"/>
              <w:jc w:val="right"/>
              <w:rPr>
                <w:b/>
                <w:sz w:val="19"/>
              </w:rPr>
            </w:pPr>
            <w:r>
              <w:rPr>
                <w:b/>
                <w:w w:val="95"/>
                <w:sz w:val="19"/>
              </w:rPr>
              <w:t>(10,417)</w:t>
            </w:r>
          </w:p>
        </w:tc>
      </w:tr>
      <w:tr>
        <w:trPr>
          <w:trHeight w:val="295" w:hRule="atLeast"/>
        </w:trPr>
        <w:tc>
          <w:tcPr>
            <w:tcW w:w="8334" w:type="dxa"/>
            <w:vMerge w:val="restart"/>
            <w:shd w:val="clear" w:color="auto" w:fill="FFFFFF"/>
          </w:tcPr>
          <w:p>
            <w:pPr>
              <w:pStyle w:val="TableParagraph"/>
              <w:spacing w:before="10"/>
              <w:rPr>
                <w:sz w:val="29"/>
              </w:rPr>
            </w:pPr>
          </w:p>
          <w:p>
            <w:pPr>
              <w:pStyle w:val="TableParagraph"/>
              <w:spacing w:line="212" w:lineRule="exact" w:before="0"/>
              <w:ind w:left="114"/>
              <w:rPr>
                <w:b/>
                <w:sz w:val="19"/>
              </w:rPr>
            </w:pPr>
            <w:r>
              <w:rPr>
                <w:b/>
                <w:sz w:val="19"/>
              </w:rPr>
              <w:t>TOTAL INCOME ESTIMATES</w:t>
            </w:r>
          </w:p>
        </w:tc>
        <w:tc>
          <w:tcPr>
            <w:tcW w:w="1162" w:type="dxa"/>
            <w:tcBorders>
              <w:top w:val="single" w:sz="4" w:space="0" w:color="000000"/>
              <w:left w:val="single" w:sz="8" w:space="0" w:color="FFFFFF"/>
              <w:bottom w:val="single" w:sz="4" w:space="0" w:color="000000"/>
            </w:tcBorders>
            <w:shd w:val="clear" w:color="auto" w:fill="F4F4F4"/>
          </w:tcPr>
          <w:p>
            <w:pPr>
              <w:pStyle w:val="TableParagraph"/>
              <w:spacing w:before="0"/>
              <w:rPr>
                <w:rFonts w:ascii="Times New Roman"/>
                <w:sz w:val="20"/>
              </w:rPr>
            </w:pPr>
          </w:p>
        </w:tc>
        <w:tc>
          <w:tcPr>
            <w:tcW w:w="1162" w:type="dxa"/>
            <w:tcBorders>
              <w:top w:val="single" w:sz="4" w:space="0" w:color="000000"/>
              <w:bottom w:val="single" w:sz="4" w:space="0" w:color="000000"/>
            </w:tcBorders>
            <w:shd w:val="clear" w:color="auto" w:fill="DFE1B8"/>
          </w:tcPr>
          <w:p>
            <w:pPr>
              <w:pStyle w:val="TableParagraph"/>
              <w:spacing w:before="0"/>
              <w:rPr>
                <w:rFonts w:ascii="Times New Roman"/>
                <w:sz w:val="20"/>
              </w:rPr>
            </w:pPr>
          </w:p>
        </w:tc>
        <w:tc>
          <w:tcPr>
            <w:tcW w:w="1162" w:type="dxa"/>
            <w:tcBorders>
              <w:top w:val="single" w:sz="4" w:space="0" w:color="000000"/>
              <w:bottom w:val="single" w:sz="4" w:space="0" w:color="000000"/>
            </w:tcBorders>
            <w:shd w:val="clear" w:color="auto" w:fill="F4F4F4"/>
          </w:tcPr>
          <w:p>
            <w:pPr>
              <w:pStyle w:val="TableParagraph"/>
              <w:spacing w:before="0"/>
              <w:rPr>
                <w:rFonts w:ascii="Times New Roman"/>
                <w:sz w:val="20"/>
              </w:rPr>
            </w:pPr>
          </w:p>
        </w:tc>
        <w:tc>
          <w:tcPr>
            <w:tcW w:w="1162" w:type="dxa"/>
            <w:tcBorders>
              <w:top w:val="single" w:sz="4" w:space="0" w:color="000000"/>
              <w:bottom w:val="single" w:sz="4" w:space="0" w:color="000000"/>
            </w:tcBorders>
            <w:shd w:val="clear" w:color="auto" w:fill="DFE1B8"/>
          </w:tcPr>
          <w:p>
            <w:pPr>
              <w:pStyle w:val="TableParagraph"/>
              <w:spacing w:before="0"/>
              <w:rPr>
                <w:rFonts w:ascii="Times New Roman"/>
                <w:sz w:val="20"/>
              </w:rPr>
            </w:pPr>
          </w:p>
        </w:tc>
        <w:tc>
          <w:tcPr>
            <w:tcW w:w="1162" w:type="dxa"/>
            <w:tcBorders>
              <w:top w:val="single" w:sz="4" w:space="0" w:color="000000"/>
              <w:bottom w:val="single" w:sz="4" w:space="0" w:color="000000"/>
              <w:right w:val="single" w:sz="8" w:space="0" w:color="FFFFFF"/>
            </w:tcBorders>
            <w:shd w:val="clear" w:color="auto" w:fill="F4F4F4"/>
          </w:tcPr>
          <w:p>
            <w:pPr>
              <w:pStyle w:val="TableParagraph"/>
              <w:spacing w:before="0"/>
              <w:rPr>
                <w:rFonts w:ascii="Times New Roman"/>
                <w:sz w:val="20"/>
              </w:rPr>
            </w:pPr>
          </w:p>
        </w:tc>
        <w:tc>
          <w:tcPr>
            <w:tcW w:w="1162" w:type="dxa"/>
            <w:tcBorders>
              <w:top w:val="single" w:sz="4" w:space="0" w:color="000000"/>
              <w:left w:val="single" w:sz="8" w:space="0" w:color="FFFFFF"/>
              <w:bottom w:val="single" w:sz="4" w:space="0" w:color="000000"/>
            </w:tcBorders>
            <w:shd w:val="clear" w:color="auto" w:fill="F4F4F4"/>
          </w:tcPr>
          <w:p>
            <w:pPr>
              <w:pStyle w:val="TableParagraph"/>
              <w:spacing w:before="0"/>
              <w:rPr>
                <w:rFonts w:ascii="Times New Roman"/>
                <w:sz w:val="20"/>
              </w:rPr>
            </w:pPr>
          </w:p>
        </w:tc>
      </w:tr>
      <w:tr>
        <w:trPr>
          <w:trHeight w:val="270" w:hRule="atLeast"/>
        </w:trPr>
        <w:tc>
          <w:tcPr>
            <w:tcW w:w="8334" w:type="dxa"/>
            <w:vMerge/>
            <w:tcBorders>
              <w:top w:val="nil"/>
            </w:tcBorders>
            <w:shd w:val="clear" w:color="auto" w:fill="FFFFFF"/>
          </w:tcPr>
          <w:p>
            <w:pPr>
              <w:rPr>
                <w:sz w:val="2"/>
                <w:szCs w:val="2"/>
              </w:rPr>
            </w:pPr>
          </w:p>
        </w:tc>
        <w:tc>
          <w:tcPr>
            <w:tcW w:w="1162" w:type="dxa"/>
            <w:tcBorders>
              <w:top w:val="single" w:sz="4" w:space="0" w:color="000000"/>
              <w:left w:val="single" w:sz="8" w:space="0" w:color="FFFFFF"/>
              <w:bottom w:val="single" w:sz="24" w:space="0" w:color="FFFFFF"/>
            </w:tcBorders>
            <w:shd w:val="clear" w:color="auto" w:fill="FAF9F9"/>
          </w:tcPr>
          <w:p>
            <w:pPr>
              <w:pStyle w:val="TableParagraph"/>
              <w:spacing w:line="212" w:lineRule="exact" w:before="38"/>
              <w:ind w:right="113"/>
              <w:jc w:val="right"/>
              <w:rPr>
                <w:b/>
                <w:sz w:val="19"/>
              </w:rPr>
            </w:pPr>
            <w:r>
              <w:rPr>
                <w:b/>
                <w:w w:val="95"/>
                <w:sz w:val="19"/>
              </w:rPr>
              <w:t>7,483,357</w:t>
            </w:r>
          </w:p>
        </w:tc>
        <w:tc>
          <w:tcPr>
            <w:tcW w:w="1162" w:type="dxa"/>
            <w:tcBorders>
              <w:top w:val="single" w:sz="4" w:space="0" w:color="000000"/>
              <w:bottom w:val="single" w:sz="24" w:space="0" w:color="FFFFFF"/>
            </w:tcBorders>
            <w:shd w:val="clear" w:color="auto" w:fill="E1E4BB"/>
          </w:tcPr>
          <w:p>
            <w:pPr>
              <w:pStyle w:val="TableParagraph"/>
              <w:spacing w:line="212" w:lineRule="exact" w:before="38"/>
              <w:ind w:right="113"/>
              <w:jc w:val="right"/>
              <w:rPr>
                <w:b/>
                <w:sz w:val="19"/>
              </w:rPr>
            </w:pPr>
            <w:r>
              <w:rPr>
                <w:b/>
                <w:w w:val="95"/>
                <w:sz w:val="19"/>
              </w:rPr>
              <w:t>7,140,026</w:t>
            </w:r>
          </w:p>
        </w:tc>
        <w:tc>
          <w:tcPr>
            <w:tcW w:w="1162" w:type="dxa"/>
            <w:tcBorders>
              <w:top w:val="single" w:sz="4" w:space="0" w:color="000000"/>
              <w:bottom w:val="single" w:sz="24" w:space="0" w:color="FFFFFF"/>
            </w:tcBorders>
            <w:shd w:val="clear" w:color="auto" w:fill="FAF9F9"/>
          </w:tcPr>
          <w:p>
            <w:pPr>
              <w:pStyle w:val="TableParagraph"/>
              <w:spacing w:line="212" w:lineRule="exact" w:before="38"/>
              <w:ind w:right="112"/>
              <w:jc w:val="right"/>
              <w:rPr>
                <w:b/>
                <w:sz w:val="19"/>
              </w:rPr>
            </w:pPr>
            <w:r>
              <w:rPr>
                <w:b/>
                <w:w w:val="95"/>
                <w:sz w:val="19"/>
              </w:rPr>
              <w:t>(343,331)</w:t>
            </w:r>
          </w:p>
        </w:tc>
        <w:tc>
          <w:tcPr>
            <w:tcW w:w="1162" w:type="dxa"/>
            <w:tcBorders>
              <w:top w:val="single" w:sz="4" w:space="0" w:color="000000"/>
              <w:bottom w:val="single" w:sz="24" w:space="0" w:color="FFFFFF"/>
            </w:tcBorders>
            <w:shd w:val="clear" w:color="auto" w:fill="E1E4BB"/>
          </w:tcPr>
          <w:p>
            <w:pPr>
              <w:pStyle w:val="TableParagraph"/>
              <w:spacing w:line="212" w:lineRule="exact" w:before="38"/>
              <w:ind w:right="112"/>
              <w:jc w:val="right"/>
              <w:rPr>
                <w:b/>
                <w:sz w:val="19"/>
              </w:rPr>
            </w:pPr>
            <w:r>
              <w:rPr>
                <w:b/>
                <w:w w:val="95"/>
                <w:sz w:val="19"/>
              </w:rPr>
              <w:t>7,140,026</w:t>
            </w:r>
          </w:p>
        </w:tc>
        <w:tc>
          <w:tcPr>
            <w:tcW w:w="1162" w:type="dxa"/>
            <w:tcBorders>
              <w:top w:val="single" w:sz="4" w:space="0" w:color="000000"/>
              <w:bottom w:val="single" w:sz="24" w:space="0" w:color="FFFFFF"/>
            </w:tcBorders>
            <w:shd w:val="clear" w:color="auto" w:fill="FAF9F9"/>
          </w:tcPr>
          <w:p>
            <w:pPr>
              <w:pStyle w:val="TableParagraph"/>
              <w:spacing w:line="212" w:lineRule="exact" w:before="38"/>
              <w:ind w:right="112"/>
              <w:jc w:val="right"/>
              <w:rPr>
                <w:b/>
                <w:sz w:val="19"/>
              </w:rPr>
            </w:pPr>
            <w:r>
              <w:rPr>
                <w:b/>
                <w:w w:val="95"/>
                <w:sz w:val="19"/>
              </w:rPr>
              <w:t>7,667,246</w:t>
            </w:r>
          </w:p>
        </w:tc>
        <w:tc>
          <w:tcPr>
            <w:tcW w:w="1162" w:type="dxa"/>
            <w:tcBorders>
              <w:top w:val="single" w:sz="4" w:space="0" w:color="000000"/>
              <w:bottom w:val="single" w:sz="24" w:space="0" w:color="FFFFFF"/>
            </w:tcBorders>
            <w:shd w:val="clear" w:color="auto" w:fill="FAF9F9"/>
          </w:tcPr>
          <w:p>
            <w:pPr>
              <w:pStyle w:val="TableParagraph"/>
              <w:spacing w:line="212" w:lineRule="exact" w:before="38"/>
              <w:ind w:right="112"/>
              <w:jc w:val="right"/>
              <w:rPr>
                <w:b/>
                <w:sz w:val="19"/>
              </w:rPr>
            </w:pPr>
            <w:r>
              <w:rPr>
                <w:b/>
                <w:w w:val="95"/>
                <w:sz w:val="19"/>
              </w:rPr>
              <w:t>(527,220)</w:t>
            </w:r>
          </w:p>
        </w:tc>
      </w:tr>
    </w:tbl>
    <w:p>
      <w:pPr>
        <w:pStyle w:val="BodyText"/>
        <w:spacing w:before="8"/>
        <w:rPr>
          <w:sz w:val="18"/>
        </w:rPr>
      </w:pPr>
    </w:p>
    <w:p>
      <w:pPr>
        <w:spacing w:before="106"/>
        <w:ind w:left="766" w:right="0" w:firstLine="0"/>
        <w:jc w:val="left"/>
        <w:rPr>
          <w:sz w:val="19"/>
        </w:rPr>
      </w:pPr>
      <w:r>
        <w:rPr/>
        <w:pict>
          <v:group style="position:absolute;margin-left:687.401611pt;margin-top:-11.234118pt;width:116.25pt;height:.550pt;mso-position-horizontal-relative:page;mso-position-vertical-relative:paragraph;z-index:12424" coordorigin="13748,-225" coordsize="2325,11">
            <v:line style="position:absolute" from="13748,-220" to="14910,-220" stroked="true" strokeweight=".501pt" strokecolor="#000000">
              <v:stroke dashstyle="solid"/>
            </v:line>
            <v:line style="position:absolute" from="14910,-220" to="16072,-220" stroked="true" strokeweight=".501pt" strokecolor="#000000">
              <v:stroke dashstyle="solid"/>
            </v:line>
            <w10:wrap type="none"/>
          </v:group>
        </w:pict>
      </w:r>
      <w:r>
        <w:rPr>
          <w:sz w:val="19"/>
        </w:rPr>
        <w:t>Adjustments comprise movements in cash balances and other accrual items such as receivables, payables and superannuation.</w:t>
      </w:r>
    </w:p>
    <w:p>
      <w:pPr>
        <w:pStyle w:val="BodyText"/>
        <w:spacing w:before="7"/>
        <w:rPr>
          <w:sz w:val="20"/>
        </w:rPr>
      </w:pPr>
    </w:p>
    <w:p>
      <w:pPr>
        <w:spacing w:line="249" w:lineRule="auto" w:before="0"/>
        <w:ind w:left="766" w:right="819" w:firstLine="0"/>
        <w:jc w:val="left"/>
        <w:rPr>
          <w:sz w:val="19"/>
        </w:rPr>
      </w:pPr>
      <w:r>
        <w:rPr>
          <w:sz w:val="19"/>
        </w:rPr>
        <w:t>Note</w:t>
      </w:r>
      <w:r>
        <w:rPr>
          <w:spacing w:val="-17"/>
          <w:sz w:val="19"/>
        </w:rPr>
        <w:t> </w:t>
      </w:r>
      <w:r>
        <w:rPr>
          <w:sz w:val="19"/>
        </w:rPr>
        <w:t>44</w:t>
      </w:r>
      <w:r>
        <w:rPr>
          <w:spacing w:val="-17"/>
          <w:sz w:val="19"/>
        </w:rPr>
        <w:t> </w:t>
      </w:r>
      <w:r>
        <w:rPr>
          <w:sz w:val="19"/>
        </w:rPr>
        <w:t>‘Explanatory</w:t>
      </w:r>
      <w:r>
        <w:rPr>
          <w:spacing w:val="-17"/>
          <w:sz w:val="19"/>
        </w:rPr>
        <w:t> </w:t>
      </w:r>
      <w:r>
        <w:rPr>
          <w:sz w:val="19"/>
        </w:rPr>
        <w:t>statement’</w:t>
      </w:r>
      <w:r>
        <w:rPr>
          <w:spacing w:val="-17"/>
          <w:sz w:val="19"/>
        </w:rPr>
        <w:t> </w:t>
      </w:r>
      <w:r>
        <w:rPr>
          <w:sz w:val="19"/>
        </w:rPr>
        <w:t>and</w:t>
      </w:r>
      <w:r>
        <w:rPr>
          <w:spacing w:val="-17"/>
          <w:sz w:val="19"/>
        </w:rPr>
        <w:t> </w:t>
      </w:r>
      <w:r>
        <w:rPr>
          <w:sz w:val="19"/>
        </w:rPr>
        <w:t>Note</w:t>
      </w:r>
      <w:r>
        <w:rPr>
          <w:spacing w:val="-17"/>
          <w:sz w:val="19"/>
        </w:rPr>
        <w:t> </w:t>
      </w:r>
      <w:r>
        <w:rPr>
          <w:sz w:val="19"/>
        </w:rPr>
        <w:t>46</w:t>
      </w:r>
      <w:r>
        <w:rPr>
          <w:spacing w:val="-17"/>
          <w:sz w:val="19"/>
        </w:rPr>
        <w:t> </w:t>
      </w:r>
      <w:r>
        <w:rPr>
          <w:sz w:val="19"/>
        </w:rPr>
        <w:t>‘Explanatory</w:t>
      </w:r>
      <w:r>
        <w:rPr>
          <w:spacing w:val="-17"/>
          <w:sz w:val="19"/>
        </w:rPr>
        <w:t> </w:t>
      </w:r>
      <w:r>
        <w:rPr>
          <w:sz w:val="19"/>
        </w:rPr>
        <w:t>statement</w:t>
      </w:r>
      <w:r>
        <w:rPr>
          <w:spacing w:val="-16"/>
          <w:sz w:val="19"/>
        </w:rPr>
        <w:t> </w:t>
      </w:r>
      <w:r>
        <w:rPr>
          <w:sz w:val="19"/>
        </w:rPr>
        <w:t>for</w:t>
      </w:r>
      <w:r>
        <w:rPr>
          <w:spacing w:val="-17"/>
          <w:sz w:val="19"/>
        </w:rPr>
        <w:t> </w:t>
      </w:r>
      <w:r>
        <w:rPr>
          <w:sz w:val="19"/>
        </w:rPr>
        <w:t>Administered</w:t>
      </w:r>
      <w:r>
        <w:rPr>
          <w:spacing w:val="-17"/>
          <w:sz w:val="19"/>
        </w:rPr>
        <w:t> </w:t>
      </w:r>
      <w:r>
        <w:rPr>
          <w:sz w:val="19"/>
        </w:rPr>
        <w:t>Items’</w:t>
      </w:r>
      <w:r>
        <w:rPr>
          <w:spacing w:val="-17"/>
          <w:sz w:val="19"/>
        </w:rPr>
        <w:t> </w:t>
      </w:r>
      <w:r>
        <w:rPr>
          <w:sz w:val="19"/>
        </w:rPr>
        <w:t>provide</w:t>
      </w:r>
      <w:r>
        <w:rPr>
          <w:spacing w:val="-17"/>
          <w:sz w:val="19"/>
        </w:rPr>
        <w:t> </w:t>
      </w:r>
      <w:r>
        <w:rPr>
          <w:sz w:val="19"/>
        </w:rPr>
        <w:t>details</w:t>
      </w:r>
      <w:r>
        <w:rPr>
          <w:spacing w:val="-17"/>
          <w:sz w:val="19"/>
        </w:rPr>
        <w:t> </w:t>
      </w:r>
      <w:r>
        <w:rPr>
          <w:sz w:val="19"/>
        </w:rPr>
        <w:t>of</w:t>
      </w:r>
      <w:r>
        <w:rPr>
          <w:spacing w:val="-17"/>
          <w:sz w:val="19"/>
        </w:rPr>
        <w:t> </w:t>
      </w:r>
      <w:r>
        <w:rPr>
          <w:sz w:val="19"/>
        </w:rPr>
        <w:t>any</w:t>
      </w:r>
      <w:r>
        <w:rPr>
          <w:spacing w:val="-17"/>
          <w:sz w:val="19"/>
        </w:rPr>
        <w:t> </w:t>
      </w:r>
      <w:r>
        <w:rPr>
          <w:sz w:val="19"/>
        </w:rPr>
        <w:t>significant</w:t>
      </w:r>
      <w:r>
        <w:rPr>
          <w:spacing w:val="-16"/>
          <w:sz w:val="19"/>
        </w:rPr>
        <w:t> </w:t>
      </w:r>
      <w:r>
        <w:rPr>
          <w:sz w:val="19"/>
        </w:rPr>
        <w:t>variations</w:t>
      </w:r>
      <w:r>
        <w:rPr>
          <w:spacing w:val="-17"/>
          <w:sz w:val="19"/>
        </w:rPr>
        <w:t> </w:t>
      </w:r>
      <w:r>
        <w:rPr>
          <w:sz w:val="19"/>
        </w:rPr>
        <w:t>between</w:t>
      </w:r>
      <w:r>
        <w:rPr>
          <w:spacing w:val="-17"/>
          <w:sz w:val="19"/>
        </w:rPr>
        <w:t> </w:t>
      </w:r>
      <w:r>
        <w:rPr>
          <w:sz w:val="19"/>
        </w:rPr>
        <w:t>estimates</w:t>
      </w:r>
      <w:r>
        <w:rPr>
          <w:spacing w:val="-17"/>
          <w:sz w:val="19"/>
        </w:rPr>
        <w:t> </w:t>
      </w:r>
      <w:r>
        <w:rPr>
          <w:sz w:val="19"/>
        </w:rPr>
        <w:t>and</w:t>
      </w:r>
      <w:r>
        <w:rPr>
          <w:spacing w:val="-17"/>
          <w:sz w:val="19"/>
        </w:rPr>
        <w:t> </w:t>
      </w:r>
      <w:r>
        <w:rPr>
          <w:sz w:val="19"/>
        </w:rPr>
        <w:t>actual</w:t>
      </w:r>
      <w:r>
        <w:rPr>
          <w:spacing w:val="-17"/>
          <w:sz w:val="19"/>
        </w:rPr>
        <w:t> </w:t>
      </w:r>
      <w:r>
        <w:rPr>
          <w:sz w:val="19"/>
        </w:rPr>
        <w:t>results</w:t>
      </w:r>
      <w:r>
        <w:rPr>
          <w:spacing w:val="-17"/>
          <w:sz w:val="19"/>
        </w:rPr>
        <w:t> </w:t>
      </w:r>
      <w:r>
        <w:rPr>
          <w:sz w:val="19"/>
        </w:rPr>
        <w:t>for</w:t>
      </w:r>
      <w:r>
        <w:rPr>
          <w:spacing w:val="-17"/>
          <w:sz w:val="19"/>
        </w:rPr>
        <w:t> </w:t>
      </w:r>
      <w:r>
        <w:rPr>
          <w:sz w:val="19"/>
        </w:rPr>
        <w:t>2017</w:t>
      </w:r>
      <w:r>
        <w:rPr>
          <w:spacing w:val="-17"/>
          <w:sz w:val="19"/>
        </w:rPr>
        <w:t> </w:t>
      </w:r>
      <w:r>
        <w:rPr>
          <w:spacing w:val="-5"/>
          <w:sz w:val="19"/>
        </w:rPr>
        <w:t>and </w:t>
      </w:r>
      <w:r>
        <w:rPr>
          <w:sz w:val="19"/>
        </w:rPr>
        <w:t>between the actual results for 2017 and</w:t>
      </w:r>
      <w:r>
        <w:rPr>
          <w:spacing w:val="-3"/>
          <w:sz w:val="19"/>
        </w:rPr>
        <w:t> </w:t>
      </w:r>
      <w:r>
        <w:rPr>
          <w:sz w:val="19"/>
        </w:rPr>
        <w:t>2016.</w:t>
      </w:r>
    </w:p>
    <w:p>
      <w:pPr>
        <w:spacing w:after="0" w:line="249" w:lineRule="auto"/>
        <w:jc w:val="left"/>
        <w:rPr>
          <w:sz w:val="19"/>
        </w:rPr>
        <w:sectPr>
          <w:type w:val="continuous"/>
          <w:pgSz w:w="16840" w:h="11910" w:orient="landscape"/>
          <w:pgMar w:top="0" w:bottom="0" w:left="0" w:right="0"/>
        </w:sectPr>
      </w:pPr>
    </w:p>
    <w:p>
      <w:pPr>
        <w:tabs>
          <w:tab w:pos="14432" w:val="left" w:leader="none"/>
        </w:tabs>
        <w:spacing w:line="240" w:lineRule="auto"/>
        <w:ind w:left="9621" w:right="-58" w:firstLine="0"/>
        <w:rPr>
          <w:sz w:val="20"/>
        </w:rPr>
      </w:pPr>
      <w:bookmarkStart w:name="_bookmark27" w:id="28"/>
      <w:bookmarkEnd w:id="28"/>
      <w:r>
        <w:rPr/>
      </w: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268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280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283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191"/>
          <w:pgSz w:w="16840" w:h="11910" w:orient="landscape"/>
          <w:pgMar w:footer="448" w:header="0" w:top="0" w:bottom="640" w:left="0" w:right="0"/>
        </w:sectPr>
      </w:pPr>
    </w:p>
    <w:p>
      <w:pPr>
        <w:pStyle w:val="Heading5"/>
        <w:spacing w:line="235" w:lineRule="auto" w:before="253"/>
        <w:ind w:right="695"/>
      </w:pPr>
      <w:r>
        <w:rPr>
          <w:color w:val="6F2770"/>
        </w:rPr>
        <w:t>Note</w:t>
      </w:r>
      <w:r>
        <w:rPr>
          <w:color w:val="6F2770"/>
          <w:spacing w:val="-41"/>
        </w:rPr>
        <w:t> </w:t>
      </w:r>
      <w:r>
        <w:rPr>
          <w:color w:val="6F2770"/>
        </w:rPr>
        <w:t>1.</w:t>
      </w:r>
      <w:r>
        <w:rPr>
          <w:color w:val="6F2770"/>
          <w:spacing w:val="-41"/>
        </w:rPr>
        <w:t> </w:t>
      </w:r>
      <w:r>
        <w:rPr>
          <w:color w:val="6F2770"/>
        </w:rPr>
        <w:t>Australian</w:t>
      </w:r>
      <w:r>
        <w:rPr>
          <w:color w:val="6F2770"/>
          <w:spacing w:val="-40"/>
        </w:rPr>
        <w:t> </w:t>
      </w:r>
      <w:r>
        <w:rPr>
          <w:color w:val="6F2770"/>
        </w:rPr>
        <w:t>Accounting Standards</w:t>
      </w:r>
    </w:p>
    <w:p>
      <w:pPr>
        <w:pStyle w:val="Heading6"/>
        <w:spacing w:before="255"/>
      </w:pPr>
      <w:r>
        <w:rPr/>
        <w:t>General</w:t>
      </w:r>
    </w:p>
    <w:p>
      <w:pPr>
        <w:pStyle w:val="BodyText"/>
        <w:spacing w:line="249" w:lineRule="auto" w:before="11"/>
        <w:ind w:left="765" w:right="186"/>
      </w:pPr>
      <w:r>
        <w:rPr/>
        <w:t>The </w:t>
      </w:r>
      <w:r>
        <w:rPr>
          <w:spacing w:val="-3"/>
        </w:rPr>
        <w:t>Department’s </w:t>
      </w:r>
      <w:r>
        <w:rPr/>
        <w:t>financial statements for the year</w:t>
      </w:r>
      <w:r>
        <w:rPr>
          <w:spacing w:val="-18"/>
        </w:rPr>
        <w:t> </w:t>
      </w:r>
      <w:r>
        <w:rPr/>
        <w:t>ended</w:t>
      </w:r>
      <w:r>
        <w:rPr>
          <w:spacing w:val="-17"/>
        </w:rPr>
        <w:t> </w:t>
      </w:r>
      <w:r>
        <w:rPr/>
        <w:t>30</w:t>
      </w:r>
      <w:r>
        <w:rPr>
          <w:spacing w:val="-17"/>
        </w:rPr>
        <w:t> </w:t>
      </w:r>
      <w:r>
        <w:rPr/>
        <w:t>June</w:t>
      </w:r>
      <w:r>
        <w:rPr>
          <w:spacing w:val="-17"/>
        </w:rPr>
        <w:t> </w:t>
      </w:r>
      <w:r>
        <w:rPr/>
        <w:t>2017</w:t>
      </w:r>
      <w:r>
        <w:rPr>
          <w:spacing w:val="-18"/>
        </w:rPr>
        <w:t> </w:t>
      </w:r>
      <w:r>
        <w:rPr/>
        <w:t>have</w:t>
      </w:r>
      <w:r>
        <w:rPr>
          <w:spacing w:val="-17"/>
        </w:rPr>
        <w:t> </w:t>
      </w:r>
      <w:r>
        <w:rPr/>
        <w:t>been</w:t>
      </w:r>
      <w:r>
        <w:rPr>
          <w:spacing w:val="-17"/>
        </w:rPr>
        <w:t> </w:t>
      </w:r>
      <w:r>
        <w:rPr/>
        <w:t>prepared</w:t>
      </w:r>
      <w:r>
        <w:rPr>
          <w:spacing w:val="-17"/>
        </w:rPr>
        <w:t> </w:t>
      </w:r>
      <w:r>
        <w:rPr>
          <w:spacing w:val="-9"/>
        </w:rPr>
        <w:t>in</w:t>
      </w:r>
    </w:p>
    <w:p>
      <w:pPr>
        <w:pStyle w:val="BodyText"/>
        <w:spacing w:line="249" w:lineRule="auto" w:before="1"/>
        <w:ind w:left="765" w:right="18"/>
      </w:pPr>
      <w:r>
        <w:rPr/>
        <w:t>accordance</w:t>
      </w:r>
      <w:r>
        <w:rPr>
          <w:spacing w:val="-26"/>
        </w:rPr>
        <w:t> </w:t>
      </w:r>
      <w:r>
        <w:rPr/>
        <w:t>with</w:t>
      </w:r>
      <w:r>
        <w:rPr>
          <w:spacing w:val="-26"/>
        </w:rPr>
        <w:t> </w:t>
      </w:r>
      <w:r>
        <w:rPr/>
        <w:t>Australian</w:t>
      </w:r>
      <w:r>
        <w:rPr>
          <w:spacing w:val="-25"/>
        </w:rPr>
        <w:t> </w:t>
      </w:r>
      <w:r>
        <w:rPr/>
        <w:t>Accounting</w:t>
      </w:r>
      <w:r>
        <w:rPr>
          <w:spacing w:val="-26"/>
        </w:rPr>
        <w:t> </w:t>
      </w:r>
      <w:r>
        <w:rPr>
          <w:spacing w:val="-3"/>
        </w:rPr>
        <w:t>Standards. </w:t>
      </w:r>
      <w:r>
        <w:rPr/>
        <w:t>The term ‘Australian Accounting Standards’ includes</w:t>
      </w:r>
      <w:r>
        <w:rPr>
          <w:spacing w:val="-13"/>
        </w:rPr>
        <w:t> </w:t>
      </w:r>
      <w:r>
        <w:rPr/>
        <w:t>Standards</w:t>
      </w:r>
      <w:r>
        <w:rPr>
          <w:spacing w:val="-13"/>
        </w:rPr>
        <w:t> </w:t>
      </w:r>
      <w:r>
        <w:rPr/>
        <w:t>and</w:t>
      </w:r>
      <w:r>
        <w:rPr>
          <w:spacing w:val="-12"/>
        </w:rPr>
        <w:t> </w:t>
      </w:r>
      <w:r>
        <w:rPr/>
        <w:t>Interpretations</w:t>
      </w:r>
      <w:r>
        <w:rPr>
          <w:spacing w:val="-13"/>
        </w:rPr>
        <w:t> </w:t>
      </w:r>
      <w:r>
        <w:rPr/>
        <w:t>issued</w:t>
      </w:r>
    </w:p>
    <w:p>
      <w:pPr>
        <w:pStyle w:val="BodyText"/>
        <w:spacing w:line="249" w:lineRule="auto" w:before="3"/>
        <w:ind w:left="765" w:right="424"/>
      </w:pPr>
      <w:r>
        <w:rPr/>
        <w:t>by</w:t>
      </w:r>
      <w:r>
        <w:rPr>
          <w:spacing w:val="-22"/>
        </w:rPr>
        <w:t> </w:t>
      </w:r>
      <w:r>
        <w:rPr/>
        <w:t>the</w:t>
      </w:r>
      <w:r>
        <w:rPr>
          <w:spacing w:val="-21"/>
        </w:rPr>
        <w:t> </w:t>
      </w:r>
      <w:r>
        <w:rPr/>
        <w:t>Australian</w:t>
      </w:r>
      <w:r>
        <w:rPr>
          <w:spacing w:val="-21"/>
        </w:rPr>
        <w:t> </w:t>
      </w:r>
      <w:r>
        <w:rPr/>
        <w:t>Accounting</w:t>
      </w:r>
      <w:r>
        <w:rPr>
          <w:spacing w:val="-21"/>
        </w:rPr>
        <w:t> </w:t>
      </w:r>
      <w:r>
        <w:rPr/>
        <w:t>Standards</w:t>
      </w:r>
      <w:r>
        <w:rPr>
          <w:spacing w:val="-21"/>
        </w:rPr>
        <w:t> </w:t>
      </w:r>
      <w:r>
        <w:rPr>
          <w:spacing w:val="-6"/>
        </w:rPr>
        <w:t>Board </w:t>
      </w:r>
      <w:r>
        <w:rPr/>
        <w:t>(AASB).</w:t>
      </w:r>
    </w:p>
    <w:p>
      <w:pPr>
        <w:pStyle w:val="BodyText"/>
        <w:spacing w:before="1"/>
        <w:rPr>
          <w:sz w:val="23"/>
        </w:rPr>
      </w:pPr>
    </w:p>
    <w:p>
      <w:pPr>
        <w:pStyle w:val="BodyText"/>
        <w:spacing w:line="249" w:lineRule="auto"/>
        <w:ind w:left="765" w:right="66"/>
      </w:pPr>
      <w:r>
        <w:rPr/>
        <w:t>The</w:t>
      </w:r>
      <w:r>
        <w:rPr>
          <w:spacing w:val="-19"/>
        </w:rPr>
        <w:t> </w:t>
      </w:r>
      <w:r>
        <w:rPr/>
        <w:t>Department</w:t>
      </w:r>
      <w:r>
        <w:rPr>
          <w:spacing w:val="-18"/>
        </w:rPr>
        <w:t> </w:t>
      </w:r>
      <w:r>
        <w:rPr/>
        <w:t>has</w:t>
      </w:r>
      <w:r>
        <w:rPr>
          <w:spacing w:val="-19"/>
        </w:rPr>
        <w:t> </w:t>
      </w:r>
      <w:r>
        <w:rPr/>
        <w:t>adopted</w:t>
      </w:r>
      <w:r>
        <w:rPr>
          <w:spacing w:val="-18"/>
        </w:rPr>
        <w:t> </w:t>
      </w:r>
      <w:r>
        <w:rPr/>
        <w:t>any</w:t>
      </w:r>
      <w:r>
        <w:rPr>
          <w:spacing w:val="-19"/>
        </w:rPr>
        <w:t> </w:t>
      </w:r>
      <w:r>
        <w:rPr/>
        <w:t>applicable</w:t>
      </w:r>
      <w:r>
        <w:rPr>
          <w:spacing w:val="-18"/>
        </w:rPr>
        <w:t> </w:t>
      </w:r>
      <w:r>
        <w:rPr/>
        <w:t>new and</w:t>
      </w:r>
      <w:r>
        <w:rPr>
          <w:spacing w:val="-29"/>
        </w:rPr>
        <w:t> </w:t>
      </w:r>
      <w:r>
        <w:rPr/>
        <w:t>revised</w:t>
      </w:r>
      <w:r>
        <w:rPr>
          <w:spacing w:val="-29"/>
        </w:rPr>
        <w:t> </w:t>
      </w:r>
      <w:r>
        <w:rPr/>
        <w:t>Australian</w:t>
      </w:r>
      <w:r>
        <w:rPr>
          <w:spacing w:val="-29"/>
        </w:rPr>
        <w:t> </w:t>
      </w:r>
      <w:r>
        <w:rPr/>
        <w:t>Accounting</w:t>
      </w:r>
      <w:r>
        <w:rPr>
          <w:spacing w:val="-29"/>
        </w:rPr>
        <w:t> </w:t>
      </w:r>
      <w:r>
        <w:rPr/>
        <w:t>Standards</w:t>
      </w:r>
      <w:r>
        <w:rPr>
          <w:spacing w:val="-29"/>
        </w:rPr>
        <w:t> </w:t>
      </w:r>
      <w:r>
        <w:rPr>
          <w:spacing w:val="-6"/>
        </w:rPr>
        <w:t>from </w:t>
      </w:r>
      <w:r>
        <w:rPr/>
        <w:t>their operative</w:t>
      </w:r>
      <w:r>
        <w:rPr>
          <w:spacing w:val="-3"/>
        </w:rPr>
        <w:t> </w:t>
      </w:r>
      <w:r>
        <w:rPr/>
        <w:t>dates.</w:t>
      </w:r>
    </w:p>
    <w:p>
      <w:pPr>
        <w:pStyle w:val="BodyText"/>
        <w:spacing w:before="2"/>
        <w:rPr>
          <w:sz w:val="23"/>
        </w:rPr>
      </w:pPr>
    </w:p>
    <w:p>
      <w:pPr>
        <w:pStyle w:val="Heading6"/>
        <w:spacing w:before="1"/>
      </w:pPr>
      <w:r>
        <w:rPr/>
        <w:t>Early adoption of standards</w:t>
      </w:r>
    </w:p>
    <w:p>
      <w:pPr>
        <w:pStyle w:val="BodyText"/>
        <w:spacing w:line="249" w:lineRule="auto" w:before="11"/>
        <w:ind w:left="765" w:right="-18"/>
      </w:pPr>
      <w:r>
        <w:rPr/>
        <w:t>The Department cannot early adopt an Australian Accounting</w:t>
      </w:r>
      <w:r>
        <w:rPr>
          <w:spacing w:val="-25"/>
        </w:rPr>
        <w:t> </w:t>
      </w:r>
      <w:r>
        <w:rPr/>
        <w:t>Standard</w:t>
      </w:r>
      <w:r>
        <w:rPr>
          <w:spacing w:val="-24"/>
        </w:rPr>
        <w:t> </w:t>
      </w:r>
      <w:r>
        <w:rPr/>
        <w:t>unless</w:t>
      </w:r>
      <w:r>
        <w:rPr>
          <w:spacing w:val="-25"/>
        </w:rPr>
        <w:t> </w:t>
      </w:r>
      <w:r>
        <w:rPr/>
        <w:t>specifically</w:t>
      </w:r>
      <w:r>
        <w:rPr>
          <w:spacing w:val="-24"/>
        </w:rPr>
        <w:t> </w:t>
      </w:r>
      <w:r>
        <w:rPr/>
        <w:t>permitted by TI 1101 </w:t>
      </w:r>
      <w:r>
        <w:rPr>
          <w:i/>
        </w:rPr>
        <w:t>Application of Australian Accounting </w:t>
      </w:r>
      <w:r>
        <w:rPr>
          <w:i/>
        </w:rPr>
        <w:t>Standards</w:t>
      </w:r>
      <w:r>
        <w:rPr>
          <w:i/>
          <w:spacing w:val="-25"/>
        </w:rPr>
        <w:t> </w:t>
      </w:r>
      <w:r>
        <w:rPr>
          <w:i/>
        </w:rPr>
        <w:t>and</w:t>
      </w:r>
      <w:r>
        <w:rPr>
          <w:i/>
          <w:spacing w:val="-24"/>
        </w:rPr>
        <w:t> </w:t>
      </w:r>
      <w:r>
        <w:rPr>
          <w:i/>
        </w:rPr>
        <w:t>Other</w:t>
      </w:r>
      <w:r>
        <w:rPr>
          <w:i/>
          <w:spacing w:val="-24"/>
        </w:rPr>
        <w:t> </w:t>
      </w:r>
      <w:r>
        <w:rPr>
          <w:i/>
        </w:rPr>
        <w:t>Pronouncements</w:t>
      </w:r>
      <w:r>
        <w:rPr/>
        <w:t>.</w:t>
      </w:r>
      <w:r>
        <w:rPr>
          <w:spacing w:val="-24"/>
        </w:rPr>
        <w:t> </w:t>
      </w:r>
      <w:r>
        <w:rPr/>
        <w:t>There</w:t>
      </w:r>
      <w:r>
        <w:rPr>
          <w:spacing w:val="-24"/>
        </w:rPr>
        <w:t> </w:t>
      </w:r>
      <w:r>
        <w:rPr/>
        <w:t>has been no early adoption of any other Australian Accounting Standards that have been issued or amended</w:t>
      </w:r>
      <w:r>
        <w:rPr>
          <w:spacing w:val="-20"/>
        </w:rPr>
        <w:t> </w:t>
      </w:r>
      <w:r>
        <w:rPr/>
        <w:t>(but</w:t>
      </w:r>
      <w:r>
        <w:rPr>
          <w:spacing w:val="-19"/>
        </w:rPr>
        <w:t> </w:t>
      </w:r>
      <w:r>
        <w:rPr/>
        <w:t>not</w:t>
      </w:r>
      <w:r>
        <w:rPr>
          <w:spacing w:val="-20"/>
        </w:rPr>
        <w:t> </w:t>
      </w:r>
      <w:r>
        <w:rPr/>
        <w:t>operative)</w:t>
      </w:r>
      <w:r>
        <w:rPr>
          <w:spacing w:val="-19"/>
        </w:rPr>
        <w:t> </w:t>
      </w:r>
      <w:r>
        <w:rPr/>
        <w:t>by</w:t>
      </w:r>
      <w:r>
        <w:rPr>
          <w:spacing w:val="-20"/>
        </w:rPr>
        <w:t> </w:t>
      </w:r>
      <w:r>
        <w:rPr/>
        <w:t>the</w:t>
      </w:r>
      <w:r>
        <w:rPr>
          <w:spacing w:val="-19"/>
        </w:rPr>
        <w:t> </w:t>
      </w:r>
      <w:r>
        <w:rPr/>
        <w:t>Department</w:t>
      </w:r>
      <w:r>
        <w:rPr>
          <w:spacing w:val="-20"/>
        </w:rPr>
        <w:t> </w:t>
      </w:r>
      <w:r>
        <w:rPr>
          <w:spacing w:val="-7"/>
        </w:rPr>
        <w:t>for </w:t>
      </w:r>
      <w:r>
        <w:rPr/>
        <w:t>the</w:t>
      </w:r>
      <w:r>
        <w:rPr>
          <w:spacing w:val="-12"/>
        </w:rPr>
        <w:t> </w:t>
      </w:r>
      <w:r>
        <w:rPr/>
        <w:t>annual</w:t>
      </w:r>
      <w:r>
        <w:rPr>
          <w:spacing w:val="-12"/>
        </w:rPr>
        <w:t> </w:t>
      </w:r>
      <w:r>
        <w:rPr/>
        <w:t>reporting</w:t>
      </w:r>
      <w:r>
        <w:rPr>
          <w:spacing w:val="-11"/>
        </w:rPr>
        <w:t> </w:t>
      </w:r>
      <w:r>
        <w:rPr/>
        <w:t>period</w:t>
      </w:r>
      <w:r>
        <w:rPr>
          <w:spacing w:val="-12"/>
        </w:rPr>
        <w:t> </w:t>
      </w:r>
      <w:r>
        <w:rPr/>
        <w:t>ended</w:t>
      </w:r>
      <w:r>
        <w:rPr>
          <w:spacing w:val="-12"/>
        </w:rPr>
        <w:t> </w:t>
      </w:r>
      <w:r>
        <w:rPr/>
        <w:t>30</w:t>
      </w:r>
      <w:r>
        <w:rPr>
          <w:spacing w:val="-11"/>
        </w:rPr>
        <w:t> </w:t>
      </w:r>
      <w:r>
        <w:rPr/>
        <w:t>June</w:t>
      </w:r>
      <w:r>
        <w:rPr>
          <w:spacing w:val="-12"/>
        </w:rPr>
        <w:t> </w:t>
      </w:r>
      <w:r>
        <w:rPr/>
        <w:t>2017.</w:t>
      </w:r>
    </w:p>
    <w:p>
      <w:pPr>
        <w:pStyle w:val="Heading5"/>
        <w:spacing w:line="235" w:lineRule="auto" w:before="253"/>
        <w:ind w:left="395" w:right="542"/>
      </w:pPr>
      <w:r>
        <w:rPr/>
        <w:br w:type="column"/>
      </w:r>
      <w:r>
        <w:rPr>
          <w:color w:val="6F2770"/>
        </w:rPr>
        <w:t>Note</w:t>
      </w:r>
      <w:r>
        <w:rPr>
          <w:color w:val="6F2770"/>
          <w:spacing w:val="-34"/>
        </w:rPr>
        <w:t> </w:t>
      </w:r>
      <w:r>
        <w:rPr>
          <w:color w:val="6F2770"/>
        </w:rPr>
        <w:t>2.</w:t>
      </w:r>
      <w:r>
        <w:rPr>
          <w:color w:val="6F2770"/>
          <w:spacing w:val="-34"/>
        </w:rPr>
        <w:t> </w:t>
      </w:r>
      <w:r>
        <w:rPr>
          <w:color w:val="6F2770"/>
        </w:rPr>
        <w:t>Summary</w:t>
      </w:r>
      <w:r>
        <w:rPr>
          <w:color w:val="6F2770"/>
          <w:spacing w:val="-34"/>
        </w:rPr>
        <w:t> </w:t>
      </w:r>
      <w:r>
        <w:rPr>
          <w:color w:val="6F2770"/>
        </w:rPr>
        <w:t>of</w:t>
      </w:r>
      <w:r>
        <w:rPr>
          <w:color w:val="6F2770"/>
          <w:spacing w:val="-33"/>
        </w:rPr>
        <w:t> </w:t>
      </w:r>
      <w:r>
        <w:rPr>
          <w:color w:val="6F2770"/>
        </w:rPr>
        <w:t>significant accounting</w:t>
      </w:r>
      <w:r>
        <w:rPr>
          <w:color w:val="6F2770"/>
          <w:spacing w:val="-4"/>
        </w:rPr>
        <w:t> </w:t>
      </w:r>
      <w:r>
        <w:rPr>
          <w:color w:val="6F2770"/>
        </w:rPr>
        <w:t>policies</w:t>
      </w:r>
    </w:p>
    <w:p>
      <w:pPr>
        <w:pStyle w:val="Heading6"/>
        <w:numPr>
          <w:ilvl w:val="0"/>
          <w:numId w:val="5"/>
        </w:numPr>
        <w:tabs>
          <w:tab w:pos="714" w:val="left" w:leader="none"/>
        </w:tabs>
        <w:spacing w:line="240" w:lineRule="auto" w:before="255" w:after="0"/>
        <w:ind w:left="713" w:right="0" w:hanging="318"/>
        <w:jc w:val="left"/>
      </w:pPr>
      <w:r>
        <w:rPr/>
        <w:t>General statement</w:t>
      </w:r>
    </w:p>
    <w:p>
      <w:pPr>
        <w:pStyle w:val="BodyText"/>
        <w:spacing w:line="249" w:lineRule="auto" w:before="11"/>
        <w:ind w:left="395" w:right="-11"/>
      </w:pPr>
      <w:r>
        <w:rPr/>
        <w:t>The Department is a not-for-profit reporting entity that</w:t>
      </w:r>
      <w:r>
        <w:rPr>
          <w:spacing w:val="-36"/>
        </w:rPr>
        <w:t> </w:t>
      </w:r>
      <w:r>
        <w:rPr/>
        <w:t>prepares</w:t>
      </w:r>
      <w:r>
        <w:rPr>
          <w:spacing w:val="-35"/>
        </w:rPr>
        <w:t> </w:t>
      </w:r>
      <w:r>
        <w:rPr/>
        <w:t>general</w:t>
      </w:r>
      <w:r>
        <w:rPr>
          <w:spacing w:val="-35"/>
        </w:rPr>
        <w:t> </w:t>
      </w:r>
      <w:r>
        <w:rPr/>
        <w:t>purpose</w:t>
      </w:r>
      <w:r>
        <w:rPr>
          <w:spacing w:val="-36"/>
        </w:rPr>
        <w:t> </w:t>
      </w:r>
      <w:r>
        <w:rPr/>
        <w:t>financial</w:t>
      </w:r>
      <w:r>
        <w:rPr>
          <w:spacing w:val="-35"/>
        </w:rPr>
        <w:t> </w:t>
      </w:r>
      <w:r>
        <w:rPr/>
        <w:t>statements in accordance with Australian Accounting Standards, the Framework, Statements of Accounting Concepts and other authoritative pronouncements of the AASB as applied by the </w:t>
      </w:r>
      <w:r>
        <w:rPr>
          <w:spacing w:val="-5"/>
        </w:rPr>
        <w:t>Treasurer’s </w:t>
      </w:r>
      <w:r>
        <w:rPr/>
        <w:t>Instructions. Several of these are modified by the </w:t>
      </w:r>
      <w:r>
        <w:rPr>
          <w:spacing w:val="-5"/>
        </w:rPr>
        <w:t>Treasurer’s </w:t>
      </w:r>
      <w:r>
        <w:rPr/>
        <w:t>Instructions to vary application, disclosure, format and</w:t>
      </w:r>
      <w:r>
        <w:rPr>
          <w:spacing w:val="-27"/>
        </w:rPr>
        <w:t> </w:t>
      </w:r>
      <w:r>
        <w:rPr/>
        <w:t>wording.</w:t>
      </w:r>
    </w:p>
    <w:p>
      <w:pPr>
        <w:pStyle w:val="BodyText"/>
        <w:spacing w:before="7"/>
        <w:rPr>
          <w:sz w:val="23"/>
        </w:rPr>
      </w:pPr>
    </w:p>
    <w:p>
      <w:pPr>
        <w:spacing w:line="249" w:lineRule="auto" w:before="0"/>
        <w:ind w:left="395" w:right="525" w:firstLine="0"/>
        <w:jc w:val="left"/>
        <w:rPr>
          <w:sz w:val="22"/>
        </w:rPr>
      </w:pPr>
      <w:r>
        <w:rPr>
          <w:sz w:val="22"/>
        </w:rPr>
        <w:t>The </w:t>
      </w:r>
      <w:r>
        <w:rPr>
          <w:i/>
          <w:sz w:val="22"/>
        </w:rPr>
        <w:t>Financial Management Act 2006 </w:t>
      </w:r>
      <w:r>
        <w:rPr>
          <w:sz w:val="22"/>
        </w:rPr>
        <w:t>and </w:t>
      </w:r>
      <w:r>
        <w:rPr>
          <w:w w:val="95"/>
          <w:sz w:val="22"/>
        </w:rPr>
        <w:t>the Treasurer’s Instructions impose legislative </w:t>
      </w:r>
      <w:r>
        <w:rPr>
          <w:sz w:val="22"/>
        </w:rPr>
        <w:t>provisions that govern the preparation of</w:t>
      </w:r>
    </w:p>
    <w:p>
      <w:pPr>
        <w:pStyle w:val="BodyText"/>
        <w:spacing w:line="249" w:lineRule="auto" w:before="3"/>
        <w:ind w:left="395" w:right="71"/>
      </w:pPr>
      <w:r>
        <w:rPr/>
        <w:t>financial statements and take precedence over Australian</w:t>
      </w:r>
      <w:r>
        <w:rPr>
          <w:spacing w:val="-38"/>
        </w:rPr>
        <w:t> </w:t>
      </w:r>
      <w:r>
        <w:rPr/>
        <w:t>Accounting</w:t>
      </w:r>
      <w:r>
        <w:rPr>
          <w:spacing w:val="-37"/>
        </w:rPr>
        <w:t> </w:t>
      </w:r>
      <w:r>
        <w:rPr/>
        <w:t>Standards,</w:t>
      </w:r>
      <w:r>
        <w:rPr>
          <w:spacing w:val="-37"/>
        </w:rPr>
        <w:t> </w:t>
      </w:r>
      <w:r>
        <w:rPr/>
        <w:t>the</w:t>
      </w:r>
      <w:r>
        <w:rPr>
          <w:spacing w:val="-37"/>
        </w:rPr>
        <w:t> </w:t>
      </w:r>
      <w:r>
        <w:rPr/>
        <w:t>Framework, Statements of Accounting Concepts and other authoritative pronouncements of the</w:t>
      </w:r>
      <w:r>
        <w:rPr>
          <w:spacing w:val="-35"/>
        </w:rPr>
        <w:t> </w:t>
      </w:r>
      <w:r>
        <w:rPr/>
        <w:t>AASB.</w:t>
      </w:r>
    </w:p>
    <w:p>
      <w:pPr>
        <w:pStyle w:val="BodyText"/>
        <w:spacing w:before="3"/>
        <w:rPr>
          <w:sz w:val="23"/>
        </w:rPr>
      </w:pPr>
    </w:p>
    <w:p>
      <w:pPr>
        <w:pStyle w:val="BodyText"/>
        <w:spacing w:line="249" w:lineRule="auto"/>
        <w:ind w:left="395" w:right="277"/>
      </w:pPr>
      <w:r>
        <w:rPr/>
        <w:t>Where modification is required and has had a material or significant financial effect upon the reported</w:t>
      </w:r>
      <w:r>
        <w:rPr>
          <w:spacing w:val="-20"/>
        </w:rPr>
        <w:t> </w:t>
      </w:r>
      <w:r>
        <w:rPr/>
        <w:t>results,</w:t>
      </w:r>
      <w:r>
        <w:rPr>
          <w:spacing w:val="-19"/>
        </w:rPr>
        <w:t> </w:t>
      </w:r>
      <w:r>
        <w:rPr/>
        <w:t>details</w:t>
      </w:r>
      <w:r>
        <w:rPr>
          <w:spacing w:val="-20"/>
        </w:rPr>
        <w:t> </w:t>
      </w:r>
      <w:r>
        <w:rPr/>
        <w:t>of</w:t>
      </w:r>
      <w:r>
        <w:rPr>
          <w:spacing w:val="-19"/>
        </w:rPr>
        <w:t> </w:t>
      </w:r>
      <w:r>
        <w:rPr/>
        <w:t>that</w:t>
      </w:r>
      <w:r>
        <w:rPr>
          <w:spacing w:val="-20"/>
        </w:rPr>
        <w:t> </w:t>
      </w:r>
      <w:r>
        <w:rPr/>
        <w:t>modification</w:t>
      </w:r>
      <w:r>
        <w:rPr>
          <w:spacing w:val="-19"/>
        </w:rPr>
        <w:t> </w:t>
      </w:r>
      <w:r>
        <w:rPr>
          <w:spacing w:val="-6"/>
        </w:rPr>
        <w:t>and </w:t>
      </w:r>
      <w:r>
        <w:rPr/>
        <w:t>the</w:t>
      </w:r>
      <w:r>
        <w:rPr>
          <w:spacing w:val="-23"/>
        </w:rPr>
        <w:t> </w:t>
      </w:r>
      <w:r>
        <w:rPr/>
        <w:t>resulting</w:t>
      </w:r>
      <w:r>
        <w:rPr>
          <w:spacing w:val="-23"/>
        </w:rPr>
        <w:t> </w:t>
      </w:r>
      <w:r>
        <w:rPr/>
        <w:t>financial</w:t>
      </w:r>
      <w:r>
        <w:rPr>
          <w:spacing w:val="-23"/>
        </w:rPr>
        <w:t> </w:t>
      </w:r>
      <w:r>
        <w:rPr/>
        <w:t>effect</w:t>
      </w:r>
      <w:r>
        <w:rPr>
          <w:spacing w:val="-23"/>
        </w:rPr>
        <w:t> </w:t>
      </w:r>
      <w:r>
        <w:rPr/>
        <w:t>are</w:t>
      </w:r>
      <w:r>
        <w:rPr>
          <w:spacing w:val="-23"/>
        </w:rPr>
        <w:t> </w:t>
      </w:r>
      <w:r>
        <w:rPr/>
        <w:t>disclosed</w:t>
      </w:r>
      <w:r>
        <w:rPr>
          <w:spacing w:val="-23"/>
        </w:rPr>
        <w:t> </w:t>
      </w:r>
      <w:r>
        <w:rPr/>
        <w:t>in</w:t>
      </w:r>
      <w:r>
        <w:rPr>
          <w:spacing w:val="-23"/>
        </w:rPr>
        <w:t> </w:t>
      </w:r>
      <w:r>
        <w:rPr/>
        <w:t>the notes to the financial</w:t>
      </w:r>
      <w:r>
        <w:rPr>
          <w:spacing w:val="-14"/>
        </w:rPr>
        <w:t> </w:t>
      </w:r>
      <w:r>
        <w:rPr/>
        <w:t>statements.</w:t>
      </w:r>
    </w:p>
    <w:p>
      <w:pPr>
        <w:pStyle w:val="BodyText"/>
        <w:spacing w:before="5"/>
        <w:rPr>
          <w:sz w:val="23"/>
        </w:rPr>
      </w:pPr>
      <w:r>
        <w:rPr/>
        <w:br w:type="column"/>
      </w:r>
      <w:r>
        <w:rPr>
          <w:sz w:val="23"/>
        </w:rPr>
      </w:r>
    </w:p>
    <w:p>
      <w:pPr>
        <w:pStyle w:val="Heading6"/>
        <w:numPr>
          <w:ilvl w:val="0"/>
          <w:numId w:val="5"/>
        </w:numPr>
        <w:tabs>
          <w:tab w:pos="746" w:val="left" w:leader="none"/>
        </w:tabs>
        <w:spacing w:line="240" w:lineRule="auto" w:before="0" w:after="0"/>
        <w:ind w:left="745" w:right="0" w:hanging="325"/>
        <w:jc w:val="left"/>
      </w:pPr>
      <w:r>
        <w:rPr/>
        <w:t>Basis of</w:t>
      </w:r>
      <w:r>
        <w:rPr>
          <w:spacing w:val="-1"/>
        </w:rPr>
        <w:t> </w:t>
      </w:r>
      <w:r>
        <w:rPr/>
        <w:t>preparation</w:t>
      </w:r>
    </w:p>
    <w:p>
      <w:pPr>
        <w:pStyle w:val="BodyText"/>
        <w:spacing w:line="249" w:lineRule="auto" w:before="11"/>
        <w:ind w:left="420" w:right="813"/>
      </w:pPr>
      <w:r>
        <w:rPr/>
        <w:t>The financial statements have been prepared on the</w:t>
      </w:r>
      <w:r>
        <w:rPr>
          <w:spacing w:val="-22"/>
        </w:rPr>
        <w:t> </w:t>
      </w:r>
      <w:r>
        <w:rPr/>
        <w:t>accrual</w:t>
      </w:r>
      <w:r>
        <w:rPr>
          <w:spacing w:val="-21"/>
        </w:rPr>
        <w:t> </w:t>
      </w:r>
      <w:r>
        <w:rPr/>
        <w:t>basis</w:t>
      </w:r>
      <w:r>
        <w:rPr>
          <w:spacing w:val="-22"/>
        </w:rPr>
        <w:t> </w:t>
      </w:r>
      <w:r>
        <w:rPr/>
        <w:t>of</w:t>
      </w:r>
      <w:r>
        <w:rPr>
          <w:spacing w:val="-21"/>
        </w:rPr>
        <w:t> </w:t>
      </w:r>
      <w:r>
        <w:rPr/>
        <w:t>accounting</w:t>
      </w:r>
      <w:r>
        <w:rPr>
          <w:spacing w:val="-21"/>
        </w:rPr>
        <w:t> </w:t>
      </w:r>
      <w:r>
        <w:rPr/>
        <w:t>using</w:t>
      </w:r>
      <w:r>
        <w:rPr>
          <w:spacing w:val="-22"/>
        </w:rPr>
        <w:t> </w:t>
      </w:r>
      <w:r>
        <w:rPr/>
        <w:t>the</w:t>
      </w:r>
      <w:r>
        <w:rPr>
          <w:spacing w:val="-21"/>
        </w:rPr>
        <w:t> </w:t>
      </w:r>
      <w:r>
        <w:rPr/>
        <w:t>historical cost convention, except for land and buildings which have been measured at fair</w:t>
      </w:r>
      <w:r>
        <w:rPr>
          <w:spacing w:val="-43"/>
        </w:rPr>
        <w:t> </w:t>
      </w:r>
      <w:r>
        <w:rPr/>
        <w:t>value.</w:t>
      </w:r>
    </w:p>
    <w:p>
      <w:pPr>
        <w:pStyle w:val="BodyText"/>
        <w:spacing w:before="3"/>
        <w:rPr>
          <w:sz w:val="23"/>
        </w:rPr>
      </w:pPr>
    </w:p>
    <w:p>
      <w:pPr>
        <w:pStyle w:val="BodyText"/>
        <w:spacing w:line="249" w:lineRule="auto"/>
        <w:ind w:left="420" w:right="778"/>
      </w:pPr>
      <w:r>
        <w:rPr/>
        <w:t>The</w:t>
      </w:r>
      <w:r>
        <w:rPr>
          <w:spacing w:val="-18"/>
        </w:rPr>
        <w:t> </w:t>
      </w:r>
      <w:r>
        <w:rPr/>
        <w:t>accounting</w:t>
      </w:r>
      <w:r>
        <w:rPr>
          <w:spacing w:val="-18"/>
        </w:rPr>
        <w:t> </w:t>
      </w:r>
      <w:r>
        <w:rPr/>
        <w:t>policies</w:t>
      </w:r>
      <w:r>
        <w:rPr>
          <w:spacing w:val="-18"/>
        </w:rPr>
        <w:t> </w:t>
      </w:r>
      <w:r>
        <w:rPr/>
        <w:t>adopted</w:t>
      </w:r>
      <w:r>
        <w:rPr>
          <w:spacing w:val="-17"/>
        </w:rPr>
        <w:t> </w:t>
      </w:r>
      <w:r>
        <w:rPr/>
        <w:t>in</w:t>
      </w:r>
      <w:r>
        <w:rPr>
          <w:spacing w:val="-18"/>
        </w:rPr>
        <w:t> </w:t>
      </w:r>
      <w:r>
        <w:rPr/>
        <w:t>the</w:t>
      </w:r>
      <w:r>
        <w:rPr>
          <w:spacing w:val="-18"/>
        </w:rPr>
        <w:t> </w:t>
      </w:r>
      <w:r>
        <w:rPr>
          <w:spacing w:val="-3"/>
        </w:rPr>
        <w:t>preparation </w:t>
      </w:r>
      <w:r>
        <w:rPr/>
        <w:t>of</w:t>
      </w:r>
      <w:r>
        <w:rPr>
          <w:spacing w:val="-22"/>
        </w:rPr>
        <w:t> </w:t>
      </w:r>
      <w:r>
        <w:rPr/>
        <w:t>the</w:t>
      </w:r>
      <w:r>
        <w:rPr>
          <w:spacing w:val="-21"/>
        </w:rPr>
        <w:t> </w:t>
      </w:r>
      <w:r>
        <w:rPr/>
        <w:t>financial</w:t>
      </w:r>
      <w:r>
        <w:rPr>
          <w:spacing w:val="-21"/>
        </w:rPr>
        <w:t> </w:t>
      </w:r>
      <w:r>
        <w:rPr/>
        <w:t>statements</w:t>
      </w:r>
      <w:r>
        <w:rPr>
          <w:spacing w:val="-22"/>
        </w:rPr>
        <w:t> </w:t>
      </w:r>
      <w:r>
        <w:rPr/>
        <w:t>have</w:t>
      </w:r>
      <w:r>
        <w:rPr>
          <w:spacing w:val="-21"/>
        </w:rPr>
        <w:t> </w:t>
      </w:r>
      <w:r>
        <w:rPr/>
        <w:t>been</w:t>
      </w:r>
      <w:r>
        <w:rPr>
          <w:spacing w:val="-21"/>
        </w:rPr>
        <w:t> </w:t>
      </w:r>
      <w:r>
        <w:rPr/>
        <w:t>consistently applied throughout all periods presented unless otherwise</w:t>
      </w:r>
      <w:r>
        <w:rPr>
          <w:spacing w:val="-1"/>
        </w:rPr>
        <w:t> </w:t>
      </w:r>
      <w:r>
        <w:rPr/>
        <w:t>stated.</w:t>
      </w:r>
    </w:p>
    <w:p>
      <w:pPr>
        <w:pStyle w:val="BodyText"/>
        <w:spacing w:before="3"/>
        <w:rPr>
          <w:sz w:val="23"/>
        </w:rPr>
      </w:pPr>
    </w:p>
    <w:p>
      <w:pPr>
        <w:pStyle w:val="BodyText"/>
        <w:spacing w:line="249" w:lineRule="auto"/>
        <w:ind w:left="420" w:right="823"/>
      </w:pPr>
      <w:r>
        <w:rPr/>
        <w:t>The financial statements are presented in Australian</w:t>
      </w:r>
      <w:r>
        <w:rPr>
          <w:spacing w:val="-24"/>
        </w:rPr>
        <w:t> </w:t>
      </w:r>
      <w:r>
        <w:rPr/>
        <w:t>dollars</w:t>
      </w:r>
      <w:r>
        <w:rPr>
          <w:spacing w:val="-24"/>
        </w:rPr>
        <w:t> </w:t>
      </w:r>
      <w:r>
        <w:rPr/>
        <w:t>and</w:t>
      </w:r>
      <w:r>
        <w:rPr>
          <w:spacing w:val="-24"/>
        </w:rPr>
        <w:t> </w:t>
      </w:r>
      <w:r>
        <w:rPr/>
        <w:t>all</w:t>
      </w:r>
      <w:r>
        <w:rPr>
          <w:spacing w:val="-24"/>
        </w:rPr>
        <w:t> </w:t>
      </w:r>
      <w:r>
        <w:rPr/>
        <w:t>values</w:t>
      </w:r>
      <w:r>
        <w:rPr>
          <w:spacing w:val="-24"/>
        </w:rPr>
        <w:t> </w:t>
      </w:r>
      <w:r>
        <w:rPr/>
        <w:t>are</w:t>
      </w:r>
      <w:r>
        <w:rPr>
          <w:spacing w:val="-24"/>
        </w:rPr>
        <w:t> </w:t>
      </w:r>
      <w:r>
        <w:rPr/>
        <w:t>rounded</w:t>
      </w:r>
      <w:r>
        <w:rPr>
          <w:spacing w:val="-24"/>
        </w:rPr>
        <w:t> </w:t>
      </w:r>
      <w:r>
        <w:rPr/>
        <w:t>to</w:t>
      </w:r>
      <w:r>
        <w:rPr>
          <w:spacing w:val="-24"/>
        </w:rPr>
        <w:t> </w:t>
      </w:r>
      <w:r>
        <w:rPr>
          <w:spacing w:val="-6"/>
        </w:rPr>
        <w:t>the </w:t>
      </w:r>
      <w:r>
        <w:rPr/>
        <w:t>nearest thousand dollars</w:t>
      </w:r>
      <w:r>
        <w:rPr>
          <w:spacing w:val="-12"/>
        </w:rPr>
        <w:t> </w:t>
      </w:r>
      <w:r>
        <w:rPr/>
        <w:t>($000).</w:t>
      </w:r>
    </w:p>
    <w:p>
      <w:pPr>
        <w:pStyle w:val="BodyText"/>
        <w:spacing w:before="2"/>
        <w:rPr>
          <w:sz w:val="23"/>
        </w:rPr>
      </w:pPr>
    </w:p>
    <w:p>
      <w:pPr>
        <w:pStyle w:val="BodyText"/>
        <w:spacing w:line="249" w:lineRule="auto"/>
        <w:ind w:left="420" w:right="1360"/>
      </w:pPr>
      <w:r>
        <w:rPr/>
        <w:t>Note 4 ‘Judgements made by management in applying accounting policies’ discloses</w:t>
      </w:r>
    </w:p>
    <w:p>
      <w:pPr>
        <w:pStyle w:val="BodyText"/>
        <w:spacing w:line="249" w:lineRule="auto" w:before="2"/>
        <w:ind w:left="420" w:right="903"/>
      </w:pPr>
      <w:r>
        <w:rPr/>
        <w:t>judgements</w:t>
      </w:r>
      <w:r>
        <w:rPr>
          <w:spacing w:val="-15"/>
        </w:rPr>
        <w:t> </w:t>
      </w:r>
      <w:r>
        <w:rPr/>
        <w:t>that</w:t>
      </w:r>
      <w:r>
        <w:rPr>
          <w:spacing w:val="-15"/>
        </w:rPr>
        <w:t> </w:t>
      </w:r>
      <w:r>
        <w:rPr/>
        <w:t>have</w:t>
      </w:r>
      <w:r>
        <w:rPr>
          <w:spacing w:val="-14"/>
        </w:rPr>
        <w:t> </w:t>
      </w:r>
      <w:r>
        <w:rPr/>
        <w:t>been</w:t>
      </w:r>
      <w:r>
        <w:rPr>
          <w:spacing w:val="-15"/>
        </w:rPr>
        <w:t> </w:t>
      </w:r>
      <w:r>
        <w:rPr/>
        <w:t>made</w:t>
      </w:r>
      <w:r>
        <w:rPr>
          <w:spacing w:val="-14"/>
        </w:rPr>
        <w:t> </w:t>
      </w:r>
      <w:r>
        <w:rPr/>
        <w:t>in</w:t>
      </w:r>
      <w:r>
        <w:rPr>
          <w:spacing w:val="-15"/>
        </w:rPr>
        <w:t> </w:t>
      </w:r>
      <w:r>
        <w:rPr/>
        <w:t>the</w:t>
      </w:r>
      <w:r>
        <w:rPr>
          <w:spacing w:val="-15"/>
        </w:rPr>
        <w:t> </w:t>
      </w:r>
      <w:r>
        <w:rPr/>
        <w:t>process of</w:t>
      </w:r>
      <w:r>
        <w:rPr>
          <w:spacing w:val="-15"/>
        </w:rPr>
        <w:t> </w:t>
      </w:r>
      <w:r>
        <w:rPr/>
        <w:t>applying</w:t>
      </w:r>
      <w:r>
        <w:rPr>
          <w:spacing w:val="-15"/>
        </w:rPr>
        <w:t> </w:t>
      </w:r>
      <w:r>
        <w:rPr/>
        <w:t>the</w:t>
      </w:r>
      <w:r>
        <w:rPr>
          <w:spacing w:val="-15"/>
        </w:rPr>
        <w:t> </w:t>
      </w:r>
      <w:r>
        <w:rPr>
          <w:spacing w:val="-3"/>
        </w:rPr>
        <w:t>Department’s</w:t>
      </w:r>
      <w:r>
        <w:rPr>
          <w:spacing w:val="-15"/>
        </w:rPr>
        <w:t> </w:t>
      </w:r>
      <w:r>
        <w:rPr/>
        <w:t>accounting</w:t>
      </w:r>
      <w:r>
        <w:rPr>
          <w:spacing w:val="-15"/>
        </w:rPr>
        <w:t> </w:t>
      </w:r>
      <w:r>
        <w:rPr/>
        <w:t>policies resulting</w:t>
      </w:r>
      <w:r>
        <w:rPr>
          <w:spacing w:val="-20"/>
        </w:rPr>
        <w:t> </w:t>
      </w:r>
      <w:r>
        <w:rPr/>
        <w:t>in</w:t>
      </w:r>
      <w:r>
        <w:rPr>
          <w:spacing w:val="-19"/>
        </w:rPr>
        <w:t> </w:t>
      </w:r>
      <w:r>
        <w:rPr/>
        <w:t>the</w:t>
      </w:r>
      <w:r>
        <w:rPr>
          <w:spacing w:val="-19"/>
        </w:rPr>
        <w:t> </w:t>
      </w:r>
      <w:r>
        <w:rPr/>
        <w:t>most</w:t>
      </w:r>
      <w:r>
        <w:rPr>
          <w:spacing w:val="-19"/>
        </w:rPr>
        <w:t> </w:t>
      </w:r>
      <w:r>
        <w:rPr/>
        <w:t>significant</w:t>
      </w:r>
      <w:r>
        <w:rPr>
          <w:spacing w:val="-19"/>
        </w:rPr>
        <w:t> </w:t>
      </w:r>
      <w:r>
        <w:rPr/>
        <w:t>effect</w:t>
      </w:r>
      <w:r>
        <w:rPr>
          <w:spacing w:val="-19"/>
        </w:rPr>
        <w:t> </w:t>
      </w:r>
      <w:r>
        <w:rPr/>
        <w:t>on</w:t>
      </w:r>
      <w:r>
        <w:rPr>
          <w:spacing w:val="-19"/>
        </w:rPr>
        <w:t> </w:t>
      </w:r>
      <w:r>
        <w:rPr>
          <w:spacing w:val="-3"/>
        </w:rPr>
        <w:t>amounts </w:t>
      </w:r>
      <w:r>
        <w:rPr/>
        <w:t>recognised in the financial</w:t>
      </w:r>
      <w:r>
        <w:rPr>
          <w:spacing w:val="-24"/>
        </w:rPr>
        <w:t> </w:t>
      </w:r>
      <w:r>
        <w:rPr/>
        <w:t>statements.</w:t>
      </w:r>
    </w:p>
    <w:p>
      <w:pPr>
        <w:pStyle w:val="BodyText"/>
        <w:spacing w:before="3"/>
        <w:rPr>
          <w:sz w:val="23"/>
        </w:rPr>
      </w:pPr>
    </w:p>
    <w:p>
      <w:pPr>
        <w:pStyle w:val="BodyText"/>
        <w:spacing w:line="249" w:lineRule="auto"/>
        <w:ind w:left="420" w:right="1131"/>
      </w:pPr>
      <w:r>
        <w:rPr/>
        <w:t>Note</w:t>
      </w:r>
      <w:r>
        <w:rPr>
          <w:spacing w:val="-14"/>
        </w:rPr>
        <w:t> </w:t>
      </w:r>
      <w:r>
        <w:rPr/>
        <w:t>5</w:t>
      </w:r>
      <w:r>
        <w:rPr>
          <w:spacing w:val="-14"/>
        </w:rPr>
        <w:t> </w:t>
      </w:r>
      <w:r>
        <w:rPr/>
        <w:t>‘Key</w:t>
      </w:r>
      <w:r>
        <w:rPr>
          <w:spacing w:val="-14"/>
        </w:rPr>
        <w:t> </w:t>
      </w:r>
      <w:r>
        <w:rPr/>
        <w:t>sources</w:t>
      </w:r>
      <w:r>
        <w:rPr>
          <w:spacing w:val="-14"/>
        </w:rPr>
        <w:t> </w:t>
      </w:r>
      <w:r>
        <w:rPr/>
        <w:t>of</w:t>
      </w:r>
      <w:r>
        <w:rPr>
          <w:spacing w:val="-13"/>
        </w:rPr>
        <w:t> </w:t>
      </w:r>
      <w:r>
        <w:rPr/>
        <w:t>estimation</w:t>
      </w:r>
      <w:r>
        <w:rPr>
          <w:spacing w:val="-14"/>
        </w:rPr>
        <w:t> </w:t>
      </w:r>
      <w:r>
        <w:rPr/>
        <w:t>uncertainty’ discloses key assumptions made concerning the</w:t>
      </w:r>
      <w:r>
        <w:rPr>
          <w:spacing w:val="-17"/>
        </w:rPr>
        <w:t> </w:t>
      </w:r>
      <w:r>
        <w:rPr/>
        <w:t>future,</w:t>
      </w:r>
      <w:r>
        <w:rPr>
          <w:spacing w:val="-17"/>
        </w:rPr>
        <w:t> </w:t>
      </w:r>
      <w:r>
        <w:rPr/>
        <w:t>and</w:t>
      </w:r>
      <w:r>
        <w:rPr>
          <w:spacing w:val="-16"/>
        </w:rPr>
        <w:t> </w:t>
      </w:r>
      <w:r>
        <w:rPr/>
        <w:t>other</w:t>
      </w:r>
      <w:r>
        <w:rPr>
          <w:spacing w:val="-17"/>
        </w:rPr>
        <w:t> </w:t>
      </w:r>
      <w:r>
        <w:rPr/>
        <w:t>key</w:t>
      </w:r>
      <w:r>
        <w:rPr>
          <w:spacing w:val="-17"/>
        </w:rPr>
        <w:t> </w:t>
      </w:r>
      <w:r>
        <w:rPr/>
        <w:t>sources</w:t>
      </w:r>
      <w:r>
        <w:rPr>
          <w:spacing w:val="-16"/>
        </w:rPr>
        <w:t> </w:t>
      </w:r>
      <w:r>
        <w:rPr/>
        <w:t>of</w:t>
      </w:r>
      <w:r>
        <w:rPr>
          <w:spacing w:val="-17"/>
        </w:rPr>
        <w:t> </w:t>
      </w:r>
      <w:r>
        <w:rPr/>
        <w:t>estimation uncertainty at the end of the reporting period, that</w:t>
      </w:r>
      <w:r>
        <w:rPr>
          <w:spacing w:val="-21"/>
        </w:rPr>
        <w:t> </w:t>
      </w:r>
      <w:r>
        <w:rPr/>
        <w:t>have</w:t>
      </w:r>
      <w:r>
        <w:rPr>
          <w:spacing w:val="-20"/>
        </w:rPr>
        <w:t> </w:t>
      </w:r>
      <w:r>
        <w:rPr/>
        <w:t>a</w:t>
      </w:r>
      <w:r>
        <w:rPr>
          <w:spacing w:val="-20"/>
        </w:rPr>
        <w:t> </w:t>
      </w:r>
      <w:r>
        <w:rPr/>
        <w:t>significant</w:t>
      </w:r>
      <w:r>
        <w:rPr>
          <w:spacing w:val="-21"/>
        </w:rPr>
        <w:t> </w:t>
      </w:r>
      <w:r>
        <w:rPr/>
        <w:t>risk</w:t>
      </w:r>
      <w:r>
        <w:rPr>
          <w:spacing w:val="-20"/>
        </w:rPr>
        <w:t> </w:t>
      </w:r>
      <w:r>
        <w:rPr/>
        <w:t>of</w:t>
      </w:r>
      <w:r>
        <w:rPr>
          <w:spacing w:val="-20"/>
        </w:rPr>
        <w:t> </w:t>
      </w:r>
      <w:r>
        <w:rPr/>
        <w:t>causing</w:t>
      </w:r>
      <w:r>
        <w:rPr>
          <w:spacing w:val="-21"/>
        </w:rPr>
        <w:t> </w:t>
      </w:r>
      <w:r>
        <w:rPr/>
        <w:t>a</w:t>
      </w:r>
      <w:r>
        <w:rPr>
          <w:spacing w:val="-20"/>
        </w:rPr>
        <w:t> </w:t>
      </w:r>
      <w:r>
        <w:rPr>
          <w:spacing w:val="-3"/>
        </w:rPr>
        <w:t>material</w:t>
      </w:r>
    </w:p>
    <w:p>
      <w:pPr>
        <w:pStyle w:val="BodyText"/>
        <w:spacing w:line="249" w:lineRule="auto" w:before="5"/>
        <w:ind w:left="420" w:right="889"/>
      </w:pPr>
      <w:r>
        <w:rPr/>
        <w:t>adjustment</w:t>
      </w:r>
      <w:r>
        <w:rPr>
          <w:spacing w:val="-16"/>
        </w:rPr>
        <w:t> </w:t>
      </w:r>
      <w:r>
        <w:rPr/>
        <w:t>to</w:t>
      </w:r>
      <w:r>
        <w:rPr>
          <w:spacing w:val="-16"/>
        </w:rPr>
        <w:t> </w:t>
      </w:r>
      <w:r>
        <w:rPr/>
        <w:t>the</w:t>
      </w:r>
      <w:r>
        <w:rPr>
          <w:spacing w:val="-16"/>
        </w:rPr>
        <w:t> </w:t>
      </w:r>
      <w:r>
        <w:rPr/>
        <w:t>carrying</w:t>
      </w:r>
      <w:r>
        <w:rPr>
          <w:spacing w:val="-15"/>
        </w:rPr>
        <w:t> </w:t>
      </w:r>
      <w:r>
        <w:rPr/>
        <w:t>amounts</w:t>
      </w:r>
      <w:r>
        <w:rPr>
          <w:spacing w:val="-16"/>
        </w:rPr>
        <w:t> </w:t>
      </w:r>
      <w:r>
        <w:rPr/>
        <w:t>of</w:t>
      </w:r>
      <w:r>
        <w:rPr>
          <w:spacing w:val="-16"/>
        </w:rPr>
        <w:t> </w:t>
      </w:r>
      <w:r>
        <w:rPr/>
        <w:t>assets</w:t>
      </w:r>
      <w:r>
        <w:rPr>
          <w:spacing w:val="-15"/>
        </w:rPr>
        <w:t> </w:t>
      </w:r>
      <w:r>
        <w:rPr>
          <w:spacing w:val="-6"/>
        </w:rPr>
        <w:t>and </w:t>
      </w:r>
      <w:r>
        <w:rPr/>
        <w:t>liabilities within the next reporting</w:t>
      </w:r>
      <w:r>
        <w:rPr>
          <w:spacing w:val="-36"/>
        </w:rPr>
        <w:t> </w:t>
      </w:r>
      <w:r>
        <w:rPr/>
        <w:t>period.</w:t>
      </w:r>
    </w:p>
    <w:p>
      <w:pPr>
        <w:spacing w:after="0" w:line="249" w:lineRule="auto"/>
        <w:sectPr>
          <w:type w:val="continuous"/>
          <w:pgSz w:w="16840" w:h="11910" w:orient="landscape"/>
          <w:pgMar w:top="0" w:bottom="0" w:left="0" w:right="0"/>
          <w:cols w:num="3" w:equalWidth="0">
            <w:col w:w="5574" w:space="40"/>
            <w:col w:w="5180" w:space="39"/>
            <w:col w:w="6007"/>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292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304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307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192"/>
          <w:pgSz w:w="16840" w:h="11910" w:orient="landscape"/>
          <w:pgMar w:footer="0" w:header="0" w:top="0" w:bottom="280" w:left="0" w:right="0"/>
        </w:sectPr>
      </w:pPr>
    </w:p>
    <w:p>
      <w:pPr>
        <w:pStyle w:val="BodyText"/>
        <w:spacing w:before="5"/>
        <w:rPr>
          <w:sz w:val="23"/>
        </w:rPr>
      </w:pPr>
    </w:p>
    <w:p>
      <w:pPr>
        <w:pStyle w:val="Heading6"/>
        <w:numPr>
          <w:ilvl w:val="0"/>
          <w:numId w:val="5"/>
        </w:numPr>
        <w:tabs>
          <w:tab w:pos="1084" w:val="left" w:leader="none"/>
        </w:tabs>
        <w:spacing w:line="240" w:lineRule="auto" w:before="0" w:after="0"/>
        <w:ind w:left="1083" w:right="0" w:hanging="318"/>
        <w:jc w:val="left"/>
      </w:pPr>
      <w:r>
        <w:rPr/>
        <w:t>Reporting</w:t>
      </w:r>
      <w:r>
        <w:rPr>
          <w:spacing w:val="-1"/>
        </w:rPr>
        <w:t> </w:t>
      </w:r>
      <w:r>
        <w:rPr/>
        <w:t>entity</w:t>
      </w:r>
    </w:p>
    <w:p>
      <w:pPr>
        <w:pStyle w:val="BodyText"/>
        <w:spacing w:before="11"/>
        <w:ind w:left="765"/>
      </w:pPr>
      <w:r>
        <w:rPr/>
        <w:t>The</w:t>
      </w:r>
      <w:r>
        <w:rPr>
          <w:spacing w:val="-22"/>
        </w:rPr>
        <w:t> </w:t>
      </w:r>
      <w:r>
        <w:rPr/>
        <w:t>reporting</w:t>
      </w:r>
      <w:r>
        <w:rPr>
          <w:spacing w:val="-21"/>
        </w:rPr>
        <w:t> </w:t>
      </w:r>
      <w:r>
        <w:rPr/>
        <w:t>entity</w:t>
      </w:r>
      <w:r>
        <w:rPr>
          <w:spacing w:val="-21"/>
        </w:rPr>
        <w:t> </w:t>
      </w:r>
      <w:r>
        <w:rPr/>
        <w:t>is</w:t>
      </w:r>
      <w:r>
        <w:rPr>
          <w:spacing w:val="-21"/>
        </w:rPr>
        <w:t> </w:t>
      </w:r>
      <w:r>
        <w:rPr/>
        <w:t>the</w:t>
      </w:r>
      <w:r>
        <w:rPr>
          <w:spacing w:val="-22"/>
        </w:rPr>
        <w:t> </w:t>
      </w:r>
      <w:r>
        <w:rPr/>
        <w:t>Department</w:t>
      </w:r>
      <w:r>
        <w:rPr>
          <w:spacing w:val="-21"/>
        </w:rPr>
        <w:t> </w:t>
      </w:r>
      <w:r>
        <w:rPr/>
        <w:t>of</w:t>
      </w:r>
      <w:r>
        <w:rPr>
          <w:spacing w:val="-21"/>
        </w:rPr>
        <w:t> </w:t>
      </w:r>
      <w:r>
        <w:rPr/>
        <w:t>Finance.</w:t>
      </w:r>
    </w:p>
    <w:p>
      <w:pPr>
        <w:pStyle w:val="BodyText"/>
        <w:spacing w:before="10"/>
        <w:rPr>
          <w:sz w:val="23"/>
        </w:rPr>
      </w:pPr>
    </w:p>
    <w:p>
      <w:pPr>
        <w:spacing w:before="0"/>
        <w:ind w:left="765" w:right="0" w:firstLine="0"/>
        <w:jc w:val="left"/>
        <w:rPr>
          <w:i/>
          <w:sz w:val="22"/>
        </w:rPr>
      </w:pPr>
      <w:r>
        <w:rPr>
          <w:i/>
          <w:color w:val="6F2770"/>
          <w:sz w:val="22"/>
        </w:rPr>
        <w:t>Mission</w:t>
      </w:r>
    </w:p>
    <w:p>
      <w:pPr>
        <w:pStyle w:val="BodyText"/>
        <w:spacing w:line="249" w:lineRule="auto" w:before="12"/>
        <w:ind w:left="765" w:right="170"/>
      </w:pPr>
      <w:r>
        <w:rPr/>
        <w:t>The </w:t>
      </w:r>
      <w:r>
        <w:rPr>
          <w:spacing w:val="-3"/>
        </w:rPr>
        <w:t>Department’s </w:t>
      </w:r>
      <w:r>
        <w:rPr/>
        <w:t>mission is to facilitate the efficient operation of government, informed decision</w:t>
      </w:r>
      <w:r>
        <w:rPr>
          <w:spacing w:val="-33"/>
        </w:rPr>
        <w:t> </w:t>
      </w:r>
      <w:r>
        <w:rPr/>
        <w:t>making</w:t>
      </w:r>
      <w:r>
        <w:rPr>
          <w:spacing w:val="-32"/>
        </w:rPr>
        <w:t> </w:t>
      </w:r>
      <w:r>
        <w:rPr/>
        <w:t>and</w:t>
      </w:r>
      <w:r>
        <w:rPr>
          <w:spacing w:val="-33"/>
        </w:rPr>
        <w:t> </w:t>
      </w:r>
      <w:r>
        <w:rPr/>
        <w:t>value-for-money</w:t>
      </w:r>
      <w:r>
        <w:rPr>
          <w:spacing w:val="-32"/>
        </w:rPr>
        <w:t> </w:t>
      </w:r>
      <w:r>
        <w:rPr/>
        <w:t>outcomes for Western</w:t>
      </w:r>
      <w:r>
        <w:rPr>
          <w:spacing w:val="-6"/>
        </w:rPr>
        <w:t> </w:t>
      </w:r>
      <w:r>
        <w:rPr/>
        <w:t>Australians.</w:t>
      </w:r>
    </w:p>
    <w:p>
      <w:pPr>
        <w:pStyle w:val="BodyText"/>
        <w:spacing w:before="2"/>
        <w:rPr>
          <w:sz w:val="23"/>
        </w:rPr>
      </w:pPr>
    </w:p>
    <w:p>
      <w:pPr>
        <w:spacing w:before="1"/>
        <w:ind w:left="765" w:right="0" w:firstLine="0"/>
        <w:jc w:val="left"/>
        <w:rPr>
          <w:i/>
          <w:sz w:val="22"/>
        </w:rPr>
      </w:pPr>
      <w:r>
        <w:rPr>
          <w:i/>
          <w:color w:val="6F2770"/>
          <w:sz w:val="22"/>
        </w:rPr>
        <w:t>Services</w:t>
      </w:r>
    </w:p>
    <w:p>
      <w:pPr>
        <w:pStyle w:val="BodyText"/>
        <w:spacing w:before="11"/>
        <w:ind w:left="765"/>
      </w:pPr>
      <w:r>
        <w:rPr/>
        <w:t>The Department provides the following services:</w:t>
      </w:r>
    </w:p>
    <w:p>
      <w:pPr>
        <w:pStyle w:val="BodyText"/>
        <w:spacing w:before="10"/>
        <w:rPr>
          <w:sz w:val="23"/>
        </w:rPr>
      </w:pPr>
    </w:p>
    <w:p>
      <w:pPr>
        <w:spacing w:line="249" w:lineRule="auto" w:before="0"/>
        <w:ind w:left="765" w:right="264" w:firstLine="0"/>
        <w:jc w:val="left"/>
        <w:rPr>
          <w:i/>
          <w:sz w:val="22"/>
        </w:rPr>
      </w:pPr>
      <w:r>
        <w:rPr>
          <w:i/>
          <w:sz w:val="22"/>
        </w:rPr>
        <w:t>Service</w:t>
      </w:r>
      <w:r>
        <w:rPr>
          <w:i/>
          <w:spacing w:val="-35"/>
          <w:sz w:val="22"/>
        </w:rPr>
        <w:t> </w:t>
      </w:r>
      <w:r>
        <w:rPr>
          <w:i/>
          <w:sz w:val="22"/>
        </w:rPr>
        <w:t>1:</w:t>
      </w:r>
      <w:r>
        <w:rPr>
          <w:i/>
          <w:spacing w:val="-35"/>
          <w:sz w:val="22"/>
        </w:rPr>
        <w:t> </w:t>
      </w:r>
      <w:r>
        <w:rPr>
          <w:i/>
          <w:sz w:val="22"/>
        </w:rPr>
        <w:t>Revenue</w:t>
      </w:r>
      <w:r>
        <w:rPr>
          <w:i/>
          <w:spacing w:val="-35"/>
          <w:sz w:val="22"/>
        </w:rPr>
        <w:t> </w:t>
      </w:r>
      <w:r>
        <w:rPr>
          <w:i/>
          <w:sz w:val="22"/>
        </w:rPr>
        <w:t>assessment</w:t>
      </w:r>
      <w:r>
        <w:rPr>
          <w:i/>
          <w:spacing w:val="-35"/>
          <w:sz w:val="22"/>
        </w:rPr>
        <w:t> </w:t>
      </w:r>
      <w:r>
        <w:rPr>
          <w:i/>
          <w:sz w:val="22"/>
        </w:rPr>
        <w:t>and</w:t>
      </w:r>
      <w:r>
        <w:rPr>
          <w:i/>
          <w:spacing w:val="-35"/>
          <w:sz w:val="22"/>
        </w:rPr>
        <w:t> </w:t>
      </w:r>
      <w:r>
        <w:rPr>
          <w:i/>
          <w:sz w:val="22"/>
        </w:rPr>
        <w:t>collection, </w:t>
      </w:r>
      <w:r>
        <w:rPr>
          <w:i/>
          <w:sz w:val="22"/>
        </w:rPr>
        <w:t>and grants and subsidies</w:t>
      </w:r>
      <w:r>
        <w:rPr>
          <w:i/>
          <w:spacing w:val="-30"/>
          <w:sz w:val="22"/>
        </w:rPr>
        <w:t> </w:t>
      </w:r>
      <w:r>
        <w:rPr>
          <w:i/>
          <w:sz w:val="22"/>
        </w:rPr>
        <w:t>administration</w:t>
      </w:r>
    </w:p>
    <w:p>
      <w:pPr>
        <w:pStyle w:val="BodyText"/>
        <w:spacing w:before="1"/>
        <w:rPr>
          <w:i/>
          <w:sz w:val="23"/>
        </w:rPr>
      </w:pPr>
    </w:p>
    <w:p>
      <w:pPr>
        <w:spacing w:line="249" w:lineRule="auto" w:before="1"/>
        <w:ind w:left="765" w:right="-8" w:firstLine="0"/>
        <w:jc w:val="left"/>
        <w:rPr>
          <w:i/>
          <w:sz w:val="22"/>
        </w:rPr>
      </w:pPr>
      <w:r>
        <w:rPr>
          <w:i/>
          <w:sz w:val="22"/>
        </w:rPr>
        <w:t>Service 2: Development and management of </w:t>
      </w:r>
      <w:r>
        <w:rPr>
          <w:i/>
          <w:sz w:val="22"/>
        </w:rPr>
        <w:t>Common</w:t>
      </w:r>
      <w:r>
        <w:rPr>
          <w:i/>
          <w:spacing w:val="-26"/>
          <w:sz w:val="22"/>
        </w:rPr>
        <w:t> </w:t>
      </w:r>
      <w:r>
        <w:rPr>
          <w:i/>
          <w:sz w:val="22"/>
        </w:rPr>
        <w:t>Use</w:t>
      </w:r>
      <w:r>
        <w:rPr>
          <w:i/>
          <w:spacing w:val="-25"/>
          <w:sz w:val="22"/>
        </w:rPr>
        <w:t> </w:t>
      </w:r>
      <w:r>
        <w:rPr>
          <w:i/>
          <w:sz w:val="22"/>
        </w:rPr>
        <w:t>Contract</w:t>
      </w:r>
      <w:r>
        <w:rPr>
          <w:i/>
          <w:spacing w:val="-25"/>
          <w:sz w:val="22"/>
        </w:rPr>
        <w:t> </w:t>
      </w:r>
      <w:r>
        <w:rPr>
          <w:i/>
          <w:sz w:val="22"/>
        </w:rPr>
        <w:t>Arrangements,</w:t>
      </w:r>
      <w:r>
        <w:rPr>
          <w:i/>
          <w:spacing w:val="-26"/>
          <w:sz w:val="22"/>
        </w:rPr>
        <w:t> </w:t>
      </w:r>
      <w:r>
        <w:rPr>
          <w:i/>
          <w:sz w:val="22"/>
        </w:rPr>
        <w:t>State</w:t>
      </w:r>
      <w:r>
        <w:rPr>
          <w:i/>
          <w:spacing w:val="-25"/>
          <w:sz w:val="22"/>
        </w:rPr>
        <w:t> </w:t>
      </w:r>
      <w:r>
        <w:rPr>
          <w:i/>
          <w:spacing w:val="-4"/>
          <w:sz w:val="22"/>
        </w:rPr>
        <w:t>Fleet </w:t>
      </w:r>
      <w:r>
        <w:rPr>
          <w:i/>
          <w:sz w:val="22"/>
        </w:rPr>
        <w:t>leasing and disposal, and providing facilitation service for agency specific</w:t>
      </w:r>
      <w:r>
        <w:rPr>
          <w:i/>
          <w:spacing w:val="-15"/>
          <w:sz w:val="22"/>
        </w:rPr>
        <w:t> </w:t>
      </w:r>
      <w:r>
        <w:rPr>
          <w:i/>
          <w:sz w:val="22"/>
        </w:rPr>
        <w:t>contracts</w:t>
      </w:r>
    </w:p>
    <w:p>
      <w:pPr>
        <w:pStyle w:val="BodyText"/>
        <w:spacing w:before="2"/>
        <w:rPr>
          <w:i/>
          <w:sz w:val="23"/>
        </w:rPr>
      </w:pPr>
    </w:p>
    <w:p>
      <w:pPr>
        <w:spacing w:before="1"/>
        <w:ind w:left="765" w:right="0" w:firstLine="0"/>
        <w:jc w:val="left"/>
        <w:rPr>
          <w:i/>
          <w:sz w:val="22"/>
        </w:rPr>
      </w:pPr>
      <w:r>
        <w:rPr>
          <w:i/>
          <w:sz w:val="22"/>
        </w:rPr>
        <w:t>Service 3: Corporate services to client agencies</w:t>
      </w:r>
    </w:p>
    <w:p>
      <w:pPr>
        <w:pStyle w:val="BodyText"/>
        <w:spacing w:before="10"/>
        <w:rPr>
          <w:i/>
          <w:sz w:val="23"/>
        </w:rPr>
      </w:pPr>
    </w:p>
    <w:p>
      <w:pPr>
        <w:spacing w:line="249" w:lineRule="auto" w:before="0"/>
        <w:ind w:left="765" w:right="345" w:firstLine="0"/>
        <w:jc w:val="left"/>
        <w:rPr>
          <w:i/>
          <w:sz w:val="22"/>
        </w:rPr>
      </w:pPr>
      <w:r>
        <w:rPr>
          <w:i/>
          <w:sz w:val="22"/>
        </w:rPr>
        <w:t>Service 4: Leads the planning, delivery, </w:t>
      </w:r>
      <w:r>
        <w:rPr>
          <w:i/>
          <w:sz w:val="22"/>
        </w:rPr>
        <w:t>management</w:t>
      </w:r>
      <w:r>
        <w:rPr>
          <w:i/>
          <w:spacing w:val="-34"/>
          <w:sz w:val="22"/>
        </w:rPr>
        <w:t> </w:t>
      </w:r>
      <w:r>
        <w:rPr>
          <w:i/>
          <w:sz w:val="22"/>
        </w:rPr>
        <w:t>and</w:t>
      </w:r>
      <w:r>
        <w:rPr>
          <w:i/>
          <w:spacing w:val="-33"/>
          <w:sz w:val="22"/>
        </w:rPr>
        <w:t> </w:t>
      </w:r>
      <w:r>
        <w:rPr>
          <w:i/>
          <w:sz w:val="22"/>
        </w:rPr>
        <w:t>maintenance</w:t>
      </w:r>
      <w:r>
        <w:rPr>
          <w:i/>
          <w:spacing w:val="-34"/>
          <w:sz w:val="22"/>
        </w:rPr>
        <w:t> </w:t>
      </w:r>
      <w:r>
        <w:rPr>
          <w:i/>
          <w:sz w:val="22"/>
        </w:rPr>
        <w:t>of</w:t>
      </w:r>
      <w:r>
        <w:rPr>
          <w:i/>
          <w:spacing w:val="-33"/>
          <w:sz w:val="22"/>
        </w:rPr>
        <w:t> </w:t>
      </w:r>
      <w:r>
        <w:rPr>
          <w:i/>
          <w:sz w:val="22"/>
        </w:rPr>
        <w:t>government buildings,</w:t>
      </w:r>
      <w:r>
        <w:rPr>
          <w:i/>
          <w:spacing w:val="-17"/>
          <w:sz w:val="22"/>
        </w:rPr>
        <w:t> </w:t>
      </w:r>
      <w:r>
        <w:rPr>
          <w:i/>
          <w:sz w:val="22"/>
        </w:rPr>
        <w:t>projects</w:t>
      </w:r>
      <w:r>
        <w:rPr>
          <w:i/>
          <w:spacing w:val="-16"/>
          <w:sz w:val="22"/>
        </w:rPr>
        <w:t> </w:t>
      </w:r>
      <w:r>
        <w:rPr>
          <w:i/>
          <w:sz w:val="22"/>
        </w:rPr>
        <w:t>and</w:t>
      </w:r>
      <w:r>
        <w:rPr>
          <w:i/>
          <w:spacing w:val="-16"/>
          <w:sz w:val="22"/>
        </w:rPr>
        <w:t> </w:t>
      </w:r>
      <w:r>
        <w:rPr>
          <w:i/>
          <w:sz w:val="22"/>
        </w:rPr>
        <w:t>office</w:t>
      </w:r>
      <w:r>
        <w:rPr>
          <w:i/>
          <w:spacing w:val="-16"/>
          <w:sz w:val="22"/>
        </w:rPr>
        <w:t> </w:t>
      </w:r>
      <w:r>
        <w:rPr>
          <w:i/>
          <w:sz w:val="22"/>
        </w:rPr>
        <w:t>accommodation</w:t>
      </w:r>
    </w:p>
    <w:p>
      <w:pPr>
        <w:pStyle w:val="BodyText"/>
        <w:spacing w:before="2"/>
        <w:rPr>
          <w:i/>
          <w:sz w:val="23"/>
        </w:rPr>
      </w:pPr>
    </w:p>
    <w:p>
      <w:pPr>
        <w:spacing w:line="249" w:lineRule="auto" w:before="0"/>
        <w:ind w:left="765" w:right="131" w:firstLine="0"/>
        <w:jc w:val="left"/>
        <w:rPr>
          <w:i/>
          <w:sz w:val="22"/>
        </w:rPr>
      </w:pPr>
      <w:r>
        <w:rPr>
          <w:i/>
          <w:sz w:val="22"/>
        </w:rPr>
        <w:t>Service 5: Development and implementation of </w:t>
      </w:r>
      <w:r>
        <w:rPr>
          <w:i/>
          <w:sz w:val="22"/>
        </w:rPr>
        <w:t>energy</w:t>
      </w:r>
      <w:r>
        <w:rPr>
          <w:i/>
          <w:spacing w:val="-28"/>
          <w:sz w:val="22"/>
        </w:rPr>
        <w:t> </w:t>
      </w:r>
      <w:r>
        <w:rPr>
          <w:i/>
          <w:sz w:val="22"/>
        </w:rPr>
        <w:t>policy</w:t>
      </w:r>
      <w:r>
        <w:rPr>
          <w:i/>
          <w:spacing w:val="-28"/>
          <w:sz w:val="22"/>
        </w:rPr>
        <w:t> </w:t>
      </w:r>
      <w:r>
        <w:rPr>
          <w:i/>
          <w:sz w:val="22"/>
        </w:rPr>
        <w:t>and</w:t>
      </w:r>
      <w:r>
        <w:rPr>
          <w:i/>
          <w:spacing w:val="-28"/>
          <w:sz w:val="22"/>
        </w:rPr>
        <w:t> </w:t>
      </w:r>
      <w:r>
        <w:rPr>
          <w:i/>
          <w:sz w:val="22"/>
        </w:rPr>
        <w:t>economic</w:t>
      </w:r>
      <w:r>
        <w:rPr>
          <w:i/>
          <w:spacing w:val="-28"/>
          <w:sz w:val="22"/>
        </w:rPr>
        <w:t> </w:t>
      </w:r>
      <w:r>
        <w:rPr>
          <w:i/>
          <w:sz w:val="22"/>
        </w:rPr>
        <w:t>reform,</w:t>
      </w:r>
      <w:r>
        <w:rPr>
          <w:i/>
          <w:spacing w:val="-27"/>
          <w:sz w:val="22"/>
        </w:rPr>
        <w:t> </w:t>
      </w:r>
      <w:r>
        <w:rPr>
          <w:i/>
          <w:sz w:val="22"/>
        </w:rPr>
        <w:t>assessment of proposed policy changes and the impact on regulatory</w:t>
      </w:r>
      <w:r>
        <w:rPr>
          <w:i/>
          <w:spacing w:val="-2"/>
          <w:sz w:val="22"/>
        </w:rPr>
        <w:t> </w:t>
      </w:r>
      <w:r>
        <w:rPr>
          <w:i/>
          <w:sz w:val="22"/>
        </w:rPr>
        <w:t>functions</w:t>
      </w:r>
    </w:p>
    <w:p>
      <w:pPr>
        <w:pStyle w:val="BodyText"/>
        <w:spacing w:before="5"/>
        <w:rPr>
          <w:i/>
          <w:sz w:val="23"/>
        </w:rPr>
      </w:pPr>
      <w:r>
        <w:rPr/>
        <w:br w:type="column"/>
      </w:r>
      <w:r>
        <w:rPr>
          <w:i/>
          <w:sz w:val="23"/>
        </w:rPr>
      </w:r>
    </w:p>
    <w:p>
      <w:pPr>
        <w:pStyle w:val="BodyText"/>
        <w:spacing w:line="249" w:lineRule="auto"/>
        <w:ind w:left="472" w:right="450"/>
      </w:pPr>
      <w:r>
        <w:rPr/>
        <w:t>The</w:t>
      </w:r>
      <w:r>
        <w:rPr>
          <w:spacing w:val="-41"/>
        </w:rPr>
        <w:t> </w:t>
      </w:r>
      <w:r>
        <w:rPr/>
        <w:t>Department</w:t>
      </w:r>
      <w:r>
        <w:rPr>
          <w:spacing w:val="-40"/>
        </w:rPr>
        <w:t> </w:t>
      </w:r>
      <w:r>
        <w:rPr/>
        <w:t>administers</w:t>
      </w:r>
      <w:r>
        <w:rPr>
          <w:spacing w:val="-40"/>
        </w:rPr>
        <w:t> </w:t>
      </w:r>
      <w:r>
        <w:rPr/>
        <w:t>assets,</w:t>
      </w:r>
      <w:r>
        <w:rPr>
          <w:spacing w:val="-40"/>
        </w:rPr>
        <w:t> </w:t>
      </w:r>
      <w:r>
        <w:rPr>
          <w:spacing w:val="-2"/>
        </w:rPr>
        <w:t>liabilities, </w:t>
      </w:r>
      <w:r>
        <w:rPr/>
        <w:t>income and expenses on behalf of the Government which are not controlled</w:t>
      </w:r>
      <w:r>
        <w:rPr>
          <w:spacing w:val="-39"/>
        </w:rPr>
        <w:t> </w:t>
      </w:r>
      <w:r>
        <w:rPr>
          <w:spacing w:val="-7"/>
        </w:rPr>
        <w:t>by,</w:t>
      </w:r>
    </w:p>
    <w:p>
      <w:pPr>
        <w:pStyle w:val="BodyText"/>
        <w:spacing w:line="249" w:lineRule="auto" w:before="3"/>
        <w:ind w:left="472" w:right="-9"/>
      </w:pPr>
      <w:r>
        <w:rPr/>
        <w:t>nor integral to the function of the Department. These</w:t>
      </w:r>
      <w:r>
        <w:rPr>
          <w:spacing w:val="-34"/>
        </w:rPr>
        <w:t> </w:t>
      </w:r>
      <w:r>
        <w:rPr/>
        <w:t>administered</w:t>
      </w:r>
      <w:r>
        <w:rPr>
          <w:spacing w:val="-33"/>
        </w:rPr>
        <w:t> </w:t>
      </w:r>
      <w:r>
        <w:rPr/>
        <w:t>balances</w:t>
      </w:r>
      <w:r>
        <w:rPr>
          <w:spacing w:val="-34"/>
        </w:rPr>
        <w:t> </w:t>
      </w:r>
      <w:r>
        <w:rPr/>
        <w:t>and</w:t>
      </w:r>
      <w:r>
        <w:rPr>
          <w:spacing w:val="-33"/>
        </w:rPr>
        <w:t> </w:t>
      </w:r>
      <w:r>
        <w:rPr/>
        <w:t>transactions</w:t>
      </w:r>
      <w:r>
        <w:rPr>
          <w:spacing w:val="-34"/>
        </w:rPr>
        <w:t> </w:t>
      </w:r>
      <w:r>
        <w:rPr/>
        <w:t>are not</w:t>
      </w:r>
      <w:r>
        <w:rPr>
          <w:spacing w:val="-28"/>
        </w:rPr>
        <w:t> </w:t>
      </w:r>
      <w:r>
        <w:rPr/>
        <w:t>recognised</w:t>
      </w:r>
      <w:r>
        <w:rPr>
          <w:spacing w:val="-28"/>
        </w:rPr>
        <w:t> </w:t>
      </w:r>
      <w:r>
        <w:rPr/>
        <w:t>in</w:t>
      </w:r>
      <w:r>
        <w:rPr>
          <w:spacing w:val="-28"/>
        </w:rPr>
        <w:t> </w:t>
      </w:r>
      <w:r>
        <w:rPr/>
        <w:t>the</w:t>
      </w:r>
      <w:r>
        <w:rPr>
          <w:spacing w:val="-28"/>
        </w:rPr>
        <w:t> </w:t>
      </w:r>
      <w:r>
        <w:rPr/>
        <w:t>principal</w:t>
      </w:r>
      <w:r>
        <w:rPr>
          <w:spacing w:val="-27"/>
        </w:rPr>
        <w:t> </w:t>
      </w:r>
      <w:r>
        <w:rPr/>
        <w:t>financial</w:t>
      </w:r>
      <w:r>
        <w:rPr>
          <w:spacing w:val="-28"/>
        </w:rPr>
        <w:t> </w:t>
      </w:r>
      <w:r>
        <w:rPr/>
        <w:t>statements of the Department but schedules are prepared using the same basis as the financial statements and are presented at Note 51 ‘Disclosure of administered income and expenses by service’ and</w:t>
      </w:r>
      <w:r>
        <w:rPr>
          <w:spacing w:val="-15"/>
        </w:rPr>
        <w:t> </w:t>
      </w:r>
      <w:r>
        <w:rPr/>
        <w:t>Note</w:t>
      </w:r>
      <w:r>
        <w:rPr>
          <w:spacing w:val="-15"/>
        </w:rPr>
        <w:t> </w:t>
      </w:r>
      <w:r>
        <w:rPr/>
        <w:t>52</w:t>
      </w:r>
      <w:r>
        <w:rPr>
          <w:spacing w:val="-15"/>
        </w:rPr>
        <w:t> </w:t>
      </w:r>
      <w:r>
        <w:rPr/>
        <w:t>‘Administered</w:t>
      </w:r>
      <w:r>
        <w:rPr>
          <w:spacing w:val="-14"/>
        </w:rPr>
        <w:t> </w:t>
      </w:r>
      <w:r>
        <w:rPr/>
        <w:t>assets</w:t>
      </w:r>
      <w:r>
        <w:rPr>
          <w:spacing w:val="-15"/>
        </w:rPr>
        <w:t> </w:t>
      </w:r>
      <w:r>
        <w:rPr/>
        <w:t>and</w:t>
      </w:r>
      <w:r>
        <w:rPr>
          <w:spacing w:val="-15"/>
        </w:rPr>
        <w:t> </w:t>
      </w:r>
      <w:r>
        <w:rPr/>
        <w:t>liabilities’.</w:t>
      </w:r>
    </w:p>
    <w:p>
      <w:pPr>
        <w:pStyle w:val="BodyText"/>
        <w:spacing w:before="6"/>
        <w:rPr>
          <w:sz w:val="23"/>
        </w:rPr>
      </w:pPr>
    </w:p>
    <w:p>
      <w:pPr>
        <w:pStyle w:val="Heading6"/>
        <w:numPr>
          <w:ilvl w:val="0"/>
          <w:numId w:val="5"/>
        </w:numPr>
        <w:tabs>
          <w:tab w:pos="799" w:val="left" w:leader="none"/>
        </w:tabs>
        <w:spacing w:line="240" w:lineRule="auto" w:before="0" w:after="0"/>
        <w:ind w:left="798" w:right="0" w:hanging="326"/>
        <w:jc w:val="left"/>
      </w:pPr>
      <w:r>
        <w:rPr/>
        <w:t>Contributed</w:t>
      </w:r>
      <w:r>
        <w:rPr>
          <w:spacing w:val="-1"/>
        </w:rPr>
        <w:t> </w:t>
      </w:r>
      <w:r>
        <w:rPr/>
        <w:t>equity</w:t>
      </w:r>
    </w:p>
    <w:p>
      <w:pPr>
        <w:spacing w:line="249" w:lineRule="auto" w:before="11"/>
        <w:ind w:left="472" w:right="381" w:firstLine="0"/>
        <w:jc w:val="left"/>
        <w:rPr>
          <w:sz w:val="22"/>
        </w:rPr>
      </w:pPr>
      <w:r>
        <w:rPr>
          <w:sz w:val="22"/>
        </w:rPr>
        <w:t>AASB Interpretation 1038 </w:t>
      </w:r>
      <w:r>
        <w:rPr>
          <w:i/>
          <w:sz w:val="22"/>
        </w:rPr>
        <w:t>Contributions by </w:t>
      </w:r>
      <w:r>
        <w:rPr>
          <w:i/>
          <w:sz w:val="22"/>
        </w:rPr>
        <w:t>Owners</w:t>
      </w:r>
      <w:r>
        <w:rPr>
          <w:i/>
          <w:spacing w:val="-19"/>
          <w:sz w:val="22"/>
        </w:rPr>
        <w:t> </w:t>
      </w:r>
      <w:r>
        <w:rPr>
          <w:i/>
          <w:sz w:val="22"/>
        </w:rPr>
        <w:t>Made</w:t>
      </w:r>
      <w:r>
        <w:rPr>
          <w:i/>
          <w:spacing w:val="-19"/>
          <w:sz w:val="22"/>
        </w:rPr>
        <w:t> </w:t>
      </w:r>
      <w:r>
        <w:rPr>
          <w:i/>
          <w:sz w:val="22"/>
        </w:rPr>
        <w:t>to</w:t>
      </w:r>
      <w:r>
        <w:rPr>
          <w:i/>
          <w:spacing w:val="-19"/>
          <w:sz w:val="22"/>
        </w:rPr>
        <w:t> </w:t>
      </w:r>
      <w:r>
        <w:rPr>
          <w:i/>
          <w:sz w:val="22"/>
        </w:rPr>
        <w:t>Wholly-Owned</w:t>
      </w:r>
      <w:r>
        <w:rPr>
          <w:i/>
          <w:spacing w:val="-19"/>
          <w:sz w:val="22"/>
        </w:rPr>
        <w:t> </w:t>
      </w:r>
      <w:r>
        <w:rPr>
          <w:i/>
          <w:sz w:val="22"/>
        </w:rPr>
        <w:t>Public</w:t>
      </w:r>
      <w:r>
        <w:rPr>
          <w:i/>
          <w:spacing w:val="-19"/>
          <w:sz w:val="22"/>
        </w:rPr>
        <w:t> </w:t>
      </w:r>
      <w:r>
        <w:rPr>
          <w:i/>
          <w:sz w:val="22"/>
        </w:rPr>
        <w:t>Sector Entities </w:t>
      </w:r>
      <w:r>
        <w:rPr>
          <w:sz w:val="22"/>
        </w:rPr>
        <w:t>requires transfers in the nature of equity</w:t>
      </w:r>
      <w:r>
        <w:rPr>
          <w:spacing w:val="-16"/>
          <w:sz w:val="22"/>
        </w:rPr>
        <w:t> </w:t>
      </w:r>
      <w:r>
        <w:rPr>
          <w:sz w:val="22"/>
        </w:rPr>
        <w:t>contributions,</w:t>
      </w:r>
      <w:r>
        <w:rPr>
          <w:spacing w:val="-15"/>
          <w:sz w:val="22"/>
        </w:rPr>
        <w:t> </w:t>
      </w:r>
      <w:r>
        <w:rPr>
          <w:sz w:val="22"/>
        </w:rPr>
        <w:t>other</w:t>
      </w:r>
      <w:r>
        <w:rPr>
          <w:spacing w:val="-16"/>
          <w:sz w:val="22"/>
        </w:rPr>
        <w:t> </w:t>
      </w:r>
      <w:r>
        <w:rPr>
          <w:sz w:val="22"/>
        </w:rPr>
        <w:t>than</w:t>
      </w:r>
      <w:r>
        <w:rPr>
          <w:spacing w:val="-15"/>
          <w:sz w:val="22"/>
        </w:rPr>
        <w:t> </w:t>
      </w:r>
      <w:r>
        <w:rPr>
          <w:sz w:val="22"/>
        </w:rPr>
        <w:t>as</w:t>
      </w:r>
      <w:r>
        <w:rPr>
          <w:spacing w:val="-15"/>
          <w:sz w:val="22"/>
        </w:rPr>
        <w:t> </w:t>
      </w:r>
      <w:r>
        <w:rPr>
          <w:sz w:val="22"/>
        </w:rPr>
        <w:t>a</w:t>
      </w:r>
      <w:r>
        <w:rPr>
          <w:spacing w:val="-16"/>
          <w:sz w:val="22"/>
        </w:rPr>
        <w:t> </w:t>
      </w:r>
      <w:r>
        <w:rPr>
          <w:sz w:val="22"/>
        </w:rPr>
        <w:t>result</w:t>
      </w:r>
      <w:r>
        <w:rPr>
          <w:spacing w:val="-15"/>
          <w:sz w:val="22"/>
        </w:rPr>
        <w:t> </w:t>
      </w:r>
      <w:r>
        <w:rPr>
          <w:sz w:val="22"/>
        </w:rPr>
        <w:t>of</w:t>
      </w:r>
      <w:r>
        <w:rPr>
          <w:spacing w:val="-16"/>
          <w:sz w:val="22"/>
        </w:rPr>
        <w:t> </w:t>
      </w:r>
      <w:r>
        <w:rPr>
          <w:spacing w:val="-17"/>
          <w:sz w:val="22"/>
        </w:rPr>
        <w:t>a</w:t>
      </w:r>
    </w:p>
    <w:p>
      <w:pPr>
        <w:pStyle w:val="BodyText"/>
        <w:spacing w:line="249" w:lineRule="auto" w:before="4"/>
        <w:ind w:left="472" w:right="67"/>
      </w:pPr>
      <w:r>
        <w:rPr/>
        <w:t>restructure</w:t>
      </w:r>
      <w:r>
        <w:rPr>
          <w:spacing w:val="-22"/>
        </w:rPr>
        <w:t> </w:t>
      </w:r>
      <w:r>
        <w:rPr/>
        <w:t>of</w:t>
      </w:r>
      <w:r>
        <w:rPr>
          <w:spacing w:val="-22"/>
        </w:rPr>
        <w:t> </w:t>
      </w:r>
      <w:r>
        <w:rPr/>
        <w:t>administrative</w:t>
      </w:r>
      <w:r>
        <w:rPr>
          <w:spacing w:val="-22"/>
        </w:rPr>
        <w:t> </w:t>
      </w:r>
      <w:r>
        <w:rPr/>
        <w:t>arrangements,</w:t>
      </w:r>
      <w:r>
        <w:rPr>
          <w:spacing w:val="-22"/>
        </w:rPr>
        <w:t> </w:t>
      </w:r>
      <w:r>
        <w:rPr/>
        <w:t>to</w:t>
      </w:r>
      <w:r>
        <w:rPr>
          <w:spacing w:val="-21"/>
        </w:rPr>
        <w:t> </w:t>
      </w:r>
      <w:r>
        <w:rPr/>
        <w:t>be designated by the Government (the owner) as contributions</w:t>
      </w:r>
      <w:r>
        <w:rPr>
          <w:spacing w:val="-11"/>
        </w:rPr>
        <w:t> </w:t>
      </w:r>
      <w:r>
        <w:rPr/>
        <w:t>by</w:t>
      </w:r>
      <w:r>
        <w:rPr>
          <w:spacing w:val="-11"/>
        </w:rPr>
        <w:t> </w:t>
      </w:r>
      <w:r>
        <w:rPr/>
        <w:t>owners</w:t>
      </w:r>
      <w:r>
        <w:rPr>
          <w:spacing w:val="-11"/>
        </w:rPr>
        <w:t> </w:t>
      </w:r>
      <w:r>
        <w:rPr/>
        <w:t>(at</w:t>
      </w:r>
      <w:r>
        <w:rPr>
          <w:spacing w:val="-11"/>
        </w:rPr>
        <w:t> </w:t>
      </w:r>
      <w:r>
        <w:rPr/>
        <w:t>the</w:t>
      </w:r>
      <w:r>
        <w:rPr>
          <w:spacing w:val="-11"/>
        </w:rPr>
        <w:t> </w:t>
      </w:r>
      <w:r>
        <w:rPr/>
        <w:t>time</w:t>
      </w:r>
      <w:r>
        <w:rPr>
          <w:spacing w:val="-11"/>
        </w:rPr>
        <w:t> </w:t>
      </w:r>
      <w:r>
        <w:rPr/>
        <w:t>of,</w:t>
      </w:r>
      <w:r>
        <w:rPr>
          <w:spacing w:val="-11"/>
        </w:rPr>
        <w:t> </w:t>
      </w:r>
      <w:r>
        <w:rPr/>
        <w:t>or</w:t>
      </w:r>
      <w:r>
        <w:rPr>
          <w:spacing w:val="-11"/>
        </w:rPr>
        <w:t> </w:t>
      </w:r>
      <w:r>
        <w:rPr/>
        <w:t>prior</w:t>
      </w:r>
      <w:r>
        <w:rPr>
          <w:spacing w:val="-11"/>
        </w:rPr>
        <w:t> </w:t>
      </w:r>
      <w:r>
        <w:rPr/>
        <w:t>to transfer)</w:t>
      </w:r>
      <w:r>
        <w:rPr>
          <w:spacing w:val="-24"/>
        </w:rPr>
        <w:t> </w:t>
      </w:r>
      <w:r>
        <w:rPr/>
        <w:t>before</w:t>
      </w:r>
      <w:r>
        <w:rPr>
          <w:spacing w:val="-24"/>
        </w:rPr>
        <w:t> </w:t>
      </w:r>
      <w:r>
        <w:rPr/>
        <w:t>such</w:t>
      </w:r>
      <w:r>
        <w:rPr>
          <w:spacing w:val="-23"/>
        </w:rPr>
        <w:t> </w:t>
      </w:r>
      <w:r>
        <w:rPr/>
        <w:t>transfers</w:t>
      </w:r>
      <w:r>
        <w:rPr>
          <w:spacing w:val="-24"/>
        </w:rPr>
        <w:t> </w:t>
      </w:r>
      <w:r>
        <w:rPr/>
        <w:t>can</w:t>
      </w:r>
      <w:r>
        <w:rPr>
          <w:spacing w:val="-24"/>
        </w:rPr>
        <w:t> </w:t>
      </w:r>
      <w:r>
        <w:rPr/>
        <w:t>be</w:t>
      </w:r>
      <w:r>
        <w:rPr>
          <w:spacing w:val="-23"/>
        </w:rPr>
        <w:t> </w:t>
      </w:r>
      <w:r>
        <w:rPr/>
        <w:t>recognised as equity contributions. Capital appropriations have</w:t>
      </w:r>
      <w:r>
        <w:rPr>
          <w:spacing w:val="-21"/>
        </w:rPr>
        <w:t> </w:t>
      </w:r>
      <w:r>
        <w:rPr/>
        <w:t>been</w:t>
      </w:r>
      <w:r>
        <w:rPr>
          <w:spacing w:val="-20"/>
        </w:rPr>
        <w:t> </w:t>
      </w:r>
      <w:r>
        <w:rPr/>
        <w:t>designated</w:t>
      </w:r>
      <w:r>
        <w:rPr>
          <w:spacing w:val="-20"/>
        </w:rPr>
        <w:t> </w:t>
      </w:r>
      <w:r>
        <w:rPr/>
        <w:t>as</w:t>
      </w:r>
      <w:r>
        <w:rPr>
          <w:spacing w:val="-20"/>
        </w:rPr>
        <w:t> </w:t>
      </w:r>
      <w:r>
        <w:rPr/>
        <w:t>contributions</w:t>
      </w:r>
      <w:r>
        <w:rPr>
          <w:spacing w:val="-20"/>
        </w:rPr>
        <w:t> </w:t>
      </w:r>
      <w:r>
        <w:rPr/>
        <w:t>by</w:t>
      </w:r>
      <w:r>
        <w:rPr>
          <w:spacing w:val="-20"/>
        </w:rPr>
        <w:t> </w:t>
      </w:r>
      <w:r>
        <w:rPr>
          <w:spacing w:val="-3"/>
        </w:rPr>
        <w:t>owners </w:t>
      </w:r>
      <w:r>
        <w:rPr/>
        <w:t>by TI 955 </w:t>
      </w:r>
      <w:r>
        <w:rPr>
          <w:i/>
        </w:rPr>
        <w:t>Contributions by Owners made to </w:t>
      </w:r>
      <w:r>
        <w:rPr>
          <w:i/>
        </w:rPr>
        <w:t>Wholly-Owned Public Sector Entities </w:t>
      </w:r>
      <w:r>
        <w:rPr/>
        <w:t>and have been credited directly to Contributed</w:t>
      </w:r>
      <w:r>
        <w:rPr>
          <w:spacing w:val="-37"/>
        </w:rPr>
        <w:t> </w:t>
      </w:r>
      <w:r>
        <w:rPr>
          <w:spacing w:val="-3"/>
        </w:rPr>
        <w:t>Equity.</w:t>
      </w:r>
    </w:p>
    <w:p>
      <w:pPr>
        <w:pStyle w:val="BodyText"/>
        <w:spacing w:before="5"/>
        <w:rPr>
          <w:sz w:val="23"/>
        </w:rPr>
      </w:pPr>
      <w:r>
        <w:rPr/>
        <w:br w:type="column"/>
      </w:r>
      <w:r>
        <w:rPr>
          <w:sz w:val="23"/>
        </w:rPr>
      </w:r>
    </w:p>
    <w:p>
      <w:pPr>
        <w:pStyle w:val="BodyText"/>
        <w:spacing w:line="249" w:lineRule="auto"/>
        <w:ind w:left="432" w:right="1014"/>
      </w:pPr>
      <w:r>
        <w:rPr/>
        <w:t>The transfer of net assets to/from other agencies,</w:t>
      </w:r>
      <w:r>
        <w:rPr>
          <w:spacing w:val="-16"/>
        </w:rPr>
        <w:t> </w:t>
      </w:r>
      <w:r>
        <w:rPr/>
        <w:t>other</w:t>
      </w:r>
      <w:r>
        <w:rPr>
          <w:spacing w:val="-16"/>
        </w:rPr>
        <w:t> </w:t>
      </w:r>
      <w:r>
        <w:rPr/>
        <w:t>than</w:t>
      </w:r>
      <w:r>
        <w:rPr>
          <w:spacing w:val="-16"/>
        </w:rPr>
        <w:t> </w:t>
      </w:r>
      <w:r>
        <w:rPr/>
        <w:t>as</w:t>
      </w:r>
      <w:r>
        <w:rPr>
          <w:spacing w:val="-16"/>
        </w:rPr>
        <w:t> </w:t>
      </w:r>
      <w:r>
        <w:rPr/>
        <w:t>a</w:t>
      </w:r>
      <w:r>
        <w:rPr>
          <w:spacing w:val="-16"/>
        </w:rPr>
        <w:t> </w:t>
      </w:r>
      <w:r>
        <w:rPr/>
        <w:t>result</w:t>
      </w:r>
      <w:r>
        <w:rPr>
          <w:spacing w:val="-16"/>
        </w:rPr>
        <w:t> </w:t>
      </w:r>
      <w:r>
        <w:rPr/>
        <w:t>of</w:t>
      </w:r>
      <w:r>
        <w:rPr>
          <w:spacing w:val="-16"/>
        </w:rPr>
        <w:t> </w:t>
      </w:r>
      <w:r>
        <w:rPr/>
        <w:t>a</w:t>
      </w:r>
      <w:r>
        <w:rPr>
          <w:spacing w:val="-16"/>
        </w:rPr>
        <w:t> </w:t>
      </w:r>
      <w:r>
        <w:rPr/>
        <w:t>restructure of</w:t>
      </w:r>
      <w:r>
        <w:rPr>
          <w:spacing w:val="-31"/>
        </w:rPr>
        <w:t> </w:t>
      </w:r>
      <w:r>
        <w:rPr/>
        <w:t>administrative</w:t>
      </w:r>
      <w:r>
        <w:rPr>
          <w:spacing w:val="-31"/>
        </w:rPr>
        <w:t> </w:t>
      </w:r>
      <w:r>
        <w:rPr/>
        <w:t>arrangements,</w:t>
      </w:r>
      <w:r>
        <w:rPr>
          <w:spacing w:val="-30"/>
        </w:rPr>
        <w:t> </w:t>
      </w:r>
      <w:r>
        <w:rPr/>
        <w:t>is</w:t>
      </w:r>
      <w:r>
        <w:rPr>
          <w:spacing w:val="-31"/>
        </w:rPr>
        <w:t> </w:t>
      </w:r>
      <w:r>
        <w:rPr/>
        <w:t>designated</w:t>
      </w:r>
      <w:r>
        <w:rPr>
          <w:spacing w:val="-30"/>
        </w:rPr>
        <w:t> </w:t>
      </w:r>
      <w:r>
        <w:rPr>
          <w:spacing w:val="-9"/>
        </w:rPr>
        <w:t>as </w:t>
      </w:r>
      <w:r>
        <w:rPr/>
        <w:t>contributions</w:t>
      </w:r>
      <w:r>
        <w:rPr>
          <w:spacing w:val="-19"/>
        </w:rPr>
        <w:t> </w:t>
      </w:r>
      <w:r>
        <w:rPr/>
        <w:t>by</w:t>
      </w:r>
      <w:r>
        <w:rPr>
          <w:spacing w:val="-19"/>
        </w:rPr>
        <w:t> </w:t>
      </w:r>
      <w:r>
        <w:rPr/>
        <w:t>owners</w:t>
      </w:r>
      <w:r>
        <w:rPr>
          <w:spacing w:val="-19"/>
        </w:rPr>
        <w:t> </w:t>
      </w:r>
      <w:r>
        <w:rPr/>
        <w:t>where</w:t>
      </w:r>
      <w:r>
        <w:rPr>
          <w:spacing w:val="-19"/>
        </w:rPr>
        <w:t> </w:t>
      </w:r>
      <w:r>
        <w:rPr/>
        <w:t>the</w:t>
      </w:r>
      <w:r>
        <w:rPr>
          <w:spacing w:val="-19"/>
        </w:rPr>
        <w:t> </w:t>
      </w:r>
      <w:r>
        <w:rPr/>
        <w:t>transfers</w:t>
      </w:r>
      <w:r>
        <w:rPr>
          <w:spacing w:val="-18"/>
        </w:rPr>
        <w:t> </w:t>
      </w:r>
      <w:r>
        <w:rPr/>
        <w:t>are non-discretionary and</w:t>
      </w:r>
      <w:r>
        <w:rPr>
          <w:spacing w:val="-10"/>
        </w:rPr>
        <w:t> </w:t>
      </w:r>
      <w:r>
        <w:rPr/>
        <w:t>non-reciprocal.</w:t>
      </w:r>
    </w:p>
    <w:p>
      <w:pPr>
        <w:pStyle w:val="BodyText"/>
        <w:spacing w:before="4"/>
        <w:rPr>
          <w:sz w:val="23"/>
        </w:rPr>
      </w:pPr>
    </w:p>
    <w:p>
      <w:pPr>
        <w:pStyle w:val="Heading6"/>
        <w:numPr>
          <w:ilvl w:val="0"/>
          <w:numId w:val="5"/>
        </w:numPr>
        <w:tabs>
          <w:tab w:pos="751" w:val="left" w:leader="none"/>
        </w:tabs>
        <w:spacing w:line="240" w:lineRule="auto" w:before="0" w:after="0"/>
        <w:ind w:left="750" w:right="0" w:hanging="318"/>
        <w:jc w:val="left"/>
      </w:pPr>
      <w:r>
        <w:rPr/>
        <w:t>Income</w:t>
      </w:r>
    </w:p>
    <w:p>
      <w:pPr>
        <w:pStyle w:val="BodyText"/>
        <w:spacing w:before="10"/>
        <w:rPr>
          <w:b/>
          <w:sz w:val="23"/>
        </w:rPr>
      </w:pPr>
    </w:p>
    <w:p>
      <w:pPr>
        <w:spacing w:before="0"/>
        <w:ind w:left="432" w:right="0" w:firstLine="0"/>
        <w:jc w:val="left"/>
        <w:rPr>
          <w:i/>
          <w:sz w:val="22"/>
        </w:rPr>
      </w:pPr>
      <w:r>
        <w:rPr>
          <w:i/>
          <w:color w:val="6F2770"/>
          <w:sz w:val="22"/>
        </w:rPr>
        <w:t>Revenue recognition</w:t>
      </w:r>
    </w:p>
    <w:p>
      <w:pPr>
        <w:pStyle w:val="BodyText"/>
        <w:spacing w:line="249" w:lineRule="auto" w:before="12"/>
        <w:ind w:left="432" w:right="1072"/>
      </w:pPr>
      <w:r>
        <w:rPr/>
        <w:t>Revenue</w:t>
      </w:r>
      <w:r>
        <w:rPr>
          <w:spacing w:val="-25"/>
        </w:rPr>
        <w:t> </w:t>
      </w:r>
      <w:r>
        <w:rPr/>
        <w:t>is</w:t>
      </w:r>
      <w:r>
        <w:rPr>
          <w:spacing w:val="-24"/>
        </w:rPr>
        <w:t> </w:t>
      </w:r>
      <w:r>
        <w:rPr/>
        <w:t>recognised</w:t>
      </w:r>
      <w:r>
        <w:rPr>
          <w:spacing w:val="-24"/>
        </w:rPr>
        <w:t> </w:t>
      </w:r>
      <w:r>
        <w:rPr/>
        <w:t>and</w:t>
      </w:r>
      <w:r>
        <w:rPr>
          <w:spacing w:val="-24"/>
        </w:rPr>
        <w:t> </w:t>
      </w:r>
      <w:r>
        <w:rPr/>
        <w:t>measured</w:t>
      </w:r>
      <w:r>
        <w:rPr>
          <w:spacing w:val="-24"/>
        </w:rPr>
        <w:t> </w:t>
      </w:r>
      <w:r>
        <w:rPr/>
        <w:t>at</w:t>
      </w:r>
      <w:r>
        <w:rPr>
          <w:spacing w:val="-24"/>
        </w:rPr>
        <w:t> </w:t>
      </w:r>
      <w:r>
        <w:rPr/>
        <w:t>the</w:t>
      </w:r>
      <w:r>
        <w:rPr>
          <w:spacing w:val="-24"/>
        </w:rPr>
        <w:t> </w:t>
      </w:r>
      <w:r>
        <w:rPr>
          <w:spacing w:val="-5"/>
        </w:rPr>
        <w:t>fair </w:t>
      </w:r>
      <w:r>
        <w:rPr/>
        <w:t>value</w:t>
      </w:r>
      <w:r>
        <w:rPr>
          <w:spacing w:val="-19"/>
        </w:rPr>
        <w:t> </w:t>
      </w:r>
      <w:r>
        <w:rPr/>
        <w:t>of</w:t>
      </w:r>
      <w:r>
        <w:rPr>
          <w:spacing w:val="-19"/>
        </w:rPr>
        <w:t> </w:t>
      </w:r>
      <w:r>
        <w:rPr/>
        <w:t>consideration</w:t>
      </w:r>
      <w:r>
        <w:rPr>
          <w:spacing w:val="-19"/>
        </w:rPr>
        <w:t> </w:t>
      </w:r>
      <w:r>
        <w:rPr/>
        <w:t>received</w:t>
      </w:r>
      <w:r>
        <w:rPr>
          <w:spacing w:val="-19"/>
        </w:rPr>
        <w:t> </w:t>
      </w:r>
      <w:r>
        <w:rPr/>
        <w:t>or</w:t>
      </w:r>
      <w:r>
        <w:rPr>
          <w:spacing w:val="-19"/>
        </w:rPr>
        <w:t> </w:t>
      </w:r>
      <w:r>
        <w:rPr/>
        <w:t>receivable.</w:t>
      </w:r>
    </w:p>
    <w:p>
      <w:pPr>
        <w:pStyle w:val="BodyText"/>
        <w:spacing w:line="249" w:lineRule="auto" w:before="1"/>
        <w:ind w:left="432" w:right="1280"/>
      </w:pPr>
      <w:r>
        <w:rPr/>
        <w:t>Revenue</w:t>
      </w:r>
      <w:r>
        <w:rPr>
          <w:spacing w:val="-26"/>
        </w:rPr>
        <w:t> </w:t>
      </w:r>
      <w:r>
        <w:rPr/>
        <w:t>is</w:t>
      </w:r>
      <w:r>
        <w:rPr>
          <w:spacing w:val="-25"/>
        </w:rPr>
        <w:t> </w:t>
      </w:r>
      <w:r>
        <w:rPr/>
        <w:t>recognised</w:t>
      </w:r>
      <w:r>
        <w:rPr>
          <w:spacing w:val="-26"/>
        </w:rPr>
        <w:t> </w:t>
      </w:r>
      <w:r>
        <w:rPr/>
        <w:t>for</w:t>
      </w:r>
      <w:r>
        <w:rPr>
          <w:spacing w:val="-25"/>
        </w:rPr>
        <w:t> </w:t>
      </w:r>
      <w:r>
        <w:rPr/>
        <w:t>the</w:t>
      </w:r>
      <w:r>
        <w:rPr>
          <w:spacing w:val="-26"/>
        </w:rPr>
        <w:t> </w:t>
      </w:r>
      <w:r>
        <w:rPr/>
        <w:t>major</w:t>
      </w:r>
      <w:r>
        <w:rPr>
          <w:spacing w:val="-25"/>
        </w:rPr>
        <w:t> </w:t>
      </w:r>
      <w:r>
        <w:rPr>
          <w:spacing w:val="-3"/>
        </w:rPr>
        <w:t>business </w:t>
      </w:r>
      <w:r>
        <w:rPr/>
        <w:t>activities as</w:t>
      </w:r>
      <w:r>
        <w:rPr>
          <w:spacing w:val="-4"/>
        </w:rPr>
        <w:t> </w:t>
      </w:r>
      <w:r>
        <w:rPr/>
        <w:t>follows:</w:t>
      </w:r>
    </w:p>
    <w:p>
      <w:pPr>
        <w:pStyle w:val="BodyText"/>
        <w:spacing w:before="1"/>
        <w:rPr>
          <w:sz w:val="23"/>
        </w:rPr>
      </w:pPr>
    </w:p>
    <w:p>
      <w:pPr>
        <w:spacing w:before="1"/>
        <w:ind w:left="432" w:right="0" w:firstLine="0"/>
        <w:jc w:val="left"/>
        <w:rPr>
          <w:i/>
          <w:sz w:val="22"/>
        </w:rPr>
      </w:pPr>
      <w:r>
        <w:rPr>
          <w:i/>
          <w:sz w:val="22"/>
        </w:rPr>
        <w:t>Sale of goods</w:t>
      </w:r>
    </w:p>
    <w:p>
      <w:pPr>
        <w:pStyle w:val="BodyText"/>
        <w:spacing w:line="249" w:lineRule="auto" w:before="11"/>
        <w:ind w:left="432" w:right="981"/>
      </w:pPr>
      <w:r>
        <w:rPr/>
        <w:t>Revenue is recognised from the sale of goods and</w:t>
      </w:r>
      <w:r>
        <w:rPr>
          <w:spacing w:val="-21"/>
        </w:rPr>
        <w:t> </w:t>
      </w:r>
      <w:r>
        <w:rPr/>
        <w:t>disposal</w:t>
      </w:r>
      <w:r>
        <w:rPr>
          <w:spacing w:val="-21"/>
        </w:rPr>
        <w:t> </w:t>
      </w:r>
      <w:r>
        <w:rPr/>
        <w:t>of</w:t>
      </w:r>
      <w:r>
        <w:rPr>
          <w:spacing w:val="-21"/>
        </w:rPr>
        <w:t> </w:t>
      </w:r>
      <w:r>
        <w:rPr/>
        <w:t>other</w:t>
      </w:r>
      <w:r>
        <w:rPr>
          <w:spacing w:val="-21"/>
        </w:rPr>
        <w:t> </w:t>
      </w:r>
      <w:r>
        <w:rPr/>
        <w:t>assets</w:t>
      </w:r>
      <w:r>
        <w:rPr>
          <w:spacing w:val="-21"/>
        </w:rPr>
        <w:t> </w:t>
      </w:r>
      <w:r>
        <w:rPr/>
        <w:t>when</w:t>
      </w:r>
      <w:r>
        <w:rPr>
          <w:spacing w:val="-21"/>
        </w:rPr>
        <w:t> </w:t>
      </w:r>
      <w:r>
        <w:rPr/>
        <w:t>the</w:t>
      </w:r>
      <w:r>
        <w:rPr>
          <w:spacing w:val="-21"/>
        </w:rPr>
        <w:t> </w:t>
      </w:r>
      <w:r>
        <w:rPr/>
        <w:t>significant risks and rewards of ownership transfer to the purchaser and can be measured</w:t>
      </w:r>
      <w:r>
        <w:rPr>
          <w:spacing w:val="-39"/>
        </w:rPr>
        <w:t> </w:t>
      </w:r>
      <w:r>
        <w:rPr>
          <w:spacing w:val="-3"/>
        </w:rPr>
        <w:t>reliably.</w:t>
      </w:r>
    </w:p>
    <w:p>
      <w:pPr>
        <w:pStyle w:val="BodyText"/>
        <w:spacing w:before="3"/>
        <w:rPr>
          <w:sz w:val="23"/>
        </w:rPr>
      </w:pPr>
    </w:p>
    <w:p>
      <w:pPr>
        <w:spacing w:before="0"/>
        <w:ind w:left="432" w:right="0" w:firstLine="0"/>
        <w:jc w:val="left"/>
        <w:rPr>
          <w:i/>
          <w:sz w:val="22"/>
        </w:rPr>
      </w:pPr>
      <w:r>
        <w:rPr>
          <w:i/>
          <w:sz w:val="22"/>
        </w:rPr>
        <w:t>Provision of services</w:t>
      </w:r>
    </w:p>
    <w:p>
      <w:pPr>
        <w:pStyle w:val="BodyText"/>
        <w:spacing w:line="249" w:lineRule="auto" w:before="11"/>
        <w:ind w:left="432" w:right="778"/>
      </w:pPr>
      <w:r>
        <w:rPr/>
        <w:t>Revenue</w:t>
      </w:r>
      <w:r>
        <w:rPr>
          <w:spacing w:val="-22"/>
        </w:rPr>
        <w:t> </w:t>
      </w:r>
      <w:r>
        <w:rPr/>
        <w:t>is</w:t>
      </w:r>
      <w:r>
        <w:rPr>
          <w:spacing w:val="-21"/>
        </w:rPr>
        <w:t> </w:t>
      </w:r>
      <w:r>
        <w:rPr/>
        <w:t>recognised</w:t>
      </w:r>
      <w:r>
        <w:rPr>
          <w:spacing w:val="-22"/>
        </w:rPr>
        <w:t> </w:t>
      </w:r>
      <w:r>
        <w:rPr/>
        <w:t>by</w:t>
      </w:r>
      <w:r>
        <w:rPr>
          <w:spacing w:val="-21"/>
        </w:rPr>
        <w:t> </w:t>
      </w:r>
      <w:r>
        <w:rPr/>
        <w:t>reference</w:t>
      </w:r>
      <w:r>
        <w:rPr>
          <w:spacing w:val="-21"/>
        </w:rPr>
        <w:t> </w:t>
      </w:r>
      <w:r>
        <w:rPr/>
        <w:t>to</w:t>
      </w:r>
      <w:r>
        <w:rPr>
          <w:spacing w:val="-22"/>
        </w:rPr>
        <w:t> </w:t>
      </w:r>
      <w:r>
        <w:rPr/>
        <w:t>the</w:t>
      </w:r>
      <w:r>
        <w:rPr>
          <w:spacing w:val="-21"/>
        </w:rPr>
        <w:t> </w:t>
      </w:r>
      <w:r>
        <w:rPr/>
        <w:t>stage</w:t>
      </w:r>
      <w:r>
        <w:rPr>
          <w:spacing w:val="-21"/>
        </w:rPr>
        <w:t> </w:t>
      </w:r>
      <w:r>
        <w:rPr>
          <w:spacing w:val="-9"/>
        </w:rPr>
        <w:t>of </w:t>
      </w:r>
      <w:r>
        <w:rPr/>
        <w:t>completion of the</w:t>
      </w:r>
      <w:r>
        <w:rPr>
          <w:spacing w:val="-5"/>
        </w:rPr>
        <w:t> </w:t>
      </w:r>
      <w:r>
        <w:rPr/>
        <w:t>transaction.</w:t>
      </w:r>
    </w:p>
    <w:p>
      <w:pPr>
        <w:pStyle w:val="BodyText"/>
        <w:spacing w:before="1"/>
        <w:rPr>
          <w:sz w:val="23"/>
        </w:rPr>
      </w:pPr>
    </w:p>
    <w:p>
      <w:pPr>
        <w:spacing w:before="0"/>
        <w:ind w:left="432" w:right="0" w:firstLine="0"/>
        <w:jc w:val="left"/>
        <w:rPr>
          <w:i/>
          <w:sz w:val="22"/>
        </w:rPr>
      </w:pPr>
      <w:r>
        <w:rPr>
          <w:i/>
          <w:sz w:val="22"/>
        </w:rPr>
        <w:t>Vehicle fleet lease rentals</w:t>
      </w:r>
    </w:p>
    <w:p>
      <w:pPr>
        <w:pStyle w:val="BodyText"/>
        <w:spacing w:line="249" w:lineRule="auto" w:before="11"/>
        <w:ind w:left="432" w:right="1033"/>
      </w:pPr>
      <w:r>
        <w:rPr/>
        <w:t>Rental revenue is recognised in accordance with lease agreements entered into with State Government</w:t>
      </w:r>
      <w:r>
        <w:rPr>
          <w:spacing w:val="-33"/>
        </w:rPr>
        <w:t> </w:t>
      </w:r>
      <w:r>
        <w:rPr/>
        <w:t>agencies,</w:t>
      </w:r>
      <w:r>
        <w:rPr>
          <w:spacing w:val="-33"/>
        </w:rPr>
        <w:t> </w:t>
      </w:r>
      <w:r>
        <w:rPr/>
        <w:t>Statutory</w:t>
      </w:r>
      <w:r>
        <w:rPr>
          <w:spacing w:val="-33"/>
        </w:rPr>
        <w:t> </w:t>
      </w:r>
      <w:r>
        <w:rPr/>
        <w:t>Authorities</w:t>
      </w:r>
      <w:r>
        <w:rPr>
          <w:spacing w:val="-33"/>
        </w:rPr>
        <w:t> </w:t>
      </w:r>
      <w:r>
        <w:rPr>
          <w:spacing w:val="-6"/>
        </w:rPr>
        <w:t>and </w:t>
      </w:r>
      <w:r>
        <w:rPr/>
        <w:t>other State Government</w:t>
      </w:r>
      <w:r>
        <w:rPr>
          <w:spacing w:val="-12"/>
        </w:rPr>
        <w:t> </w:t>
      </w:r>
      <w:r>
        <w:rPr/>
        <w:t>entities.</w:t>
      </w:r>
    </w:p>
    <w:p>
      <w:pPr>
        <w:spacing w:after="0" w:line="249" w:lineRule="auto"/>
        <w:sectPr>
          <w:type w:val="continuous"/>
          <w:pgSz w:w="16840" w:h="11910" w:orient="landscape"/>
          <w:pgMar w:top="0" w:bottom="0" w:left="0" w:right="0"/>
          <w:cols w:num="3" w:equalWidth="0">
            <w:col w:w="5497" w:space="40"/>
            <w:col w:w="5245" w:space="39"/>
            <w:col w:w="6019"/>
          </w:cols>
        </w:sectPr>
      </w:pPr>
    </w:p>
    <w:p>
      <w:pPr>
        <w:pStyle w:val="BodyText"/>
        <w:rPr>
          <w:sz w:val="20"/>
        </w:rPr>
      </w:pPr>
    </w:p>
    <w:p>
      <w:pPr>
        <w:tabs>
          <w:tab w:pos="1227" w:val="left" w:leader="none"/>
          <w:tab w:pos="4671" w:val="left" w:leader="none"/>
          <w:tab w:pos="16072" w:val="left" w:leader="none"/>
        </w:tabs>
        <w:spacing w:before="107"/>
        <w:ind w:left="765" w:right="0" w:firstLine="0"/>
        <w:jc w:val="left"/>
        <w:rPr>
          <w:sz w:val="16"/>
        </w:rPr>
      </w:pPr>
      <w:r>
        <w:rPr>
          <w:b/>
          <w:color w:val="6F2770"/>
          <w:sz w:val="16"/>
        </w:rPr>
        <w:t>40</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316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b/>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328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b/>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3312" type="#_x0000_t202" filled="true" fillcolor="#b6c247" stroked="false">
            <v:textbox inset="0,0,0,0">
              <w:txbxContent>
                <w:p>
                  <w:pPr>
                    <w:pStyle w:val="BodyText"/>
                    <w:spacing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193"/>
          <w:pgSz w:w="16840" w:h="11910" w:orient="landscape"/>
          <w:pgMar w:footer="0" w:header="0" w:top="0" w:bottom="280" w:left="0" w:right="0"/>
        </w:sectPr>
      </w:pPr>
    </w:p>
    <w:p>
      <w:pPr>
        <w:pStyle w:val="BodyText"/>
        <w:spacing w:before="5"/>
        <w:rPr>
          <w:sz w:val="23"/>
        </w:rPr>
      </w:pPr>
    </w:p>
    <w:p>
      <w:pPr>
        <w:spacing w:before="0"/>
        <w:ind w:left="765" w:right="0" w:firstLine="0"/>
        <w:jc w:val="left"/>
        <w:rPr>
          <w:i/>
          <w:sz w:val="22"/>
        </w:rPr>
      </w:pPr>
      <w:r>
        <w:rPr>
          <w:i/>
          <w:sz w:val="22"/>
        </w:rPr>
        <w:t>Vehicle bailment revenues</w:t>
      </w:r>
    </w:p>
    <w:p>
      <w:pPr>
        <w:pStyle w:val="BodyText"/>
        <w:spacing w:line="249" w:lineRule="auto" w:before="11"/>
        <w:ind w:left="765" w:right="20"/>
      </w:pPr>
      <w:r>
        <w:rPr/>
        <w:t>Revenue</w:t>
      </w:r>
      <w:r>
        <w:rPr>
          <w:spacing w:val="-22"/>
        </w:rPr>
        <w:t> </w:t>
      </w:r>
      <w:r>
        <w:rPr/>
        <w:t>is</w:t>
      </w:r>
      <w:r>
        <w:rPr>
          <w:spacing w:val="-21"/>
        </w:rPr>
        <w:t> </w:t>
      </w:r>
      <w:r>
        <w:rPr/>
        <w:t>recognised</w:t>
      </w:r>
      <w:r>
        <w:rPr>
          <w:spacing w:val="-22"/>
        </w:rPr>
        <w:t> </w:t>
      </w:r>
      <w:r>
        <w:rPr/>
        <w:t>on</w:t>
      </w:r>
      <w:r>
        <w:rPr>
          <w:spacing w:val="-21"/>
        </w:rPr>
        <w:t> </w:t>
      </w:r>
      <w:r>
        <w:rPr/>
        <w:t>receipt</w:t>
      </w:r>
      <w:r>
        <w:rPr>
          <w:spacing w:val="-22"/>
        </w:rPr>
        <w:t> </w:t>
      </w:r>
      <w:r>
        <w:rPr/>
        <w:t>of</w:t>
      </w:r>
      <w:r>
        <w:rPr>
          <w:spacing w:val="-21"/>
        </w:rPr>
        <w:t> </w:t>
      </w:r>
      <w:r>
        <w:rPr/>
        <w:t>sale</w:t>
      </w:r>
      <w:r>
        <w:rPr>
          <w:spacing w:val="-22"/>
        </w:rPr>
        <w:t> </w:t>
      </w:r>
      <w:r>
        <w:rPr>
          <w:spacing w:val="-4"/>
        </w:rPr>
        <w:t>proceeds </w:t>
      </w:r>
      <w:r>
        <w:rPr/>
        <w:t>of vehicles held under bailment</w:t>
      </w:r>
      <w:r>
        <w:rPr>
          <w:spacing w:val="-26"/>
        </w:rPr>
        <w:t> </w:t>
      </w:r>
      <w:r>
        <w:rPr/>
        <w:t>rights.</w:t>
      </w:r>
    </w:p>
    <w:p>
      <w:pPr>
        <w:pStyle w:val="BodyText"/>
        <w:spacing w:before="1"/>
        <w:rPr>
          <w:sz w:val="23"/>
        </w:rPr>
      </w:pPr>
    </w:p>
    <w:p>
      <w:pPr>
        <w:spacing w:before="0"/>
        <w:ind w:left="765" w:right="0" w:firstLine="0"/>
        <w:jc w:val="left"/>
        <w:rPr>
          <w:i/>
          <w:sz w:val="22"/>
        </w:rPr>
      </w:pPr>
      <w:r>
        <w:rPr>
          <w:i/>
          <w:sz w:val="22"/>
        </w:rPr>
        <w:t>Interest</w:t>
      </w:r>
    </w:p>
    <w:p>
      <w:pPr>
        <w:pStyle w:val="BodyText"/>
        <w:spacing w:before="11"/>
        <w:ind w:left="765"/>
      </w:pPr>
      <w:r>
        <w:rPr/>
        <w:t>Revenue is recognised as the interest accrues.</w:t>
      </w:r>
    </w:p>
    <w:p>
      <w:pPr>
        <w:pStyle w:val="BodyText"/>
        <w:spacing w:before="11"/>
        <w:rPr>
          <w:sz w:val="23"/>
        </w:rPr>
      </w:pPr>
    </w:p>
    <w:p>
      <w:pPr>
        <w:spacing w:before="0"/>
        <w:ind w:left="765" w:right="0" w:firstLine="0"/>
        <w:jc w:val="left"/>
        <w:rPr>
          <w:i/>
          <w:sz w:val="22"/>
        </w:rPr>
      </w:pPr>
      <w:r>
        <w:rPr>
          <w:i/>
          <w:sz w:val="22"/>
        </w:rPr>
        <w:t>Revenue recognition - administered</w:t>
      </w:r>
    </w:p>
    <w:p>
      <w:pPr>
        <w:pStyle w:val="BodyText"/>
        <w:spacing w:line="249" w:lineRule="auto" w:before="11"/>
        <w:ind w:left="765" w:right="-8"/>
      </w:pPr>
      <w:r>
        <w:rPr/>
        <w:t>Revenues resulting from taxation, territorial revenue, regulatory fees and fines, sale of goods and</w:t>
      </w:r>
      <w:r>
        <w:rPr>
          <w:spacing w:val="-24"/>
        </w:rPr>
        <w:t> </w:t>
      </w:r>
      <w:r>
        <w:rPr/>
        <w:t>services,</w:t>
      </w:r>
      <w:r>
        <w:rPr>
          <w:spacing w:val="-24"/>
        </w:rPr>
        <w:t> </w:t>
      </w:r>
      <w:r>
        <w:rPr/>
        <w:t>rent</w:t>
      </w:r>
      <w:r>
        <w:rPr>
          <w:spacing w:val="-23"/>
        </w:rPr>
        <w:t> </w:t>
      </w:r>
      <w:r>
        <w:rPr/>
        <w:t>and</w:t>
      </w:r>
      <w:r>
        <w:rPr>
          <w:spacing w:val="-24"/>
        </w:rPr>
        <w:t> </w:t>
      </w:r>
      <w:r>
        <w:rPr/>
        <w:t>interest</w:t>
      </w:r>
      <w:r>
        <w:rPr>
          <w:spacing w:val="-23"/>
        </w:rPr>
        <w:t> </w:t>
      </w:r>
      <w:r>
        <w:rPr/>
        <w:t>are,</w:t>
      </w:r>
      <w:r>
        <w:rPr>
          <w:spacing w:val="-24"/>
        </w:rPr>
        <w:t> </w:t>
      </w:r>
      <w:r>
        <w:rPr/>
        <w:t>where</w:t>
      </w:r>
      <w:r>
        <w:rPr>
          <w:spacing w:val="-23"/>
        </w:rPr>
        <w:t> </w:t>
      </w:r>
      <w:r>
        <w:rPr>
          <w:spacing w:val="-3"/>
        </w:rPr>
        <w:t>possible, </w:t>
      </w:r>
      <w:r>
        <w:rPr/>
        <w:t>recognised when the transaction or event giving rise to the revenue occurs. In some instances </w:t>
      </w:r>
      <w:r>
        <w:rPr>
          <w:spacing w:val="-3"/>
        </w:rPr>
        <w:t>however, </w:t>
      </w:r>
      <w:r>
        <w:rPr/>
        <w:t>the revenue is not measurable until the cash is</w:t>
      </w:r>
      <w:r>
        <w:rPr>
          <w:spacing w:val="-3"/>
        </w:rPr>
        <w:t> </w:t>
      </w:r>
      <w:r>
        <w:rPr/>
        <w:t>received.</w:t>
      </w:r>
    </w:p>
    <w:p>
      <w:pPr>
        <w:pStyle w:val="BodyText"/>
        <w:spacing w:before="6"/>
        <w:rPr>
          <w:sz w:val="23"/>
        </w:rPr>
      </w:pPr>
    </w:p>
    <w:p>
      <w:pPr>
        <w:spacing w:before="0"/>
        <w:ind w:left="765" w:right="0" w:firstLine="0"/>
        <w:jc w:val="left"/>
        <w:rPr>
          <w:i/>
          <w:sz w:val="22"/>
        </w:rPr>
      </w:pPr>
      <w:r>
        <w:rPr>
          <w:i/>
          <w:sz w:val="22"/>
        </w:rPr>
        <w:t>Service appropriations</w:t>
      </w:r>
    </w:p>
    <w:p>
      <w:pPr>
        <w:pStyle w:val="BodyText"/>
        <w:spacing w:line="249" w:lineRule="auto" w:before="11"/>
        <w:ind w:left="765" w:right="235"/>
      </w:pPr>
      <w:r>
        <w:rPr/>
        <w:t>Service appropriations are recognised as revenues</w:t>
      </w:r>
      <w:r>
        <w:rPr>
          <w:spacing w:val="-17"/>
        </w:rPr>
        <w:t> </w:t>
      </w:r>
      <w:r>
        <w:rPr/>
        <w:t>at</w:t>
      </w:r>
      <w:r>
        <w:rPr>
          <w:spacing w:val="-16"/>
        </w:rPr>
        <w:t> </w:t>
      </w:r>
      <w:r>
        <w:rPr/>
        <w:t>fair</w:t>
      </w:r>
      <w:r>
        <w:rPr>
          <w:spacing w:val="-16"/>
        </w:rPr>
        <w:t> </w:t>
      </w:r>
      <w:r>
        <w:rPr/>
        <w:t>value</w:t>
      </w:r>
      <w:r>
        <w:rPr>
          <w:spacing w:val="-16"/>
        </w:rPr>
        <w:t> </w:t>
      </w:r>
      <w:r>
        <w:rPr/>
        <w:t>in</w:t>
      </w:r>
      <w:r>
        <w:rPr>
          <w:spacing w:val="-16"/>
        </w:rPr>
        <w:t> </w:t>
      </w:r>
      <w:r>
        <w:rPr/>
        <w:t>the</w:t>
      </w:r>
      <w:r>
        <w:rPr>
          <w:spacing w:val="-16"/>
        </w:rPr>
        <w:t> </w:t>
      </w:r>
      <w:r>
        <w:rPr/>
        <w:t>period</w:t>
      </w:r>
      <w:r>
        <w:rPr>
          <w:spacing w:val="-16"/>
        </w:rPr>
        <w:t> </w:t>
      </w:r>
      <w:r>
        <w:rPr/>
        <w:t>in</w:t>
      </w:r>
      <w:r>
        <w:rPr>
          <w:spacing w:val="-16"/>
        </w:rPr>
        <w:t> </w:t>
      </w:r>
      <w:r>
        <w:rPr/>
        <w:t>which</w:t>
      </w:r>
      <w:r>
        <w:rPr>
          <w:spacing w:val="-16"/>
        </w:rPr>
        <w:t> </w:t>
      </w:r>
      <w:r>
        <w:rPr/>
        <w:t>the Department gains control of the appropriated funds. The Department gains control of appropriated funds at the time those funds are deposited to the </w:t>
      </w:r>
      <w:r>
        <w:rPr>
          <w:spacing w:val="-3"/>
        </w:rPr>
        <w:t>Department’s </w:t>
      </w:r>
      <w:r>
        <w:rPr/>
        <w:t>bank account or credited</w:t>
      </w:r>
      <w:r>
        <w:rPr>
          <w:spacing w:val="-22"/>
        </w:rPr>
        <w:t> </w:t>
      </w:r>
      <w:r>
        <w:rPr/>
        <w:t>to</w:t>
      </w:r>
      <w:r>
        <w:rPr>
          <w:spacing w:val="-21"/>
        </w:rPr>
        <w:t> </w:t>
      </w:r>
      <w:r>
        <w:rPr/>
        <w:t>the</w:t>
      </w:r>
      <w:r>
        <w:rPr>
          <w:spacing w:val="-22"/>
        </w:rPr>
        <w:t> </w:t>
      </w:r>
      <w:r>
        <w:rPr/>
        <w:t>‘Amounts</w:t>
      </w:r>
      <w:r>
        <w:rPr>
          <w:spacing w:val="-21"/>
        </w:rPr>
        <w:t> </w:t>
      </w:r>
      <w:r>
        <w:rPr/>
        <w:t>receivable</w:t>
      </w:r>
      <w:r>
        <w:rPr>
          <w:spacing w:val="-22"/>
        </w:rPr>
        <w:t> </w:t>
      </w:r>
      <w:r>
        <w:rPr/>
        <w:t>for</w:t>
      </w:r>
      <w:r>
        <w:rPr>
          <w:spacing w:val="-21"/>
        </w:rPr>
        <w:t> </w:t>
      </w:r>
      <w:r>
        <w:rPr/>
        <w:t>services’ (holding account) held at</w:t>
      </w:r>
      <w:r>
        <w:rPr>
          <w:spacing w:val="-21"/>
        </w:rPr>
        <w:t> </w:t>
      </w:r>
      <w:r>
        <w:rPr>
          <w:spacing w:val="-6"/>
        </w:rPr>
        <w:t>Treasury.</w:t>
      </w:r>
    </w:p>
    <w:p>
      <w:pPr>
        <w:pStyle w:val="BodyText"/>
        <w:spacing w:before="6"/>
        <w:rPr>
          <w:sz w:val="23"/>
        </w:rPr>
      </w:pPr>
    </w:p>
    <w:p>
      <w:pPr>
        <w:spacing w:before="0"/>
        <w:ind w:left="765" w:right="0" w:firstLine="0"/>
        <w:jc w:val="left"/>
        <w:rPr>
          <w:i/>
          <w:sz w:val="22"/>
        </w:rPr>
      </w:pPr>
      <w:r>
        <w:rPr>
          <w:i/>
          <w:sz w:val="22"/>
        </w:rPr>
        <w:t>Net appropriation determination</w:t>
      </w:r>
    </w:p>
    <w:p>
      <w:pPr>
        <w:pStyle w:val="BodyText"/>
        <w:spacing w:line="249" w:lineRule="auto" w:before="11"/>
        <w:ind w:left="765" w:right="376"/>
      </w:pPr>
      <w:r>
        <w:rPr/>
        <w:t>The </w:t>
      </w:r>
      <w:r>
        <w:rPr>
          <w:spacing w:val="-4"/>
        </w:rPr>
        <w:t>Treasurer </w:t>
      </w:r>
      <w:r>
        <w:rPr/>
        <w:t>may make a determination providing</w:t>
      </w:r>
      <w:r>
        <w:rPr>
          <w:spacing w:val="-18"/>
        </w:rPr>
        <w:t> </w:t>
      </w:r>
      <w:r>
        <w:rPr/>
        <w:t>for</w:t>
      </w:r>
      <w:r>
        <w:rPr>
          <w:spacing w:val="-17"/>
        </w:rPr>
        <w:t> </w:t>
      </w:r>
      <w:r>
        <w:rPr/>
        <w:t>prescribed</w:t>
      </w:r>
      <w:r>
        <w:rPr>
          <w:spacing w:val="-17"/>
        </w:rPr>
        <w:t> </w:t>
      </w:r>
      <w:r>
        <w:rPr/>
        <w:t>receipts</w:t>
      </w:r>
      <w:r>
        <w:rPr>
          <w:spacing w:val="-17"/>
        </w:rPr>
        <w:t> </w:t>
      </w:r>
      <w:r>
        <w:rPr/>
        <w:t>to</w:t>
      </w:r>
      <w:r>
        <w:rPr>
          <w:spacing w:val="-17"/>
        </w:rPr>
        <w:t> </w:t>
      </w:r>
      <w:r>
        <w:rPr/>
        <w:t>be</w:t>
      </w:r>
      <w:r>
        <w:rPr>
          <w:spacing w:val="-17"/>
        </w:rPr>
        <w:t> </w:t>
      </w:r>
      <w:r>
        <w:rPr>
          <w:spacing w:val="-4"/>
        </w:rPr>
        <w:t>retained</w:t>
      </w:r>
    </w:p>
    <w:p>
      <w:pPr>
        <w:pStyle w:val="BodyText"/>
        <w:spacing w:before="5"/>
        <w:rPr>
          <w:sz w:val="23"/>
        </w:rPr>
      </w:pPr>
      <w:r>
        <w:rPr/>
        <w:br w:type="column"/>
      </w:r>
      <w:r>
        <w:rPr>
          <w:sz w:val="23"/>
        </w:rPr>
      </w:r>
    </w:p>
    <w:p>
      <w:pPr>
        <w:pStyle w:val="BodyText"/>
        <w:spacing w:line="249" w:lineRule="auto"/>
        <w:ind w:left="407" w:right="48"/>
      </w:pPr>
      <w:r>
        <w:rPr/>
        <w:t>for services under the control of the Department. In</w:t>
      </w:r>
      <w:r>
        <w:rPr>
          <w:spacing w:val="-21"/>
        </w:rPr>
        <w:t> </w:t>
      </w:r>
      <w:r>
        <w:rPr/>
        <w:t>accordance</w:t>
      </w:r>
      <w:r>
        <w:rPr>
          <w:spacing w:val="-20"/>
        </w:rPr>
        <w:t> </w:t>
      </w:r>
      <w:r>
        <w:rPr/>
        <w:t>with</w:t>
      </w:r>
      <w:r>
        <w:rPr>
          <w:spacing w:val="-20"/>
        </w:rPr>
        <w:t> </w:t>
      </w:r>
      <w:r>
        <w:rPr/>
        <w:t>the</w:t>
      </w:r>
      <w:r>
        <w:rPr>
          <w:spacing w:val="-20"/>
        </w:rPr>
        <w:t> </w:t>
      </w:r>
      <w:r>
        <w:rPr/>
        <w:t>most</w:t>
      </w:r>
      <w:r>
        <w:rPr>
          <w:spacing w:val="-21"/>
        </w:rPr>
        <w:t> </w:t>
      </w:r>
      <w:r>
        <w:rPr/>
        <w:t>recent</w:t>
      </w:r>
      <w:r>
        <w:rPr>
          <w:spacing w:val="-20"/>
        </w:rPr>
        <w:t> </w:t>
      </w:r>
      <w:r>
        <w:rPr/>
        <w:t>determination, as quantified in the 2016-17 Budget Statements, the Department retained $1,073 million in 2017 ($958 million in 2016) from the</w:t>
      </w:r>
      <w:r>
        <w:rPr>
          <w:spacing w:val="-39"/>
        </w:rPr>
        <w:t> </w:t>
      </w:r>
      <w:r>
        <w:rPr/>
        <w:t>following:</w:t>
      </w:r>
    </w:p>
    <w:p>
      <w:pPr>
        <w:pStyle w:val="BodyText"/>
        <w:spacing w:before="4"/>
        <w:rPr>
          <w:sz w:val="23"/>
        </w:rPr>
      </w:pPr>
    </w:p>
    <w:p>
      <w:pPr>
        <w:pStyle w:val="ListParagraph"/>
        <w:numPr>
          <w:ilvl w:val="0"/>
          <w:numId w:val="3"/>
        </w:numPr>
        <w:tabs>
          <w:tab w:pos="579" w:val="left" w:leader="none"/>
        </w:tabs>
        <w:spacing w:line="240" w:lineRule="auto" w:before="0" w:after="0"/>
        <w:ind w:left="578" w:right="0" w:hanging="171"/>
        <w:jc w:val="left"/>
        <w:rPr>
          <w:sz w:val="22"/>
        </w:rPr>
      </w:pPr>
      <w:r>
        <w:rPr>
          <w:sz w:val="22"/>
        </w:rPr>
        <w:t>proceeds from fees and</w:t>
      </w:r>
      <w:r>
        <w:rPr>
          <w:spacing w:val="-13"/>
          <w:sz w:val="22"/>
        </w:rPr>
        <w:t> </w:t>
      </w:r>
      <w:r>
        <w:rPr>
          <w:sz w:val="22"/>
        </w:rPr>
        <w:t>charges;</w:t>
      </w:r>
    </w:p>
    <w:p>
      <w:pPr>
        <w:pStyle w:val="ListParagraph"/>
        <w:numPr>
          <w:ilvl w:val="0"/>
          <w:numId w:val="3"/>
        </w:numPr>
        <w:tabs>
          <w:tab w:pos="579" w:val="left" w:leader="none"/>
        </w:tabs>
        <w:spacing w:line="240" w:lineRule="auto" w:before="11" w:after="0"/>
        <w:ind w:left="578" w:right="0" w:hanging="171"/>
        <w:jc w:val="left"/>
        <w:rPr>
          <w:sz w:val="22"/>
        </w:rPr>
      </w:pPr>
      <w:r>
        <w:rPr>
          <w:sz w:val="22"/>
        </w:rPr>
        <w:t>sale of</w:t>
      </w:r>
      <w:r>
        <w:rPr>
          <w:spacing w:val="-2"/>
          <w:sz w:val="22"/>
        </w:rPr>
        <w:t> </w:t>
      </w:r>
      <w:r>
        <w:rPr>
          <w:sz w:val="22"/>
        </w:rPr>
        <w:t>goods;</w:t>
      </w:r>
    </w:p>
    <w:p>
      <w:pPr>
        <w:pStyle w:val="ListParagraph"/>
        <w:numPr>
          <w:ilvl w:val="0"/>
          <w:numId w:val="3"/>
        </w:numPr>
        <w:tabs>
          <w:tab w:pos="579" w:val="left" w:leader="none"/>
        </w:tabs>
        <w:spacing w:line="249" w:lineRule="auto" w:before="11" w:after="0"/>
        <w:ind w:left="590" w:right="866" w:hanging="183"/>
        <w:jc w:val="left"/>
        <w:rPr>
          <w:sz w:val="22"/>
        </w:rPr>
      </w:pPr>
      <w:r>
        <w:rPr>
          <w:sz w:val="22"/>
        </w:rPr>
        <w:t>Commonwealth</w:t>
      </w:r>
      <w:r>
        <w:rPr>
          <w:spacing w:val="-24"/>
          <w:sz w:val="22"/>
        </w:rPr>
        <w:t> </w:t>
      </w:r>
      <w:r>
        <w:rPr>
          <w:sz w:val="22"/>
        </w:rPr>
        <w:t>specific</w:t>
      </w:r>
      <w:r>
        <w:rPr>
          <w:spacing w:val="-23"/>
          <w:sz w:val="22"/>
        </w:rPr>
        <w:t> </w:t>
      </w:r>
      <w:r>
        <w:rPr>
          <w:sz w:val="22"/>
        </w:rPr>
        <w:t>purpose</w:t>
      </w:r>
      <w:r>
        <w:rPr>
          <w:spacing w:val="-23"/>
          <w:sz w:val="22"/>
        </w:rPr>
        <w:t> </w:t>
      </w:r>
      <w:r>
        <w:rPr>
          <w:spacing w:val="-3"/>
          <w:sz w:val="22"/>
        </w:rPr>
        <w:t>grants </w:t>
      </w:r>
      <w:r>
        <w:rPr>
          <w:sz w:val="22"/>
        </w:rPr>
        <w:t>and</w:t>
      </w:r>
      <w:r>
        <w:rPr>
          <w:spacing w:val="-1"/>
          <w:sz w:val="22"/>
        </w:rPr>
        <w:t> </w:t>
      </w:r>
      <w:r>
        <w:rPr>
          <w:sz w:val="22"/>
        </w:rPr>
        <w:t>contributions;</w:t>
      </w:r>
    </w:p>
    <w:p>
      <w:pPr>
        <w:pStyle w:val="ListParagraph"/>
        <w:numPr>
          <w:ilvl w:val="0"/>
          <w:numId w:val="3"/>
        </w:numPr>
        <w:tabs>
          <w:tab w:pos="579" w:val="left" w:leader="none"/>
        </w:tabs>
        <w:spacing w:line="240" w:lineRule="auto" w:before="2" w:after="0"/>
        <w:ind w:left="578" w:right="0" w:hanging="171"/>
        <w:jc w:val="left"/>
        <w:rPr>
          <w:sz w:val="22"/>
        </w:rPr>
      </w:pPr>
      <w:r>
        <w:rPr>
          <w:sz w:val="22"/>
        </w:rPr>
        <w:t>rental revenue recognised in</w:t>
      </w:r>
      <w:r>
        <w:rPr>
          <w:spacing w:val="-34"/>
          <w:sz w:val="22"/>
        </w:rPr>
        <w:t> </w:t>
      </w:r>
      <w:r>
        <w:rPr>
          <w:sz w:val="22"/>
        </w:rPr>
        <w:t>accordance</w:t>
      </w:r>
    </w:p>
    <w:p>
      <w:pPr>
        <w:pStyle w:val="BodyText"/>
        <w:spacing w:line="249" w:lineRule="auto" w:before="11"/>
        <w:ind w:left="590" w:right="312"/>
      </w:pPr>
      <w:r>
        <w:rPr/>
        <w:t>with</w:t>
      </w:r>
      <w:r>
        <w:rPr>
          <w:spacing w:val="-23"/>
        </w:rPr>
        <w:t> </w:t>
      </w:r>
      <w:r>
        <w:rPr/>
        <w:t>lease</w:t>
      </w:r>
      <w:r>
        <w:rPr>
          <w:spacing w:val="-22"/>
        </w:rPr>
        <w:t> </w:t>
      </w:r>
      <w:r>
        <w:rPr/>
        <w:t>agreements</w:t>
      </w:r>
      <w:r>
        <w:rPr>
          <w:spacing w:val="-22"/>
        </w:rPr>
        <w:t> </w:t>
      </w:r>
      <w:r>
        <w:rPr/>
        <w:t>entered</w:t>
      </w:r>
      <w:r>
        <w:rPr>
          <w:spacing w:val="-22"/>
        </w:rPr>
        <w:t> </w:t>
      </w:r>
      <w:r>
        <w:rPr/>
        <w:t>into</w:t>
      </w:r>
      <w:r>
        <w:rPr>
          <w:spacing w:val="-22"/>
        </w:rPr>
        <w:t> </w:t>
      </w:r>
      <w:r>
        <w:rPr/>
        <w:t>with</w:t>
      </w:r>
      <w:r>
        <w:rPr>
          <w:spacing w:val="-23"/>
        </w:rPr>
        <w:t> </w:t>
      </w:r>
      <w:r>
        <w:rPr>
          <w:spacing w:val="-4"/>
        </w:rPr>
        <w:t>State </w:t>
      </w:r>
      <w:r>
        <w:rPr/>
        <w:t>Government</w:t>
      </w:r>
      <w:r>
        <w:rPr>
          <w:spacing w:val="-19"/>
        </w:rPr>
        <w:t> </w:t>
      </w:r>
      <w:r>
        <w:rPr/>
        <w:t>agencies,</w:t>
      </w:r>
      <w:r>
        <w:rPr>
          <w:spacing w:val="-19"/>
        </w:rPr>
        <w:t> </w:t>
      </w:r>
      <w:r>
        <w:rPr/>
        <w:t>statutory</w:t>
      </w:r>
      <w:r>
        <w:rPr>
          <w:spacing w:val="-19"/>
        </w:rPr>
        <w:t> </w:t>
      </w:r>
      <w:r>
        <w:rPr/>
        <w:t>authorities</w:t>
      </w:r>
    </w:p>
    <w:p>
      <w:pPr>
        <w:pStyle w:val="BodyText"/>
        <w:spacing w:line="249" w:lineRule="auto" w:before="2"/>
        <w:ind w:left="590" w:right="67"/>
      </w:pPr>
      <w:r>
        <w:rPr/>
        <w:t>and</w:t>
      </w:r>
      <w:r>
        <w:rPr>
          <w:spacing w:val="-25"/>
        </w:rPr>
        <w:t> </w:t>
      </w:r>
      <w:r>
        <w:rPr/>
        <w:t>other</w:t>
      </w:r>
      <w:r>
        <w:rPr>
          <w:spacing w:val="-24"/>
        </w:rPr>
        <w:t> </w:t>
      </w:r>
      <w:r>
        <w:rPr/>
        <w:t>State</w:t>
      </w:r>
      <w:r>
        <w:rPr>
          <w:spacing w:val="-24"/>
        </w:rPr>
        <w:t> </w:t>
      </w:r>
      <w:r>
        <w:rPr/>
        <w:t>Government</w:t>
      </w:r>
      <w:r>
        <w:rPr>
          <w:spacing w:val="-24"/>
        </w:rPr>
        <w:t> </w:t>
      </w:r>
      <w:r>
        <w:rPr/>
        <w:t>entities</w:t>
      </w:r>
      <w:r>
        <w:rPr>
          <w:spacing w:val="-24"/>
        </w:rPr>
        <w:t> </w:t>
      </w:r>
      <w:r>
        <w:rPr/>
        <w:t>and</w:t>
      </w:r>
      <w:r>
        <w:rPr>
          <w:spacing w:val="-24"/>
        </w:rPr>
        <w:t> </w:t>
      </w:r>
      <w:r>
        <w:rPr>
          <w:spacing w:val="-3"/>
        </w:rPr>
        <w:t>vehicle </w:t>
      </w:r>
      <w:r>
        <w:rPr/>
        <w:t>bailment</w:t>
      </w:r>
      <w:r>
        <w:rPr>
          <w:spacing w:val="-15"/>
        </w:rPr>
        <w:t> </w:t>
      </w:r>
      <w:r>
        <w:rPr/>
        <w:t>revenue</w:t>
      </w:r>
      <w:r>
        <w:rPr>
          <w:spacing w:val="-14"/>
        </w:rPr>
        <w:t> </w:t>
      </w:r>
      <w:r>
        <w:rPr/>
        <w:t>held</w:t>
      </w:r>
      <w:r>
        <w:rPr>
          <w:spacing w:val="-14"/>
        </w:rPr>
        <w:t> </w:t>
      </w:r>
      <w:r>
        <w:rPr/>
        <w:t>under</w:t>
      </w:r>
      <w:r>
        <w:rPr>
          <w:spacing w:val="-14"/>
        </w:rPr>
        <w:t> </w:t>
      </w:r>
      <w:r>
        <w:rPr/>
        <w:t>bailment</w:t>
      </w:r>
      <w:r>
        <w:rPr>
          <w:spacing w:val="-14"/>
        </w:rPr>
        <w:t> </w:t>
      </w:r>
      <w:r>
        <w:rPr/>
        <w:t>rights;</w:t>
      </w:r>
    </w:p>
    <w:p>
      <w:pPr>
        <w:pStyle w:val="ListParagraph"/>
        <w:numPr>
          <w:ilvl w:val="0"/>
          <w:numId w:val="3"/>
        </w:numPr>
        <w:tabs>
          <w:tab w:pos="579" w:val="left" w:leader="none"/>
        </w:tabs>
        <w:spacing w:line="249" w:lineRule="auto" w:before="1" w:after="0"/>
        <w:ind w:left="590" w:right="0" w:hanging="183"/>
        <w:jc w:val="left"/>
        <w:rPr>
          <w:sz w:val="22"/>
        </w:rPr>
      </w:pPr>
      <w:r>
        <w:rPr>
          <w:sz w:val="22"/>
        </w:rPr>
        <w:t>provision</w:t>
      </w:r>
      <w:r>
        <w:rPr>
          <w:spacing w:val="-18"/>
          <w:sz w:val="22"/>
        </w:rPr>
        <w:t> </w:t>
      </w:r>
      <w:r>
        <w:rPr>
          <w:sz w:val="22"/>
        </w:rPr>
        <w:t>of</w:t>
      </w:r>
      <w:r>
        <w:rPr>
          <w:spacing w:val="-17"/>
          <w:sz w:val="22"/>
        </w:rPr>
        <w:t> </w:t>
      </w:r>
      <w:r>
        <w:rPr>
          <w:sz w:val="22"/>
        </w:rPr>
        <w:t>contract</w:t>
      </w:r>
      <w:r>
        <w:rPr>
          <w:spacing w:val="-17"/>
          <w:sz w:val="22"/>
        </w:rPr>
        <w:t> </w:t>
      </w:r>
      <w:r>
        <w:rPr>
          <w:sz w:val="22"/>
        </w:rPr>
        <w:t>services</w:t>
      </w:r>
      <w:r>
        <w:rPr>
          <w:spacing w:val="-17"/>
          <w:sz w:val="22"/>
        </w:rPr>
        <w:t> </w:t>
      </w:r>
      <w:r>
        <w:rPr>
          <w:sz w:val="22"/>
        </w:rPr>
        <w:t>and</w:t>
      </w:r>
      <w:r>
        <w:rPr>
          <w:spacing w:val="-17"/>
          <w:sz w:val="22"/>
        </w:rPr>
        <w:t> </w:t>
      </w:r>
      <w:r>
        <w:rPr>
          <w:sz w:val="22"/>
        </w:rPr>
        <w:t>rental</w:t>
      </w:r>
      <w:r>
        <w:rPr>
          <w:spacing w:val="-17"/>
          <w:sz w:val="22"/>
        </w:rPr>
        <w:t> </w:t>
      </w:r>
      <w:r>
        <w:rPr>
          <w:sz w:val="22"/>
        </w:rPr>
        <w:t>income sufficient</w:t>
      </w:r>
      <w:r>
        <w:rPr>
          <w:spacing w:val="-22"/>
          <w:sz w:val="22"/>
        </w:rPr>
        <w:t> </w:t>
      </w:r>
      <w:r>
        <w:rPr>
          <w:sz w:val="22"/>
        </w:rPr>
        <w:t>to</w:t>
      </w:r>
      <w:r>
        <w:rPr>
          <w:spacing w:val="-21"/>
          <w:sz w:val="22"/>
        </w:rPr>
        <w:t> </w:t>
      </w:r>
      <w:r>
        <w:rPr>
          <w:sz w:val="22"/>
        </w:rPr>
        <w:t>cover</w:t>
      </w:r>
      <w:r>
        <w:rPr>
          <w:spacing w:val="-22"/>
          <w:sz w:val="22"/>
        </w:rPr>
        <w:t> </w:t>
      </w:r>
      <w:r>
        <w:rPr>
          <w:sz w:val="22"/>
        </w:rPr>
        <w:t>outgoings</w:t>
      </w:r>
      <w:r>
        <w:rPr>
          <w:spacing w:val="-21"/>
          <w:sz w:val="22"/>
        </w:rPr>
        <w:t> </w:t>
      </w:r>
      <w:r>
        <w:rPr>
          <w:sz w:val="22"/>
        </w:rPr>
        <w:t>paid</w:t>
      </w:r>
      <w:r>
        <w:rPr>
          <w:spacing w:val="-21"/>
          <w:sz w:val="22"/>
        </w:rPr>
        <w:t> </w:t>
      </w:r>
      <w:r>
        <w:rPr>
          <w:sz w:val="22"/>
        </w:rPr>
        <w:t>for</w:t>
      </w:r>
      <w:r>
        <w:rPr>
          <w:spacing w:val="-22"/>
          <w:sz w:val="22"/>
        </w:rPr>
        <w:t> </w:t>
      </w:r>
      <w:r>
        <w:rPr>
          <w:sz w:val="22"/>
        </w:rPr>
        <w:t>government owned buildings;</w:t>
      </w:r>
      <w:r>
        <w:rPr>
          <w:spacing w:val="-2"/>
          <w:sz w:val="22"/>
        </w:rPr>
        <w:t> </w:t>
      </w:r>
      <w:r>
        <w:rPr>
          <w:sz w:val="22"/>
        </w:rPr>
        <w:t>and</w:t>
      </w:r>
    </w:p>
    <w:p>
      <w:pPr>
        <w:pStyle w:val="ListParagraph"/>
        <w:numPr>
          <w:ilvl w:val="0"/>
          <w:numId w:val="3"/>
        </w:numPr>
        <w:tabs>
          <w:tab w:pos="579" w:val="left" w:leader="none"/>
        </w:tabs>
        <w:spacing w:line="240" w:lineRule="auto" w:before="3" w:after="0"/>
        <w:ind w:left="578" w:right="0" w:hanging="171"/>
        <w:jc w:val="left"/>
        <w:rPr>
          <w:sz w:val="22"/>
        </w:rPr>
      </w:pPr>
      <w:r>
        <w:rPr>
          <w:sz w:val="22"/>
        </w:rPr>
        <w:t>other departmental</w:t>
      </w:r>
      <w:r>
        <w:rPr>
          <w:spacing w:val="-6"/>
          <w:sz w:val="22"/>
        </w:rPr>
        <w:t> </w:t>
      </w:r>
      <w:r>
        <w:rPr>
          <w:sz w:val="22"/>
        </w:rPr>
        <w:t>revenue.</w:t>
      </w:r>
    </w:p>
    <w:p>
      <w:pPr>
        <w:pStyle w:val="BodyText"/>
        <w:spacing w:before="10"/>
        <w:rPr>
          <w:sz w:val="23"/>
        </w:rPr>
      </w:pPr>
    </w:p>
    <w:p>
      <w:pPr>
        <w:spacing w:line="249" w:lineRule="auto" w:before="1"/>
        <w:ind w:left="407" w:right="202" w:firstLine="0"/>
        <w:jc w:val="left"/>
        <w:rPr>
          <w:i/>
          <w:sz w:val="22"/>
        </w:rPr>
      </w:pPr>
      <w:r>
        <w:rPr>
          <w:i/>
          <w:sz w:val="22"/>
        </w:rPr>
        <w:t>Grants,</w:t>
      </w:r>
      <w:r>
        <w:rPr>
          <w:i/>
          <w:spacing w:val="-24"/>
          <w:sz w:val="22"/>
        </w:rPr>
        <w:t> </w:t>
      </w:r>
      <w:r>
        <w:rPr>
          <w:i/>
          <w:sz w:val="22"/>
        </w:rPr>
        <w:t>donations,</w:t>
      </w:r>
      <w:r>
        <w:rPr>
          <w:i/>
          <w:spacing w:val="-23"/>
          <w:sz w:val="22"/>
        </w:rPr>
        <w:t> </w:t>
      </w:r>
      <w:r>
        <w:rPr>
          <w:i/>
          <w:sz w:val="22"/>
        </w:rPr>
        <w:t>gifts</w:t>
      </w:r>
      <w:r>
        <w:rPr>
          <w:i/>
          <w:spacing w:val="-24"/>
          <w:sz w:val="22"/>
        </w:rPr>
        <w:t> </w:t>
      </w:r>
      <w:r>
        <w:rPr>
          <w:i/>
          <w:sz w:val="22"/>
        </w:rPr>
        <w:t>and</w:t>
      </w:r>
      <w:r>
        <w:rPr>
          <w:i/>
          <w:spacing w:val="-23"/>
          <w:sz w:val="22"/>
        </w:rPr>
        <w:t> </w:t>
      </w:r>
      <w:r>
        <w:rPr>
          <w:i/>
          <w:sz w:val="22"/>
        </w:rPr>
        <w:t>other</w:t>
      </w:r>
      <w:r>
        <w:rPr>
          <w:i/>
          <w:spacing w:val="-24"/>
          <w:sz w:val="22"/>
        </w:rPr>
        <w:t> </w:t>
      </w:r>
      <w:r>
        <w:rPr>
          <w:i/>
          <w:sz w:val="22"/>
        </w:rPr>
        <w:t>non-reciprocal </w:t>
      </w:r>
      <w:r>
        <w:rPr>
          <w:i/>
          <w:sz w:val="22"/>
        </w:rPr>
        <w:t>contributions</w:t>
      </w:r>
    </w:p>
    <w:p>
      <w:pPr>
        <w:pStyle w:val="BodyText"/>
        <w:spacing w:line="249" w:lineRule="auto" w:before="1"/>
        <w:ind w:left="407" w:right="263"/>
      </w:pPr>
      <w:r>
        <w:rPr/>
        <w:t>Revenue is recognised at fair value when the Department obtains control over the assets comprising</w:t>
      </w:r>
      <w:r>
        <w:rPr>
          <w:spacing w:val="-22"/>
        </w:rPr>
        <w:t> </w:t>
      </w:r>
      <w:r>
        <w:rPr/>
        <w:t>the</w:t>
      </w:r>
      <w:r>
        <w:rPr>
          <w:spacing w:val="-22"/>
        </w:rPr>
        <w:t> </w:t>
      </w:r>
      <w:r>
        <w:rPr/>
        <w:t>contributions,</w:t>
      </w:r>
      <w:r>
        <w:rPr>
          <w:spacing w:val="-22"/>
        </w:rPr>
        <w:t> </w:t>
      </w:r>
      <w:r>
        <w:rPr/>
        <w:t>usually</w:t>
      </w:r>
      <w:r>
        <w:rPr>
          <w:spacing w:val="-22"/>
        </w:rPr>
        <w:t> </w:t>
      </w:r>
      <w:r>
        <w:rPr/>
        <w:t>when</w:t>
      </w:r>
      <w:r>
        <w:rPr>
          <w:spacing w:val="-22"/>
        </w:rPr>
        <w:t> </w:t>
      </w:r>
      <w:r>
        <w:rPr>
          <w:spacing w:val="-5"/>
        </w:rPr>
        <w:t>cash </w:t>
      </w:r>
      <w:r>
        <w:rPr/>
        <w:t>is</w:t>
      </w:r>
      <w:r>
        <w:rPr>
          <w:spacing w:val="-1"/>
        </w:rPr>
        <w:t> </w:t>
      </w:r>
      <w:r>
        <w:rPr/>
        <w:t>received.</w:t>
      </w:r>
    </w:p>
    <w:p>
      <w:pPr>
        <w:pStyle w:val="BodyText"/>
        <w:spacing w:before="3"/>
        <w:rPr>
          <w:sz w:val="23"/>
        </w:rPr>
      </w:pPr>
    </w:p>
    <w:p>
      <w:pPr>
        <w:pStyle w:val="BodyText"/>
        <w:spacing w:line="249" w:lineRule="auto" w:before="1"/>
        <w:ind w:left="407" w:right="366"/>
      </w:pPr>
      <w:r>
        <w:rPr/>
        <w:t>Other</w:t>
      </w:r>
      <w:r>
        <w:rPr>
          <w:spacing w:val="-18"/>
        </w:rPr>
        <w:t> </w:t>
      </w:r>
      <w:r>
        <w:rPr/>
        <w:t>non-reciprocal</w:t>
      </w:r>
      <w:r>
        <w:rPr>
          <w:spacing w:val="-18"/>
        </w:rPr>
        <w:t> </w:t>
      </w:r>
      <w:r>
        <w:rPr/>
        <w:t>contributions</w:t>
      </w:r>
      <w:r>
        <w:rPr>
          <w:spacing w:val="-18"/>
        </w:rPr>
        <w:t> </w:t>
      </w:r>
      <w:r>
        <w:rPr/>
        <w:t>that</w:t>
      </w:r>
      <w:r>
        <w:rPr>
          <w:spacing w:val="-18"/>
        </w:rPr>
        <w:t> </w:t>
      </w:r>
      <w:r>
        <w:rPr/>
        <w:t>are</w:t>
      </w:r>
      <w:r>
        <w:rPr>
          <w:spacing w:val="-18"/>
        </w:rPr>
        <w:t> </w:t>
      </w:r>
      <w:r>
        <w:rPr/>
        <w:t>not contributions</w:t>
      </w:r>
      <w:r>
        <w:rPr>
          <w:spacing w:val="-20"/>
        </w:rPr>
        <w:t> </w:t>
      </w:r>
      <w:r>
        <w:rPr/>
        <w:t>by</w:t>
      </w:r>
      <w:r>
        <w:rPr>
          <w:spacing w:val="-19"/>
        </w:rPr>
        <w:t> </w:t>
      </w:r>
      <w:r>
        <w:rPr/>
        <w:t>owners</w:t>
      </w:r>
      <w:r>
        <w:rPr>
          <w:spacing w:val="-19"/>
        </w:rPr>
        <w:t> </w:t>
      </w:r>
      <w:r>
        <w:rPr/>
        <w:t>are</w:t>
      </w:r>
      <w:r>
        <w:rPr>
          <w:spacing w:val="-19"/>
        </w:rPr>
        <w:t> </w:t>
      </w:r>
      <w:r>
        <w:rPr/>
        <w:t>recognised</w:t>
      </w:r>
      <w:r>
        <w:rPr>
          <w:spacing w:val="-19"/>
        </w:rPr>
        <w:t> </w:t>
      </w:r>
      <w:r>
        <w:rPr/>
        <w:t>at</w:t>
      </w:r>
      <w:r>
        <w:rPr>
          <w:spacing w:val="-19"/>
        </w:rPr>
        <w:t> </w:t>
      </w:r>
      <w:r>
        <w:rPr>
          <w:spacing w:val="-4"/>
        </w:rPr>
        <w:t>their</w:t>
      </w:r>
    </w:p>
    <w:p>
      <w:pPr>
        <w:pStyle w:val="BodyText"/>
        <w:spacing w:before="5"/>
        <w:rPr>
          <w:sz w:val="23"/>
        </w:rPr>
      </w:pPr>
      <w:r>
        <w:rPr/>
        <w:br w:type="column"/>
      </w:r>
      <w:r>
        <w:rPr>
          <w:sz w:val="23"/>
        </w:rPr>
      </w:r>
    </w:p>
    <w:p>
      <w:pPr>
        <w:pStyle w:val="BodyText"/>
        <w:spacing w:line="249" w:lineRule="auto"/>
        <w:ind w:left="391" w:right="904"/>
      </w:pPr>
      <w:r>
        <w:rPr/>
        <w:t>fair value. Contributions of services are only recognised when a fair value can be reliably determined</w:t>
      </w:r>
      <w:r>
        <w:rPr>
          <w:spacing w:val="-18"/>
        </w:rPr>
        <w:t> </w:t>
      </w:r>
      <w:r>
        <w:rPr/>
        <w:t>and</w:t>
      </w:r>
      <w:r>
        <w:rPr>
          <w:spacing w:val="-17"/>
        </w:rPr>
        <w:t> </w:t>
      </w:r>
      <w:r>
        <w:rPr/>
        <w:t>the</w:t>
      </w:r>
      <w:r>
        <w:rPr>
          <w:spacing w:val="-18"/>
        </w:rPr>
        <w:t> </w:t>
      </w:r>
      <w:r>
        <w:rPr/>
        <w:t>services</w:t>
      </w:r>
      <w:r>
        <w:rPr>
          <w:spacing w:val="-17"/>
        </w:rPr>
        <w:t> </w:t>
      </w:r>
      <w:r>
        <w:rPr/>
        <w:t>would</w:t>
      </w:r>
      <w:r>
        <w:rPr>
          <w:spacing w:val="-17"/>
        </w:rPr>
        <w:t> </w:t>
      </w:r>
      <w:r>
        <w:rPr/>
        <w:t>be</w:t>
      </w:r>
      <w:r>
        <w:rPr>
          <w:spacing w:val="-18"/>
        </w:rPr>
        <w:t> </w:t>
      </w:r>
      <w:r>
        <w:rPr>
          <w:spacing w:val="-3"/>
        </w:rPr>
        <w:t>purchased </w:t>
      </w:r>
      <w:r>
        <w:rPr/>
        <w:t>if not</w:t>
      </w:r>
      <w:r>
        <w:rPr>
          <w:spacing w:val="-1"/>
        </w:rPr>
        <w:t> </w:t>
      </w:r>
      <w:r>
        <w:rPr/>
        <w:t>donated.</w:t>
      </w:r>
    </w:p>
    <w:p>
      <w:pPr>
        <w:pStyle w:val="BodyText"/>
        <w:spacing w:before="3"/>
        <w:rPr>
          <w:sz w:val="23"/>
        </w:rPr>
      </w:pPr>
    </w:p>
    <w:p>
      <w:pPr>
        <w:pStyle w:val="BodyText"/>
        <w:spacing w:line="249" w:lineRule="auto"/>
        <w:ind w:left="391" w:right="1262"/>
        <w:jc w:val="both"/>
      </w:pPr>
      <w:r>
        <w:rPr/>
        <w:t>Royalties</w:t>
      </w:r>
      <w:r>
        <w:rPr>
          <w:spacing w:val="-29"/>
        </w:rPr>
        <w:t> </w:t>
      </w:r>
      <w:r>
        <w:rPr/>
        <w:t>for</w:t>
      </w:r>
      <w:r>
        <w:rPr>
          <w:spacing w:val="-28"/>
        </w:rPr>
        <w:t> </w:t>
      </w:r>
      <w:r>
        <w:rPr/>
        <w:t>Regions</w:t>
      </w:r>
      <w:r>
        <w:rPr>
          <w:spacing w:val="-28"/>
        </w:rPr>
        <w:t> </w:t>
      </w:r>
      <w:r>
        <w:rPr/>
        <w:t>funds</w:t>
      </w:r>
      <w:r>
        <w:rPr>
          <w:spacing w:val="-28"/>
        </w:rPr>
        <w:t> </w:t>
      </w:r>
      <w:r>
        <w:rPr/>
        <w:t>are</w:t>
      </w:r>
      <w:r>
        <w:rPr>
          <w:spacing w:val="-29"/>
        </w:rPr>
        <w:t> </w:t>
      </w:r>
      <w:r>
        <w:rPr/>
        <w:t>recognised</w:t>
      </w:r>
      <w:r>
        <w:rPr>
          <w:spacing w:val="-28"/>
        </w:rPr>
        <w:t> </w:t>
      </w:r>
      <w:r>
        <w:rPr>
          <w:spacing w:val="-9"/>
        </w:rPr>
        <w:t>as </w:t>
      </w:r>
      <w:r>
        <w:rPr/>
        <w:t>revenue</w:t>
      </w:r>
      <w:r>
        <w:rPr>
          <w:spacing w:val="-20"/>
        </w:rPr>
        <w:t> </w:t>
      </w:r>
      <w:r>
        <w:rPr/>
        <w:t>at</w:t>
      </w:r>
      <w:r>
        <w:rPr>
          <w:spacing w:val="-19"/>
        </w:rPr>
        <w:t> </w:t>
      </w:r>
      <w:r>
        <w:rPr/>
        <w:t>fair</w:t>
      </w:r>
      <w:r>
        <w:rPr>
          <w:spacing w:val="-19"/>
        </w:rPr>
        <w:t> </w:t>
      </w:r>
      <w:r>
        <w:rPr/>
        <w:t>value</w:t>
      </w:r>
      <w:r>
        <w:rPr>
          <w:spacing w:val="-19"/>
        </w:rPr>
        <w:t> </w:t>
      </w:r>
      <w:r>
        <w:rPr/>
        <w:t>in</w:t>
      </w:r>
      <w:r>
        <w:rPr>
          <w:spacing w:val="-19"/>
        </w:rPr>
        <w:t> </w:t>
      </w:r>
      <w:r>
        <w:rPr/>
        <w:t>the</w:t>
      </w:r>
      <w:r>
        <w:rPr>
          <w:spacing w:val="-20"/>
        </w:rPr>
        <w:t> </w:t>
      </w:r>
      <w:r>
        <w:rPr/>
        <w:t>period</w:t>
      </w:r>
      <w:r>
        <w:rPr>
          <w:spacing w:val="-19"/>
        </w:rPr>
        <w:t> </w:t>
      </w:r>
      <w:r>
        <w:rPr/>
        <w:t>in</w:t>
      </w:r>
      <w:r>
        <w:rPr>
          <w:spacing w:val="-19"/>
        </w:rPr>
        <w:t> </w:t>
      </w:r>
      <w:r>
        <w:rPr/>
        <w:t>which</w:t>
      </w:r>
      <w:r>
        <w:rPr>
          <w:spacing w:val="-19"/>
        </w:rPr>
        <w:t> </w:t>
      </w:r>
      <w:r>
        <w:rPr/>
        <w:t>the Department</w:t>
      </w:r>
      <w:r>
        <w:rPr>
          <w:spacing w:val="-11"/>
        </w:rPr>
        <w:t> </w:t>
      </w:r>
      <w:r>
        <w:rPr/>
        <w:t>obtains</w:t>
      </w:r>
      <w:r>
        <w:rPr>
          <w:spacing w:val="-11"/>
        </w:rPr>
        <w:t> </w:t>
      </w:r>
      <w:r>
        <w:rPr/>
        <w:t>control</w:t>
      </w:r>
      <w:r>
        <w:rPr>
          <w:spacing w:val="-10"/>
        </w:rPr>
        <w:t> </w:t>
      </w:r>
      <w:r>
        <w:rPr/>
        <w:t>over</w:t>
      </w:r>
      <w:r>
        <w:rPr>
          <w:spacing w:val="-11"/>
        </w:rPr>
        <w:t> </w:t>
      </w:r>
      <w:r>
        <w:rPr/>
        <w:t>the</w:t>
      </w:r>
      <w:r>
        <w:rPr>
          <w:spacing w:val="-11"/>
        </w:rPr>
        <w:t> </w:t>
      </w:r>
      <w:r>
        <w:rPr/>
        <w:t>funds.</w:t>
      </w:r>
    </w:p>
    <w:p>
      <w:pPr>
        <w:pStyle w:val="BodyText"/>
        <w:spacing w:line="249" w:lineRule="auto" w:before="3"/>
        <w:ind w:left="391" w:right="1393"/>
      </w:pPr>
      <w:r>
        <w:rPr/>
        <w:t>The</w:t>
      </w:r>
      <w:r>
        <w:rPr>
          <w:spacing w:val="-17"/>
        </w:rPr>
        <w:t> </w:t>
      </w:r>
      <w:r>
        <w:rPr/>
        <w:t>Department</w:t>
      </w:r>
      <w:r>
        <w:rPr>
          <w:spacing w:val="-16"/>
        </w:rPr>
        <w:t> </w:t>
      </w:r>
      <w:r>
        <w:rPr/>
        <w:t>obtains</w:t>
      </w:r>
      <w:r>
        <w:rPr>
          <w:spacing w:val="-17"/>
        </w:rPr>
        <w:t> </w:t>
      </w:r>
      <w:r>
        <w:rPr/>
        <w:t>control</w:t>
      </w:r>
      <w:r>
        <w:rPr>
          <w:spacing w:val="-16"/>
        </w:rPr>
        <w:t> </w:t>
      </w:r>
      <w:r>
        <w:rPr/>
        <w:t>of</w:t>
      </w:r>
      <w:r>
        <w:rPr>
          <w:spacing w:val="-17"/>
        </w:rPr>
        <w:t> </w:t>
      </w:r>
      <w:r>
        <w:rPr/>
        <w:t>the</w:t>
      </w:r>
      <w:r>
        <w:rPr>
          <w:spacing w:val="-16"/>
        </w:rPr>
        <w:t> </w:t>
      </w:r>
      <w:r>
        <w:rPr>
          <w:spacing w:val="-4"/>
        </w:rPr>
        <w:t>funds </w:t>
      </w:r>
      <w:r>
        <w:rPr/>
        <w:t>at the time the funds are deposited into the </w:t>
      </w:r>
      <w:r>
        <w:rPr>
          <w:spacing w:val="-3"/>
        </w:rPr>
        <w:t>Department’s </w:t>
      </w:r>
      <w:r>
        <w:rPr/>
        <w:t>bank</w:t>
      </w:r>
      <w:r>
        <w:rPr>
          <w:spacing w:val="1"/>
        </w:rPr>
        <w:t> </w:t>
      </w:r>
      <w:r>
        <w:rPr/>
        <w:t>account.</w:t>
      </w:r>
    </w:p>
    <w:p>
      <w:pPr>
        <w:pStyle w:val="BodyText"/>
        <w:spacing w:before="2"/>
        <w:rPr>
          <w:sz w:val="23"/>
        </w:rPr>
      </w:pPr>
    </w:p>
    <w:p>
      <w:pPr>
        <w:spacing w:before="0"/>
        <w:ind w:left="391" w:right="0" w:firstLine="0"/>
        <w:jc w:val="left"/>
        <w:rPr>
          <w:i/>
          <w:sz w:val="22"/>
        </w:rPr>
      </w:pPr>
      <w:r>
        <w:rPr>
          <w:i/>
          <w:color w:val="6F2770"/>
          <w:sz w:val="22"/>
        </w:rPr>
        <w:t>Gains</w:t>
      </w:r>
    </w:p>
    <w:p>
      <w:pPr>
        <w:pStyle w:val="BodyText"/>
        <w:spacing w:line="249" w:lineRule="auto" w:before="11"/>
        <w:ind w:left="391" w:right="964"/>
      </w:pPr>
      <w:r>
        <w:rPr/>
        <w:t>Realised and unrealised gains are usually recognised on a net basis. These include gains arising</w:t>
      </w:r>
      <w:r>
        <w:rPr>
          <w:spacing w:val="-18"/>
        </w:rPr>
        <w:t> </w:t>
      </w:r>
      <w:r>
        <w:rPr/>
        <w:t>on</w:t>
      </w:r>
      <w:r>
        <w:rPr>
          <w:spacing w:val="-18"/>
        </w:rPr>
        <w:t> </w:t>
      </w:r>
      <w:r>
        <w:rPr/>
        <w:t>the</w:t>
      </w:r>
      <w:r>
        <w:rPr>
          <w:spacing w:val="-18"/>
        </w:rPr>
        <w:t> </w:t>
      </w:r>
      <w:r>
        <w:rPr/>
        <w:t>disposal</w:t>
      </w:r>
      <w:r>
        <w:rPr>
          <w:spacing w:val="-18"/>
        </w:rPr>
        <w:t> </w:t>
      </w:r>
      <w:r>
        <w:rPr/>
        <w:t>of</w:t>
      </w:r>
      <w:r>
        <w:rPr>
          <w:spacing w:val="-18"/>
        </w:rPr>
        <w:t> </w:t>
      </w:r>
      <w:r>
        <w:rPr/>
        <w:t>non-current</w:t>
      </w:r>
      <w:r>
        <w:rPr>
          <w:spacing w:val="-18"/>
        </w:rPr>
        <w:t> </w:t>
      </w:r>
      <w:r>
        <w:rPr/>
        <w:t>assets</w:t>
      </w:r>
      <w:r>
        <w:rPr>
          <w:spacing w:val="-17"/>
        </w:rPr>
        <w:t> </w:t>
      </w:r>
      <w:r>
        <w:rPr>
          <w:spacing w:val="-6"/>
        </w:rPr>
        <w:t>and </w:t>
      </w:r>
      <w:r>
        <w:rPr/>
        <w:t>some revaluations of non-current</w:t>
      </w:r>
      <w:r>
        <w:rPr>
          <w:spacing w:val="-31"/>
        </w:rPr>
        <w:t> </w:t>
      </w:r>
      <w:r>
        <w:rPr/>
        <w:t>assets.</w:t>
      </w:r>
    </w:p>
    <w:p>
      <w:pPr>
        <w:pStyle w:val="BodyText"/>
        <w:spacing w:before="3"/>
        <w:rPr>
          <w:sz w:val="23"/>
        </w:rPr>
      </w:pPr>
    </w:p>
    <w:p>
      <w:pPr>
        <w:pStyle w:val="Heading6"/>
        <w:numPr>
          <w:ilvl w:val="0"/>
          <w:numId w:val="5"/>
        </w:numPr>
        <w:tabs>
          <w:tab w:pos="657" w:val="left" w:leader="none"/>
        </w:tabs>
        <w:spacing w:line="240" w:lineRule="auto" w:before="0" w:after="0"/>
        <w:ind w:left="656" w:right="0" w:hanging="265"/>
        <w:jc w:val="left"/>
      </w:pPr>
      <w:r>
        <w:rPr/>
        <w:t>Borrowing</w:t>
      </w:r>
      <w:r>
        <w:rPr>
          <w:spacing w:val="-1"/>
        </w:rPr>
        <w:t> </w:t>
      </w:r>
      <w:r>
        <w:rPr/>
        <w:t>costs</w:t>
      </w:r>
    </w:p>
    <w:p>
      <w:pPr>
        <w:pStyle w:val="BodyText"/>
        <w:spacing w:before="11"/>
        <w:ind w:left="391"/>
      </w:pPr>
      <w:r>
        <w:rPr/>
        <w:t>Borrowing costs are expensed when incurred.</w:t>
      </w:r>
    </w:p>
    <w:p>
      <w:pPr>
        <w:pStyle w:val="BodyText"/>
        <w:spacing w:before="11"/>
        <w:rPr>
          <w:sz w:val="23"/>
        </w:rPr>
      </w:pPr>
    </w:p>
    <w:p>
      <w:pPr>
        <w:pStyle w:val="Heading6"/>
        <w:numPr>
          <w:ilvl w:val="0"/>
          <w:numId w:val="5"/>
        </w:numPr>
        <w:tabs>
          <w:tab w:pos="718" w:val="left" w:leader="none"/>
        </w:tabs>
        <w:spacing w:line="240" w:lineRule="auto" w:before="0" w:after="0"/>
        <w:ind w:left="717" w:right="0" w:hanging="326"/>
        <w:jc w:val="left"/>
      </w:pPr>
      <w:r>
        <w:rPr/>
        <w:t>Property, plant and</w:t>
      </w:r>
      <w:r>
        <w:rPr>
          <w:spacing w:val="-2"/>
        </w:rPr>
        <w:t> </w:t>
      </w:r>
      <w:r>
        <w:rPr/>
        <w:t>equipment</w:t>
      </w:r>
    </w:p>
    <w:p>
      <w:pPr>
        <w:spacing w:before="11"/>
        <w:ind w:left="391" w:right="0" w:firstLine="0"/>
        <w:jc w:val="left"/>
        <w:rPr>
          <w:i/>
          <w:sz w:val="22"/>
        </w:rPr>
      </w:pPr>
      <w:r>
        <w:rPr>
          <w:i/>
          <w:color w:val="6F2770"/>
          <w:sz w:val="22"/>
        </w:rPr>
        <w:t>Capitalisation/expensing of assets</w:t>
      </w:r>
    </w:p>
    <w:p>
      <w:pPr>
        <w:pStyle w:val="BodyText"/>
        <w:spacing w:before="11"/>
        <w:ind w:left="391"/>
      </w:pPr>
      <w:r>
        <w:rPr/>
        <w:t>Items of property, plant and equipment costing</w:t>
      </w:r>
    </w:p>
    <w:p>
      <w:pPr>
        <w:pStyle w:val="BodyText"/>
        <w:spacing w:line="249" w:lineRule="auto" w:before="11"/>
        <w:ind w:left="391" w:right="915"/>
      </w:pPr>
      <w:r>
        <w:rPr/>
        <w:t>$5,000</w:t>
      </w:r>
      <w:r>
        <w:rPr>
          <w:spacing w:val="-16"/>
        </w:rPr>
        <w:t> </w:t>
      </w:r>
      <w:r>
        <w:rPr/>
        <w:t>or</w:t>
      </w:r>
      <w:r>
        <w:rPr>
          <w:spacing w:val="-16"/>
        </w:rPr>
        <w:t> </w:t>
      </w:r>
      <w:r>
        <w:rPr/>
        <w:t>more</w:t>
      </w:r>
      <w:r>
        <w:rPr>
          <w:spacing w:val="-15"/>
        </w:rPr>
        <w:t> </w:t>
      </w:r>
      <w:r>
        <w:rPr/>
        <w:t>are</w:t>
      </w:r>
      <w:r>
        <w:rPr>
          <w:spacing w:val="-16"/>
        </w:rPr>
        <w:t> </w:t>
      </w:r>
      <w:r>
        <w:rPr/>
        <w:t>recognised</w:t>
      </w:r>
      <w:r>
        <w:rPr>
          <w:spacing w:val="-15"/>
        </w:rPr>
        <w:t> </w:t>
      </w:r>
      <w:r>
        <w:rPr/>
        <w:t>as</w:t>
      </w:r>
      <w:r>
        <w:rPr>
          <w:spacing w:val="-16"/>
        </w:rPr>
        <w:t> </w:t>
      </w:r>
      <w:r>
        <w:rPr/>
        <w:t>assets</w:t>
      </w:r>
      <w:r>
        <w:rPr>
          <w:spacing w:val="-16"/>
        </w:rPr>
        <w:t> </w:t>
      </w:r>
      <w:r>
        <w:rPr/>
        <w:t>and</w:t>
      </w:r>
      <w:r>
        <w:rPr>
          <w:spacing w:val="-15"/>
        </w:rPr>
        <w:t> </w:t>
      </w:r>
      <w:r>
        <w:rPr>
          <w:spacing w:val="-6"/>
        </w:rPr>
        <w:t>the </w:t>
      </w:r>
      <w:r>
        <w:rPr/>
        <w:t>cost</w:t>
      </w:r>
      <w:r>
        <w:rPr>
          <w:spacing w:val="-23"/>
        </w:rPr>
        <w:t> </w:t>
      </w:r>
      <w:r>
        <w:rPr/>
        <w:t>of</w:t>
      </w:r>
      <w:r>
        <w:rPr>
          <w:spacing w:val="-23"/>
        </w:rPr>
        <w:t> </w:t>
      </w:r>
      <w:r>
        <w:rPr/>
        <w:t>utilising</w:t>
      </w:r>
      <w:r>
        <w:rPr>
          <w:spacing w:val="-23"/>
        </w:rPr>
        <w:t> </w:t>
      </w:r>
      <w:r>
        <w:rPr/>
        <w:t>assets</w:t>
      </w:r>
      <w:r>
        <w:rPr>
          <w:spacing w:val="-22"/>
        </w:rPr>
        <w:t> </w:t>
      </w:r>
      <w:r>
        <w:rPr/>
        <w:t>is</w:t>
      </w:r>
      <w:r>
        <w:rPr>
          <w:spacing w:val="-23"/>
        </w:rPr>
        <w:t> </w:t>
      </w:r>
      <w:r>
        <w:rPr/>
        <w:t>expensed</w:t>
      </w:r>
      <w:r>
        <w:rPr>
          <w:spacing w:val="-23"/>
        </w:rPr>
        <w:t> </w:t>
      </w:r>
      <w:r>
        <w:rPr/>
        <w:t>(depreciated) over their useful lives. Items of </w:t>
      </w:r>
      <w:r>
        <w:rPr>
          <w:spacing w:val="-3"/>
        </w:rPr>
        <w:t>property, </w:t>
      </w:r>
      <w:r>
        <w:rPr/>
        <w:t>plant and equipment costing less than $5,000 are immediately</w:t>
      </w:r>
      <w:r>
        <w:rPr>
          <w:spacing w:val="-17"/>
        </w:rPr>
        <w:t> </w:t>
      </w:r>
      <w:r>
        <w:rPr/>
        <w:t>expensed</w:t>
      </w:r>
      <w:r>
        <w:rPr>
          <w:spacing w:val="-17"/>
        </w:rPr>
        <w:t> </w:t>
      </w:r>
      <w:r>
        <w:rPr/>
        <w:t>direct</w:t>
      </w:r>
      <w:r>
        <w:rPr>
          <w:spacing w:val="-17"/>
        </w:rPr>
        <w:t> </w:t>
      </w:r>
      <w:r>
        <w:rPr/>
        <w:t>to</w:t>
      </w:r>
      <w:r>
        <w:rPr>
          <w:spacing w:val="-17"/>
        </w:rPr>
        <w:t> </w:t>
      </w:r>
      <w:r>
        <w:rPr/>
        <w:t>the</w:t>
      </w:r>
      <w:r>
        <w:rPr>
          <w:spacing w:val="-17"/>
        </w:rPr>
        <w:t> </w:t>
      </w:r>
      <w:r>
        <w:rPr/>
        <w:t>Statement</w:t>
      </w:r>
      <w:r>
        <w:rPr>
          <w:spacing w:val="-17"/>
        </w:rPr>
        <w:t> </w:t>
      </w:r>
      <w:r>
        <w:rPr/>
        <w:t>of</w:t>
      </w:r>
    </w:p>
    <w:p>
      <w:pPr>
        <w:spacing w:after="0" w:line="249" w:lineRule="auto"/>
        <w:sectPr>
          <w:type w:val="continuous"/>
          <w:pgSz w:w="16840" w:h="11910" w:orient="landscape"/>
          <w:pgMar w:top="0" w:bottom="0" w:left="0" w:right="0"/>
          <w:cols w:num="3" w:equalWidth="0">
            <w:col w:w="5563" w:space="40"/>
            <w:col w:w="5220" w:space="39"/>
            <w:col w:w="5978"/>
          </w:cols>
        </w:sectPr>
      </w:pPr>
    </w:p>
    <w:p>
      <w:pPr>
        <w:pStyle w:val="BodyText"/>
        <w:rPr>
          <w:sz w:val="20"/>
        </w:rPr>
      </w:pPr>
    </w:p>
    <w:p>
      <w:pPr>
        <w:pStyle w:val="BodyText"/>
        <w:spacing w:before="9"/>
      </w:pPr>
    </w:p>
    <w:p>
      <w:pPr>
        <w:tabs>
          <w:tab w:pos="12166" w:val="left" w:leader="none"/>
          <w:tab w:pos="12373" w:val="left" w:leader="none"/>
          <w:tab w:pos="15894" w:val="left" w:leader="none"/>
        </w:tabs>
        <w:spacing w:before="106"/>
        <w:ind w:left="765" w:right="0" w:firstLine="0"/>
        <w:jc w:val="left"/>
        <w:rPr>
          <w:b/>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3"/>
          <w:sz w:val="16"/>
        </w:rPr>
        <w:t> </w:t>
      </w:r>
      <w:r>
        <w:rPr>
          <w:color w:val="939598"/>
          <w:sz w:val="16"/>
        </w:rPr>
        <w:t>of</w:t>
      </w:r>
      <w:r>
        <w:rPr>
          <w:color w:val="939598"/>
          <w:spacing w:val="-13"/>
          <w:sz w:val="16"/>
        </w:rPr>
        <w:t> </w:t>
      </w:r>
      <w:r>
        <w:rPr>
          <w:color w:val="939598"/>
          <w:sz w:val="16"/>
        </w:rPr>
        <w:t>Finance</w:t>
      </w:r>
      <w:r>
        <w:rPr>
          <w:color w:val="939598"/>
          <w:spacing w:val="-12"/>
          <w:sz w:val="16"/>
        </w:rPr>
        <w:t> </w:t>
      </w:r>
      <w:r>
        <w:rPr>
          <w:color w:val="939598"/>
          <w:sz w:val="16"/>
        </w:rPr>
        <w:t>Annual</w:t>
      </w:r>
      <w:r>
        <w:rPr>
          <w:color w:val="939598"/>
          <w:spacing w:val="-13"/>
          <w:sz w:val="16"/>
        </w:rPr>
        <w:t> </w:t>
      </w:r>
      <w:r>
        <w:rPr>
          <w:color w:val="939598"/>
          <w:sz w:val="16"/>
        </w:rPr>
        <w:t>Report</w:t>
      </w:r>
      <w:r>
        <w:rPr>
          <w:color w:val="939598"/>
          <w:spacing w:val="-13"/>
          <w:sz w:val="16"/>
        </w:rPr>
        <w:t> </w:t>
      </w:r>
      <w:r>
        <w:rPr>
          <w:color w:val="939598"/>
          <w:sz w:val="16"/>
        </w:rPr>
        <w:t>2016-17</w:t>
        <w:tab/>
      </w:r>
      <w:r>
        <w:rPr>
          <w:b/>
          <w:color w:val="6F2770"/>
          <w:sz w:val="16"/>
        </w:rPr>
        <w:t>41</w:t>
      </w:r>
    </w:p>
    <w:p>
      <w:pPr>
        <w:spacing w:after="0"/>
        <w:jc w:val="left"/>
        <w:rPr>
          <w:sz w:val="16"/>
        </w:rPr>
        <w:sectPr>
          <w:type w:val="continuous"/>
          <w:pgSz w:w="16840" w:h="11910" w:orient="landscape"/>
          <w:pgMar w:top="0" w:bottom="0" w:left="0" w:right="0"/>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b/>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b/>
          <w:sz w:val="23"/>
        </w:rPr>
      </w:pPr>
    </w:p>
    <w:p>
      <w:pPr>
        <w:pStyle w:val="Heading1"/>
      </w:pPr>
      <w:r>
        <w:rPr/>
        <w:pict>
          <v:group style="position:absolute;margin-left:763.172119pt;margin-top:-3.594212pt;width:61.1pt;height:45.2pt;mso-position-horizontal-relative:page;mso-position-vertical-relative:paragraph;z-index:1340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352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355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194"/>
          <w:pgSz w:w="16840" w:h="11910" w:orient="landscape"/>
          <w:pgMar w:footer="0" w:header="0" w:top="0" w:bottom="280" w:left="0" w:right="0"/>
        </w:sectPr>
      </w:pPr>
    </w:p>
    <w:p>
      <w:pPr>
        <w:pStyle w:val="BodyText"/>
        <w:spacing w:before="5"/>
        <w:rPr>
          <w:sz w:val="23"/>
        </w:rPr>
      </w:pPr>
    </w:p>
    <w:p>
      <w:pPr>
        <w:pStyle w:val="BodyText"/>
        <w:spacing w:line="249" w:lineRule="auto"/>
        <w:ind w:left="765" w:right="45"/>
      </w:pPr>
      <w:r>
        <w:rPr>
          <w:spacing w:val="-4"/>
        </w:rPr>
        <w:t>Comprehensive</w:t>
      </w:r>
      <w:r>
        <w:rPr>
          <w:spacing w:val="-32"/>
        </w:rPr>
        <w:t> </w:t>
      </w:r>
      <w:r>
        <w:rPr>
          <w:spacing w:val="-4"/>
        </w:rPr>
        <w:t>Income</w:t>
      </w:r>
      <w:r>
        <w:rPr>
          <w:spacing w:val="-31"/>
        </w:rPr>
        <w:t> </w:t>
      </w:r>
      <w:r>
        <w:rPr>
          <w:spacing w:val="-4"/>
        </w:rPr>
        <w:t>(other</w:t>
      </w:r>
      <w:r>
        <w:rPr>
          <w:spacing w:val="-32"/>
        </w:rPr>
        <w:t> </w:t>
      </w:r>
      <w:r>
        <w:rPr>
          <w:spacing w:val="-3"/>
        </w:rPr>
        <w:t>than</w:t>
      </w:r>
      <w:r>
        <w:rPr>
          <w:spacing w:val="-31"/>
        </w:rPr>
        <w:t> </w:t>
      </w:r>
      <w:r>
        <w:rPr>
          <w:spacing w:val="-4"/>
        </w:rPr>
        <w:t>where</w:t>
      </w:r>
      <w:r>
        <w:rPr>
          <w:spacing w:val="-31"/>
        </w:rPr>
        <w:t> </w:t>
      </w:r>
      <w:r>
        <w:rPr>
          <w:spacing w:val="-3"/>
        </w:rPr>
        <w:t>they</w:t>
      </w:r>
      <w:r>
        <w:rPr>
          <w:spacing w:val="-32"/>
        </w:rPr>
        <w:t> </w:t>
      </w:r>
      <w:r>
        <w:rPr>
          <w:spacing w:val="-4"/>
        </w:rPr>
        <w:t>form </w:t>
      </w:r>
      <w:r>
        <w:rPr>
          <w:spacing w:val="-3"/>
        </w:rPr>
        <w:t>part</w:t>
      </w:r>
      <w:r>
        <w:rPr>
          <w:spacing w:val="-20"/>
        </w:rPr>
        <w:t> </w:t>
      </w:r>
      <w:r>
        <w:rPr/>
        <w:t>of</w:t>
      </w:r>
      <w:r>
        <w:rPr>
          <w:spacing w:val="-20"/>
        </w:rPr>
        <w:t> </w:t>
      </w:r>
      <w:r>
        <w:rPr/>
        <w:t>a</w:t>
      </w:r>
      <w:r>
        <w:rPr>
          <w:spacing w:val="-20"/>
        </w:rPr>
        <w:t> </w:t>
      </w:r>
      <w:r>
        <w:rPr>
          <w:spacing w:val="-4"/>
        </w:rPr>
        <w:t>group</w:t>
      </w:r>
      <w:r>
        <w:rPr>
          <w:spacing w:val="-20"/>
        </w:rPr>
        <w:t> </w:t>
      </w:r>
      <w:r>
        <w:rPr/>
        <w:t>of</w:t>
      </w:r>
      <w:r>
        <w:rPr>
          <w:spacing w:val="-20"/>
        </w:rPr>
        <w:t> </w:t>
      </w:r>
      <w:r>
        <w:rPr>
          <w:spacing w:val="-4"/>
        </w:rPr>
        <w:t>similar</w:t>
      </w:r>
      <w:r>
        <w:rPr>
          <w:spacing w:val="-20"/>
        </w:rPr>
        <w:t> </w:t>
      </w:r>
      <w:r>
        <w:rPr>
          <w:spacing w:val="-4"/>
        </w:rPr>
        <w:t>items</w:t>
      </w:r>
      <w:r>
        <w:rPr>
          <w:spacing w:val="-20"/>
        </w:rPr>
        <w:t> </w:t>
      </w:r>
      <w:r>
        <w:rPr>
          <w:spacing w:val="-4"/>
        </w:rPr>
        <w:t>which</w:t>
      </w:r>
      <w:r>
        <w:rPr>
          <w:spacing w:val="-20"/>
        </w:rPr>
        <w:t> </w:t>
      </w:r>
      <w:r>
        <w:rPr>
          <w:spacing w:val="-4"/>
        </w:rPr>
        <w:t>are</w:t>
      </w:r>
      <w:r>
        <w:rPr>
          <w:spacing w:val="-20"/>
        </w:rPr>
        <w:t> </w:t>
      </w:r>
      <w:r>
        <w:rPr>
          <w:spacing w:val="-4"/>
        </w:rPr>
        <w:t>significant </w:t>
      </w:r>
      <w:r>
        <w:rPr/>
        <w:t>in</w:t>
      </w:r>
      <w:r>
        <w:rPr>
          <w:spacing w:val="-8"/>
        </w:rPr>
        <w:t> </w:t>
      </w:r>
      <w:r>
        <w:rPr>
          <w:spacing w:val="-4"/>
        </w:rPr>
        <w:t>total).</w:t>
      </w:r>
    </w:p>
    <w:p>
      <w:pPr>
        <w:pStyle w:val="BodyText"/>
        <w:spacing w:before="2"/>
        <w:rPr>
          <w:sz w:val="23"/>
        </w:rPr>
      </w:pPr>
    </w:p>
    <w:p>
      <w:pPr>
        <w:spacing w:before="0"/>
        <w:ind w:left="765" w:right="0" w:firstLine="0"/>
        <w:jc w:val="left"/>
        <w:rPr>
          <w:i/>
          <w:sz w:val="22"/>
        </w:rPr>
      </w:pPr>
      <w:r>
        <w:rPr>
          <w:i/>
          <w:color w:val="6F2770"/>
          <w:sz w:val="22"/>
        </w:rPr>
        <w:t>Initial recognition and measurement</w:t>
      </w:r>
    </w:p>
    <w:p>
      <w:pPr>
        <w:pStyle w:val="BodyText"/>
        <w:spacing w:line="249" w:lineRule="auto" w:before="11"/>
        <w:ind w:left="765" w:right="-1"/>
      </w:pPr>
      <w:r>
        <w:rPr>
          <w:spacing w:val="-7"/>
        </w:rPr>
        <w:t>Property,</w:t>
      </w:r>
      <w:r>
        <w:rPr>
          <w:spacing w:val="-30"/>
        </w:rPr>
        <w:t> </w:t>
      </w:r>
      <w:r>
        <w:rPr>
          <w:spacing w:val="-4"/>
        </w:rPr>
        <w:t>plant</w:t>
      </w:r>
      <w:r>
        <w:rPr>
          <w:spacing w:val="-29"/>
        </w:rPr>
        <w:t> </w:t>
      </w:r>
      <w:r>
        <w:rPr>
          <w:spacing w:val="-3"/>
        </w:rPr>
        <w:t>and</w:t>
      </w:r>
      <w:r>
        <w:rPr>
          <w:spacing w:val="-29"/>
        </w:rPr>
        <w:t> </w:t>
      </w:r>
      <w:r>
        <w:rPr>
          <w:spacing w:val="-4"/>
        </w:rPr>
        <w:t>equipment</w:t>
      </w:r>
      <w:r>
        <w:rPr>
          <w:spacing w:val="-30"/>
        </w:rPr>
        <w:t> </w:t>
      </w:r>
      <w:r>
        <w:rPr>
          <w:spacing w:val="-4"/>
        </w:rPr>
        <w:t>are</w:t>
      </w:r>
      <w:r>
        <w:rPr>
          <w:spacing w:val="-29"/>
        </w:rPr>
        <w:t> </w:t>
      </w:r>
      <w:r>
        <w:rPr>
          <w:spacing w:val="-4"/>
        </w:rPr>
        <w:t>initially</w:t>
      </w:r>
      <w:r>
        <w:rPr>
          <w:spacing w:val="-29"/>
        </w:rPr>
        <w:t> </w:t>
      </w:r>
      <w:r>
        <w:rPr>
          <w:spacing w:val="-5"/>
        </w:rPr>
        <w:t>recognised </w:t>
      </w:r>
      <w:r>
        <w:rPr/>
        <w:t>at</w:t>
      </w:r>
      <w:r>
        <w:rPr>
          <w:spacing w:val="-8"/>
        </w:rPr>
        <w:t> </w:t>
      </w:r>
      <w:r>
        <w:rPr>
          <w:spacing w:val="-4"/>
        </w:rPr>
        <w:t>cost.</w:t>
      </w:r>
    </w:p>
    <w:p>
      <w:pPr>
        <w:pStyle w:val="BodyText"/>
        <w:spacing w:before="1"/>
        <w:rPr>
          <w:sz w:val="23"/>
        </w:rPr>
      </w:pPr>
    </w:p>
    <w:p>
      <w:pPr>
        <w:pStyle w:val="BodyText"/>
        <w:spacing w:line="249" w:lineRule="auto"/>
        <w:ind w:left="765" w:right="45"/>
      </w:pPr>
      <w:r>
        <w:rPr>
          <w:spacing w:val="-3"/>
        </w:rPr>
        <w:t>For</w:t>
      </w:r>
      <w:r>
        <w:rPr>
          <w:spacing w:val="-20"/>
        </w:rPr>
        <w:t> </w:t>
      </w:r>
      <w:r>
        <w:rPr>
          <w:spacing w:val="-4"/>
        </w:rPr>
        <w:t>items</w:t>
      </w:r>
      <w:r>
        <w:rPr>
          <w:spacing w:val="-20"/>
        </w:rPr>
        <w:t> </w:t>
      </w:r>
      <w:r>
        <w:rPr/>
        <w:t>of</w:t>
      </w:r>
      <w:r>
        <w:rPr>
          <w:spacing w:val="-19"/>
        </w:rPr>
        <w:t> </w:t>
      </w:r>
      <w:r>
        <w:rPr>
          <w:spacing w:val="-7"/>
        </w:rPr>
        <w:t>property,</w:t>
      </w:r>
      <w:r>
        <w:rPr>
          <w:spacing w:val="-20"/>
        </w:rPr>
        <w:t> </w:t>
      </w:r>
      <w:r>
        <w:rPr>
          <w:spacing w:val="-4"/>
        </w:rPr>
        <w:t>plant</w:t>
      </w:r>
      <w:r>
        <w:rPr>
          <w:spacing w:val="-19"/>
        </w:rPr>
        <w:t> </w:t>
      </w:r>
      <w:r>
        <w:rPr>
          <w:spacing w:val="-3"/>
        </w:rPr>
        <w:t>and</w:t>
      </w:r>
      <w:r>
        <w:rPr>
          <w:spacing w:val="-20"/>
        </w:rPr>
        <w:t> </w:t>
      </w:r>
      <w:r>
        <w:rPr>
          <w:spacing w:val="-4"/>
        </w:rPr>
        <w:t>equipment</w:t>
      </w:r>
      <w:r>
        <w:rPr>
          <w:spacing w:val="-19"/>
        </w:rPr>
        <w:t> </w:t>
      </w:r>
      <w:r>
        <w:rPr>
          <w:spacing w:val="-5"/>
        </w:rPr>
        <w:t>acquired </w:t>
      </w:r>
      <w:r>
        <w:rPr/>
        <w:t>at no </w:t>
      </w:r>
      <w:r>
        <w:rPr>
          <w:spacing w:val="-3"/>
        </w:rPr>
        <w:t>cost </w:t>
      </w:r>
      <w:r>
        <w:rPr/>
        <w:t>or </w:t>
      </w:r>
      <w:r>
        <w:rPr>
          <w:spacing w:val="-3"/>
        </w:rPr>
        <w:t>for </w:t>
      </w:r>
      <w:r>
        <w:rPr>
          <w:spacing w:val="-4"/>
        </w:rPr>
        <w:t>nominal cost, </w:t>
      </w:r>
      <w:r>
        <w:rPr>
          <w:spacing w:val="-3"/>
        </w:rPr>
        <w:t>the cost </w:t>
      </w:r>
      <w:r>
        <w:rPr/>
        <w:t>is </w:t>
      </w:r>
      <w:r>
        <w:rPr>
          <w:spacing w:val="-3"/>
        </w:rPr>
        <w:t>the </w:t>
      </w:r>
      <w:r>
        <w:rPr>
          <w:spacing w:val="-4"/>
        </w:rPr>
        <w:t>fair value </w:t>
      </w:r>
      <w:r>
        <w:rPr/>
        <w:t>at </w:t>
      </w:r>
      <w:r>
        <w:rPr>
          <w:spacing w:val="-3"/>
        </w:rPr>
        <w:t>the date </w:t>
      </w:r>
      <w:r>
        <w:rPr/>
        <w:t>of</w:t>
      </w:r>
      <w:r>
        <w:rPr>
          <w:spacing w:val="-38"/>
        </w:rPr>
        <w:t> </w:t>
      </w:r>
      <w:r>
        <w:rPr>
          <w:spacing w:val="-4"/>
        </w:rPr>
        <w:t>acquisition.</w:t>
      </w:r>
    </w:p>
    <w:p>
      <w:pPr>
        <w:pStyle w:val="BodyText"/>
        <w:spacing w:before="3"/>
        <w:rPr>
          <w:sz w:val="23"/>
        </w:rPr>
      </w:pPr>
    </w:p>
    <w:p>
      <w:pPr>
        <w:spacing w:before="0"/>
        <w:ind w:left="765" w:right="0" w:firstLine="0"/>
        <w:jc w:val="left"/>
        <w:rPr>
          <w:i/>
          <w:sz w:val="22"/>
        </w:rPr>
      </w:pPr>
      <w:r>
        <w:rPr>
          <w:i/>
          <w:color w:val="6F2770"/>
          <w:sz w:val="22"/>
        </w:rPr>
        <w:t>Subsequent measurement</w:t>
      </w:r>
    </w:p>
    <w:p>
      <w:pPr>
        <w:pStyle w:val="BodyText"/>
        <w:spacing w:before="11"/>
        <w:ind w:left="765"/>
      </w:pPr>
      <w:r>
        <w:rPr/>
        <w:t>Subsequent to initial recognition of an asset,</w:t>
      </w:r>
    </w:p>
    <w:p>
      <w:pPr>
        <w:pStyle w:val="BodyText"/>
        <w:spacing w:line="249" w:lineRule="auto" w:before="11"/>
        <w:ind w:left="765" w:right="102"/>
      </w:pPr>
      <w:r>
        <w:rPr>
          <w:spacing w:val="-3"/>
        </w:rPr>
        <w:t>the</w:t>
      </w:r>
      <w:r>
        <w:rPr>
          <w:spacing w:val="-28"/>
        </w:rPr>
        <w:t> </w:t>
      </w:r>
      <w:r>
        <w:rPr>
          <w:spacing w:val="-4"/>
        </w:rPr>
        <w:t>revaluation</w:t>
      </w:r>
      <w:r>
        <w:rPr>
          <w:spacing w:val="-27"/>
        </w:rPr>
        <w:t> </w:t>
      </w:r>
      <w:r>
        <w:rPr>
          <w:spacing w:val="-4"/>
        </w:rPr>
        <w:t>model</w:t>
      </w:r>
      <w:r>
        <w:rPr>
          <w:spacing w:val="-28"/>
        </w:rPr>
        <w:t> </w:t>
      </w:r>
      <w:r>
        <w:rPr/>
        <w:t>is</w:t>
      </w:r>
      <w:r>
        <w:rPr>
          <w:spacing w:val="-27"/>
        </w:rPr>
        <w:t> </w:t>
      </w:r>
      <w:r>
        <w:rPr>
          <w:spacing w:val="-3"/>
        </w:rPr>
        <w:t>used</w:t>
      </w:r>
      <w:r>
        <w:rPr>
          <w:spacing w:val="-28"/>
        </w:rPr>
        <w:t> </w:t>
      </w:r>
      <w:r>
        <w:rPr>
          <w:spacing w:val="-3"/>
        </w:rPr>
        <w:t>for</w:t>
      </w:r>
      <w:r>
        <w:rPr>
          <w:spacing w:val="-27"/>
        </w:rPr>
        <w:t> </w:t>
      </w:r>
      <w:r>
        <w:rPr>
          <w:spacing w:val="-3"/>
        </w:rPr>
        <w:t>the</w:t>
      </w:r>
      <w:r>
        <w:rPr>
          <w:spacing w:val="-28"/>
        </w:rPr>
        <w:t> </w:t>
      </w:r>
      <w:r>
        <w:rPr>
          <w:spacing w:val="-5"/>
        </w:rPr>
        <w:t>measurement </w:t>
      </w:r>
      <w:r>
        <w:rPr/>
        <w:t>of </w:t>
      </w:r>
      <w:r>
        <w:rPr>
          <w:spacing w:val="-3"/>
        </w:rPr>
        <w:t>land and </w:t>
      </w:r>
      <w:r>
        <w:rPr>
          <w:spacing w:val="-4"/>
        </w:rPr>
        <w:t>buildings </w:t>
      </w:r>
      <w:r>
        <w:rPr>
          <w:spacing w:val="-3"/>
        </w:rPr>
        <w:t>and </w:t>
      </w:r>
      <w:r>
        <w:rPr>
          <w:spacing w:val="-4"/>
        </w:rPr>
        <w:t>historical </w:t>
      </w:r>
      <w:r>
        <w:rPr>
          <w:spacing w:val="-3"/>
        </w:rPr>
        <w:t>cost for </w:t>
      </w:r>
      <w:r>
        <w:rPr>
          <w:spacing w:val="-4"/>
        </w:rPr>
        <w:t>all other </w:t>
      </w:r>
      <w:r>
        <w:rPr>
          <w:spacing w:val="-7"/>
        </w:rPr>
        <w:t>property, </w:t>
      </w:r>
      <w:r>
        <w:rPr>
          <w:spacing w:val="-4"/>
        </w:rPr>
        <w:t>plant </w:t>
      </w:r>
      <w:r>
        <w:rPr>
          <w:spacing w:val="-3"/>
        </w:rPr>
        <w:t>and </w:t>
      </w:r>
      <w:r>
        <w:rPr>
          <w:spacing w:val="-4"/>
        </w:rPr>
        <w:t>equipment. </w:t>
      </w:r>
      <w:r>
        <w:rPr>
          <w:spacing w:val="-3"/>
        </w:rPr>
        <w:t>Land </w:t>
      </w:r>
      <w:r>
        <w:rPr>
          <w:spacing w:val="-4"/>
        </w:rPr>
        <w:t>and buildings</w:t>
      </w:r>
      <w:r>
        <w:rPr>
          <w:spacing w:val="-29"/>
        </w:rPr>
        <w:t> </w:t>
      </w:r>
      <w:r>
        <w:rPr>
          <w:spacing w:val="-4"/>
        </w:rPr>
        <w:t>are</w:t>
      </w:r>
      <w:r>
        <w:rPr>
          <w:spacing w:val="-29"/>
        </w:rPr>
        <w:t> </w:t>
      </w:r>
      <w:r>
        <w:rPr>
          <w:spacing w:val="-4"/>
        </w:rPr>
        <w:t>carried</w:t>
      </w:r>
      <w:r>
        <w:rPr>
          <w:spacing w:val="-28"/>
        </w:rPr>
        <w:t> </w:t>
      </w:r>
      <w:r>
        <w:rPr/>
        <w:t>at</w:t>
      </w:r>
      <w:r>
        <w:rPr>
          <w:spacing w:val="-29"/>
        </w:rPr>
        <w:t> </w:t>
      </w:r>
      <w:r>
        <w:rPr>
          <w:spacing w:val="-3"/>
        </w:rPr>
        <w:t>fair</w:t>
      </w:r>
      <w:r>
        <w:rPr>
          <w:spacing w:val="-28"/>
        </w:rPr>
        <w:t> </w:t>
      </w:r>
      <w:r>
        <w:rPr>
          <w:spacing w:val="-4"/>
        </w:rPr>
        <w:t>value</w:t>
      </w:r>
      <w:r>
        <w:rPr>
          <w:spacing w:val="-29"/>
        </w:rPr>
        <w:t> </w:t>
      </w:r>
      <w:r>
        <w:rPr>
          <w:spacing w:val="-3"/>
        </w:rPr>
        <w:t>less</w:t>
      </w:r>
      <w:r>
        <w:rPr>
          <w:spacing w:val="-28"/>
        </w:rPr>
        <w:t> </w:t>
      </w:r>
      <w:r>
        <w:rPr>
          <w:spacing w:val="-4"/>
        </w:rPr>
        <w:t>accumulated depreciation (buildings only) </w:t>
      </w:r>
      <w:r>
        <w:rPr>
          <w:spacing w:val="-3"/>
        </w:rPr>
        <w:t>and </w:t>
      </w:r>
      <w:r>
        <w:rPr>
          <w:spacing w:val="-4"/>
        </w:rPr>
        <w:t>accumulated impairment losses. </w:t>
      </w:r>
      <w:r>
        <w:rPr>
          <w:spacing w:val="-3"/>
        </w:rPr>
        <w:t>All </w:t>
      </w:r>
      <w:r>
        <w:rPr>
          <w:spacing w:val="-4"/>
        </w:rPr>
        <w:t>other items </w:t>
      </w:r>
      <w:r>
        <w:rPr/>
        <w:t>of </w:t>
      </w:r>
      <w:r>
        <w:rPr>
          <w:spacing w:val="-7"/>
        </w:rPr>
        <w:t>property, </w:t>
      </w:r>
      <w:r>
        <w:rPr>
          <w:spacing w:val="-4"/>
        </w:rPr>
        <w:t>plant </w:t>
      </w:r>
      <w:r>
        <w:rPr>
          <w:spacing w:val="-3"/>
        </w:rPr>
        <w:t>and </w:t>
      </w:r>
      <w:r>
        <w:rPr>
          <w:spacing w:val="-4"/>
        </w:rPr>
        <w:t>equipment are stated </w:t>
      </w:r>
      <w:r>
        <w:rPr/>
        <w:t>at </w:t>
      </w:r>
      <w:r>
        <w:rPr>
          <w:spacing w:val="-4"/>
        </w:rPr>
        <w:t>historical cost </w:t>
      </w:r>
      <w:r>
        <w:rPr>
          <w:spacing w:val="-3"/>
        </w:rPr>
        <w:t>less </w:t>
      </w:r>
      <w:r>
        <w:rPr>
          <w:spacing w:val="-4"/>
        </w:rPr>
        <w:t>accumulated depreciation </w:t>
      </w:r>
      <w:r>
        <w:rPr>
          <w:spacing w:val="-3"/>
        </w:rPr>
        <w:t>and </w:t>
      </w:r>
      <w:r>
        <w:rPr>
          <w:spacing w:val="-4"/>
        </w:rPr>
        <w:t>accumulated impairment</w:t>
      </w:r>
      <w:r>
        <w:rPr>
          <w:spacing w:val="-9"/>
        </w:rPr>
        <w:t> </w:t>
      </w:r>
      <w:r>
        <w:rPr>
          <w:spacing w:val="-4"/>
        </w:rPr>
        <w:t>losses.</w:t>
      </w:r>
    </w:p>
    <w:p>
      <w:pPr>
        <w:pStyle w:val="BodyText"/>
        <w:spacing w:before="7"/>
        <w:rPr>
          <w:sz w:val="23"/>
        </w:rPr>
      </w:pPr>
    </w:p>
    <w:p>
      <w:pPr>
        <w:pStyle w:val="BodyText"/>
        <w:ind w:left="765"/>
      </w:pPr>
      <w:r>
        <w:rPr>
          <w:spacing w:val="-4"/>
          <w:w w:val="95"/>
        </w:rPr>
        <w:t>Where market-based evidence </w:t>
      </w:r>
      <w:r>
        <w:rPr>
          <w:w w:val="95"/>
        </w:rPr>
        <w:t>is</w:t>
      </w:r>
      <w:r>
        <w:rPr>
          <w:spacing w:val="34"/>
          <w:w w:val="95"/>
        </w:rPr>
        <w:t> </w:t>
      </w:r>
      <w:r>
        <w:rPr>
          <w:spacing w:val="-4"/>
          <w:w w:val="95"/>
        </w:rPr>
        <w:t>available,</w:t>
      </w:r>
    </w:p>
    <w:p>
      <w:pPr>
        <w:pStyle w:val="BodyText"/>
        <w:spacing w:line="249" w:lineRule="auto" w:before="11"/>
        <w:ind w:left="765" w:right="185"/>
      </w:pPr>
      <w:r>
        <w:rPr>
          <w:spacing w:val="-3"/>
        </w:rPr>
        <w:t>the</w:t>
      </w:r>
      <w:r>
        <w:rPr>
          <w:spacing w:val="-24"/>
        </w:rPr>
        <w:t> </w:t>
      </w:r>
      <w:r>
        <w:rPr>
          <w:spacing w:val="-3"/>
        </w:rPr>
        <w:t>fair</w:t>
      </w:r>
      <w:r>
        <w:rPr>
          <w:spacing w:val="-24"/>
        </w:rPr>
        <w:t> </w:t>
      </w:r>
      <w:r>
        <w:rPr>
          <w:spacing w:val="-4"/>
        </w:rPr>
        <w:t>value</w:t>
      </w:r>
      <w:r>
        <w:rPr>
          <w:spacing w:val="-24"/>
        </w:rPr>
        <w:t> </w:t>
      </w:r>
      <w:r>
        <w:rPr/>
        <w:t>of</w:t>
      </w:r>
      <w:r>
        <w:rPr>
          <w:spacing w:val="-23"/>
        </w:rPr>
        <w:t> </w:t>
      </w:r>
      <w:r>
        <w:rPr>
          <w:spacing w:val="-3"/>
        </w:rPr>
        <w:t>land</w:t>
      </w:r>
      <w:r>
        <w:rPr>
          <w:spacing w:val="-24"/>
        </w:rPr>
        <w:t> </w:t>
      </w:r>
      <w:r>
        <w:rPr>
          <w:spacing w:val="-3"/>
        </w:rPr>
        <w:t>and</w:t>
      </w:r>
      <w:r>
        <w:rPr>
          <w:spacing w:val="-24"/>
        </w:rPr>
        <w:t> </w:t>
      </w:r>
      <w:r>
        <w:rPr>
          <w:spacing w:val="-4"/>
        </w:rPr>
        <w:t>buildings</w:t>
      </w:r>
      <w:r>
        <w:rPr>
          <w:spacing w:val="-23"/>
        </w:rPr>
        <w:t> </w:t>
      </w:r>
      <w:r>
        <w:rPr/>
        <w:t>is</w:t>
      </w:r>
      <w:r>
        <w:rPr>
          <w:spacing w:val="-24"/>
        </w:rPr>
        <w:t> </w:t>
      </w:r>
      <w:r>
        <w:rPr>
          <w:spacing w:val="-4"/>
        </w:rPr>
        <w:t>determined </w:t>
      </w:r>
      <w:r>
        <w:rPr/>
        <w:t>on</w:t>
      </w:r>
      <w:r>
        <w:rPr>
          <w:spacing w:val="-25"/>
        </w:rPr>
        <w:t> </w:t>
      </w:r>
      <w:r>
        <w:rPr>
          <w:spacing w:val="-3"/>
        </w:rPr>
        <w:t>the</w:t>
      </w:r>
      <w:r>
        <w:rPr>
          <w:spacing w:val="-25"/>
        </w:rPr>
        <w:t> </w:t>
      </w:r>
      <w:r>
        <w:rPr>
          <w:spacing w:val="-4"/>
        </w:rPr>
        <w:t>basis</w:t>
      </w:r>
      <w:r>
        <w:rPr>
          <w:spacing w:val="-25"/>
        </w:rPr>
        <w:t> </w:t>
      </w:r>
      <w:r>
        <w:rPr/>
        <w:t>of</w:t>
      </w:r>
      <w:r>
        <w:rPr>
          <w:spacing w:val="-25"/>
        </w:rPr>
        <w:t> </w:t>
      </w:r>
      <w:r>
        <w:rPr>
          <w:spacing w:val="-4"/>
        </w:rPr>
        <w:t>current</w:t>
      </w:r>
      <w:r>
        <w:rPr>
          <w:spacing w:val="-25"/>
        </w:rPr>
        <w:t> </w:t>
      </w:r>
      <w:r>
        <w:rPr>
          <w:spacing w:val="-4"/>
        </w:rPr>
        <w:t>market</w:t>
      </w:r>
      <w:r>
        <w:rPr>
          <w:spacing w:val="-25"/>
        </w:rPr>
        <w:t> </w:t>
      </w:r>
      <w:r>
        <w:rPr>
          <w:spacing w:val="-4"/>
        </w:rPr>
        <w:t>values</w:t>
      </w:r>
      <w:r>
        <w:rPr>
          <w:spacing w:val="-25"/>
        </w:rPr>
        <w:t> </w:t>
      </w:r>
      <w:r>
        <w:rPr>
          <w:spacing w:val="-4"/>
        </w:rPr>
        <w:t>determined </w:t>
      </w:r>
      <w:r>
        <w:rPr/>
        <w:t>by</w:t>
      </w:r>
      <w:r>
        <w:rPr>
          <w:spacing w:val="-14"/>
        </w:rPr>
        <w:t> </w:t>
      </w:r>
      <w:r>
        <w:rPr>
          <w:spacing w:val="-5"/>
        </w:rPr>
        <w:t>reference</w:t>
      </w:r>
      <w:r>
        <w:rPr>
          <w:spacing w:val="-14"/>
        </w:rPr>
        <w:t> </w:t>
      </w:r>
      <w:r>
        <w:rPr/>
        <w:t>to</w:t>
      </w:r>
      <w:r>
        <w:rPr>
          <w:spacing w:val="-15"/>
        </w:rPr>
        <w:t> </w:t>
      </w:r>
      <w:r>
        <w:rPr>
          <w:spacing w:val="-4"/>
        </w:rPr>
        <w:t>recent</w:t>
      </w:r>
      <w:r>
        <w:rPr>
          <w:spacing w:val="-14"/>
        </w:rPr>
        <w:t> </w:t>
      </w:r>
      <w:r>
        <w:rPr>
          <w:spacing w:val="-4"/>
        </w:rPr>
        <w:t>market</w:t>
      </w:r>
      <w:r>
        <w:rPr>
          <w:spacing w:val="-14"/>
        </w:rPr>
        <w:t> </w:t>
      </w:r>
      <w:r>
        <w:rPr>
          <w:spacing w:val="-4"/>
        </w:rPr>
        <w:t>transactions.</w:t>
      </w:r>
    </w:p>
    <w:p>
      <w:pPr>
        <w:pStyle w:val="BodyText"/>
        <w:spacing w:before="3"/>
        <w:ind w:left="765"/>
      </w:pPr>
      <w:r>
        <w:rPr/>
        <w:t>When buildings are revalued by reference to</w:t>
      </w:r>
    </w:p>
    <w:p>
      <w:pPr>
        <w:pStyle w:val="BodyText"/>
        <w:spacing w:before="5"/>
        <w:rPr>
          <w:sz w:val="23"/>
        </w:rPr>
      </w:pPr>
      <w:r>
        <w:rPr/>
        <w:br w:type="column"/>
      </w:r>
      <w:r>
        <w:rPr>
          <w:sz w:val="23"/>
        </w:rPr>
      </w:r>
    </w:p>
    <w:p>
      <w:pPr>
        <w:pStyle w:val="BodyText"/>
        <w:spacing w:line="249" w:lineRule="auto"/>
        <w:ind w:left="402" w:right="26"/>
      </w:pPr>
      <w:r>
        <w:rPr>
          <w:spacing w:val="-4"/>
        </w:rPr>
        <w:t>recent market transactions, </w:t>
      </w:r>
      <w:r>
        <w:rPr>
          <w:spacing w:val="-3"/>
        </w:rPr>
        <w:t>the </w:t>
      </w:r>
      <w:r>
        <w:rPr>
          <w:spacing w:val="-4"/>
        </w:rPr>
        <w:t>accumulated depreciation</w:t>
      </w:r>
      <w:r>
        <w:rPr>
          <w:spacing w:val="-33"/>
        </w:rPr>
        <w:t> </w:t>
      </w:r>
      <w:r>
        <w:rPr/>
        <w:t>is</w:t>
      </w:r>
      <w:r>
        <w:rPr>
          <w:spacing w:val="-32"/>
        </w:rPr>
        <w:t> </w:t>
      </w:r>
      <w:r>
        <w:rPr>
          <w:spacing w:val="-4"/>
        </w:rPr>
        <w:t>eliminated</w:t>
      </w:r>
      <w:r>
        <w:rPr>
          <w:spacing w:val="-32"/>
        </w:rPr>
        <w:t> </w:t>
      </w:r>
      <w:r>
        <w:rPr>
          <w:spacing w:val="-4"/>
        </w:rPr>
        <w:t>against</w:t>
      </w:r>
      <w:r>
        <w:rPr>
          <w:spacing w:val="-33"/>
        </w:rPr>
        <w:t> </w:t>
      </w:r>
      <w:r>
        <w:rPr>
          <w:spacing w:val="-3"/>
        </w:rPr>
        <w:t>the</w:t>
      </w:r>
      <w:r>
        <w:rPr>
          <w:spacing w:val="-32"/>
        </w:rPr>
        <w:t> </w:t>
      </w:r>
      <w:r>
        <w:rPr>
          <w:spacing w:val="-4"/>
        </w:rPr>
        <w:t>gross</w:t>
      </w:r>
      <w:r>
        <w:rPr>
          <w:spacing w:val="-32"/>
        </w:rPr>
        <w:t> </w:t>
      </w:r>
      <w:r>
        <w:rPr>
          <w:spacing w:val="-4"/>
        </w:rPr>
        <w:t>carrying amount </w:t>
      </w:r>
      <w:r>
        <w:rPr/>
        <w:t>of </w:t>
      </w:r>
      <w:r>
        <w:rPr>
          <w:spacing w:val="-3"/>
        </w:rPr>
        <w:t>the </w:t>
      </w:r>
      <w:r>
        <w:rPr>
          <w:spacing w:val="-4"/>
        </w:rPr>
        <w:t>asset </w:t>
      </w:r>
      <w:r>
        <w:rPr>
          <w:spacing w:val="-3"/>
        </w:rPr>
        <w:t>and the net </w:t>
      </w:r>
      <w:r>
        <w:rPr>
          <w:spacing w:val="-4"/>
        </w:rPr>
        <w:t>amount </w:t>
      </w:r>
      <w:r>
        <w:rPr>
          <w:spacing w:val="-5"/>
        </w:rPr>
        <w:t>restated </w:t>
      </w:r>
      <w:r>
        <w:rPr/>
        <w:t>to </w:t>
      </w:r>
      <w:r>
        <w:rPr>
          <w:spacing w:val="-3"/>
        </w:rPr>
        <w:t>the </w:t>
      </w:r>
      <w:r>
        <w:rPr>
          <w:spacing w:val="-4"/>
        </w:rPr>
        <w:t>revalued</w:t>
      </w:r>
      <w:r>
        <w:rPr>
          <w:spacing w:val="-22"/>
        </w:rPr>
        <w:t> </w:t>
      </w:r>
      <w:r>
        <w:rPr>
          <w:spacing w:val="-4"/>
        </w:rPr>
        <w:t>amount.</w:t>
      </w:r>
    </w:p>
    <w:p>
      <w:pPr>
        <w:pStyle w:val="BodyText"/>
        <w:spacing w:before="3"/>
        <w:rPr>
          <w:sz w:val="23"/>
        </w:rPr>
      </w:pPr>
    </w:p>
    <w:p>
      <w:pPr>
        <w:pStyle w:val="BodyText"/>
        <w:spacing w:line="249" w:lineRule="auto"/>
        <w:ind w:left="402" w:right="24"/>
      </w:pPr>
      <w:r>
        <w:rPr/>
        <w:t>In</w:t>
      </w:r>
      <w:r>
        <w:rPr>
          <w:spacing w:val="-30"/>
        </w:rPr>
        <w:t> </w:t>
      </w:r>
      <w:r>
        <w:rPr>
          <w:spacing w:val="-3"/>
        </w:rPr>
        <w:t>the</w:t>
      </w:r>
      <w:r>
        <w:rPr>
          <w:spacing w:val="-29"/>
        </w:rPr>
        <w:t> </w:t>
      </w:r>
      <w:r>
        <w:rPr>
          <w:spacing w:val="-4"/>
        </w:rPr>
        <w:t>absence</w:t>
      </w:r>
      <w:r>
        <w:rPr>
          <w:spacing w:val="-29"/>
        </w:rPr>
        <w:t> </w:t>
      </w:r>
      <w:r>
        <w:rPr/>
        <w:t>of</w:t>
      </w:r>
      <w:r>
        <w:rPr>
          <w:spacing w:val="-29"/>
        </w:rPr>
        <w:t> </w:t>
      </w:r>
      <w:r>
        <w:rPr>
          <w:spacing w:val="-4"/>
        </w:rPr>
        <w:t>market-based</w:t>
      </w:r>
      <w:r>
        <w:rPr>
          <w:spacing w:val="-29"/>
        </w:rPr>
        <w:t> </w:t>
      </w:r>
      <w:r>
        <w:rPr>
          <w:spacing w:val="-4"/>
        </w:rPr>
        <w:t>evidence,</w:t>
      </w:r>
      <w:r>
        <w:rPr>
          <w:spacing w:val="-29"/>
        </w:rPr>
        <w:t> </w:t>
      </w:r>
      <w:r>
        <w:rPr>
          <w:spacing w:val="-3"/>
        </w:rPr>
        <w:t>fair</w:t>
      </w:r>
      <w:r>
        <w:rPr>
          <w:spacing w:val="-29"/>
        </w:rPr>
        <w:t> </w:t>
      </w:r>
      <w:r>
        <w:rPr>
          <w:spacing w:val="-4"/>
        </w:rPr>
        <w:t>value </w:t>
      </w:r>
      <w:r>
        <w:rPr/>
        <w:t>of</w:t>
      </w:r>
      <w:r>
        <w:rPr>
          <w:spacing w:val="-19"/>
        </w:rPr>
        <w:t> </w:t>
      </w:r>
      <w:r>
        <w:rPr>
          <w:spacing w:val="-3"/>
        </w:rPr>
        <w:t>land</w:t>
      </w:r>
      <w:r>
        <w:rPr>
          <w:spacing w:val="-18"/>
        </w:rPr>
        <w:t> </w:t>
      </w:r>
      <w:r>
        <w:rPr>
          <w:spacing w:val="-3"/>
        </w:rPr>
        <w:t>and</w:t>
      </w:r>
      <w:r>
        <w:rPr>
          <w:spacing w:val="-19"/>
        </w:rPr>
        <w:t> </w:t>
      </w:r>
      <w:r>
        <w:rPr>
          <w:spacing w:val="-4"/>
        </w:rPr>
        <w:t>buildings</w:t>
      </w:r>
      <w:r>
        <w:rPr>
          <w:spacing w:val="-18"/>
        </w:rPr>
        <w:t> </w:t>
      </w:r>
      <w:r>
        <w:rPr/>
        <w:t>is</w:t>
      </w:r>
      <w:r>
        <w:rPr>
          <w:spacing w:val="-19"/>
        </w:rPr>
        <w:t> </w:t>
      </w:r>
      <w:r>
        <w:rPr>
          <w:spacing w:val="-4"/>
        </w:rPr>
        <w:t>determined</w:t>
      </w:r>
      <w:r>
        <w:rPr>
          <w:spacing w:val="-18"/>
        </w:rPr>
        <w:t> </w:t>
      </w:r>
      <w:r>
        <w:rPr/>
        <w:t>on</w:t>
      </w:r>
      <w:r>
        <w:rPr>
          <w:spacing w:val="-19"/>
        </w:rPr>
        <w:t> </w:t>
      </w:r>
      <w:r>
        <w:rPr>
          <w:spacing w:val="-3"/>
        </w:rPr>
        <w:t>the</w:t>
      </w:r>
      <w:r>
        <w:rPr>
          <w:spacing w:val="-18"/>
        </w:rPr>
        <w:t> </w:t>
      </w:r>
      <w:r>
        <w:rPr>
          <w:spacing w:val="-4"/>
        </w:rPr>
        <w:t>basis</w:t>
      </w:r>
      <w:r>
        <w:rPr>
          <w:spacing w:val="-19"/>
        </w:rPr>
        <w:t> </w:t>
      </w:r>
      <w:r>
        <w:rPr>
          <w:spacing w:val="-4"/>
        </w:rPr>
        <w:t>of existing</w:t>
      </w:r>
      <w:r>
        <w:rPr>
          <w:spacing w:val="-28"/>
        </w:rPr>
        <w:t> </w:t>
      </w:r>
      <w:r>
        <w:rPr>
          <w:spacing w:val="-3"/>
        </w:rPr>
        <w:t>use.</w:t>
      </w:r>
      <w:r>
        <w:rPr>
          <w:spacing w:val="-27"/>
        </w:rPr>
        <w:t> </w:t>
      </w:r>
      <w:r>
        <w:rPr>
          <w:spacing w:val="-3"/>
        </w:rPr>
        <w:t>This</w:t>
      </w:r>
      <w:r>
        <w:rPr>
          <w:spacing w:val="-27"/>
        </w:rPr>
        <w:t> </w:t>
      </w:r>
      <w:r>
        <w:rPr>
          <w:spacing w:val="-4"/>
        </w:rPr>
        <w:t>normally</w:t>
      </w:r>
      <w:r>
        <w:rPr>
          <w:spacing w:val="-27"/>
        </w:rPr>
        <w:t> </w:t>
      </w:r>
      <w:r>
        <w:rPr>
          <w:spacing w:val="-4"/>
        </w:rPr>
        <w:t>applies</w:t>
      </w:r>
      <w:r>
        <w:rPr>
          <w:spacing w:val="-28"/>
        </w:rPr>
        <w:t> </w:t>
      </w:r>
      <w:r>
        <w:rPr>
          <w:spacing w:val="-4"/>
        </w:rPr>
        <w:t>where</w:t>
      </w:r>
      <w:r>
        <w:rPr>
          <w:spacing w:val="-27"/>
        </w:rPr>
        <w:t> </w:t>
      </w:r>
      <w:r>
        <w:rPr>
          <w:spacing w:val="-4"/>
        </w:rPr>
        <w:t>buildings are</w:t>
      </w:r>
      <w:r>
        <w:rPr>
          <w:spacing w:val="-16"/>
        </w:rPr>
        <w:t> </w:t>
      </w:r>
      <w:r>
        <w:rPr>
          <w:spacing w:val="-4"/>
        </w:rPr>
        <w:t>specialised</w:t>
      </w:r>
      <w:r>
        <w:rPr>
          <w:spacing w:val="-16"/>
        </w:rPr>
        <w:t> </w:t>
      </w:r>
      <w:r>
        <w:rPr/>
        <w:t>or</w:t>
      </w:r>
      <w:r>
        <w:rPr>
          <w:spacing w:val="-16"/>
        </w:rPr>
        <w:t> </w:t>
      </w:r>
      <w:r>
        <w:rPr>
          <w:spacing w:val="-4"/>
        </w:rPr>
        <w:t>where</w:t>
      </w:r>
      <w:r>
        <w:rPr>
          <w:spacing w:val="-16"/>
        </w:rPr>
        <w:t> </w:t>
      </w:r>
      <w:r>
        <w:rPr>
          <w:spacing w:val="-3"/>
        </w:rPr>
        <w:t>land</w:t>
      </w:r>
      <w:r>
        <w:rPr>
          <w:spacing w:val="-16"/>
        </w:rPr>
        <w:t> </w:t>
      </w:r>
      <w:r>
        <w:rPr>
          <w:spacing w:val="-3"/>
        </w:rPr>
        <w:t>use</w:t>
      </w:r>
      <w:r>
        <w:rPr>
          <w:spacing w:val="-16"/>
        </w:rPr>
        <w:t> </w:t>
      </w:r>
      <w:r>
        <w:rPr/>
        <w:t>is</w:t>
      </w:r>
      <w:r>
        <w:rPr>
          <w:spacing w:val="-16"/>
        </w:rPr>
        <w:t> </w:t>
      </w:r>
      <w:r>
        <w:rPr>
          <w:spacing w:val="-5"/>
        </w:rPr>
        <w:t>restricted.</w:t>
      </w:r>
    </w:p>
    <w:p>
      <w:pPr>
        <w:pStyle w:val="BodyText"/>
        <w:spacing w:line="249" w:lineRule="auto" w:before="4"/>
        <w:ind w:left="402" w:right="51"/>
      </w:pPr>
      <w:r>
        <w:rPr>
          <w:spacing w:val="-3"/>
        </w:rPr>
        <w:t>Fair</w:t>
      </w:r>
      <w:r>
        <w:rPr>
          <w:spacing w:val="-27"/>
        </w:rPr>
        <w:t> </w:t>
      </w:r>
      <w:r>
        <w:rPr>
          <w:spacing w:val="-4"/>
        </w:rPr>
        <w:t>value</w:t>
      </w:r>
      <w:r>
        <w:rPr>
          <w:spacing w:val="-27"/>
        </w:rPr>
        <w:t> </w:t>
      </w:r>
      <w:r>
        <w:rPr>
          <w:spacing w:val="-3"/>
        </w:rPr>
        <w:t>for</w:t>
      </w:r>
      <w:r>
        <w:rPr>
          <w:spacing w:val="-26"/>
        </w:rPr>
        <w:t> </w:t>
      </w:r>
      <w:r>
        <w:rPr>
          <w:spacing w:val="-4"/>
        </w:rPr>
        <w:t>existing</w:t>
      </w:r>
      <w:r>
        <w:rPr>
          <w:spacing w:val="-27"/>
        </w:rPr>
        <w:t> </w:t>
      </w:r>
      <w:r>
        <w:rPr>
          <w:spacing w:val="-3"/>
        </w:rPr>
        <w:t>use</w:t>
      </w:r>
      <w:r>
        <w:rPr>
          <w:spacing w:val="-26"/>
        </w:rPr>
        <w:t> </w:t>
      </w:r>
      <w:r>
        <w:rPr>
          <w:spacing w:val="-4"/>
        </w:rPr>
        <w:t>buildings</w:t>
      </w:r>
      <w:r>
        <w:rPr>
          <w:spacing w:val="-27"/>
        </w:rPr>
        <w:t> </w:t>
      </w:r>
      <w:r>
        <w:rPr/>
        <w:t>is</w:t>
      </w:r>
      <w:r>
        <w:rPr>
          <w:spacing w:val="-26"/>
        </w:rPr>
        <w:t> </w:t>
      </w:r>
      <w:r>
        <w:rPr>
          <w:spacing w:val="-4"/>
        </w:rPr>
        <w:t>determined </w:t>
      </w:r>
      <w:r>
        <w:rPr/>
        <w:t>by</w:t>
      </w:r>
      <w:r>
        <w:rPr>
          <w:spacing w:val="-24"/>
        </w:rPr>
        <w:t> </w:t>
      </w:r>
      <w:r>
        <w:rPr>
          <w:spacing w:val="-5"/>
        </w:rPr>
        <w:t>reference</w:t>
      </w:r>
      <w:r>
        <w:rPr>
          <w:spacing w:val="-23"/>
        </w:rPr>
        <w:t> </w:t>
      </w:r>
      <w:r>
        <w:rPr/>
        <w:t>to</w:t>
      </w:r>
      <w:r>
        <w:rPr>
          <w:spacing w:val="-23"/>
        </w:rPr>
        <w:t> </w:t>
      </w:r>
      <w:r>
        <w:rPr>
          <w:spacing w:val="-3"/>
        </w:rPr>
        <w:t>the</w:t>
      </w:r>
      <w:r>
        <w:rPr>
          <w:spacing w:val="-24"/>
        </w:rPr>
        <w:t> </w:t>
      </w:r>
      <w:r>
        <w:rPr>
          <w:spacing w:val="-3"/>
        </w:rPr>
        <w:t>cost</w:t>
      </w:r>
      <w:r>
        <w:rPr>
          <w:spacing w:val="-23"/>
        </w:rPr>
        <w:t> </w:t>
      </w:r>
      <w:r>
        <w:rPr/>
        <w:t>of</w:t>
      </w:r>
      <w:r>
        <w:rPr>
          <w:spacing w:val="-23"/>
        </w:rPr>
        <w:t> </w:t>
      </w:r>
      <w:r>
        <w:rPr>
          <w:spacing w:val="-4"/>
        </w:rPr>
        <w:t>replacing</w:t>
      </w:r>
      <w:r>
        <w:rPr>
          <w:spacing w:val="-24"/>
        </w:rPr>
        <w:t> </w:t>
      </w:r>
      <w:r>
        <w:rPr>
          <w:spacing w:val="-3"/>
        </w:rPr>
        <w:t>the</w:t>
      </w:r>
      <w:r>
        <w:rPr>
          <w:spacing w:val="-23"/>
        </w:rPr>
        <w:t> </w:t>
      </w:r>
      <w:r>
        <w:rPr>
          <w:spacing w:val="-5"/>
        </w:rPr>
        <w:t>remaining </w:t>
      </w:r>
      <w:r>
        <w:rPr>
          <w:spacing w:val="-4"/>
        </w:rPr>
        <w:t>future economic </w:t>
      </w:r>
      <w:r>
        <w:rPr>
          <w:spacing w:val="-3"/>
        </w:rPr>
        <w:t>benefits </w:t>
      </w:r>
      <w:r>
        <w:rPr>
          <w:spacing w:val="-4"/>
        </w:rPr>
        <w:t>embodied </w:t>
      </w:r>
      <w:r>
        <w:rPr/>
        <w:t>in </w:t>
      </w:r>
      <w:r>
        <w:rPr>
          <w:spacing w:val="-3"/>
        </w:rPr>
        <w:t>the </w:t>
      </w:r>
      <w:r>
        <w:rPr>
          <w:spacing w:val="-4"/>
        </w:rPr>
        <w:t>asset, </w:t>
      </w:r>
      <w:r>
        <w:rPr>
          <w:spacing w:val="-3"/>
        </w:rPr>
        <w:t>that is, the </w:t>
      </w:r>
      <w:r>
        <w:rPr>
          <w:spacing w:val="-4"/>
        </w:rPr>
        <w:t>depreciated replacement</w:t>
      </w:r>
      <w:r>
        <w:rPr>
          <w:spacing w:val="-43"/>
        </w:rPr>
        <w:t> </w:t>
      </w:r>
      <w:r>
        <w:rPr>
          <w:spacing w:val="-4"/>
        </w:rPr>
        <w:t>cost.</w:t>
      </w:r>
    </w:p>
    <w:p>
      <w:pPr>
        <w:pStyle w:val="BodyText"/>
        <w:spacing w:line="249" w:lineRule="auto" w:before="3"/>
        <w:ind w:left="402" w:right="-6"/>
      </w:pPr>
      <w:r>
        <w:rPr>
          <w:spacing w:val="-4"/>
        </w:rPr>
        <w:t>Where</w:t>
      </w:r>
      <w:r>
        <w:rPr>
          <w:spacing w:val="-22"/>
        </w:rPr>
        <w:t> </w:t>
      </w:r>
      <w:r>
        <w:rPr>
          <w:spacing w:val="-3"/>
        </w:rPr>
        <w:t>the</w:t>
      </w:r>
      <w:r>
        <w:rPr>
          <w:spacing w:val="-22"/>
        </w:rPr>
        <w:t> </w:t>
      </w:r>
      <w:r>
        <w:rPr>
          <w:spacing w:val="-3"/>
        </w:rPr>
        <w:t>fair</w:t>
      </w:r>
      <w:r>
        <w:rPr>
          <w:spacing w:val="-22"/>
        </w:rPr>
        <w:t> </w:t>
      </w:r>
      <w:r>
        <w:rPr>
          <w:spacing w:val="-4"/>
        </w:rPr>
        <w:t>value</w:t>
      </w:r>
      <w:r>
        <w:rPr>
          <w:spacing w:val="-22"/>
        </w:rPr>
        <w:t> </w:t>
      </w:r>
      <w:r>
        <w:rPr/>
        <w:t>of</w:t>
      </w:r>
      <w:r>
        <w:rPr>
          <w:spacing w:val="-22"/>
        </w:rPr>
        <w:t> </w:t>
      </w:r>
      <w:r>
        <w:rPr>
          <w:spacing w:val="-4"/>
        </w:rPr>
        <w:t>buildings</w:t>
      </w:r>
      <w:r>
        <w:rPr>
          <w:spacing w:val="-22"/>
        </w:rPr>
        <w:t> </w:t>
      </w:r>
      <w:r>
        <w:rPr/>
        <w:t>is</w:t>
      </w:r>
      <w:r>
        <w:rPr>
          <w:spacing w:val="-22"/>
        </w:rPr>
        <w:t> </w:t>
      </w:r>
      <w:r>
        <w:rPr>
          <w:spacing w:val="-4"/>
        </w:rPr>
        <w:t>determined</w:t>
      </w:r>
      <w:r>
        <w:rPr>
          <w:spacing w:val="-22"/>
        </w:rPr>
        <w:t> </w:t>
      </w:r>
      <w:r>
        <w:rPr>
          <w:spacing w:val="-4"/>
        </w:rPr>
        <w:t>on </w:t>
      </w:r>
      <w:r>
        <w:rPr>
          <w:spacing w:val="-3"/>
        </w:rPr>
        <w:t>the</w:t>
      </w:r>
      <w:r>
        <w:rPr>
          <w:spacing w:val="-20"/>
        </w:rPr>
        <w:t> </w:t>
      </w:r>
      <w:r>
        <w:rPr>
          <w:spacing w:val="-4"/>
        </w:rPr>
        <w:t>depreciated</w:t>
      </w:r>
      <w:r>
        <w:rPr>
          <w:spacing w:val="-19"/>
        </w:rPr>
        <w:t> </w:t>
      </w:r>
      <w:r>
        <w:rPr>
          <w:spacing w:val="-4"/>
        </w:rPr>
        <w:t>replacement</w:t>
      </w:r>
      <w:r>
        <w:rPr>
          <w:spacing w:val="-20"/>
        </w:rPr>
        <w:t> </w:t>
      </w:r>
      <w:r>
        <w:rPr>
          <w:spacing w:val="-3"/>
        </w:rPr>
        <w:t>cost</w:t>
      </w:r>
      <w:r>
        <w:rPr>
          <w:spacing w:val="-19"/>
        </w:rPr>
        <w:t> </w:t>
      </w:r>
      <w:r>
        <w:rPr>
          <w:spacing w:val="-4"/>
        </w:rPr>
        <w:t>basis,</w:t>
      </w:r>
      <w:r>
        <w:rPr>
          <w:spacing w:val="-19"/>
        </w:rPr>
        <w:t> </w:t>
      </w:r>
      <w:r>
        <w:rPr>
          <w:spacing w:val="-3"/>
        </w:rPr>
        <w:t>the</w:t>
      </w:r>
      <w:r>
        <w:rPr>
          <w:spacing w:val="-20"/>
        </w:rPr>
        <w:t> </w:t>
      </w:r>
      <w:r>
        <w:rPr>
          <w:spacing w:val="-5"/>
        </w:rPr>
        <w:t>gross </w:t>
      </w:r>
      <w:r>
        <w:rPr>
          <w:spacing w:val="-4"/>
        </w:rPr>
        <w:t>carrying</w:t>
      </w:r>
      <w:r>
        <w:rPr>
          <w:spacing w:val="-25"/>
        </w:rPr>
        <w:t> </w:t>
      </w:r>
      <w:r>
        <w:rPr>
          <w:spacing w:val="-4"/>
        </w:rPr>
        <w:t>amount</w:t>
      </w:r>
      <w:r>
        <w:rPr>
          <w:spacing w:val="-24"/>
        </w:rPr>
        <w:t> </w:t>
      </w:r>
      <w:r>
        <w:rPr>
          <w:spacing w:val="-3"/>
        </w:rPr>
        <w:t>and</w:t>
      </w:r>
      <w:r>
        <w:rPr>
          <w:spacing w:val="-25"/>
        </w:rPr>
        <w:t> </w:t>
      </w:r>
      <w:r>
        <w:rPr>
          <w:spacing w:val="-3"/>
        </w:rPr>
        <w:t>the</w:t>
      </w:r>
      <w:r>
        <w:rPr>
          <w:spacing w:val="-24"/>
        </w:rPr>
        <w:t> </w:t>
      </w:r>
      <w:r>
        <w:rPr>
          <w:spacing w:val="-4"/>
        </w:rPr>
        <w:t>accumulated</w:t>
      </w:r>
      <w:r>
        <w:rPr>
          <w:spacing w:val="-25"/>
        </w:rPr>
        <w:t> </w:t>
      </w:r>
      <w:r>
        <w:rPr>
          <w:spacing w:val="-5"/>
        </w:rPr>
        <w:t>depreciation </w:t>
      </w:r>
      <w:r>
        <w:rPr/>
        <w:t>is </w:t>
      </w:r>
      <w:r>
        <w:rPr>
          <w:spacing w:val="-4"/>
        </w:rPr>
        <w:t>restated proportionately </w:t>
      </w:r>
      <w:r>
        <w:rPr>
          <w:spacing w:val="-3"/>
        </w:rPr>
        <w:t>with the </w:t>
      </w:r>
      <w:r>
        <w:rPr>
          <w:spacing w:val="-4"/>
        </w:rPr>
        <w:t>change </w:t>
      </w:r>
      <w:r>
        <w:rPr/>
        <w:t>in </w:t>
      </w:r>
      <w:r>
        <w:rPr>
          <w:spacing w:val="-4"/>
        </w:rPr>
        <w:t>the gross carrying amount </w:t>
      </w:r>
      <w:r>
        <w:rPr/>
        <w:t>of </w:t>
      </w:r>
      <w:r>
        <w:rPr>
          <w:spacing w:val="-3"/>
        </w:rPr>
        <w:t>the </w:t>
      </w:r>
      <w:r>
        <w:rPr>
          <w:spacing w:val="-4"/>
        </w:rPr>
        <w:t>asset. </w:t>
      </w:r>
      <w:r>
        <w:rPr>
          <w:spacing w:val="-3"/>
        </w:rPr>
        <w:t>Fair </w:t>
      </w:r>
      <w:r>
        <w:rPr>
          <w:spacing w:val="-4"/>
        </w:rPr>
        <w:t>value for restricted </w:t>
      </w:r>
      <w:r>
        <w:rPr>
          <w:spacing w:val="-3"/>
        </w:rPr>
        <w:t>use land </w:t>
      </w:r>
      <w:r>
        <w:rPr/>
        <w:t>is </w:t>
      </w:r>
      <w:r>
        <w:rPr>
          <w:spacing w:val="-4"/>
        </w:rPr>
        <w:t>determined </w:t>
      </w:r>
      <w:r>
        <w:rPr/>
        <w:t>by </w:t>
      </w:r>
      <w:r>
        <w:rPr>
          <w:spacing w:val="-4"/>
        </w:rPr>
        <w:t>comparison </w:t>
      </w:r>
      <w:r>
        <w:rPr>
          <w:spacing w:val="-3"/>
        </w:rPr>
        <w:t>with </w:t>
      </w:r>
      <w:r>
        <w:rPr>
          <w:spacing w:val="-4"/>
        </w:rPr>
        <w:t>market evidence </w:t>
      </w:r>
      <w:r>
        <w:rPr>
          <w:spacing w:val="-3"/>
        </w:rPr>
        <w:t>for land with </w:t>
      </w:r>
      <w:r>
        <w:rPr>
          <w:spacing w:val="-4"/>
        </w:rPr>
        <w:t>similar approximate</w:t>
      </w:r>
      <w:r>
        <w:rPr>
          <w:spacing w:val="-16"/>
        </w:rPr>
        <w:t> </w:t>
      </w:r>
      <w:r>
        <w:rPr>
          <w:spacing w:val="-4"/>
        </w:rPr>
        <w:t>utility</w:t>
      </w:r>
      <w:r>
        <w:rPr>
          <w:spacing w:val="-15"/>
        </w:rPr>
        <w:t> </w:t>
      </w:r>
      <w:r>
        <w:rPr>
          <w:spacing w:val="-4"/>
        </w:rPr>
        <w:t>(high</w:t>
      </w:r>
      <w:r>
        <w:rPr>
          <w:spacing w:val="-16"/>
        </w:rPr>
        <w:t> </w:t>
      </w:r>
      <w:r>
        <w:rPr>
          <w:spacing w:val="-4"/>
        </w:rPr>
        <w:t>restricted</w:t>
      </w:r>
      <w:r>
        <w:rPr>
          <w:spacing w:val="-15"/>
        </w:rPr>
        <w:t> </w:t>
      </w:r>
      <w:r>
        <w:rPr>
          <w:spacing w:val="-3"/>
        </w:rPr>
        <w:t>use</w:t>
      </w:r>
      <w:r>
        <w:rPr>
          <w:spacing w:val="-15"/>
        </w:rPr>
        <w:t> </w:t>
      </w:r>
      <w:r>
        <w:rPr>
          <w:spacing w:val="-4"/>
        </w:rPr>
        <w:t>land)</w:t>
      </w:r>
    </w:p>
    <w:p>
      <w:pPr>
        <w:pStyle w:val="BodyText"/>
        <w:spacing w:line="249" w:lineRule="auto" w:before="7"/>
        <w:ind w:left="402" w:right="272"/>
      </w:pPr>
      <w:r>
        <w:rPr/>
        <w:t>or</w:t>
      </w:r>
      <w:r>
        <w:rPr>
          <w:spacing w:val="-27"/>
        </w:rPr>
        <w:t> </w:t>
      </w:r>
      <w:r>
        <w:rPr>
          <w:spacing w:val="-4"/>
        </w:rPr>
        <w:t>market</w:t>
      </w:r>
      <w:r>
        <w:rPr>
          <w:spacing w:val="-26"/>
        </w:rPr>
        <w:t> </w:t>
      </w:r>
      <w:r>
        <w:rPr>
          <w:spacing w:val="-4"/>
        </w:rPr>
        <w:t>value</w:t>
      </w:r>
      <w:r>
        <w:rPr>
          <w:spacing w:val="-27"/>
        </w:rPr>
        <w:t> </w:t>
      </w:r>
      <w:r>
        <w:rPr/>
        <w:t>of</w:t>
      </w:r>
      <w:r>
        <w:rPr>
          <w:spacing w:val="-26"/>
        </w:rPr>
        <w:t> </w:t>
      </w:r>
      <w:r>
        <w:rPr>
          <w:spacing w:val="-4"/>
        </w:rPr>
        <w:t>comparable</w:t>
      </w:r>
      <w:r>
        <w:rPr>
          <w:spacing w:val="-27"/>
        </w:rPr>
        <w:t> </w:t>
      </w:r>
      <w:r>
        <w:rPr>
          <w:spacing w:val="-4"/>
        </w:rPr>
        <w:t>unrestricted</w:t>
      </w:r>
      <w:r>
        <w:rPr>
          <w:spacing w:val="-26"/>
        </w:rPr>
        <w:t> </w:t>
      </w:r>
      <w:r>
        <w:rPr>
          <w:spacing w:val="-4"/>
        </w:rPr>
        <w:t>land </w:t>
      </w:r>
      <w:r>
        <w:rPr>
          <w:spacing w:val="-3"/>
        </w:rPr>
        <w:t>(low </w:t>
      </w:r>
      <w:r>
        <w:rPr>
          <w:spacing w:val="-4"/>
        </w:rPr>
        <w:t>restricted </w:t>
      </w:r>
      <w:r>
        <w:rPr>
          <w:spacing w:val="-3"/>
        </w:rPr>
        <w:t>use</w:t>
      </w:r>
      <w:r>
        <w:rPr>
          <w:spacing w:val="-21"/>
        </w:rPr>
        <w:t> </w:t>
      </w:r>
      <w:r>
        <w:rPr>
          <w:spacing w:val="-4"/>
        </w:rPr>
        <w:t>land).</w:t>
      </w:r>
    </w:p>
    <w:p>
      <w:pPr>
        <w:pStyle w:val="BodyText"/>
        <w:spacing w:before="2"/>
        <w:rPr>
          <w:sz w:val="23"/>
        </w:rPr>
      </w:pPr>
    </w:p>
    <w:p>
      <w:pPr>
        <w:pStyle w:val="BodyText"/>
        <w:spacing w:line="249" w:lineRule="auto"/>
        <w:ind w:left="402" w:right="-6"/>
      </w:pPr>
      <w:r>
        <w:rPr>
          <w:spacing w:val="-3"/>
        </w:rPr>
        <w:t>Land and </w:t>
      </w:r>
      <w:r>
        <w:rPr>
          <w:spacing w:val="-4"/>
        </w:rPr>
        <w:t>buildings are independently valued annually</w:t>
      </w:r>
      <w:r>
        <w:rPr>
          <w:spacing w:val="-38"/>
        </w:rPr>
        <w:t> </w:t>
      </w:r>
      <w:r>
        <w:rPr/>
        <w:t>by</w:t>
      </w:r>
      <w:r>
        <w:rPr>
          <w:spacing w:val="-37"/>
        </w:rPr>
        <w:t> </w:t>
      </w:r>
      <w:r>
        <w:rPr>
          <w:spacing w:val="-3"/>
        </w:rPr>
        <w:t>the</w:t>
      </w:r>
      <w:r>
        <w:rPr>
          <w:spacing w:val="-37"/>
        </w:rPr>
        <w:t> </w:t>
      </w:r>
      <w:r>
        <w:rPr>
          <w:spacing w:val="-4"/>
        </w:rPr>
        <w:t>Western</w:t>
      </w:r>
      <w:r>
        <w:rPr>
          <w:spacing w:val="-37"/>
        </w:rPr>
        <w:t> </w:t>
      </w:r>
      <w:r>
        <w:rPr>
          <w:spacing w:val="-4"/>
        </w:rPr>
        <w:t>Australian</w:t>
      </w:r>
      <w:r>
        <w:rPr>
          <w:spacing w:val="-37"/>
        </w:rPr>
        <w:t> </w:t>
      </w:r>
      <w:r>
        <w:rPr>
          <w:spacing w:val="-3"/>
        </w:rPr>
        <w:t>Land</w:t>
      </w:r>
      <w:r>
        <w:rPr>
          <w:spacing w:val="-37"/>
        </w:rPr>
        <w:t> </w:t>
      </w:r>
      <w:r>
        <w:rPr>
          <w:spacing w:val="-4"/>
        </w:rPr>
        <w:t>Information Authority </w:t>
      </w:r>
      <w:r>
        <w:rPr>
          <w:spacing w:val="-5"/>
        </w:rPr>
        <w:t>(Valuation </w:t>
      </w:r>
      <w:r>
        <w:rPr>
          <w:spacing w:val="-4"/>
        </w:rPr>
        <w:t>Services) </w:t>
      </w:r>
      <w:r>
        <w:rPr>
          <w:spacing w:val="-3"/>
        </w:rPr>
        <w:t>and </w:t>
      </w:r>
      <w:r>
        <w:rPr>
          <w:spacing w:val="-5"/>
        </w:rPr>
        <w:t>recognised </w:t>
      </w:r>
      <w:r>
        <w:rPr>
          <w:spacing w:val="-4"/>
        </w:rPr>
        <w:t>annually </w:t>
      </w:r>
      <w:r>
        <w:rPr/>
        <w:t>to </w:t>
      </w:r>
      <w:r>
        <w:rPr>
          <w:spacing w:val="-4"/>
        </w:rPr>
        <w:t>ensure </w:t>
      </w:r>
      <w:r>
        <w:rPr>
          <w:spacing w:val="-3"/>
        </w:rPr>
        <w:t>that the </w:t>
      </w:r>
      <w:r>
        <w:rPr>
          <w:spacing w:val="-4"/>
        </w:rPr>
        <w:t>carrying amount does </w:t>
      </w:r>
      <w:r>
        <w:rPr>
          <w:spacing w:val="-3"/>
        </w:rPr>
        <w:t>not</w:t>
      </w:r>
      <w:r>
        <w:rPr>
          <w:spacing w:val="-17"/>
        </w:rPr>
        <w:t> </w:t>
      </w:r>
      <w:r>
        <w:rPr>
          <w:spacing w:val="-4"/>
        </w:rPr>
        <w:t>differ</w:t>
      </w:r>
      <w:r>
        <w:rPr>
          <w:spacing w:val="-17"/>
        </w:rPr>
        <w:t> </w:t>
      </w:r>
      <w:r>
        <w:rPr>
          <w:spacing w:val="-4"/>
        </w:rPr>
        <w:t>materially</w:t>
      </w:r>
      <w:r>
        <w:rPr>
          <w:spacing w:val="-17"/>
        </w:rPr>
        <w:t> </w:t>
      </w:r>
      <w:r>
        <w:rPr>
          <w:spacing w:val="-4"/>
        </w:rPr>
        <w:t>from</w:t>
      </w:r>
      <w:r>
        <w:rPr>
          <w:spacing w:val="-17"/>
        </w:rPr>
        <w:t> </w:t>
      </w:r>
      <w:r>
        <w:rPr>
          <w:spacing w:val="-3"/>
        </w:rPr>
        <w:t>the</w:t>
      </w:r>
      <w:r>
        <w:rPr>
          <w:spacing w:val="-17"/>
        </w:rPr>
        <w:t> </w:t>
      </w:r>
      <w:r>
        <w:rPr>
          <w:spacing w:val="-7"/>
        </w:rPr>
        <w:t>asset’s</w:t>
      </w:r>
      <w:r>
        <w:rPr>
          <w:spacing w:val="-17"/>
        </w:rPr>
        <w:t> </w:t>
      </w:r>
      <w:r>
        <w:rPr>
          <w:spacing w:val="-3"/>
        </w:rPr>
        <w:t>fair</w:t>
      </w:r>
      <w:r>
        <w:rPr>
          <w:spacing w:val="-17"/>
        </w:rPr>
        <w:t> </w:t>
      </w:r>
      <w:r>
        <w:rPr>
          <w:spacing w:val="-4"/>
        </w:rPr>
        <w:t>value</w:t>
      </w:r>
      <w:r>
        <w:rPr>
          <w:spacing w:val="-16"/>
        </w:rPr>
        <w:t> </w:t>
      </w:r>
      <w:r>
        <w:rPr>
          <w:spacing w:val="-4"/>
        </w:rPr>
        <w:t>at</w:t>
      </w:r>
    </w:p>
    <w:p>
      <w:pPr>
        <w:pStyle w:val="BodyText"/>
        <w:spacing w:before="4"/>
        <w:ind w:left="402"/>
      </w:pPr>
      <w:r>
        <w:rPr/>
        <w:t>the end of the reporting period.</w:t>
      </w:r>
    </w:p>
    <w:p>
      <w:pPr>
        <w:pStyle w:val="BodyText"/>
        <w:spacing w:before="5"/>
        <w:rPr>
          <w:sz w:val="23"/>
        </w:rPr>
      </w:pPr>
      <w:r>
        <w:rPr/>
        <w:br w:type="column"/>
      </w:r>
      <w:r>
        <w:rPr>
          <w:sz w:val="23"/>
        </w:rPr>
      </w:r>
    </w:p>
    <w:p>
      <w:pPr>
        <w:pStyle w:val="BodyText"/>
        <w:spacing w:line="249" w:lineRule="auto"/>
        <w:ind w:left="466" w:right="856"/>
      </w:pPr>
      <w:r>
        <w:rPr>
          <w:spacing w:val="-3"/>
        </w:rPr>
        <w:t>The</w:t>
      </w:r>
      <w:r>
        <w:rPr>
          <w:spacing w:val="-29"/>
        </w:rPr>
        <w:t> </w:t>
      </w:r>
      <w:r>
        <w:rPr>
          <w:spacing w:val="-3"/>
        </w:rPr>
        <w:t>most</w:t>
      </w:r>
      <w:r>
        <w:rPr>
          <w:spacing w:val="-28"/>
        </w:rPr>
        <w:t> </w:t>
      </w:r>
      <w:r>
        <w:rPr>
          <w:spacing w:val="-4"/>
        </w:rPr>
        <w:t>significant</w:t>
      </w:r>
      <w:r>
        <w:rPr>
          <w:spacing w:val="-28"/>
        </w:rPr>
        <w:t> </w:t>
      </w:r>
      <w:r>
        <w:rPr>
          <w:spacing w:val="-4"/>
        </w:rPr>
        <w:t>assumptions</w:t>
      </w:r>
      <w:r>
        <w:rPr>
          <w:spacing w:val="-28"/>
        </w:rPr>
        <w:t> </w:t>
      </w:r>
      <w:r>
        <w:rPr>
          <w:spacing w:val="-3"/>
        </w:rPr>
        <w:t>and</w:t>
      </w:r>
      <w:r>
        <w:rPr>
          <w:spacing w:val="-29"/>
        </w:rPr>
        <w:t> </w:t>
      </w:r>
      <w:r>
        <w:rPr>
          <w:spacing w:val="-4"/>
        </w:rPr>
        <w:t>judgements </w:t>
      </w:r>
      <w:r>
        <w:rPr/>
        <w:t>in </w:t>
      </w:r>
      <w:r>
        <w:rPr>
          <w:spacing w:val="-4"/>
        </w:rPr>
        <w:t>estimating </w:t>
      </w:r>
      <w:r>
        <w:rPr>
          <w:spacing w:val="-3"/>
        </w:rPr>
        <w:t>fair </w:t>
      </w:r>
      <w:r>
        <w:rPr>
          <w:spacing w:val="-4"/>
        </w:rPr>
        <w:t>value are </w:t>
      </w:r>
      <w:r>
        <w:rPr>
          <w:spacing w:val="-3"/>
        </w:rPr>
        <w:t>made </w:t>
      </w:r>
      <w:r>
        <w:rPr/>
        <w:t>in </w:t>
      </w:r>
      <w:r>
        <w:rPr>
          <w:spacing w:val="-4"/>
        </w:rPr>
        <w:t>assessing whether </w:t>
      </w:r>
      <w:r>
        <w:rPr/>
        <w:t>to </w:t>
      </w:r>
      <w:r>
        <w:rPr>
          <w:spacing w:val="-4"/>
        </w:rPr>
        <w:t>apply </w:t>
      </w:r>
      <w:r>
        <w:rPr>
          <w:spacing w:val="-3"/>
        </w:rPr>
        <w:t>the </w:t>
      </w:r>
      <w:r>
        <w:rPr>
          <w:spacing w:val="-4"/>
        </w:rPr>
        <w:t>existing </w:t>
      </w:r>
      <w:r>
        <w:rPr>
          <w:spacing w:val="-3"/>
        </w:rPr>
        <w:t>use </w:t>
      </w:r>
      <w:r>
        <w:rPr>
          <w:spacing w:val="-4"/>
        </w:rPr>
        <w:t>basis </w:t>
      </w:r>
      <w:r>
        <w:rPr/>
        <w:t>to </w:t>
      </w:r>
      <w:r>
        <w:rPr>
          <w:spacing w:val="-4"/>
        </w:rPr>
        <w:t>assets </w:t>
      </w:r>
      <w:r>
        <w:rPr>
          <w:spacing w:val="-3"/>
        </w:rPr>
        <w:t>and</w:t>
      </w:r>
      <w:r>
        <w:rPr>
          <w:spacing w:val="-14"/>
        </w:rPr>
        <w:t> </w:t>
      </w:r>
      <w:r>
        <w:rPr/>
        <w:t>in</w:t>
      </w:r>
      <w:r>
        <w:rPr>
          <w:spacing w:val="-14"/>
        </w:rPr>
        <w:t> </w:t>
      </w:r>
      <w:r>
        <w:rPr>
          <w:spacing w:val="-4"/>
        </w:rPr>
        <w:t>determining</w:t>
      </w:r>
      <w:r>
        <w:rPr>
          <w:spacing w:val="-14"/>
        </w:rPr>
        <w:t> </w:t>
      </w:r>
      <w:r>
        <w:rPr>
          <w:spacing w:val="-4"/>
        </w:rPr>
        <w:t>estimated</w:t>
      </w:r>
      <w:r>
        <w:rPr>
          <w:spacing w:val="-13"/>
        </w:rPr>
        <w:t> </w:t>
      </w:r>
      <w:r>
        <w:rPr>
          <w:spacing w:val="-4"/>
        </w:rPr>
        <w:t>economic</w:t>
      </w:r>
      <w:r>
        <w:rPr>
          <w:spacing w:val="-14"/>
        </w:rPr>
        <w:t> </w:t>
      </w:r>
      <w:r>
        <w:rPr>
          <w:spacing w:val="-4"/>
        </w:rPr>
        <w:t>life.</w:t>
      </w:r>
    </w:p>
    <w:p>
      <w:pPr>
        <w:pStyle w:val="BodyText"/>
        <w:spacing w:line="249" w:lineRule="auto" w:before="4"/>
        <w:ind w:left="466" w:right="1221"/>
      </w:pPr>
      <w:r>
        <w:rPr>
          <w:spacing w:val="-4"/>
        </w:rPr>
        <w:t>Professional</w:t>
      </w:r>
      <w:r>
        <w:rPr>
          <w:spacing w:val="-35"/>
        </w:rPr>
        <w:t> </w:t>
      </w:r>
      <w:r>
        <w:rPr>
          <w:spacing w:val="-4"/>
        </w:rPr>
        <w:t>judgement</w:t>
      </w:r>
      <w:r>
        <w:rPr>
          <w:spacing w:val="-34"/>
        </w:rPr>
        <w:t> </w:t>
      </w:r>
      <w:r>
        <w:rPr/>
        <w:t>by</w:t>
      </w:r>
      <w:r>
        <w:rPr>
          <w:spacing w:val="-34"/>
        </w:rPr>
        <w:t> </w:t>
      </w:r>
      <w:r>
        <w:rPr>
          <w:spacing w:val="-3"/>
        </w:rPr>
        <w:t>the</w:t>
      </w:r>
      <w:r>
        <w:rPr>
          <w:spacing w:val="-35"/>
        </w:rPr>
        <w:t> </w:t>
      </w:r>
      <w:r>
        <w:rPr>
          <w:spacing w:val="-4"/>
        </w:rPr>
        <w:t>valuer</w:t>
      </w:r>
      <w:r>
        <w:rPr>
          <w:spacing w:val="-34"/>
        </w:rPr>
        <w:t> </w:t>
      </w:r>
      <w:r>
        <w:rPr/>
        <w:t>is</w:t>
      </w:r>
      <w:r>
        <w:rPr>
          <w:spacing w:val="-34"/>
        </w:rPr>
        <w:t> </w:t>
      </w:r>
      <w:r>
        <w:rPr>
          <w:spacing w:val="-5"/>
        </w:rPr>
        <w:t>required </w:t>
      </w:r>
      <w:r>
        <w:rPr>
          <w:spacing w:val="-4"/>
        </w:rPr>
        <w:t>where </w:t>
      </w:r>
      <w:r>
        <w:rPr>
          <w:spacing w:val="-3"/>
        </w:rPr>
        <w:t>the </w:t>
      </w:r>
      <w:r>
        <w:rPr>
          <w:spacing w:val="-4"/>
        </w:rPr>
        <w:t>evidence </w:t>
      </w:r>
      <w:r>
        <w:rPr>
          <w:spacing w:val="-3"/>
        </w:rPr>
        <w:t>does not </w:t>
      </w:r>
      <w:r>
        <w:rPr>
          <w:spacing w:val="-4"/>
        </w:rPr>
        <w:t>provide </w:t>
      </w:r>
      <w:r>
        <w:rPr/>
        <w:t>a </w:t>
      </w:r>
      <w:r>
        <w:rPr>
          <w:spacing w:val="-4"/>
        </w:rPr>
        <w:t>clear distinction between market </w:t>
      </w:r>
      <w:r>
        <w:rPr>
          <w:spacing w:val="-3"/>
        </w:rPr>
        <w:t>type </w:t>
      </w:r>
      <w:r>
        <w:rPr>
          <w:spacing w:val="-4"/>
        </w:rPr>
        <w:t>assets and existing </w:t>
      </w:r>
      <w:r>
        <w:rPr>
          <w:spacing w:val="-3"/>
        </w:rPr>
        <w:t>use</w:t>
      </w:r>
      <w:r>
        <w:rPr>
          <w:spacing w:val="-13"/>
        </w:rPr>
        <w:t> </w:t>
      </w:r>
      <w:r>
        <w:rPr>
          <w:spacing w:val="-4"/>
        </w:rPr>
        <w:t>assets.</w:t>
      </w:r>
    </w:p>
    <w:p>
      <w:pPr>
        <w:pStyle w:val="BodyText"/>
        <w:spacing w:before="2"/>
        <w:rPr>
          <w:sz w:val="23"/>
        </w:rPr>
      </w:pPr>
    </w:p>
    <w:p>
      <w:pPr>
        <w:pStyle w:val="BodyText"/>
        <w:spacing w:line="249" w:lineRule="auto" w:before="1"/>
        <w:ind w:left="466" w:right="856"/>
      </w:pPr>
      <w:r>
        <w:rPr>
          <w:spacing w:val="-3"/>
        </w:rPr>
        <w:t>See</w:t>
      </w:r>
      <w:r>
        <w:rPr>
          <w:spacing w:val="-21"/>
        </w:rPr>
        <w:t> </w:t>
      </w:r>
      <w:r>
        <w:rPr>
          <w:spacing w:val="-3"/>
        </w:rPr>
        <w:t>also</w:t>
      </w:r>
      <w:r>
        <w:rPr>
          <w:spacing w:val="-21"/>
        </w:rPr>
        <w:t> </w:t>
      </w:r>
      <w:r>
        <w:rPr>
          <w:spacing w:val="-3"/>
        </w:rPr>
        <w:t>Note</w:t>
      </w:r>
      <w:r>
        <w:rPr>
          <w:spacing w:val="-20"/>
        </w:rPr>
        <w:t> </w:t>
      </w:r>
      <w:r>
        <w:rPr/>
        <w:t>24</w:t>
      </w:r>
      <w:r>
        <w:rPr>
          <w:spacing w:val="-21"/>
        </w:rPr>
        <w:t> </w:t>
      </w:r>
      <w:r>
        <w:rPr>
          <w:spacing w:val="-6"/>
        </w:rPr>
        <w:t>‘Property,</w:t>
      </w:r>
      <w:r>
        <w:rPr>
          <w:spacing w:val="-20"/>
        </w:rPr>
        <w:t> </w:t>
      </w:r>
      <w:r>
        <w:rPr>
          <w:spacing w:val="-4"/>
        </w:rPr>
        <w:t>plant,</w:t>
      </w:r>
      <w:r>
        <w:rPr>
          <w:spacing w:val="-21"/>
        </w:rPr>
        <w:t> </w:t>
      </w:r>
      <w:r>
        <w:rPr>
          <w:spacing w:val="-4"/>
        </w:rPr>
        <w:t>equipment</w:t>
      </w:r>
      <w:r>
        <w:rPr>
          <w:spacing w:val="-20"/>
        </w:rPr>
        <w:t> </w:t>
      </w:r>
      <w:r>
        <w:rPr>
          <w:spacing w:val="-4"/>
        </w:rPr>
        <w:t>and vehicles’</w:t>
      </w:r>
      <w:r>
        <w:rPr>
          <w:spacing w:val="-23"/>
        </w:rPr>
        <w:t> </w:t>
      </w:r>
      <w:r>
        <w:rPr>
          <w:spacing w:val="-3"/>
        </w:rPr>
        <w:t>for</w:t>
      </w:r>
      <w:r>
        <w:rPr>
          <w:spacing w:val="-22"/>
        </w:rPr>
        <w:t> </w:t>
      </w:r>
      <w:r>
        <w:rPr>
          <w:spacing w:val="-4"/>
        </w:rPr>
        <w:t>further</w:t>
      </w:r>
      <w:r>
        <w:rPr>
          <w:spacing w:val="-22"/>
        </w:rPr>
        <w:t> </w:t>
      </w:r>
      <w:r>
        <w:rPr>
          <w:spacing w:val="-4"/>
        </w:rPr>
        <w:t>information</w:t>
      </w:r>
      <w:r>
        <w:rPr>
          <w:spacing w:val="-22"/>
        </w:rPr>
        <w:t> </w:t>
      </w:r>
      <w:r>
        <w:rPr/>
        <w:t>on</w:t>
      </w:r>
      <w:r>
        <w:rPr>
          <w:spacing w:val="-22"/>
        </w:rPr>
        <w:t> </w:t>
      </w:r>
      <w:r>
        <w:rPr>
          <w:spacing w:val="-5"/>
        </w:rPr>
        <w:t>revaluations.</w:t>
      </w:r>
    </w:p>
    <w:p>
      <w:pPr>
        <w:pStyle w:val="BodyText"/>
        <w:spacing w:before="1"/>
        <w:rPr>
          <w:sz w:val="23"/>
        </w:rPr>
      </w:pPr>
    </w:p>
    <w:p>
      <w:pPr>
        <w:spacing w:before="0"/>
        <w:ind w:left="466" w:right="0" w:firstLine="0"/>
        <w:jc w:val="left"/>
        <w:rPr>
          <w:i/>
          <w:sz w:val="22"/>
        </w:rPr>
      </w:pPr>
      <w:r>
        <w:rPr>
          <w:i/>
          <w:color w:val="6F2770"/>
          <w:sz w:val="22"/>
        </w:rPr>
        <w:t>De-recognition</w:t>
      </w:r>
    </w:p>
    <w:p>
      <w:pPr>
        <w:pStyle w:val="BodyText"/>
        <w:spacing w:line="249" w:lineRule="auto" w:before="11"/>
        <w:ind w:left="466" w:right="856"/>
      </w:pPr>
      <w:r>
        <w:rPr>
          <w:spacing w:val="-3"/>
        </w:rPr>
        <w:t>Upon </w:t>
      </w:r>
      <w:r>
        <w:rPr>
          <w:spacing w:val="-4"/>
        </w:rPr>
        <w:t>disposal </w:t>
      </w:r>
      <w:r>
        <w:rPr/>
        <w:t>or </w:t>
      </w:r>
      <w:r>
        <w:rPr>
          <w:spacing w:val="-4"/>
        </w:rPr>
        <w:t>de-recognition </w:t>
      </w:r>
      <w:r>
        <w:rPr/>
        <w:t>of an </w:t>
      </w:r>
      <w:r>
        <w:rPr>
          <w:spacing w:val="-3"/>
        </w:rPr>
        <w:t>item </w:t>
      </w:r>
      <w:r>
        <w:rPr>
          <w:spacing w:val="-4"/>
        </w:rPr>
        <w:t>of </w:t>
      </w:r>
      <w:r>
        <w:rPr>
          <w:spacing w:val="-7"/>
        </w:rPr>
        <w:t>property, </w:t>
      </w:r>
      <w:r>
        <w:rPr>
          <w:spacing w:val="-4"/>
        </w:rPr>
        <w:t>plant </w:t>
      </w:r>
      <w:r>
        <w:rPr>
          <w:spacing w:val="-3"/>
        </w:rPr>
        <w:t>and </w:t>
      </w:r>
      <w:r>
        <w:rPr>
          <w:spacing w:val="-4"/>
        </w:rPr>
        <w:t>equipment, </w:t>
      </w:r>
      <w:r>
        <w:rPr>
          <w:spacing w:val="-3"/>
        </w:rPr>
        <w:t>any </w:t>
      </w:r>
      <w:r>
        <w:rPr>
          <w:spacing w:val="-5"/>
        </w:rPr>
        <w:t>revaluation </w:t>
      </w:r>
      <w:r>
        <w:rPr>
          <w:spacing w:val="-4"/>
        </w:rPr>
        <w:t>surplus</w:t>
      </w:r>
      <w:r>
        <w:rPr>
          <w:spacing w:val="-25"/>
        </w:rPr>
        <w:t> </w:t>
      </w:r>
      <w:r>
        <w:rPr>
          <w:spacing w:val="-4"/>
        </w:rPr>
        <w:t>relating</w:t>
      </w:r>
      <w:r>
        <w:rPr>
          <w:spacing w:val="-25"/>
        </w:rPr>
        <w:t> </w:t>
      </w:r>
      <w:r>
        <w:rPr/>
        <w:t>to</w:t>
      </w:r>
      <w:r>
        <w:rPr>
          <w:spacing w:val="-25"/>
        </w:rPr>
        <w:t> </w:t>
      </w:r>
      <w:r>
        <w:rPr>
          <w:spacing w:val="-3"/>
        </w:rPr>
        <w:t>that</w:t>
      </w:r>
      <w:r>
        <w:rPr>
          <w:spacing w:val="-25"/>
        </w:rPr>
        <w:t> </w:t>
      </w:r>
      <w:r>
        <w:rPr>
          <w:spacing w:val="-4"/>
        </w:rPr>
        <w:t>asset</w:t>
      </w:r>
      <w:r>
        <w:rPr>
          <w:spacing w:val="-25"/>
        </w:rPr>
        <w:t> </w:t>
      </w:r>
      <w:r>
        <w:rPr/>
        <w:t>is</w:t>
      </w:r>
      <w:r>
        <w:rPr>
          <w:spacing w:val="-25"/>
        </w:rPr>
        <w:t> </w:t>
      </w:r>
      <w:r>
        <w:rPr>
          <w:spacing w:val="-4"/>
        </w:rPr>
        <w:t>retained</w:t>
      </w:r>
      <w:r>
        <w:rPr>
          <w:spacing w:val="-25"/>
        </w:rPr>
        <w:t> </w:t>
      </w:r>
      <w:r>
        <w:rPr/>
        <w:t>in</w:t>
      </w:r>
      <w:r>
        <w:rPr>
          <w:spacing w:val="-25"/>
        </w:rPr>
        <w:t> </w:t>
      </w:r>
      <w:r>
        <w:rPr>
          <w:spacing w:val="-3"/>
        </w:rPr>
        <w:t>the</w:t>
      </w:r>
      <w:r>
        <w:rPr>
          <w:spacing w:val="-25"/>
        </w:rPr>
        <w:t> </w:t>
      </w:r>
      <w:r>
        <w:rPr>
          <w:spacing w:val="-4"/>
        </w:rPr>
        <w:t>asset revaluation</w:t>
      </w:r>
      <w:r>
        <w:rPr>
          <w:spacing w:val="-9"/>
        </w:rPr>
        <w:t> </w:t>
      </w:r>
      <w:r>
        <w:rPr>
          <w:spacing w:val="-4"/>
        </w:rPr>
        <w:t>surplus.</w:t>
      </w:r>
    </w:p>
    <w:p>
      <w:pPr>
        <w:pStyle w:val="BodyText"/>
        <w:spacing w:before="3"/>
        <w:rPr>
          <w:sz w:val="23"/>
        </w:rPr>
      </w:pPr>
    </w:p>
    <w:p>
      <w:pPr>
        <w:spacing w:before="0"/>
        <w:ind w:left="466" w:right="0" w:firstLine="0"/>
        <w:jc w:val="left"/>
        <w:rPr>
          <w:i/>
          <w:sz w:val="22"/>
        </w:rPr>
      </w:pPr>
      <w:r>
        <w:rPr>
          <w:i/>
          <w:color w:val="6F2770"/>
          <w:sz w:val="22"/>
        </w:rPr>
        <w:t>Asset revaluation surplus</w:t>
      </w:r>
    </w:p>
    <w:p>
      <w:pPr>
        <w:pStyle w:val="BodyText"/>
        <w:spacing w:line="249" w:lineRule="auto" w:before="11"/>
        <w:ind w:left="466" w:right="1119"/>
      </w:pPr>
      <w:r>
        <w:rPr>
          <w:spacing w:val="-3"/>
        </w:rPr>
        <w:t>The </w:t>
      </w:r>
      <w:r>
        <w:rPr>
          <w:spacing w:val="-4"/>
        </w:rPr>
        <w:t>asset revaluation surplus </w:t>
      </w:r>
      <w:r>
        <w:rPr/>
        <w:t>is </w:t>
      </w:r>
      <w:r>
        <w:rPr>
          <w:spacing w:val="-3"/>
        </w:rPr>
        <w:t>used </w:t>
      </w:r>
      <w:r>
        <w:rPr/>
        <w:t>to </w:t>
      </w:r>
      <w:r>
        <w:rPr>
          <w:spacing w:val="-5"/>
        </w:rPr>
        <w:t>record </w:t>
      </w:r>
      <w:r>
        <w:rPr>
          <w:spacing w:val="-4"/>
        </w:rPr>
        <w:t>increments</w:t>
      </w:r>
      <w:r>
        <w:rPr>
          <w:spacing w:val="-29"/>
        </w:rPr>
        <w:t> </w:t>
      </w:r>
      <w:r>
        <w:rPr>
          <w:spacing w:val="-3"/>
        </w:rPr>
        <w:t>and</w:t>
      </w:r>
      <w:r>
        <w:rPr>
          <w:spacing w:val="-29"/>
        </w:rPr>
        <w:t> </w:t>
      </w:r>
      <w:r>
        <w:rPr>
          <w:spacing w:val="-4"/>
        </w:rPr>
        <w:t>decrements</w:t>
      </w:r>
      <w:r>
        <w:rPr>
          <w:spacing w:val="-28"/>
        </w:rPr>
        <w:t> </w:t>
      </w:r>
      <w:r>
        <w:rPr/>
        <w:t>on</w:t>
      </w:r>
      <w:r>
        <w:rPr>
          <w:spacing w:val="-29"/>
        </w:rPr>
        <w:t> </w:t>
      </w:r>
      <w:r>
        <w:rPr>
          <w:spacing w:val="-3"/>
        </w:rPr>
        <w:t>the</w:t>
      </w:r>
      <w:r>
        <w:rPr>
          <w:spacing w:val="-28"/>
        </w:rPr>
        <w:t> </w:t>
      </w:r>
      <w:r>
        <w:rPr>
          <w:spacing w:val="-4"/>
        </w:rPr>
        <w:t>revaluation</w:t>
      </w:r>
      <w:r>
        <w:rPr>
          <w:spacing w:val="-29"/>
        </w:rPr>
        <w:t> </w:t>
      </w:r>
      <w:r>
        <w:rPr>
          <w:spacing w:val="-4"/>
        </w:rPr>
        <w:t>of non-current</w:t>
      </w:r>
      <w:r>
        <w:rPr>
          <w:spacing w:val="-17"/>
        </w:rPr>
        <w:t> </w:t>
      </w:r>
      <w:r>
        <w:rPr>
          <w:spacing w:val="-4"/>
        </w:rPr>
        <w:t>assets</w:t>
      </w:r>
      <w:r>
        <w:rPr>
          <w:spacing w:val="-16"/>
        </w:rPr>
        <w:t> </w:t>
      </w:r>
      <w:r>
        <w:rPr/>
        <w:t>on</w:t>
      </w:r>
      <w:r>
        <w:rPr>
          <w:spacing w:val="-16"/>
        </w:rPr>
        <w:t> </w:t>
      </w:r>
      <w:r>
        <w:rPr/>
        <w:t>a</w:t>
      </w:r>
      <w:r>
        <w:rPr>
          <w:spacing w:val="-17"/>
        </w:rPr>
        <w:t> </w:t>
      </w:r>
      <w:r>
        <w:rPr>
          <w:spacing w:val="-4"/>
        </w:rPr>
        <w:t>class</w:t>
      </w:r>
      <w:r>
        <w:rPr>
          <w:spacing w:val="-16"/>
        </w:rPr>
        <w:t> </w:t>
      </w:r>
      <w:r>
        <w:rPr/>
        <w:t>of</w:t>
      </w:r>
      <w:r>
        <w:rPr>
          <w:spacing w:val="-16"/>
        </w:rPr>
        <w:t> </w:t>
      </w:r>
      <w:r>
        <w:rPr>
          <w:spacing w:val="-4"/>
        </w:rPr>
        <w:t>assets</w:t>
      </w:r>
      <w:r>
        <w:rPr>
          <w:spacing w:val="-17"/>
        </w:rPr>
        <w:t> </w:t>
      </w:r>
      <w:r>
        <w:rPr>
          <w:spacing w:val="-4"/>
        </w:rPr>
        <w:t>basis.</w:t>
      </w:r>
    </w:p>
    <w:p>
      <w:pPr>
        <w:pStyle w:val="BodyText"/>
        <w:spacing w:before="2"/>
        <w:rPr>
          <w:sz w:val="23"/>
        </w:rPr>
      </w:pPr>
    </w:p>
    <w:p>
      <w:pPr>
        <w:spacing w:before="0"/>
        <w:ind w:left="466" w:right="0" w:firstLine="0"/>
        <w:jc w:val="left"/>
        <w:rPr>
          <w:i/>
          <w:sz w:val="22"/>
        </w:rPr>
      </w:pPr>
      <w:r>
        <w:rPr>
          <w:i/>
          <w:color w:val="6F2770"/>
          <w:sz w:val="22"/>
        </w:rPr>
        <w:t>Depreciation</w:t>
      </w:r>
    </w:p>
    <w:p>
      <w:pPr>
        <w:pStyle w:val="BodyText"/>
        <w:spacing w:line="249" w:lineRule="auto" w:before="11"/>
        <w:ind w:left="466" w:right="1535"/>
      </w:pPr>
      <w:r>
        <w:rPr>
          <w:spacing w:val="-3"/>
        </w:rPr>
        <w:t>All</w:t>
      </w:r>
      <w:r>
        <w:rPr>
          <w:spacing w:val="-31"/>
        </w:rPr>
        <w:t> </w:t>
      </w:r>
      <w:r>
        <w:rPr>
          <w:spacing w:val="-4"/>
        </w:rPr>
        <w:t>non-current</w:t>
      </w:r>
      <w:r>
        <w:rPr>
          <w:spacing w:val="-30"/>
        </w:rPr>
        <w:t> </w:t>
      </w:r>
      <w:r>
        <w:rPr>
          <w:spacing w:val="-4"/>
        </w:rPr>
        <w:t>assets</w:t>
      </w:r>
      <w:r>
        <w:rPr>
          <w:spacing w:val="-30"/>
        </w:rPr>
        <w:t> </w:t>
      </w:r>
      <w:r>
        <w:rPr>
          <w:spacing w:val="-4"/>
        </w:rPr>
        <w:t>having</w:t>
      </w:r>
      <w:r>
        <w:rPr>
          <w:spacing w:val="-30"/>
        </w:rPr>
        <w:t> </w:t>
      </w:r>
      <w:r>
        <w:rPr/>
        <w:t>a</w:t>
      </w:r>
      <w:r>
        <w:rPr>
          <w:spacing w:val="-30"/>
        </w:rPr>
        <w:t> </w:t>
      </w:r>
      <w:r>
        <w:rPr>
          <w:spacing w:val="-4"/>
        </w:rPr>
        <w:t>limited</w:t>
      </w:r>
      <w:r>
        <w:rPr>
          <w:spacing w:val="-30"/>
        </w:rPr>
        <w:t> </w:t>
      </w:r>
      <w:r>
        <w:rPr>
          <w:spacing w:val="-4"/>
        </w:rPr>
        <w:t>useful </w:t>
      </w:r>
      <w:r>
        <w:rPr>
          <w:spacing w:val="-3"/>
        </w:rPr>
        <w:t>life</w:t>
      </w:r>
      <w:r>
        <w:rPr>
          <w:spacing w:val="-31"/>
        </w:rPr>
        <w:t> </w:t>
      </w:r>
      <w:r>
        <w:rPr>
          <w:spacing w:val="-4"/>
        </w:rPr>
        <w:t>are</w:t>
      </w:r>
      <w:r>
        <w:rPr>
          <w:spacing w:val="-30"/>
        </w:rPr>
        <w:t> </w:t>
      </w:r>
      <w:r>
        <w:rPr>
          <w:spacing w:val="-4"/>
        </w:rPr>
        <w:t>systematically</w:t>
      </w:r>
      <w:r>
        <w:rPr>
          <w:spacing w:val="-30"/>
        </w:rPr>
        <w:t> </w:t>
      </w:r>
      <w:r>
        <w:rPr>
          <w:spacing w:val="-4"/>
        </w:rPr>
        <w:t>depreciated</w:t>
      </w:r>
      <w:r>
        <w:rPr>
          <w:spacing w:val="-30"/>
        </w:rPr>
        <w:t> </w:t>
      </w:r>
      <w:r>
        <w:rPr>
          <w:spacing w:val="-3"/>
        </w:rPr>
        <w:t>over</w:t>
      </w:r>
      <w:r>
        <w:rPr>
          <w:spacing w:val="-30"/>
        </w:rPr>
        <w:t> </w:t>
      </w:r>
      <w:r>
        <w:rPr>
          <w:spacing w:val="-4"/>
        </w:rPr>
        <w:t>their</w:t>
      </w:r>
    </w:p>
    <w:p>
      <w:pPr>
        <w:pStyle w:val="BodyText"/>
        <w:spacing w:line="249" w:lineRule="auto" w:before="2"/>
        <w:ind w:left="466" w:right="856"/>
      </w:pPr>
      <w:r>
        <w:rPr>
          <w:spacing w:val="-4"/>
        </w:rPr>
        <w:t>estimated</w:t>
      </w:r>
      <w:r>
        <w:rPr>
          <w:spacing w:val="-27"/>
        </w:rPr>
        <w:t> </w:t>
      </w:r>
      <w:r>
        <w:rPr>
          <w:spacing w:val="-4"/>
        </w:rPr>
        <w:t>useful</w:t>
      </w:r>
      <w:r>
        <w:rPr>
          <w:spacing w:val="-27"/>
        </w:rPr>
        <w:t> </w:t>
      </w:r>
      <w:r>
        <w:rPr>
          <w:spacing w:val="-4"/>
        </w:rPr>
        <w:t>lives</w:t>
      </w:r>
      <w:r>
        <w:rPr>
          <w:spacing w:val="-27"/>
        </w:rPr>
        <w:t> </w:t>
      </w:r>
      <w:r>
        <w:rPr/>
        <w:t>in</w:t>
      </w:r>
      <w:r>
        <w:rPr>
          <w:spacing w:val="-26"/>
        </w:rPr>
        <w:t> </w:t>
      </w:r>
      <w:r>
        <w:rPr/>
        <w:t>a</w:t>
      </w:r>
      <w:r>
        <w:rPr>
          <w:spacing w:val="-27"/>
        </w:rPr>
        <w:t> </w:t>
      </w:r>
      <w:r>
        <w:rPr>
          <w:spacing w:val="-4"/>
        </w:rPr>
        <w:t>manner</w:t>
      </w:r>
      <w:r>
        <w:rPr>
          <w:spacing w:val="-27"/>
        </w:rPr>
        <w:t> </w:t>
      </w:r>
      <w:r>
        <w:rPr>
          <w:spacing w:val="-3"/>
        </w:rPr>
        <w:t>that</w:t>
      </w:r>
      <w:r>
        <w:rPr>
          <w:spacing w:val="-26"/>
        </w:rPr>
        <w:t> </w:t>
      </w:r>
      <w:r>
        <w:rPr>
          <w:spacing w:val="-4"/>
        </w:rPr>
        <w:t>reflects</w:t>
      </w:r>
      <w:r>
        <w:rPr>
          <w:spacing w:val="-27"/>
        </w:rPr>
        <w:t> </w:t>
      </w:r>
      <w:r>
        <w:rPr>
          <w:spacing w:val="-4"/>
        </w:rPr>
        <w:t>the consumption</w:t>
      </w:r>
      <w:r>
        <w:rPr>
          <w:spacing w:val="-16"/>
        </w:rPr>
        <w:t> </w:t>
      </w:r>
      <w:r>
        <w:rPr/>
        <w:t>of</w:t>
      </w:r>
      <w:r>
        <w:rPr>
          <w:spacing w:val="-15"/>
        </w:rPr>
        <w:t> </w:t>
      </w:r>
      <w:r>
        <w:rPr>
          <w:spacing w:val="-4"/>
        </w:rPr>
        <w:t>their</w:t>
      </w:r>
      <w:r>
        <w:rPr>
          <w:spacing w:val="-15"/>
        </w:rPr>
        <w:t> </w:t>
      </w:r>
      <w:r>
        <w:rPr>
          <w:spacing w:val="-4"/>
        </w:rPr>
        <w:t>future</w:t>
      </w:r>
      <w:r>
        <w:rPr>
          <w:spacing w:val="-15"/>
        </w:rPr>
        <w:t> </w:t>
      </w:r>
      <w:r>
        <w:rPr>
          <w:spacing w:val="-4"/>
        </w:rPr>
        <w:t>economic</w:t>
      </w:r>
      <w:r>
        <w:rPr>
          <w:spacing w:val="-15"/>
        </w:rPr>
        <w:t> </w:t>
      </w:r>
      <w:r>
        <w:rPr>
          <w:spacing w:val="-4"/>
        </w:rPr>
        <w:t>benefits.</w:t>
      </w:r>
    </w:p>
    <w:p>
      <w:pPr>
        <w:spacing w:after="0" w:line="249" w:lineRule="auto"/>
        <w:sectPr>
          <w:type w:val="continuous"/>
          <w:pgSz w:w="16840" w:h="11910" w:orient="landscape"/>
          <w:pgMar w:top="0" w:bottom="0" w:left="0" w:right="0"/>
          <w:cols w:num="3" w:equalWidth="0">
            <w:col w:w="5568" w:space="40"/>
            <w:col w:w="5140" w:space="39"/>
            <w:col w:w="6053"/>
          </w:cols>
        </w:sectPr>
      </w:pPr>
    </w:p>
    <w:p>
      <w:pPr>
        <w:pStyle w:val="BodyText"/>
        <w:spacing w:before="8"/>
        <w:rPr>
          <w:sz w:val="20"/>
        </w:rPr>
      </w:pPr>
    </w:p>
    <w:p>
      <w:pPr>
        <w:tabs>
          <w:tab w:pos="1227" w:val="left" w:leader="none"/>
          <w:tab w:pos="4671" w:val="left" w:leader="none"/>
          <w:tab w:pos="16072" w:val="left" w:leader="none"/>
        </w:tabs>
        <w:spacing w:before="106"/>
        <w:ind w:left="765" w:right="0" w:firstLine="0"/>
        <w:jc w:val="left"/>
        <w:rPr>
          <w:sz w:val="16"/>
        </w:rPr>
      </w:pPr>
      <w:r>
        <w:rPr>
          <w:b/>
          <w:color w:val="6F2770"/>
          <w:sz w:val="16"/>
        </w:rPr>
        <w:t>42</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364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376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379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195"/>
          <w:pgSz w:w="16840" w:h="11910" w:orient="landscape"/>
          <w:pgMar w:footer="448" w:header="0" w:top="0" w:bottom="640" w:left="0" w:right="0"/>
        </w:sectPr>
      </w:pPr>
    </w:p>
    <w:p>
      <w:pPr>
        <w:pStyle w:val="BodyText"/>
        <w:spacing w:before="5"/>
        <w:rPr>
          <w:sz w:val="23"/>
        </w:rPr>
      </w:pPr>
    </w:p>
    <w:p>
      <w:pPr>
        <w:pStyle w:val="BodyText"/>
        <w:spacing w:line="249" w:lineRule="auto"/>
        <w:ind w:left="765" w:right="39"/>
      </w:pPr>
      <w:r>
        <w:rPr/>
        <w:t>State Fleet motor vehicles are leased to other agencies mainly as operating leases. </w:t>
      </w:r>
      <w:r>
        <w:rPr>
          <w:spacing w:val="-5"/>
        </w:rPr>
        <w:t>Taking </w:t>
      </w:r>
      <w:r>
        <w:rPr/>
        <w:t>into account the residual values, the vehicles are depreciated on a straight line basis over the </w:t>
      </w:r>
      <w:r>
        <w:rPr>
          <w:spacing w:val="-5"/>
        </w:rPr>
        <w:t>term </w:t>
      </w:r>
      <w:r>
        <w:rPr/>
        <w:t>of the vehicle lease.</w:t>
      </w:r>
    </w:p>
    <w:p>
      <w:pPr>
        <w:pStyle w:val="BodyText"/>
        <w:spacing w:before="4"/>
        <w:rPr>
          <w:sz w:val="23"/>
        </w:rPr>
      </w:pPr>
    </w:p>
    <w:p>
      <w:pPr>
        <w:pStyle w:val="BodyText"/>
        <w:spacing w:line="249" w:lineRule="auto"/>
        <w:ind w:left="765" w:right="-15"/>
      </w:pPr>
      <w:r>
        <w:rPr/>
        <w:t>Depreciation is calculated using the straight line method, using rates which are reviewed </w:t>
      </w:r>
      <w:r>
        <w:rPr>
          <w:spacing w:val="-3"/>
        </w:rPr>
        <w:t>annually. </w:t>
      </w:r>
      <w:r>
        <w:rPr/>
        <w:t>Estimated</w:t>
      </w:r>
      <w:r>
        <w:rPr>
          <w:spacing w:val="-25"/>
        </w:rPr>
        <w:t> </w:t>
      </w:r>
      <w:r>
        <w:rPr/>
        <w:t>useful</w:t>
      </w:r>
      <w:r>
        <w:rPr>
          <w:spacing w:val="-24"/>
        </w:rPr>
        <w:t> </w:t>
      </w:r>
      <w:r>
        <w:rPr/>
        <w:t>lives</w:t>
      </w:r>
      <w:r>
        <w:rPr>
          <w:spacing w:val="-25"/>
        </w:rPr>
        <w:t> </w:t>
      </w:r>
      <w:r>
        <w:rPr/>
        <w:t>for</w:t>
      </w:r>
      <w:r>
        <w:rPr>
          <w:spacing w:val="-25"/>
        </w:rPr>
        <w:t> </w:t>
      </w:r>
      <w:r>
        <w:rPr/>
        <w:t>each</w:t>
      </w:r>
      <w:r>
        <w:rPr>
          <w:spacing w:val="-24"/>
        </w:rPr>
        <w:t> </w:t>
      </w:r>
      <w:r>
        <w:rPr/>
        <w:t>class</w:t>
      </w:r>
      <w:r>
        <w:rPr>
          <w:spacing w:val="-25"/>
        </w:rPr>
        <w:t> </w:t>
      </w:r>
      <w:r>
        <w:rPr/>
        <w:t>of</w:t>
      </w:r>
      <w:r>
        <w:rPr>
          <w:spacing w:val="-24"/>
        </w:rPr>
        <w:t> </w:t>
      </w:r>
      <w:r>
        <w:rPr>
          <w:spacing w:val="-3"/>
        </w:rPr>
        <w:t>depreciable </w:t>
      </w:r>
      <w:r>
        <w:rPr/>
        <w:t>asset</w:t>
      </w:r>
      <w:r>
        <w:rPr>
          <w:spacing w:val="-1"/>
        </w:rPr>
        <w:t> </w:t>
      </w:r>
      <w:r>
        <w:rPr/>
        <w:t>are:</w:t>
      </w:r>
    </w:p>
    <w:p>
      <w:pPr>
        <w:pStyle w:val="BodyText"/>
        <w:spacing w:before="6"/>
        <w:rPr>
          <w:sz w:val="24"/>
        </w:rPr>
      </w:pPr>
    </w:p>
    <w:p>
      <w:pPr>
        <w:pStyle w:val="BodyText"/>
        <w:tabs>
          <w:tab w:pos="3164" w:val="left" w:leader="none"/>
        </w:tabs>
        <w:ind w:left="745"/>
      </w:pPr>
      <w:r>
        <w:rPr>
          <w:spacing w:val="-4"/>
        </w:rPr>
        <w:t>Buildings</w:t>
        <w:tab/>
      </w:r>
      <w:r>
        <w:rPr/>
        <w:t>30 to 40</w:t>
      </w:r>
      <w:r>
        <w:rPr>
          <w:spacing w:val="-27"/>
        </w:rPr>
        <w:t> </w:t>
      </w:r>
      <w:r>
        <w:rPr>
          <w:spacing w:val="-4"/>
        </w:rPr>
        <w:t>years</w:t>
      </w:r>
    </w:p>
    <w:p>
      <w:pPr>
        <w:pStyle w:val="BodyText"/>
        <w:tabs>
          <w:tab w:pos="3164" w:val="left" w:leader="none"/>
        </w:tabs>
        <w:spacing w:line="290" w:lineRule="auto" w:before="35"/>
        <w:ind w:left="745" w:right="1075"/>
      </w:pPr>
      <w:r>
        <w:rPr>
          <w:spacing w:val="-4"/>
        </w:rPr>
        <w:t>Heritage</w:t>
      </w:r>
      <w:r>
        <w:rPr>
          <w:spacing w:val="-24"/>
        </w:rPr>
        <w:t> </w:t>
      </w:r>
      <w:r>
        <w:rPr>
          <w:spacing w:val="-4"/>
        </w:rPr>
        <w:t>assets</w:t>
        <w:tab/>
      </w:r>
      <w:r>
        <w:rPr>
          <w:spacing w:val="-3"/>
        </w:rPr>
        <w:t>100 </w:t>
      </w:r>
      <w:r>
        <w:rPr>
          <w:spacing w:val="-4"/>
        </w:rPr>
        <w:t>years Plant</w:t>
      </w:r>
      <w:r>
        <w:rPr>
          <w:spacing w:val="-18"/>
        </w:rPr>
        <w:t> </w:t>
      </w:r>
      <w:r>
        <w:rPr>
          <w:spacing w:val="-3"/>
        </w:rPr>
        <w:t>and</w:t>
      </w:r>
      <w:r>
        <w:rPr>
          <w:spacing w:val="-17"/>
        </w:rPr>
        <w:t> </w:t>
      </w:r>
      <w:r>
        <w:rPr>
          <w:spacing w:val="-4"/>
        </w:rPr>
        <w:t>equipment</w:t>
        <w:tab/>
      </w:r>
      <w:r>
        <w:rPr/>
        <w:t>10</w:t>
      </w:r>
      <w:r>
        <w:rPr>
          <w:spacing w:val="-20"/>
        </w:rPr>
        <w:t> </w:t>
      </w:r>
      <w:r>
        <w:rPr/>
        <w:t>to</w:t>
      </w:r>
      <w:r>
        <w:rPr>
          <w:spacing w:val="-20"/>
        </w:rPr>
        <w:t> </w:t>
      </w:r>
      <w:r>
        <w:rPr/>
        <w:t>15</w:t>
      </w:r>
      <w:r>
        <w:rPr>
          <w:spacing w:val="-20"/>
        </w:rPr>
        <w:t> </w:t>
      </w:r>
      <w:r>
        <w:rPr>
          <w:spacing w:val="-4"/>
        </w:rPr>
        <w:t>years Office</w:t>
      </w:r>
      <w:r>
        <w:rPr>
          <w:spacing w:val="-20"/>
        </w:rPr>
        <w:t> </w:t>
      </w:r>
      <w:r>
        <w:rPr>
          <w:spacing w:val="-4"/>
        </w:rPr>
        <w:t>equipment</w:t>
        <w:tab/>
      </w:r>
      <w:r>
        <w:rPr/>
        <w:t>5</w:t>
      </w:r>
      <w:r>
        <w:rPr>
          <w:spacing w:val="-9"/>
        </w:rPr>
        <w:t> </w:t>
      </w:r>
      <w:r>
        <w:rPr>
          <w:spacing w:val="-4"/>
        </w:rPr>
        <w:t>years</w:t>
      </w:r>
    </w:p>
    <w:p>
      <w:pPr>
        <w:pStyle w:val="BodyText"/>
        <w:tabs>
          <w:tab w:pos="3164" w:val="left" w:leader="none"/>
        </w:tabs>
        <w:spacing w:line="237" w:lineRule="exact"/>
        <w:ind w:left="745"/>
      </w:pPr>
      <w:r>
        <w:rPr>
          <w:spacing w:val="-4"/>
        </w:rPr>
        <w:t>Software</w:t>
      </w:r>
      <w:r>
        <w:rPr>
          <w:spacing w:val="-23"/>
        </w:rPr>
        <w:t> </w:t>
      </w:r>
      <w:r>
        <w:rPr>
          <w:position w:val="8"/>
          <w:sz w:val="10"/>
        </w:rPr>
        <w:t>(a)</w:t>
        <w:tab/>
      </w:r>
      <w:r>
        <w:rPr/>
        <w:t>3 to 10</w:t>
      </w:r>
      <w:r>
        <w:rPr>
          <w:spacing w:val="-25"/>
        </w:rPr>
        <w:t> </w:t>
      </w:r>
      <w:r>
        <w:rPr>
          <w:spacing w:val="-4"/>
        </w:rPr>
        <w:t>years</w:t>
      </w:r>
    </w:p>
    <w:p>
      <w:pPr>
        <w:pStyle w:val="BodyText"/>
        <w:tabs>
          <w:tab w:pos="3164" w:val="left" w:leader="none"/>
        </w:tabs>
        <w:spacing w:line="249" w:lineRule="auto" w:before="34"/>
        <w:ind w:left="3164" w:right="6" w:hanging="2420"/>
      </w:pPr>
      <w:r>
        <w:rPr>
          <w:spacing w:val="-4"/>
        </w:rPr>
        <w:t>Office</w:t>
      </w:r>
      <w:r>
        <w:rPr>
          <w:spacing w:val="-17"/>
        </w:rPr>
        <w:t> </w:t>
      </w:r>
      <w:r>
        <w:rPr>
          <w:spacing w:val="-3"/>
        </w:rPr>
        <w:t>fitout</w:t>
        <w:tab/>
      </w:r>
      <w:r>
        <w:rPr/>
        <w:t>3</w:t>
      </w:r>
      <w:r>
        <w:rPr>
          <w:spacing w:val="-22"/>
        </w:rPr>
        <w:t> </w:t>
      </w:r>
      <w:r>
        <w:rPr/>
        <w:t>to</w:t>
      </w:r>
      <w:r>
        <w:rPr>
          <w:spacing w:val="-22"/>
        </w:rPr>
        <w:t> </w:t>
      </w:r>
      <w:r>
        <w:rPr/>
        <w:t>25</w:t>
      </w:r>
      <w:r>
        <w:rPr>
          <w:spacing w:val="-22"/>
        </w:rPr>
        <w:t> </w:t>
      </w:r>
      <w:r>
        <w:rPr>
          <w:spacing w:val="-4"/>
        </w:rPr>
        <w:t>years</w:t>
      </w:r>
      <w:r>
        <w:rPr>
          <w:spacing w:val="-23"/>
        </w:rPr>
        <w:t> </w:t>
      </w:r>
      <w:r>
        <w:rPr/>
        <w:t>or</w:t>
      </w:r>
      <w:r>
        <w:rPr>
          <w:spacing w:val="-22"/>
        </w:rPr>
        <w:t> </w:t>
      </w:r>
      <w:r>
        <w:rPr>
          <w:spacing w:val="-5"/>
        </w:rPr>
        <w:t>remaining </w:t>
      </w:r>
      <w:r>
        <w:rPr>
          <w:spacing w:val="-4"/>
        </w:rPr>
        <w:t>lease term, whichever is lower</w:t>
      </w:r>
    </w:p>
    <w:p>
      <w:pPr>
        <w:pStyle w:val="BodyText"/>
        <w:tabs>
          <w:tab w:pos="3164" w:val="left" w:leader="none"/>
        </w:tabs>
        <w:spacing w:before="27"/>
        <w:ind w:left="745"/>
      </w:pPr>
      <w:r>
        <w:rPr>
          <w:spacing w:val="-4"/>
        </w:rPr>
        <w:t>Motor</w:t>
      </w:r>
      <w:r>
        <w:rPr>
          <w:spacing w:val="-19"/>
        </w:rPr>
        <w:t> </w:t>
      </w:r>
      <w:r>
        <w:rPr>
          <w:spacing w:val="-4"/>
        </w:rPr>
        <w:t>vehicles</w:t>
        <w:tab/>
      </w:r>
      <w:r>
        <w:rPr/>
        <w:t>6 </w:t>
      </w:r>
      <w:r>
        <w:rPr>
          <w:spacing w:val="-4"/>
        </w:rPr>
        <w:t>months </w:t>
      </w:r>
      <w:r>
        <w:rPr/>
        <w:t>to 5</w:t>
      </w:r>
      <w:r>
        <w:rPr>
          <w:spacing w:val="-34"/>
        </w:rPr>
        <w:t> </w:t>
      </w:r>
      <w:r>
        <w:rPr>
          <w:spacing w:val="-4"/>
        </w:rPr>
        <w:t>years</w:t>
      </w:r>
    </w:p>
    <w:p>
      <w:pPr>
        <w:pStyle w:val="BodyText"/>
        <w:rPr>
          <w:sz w:val="30"/>
        </w:rPr>
      </w:pPr>
    </w:p>
    <w:p>
      <w:pPr>
        <w:spacing w:before="0"/>
        <w:ind w:left="765" w:right="0" w:firstLine="0"/>
        <w:jc w:val="left"/>
        <w:rPr>
          <w:sz w:val="15"/>
        </w:rPr>
      </w:pPr>
      <w:r>
        <w:rPr>
          <w:sz w:val="15"/>
        </w:rPr>
        <w:t>(a) Software that is integral to the operation of related hardware.</w:t>
      </w:r>
    </w:p>
    <w:p>
      <w:pPr>
        <w:pStyle w:val="BodyText"/>
        <w:spacing w:before="62"/>
        <w:ind w:left="765"/>
      </w:pPr>
      <w:r>
        <w:rPr/>
        <w:t>Land is not depreciated.</w:t>
      </w:r>
    </w:p>
    <w:p>
      <w:pPr>
        <w:pStyle w:val="BodyText"/>
        <w:spacing w:before="10"/>
        <w:rPr>
          <w:sz w:val="23"/>
        </w:rPr>
      </w:pPr>
    </w:p>
    <w:p>
      <w:pPr>
        <w:pStyle w:val="Heading6"/>
      </w:pPr>
      <w:r>
        <w:rPr/>
        <w:t>(h) Intangible assets</w:t>
      </w:r>
    </w:p>
    <w:p>
      <w:pPr>
        <w:spacing w:before="11"/>
        <w:ind w:left="765" w:right="0" w:firstLine="0"/>
        <w:jc w:val="left"/>
        <w:rPr>
          <w:i/>
          <w:sz w:val="22"/>
        </w:rPr>
      </w:pPr>
      <w:r>
        <w:rPr>
          <w:i/>
          <w:color w:val="6F2770"/>
          <w:sz w:val="22"/>
        </w:rPr>
        <w:t>Capitalisation/expensing of assets</w:t>
      </w:r>
    </w:p>
    <w:p>
      <w:pPr>
        <w:pStyle w:val="BodyText"/>
        <w:spacing w:line="249" w:lineRule="auto" w:before="11"/>
        <w:ind w:left="765" w:right="86"/>
      </w:pPr>
      <w:r>
        <w:rPr/>
        <w:t>Acquisitions of intangible assets costing $5,000 or</w:t>
      </w:r>
      <w:r>
        <w:rPr>
          <w:spacing w:val="-29"/>
        </w:rPr>
        <w:t> </w:t>
      </w:r>
      <w:r>
        <w:rPr/>
        <w:t>more</w:t>
      </w:r>
      <w:r>
        <w:rPr>
          <w:spacing w:val="-28"/>
        </w:rPr>
        <w:t> </w:t>
      </w:r>
      <w:r>
        <w:rPr/>
        <w:t>and</w:t>
      </w:r>
      <w:r>
        <w:rPr>
          <w:spacing w:val="-29"/>
        </w:rPr>
        <w:t> </w:t>
      </w:r>
      <w:r>
        <w:rPr/>
        <w:t>internally</w:t>
      </w:r>
      <w:r>
        <w:rPr>
          <w:spacing w:val="-28"/>
        </w:rPr>
        <w:t> </w:t>
      </w:r>
      <w:r>
        <w:rPr/>
        <w:t>generated</w:t>
      </w:r>
      <w:r>
        <w:rPr>
          <w:spacing w:val="-29"/>
        </w:rPr>
        <w:t> </w:t>
      </w:r>
      <w:r>
        <w:rPr/>
        <w:t>intangible</w:t>
      </w:r>
      <w:r>
        <w:rPr>
          <w:spacing w:val="-28"/>
        </w:rPr>
        <w:t> </w:t>
      </w:r>
      <w:r>
        <w:rPr>
          <w:spacing w:val="-3"/>
        </w:rPr>
        <w:t>assets</w:t>
      </w:r>
    </w:p>
    <w:p>
      <w:pPr>
        <w:pStyle w:val="BodyText"/>
        <w:spacing w:before="5"/>
        <w:rPr>
          <w:sz w:val="23"/>
        </w:rPr>
      </w:pPr>
      <w:r>
        <w:rPr/>
        <w:br w:type="column"/>
      </w:r>
      <w:r>
        <w:rPr>
          <w:sz w:val="23"/>
        </w:rPr>
      </w:r>
    </w:p>
    <w:p>
      <w:pPr>
        <w:pStyle w:val="BodyText"/>
        <w:spacing w:line="249" w:lineRule="auto"/>
        <w:ind w:left="407" w:right="69"/>
      </w:pPr>
      <w:r>
        <w:rPr/>
        <w:t>costing</w:t>
      </w:r>
      <w:r>
        <w:rPr>
          <w:spacing w:val="-15"/>
        </w:rPr>
        <w:t> </w:t>
      </w:r>
      <w:r>
        <w:rPr/>
        <w:t>$50,000</w:t>
      </w:r>
      <w:r>
        <w:rPr>
          <w:spacing w:val="-15"/>
        </w:rPr>
        <w:t> </w:t>
      </w:r>
      <w:r>
        <w:rPr/>
        <w:t>or</w:t>
      </w:r>
      <w:r>
        <w:rPr>
          <w:spacing w:val="-14"/>
        </w:rPr>
        <w:t> </w:t>
      </w:r>
      <w:r>
        <w:rPr/>
        <w:t>more</w:t>
      </w:r>
      <w:r>
        <w:rPr>
          <w:spacing w:val="-15"/>
        </w:rPr>
        <w:t> </w:t>
      </w:r>
      <w:r>
        <w:rPr/>
        <w:t>are</w:t>
      </w:r>
      <w:r>
        <w:rPr>
          <w:spacing w:val="-15"/>
        </w:rPr>
        <w:t> </w:t>
      </w:r>
      <w:r>
        <w:rPr/>
        <w:t>capitalised.</w:t>
      </w:r>
      <w:r>
        <w:rPr>
          <w:spacing w:val="-14"/>
        </w:rPr>
        <w:t> </w:t>
      </w:r>
      <w:r>
        <w:rPr/>
        <w:t>The</w:t>
      </w:r>
      <w:r>
        <w:rPr>
          <w:spacing w:val="-15"/>
        </w:rPr>
        <w:t> </w:t>
      </w:r>
      <w:r>
        <w:rPr>
          <w:spacing w:val="-5"/>
        </w:rPr>
        <w:t>cost </w:t>
      </w:r>
      <w:r>
        <w:rPr/>
        <w:t>of utilising the assets is expensed (amortised) over</w:t>
      </w:r>
      <w:r>
        <w:rPr>
          <w:spacing w:val="-23"/>
        </w:rPr>
        <w:t> </w:t>
      </w:r>
      <w:r>
        <w:rPr/>
        <w:t>their</w:t>
      </w:r>
      <w:r>
        <w:rPr>
          <w:spacing w:val="-23"/>
        </w:rPr>
        <w:t> </w:t>
      </w:r>
      <w:r>
        <w:rPr/>
        <w:t>useful</w:t>
      </w:r>
      <w:r>
        <w:rPr>
          <w:spacing w:val="-23"/>
        </w:rPr>
        <w:t> </w:t>
      </w:r>
      <w:r>
        <w:rPr/>
        <w:t>lives.</w:t>
      </w:r>
      <w:r>
        <w:rPr>
          <w:spacing w:val="-23"/>
        </w:rPr>
        <w:t> </w:t>
      </w:r>
      <w:r>
        <w:rPr/>
        <w:t>Costs</w:t>
      </w:r>
      <w:r>
        <w:rPr>
          <w:spacing w:val="-23"/>
        </w:rPr>
        <w:t> </w:t>
      </w:r>
      <w:r>
        <w:rPr/>
        <w:t>incurred</w:t>
      </w:r>
      <w:r>
        <w:rPr>
          <w:spacing w:val="-22"/>
        </w:rPr>
        <w:t> </w:t>
      </w:r>
      <w:r>
        <w:rPr/>
        <w:t>below</w:t>
      </w:r>
      <w:r>
        <w:rPr>
          <w:spacing w:val="-23"/>
        </w:rPr>
        <w:t> </w:t>
      </w:r>
      <w:r>
        <w:rPr/>
        <w:t>these thresholds are immediately expensed directly to the Statement of Comprehensive</w:t>
      </w:r>
      <w:r>
        <w:rPr>
          <w:spacing w:val="-29"/>
        </w:rPr>
        <w:t> </w:t>
      </w:r>
      <w:r>
        <w:rPr/>
        <w:t>Income.</w:t>
      </w:r>
    </w:p>
    <w:p>
      <w:pPr>
        <w:pStyle w:val="BodyText"/>
        <w:spacing w:before="4"/>
        <w:rPr>
          <w:sz w:val="23"/>
        </w:rPr>
      </w:pPr>
    </w:p>
    <w:p>
      <w:pPr>
        <w:pStyle w:val="BodyText"/>
        <w:spacing w:line="249" w:lineRule="auto"/>
        <w:ind w:left="407" w:right="-5"/>
      </w:pPr>
      <w:r>
        <w:rPr/>
        <w:t>Intangible assets are initially recognised at cost. For</w:t>
      </w:r>
      <w:r>
        <w:rPr>
          <w:spacing w:val="-13"/>
        </w:rPr>
        <w:t> </w:t>
      </w:r>
      <w:r>
        <w:rPr/>
        <w:t>assets</w:t>
      </w:r>
      <w:r>
        <w:rPr>
          <w:spacing w:val="-12"/>
        </w:rPr>
        <w:t> </w:t>
      </w:r>
      <w:r>
        <w:rPr/>
        <w:t>acquired</w:t>
      </w:r>
      <w:r>
        <w:rPr>
          <w:spacing w:val="-13"/>
        </w:rPr>
        <w:t> </w:t>
      </w:r>
      <w:r>
        <w:rPr/>
        <w:t>at</w:t>
      </w:r>
      <w:r>
        <w:rPr>
          <w:spacing w:val="-12"/>
        </w:rPr>
        <w:t> </w:t>
      </w:r>
      <w:r>
        <w:rPr/>
        <w:t>no</w:t>
      </w:r>
      <w:r>
        <w:rPr>
          <w:spacing w:val="-12"/>
        </w:rPr>
        <w:t> </w:t>
      </w:r>
      <w:r>
        <w:rPr/>
        <w:t>cost</w:t>
      </w:r>
      <w:r>
        <w:rPr>
          <w:spacing w:val="-13"/>
        </w:rPr>
        <w:t> </w:t>
      </w:r>
      <w:r>
        <w:rPr/>
        <w:t>or</w:t>
      </w:r>
      <w:r>
        <w:rPr>
          <w:spacing w:val="-12"/>
        </w:rPr>
        <w:t> </w:t>
      </w:r>
      <w:r>
        <w:rPr/>
        <w:t>for</w:t>
      </w:r>
      <w:r>
        <w:rPr>
          <w:spacing w:val="-12"/>
        </w:rPr>
        <w:t> </w:t>
      </w:r>
      <w:r>
        <w:rPr/>
        <w:t>nominal</w:t>
      </w:r>
      <w:r>
        <w:rPr>
          <w:spacing w:val="-13"/>
        </w:rPr>
        <w:t> </w:t>
      </w:r>
      <w:r>
        <w:rPr/>
        <w:t>cost, the</w:t>
      </w:r>
      <w:r>
        <w:rPr>
          <w:spacing w:val="-15"/>
        </w:rPr>
        <w:t> </w:t>
      </w:r>
      <w:r>
        <w:rPr/>
        <w:t>cost</w:t>
      </w:r>
      <w:r>
        <w:rPr>
          <w:spacing w:val="-15"/>
        </w:rPr>
        <w:t> </w:t>
      </w:r>
      <w:r>
        <w:rPr/>
        <w:t>is</w:t>
      </w:r>
      <w:r>
        <w:rPr>
          <w:spacing w:val="-15"/>
        </w:rPr>
        <w:t> </w:t>
      </w:r>
      <w:r>
        <w:rPr/>
        <w:t>their</w:t>
      </w:r>
      <w:r>
        <w:rPr>
          <w:spacing w:val="-14"/>
        </w:rPr>
        <w:t> </w:t>
      </w:r>
      <w:r>
        <w:rPr/>
        <w:t>fair</w:t>
      </w:r>
      <w:r>
        <w:rPr>
          <w:spacing w:val="-15"/>
        </w:rPr>
        <w:t> </w:t>
      </w:r>
      <w:r>
        <w:rPr/>
        <w:t>value</w:t>
      </w:r>
      <w:r>
        <w:rPr>
          <w:spacing w:val="-15"/>
        </w:rPr>
        <w:t> </w:t>
      </w:r>
      <w:r>
        <w:rPr/>
        <w:t>at</w:t>
      </w:r>
      <w:r>
        <w:rPr>
          <w:spacing w:val="-14"/>
        </w:rPr>
        <w:t> </w:t>
      </w:r>
      <w:r>
        <w:rPr/>
        <w:t>the</w:t>
      </w:r>
      <w:r>
        <w:rPr>
          <w:spacing w:val="-15"/>
        </w:rPr>
        <w:t> </w:t>
      </w:r>
      <w:r>
        <w:rPr/>
        <w:t>date</w:t>
      </w:r>
      <w:r>
        <w:rPr>
          <w:spacing w:val="-15"/>
        </w:rPr>
        <w:t> </w:t>
      </w:r>
      <w:r>
        <w:rPr/>
        <w:t>of</w:t>
      </w:r>
      <w:r>
        <w:rPr>
          <w:spacing w:val="-14"/>
        </w:rPr>
        <w:t> </w:t>
      </w:r>
      <w:r>
        <w:rPr>
          <w:spacing w:val="-2"/>
        </w:rPr>
        <w:t>acquisition.</w:t>
      </w:r>
    </w:p>
    <w:p>
      <w:pPr>
        <w:pStyle w:val="BodyText"/>
        <w:spacing w:before="2"/>
        <w:rPr>
          <w:sz w:val="23"/>
        </w:rPr>
      </w:pPr>
    </w:p>
    <w:p>
      <w:pPr>
        <w:pStyle w:val="BodyText"/>
        <w:spacing w:line="249" w:lineRule="auto"/>
        <w:ind w:left="407" w:right="379"/>
      </w:pPr>
      <w:r>
        <w:rPr/>
        <w:t>The cost model is applied for subsequent measurement</w:t>
      </w:r>
      <w:r>
        <w:rPr>
          <w:spacing w:val="-22"/>
        </w:rPr>
        <w:t> </w:t>
      </w:r>
      <w:r>
        <w:rPr/>
        <w:t>requiring</w:t>
      </w:r>
      <w:r>
        <w:rPr>
          <w:spacing w:val="-21"/>
        </w:rPr>
        <w:t> </w:t>
      </w:r>
      <w:r>
        <w:rPr/>
        <w:t>the</w:t>
      </w:r>
      <w:r>
        <w:rPr>
          <w:spacing w:val="-22"/>
        </w:rPr>
        <w:t> </w:t>
      </w:r>
      <w:r>
        <w:rPr/>
        <w:t>asset</w:t>
      </w:r>
      <w:r>
        <w:rPr>
          <w:spacing w:val="-21"/>
        </w:rPr>
        <w:t> </w:t>
      </w:r>
      <w:r>
        <w:rPr/>
        <w:t>to</w:t>
      </w:r>
      <w:r>
        <w:rPr>
          <w:spacing w:val="-22"/>
        </w:rPr>
        <w:t> </w:t>
      </w:r>
      <w:r>
        <w:rPr/>
        <w:t>be</w:t>
      </w:r>
      <w:r>
        <w:rPr>
          <w:spacing w:val="-21"/>
        </w:rPr>
        <w:t> </w:t>
      </w:r>
      <w:r>
        <w:rPr/>
        <w:t>carried at</w:t>
      </w:r>
      <w:r>
        <w:rPr>
          <w:spacing w:val="-19"/>
        </w:rPr>
        <w:t> </w:t>
      </w:r>
      <w:r>
        <w:rPr/>
        <w:t>cost</w:t>
      </w:r>
      <w:r>
        <w:rPr>
          <w:spacing w:val="-18"/>
        </w:rPr>
        <w:t> </w:t>
      </w:r>
      <w:r>
        <w:rPr/>
        <w:t>less</w:t>
      </w:r>
      <w:r>
        <w:rPr>
          <w:spacing w:val="-18"/>
        </w:rPr>
        <w:t> </w:t>
      </w:r>
      <w:r>
        <w:rPr/>
        <w:t>any</w:t>
      </w:r>
      <w:r>
        <w:rPr>
          <w:spacing w:val="-18"/>
        </w:rPr>
        <w:t> </w:t>
      </w:r>
      <w:r>
        <w:rPr/>
        <w:t>accumulated</w:t>
      </w:r>
      <w:r>
        <w:rPr>
          <w:spacing w:val="-18"/>
        </w:rPr>
        <w:t> </w:t>
      </w:r>
      <w:r>
        <w:rPr/>
        <w:t>amortisation</w:t>
      </w:r>
      <w:r>
        <w:rPr>
          <w:spacing w:val="-18"/>
        </w:rPr>
        <w:t> </w:t>
      </w:r>
      <w:r>
        <w:rPr>
          <w:spacing w:val="-6"/>
        </w:rPr>
        <w:t>and </w:t>
      </w:r>
      <w:r>
        <w:rPr/>
        <w:t>accumulated impairment</w:t>
      </w:r>
      <w:r>
        <w:rPr>
          <w:spacing w:val="-8"/>
        </w:rPr>
        <w:t> </w:t>
      </w:r>
      <w:r>
        <w:rPr/>
        <w:t>losses.</w:t>
      </w:r>
    </w:p>
    <w:p>
      <w:pPr>
        <w:pStyle w:val="BodyText"/>
        <w:spacing w:before="3"/>
        <w:rPr>
          <w:sz w:val="23"/>
        </w:rPr>
      </w:pPr>
    </w:p>
    <w:p>
      <w:pPr>
        <w:pStyle w:val="BodyText"/>
        <w:spacing w:line="249" w:lineRule="auto"/>
        <w:ind w:left="407" w:right="83"/>
      </w:pPr>
      <w:r>
        <w:rPr/>
        <w:t>Amortisation</w:t>
      </w:r>
      <w:r>
        <w:rPr>
          <w:spacing w:val="-28"/>
        </w:rPr>
        <w:t> </w:t>
      </w:r>
      <w:r>
        <w:rPr/>
        <w:t>for</w:t>
      </w:r>
      <w:r>
        <w:rPr>
          <w:spacing w:val="-28"/>
        </w:rPr>
        <w:t> </w:t>
      </w:r>
      <w:r>
        <w:rPr/>
        <w:t>intangible</w:t>
      </w:r>
      <w:r>
        <w:rPr>
          <w:spacing w:val="-28"/>
        </w:rPr>
        <w:t> </w:t>
      </w:r>
      <w:r>
        <w:rPr/>
        <w:t>assets</w:t>
      </w:r>
      <w:r>
        <w:rPr>
          <w:spacing w:val="-28"/>
        </w:rPr>
        <w:t> </w:t>
      </w:r>
      <w:r>
        <w:rPr/>
        <w:t>with</w:t>
      </w:r>
      <w:r>
        <w:rPr>
          <w:spacing w:val="-28"/>
        </w:rPr>
        <w:t> </w:t>
      </w:r>
      <w:r>
        <w:rPr/>
        <w:t>finite</w:t>
      </w:r>
      <w:r>
        <w:rPr>
          <w:spacing w:val="-27"/>
        </w:rPr>
        <w:t> </w:t>
      </w:r>
      <w:r>
        <w:rPr>
          <w:spacing w:val="-3"/>
        </w:rPr>
        <w:t>useful </w:t>
      </w:r>
      <w:r>
        <w:rPr/>
        <w:t>lives is calculated for the period of the expected benefit (estimated useful life which is reviewed annually)</w:t>
      </w:r>
      <w:r>
        <w:rPr>
          <w:spacing w:val="-22"/>
        </w:rPr>
        <w:t> </w:t>
      </w:r>
      <w:r>
        <w:rPr/>
        <w:t>on</w:t>
      </w:r>
      <w:r>
        <w:rPr>
          <w:spacing w:val="-21"/>
        </w:rPr>
        <w:t> </w:t>
      </w:r>
      <w:r>
        <w:rPr/>
        <w:t>the</w:t>
      </w:r>
      <w:r>
        <w:rPr>
          <w:spacing w:val="-21"/>
        </w:rPr>
        <w:t> </w:t>
      </w:r>
      <w:r>
        <w:rPr/>
        <w:t>straight</w:t>
      </w:r>
      <w:r>
        <w:rPr>
          <w:spacing w:val="-21"/>
        </w:rPr>
        <w:t> </w:t>
      </w:r>
      <w:r>
        <w:rPr/>
        <w:t>line</w:t>
      </w:r>
      <w:r>
        <w:rPr>
          <w:spacing w:val="-21"/>
        </w:rPr>
        <w:t> </w:t>
      </w:r>
      <w:r>
        <w:rPr/>
        <w:t>basis.</w:t>
      </w:r>
      <w:r>
        <w:rPr>
          <w:spacing w:val="-21"/>
        </w:rPr>
        <w:t> </w:t>
      </w:r>
      <w:r>
        <w:rPr/>
        <w:t>All</w:t>
      </w:r>
      <w:r>
        <w:rPr>
          <w:spacing w:val="-21"/>
        </w:rPr>
        <w:t> </w:t>
      </w:r>
      <w:r>
        <w:rPr/>
        <w:t>intangible assets</w:t>
      </w:r>
      <w:r>
        <w:rPr>
          <w:spacing w:val="-19"/>
        </w:rPr>
        <w:t> </w:t>
      </w:r>
      <w:r>
        <w:rPr/>
        <w:t>controlled</w:t>
      </w:r>
      <w:r>
        <w:rPr>
          <w:spacing w:val="-19"/>
        </w:rPr>
        <w:t> </w:t>
      </w:r>
      <w:r>
        <w:rPr/>
        <w:t>by</w:t>
      </w:r>
      <w:r>
        <w:rPr>
          <w:spacing w:val="-19"/>
        </w:rPr>
        <w:t> </w:t>
      </w:r>
      <w:r>
        <w:rPr/>
        <w:t>the</w:t>
      </w:r>
      <w:r>
        <w:rPr>
          <w:spacing w:val="-19"/>
        </w:rPr>
        <w:t> </w:t>
      </w:r>
      <w:r>
        <w:rPr/>
        <w:t>Department</w:t>
      </w:r>
      <w:r>
        <w:rPr>
          <w:spacing w:val="-19"/>
        </w:rPr>
        <w:t> </w:t>
      </w:r>
      <w:r>
        <w:rPr/>
        <w:t>have</w:t>
      </w:r>
      <w:r>
        <w:rPr>
          <w:spacing w:val="-19"/>
        </w:rPr>
        <w:t> </w:t>
      </w:r>
      <w:r>
        <w:rPr/>
        <w:t>a</w:t>
      </w:r>
      <w:r>
        <w:rPr>
          <w:spacing w:val="-18"/>
        </w:rPr>
        <w:t> </w:t>
      </w:r>
      <w:r>
        <w:rPr/>
        <w:t>finite useful life and zero residual</w:t>
      </w:r>
      <w:r>
        <w:rPr>
          <w:spacing w:val="-30"/>
        </w:rPr>
        <w:t> </w:t>
      </w:r>
      <w:r>
        <w:rPr/>
        <w:t>value.</w:t>
      </w:r>
    </w:p>
    <w:p>
      <w:pPr>
        <w:pStyle w:val="BodyText"/>
        <w:spacing w:before="5"/>
        <w:rPr>
          <w:sz w:val="23"/>
        </w:rPr>
      </w:pPr>
    </w:p>
    <w:p>
      <w:pPr>
        <w:pStyle w:val="BodyText"/>
        <w:spacing w:line="249" w:lineRule="auto"/>
        <w:ind w:left="407" w:right="785"/>
      </w:pPr>
      <w:r>
        <w:rPr/>
        <w:t>The</w:t>
      </w:r>
      <w:r>
        <w:rPr>
          <w:spacing w:val="-22"/>
        </w:rPr>
        <w:t> </w:t>
      </w:r>
      <w:r>
        <w:rPr/>
        <w:t>expected</w:t>
      </w:r>
      <w:r>
        <w:rPr>
          <w:spacing w:val="-21"/>
        </w:rPr>
        <w:t> </w:t>
      </w:r>
      <w:r>
        <w:rPr/>
        <w:t>useful</w:t>
      </w:r>
      <w:r>
        <w:rPr>
          <w:spacing w:val="-21"/>
        </w:rPr>
        <w:t> </w:t>
      </w:r>
      <w:r>
        <w:rPr/>
        <w:t>lives</w:t>
      </w:r>
      <w:r>
        <w:rPr>
          <w:spacing w:val="-21"/>
        </w:rPr>
        <w:t> </w:t>
      </w:r>
      <w:r>
        <w:rPr/>
        <w:t>for</w:t>
      </w:r>
      <w:r>
        <w:rPr>
          <w:spacing w:val="-21"/>
        </w:rPr>
        <w:t> </w:t>
      </w:r>
      <w:r>
        <w:rPr/>
        <w:t>each</w:t>
      </w:r>
      <w:r>
        <w:rPr>
          <w:spacing w:val="-21"/>
        </w:rPr>
        <w:t> </w:t>
      </w:r>
      <w:r>
        <w:rPr/>
        <w:t>class</w:t>
      </w:r>
      <w:r>
        <w:rPr>
          <w:spacing w:val="-21"/>
        </w:rPr>
        <w:t> </w:t>
      </w:r>
      <w:r>
        <w:rPr>
          <w:spacing w:val="-9"/>
        </w:rPr>
        <w:t>of </w:t>
      </w:r>
      <w:r>
        <w:rPr/>
        <w:t>intangible asset</w:t>
      </w:r>
      <w:r>
        <w:rPr>
          <w:spacing w:val="-5"/>
        </w:rPr>
        <w:t> </w:t>
      </w:r>
      <w:r>
        <w:rPr/>
        <w:t>are:</w:t>
      </w:r>
    </w:p>
    <w:p>
      <w:pPr>
        <w:pStyle w:val="BodyText"/>
        <w:rPr>
          <w:sz w:val="23"/>
        </w:rPr>
      </w:pPr>
    </w:p>
    <w:p>
      <w:pPr>
        <w:pStyle w:val="BodyText"/>
        <w:tabs>
          <w:tab w:pos="2827" w:val="left" w:leader="none"/>
        </w:tabs>
        <w:ind w:left="407"/>
      </w:pPr>
      <w:r>
        <w:rPr>
          <w:spacing w:val="-4"/>
        </w:rPr>
        <w:t>Licences</w:t>
        <w:tab/>
      </w:r>
      <w:r>
        <w:rPr/>
        <w:t>up to 10</w:t>
      </w:r>
      <w:r>
        <w:rPr>
          <w:spacing w:val="-27"/>
        </w:rPr>
        <w:t> </w:t>
      </w:r>
      <w:r>
        <w:rPr>
          <w:spacing w:val="-4"/>
        </w:rPr>
        <w:t>years</w:t>
      </w:r>
    </w:p>
    <w:p>
      <w:pPr>
        <w:pStyle w:val="BodyText"/>
        <w:tabs>
          <w:tab w:pos="2827" w:val="left" w:leader="none"/>
        </w:tabs>
        <w:spacing w:before="35"/>
        <w:ind w:left="407"/>
      </w:pPr>
      <w:r>
        <w:rPr>
          <w:spacing w:val="-4"/>
        </w:rPr>
        <w:t>Software</w:t>
      </w:r>
      <w:r>
        <w:rPr>
          <w:spacing w:val="-23"/>
        </w:rPr>
        <w:t> </w:t>
      </w:r>
      <w:r>
        <w:rPr>
          <w:position w:val="8"/>
          <w:sz w:val="10"/>
        </w:rPr>
        <w:t>(a)</w:t>
        <w:tab/>
      </w:r>
      <w:r>
        <w:rPr/>
        <w:t>3 to 13</w:t>
      </w:r>
      <w:r>
        <w:rPr>
          <w:spacing w:val="-25"/>
        </w:rPr>
        <w:t> </w:t>
      </w:r>
      <w:r>
        <w:rPr>
          <w:spacing w:val="-4"/>
        </w:rPr>
        <w:t>years</w:t>
      </w:r>
    </w:p>
    <w:p>
      <w:pPr>
        <w:pStyle w:val="BodyText"/>
        <w:spacing w:before="8"/>
        <w:rPr>
          <w:sz w:val="27"/>
        </w:rPr>
      </w:pPr>
    </w:p>
    <w:p>
      <w:pPr>
        <w:spacing w:before="0"/>
        <w:ind w:left="407" w:right="0" w:firstLine="0"/>
        <w:jc w:val="left"/>
        <w:rPr>
          <w:sz w:val="15"/>
        </w:rPr>
      </w:pPr>
      <w:r>
        <w:rPr>
          <w:sz w:val="15"/>
        </w:rPr>
        <w:t>(a)</w:t>
      </w:r>
      <w:r>
        <w:rPr>
          <w:spacing w:val="-11"/>
          <w:sz w:val="15"/>
        </w:rPr>
        <w:t> </w:t>
      </w:r>
      <w:r>
        <w:rPr>
          <w:sz w:val="15"/>
        </w:rPr>
        <w:t>Software</w:t>
      </w:r>
      <w:r>
        <w:rPr>
          <w:spacing w:val="-11"/>
          <w:sz w:val="15"/>
        </w:rPr>
        <w:t> </w:t>
      </w:r>
      <w:r>
        <w:rPr>
          <w:sz w:val="15"/>
        </w:rPr>
        <w:t>that</w:t>
      </w:r>
      <w:r>
        <w:rPr>
          <w:spacing w:val="-11"/>
          <w:sz w:val="15"/>
        </w:rPr>
        <w:t> </w:t>
      </w:r>
      <w:r>
        <w:rPr>
          <w:sz w:val="15"/>
        </w:rPr>
        <w:t>is</w:t>
      </w:r>
      <w:r>
        <w:rPr>
          <w:spacing w:val="-11"/>
          <w:sz w:val="15"/>
        </w:rPr>
        <w:t> </w:t>
      </w:r>
      <w:r>
        <w:rPr>
          <w:sz w:val="15"/>
        </w:rPr>
        <w:t>not</w:t>
      </w:r>
      <w:r>
        <w:rPr>
          <w:spacing w:val="-10"/>
          <w:sz w:val="15"/>
        </w:rPr>
        <w:t> </w:t>
      </w:r>
      <w:r>
        <w:rPr>
          <w:sz w:val="15"/>
        </w:rPr>
        <w:t>integral</w:t>
      </w:r>
      <w:r>
        <w:rPr>
          <w:spacing w:val="-11"/>
          <w:sz w:val="15"/>
        </w:rPr>
        <w:t> </w:t>
      </w:r>
      <w:r>
        <w:rPr>
          <w:sz w:val="15"/>
        </w:rPr>
        <w:t>to</w:t>
      </w:r>
      <w:r>
        <w:rPr>
          <w:spacing w:val="-11"/>
          <w:sz w:val="15"/>
        </w:rPr>
        <w:t> </w:t>
      </w:r>
      <w:r>
        <w:rPr>
          <w:sz w:val="15"/>
        </w:rPr>
        <w:t>the</w:t>
      </w:r>
      <w:r>
        <w:rPr>
          <w:spacing w:val="-11"/>
          <w:sz w:val="15"/>
        </w:rPr>
        <w:t> </w:t>
      </w:r>
      <w:r>
        <w:rPr>
          <w:sz w:val="15"/>
        </w:rPr>
        <w:t>operation</w:t>
      </w:r>
      <w:r>
        <w:rPr>
          <w:spacing w:val="-11"/>
          <w:sz w:val="15"/>
        </w:rPr>
        <w:t> </w:t>
      </w:r>
      <w:r>
        <w:rPr>
          <w:sz w:val="15"/>
        </w:rPr>
        <w:t>of</w:t>
      </w:r>
      <w:r>
        <w:rPr>
          <w:spacing w:val="-10"/>
          <w:sz w:val="15"/>
        </w:rPr>
        <w:t> </w:t>
      </w:r>
      <w:r>
        <w:rPr>
          <w:sz w:val="15"/>
        </w:rPr>
        <w:t>any</w:t>
      </w:r>
      <w:r>
        <w:rPr>
          <w:spacing w:val="-11"/>
          <w:sz w:val="15"/>
        </w:rPr>
        <w:t> </w:t>
      </w:r>
      <w:r>
        <w:rPr>
          <w:sz w:val="15"/>
        </w:rPr>
        <w:t>related</w:t>
      </w:r>
      <w:r>
        <w:rPr>
          <w:spacing w:val="-11"/>
          <w:sz w:val="15"/>
        </w:rPr>
        <w:t> </w:t>
      </w:r>
      <w:r>
        <w:rPr>
          <w:sz w:val="15"/>
        </w:rPr>
        <w:t>hardware.</w:t>
      </w:r>
    </w:p>
    <w:p>
      <w:pPr>
        <w:pStyle w:val="BodyText"/>
        <w:spacing w:before="5"/>
        <w:rPr>
          <w:sz w:val="23"/>
        </w:rPr>
      </w:pPr>
      <w:r>
        <w:rPr/>
        <w:br w:type="column"/>
      </w:r>
      <w:r>
        <w:rPr>
          <w:sz w:val="23"/>
        </w:rPr>
      </w:r>
    </w:p>
    <w:p>
      <w:pPr>
        <w:spacing w:before="0"/>
        <w:ind w:left="420" w:right="0" w:firstLine="0"/>
        <w:jc w:val="left"/>
        <w:rPr>
          <w:i/>
          <w:sz w:val="22"/>
        </w:rPr>
      </w:pPr>
      <w:r>
        <w:rPr>
          <w:i/>
          <w:color w:val="6F2770"/>
          <w:sz w:val="22"/>
        </w:rPr>
        <w:t>Licences</w:t>
      </w:r>
    </w:p>
    <w:p>
      <w:pPr>
        <w:pStyle w:val="BodyText"/>
        <w:spacing w:line="249" w:lineRule="auto" w:before="11"/>
        <w:ind w:left="420" w:right="1141"/>
      </w:pPr>
      <w:r>
        <w:rPr/>
        <w:t>Licences</w:t>
      </w:r>
      <w:r>
        <w:rPr>
          <w:spacing w:val="-26"/>
        </w:rPr>
        <w:t> </w:t>
      </w:r>
      <w:r>
        <w:rPr/>
        <w:t>have</w:t>
      </w:r>
      <w:r>
        <w:rPr>
          <w:spacing w:val="-25"/>
        </w:rPr>
        <w:t> </w:t>
      </w:r>
      <w:r>
        <w:rPr/>
        <w:t>a</w:t>
      </w:r>
      <w:r>
        <w:rPr>
          <w:spacing w:val="-25"/>
        </w:rPr>
        <w:t> </w:t>
      </w:r>
      <w:r>
        <w:rPr/>
        <w:t>finite</w:t>
      </w:r>
      <w:r>
        <w:rPr>
          <w:spacing w:val="-25"/>
        </w:rPr>
        <w:t> </w:t>
      </w:r>
      <w:r>
        <w:rPr/>
        <w:t>useful</w:t>
      </w:r>
      <w:r>
        <w:rPr>
          <w:spacing w:val="-25"/>
        </w:rPr>
        <w:t> </w:t>
      </w:r>
      <w:r>
        <w:rPr/>
        <w:t>life</w:t>
      </w:r>
      <w:r>
        <w:rPr>
          <w:spacing w:val="-25"/>
        </w:rPr>
        <w:t> </w:t>
      </w:r>
      <w:r>
        <w:rPr/>
        <w:t>and</w:t>
      </w:r>
      <w:r>
        <w:rPr>
          <w:spacing w:val="-25"/>
        </w:rPr>
        <w:t> </w:t>
      </w:r>
      <w:r>
        <w:rPr/>
        <w:t>are</w:t>
      </w:r>
      <w:r>
        <w:rPr>
          <w:spacing w:val="-25"/>
        </w:rPr>
        <w:t> </w:t>
      </w:r>
      <w:r>
        <w:rPr>
          <w:spacing w:val="-3"/>
        </w:rPr>
        <w:t>carried </w:t>
      </w:r>
      <w:r>
        <w:rPr/>
        <w:t>at cost less accumulated amortisation and accumulated impairment</w:t>
      </w:r>
      <w:r>
        <w:rPr>
          <w:spacing w:val="-8"/>
        </w:rPr>
        <w:t> </w:t>
      </w:r>
      <w:r>
        <w:rPr/>
        <w:t>losses.</w:t>
      </w:r>
    </w:p>
    <w:p>
      <w:pPr>
        <w:pStyle w:val="BodyText"/>
        <w:spacing w:before="2"/>
        <w:rPr>
          <w:sz w:val="23"/>
        </w:rPr>
      </w:pPr>
    </w:p>
    <w:p>
      <w:pPr>
        <w:spacing w:before="0"/>
        <w:ind w:left="420" w:right="0" w:firstLine="0"/>
        <w:jc w:val="left"/>
        <w:rPr>
          <w:i/>
          <w:sz w:val="22"/>
        </w:rPr>
      </w:pPr>
      <w:r>
        <w:rPr>
          <w:i/>
          <w:color w:val="6F2770"/>
          <w:sz w:val="22"/>
        </w:rPr>
        <w:t>Computer software</w:t>
      </w:r>
    </w:p>
    <w:p>
      <w:pPr>
        <w:pStyle w:val="BodyText"/>
        <w:spacing w:line="249" w:lineRule="auto" w:before="11"/>
        <w:ind w:left="420" w:right="785"/>
      </w:pPr>
      <w:r>
        <w:rPr/>
        <w:t>Software that is an integral part of the related hardware is recognised as </w:t>
      </w:r>
      <w:r>
        <w:rPr>
          <w:spacing w:val="-3"/>
        </w:rPr>
        <w:t>property, </w:t>
      </w:r>
      <w:r>
        <w:rPr/>
        <w:t>plant and equipment.</w:t>
      </w:r>
      <w:r>
        <w:rPr>
          <w:spacing w:val="-13"/>
        </w:rPr>
        <w:t> </w:t>
      </w:r>
      <w:r>
        <w:rPr/>
        <w:t>Software</w:t>
      </w:r>
      <w:r>
        <w:rPr>
          <w:spacing w:val="-13"/>
        </w:rPr>
        <w:t> </w:t>
      </w:r>
      <w:r>
        <w:rPr/>
        <w:t>that</w:t>
      </w:r>
      <w:r>
        <w:rPr>
          <w:spacing w:val="-12"/>
        </w:rPr>
        <w:t> </w:t>
      </w:r>
      <w:r>
        <w:rPr/>
        <w:t>is</w:t>
      </w:r>
      <w:r>
        <w:rPr>
          <w:spacing w:val="-13"/>
        </w:rPr>
        <w:t> </w:t>
      </w:r>
      <w:r>
        <w:rPr/>
        <w:t>not</w:t>
      </w:r>
      <w:r>
        <w:rPr>
          <w:spacing w:val="-13"/>
        </w:rPr>
        <w:t> </w:t>
      </w:r>
      <w:r>
        <w:rPr/>
        <w:t>an</w:t>
      </w:r>
      <w:r>
        <w:rPr>
          <w:spacing w:val="-12"/>
        </w:rPr>
        <w:t> </w:t>
      </w:r>
      <w:r>
        <w:rPr/>
        <w:t>integral</w:t>
      </w:r>
      <w:r>
        <w:rPr>
          <w:spacing w:val="-13"/>
        </w:rPr>
        <w:t> </w:t>
      </w:r>
      <w:r>
        <w:rPr/>
        <w:t>part</w:t>
      </w:r>
      <w:r>
        <w:rPr>
          <w:spacing w:val="-13"/>
        </w:rPr>
        <w:t> </w:t>
      </w:r>
      <w:r>
        <w:rPr/>
        <w:t>of the</w:t>
      </w:r>
      <w:r>
        <w:rPr>
          <w:spacing w:val="-28"/>
        </w:rPr>
        <w:t> </w:t>
      </w:r>
      <w:r>
        <w:rPr/>
        <w:t>related</w:t>
      </w:r>
      <w:r>
        <w:rPr>
          <w:spacing w:val="-28"/>
        </w:rPr>
        <w:t> </w:t>
      </w:r>
      <w:r>
        <w:rPr/>
        <w:t>hardware</w:t>
      </w:r>
      <w:r>
        <w:rPr>
          <w:spacing w:val="-28"/>
        </w:rPr>
        <w:t> </w:t>
      </w:r>
      <w:r>
        <w:rPr/>
        <w:t>is</w:t>
      </w:r>
      <w:r>
        <w:rPr>
          <w:spacing w:val="-28"/>
        </w:rPr>
        <w:t> </w:t>
      </w:r>
      <w:r>
        <w:rPr/>
        <w:t>recognised</w:t>
      </w:r>
      <w:r>
        <w:rPr>
          <w:spacing w:val="-28"/>
        </w:rPr>
        <w:t> </w:t>
      </w:r>
      <w:r>
        <w:rPr/>
        <w:t>as</w:t>
      </w:r>
      <w:r>
        <w:rPr>
          <w:spacing w:val="-28"/>
        </w:rPr>
        <w:t> </w:t>
      </w:r>
      <w:r>
        <w:rPr/>
        <w:t>an</w:t>
      </w:r>
      <w:r>
        <w:rPr>
          <w:spacing w:val="-28"/>
        </w:rPr>
        <w:t> </w:t>
      </w:r>
      <w:r>
        <w:rPr/>
        <w:t>intangible asset. Software costing less than $5,000 is expensed in the year of</w:t>
      </w:r>
      <w:r>
        <w:rPr>
          <w:spacing w:val="-21"/>
        </w:rPr>
        <w:t> </w:t>
      </w:r>
      <w:r>
        <w:rPr/>
        <w:t>acquisition.</w:t>
      </w:r>
    </w:p>
    <w:p>
      <w:pPr>
        <w:pStyle w:val="BodyText"/>
        <w:spacing w:before="5"/>
        <w:rPr>
          <w:sz w:val="23"/>
        </w:rPr>
      </w:pPr>
    </w:p>
    <w:p>
      <w:pPr>
        <w:pStyle w:val="Heading6"/>
        <w:ind w:left="420"/>
      </w:pPr>
      <w:r>
        <w:rPr/>
        <w:t>(i) Impairment of assets</w:t>
      </w:r>
    </w:p>
    <w:p>
      <w:pPr>
        <w:pStyle w:val="BodyText"/>
        <w:spacing w:line="249" w:lineRule="auto" w:before="11"/>
        <w:ind w:left="420" w:right="935"/>
      </w:pPr>
      <w:r>
        <w:rPr>
          <w:spacing w:val="-3"/>
        </w:rPr>
        <w:t>Property, </w:t>
      </w:r>
      <w:r>
        <w:rPr/>
        <w:t>plant and equipment, and intangible assets</w:t>
      </w:r>
      <w:r>
        <w:rPr>
          <w:spacing w:val="-24"/>
        </w:rPr>
        <w:t> </w:t>
      </w:r>
      <w:r>
        <w:rPr/>
        <w:t>are</w:t>
      </w:r>
      <w:r>
        <w:rPr>
          <w:spacing w:val="-23"/>
        </w:rPr>
        <w:t> </w:t>
      </w:r>
      <w:r>
        <w:rPr/>
        <w:t>tested</w:t>
      </w:r>
      <w:r>
        <w:rPr>
          <w:spacing w:val="-23"/>
        </w:rPr>
        <w:t> </w:t>
      </w:r>
      <w:r>
        <w:rPr/>
        <w:t>for</w:t>
      </w:r>
      <w:r>
        <w:rPr>
          <w:spacing w:val="-23"/>
        </w:rPr>
        <w:t> </w:t>
      </w:r>
      <w:r>
        <w:rPr/>
        <w:t>any</w:t>
      </w:r>
      <w:r>
        <w:rPr>
          <w:spacing w:val="-23"/>
        </w:rPr>
        <w:t> </w:t>
      </w:r>
      <w:r>
        <w:rPr/>
        <w:t>indication</w:t>
      </w:r>
      <w:r>
        <w:rPr>
          <w:spacing w:val="-23"/>
        </w:rPr>
        <w:t> </w:t>
      </w:r>
      <w:r>
        <w:rPr/>
        <w:t>of</w:t>
      </w:r>
      <w:r>
        <w:rPr>
          <w:spacing w:val="-23"/>
        </w:rPr>
        <w:t> </w:t>
      </w:r>
      <w:r>
        <w:rPr/>
        <w:t>impairment at</w:t>
      </w:r>
      <w:r>
        <w:rPr>
          <w:spacing w:val="-15"/>
        </w:rPr>
        <w:t> </w:t>
      </w:r>
      <w:r>
        <w:rPr/>
        <w:t>the</w:t>
      </w:r>
      <w:r>
        <w:rPr>
          <w:spacing w:val="-15"/>
        </w:rPr>
        <w:t> </w:t>
      </w:r>
      <w:r>
        <w:rPr/>
        <w:t>end</w:t>
      </w:r>
      <w:r>
        <w:rPr>
          <w:spacing w:val="-15"/>
        </w:rPr>
        <w:t> </w:t>
      </w:r>
      <w:r>
        <w:rPr/>
        <w:t>of</w:t>
      </w:r>
      <w:r>
        <w:rPr>
          <w:spacing w:val="-15"/>
        </w:rPr>
        <w:t> </w:t>
      </w:r>
      <w:r>
        <w:rPr/>
        <w:t>each</w:t>
      </w:r>
      <w:r>
        <w:rPr>
          <w:spacing w:val="-14"/>
        </w:rPr>
        <w:t> </w:t>
      </w:r>
      <w:r>
        <w:rPr/>
        <w:t>reporting</w:t>
      </w:r>
      <w:r>
        <w:rPr>
          <w:spacing w:val="-15"/>
        </w:rPr>
        <w:t> </w:t>
      </w:r>
      <w:r>
        <w:rPr/>
        <w:t>period.</w:t>
      </w:r>
      <w:r>
        <w:rPr>
          <w:spacing w:val="-15"/>
        </w:rPr>
        <w:t> </w:t>
      </w:r>
      <w:r>
        <w:rPr/>
        <w:t>Where</w:t>
      </w:r>
      <w:r>
        <w:rPr>
          <w:spacing w:val="-15"/>
        </w:rPr>
        <w:t> </w:t>
      </w:r>
      <w:r>
        <w:rPr/>
        <w:t>there is an indication of impairment, the recoverable amount is estimated. Where the recoverable amount is less than the carrying amount, the asset</w:t>
      </w:r>
      <w:r>
        <w:rPr>
          <w:spacing w:val="-17"/>
        </w:rPr>
        <w:t> </w:t>
      </w:r>
      <w:r>
        <w:rPr/>
        <w:t>is</w:t>
      </w:r>
      <w:r>
        <w:rPr>
          <w:spacing w:val="-16"/>
        </w:rPr>
        <w:t> </w:t>
      </w:r>
      <w:r>
        <w:rPr/>
        <w:t>considered</w:t>
      </w:r>
      <w:r>
        <w:rPr>
          <w:spacing w:val="-16"/>
        </w:rPr>
        <w:t> </w:t>
      </w:r>
      <w:r>
        <w:rPr/>
        <w:t>impaired</w:t>
      </w:r>
      <w:r>
        <w:rPr>
          <w:spacing w:val="-17"/>
        </w:rPr>
        <w:t> </w:t>
      </w:r>
      <w:r>
        <w:rPr/>
        <w:t>and</w:t>
      </w:r>
      <w:r>
        <w:rPr>
          <w:spacing w:val="-16"/>
        </w:rPr>
        <w:t> </w:t>
      </w:r>
      <w:r>
        <w:rPr/>
        <w:t>is</w:t>
      </w:r>
      <w:r>
        <w:rPr>
          <w:spacing w:val="-16"/>
        </w:rPr>
        <w:t> </w:t>
      </w:r>
      <w:r>
        <w:rPr/>
        <w:t>written</w:t>
      </w:r>
      <w:r>
        <w:rPr>
          <w:spacing w:val="-17"/>
        </w:rPr>
        <w:t> </w:t>
      </w:r>
      <w:r>
        <w:rPr/>
        <w:t>down to the recoverable amount and an impairment loss</w:t>
      </w:r>
      <w:r>
        <w:rPr>
          <w:spacing w:val="-20"/>
        </w:rPr>
        <w:t> </w:t>
      </w:r>
      <w:r>
        <w:rPr/>
        <w:t>is</w:t>
      </w:r>
      <w:r>
        <w:rPr>
          <w:spacing w:val="-19"/>
        </w:rPr>
        <w:t> </w:t>
      </w:r>
      <w:r>
        <w:rPr/>
        <w:t>recognised.</w:t>
      </w:r>
      <w:r>
        <w:rPr>
          <w:spacing w:val="-19"/>
        </w:rPr>
        <w:t> </w:t>
      </w:r>
      <w:r>
        <w:rPr/>
        <w:t>Where</w:t>
      </w:r>
      <w:r>
        <w:rPr>
          <w:spacing w:val="-19"/>
        </w:rPr>
        <w:t> </w:t>
      </w:r>
      <w:r>
        <w:rPr/>
        <w:t>an</w:t>
      </w:r>
      <w:r>
        <w:rPr>
          <w:spacing w:val="-19"/>
        </w:rPr>
        <w:t> </w:t>
      </w:r>
      <w:r>
        <w:rPr/>
        <w:t>asset</w:t>
      </w:r>
      <w:r>
        <w:rPr>
          <w:spacing w:val="-19"/>
        </w:rPr>
        <w:t> </w:t>
      </w:r>
      <w:r>
        <w:rPr/>
        <w:t>measured</w:t>
      </w:r>
      <w:r>
        <w:rPr>
          <w:spacing w:val="-20"/>
        </w:rPr>
        <w:t> </w:t>
      </w:r>
      <w:r>
        <w:rPr/>
        <w:t>at cost is written down to recoverable amount, an impairment</w:t>
      </w:r>
      <w:r>
        <w:rPr>
          <w:spacing w:val="-12"/>
        </w:rPr>
        <w:t> </w:t>
      </w:r>
      <w:r>
        <w:rPr/>
        <w:t>loss</w:t>
      </w:r>
      <w:r>
        <w:rPr>
          <w:spacing w:val="-11"/>
        </w:rPr>
        <w:t> </w:t>
      </w:r>
      <w:r>
        <w:rPr/>
        <w:t>is</w:t>
      </w:r>
      <w:r>
        <w:rPr>
          <w:spacing w:val="-11"/>
        </w:rPr>
        <w:t> </w:t>
      </w:r>
      <w:r>
        <w:rPr/>
        <w:t>recognised</w:t>
      </w:r>
      <w:r>
        <w:rPr>
          <w:spacing w:val="-11"/>
        </w:rPr>
        <w:t> </w:t>
      </w:r>
      <w:r>
        <w:rPr/>
        <w:t>in</w:t>
      </w:r>
      <w:r>
        <w:rPr>
          <w:spacing w:val="-12"/>
        </w:rPr>
        <w:t> </w:t>
      </w:r>
      <w:r>
        <w:rPr/>
        <w:t>profit</w:t>
      </w:r>
      <w:r>
        <w:rPr>
          <w:spacing w:val="-11"/>
        </w:rPr>
        <w:t> </w:t>
      </w:r>
      <w:r>
        <w:rPr/>
        <w:t>or</w:t>
      </w:r>
      <w:r>
        <w:rPr>
          <w:spacing w:val="-11"/>
        </w:rPr>
        <w:t> </w:t>
      </w:r>
      <w:r>
        <w:rPr/>
        <w:t>loss.</w:t>
      </w:r>
    </w:p>
    <w:p>
      <w:pPr>
        <w:pStyle w:val="BodyText"/>
        <w:spacing w:line="249" w:lineRule="auto" w:before="10"/>
        <w:ind w:left="420" w:right="872"/>
      </w:pPr>
      <w:r>
        <w:rPr/>
        <w:t>Where</w:t>
      </w:r>
      <w:r>
        <w:rPr>
          <w:spacing w:val="-26"/>
        </w:rPr>
        <w:t> </w:t>
      </w:r>
      <w:r>
        <w:rPr/>
        <w:t>a</w:t>
      </w:r>
      <w:r>
        <w:rPr>
          <w:spacing w:val="-25"/>
        </w:rPr>
        <w:t> </w:t>
      </w:r>
      <w:r>
        <w:rPr/>
        <w:t>previously</w:t>
      </w:r>
      <w:r>
        <w:rPr>
          <w:spacing w:val="-25"/>
        </w:rPr>
        <w:t> </w:t>
      </w:r>
      <w:r>
        <w:rPr/>
        <w:t>revalued</w:t>
      </w:r>
      <w:r>
        <w:rPr>
          <w:spacing w:val="-25"/>
        </w:rPr>
        <w:t> </w:t>
      </w:r>
      <w:r>
        <w:rPr/>
        <w:t>asset</w:t>
      </w:r>
      <w:r>
        <w:rPr>
          <w:spacing w:val="-26"/>
        </w:rPr>
        <w:t> </w:t>
      </w:r>
      <w:r>
        <w:rPr/>
        <w:t>is</w:t>
      </w:r>
      <w:r>
        <w:rPr>
          <w:spacing w:val="-25"/>
        </w:rPr>
        <w:t> </w:t>
      </w:r>
      <w:r>
        <w:rPr/>
        <w:t>written</w:t>
      </w:r>
      <w:r>
        <w:rPr>
          <w:spacing w:val="-25"/>
        </w:rPr>
        <w:t> </w:t>
      </w:r>
      <w:r>
        <w:rPr>
          <w:spacing w:val="-5"/>
        </w:rPr>
        <w:t>down </w:t>
      </w:r>
      <w:r>
        <w:rPr/>
        <w:t>to</w:t>
      </w:r>
      <w:r>
        <w:rPr>
          <w:spacing w:val="-16"/>
        </w:rPr>
        <w:t> </w:t>
      </w:r>
      <w:r>
        <w:rPr/>
        <w:t>recoverable</w:t>
      </w:r>
      <w:r>
        <w:rPr>
          <w:spacing w:val="-16"/>
        </w:rPr>
        <w:t> </w:t>
      </w:r>
      <w:r>
        <w:rPr/>
        <w:t>amount,</w:t>
      </w:r>
      <w:r>
        <w:rPr>
          <w:spacing w:val="-16"/>
        </w:rPr>
        <w:t> </w:t>
      </w:r>
      <w:r>
        <w:rPr/>
        <w:t>the</w:t>
      </w:r>
      <w:r>
        <w:rPr>
          <w:spacing w:val="-15"/>
        </w:rPr>
        <w:t> </w:t>
      </w:r>
      <w:r>
        <w:rPr/>
        <w:t>loss</w:t>
      </w:r>
      <w:r>
        <w:rPr>
          <w:spacing w:val="-16"/>
        </w:rPr>
        <w:t> </w:t>
      </w:r>
      <w:r>
        <w:rPr/>
        <w:t>is</w:t>
      </w:r>
      <w:r>
        <w:rPr>
          <w:spacing w:val="-16"/>
        </w:rPr>
        <w:t> </w:t>
      </w:r>
      <w:r>
        <w:rPr/>
        <w:t>recognised</w:t>
      </w:r>
      <w:r>
        <w:rPr>
          <w:spacing w:val="-16"/>
        </w:rPr>
        <w:t> </w:t>
      </w:r>
      <w:r>
        <w:rPr/>
        <w:t>as a</w:t>
      </w:r>
      <w:r>
        <w:rPr>
          <w:spacing w:val="-23"/>
        </w:rPr>
        <w:t> </w:t>
      </w:r>
      <w:r>
        <w:rPr/>
        <w:t>revaluation</w:t>
      </w:r>
      <w:r>
        <w:rPr>
          <w:spacing w:val="-22"/>
        </w:rPr>
        <w:t> </w:t>
      </w:r>
      <w:r>
        <w:rPr/>
        <w:t>decrement</w:t>
      </w:r>
      <w:r>
        <w:rPr>
          <w:spacing w:val="-22"/>
        </w:rPr>
        <w:t> </w:t>
      </w:r>
      <w:r>
        <w:rPr/>
        <w:t>in</w:t>
      </w:r>
      <w:r>
        <w:rPr>
          <w:spacing w:val="-22"/>
        </w:rPr>
        <w:t> </w:t>
      </w:r>
      <w:r>
        <w:rPr/>
        <w:t>other</w:t>
      </w:r>
      <w:r>
        <w:rPr>
          <w:spacing w:val="-22"/>
        </w:rPr>
        <w:t> </w:t>
      </w:r>
      <w:r>
        <w:rPr/>
        <w:t>comprehensive income. As the Department is a</w:t>
      </w:r>
      <w:r>
        <w:rPr>
          <w:spacing w:val="-45"/>
        </w:rPr>
        <w:t> </w:t>
      </w:r>
      <w:r>
        <w:rPr/>
        <w:t>not-for-profit</w:t>
      </w:r>
    </w:p>
    <w:p>
      <w:pPr>
        <w:spacing w:after="0" w:line="249" w:lineRule="auto"/>
        <w:sectPr>
          <w:type w:val="continuous"/>
          <w:pgSz w:w="16840" w:h="11910" w:orient="landscape"/>
          <w:pgMar w:top="0" w:bottom="0" w:left="0" w:right="0"/>
          <w:cols w:num="3" w:equalWidth="0">
            <w:col w:w="5562" w:space="40"/>
            <w:col w:w="5192" w:space="39"/>
            <w:col w:w="6007"/>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388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400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403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196"/>
          <w:pgSz w:w="16840" w:h="11910" w:orient="landscape"/>
          <w:pgMar w:footer="448" w:header="0" w:top="0" w:bottom="640" w:left="0" w:right="0"/>
        </w:sectPr>
      </w:pPr>
    </w:p>
    <w:p>
      <w:pPr>
        <w:pStyle w:val="BodyText"/>
        <w:spacing w:before="5"/>
        <w:rPr>
          <w:sz w:val="23"/>
        </w:rPr>
      </w:pPr>
    </w:p>
    <w:p>
      <w:pPr>
        <w:pStyle w:val="BodyText"/>
        <w:spacing w:line="249" w:lineRule="auto"/>
        <w:ind w:left="765" w:right="272"/>
      </w:pPr>
      <w:r>
        <w:rPr>
          <w:spacing w:val="-3"/>
        </w:rPr>
        <w:t>entity, </w:t>
      </w:r>
      <w:r>
        <w:rPr/>
        <w:t>unless a specialised asset has been identified as a surplus asset, the recoverable amount</w:t>
      </w:r>
      <w:r>
        <w:rPr>
          <w:spacing w:val="-19"/>
        </w:rPr>
        <w:t> </w:t>
      </w:r>
      <w:r>
        <w:rPr/>
        <w:t>is</w:t>
      </w:r>
      <w:r>
        <w:rPr>
          <w:spacing w:val="-18"/>
        </w:rPr>
        <w:t> </w:t>
      </w:r>
      <w:r>
        <w:rPr/>
        <w:t>the</w:t>
      </w:r>
      <w:r>
        <w:rPr>
          <w:spacing w:val="-18"/>
        </w:rPr>
        <w:t> </w:t>
      </w:r>
      <w:r>
        <w:rPr/>
        <w:t>higher</w:t>
      </w:r>
      <w:r>
        <w:rPr>
          <w:spacing w:val="-19"/>
        </w:rPr>
        <w:t> </w:t>
      </w:r>
      <w:r>
        <w:rPr/>
        <w:t>of</w:t>
      </w:r>
      <w:r>
        <w:rPr>
          <w:spacing w:val="-18"/>
        </w:rPr>
        <w:t> </w:t>
      </w:r>
      <w:r>
        <w:rPr/>
        <w:t>an</w:t>
      </w:r>
      <w:r>
        <w:rPr>
          <w:spacing w:val="-19"/>
        </w:rPr>
        <w:t> </w:t>
      </w:r>
      <w:r>
        <w:rPr>
          <w:spacing w:val="-4"/>
        </w:rPr>
        <w:t>asset’s</w:t>
      </w:r>
      <w:r>
        <w:rPr>
          <w:spacing w:val="-18"/>
        </w:rPr>
        <w:t> </w:t>
      </w:r>
      <w:r>
        <w:rPr/>
        <w:t>fair</w:t>
      </w:r>
      <w:r>
        <w:rPr>
          <w:spacing w:val="-18"/>
        </w:rPr>
        <w:t> </w:t>
      </w:r>
      <w:r>
        <w:rPr/>
        <w:t>value</w:t>
      </w:r>
      <w:r>
        <w:rPr>
          <w:spacing w:val="-19"/>
        </w:rPr>
        <w:t> </w:t>
      </w:r>
      <w:r>
        <w:rPr>
          <w:spacing w:val="-5"/>
        </w:rPr>
        <w:t>less </w:t>
      </w:r>
      <w:r>
        <w:rPr/>
        <w:t>costs</w:t>
      </w:r>
      <w:r>
        <w:rPr>
          <w:spacing w:val="-17"/>
        </w:rPr>
        <w:t> </w:t>
      </w:r>
      <w:r>
        <w:rPr/>
        <w:t>to</w:t>
      </w:r>
      <w:r>
        <w:rPr>
          <w:spacing w:val="-16"/>
        </w:rPr>
        <w:t> </w:t>
      </w:r>
      <w:r>
        <w:rPr/>
        <w:t>sell</w:t>
      </w:r>
      <w:r>
        <w:rPr>
          <w:spacing w:val="-16"/>
        </w:rPr>
        <w:t> </w:t>
      </w:r>
      <w:r>
        <w:rPr/>
        <w:t>and</w:t>
      </w:r>
      <w:r>
        <w:rPr>
          <w:spacing w:val="-16"/>
        </w:rPr>
        <w:t> </w:t>
      </w:r>
      <w:r>
        <w:rPr/>
        <w:t>depreciated</w:t>
      </w:r>
      <w:r>
        <w:rPr>
          <w:spacing w:val="-16"/>
        </w:rPr>
        <w:t> </w:t>
      </w:r>
      <w:r>
        <w:rPr/>
        <w:t>replacement</w:t>
      </w:r>
      <w:r>
        <w:rPr>
          <w:spacing w:val="-16"/>
        </w:rPr>
        <w:t> </w:t>
      </w:r>
      <w:r>
        <w:rPr/>
        <w:t>cost.</w:t>
      </w:r>
    </w:p>
    <w:p>
      <w:pPr>
        <w:pStyle w:val="BodyText"/>
        <w:spacing w:before="3"/>
        <w:rPr>
          <w:sz w:val="23"/>
        </w:rPr>
      </w:pPr>
    </w:p>
    <w:p>
      <w:pPr>
        <w:pStyle w:val="BodyText"/>
        <w:spacing w:line="249" w:lineRule="auto"/>
        <w:ind w:left="765" w:right="-6"/>
      </w:pPr>
      <w:r>
        <w:rPr/>
        <w:t>The risk of impairment is generally limited to circumstances where an </w:t>
      </w:r>
      <w:r>
        <w:rPr>
          <w:spacing w:val="-4"/>
        </w:rPr>
        <w:t>asset’s </w:t>
      </w:r>
      <w:r>
        <w:rPr/>
        <w:t>depreciation is materially understated, where the replacement cost</w:t>
      </w:r>
      <w:r>
        <w:rPr>
          <w:spacing w:val="-20"/>
        </w:rPr>
        <w:t> </w:t>
      </w:r>
      <w:r>
        <w:rPr/>
        <w:t>is</w:t>
      </w:r>
      <w:r>
        <w:rPr>
          <w:spacing w:val="-19"/>
        </w:rPr>
        <w:t> </w:t>
      </w:r>
      <w:r>
        <w:rPr/>
        <w:t>falling</w:t>
      </w:r>
      <w:r>
        <w:rPr>
          <w:spacing w:val="-19"/>
        </w:rPr>
        <w:t> </w:t>
      </w:r>
      <w:r>
        <w:rPr/>
        <w:t>or</w:t>
      </w:r>
      <w:r>
        <w:rPr>
          <w:spacing w:val="-20"/>
        </w:rPr>
        <w:t> </w:t>
      </w:r>
      <w:r>
        <w:rPr/>
        <w:t>where</w:t>
      </w:r>
      <w:r>
        <w:rPr>
          <w:spacing w:val="-19"/>
        </w:rPr>
        <w:t> </w:t>
      </w:r>
      <w:r>
        <w:rPr/>
        <w:t>there</w:t>
      </w:r>
      <w:r>
        <w:rPr>
          <w:spacing w:val="-19"/>
        </w:rPr>
        <w:t> </w:t>
      </w:r>
      <w:r>
        <w:rPr/>
        <w:t>is</w:t>
      </w:r>
      <w:r>
        <w:rPr>
          <w:spacing w:val="-20"/>
        </w:rPr>
        <w:t> </w:t>
      </w:r>
      <w:r>
        <w:rPr/>
        <w:t>a</w:t>
      </w:r>
      <w:r>
        <w:rPr>
          <w:spacing w:val="-19"/>
        </w:rPr>
        <w:t> </w:t>
      </w:r>
      <w:r>
        <w:rPr/>
        <w:t>significant</w:t>
      </w:r>
      <w:r>
        <w:rPr>
          <w:spacing w:val="-19"/>
        </w:rPr>
        <w:t> </w:t>
      </w:r>
      <w:r>
        <w:rPr>
          <w:spacing w:val="-4"/>
        </w:rPr>
        <w:t>change </w:t>
      </w:r>
      <w:r>
        <w:rPr/>
        <w:t>in useful life. Each relevant class of assets is reviewed annually to verify that the accumulated depreciation/amortisation reflects the level of consumption or expiration of the assets’ future economic</w:t>
      </w:r>
      <w:r>
        <w:rPr>
          <w:spacing w:val="-24"/>
        </w:rPr>
        <w:t> </w:t>
      </w:r>
      <w:r>
        <w:rPr/>
        <w:t>benefits</w:t>
      </w:r>
      <w:r>
        <w:rPr>
          <w:spacing w:val="-23"/>
        </w:rPr>
        <w:t> </w:t>
      </w:r>
      <w:r>
        <w:rPr/>
        <w:t>and</w:t>
      </w:r>
      <w:r>
        <w:rPr>
          <w:spacing w:val="-23"/>
        </w:rPr>
        <w:t> </w:t>
      </w:r>
      <w:r>
        <w:rPr/>
        <w:t>to</w:t>
      </w:r>
      <w:r>
        <w:rPr>
          <w:spacing w:val="-23"/>
        </w:rPr>
        <w:t> </w:t>
      </w:r>
      <w:r>
        <w:rPr/>
        <w:t>evaluate</w:t>
      </w:r>
      <w:r>
        <w:rPr>
          <w:spacing w:val="-23"/>
        </w:rPr>
        <w:t> </w:t>
      </w:r>
      <w:r>
        <w:rPr/>
        <w:t>any</w:t>
      </w:r>
      <w:r>
        <w:rPr>
          <w:spacing w:val="-23"/>
        </w:rPr>
        <w:t> </w:t>
      </w:r>
      <w:r>
        <w:rPr/>
        <w:t>impairment risk from falling replacement</w:t>
      </w:r>
      <w:r>
        <w:rPr>
          <w:spacing w:val="-16"/>
        </w:rPr>
        <w:t> </w:t>
      </w:r>
      <w:r>
        <w:rPr/>
        <w:t>costs.</w:t>
      </w:r>
    </w:p>
    <w:p>
      <w:pPr>
        <w:pStyle w:val="BodyText"/>
        <w:spacing w:before="8"/>
        <w:rPr>
          <w:sz w:val="23"/>
        </w:rPr>
      </w:pPr>
    </w:p>
    <w:p>
      <w:pPr>
        <w:pStyle w:val="BodyText"/>
        <w:spacing w:line="249" w:lineRule="auto" w:before="1"/>
        <w:ind w:left="765" w:right="71"/>
      </w:pPr>
      <w:r>
        <w:rPr/>
        <w:t>Intangible</w:t>
      </w:r>
      <w:r>
        <w:rPr>
          <w:spacing w:val="-22"/>
        </w:rPr>
        <w:t> </w:t>
      </w:r>
      <w:r>
        <w:rPr/>
        <w:t>assets</w:t>
      </w:r>
      <w:r>
        <w:rPr>
          <w:spacing w:val="-22"/>
        </w:rPr>
        <w:t> </w:t>
      </w:r>
      <w:r>
        <w:rPr/>
        <w:t>with</w:t>
      </w:r>
      <w:r>
        <w:rPr>
          <w:spacing w:val="-22"/>
        </w:rPr>
        <w:t> </w:t>
      </w:r>
      <w:r>
        <w:rPr/>
        <w:t>an</w:t>
      </w:r>
      <w:r>
        <w:rPr>
          <w:spacing w:val="-22"/>
        </w:rPr>
        <w:t> </w:t>
      </w:r>
      <w:r>
        <w:rPr/>
        <w:t>indefinite</w:t>
      </w:r>
      <w:r>
        <w:rPr>
          <w:spacing w:val="-22"/>
        </w:rPr>
        <w:t> </w:t>
      </w:r>
      <w:r>
        <w:rPr/>
        <w:t>useful</w:t>
      </w:r>
      <w:r>
        <w:rPr>
          <w:spacing w:val="-22"/>
        </w:rPr>
        <w:t> </w:t>
      </w:r>
      <w:r>
        <w:rPr/>
        <w:t>life</w:t>
      </w:r>
      <w:r>
        <w:rPr>
          <w:spacing w:val="-22"/>
        </w:rPr>
        <w:t> </w:t>
      </w:r>
      <w:r>
        <w:rPr/>
        <w:t>and intangible assets not yet available for use are tested</w:t>
      </w:r>
      <w:r>
        <w:rPr>
          <w:spacing w:val="-13"/>
        </w:rPr>
        <w:t> </w:t>
      </w:r>
      <w:r>
        <w:rPr/>
        <w:t>for</w:t>
      </w:r>
      <w:r>
        <w:rPr>
          <w:spacing w:val="-13"/>
        </w:rPr>
        <w:t> </w:t>
      </w:r>
      <w:r>
        <w:rPr/>
        <w:t>impairment</w:t>
      </w:r>
      <w:r>
        <w:rPr>
          <w:spacing w:val="-13"/>
        </w:rPr>
        <w:t> </w:t>
      </w:r>
      <w:r>
        <w:rPr/>
        <w:t>at</w:t>
      </w:r>
      <w:r>
        <w:rPr>
          <w:spacing w:val="-12"/>
        </w:rPr>
        <w:t> </w:t>
      </w:r>
      <w:r>
        <w:rPr/>
        <w:t>the</w:t>
      </w:r>
      <w:r>
        <w:rPr>
          <w:spacing w:val="-13"/>
        </w:rPr>
        <w:t> </w:t>
      </w:r>
      <w:r>
        <w:rPr/>
        <w:t>end</w:t>
      </w:r>
      <w:r>
        <w:rPr>
          <w:spacing w:val="-13"/>
        </w:rPr>
        <w:t> </w:t>
      </w:r>
      <w:r>
        <w:rPr/>
        <w:t>of</w:t>
      </w:r>
      <w:r>
        <w:rPr>
          <w:spacing w:val="-12"/>
        </w:rPr>
        <w:t> </w:t>
      </w:r>
      <w:r>
        <w:rPr/>
        <w:t>each</w:t>
      </w:r>
      <w:r>
        <w:rPr>
          <w:spacing w:val="-13"/>
        </w:rPr>
        <w:t> </w:t>
      </w:r>
      <w:r>
        <w:rPr>
          <w:spacing w:val="-3"/>
        </w:rPr>
        <w:t>reporting </w:t>
      </w:r>
      <w:r>
        <w:rPr/>
        <w:t>period irrespective of whether there is any indication of</w:t>
      </w:r>
      <w:r>
        <w:rPr>
          <w:spacing w:val="-4"/>
        </w:rPr>
        <w:t> </w:t>
      </w:r>
      <w:r>
        <w:rPr/>
        <w:t>impairment.</w:t>
      </w:r>
    </w:p>
    <w:p>
      <w:pPr>
        <w:pStyle w:val="BodyText"/>
        <w:spacing w:before="3"/>
        <w:rPr>
          <w:sz w:val="23"/>
        </w:rPr>
      </w:pPr>
    </w:p>
    <w:p>
      <w:pPr>
        <w:pStyle w:val="BodyText"/>
        <w:spacing w:line="249" w:lineRule="auto" w:before="1"/>
        <w:ind w:left="765" w:right="63"/>
      </w:pPr>
      <w:r>
        <w:rPr/>
        <w:t>The recoverable amount of assets identified as surplus</w:t>
      </w:r>
      <w:r>
        <w:rPr>
          <w:spacing w:val="-20"/>
        </w:rPr>
        <w:t> </w:t>
      </w:r>
      <w:r>
        <w:rPr/>
        <w:t>assets</w:t>
      </w:r>
      <w:r>
        <w:rPr>
          <w:spacing w:val="-20"/>
        </w:rPr>
        <w:t> </w:t>
      </w:r>
      <w:r>
        <w:rPr/>
        <w:t>is</w:t>
      </w:r>
      <w:r>
        <w:rPr>
          <w:spacing w:val="-20"/>
        </w:rPr>
        <w:t> </w:t>
      </w:r>
      <w:r>
        <w:rPr/>
        <w:t>the</w:t>
      </w:r>
      <w:r>
        <w:rPr>
          <w:spacing w:val="-20"/>
        </w:rPr>
        <w:t> </w:t>
      </w:r>
      <w:r>
        <w:rPr/>
        <w:t>higher</w:t>
      </w:r>
      <w:r>
        <w:rPr>
          <w:spacing w:val="-20"/>
        </w:rPr>
        <w:t> </w:t>
      </w:r>
      <w:r>
        <w:rPr/>
        <w:t>of</w:t>
      </w:r>
      <w:r>
        <w:rPr>
          <w:spacing w:val="-20"/>
        </w:rPr>
        <w:t> </w:t>
      </w:r>
      <w:r>
        <w:rPr/>
        <w:t>fair</w:t>
      </w:r>
      <w:r>
        <w:rPr>
          <w:spacing w:val="-20"/>
        </w:rPr>
        <w:t> </w:t>
      </w:r>
      <w:r>
        <w:rPr/>
        <w:t>value</w:t>
      </w:r>
      <w:r>
        <w:rPr>
          <w:spacing w:val="-20"/>
        </w:rPr>
        <w:t> </w:t>
      </w:r>
      <w:r>
        <w:rPr/>
        <w:t>less</w:t>
      </w:r>
      <w:r>
        <w:rPr>
          <w:spacing w:val="-20"/>
        </w:rPr>
        <w:t> </w:t>
      </w:r>
      <w:r>
        <w:rPr>
          <w:spacing w:val="-4"/>
        </w:rPr>
        <w:t>costs </w:t>
      </w:r>
      <w:r>
        <w:rPr/>
        <w:t>to</w:t>
      </w:r>
      <w:r>
        <w:rPr>
          <w:spacing w:val="-14"/>
        </w:rPr>
        <w:t> </w:t>
      </w:r>
      <w:r>
        <w:rPr/>
        <w:t>sell</w:t>
      </w:r>
      <w:r>
        <w:rPr>
          <w:spacing w:val="-14"/>
        </w:rPr>
        <w:t> </w:t>
      </w:r>
      <w:r>
        <w:rPr/>
        <w:t>and</w:t>
      </w:r>
      <w:r>
        <w:rPr>
          <w:spacing w:val="-13"/>
        </w:rPr>
        <w:t> </w:t>
      </w:r>
      <w:r>
        <w:rPr/>
        <w:t>the</w:t>
      </w:r>
      <w:r>
        <w:rPr>
          <w:spacing w:val="-14"/>
        </w:rPr>
        <w:t> </w:t>
      </w:r>
      <w:r>
        <w:rPr/>
        <w:t>present</w:t>
      </w:r>
      <w:r>
        <w:rPr>
          <w:spacing w:val="-14"/>
        </w:rPr>
        <w:t> </w:t>
      </w:r>
      <w:r>
        <w:rPr/>
        <w:t>value</w:t>
      </w:r>
      <w:r>
        <w:rPr>
          <w:spacing w:val="-13"/>
        </w:rPr>
        <w:t> </w:t>
      </w:r>
      <w:r>
        <w:rPr/>
        <w:t>of</w:t>
      </w:r>
      <w:r>
        <w:rPr>
          <w:spacing w:val="-14"/>
        </w:rPr>
        <w:t> </w:t>
      </w:r>
      <w:r>
        <w:rPr/>
        <w:t>future</w:t>
      </w:r>
      <w:r>
        <w:rPr>
          <w:spacing w:val="-14"/>
        </w:rPr>
        <w:t> </w:t>
      </w:r>
      <w:r>
        <w:rPr/>
        <w:t>cash</w:t>
      </w:r>
      <w:r>
        <w:rPr>
          <w:spacing w:val="-13"/>
        </w:rPr>
        <w:t> </w:t>
      </w:r>
      <w:r>
        <w:rPr/>
        <w:t>flows expected to be derived from the asset. Surplus assets</w:t>
      </w:r>
      <w:r>
        <w:rPr>
          <w:spacing w:val="-23"/>
        </w:rPr>
        <w:t> </w:t>
      </w:r>
      <w:r>
        <w:rPr/>
        <w:t>carried</w:t>
      </w:r>
      <w:r>
        <w:rPr>
          <w:spacing w:val="-23"/>
        </w:rPr>
        <w:t> </w:t>
      </w:r>
      <w:r>
        <w:rPr/>
        <w:t>at</w:t>
      </w:r>
      <w:r>
        <w:rPr>
          <w:spacing w:val="-23"/>
        </w:rPr>
        <w:t> </w:t>
      </w:r>
      <w:r>
        <w:rPr/>
        <w:t>fair</w:t>
      </w:r>
      <w:r>
        <w:rPr>
          <w:spacing w:val="-23"/>
        </w:rPr>
        <w:t> </w:t>
      </w:r>
      <w:r>
        <w:rPr/>
        <w:t>value</w:t>
      </w:r>
      <w:r>
        <w:rPr>
          <w:spacing w:val="-22"/>
        </w:rPr>
        <w:t> </w:t>
      </w:r>
      <w:r>
        <w:rPr/>
        <w:t>have</w:t>
      </w:r>
      <w:r>
        <w:rPr>
          <w:spacing w:val="-23"/>
        </w:rPr>
        <w:t> </w:t>
      </w:r>
      <w:r>
        <w:rPr/>
        <w:t>no</w:t>
      </w:r>
      <w:r>
        <w:rPr>
          <w:spacing w:val="-23"/>
        </w:rPr>
        <w:t> </w:t>
      </w:r>
      <w:r>
        <w:rPr/>
        <w:t>risk</w:t>
      </w:r>
      <w:r>
        <w:rPr>
          <w:spacing w:val="-23"/>
        </w:rPr>
        <w:t> </w:t>
      </w:r>
      <w:r>
        <w:rPr/>
        <w:t>of</w:t>
      </w:r>
      <w:r>
        <w:rPr>
          <w:spacing w:val="-23"/>
        </w:rPr>
        <w:t> </w:t>
      </w:r>
      <w:r>
        <w:rPr/>
        <w:t>material impairment where fair value is determined by reference</w:t>
      </w:r>
      <w:r>
        <w:rPr>
          <w:spacing w:val="-20"/>
        </w:rPr>
        <w:t> </w:t>
      </w:r>
      <w:r>
        <w:rPr/>
        <w:t>to</w:t>
      </w:r>
      <w:r>
        <w:rPr>
          <w:spacing w:val="-20"/>
        </w:rPr>
        <w:t> </w:t>
      </w:r>
      <w:r>
        <w:rPr/>
        <w:t>market-based</w:t>
      </w:r>
      <w:r>
        <w:rPr>
          <w:spacing w:val="-20"/>
        </w:rPr>
        <w:t> </w:t>
      </w:r>
      <w:r>
        <w:rPr/>
        <w:t>evidence.</w:t>
      </w:r>
      <w:r>
        <w:rPr>
          <w:spacing w:val="-19"/>
        </w:rPr>
        <w:t> </w:t>
      </w:r>
      <w:r>
        <w:rPr/>
        <w:t>Where</w:t>
      </w:r>
      <w:r>
        <w:rPr>
          <w:spacing w:val="-20"/>
        </w:rPr>
        <w:t> </w:t>
      </w:r>
      <w:r>
        <w:rPr/>
        <w:t>fair</w:t>
      </w:r>
    </w:p>
    <w:p>
      <w:pPr>
        <w:pStyle w:val="BodyText"/>
        <w:spacing w:before="5"/>
        <w:rPr>
          <w:sz w:val="23"/>
        </w:rPr>
      </w:pPr>
      <w:r>
        <w:rPr/>
        <w:br w:type="column"/>
      </w:r>
      <w:r>
        <w:rPr>
          <w:sz w:val="23"/>
        </w:rPr>
      </w:r>
    </w:p>
    <w:p>
      <w:pPr>
        <w:pStyle w:val="BodyText"/>
        <w:spacing w:line="249" w:lineRule="auto"/>
        <w:ind w:left="423" w:right="282"/>
      </w:pPr>
      <w:r>
        <w:rPr/>
        <w:t>value</w:t>
      </w:r>
      <w:r>
        <w:rPr>
          <w:spacing w:val="-23"/>
        </w:rPr>
        <w:t> </w:t>
      </w:r>
      <w:r>
        <w:rPr/>
        <w:t>is</w:t>
      </w:r>
      <w:r>
        <w:rPr>
          <w:spacing w:val="-23"/>
        </w:rPr>
        <w:t> </w:t>
      </w:r>
      <w:r>
        <w:rPr/>
        <w:t>determined</w:t>
      </w:r>
      <w:r>
        <w:rPr>
          <w:spacing w:val="-22"/>
        </w:rPr>
        <w:t> </w:t>
      </w:r>
      <w:r>
        <w:rPr/>
        <w:t>by</w:t>
      </w:r>
      <w:r>
        <w:rPr>
          <w:spacing w:val="-23"/>
        </w:rPr>
        <w:t> </w:t>
      </w:r>
      <w:r>
        <w:rPr/>
        <w:t>reference</w:t>
      </w:r>
      <w:r>
        <w:rPr>
          <w:spacing w:val="-23"/>
        </w:rPr>
        <w:t> </w:t>
      </w:r>
      <w:r>
        <w:rPr/>
        <w:t>to</w:t>
      </w:r>
      <w:r>
        <w:rPr>
          <w:spacing w:val="-22"/>
        </w:rPr>
        <w:t> </w:t>
      </w:r>
      <w:r>
        <w:rPr>
          <w:spacing w:val="-3"/>
        </w:rPr>
        <w:t>depreciated </w:t>
      </w:r>
      <w:r>
        <w:rPr/>
        <w:t>replacement</w:t>
      </w:r>
      <w:r>
        <w:rPr>
          <w:spacing w:val="-11"/>
        </w:rPr>
        <w:t> </w:t>
      </w:r>
      <w:r>
        <w:rPr/>
        <w:t>cost,</w:t>
      </w:r>
      <w:r>
        <w:rPr>
          <w:spacing w:val="-11"/>
        </w:rPr>
        <w:t> </w:t>
      </w:r>
      <w:r>
        <w:rPr/>
        <w:t>surplus</w:t>
      </w:r>
      <w:r>
        <w:rPr>
          <w:spacing w:val="-10"/>
        </w:rPr>
        <w:t> </w:t>
      </w:r>
      <w:r>
        <w:rPr/>
        <w:t>assets</w:t>
      </w:r>
      <w:r>
        <w:rPr>
          <w:spacing w:val="-11"/>
        </w:rPr>
        <w:t> </w:t>
      </w:r>
      <w:r>
        <w:rPr/>
        <w:t>are</w:t>
      </w:r>
      <w:r>
        <w:rPr>
          <w:spacing w:val="-11"/>
        </w:rPr>
        <w:t> </w:t>
      </w:r>
      <w:r>
        <w:rPr/>
        <w:t>at</w:t>
      </w:r>
      <w:r>
        <w:rPr>
          <w:spacing w:val="-10"/>
        </w:rPr>
        <w:t> </w:t>
      </w:r>
      <w:r>
        <w:rPr/>
        <w:t>risk</w:t>
      </w:r>
    </w:p>
    <w:p>
      <w:pPr>
        <w:pStyle w:val="BodyText"/>
        <w:spacing w:line="249" w:lineRule="auto" w:before="2"/>
        <w:ind w:left="423" w:right="321"/>
      </w:pPr>
      <w:r>
        <w:rPr/>
        <w:t>of impairment and the recoverable amount is measured. Surplus assets at cost are tested for</w:t>
      </w:r>
      <w:r>
        <w:rPr>
          <w:spacing w:val="-15"/>
        </w:rPr>
        <w:t> </w:t>
      </w:r>
      <w:r>
        <w:rPr/>
        <w:t>indications</w:t>
      </w:r>
      <w:r>
        <w:rPr>
          <w:spacing w:val="-14"/>
        </w:rPr>
        <w:t> </w:t>
      </w:r>
      <w:r>
        <w:rPr/>
        <w:t>of</w:t>
      </w:r>
      <w:r>
        <w:rPr>
          <w:spacing w:val="-14"/>
        </w:rPr>
        <w:t> </w:t>
      </w:r>
      <w:r>
        <w:rPr/>
        <w:t>impairment</w:t>
      </w:r>
      <w:r>
        <w:rPr>
          <w:spacing w:val="-14"/>
        </w:rPr>
        <w:t> </w:t>
      </w:r>
      <w:r>
        <w:rPr/>
        <w:t>at</w:t>
      </w:r>
      <w:r>
        <w:rPr>
          <w:spacing w:val="-14"/>
        </w:rPr>
        <w:t> </w:t>
      </w:r>
      <w:r>
        <w:rPr/>
        <w:t>the</w:t>
      </w:r>
      <w:r>
        <w:rPr>
          <w:spacing w:val="-14"/>
        </w:rPr>
        <w:t> </w:t>
      </w:r>
      <w:r>
        <w:rPr/>
        <w:t>end</w:t>
      </w:r>
      <w:r>
        <w:rPr>
          <w:spacing w:val="-15"/>
        </w:rPr>
        <w:t> </w:t>
      </w:r>
      <w:r>
        <w:rPr/>
        <w:t>of</w:t>
      </w:r>
      <w:r>
        <w:rPr>
          <w:spacing w:val="-14"/>
        </w:rPr>
        <w:t> </w:t>
      </w:r>
      <w:r>
        <w:rPr>
          <w:spacing w:val="-5"/>
        </w:rPr>
        <w:t>each </w:t>
      </w:r>
      <w:r>
        <w:rPr/>
        <w:t>reporting</w:t>
      </w:r>
      <w:r>
        <w:rPr>
          <w:spacing w:val="-1"/>
        </w:rPr>
        <w:t> </w:t>
      </w:r>
      <w:r>
        <w:rPr/>
        <w:t>period.</w:t>
      </w:r>
    </w:p>
    <w:p>
      <w:pPr>
        <w:pStyle w:val="BodyText"/>
        <w:spacing w:before="3"/>
        <w:rPr>
          <w:sz w:val="23"/>
        </w:rPr>
      </w:pPr>
    </w:p>
    <w:p>
      <w:pPr>
        <w:pStyle w:val="BodyText"/>
        <w:spacing w:line="249" w:lineRule="auto"/>
        <w:ind w:left="423" w:right="541"/>
      </w:pPr>
      <w:r>
        <w:rPr/>
        <w:t>See Note 27 ‘Impairment of assets’ for the outcome of impairment reviews and </w:t>
      </w:r>
      <w:r>
        <w:rPr>
          <w:spacing w:val="-3"/>
        </w:rPr>
        <w:t>testing.</w:t>
      </w:r>
    </w:p>
    <w:p>
      <w:pPr>
        <w:pStyle w:val="BodyText"/>
        <w:spacing w:before="1"/>
        <w:rPr>
          <w:sz w:val="23"/>
        </w:rPr>
      </w:pPr>
    </w:p>
    <w:p>
      <w:pPr>
        <w:pStyle w:val="Heading6"/>
        <w:numPr>
          <w:ilvl w:val="0"/>
          <w:numId w:val="6"/>
        </w:numPr>
        <w:tabs>
          <w:tab w:pos="677" w:val="left" w:leader="none"/>
        </w:tabs>
        <w:spacing w:line="249" w:lineRule="auto" w:before="0" w:after="0"/>
        <w:ind w:left="423" w:right="357" w:firstLine="0"/>
        <w:jc w:val="left"/>
      </w:pPr>
      <w:r>
        <w:rPr/>
        <w:t>Non-current assets (or disposal </w:t>
      </w:r>
      <w:r>
        <w:rPr>
          <w:spacing w:val="-4"/>
        </w:rPr>
        <w:t>groups) </w:t>
      </w:r>
      <w:r>
        <w:rPr/>
        <w:t>classified as held for</w:t>
      </w:r>
      <w:r>
        <w:rPr>
          <w:spacing w:val="-2"/>
        </w:rPr>
        <w:t> </w:t>
      </w:r>
      <w:r>
        <w:rPr/>
        <w:t>sale</w:t>
      </w:r>
    </w:p>
    <w:p>
      <w:pPr>
        <w:pStyle w:val="BodyText"/>
        <w:spacing w:line="249" w:lineRule="auto" w:before="2"/>
        <w:ind w:left="423" w:right="-7"/>
      </w:pPr>
      <w:r>
        <w:rPr/>
        <w:t>The</w:t>
      </w:r>
      <w:r>
        <w:rPr>
          <w:spacing w:val="-21"/>
        </w:rPr>
        <w:t> </w:t>
      </w:r>
      <w:r>
        <w:rPr/>
        <w:t>Department</w:t>
      </w:r>
      <w:r>
        <w:rPr>
          <w:spacing w:val="-21"/>
        </w:rPr>
        <w:t> </w:t>
      </w:r>
      <w:r>
        <w:rPr/>
        <w:t>does</w:t>
      </w:r>
      <w:r>
        <w:rPr>
          <w:spacing w:val="-21"/>
        </w:rPr>
        <w:t> </w:t>
      </w:r>
      <w:r>
        <w:rPr/>
        <w:t>not</w:t>
      </w:r>
      <w:r>
        <w:rPr>
          <w:spacing w:val="-20"/>
        </w:rPr>
        <w:t> </w:t>
      </w:r>
      <w:r>
        <w:rPr/>
        <w:t>have</w:t>
      </w:r>
      <w:r>
        <w:rPr>
          <w:spacing w:val="-21"/>
        </w:rPr>
        <w:t> </w:t>
      </w:r>
      <w:r>
        <w:rPr/>
        <w:t>non-current</w:t>
      </w:r>
      <w:r>
        <w:rPr>
          <w:spacing w:val="-21"/>
        </w:rPr>
        <w:t> </w:t>
      </w:r>
      <w:r>
        <w:rPr>
          <w:spacing w:val="-4"/>
        </w:rPr>
        <w:t>assets </w:t>
      </w:r>
      <w:r>
        <w:rPr/>
        <w:t>held for</w:t>
      </w:r>
      <w:r>
        <w:rPr>
          <w:spacing w:val="-2"/>
        </w:rPr>
        <w:t> </w:t>
      </w:r>
      <w:r>
        <w:rPr/>
        <w:t>sale.</w:t>
      </w:r>
    </w:p>
    <w:p>
      <w:pPr>
        <w:pStyle w:val="BodyText"/>
        <w:spacing w:before="1"/>
        <w:rPr>
          <w:sz w:val="23"/>
        </w:rPr>
      </w:pPr>
    </w:p>
    <w:p>
      <w:pPr>
        <w:pStyle w:val="Heading6"/>
        <w:numPr>
          <w:ilvl w:val="0"/>
          <w:numId w:val="6"/>
        </w:numPr>
        <w:tabs>
          <w:tab w:pos="742" w:val="left" w:leader="none"/>
        </w:tabs>
        <w:spacing w:line="240" w:lineRule="auto" w:before="0" w:after="0"/>
        <w:ind w:left="741" w:right="0" w:hanging="318"/>
        <w:jc w:val="left"/>
      </w:pPr>
      <w:r>
        <w:rPr/>
        <w:t>Leases</w:t>
      </w:r>
    </w:p>
    <w:p>
      <w:pPr>
        <w:pStyle w:val="BodyText"/>
        <w:spacing w:line="249" w:lineRule="auto" w:before="11"/>
        <w:ind w:left="423"/>
      </w:pPr>
      <w:r>
        <w:rPr/>
        <w:t>Finance lease rights and obligations are initially recognised, at the commencement of the lease term, as assets and liabilities equal in amount to the fair value of the leased item </w:t>
      </w:r>
      <w:r>
        <w:rPr>
          <w:spacing w:val="-7"/>
        </w:rPr>
        <w:t>or, </w:t>
      </w:r>
      <w:r>
        <w:rPr/>
        <w:t>if </w:t>
      </w:r>
      <w:r>
        <w:rPr>
          <w:spacing w:val="-4"/>
        </w:rPr>
        <w:t>lower, </w:t>
      </w:r>
      <w:r>
        <w:rPr/>
        <w:t>the present value of the minimum lease payments, determined at the inception of the lease. The assets are disclosed as plant, equipment and vehicles</w:t>
      </w:r>
      <w:r>
        <w:rPr>
          <w:spacing w:val="-26"/>
        </w:rPr>
        <w:t> </w:t>
      </w:r>
      <w:r>
        <w:rPr/>
        <w:t>under</w:t>
      </w:r>
      <w:r>
        <w:rPr>
          <w:spacing w:val="-26"/>
        </w:rPr>
        <w:t> </w:t>
      </w:r>
      <w:r>
        <w:rPr/>
        <w:t>lease,</w:t>
      </w:r>
      <w:r>
        <w:rPr>
          <w:spacing w:val="-25"/>
        </w:rPr>
        <w:t> </w:t>
      </w:r>
      <w:r>
        <w:rPr/>
        <w:t>and</w:t>
      </w:r>
      <w:r>
        <w:rPr>
          <w:spacing w:val="-26"/>
        </w:rPr>
        <w:t> </w:t>
      </w:r>
      <w:r>
        <w:rPr/>
        <w:t>are</w:t>
      </w:r>
      <w:r>
        <w:rPr>
          <w:spacing w:val="-26"/>
        </w:rPr>
        <w:t> </w:t>
      </w:r>
      <w:r>
        <w:rPr/>
        <w:t>depreciated</w:t>
      </w:r>
      <w:r>
        <w:rPr>
          <w:spacing w:val="-25"/>
        </w:rPr>
        <w:t> </w:t>
      </w:r>
      <w:r>
        <w:rPr/>
        <w:t>over</w:t>
      </w:r>
      <w:r>
        <w:rPr>
          <w:spacing w:val="-26"/>
        </w:rPr>
        <w:t> </w:t>
      </w:r>
      <w:r>
        <w:rPr/>
        <w:t>the period during which the Department is expected to</w:t>
      </w:r>
      <w:r>
        <w:rPr>
          <w:spacing w:val="-21"/>
        </w:rPr>
        <w:t> </w:t>
      </w:r>
      <w:r>
        <w:rPr/>
        <w:t>benefit</w:t>
      </w:r>
      <w:r>
        <w:rPr>
          <w:spacing w:val="-20"/>
        </w:rPr>
        <w:t> </w:t>
      </w:r>
      <w:r>
        <w:rPr/>
        <w:t>from</w:t>
      </w:r>
      <w:r>
        <w:rPr>
          <w:spacing w:val="-20"/>
        </w:rPr>
        <w:t> </w:t>
      </w:r>
      <w:r>
        <w:rPr/>
        <w:t>their</w:t>
      </w:r>
      <w:r>
        <w:rPr>
          <w:spacing w:val="-21"/>
        </w:rPr>
        <w:t> </w:t>
      </w:r>
      <w:r>
        <w:rPr/>
        <w:t>use.</w:t>
      </w:r>
      <w:r>
        <w:rPr>
          <w:spacing w:val="-20"/>
        </w:rPr>
        <w:t> </w:t>
      </w:r>
      <w:r>
        <w:rPr/>
        <w:t>Minimum</w:t>
      </w:r>
      <w:r>
        <w:rPr>
          <w:spacing w:val="-20"/>
        </w:rPr>
        <w:t> </w:t>
      </w:r>
      <w:r>
        <w:rPr/>
        <w:t>lease</w:t>
      </w:r>
      <w:r>
        <w:rPr>
          <w:spacing w:val="-21"/>
        </w:rPr>
        <w:t> </w:t>
      </w:r>
      <w:r>
        <w:rPr>
          <w:spacing w:val="-3"/>
        </w:rPr>
        <w:t>payments </w:t>
      </w:r>
      <w:r>
        <w:rPr/>
        <w:t>are apportioned between the finance charge and the reduction of the outstanding lease </w:t>
      </w:r>
      <w:r>
        <w:rPr>
          <w:spacing w:val="-3"/>
        </w:rPr>
        <w:t>liability, </w:t>
      </w:r>
      <w:r>
        <w:rPr/>
        <w:t>according</w:t>
      </w:r>
      <w:r>
        <w:rPr>
          <w:spacing w:val="-15"/>
        </w:rPr>
        <w:t> </w:t>
      </w:r>
      <w:r>
        <w:rPr/>
        <w:t>to</w:t>
      </w:r>
      <w:r>
        <w:rPr>
          <w:spacing w:val="-14"/>
        </w:rPr>
        <w:t> </w:t>
      </w:r>
      <w:r>
        <w:rPr/>
        <w:t>the</w:t>
      </w:r>
      <w:r>
        <w:rPr>
          <w:spacing w:val="-14"/>
        </w:rPr>
        <w:t> </w:t>
      </w:r>
      <w:r>
        <w:rPr/>
        <w:t>interest</w:t>
      </w:r>
      <w:r>
        <w:rPr>
          <w:spacing w:val="-14"/>
        </w:rPr>
        <w:t> </w:t>
      </w:r>
      <w:r>
        <w:rPr/>
        <w:t>rate</w:t>
      </w:r>
      <w:r>
        <w:rPr>
          <w:spacing w:val="-14"/>
        </w:rPr>
        <w:t> </w:t>
      </w:r>
      <w:r>
        <w:rPr/>
        <w:t>implicit</w:t>
      </w:r>
      <w:r>
        <w:rPr>
          <w:spacing w:val="-14"/>
        </w:rPr>
        <w:t> </w:t>
      </w:r>
      <w:r>
        <w:rPr/>
        <w:t>in</w:t>
      </w:r>
      <w:r>
        <w:rPr>
          <w:spacing w:val="-14"/>
        </w:rPr>
        <w:t> </w:t>
      </w:r>
      <w:r>
        <w:rPr/>
        <w:t>the</w:t>
      </w:r>
      <w:r>
        <w:rPr>
          <w:spacing w:val="-14"/>
        </w:rPr>
        <w:t> </w:t>
      </w:r>
      <w:r>
        <w:rPr/>
        <w:t>lease.</w:t>
      </w:r>
    </w:p>
    <w:p>
      <w:pPr>
        <w:pStyle w:val="BodyText"/>
        <w:spacing w:before="5"/>
        <w:rPr>
          <w:sz w:val="23"/>
        </w:rPr>
      </w:pPr>
      <w:r>
        <w:rPr/>
        <w:br w:type="column"/>
      </w:r>
      <w:r>
        <w:rPr>
          <w:sz w:val="23"/>
        </w:rPr>
      </w:r>
    </w:p>
    <w:p>
      <w:pPr>
        <w:pStyle w:val="BodyText"/>
        <w:spacing w:line="249" w:lineRule="auto"/>
        <w:ind w:left="424" w:right="776"/>
      </w:pPr>
      <w:r>
        <w:rPr/>
        <w:t>The Department has entered into an operating lease</w:t>
      </w:r>
      <w:r>
        <w:rPr>
          <w:spacing w:val="-21"/>
        </w:rPr>
        <w:t> </w:t>
      </w:r>
      <w:r>
        <w:rPr/>
        <w:t>arrangement</w:t>
      </w:r>
      <w:r>
        <w:rPr>
          <w:spacing w:val="-20"/>
        </w:rPr>
        <w:t> </w:t>
      </w:r>
      <w:r>
        <w:rPr/>
        <w:t>for</w:t>
      </w:r>
      <w:r>
        <w:rPr>
          <w:spacing w:val="-20"/>
        </w:rPr>
        <w:t> </w:t>
      </w:r>
      <w:r>
        <w:rPr/>
        <w:t>the</w:t>
      </w:r>
      <w:r>
        <w:rPr>
          <w:spacing w:val="-21"/>
        </w:rPr>
        <w:t> </w:t>
      </w:r>
      <w:r>
        <w:rPr/>
        <w:t>rent</w:t>
      </w:r>
      <w:r>
        <w:rPr>
          <w:spacing w:val="-20"/>
        </w:rPr>
        <w:t> </w:t>
      </w:r>
      <w:r>
        <w:rPr/>
        <w:t>of</w:t>
      </w:r>
      <w:r>
        <w:rPr>
          <w:spacing w:val="-20"/>
        </w:rPr>
        <w:t> </w:t>
      </w:r>
      <w:r>
        <w:rPr/>
        <w:t>the</w:t>
      </w:r>
      <w:r>
        <w:rPr>
          <w:spacing w:val="-21"/>
        </w:rPr>
        <w:t> </w:t>
      </w:r>
      <w:r>
        <w:rPr/>
        <w:t>office</w:t>
      </w:r>
      <w:r>
        <w:rPr>
          <w:spacing w:val="-20"/>
        </w:rPr>
        <w:t> </w:t>
      </w:r>
      <w:r>
        <w:rPr>
          <w:spacing w:val="-3"/>
        </w:rPr>
        <w:t>building </w:t>
      </w:r>
      <w:r>
        <w:rPr/>
        <w:t>where</w:t>
      </w:r>
      <w:r>
        <w:rPr>
          <w:spacing w:val="-23"/>
        </w:rPr>
        <w:t> </w:t>
      </w:r>
      <w:r>
        <w:rPr/>
        <w:t>the</w:t>
      </w:r>
      <w:r>
        <w:rPr>
          <w:spacing w:val="-23"/>
        </w:rPr>
        <w:t> </w:t>
      </w:r>
      <w:r>
        <w:rPr/>
        <w:t>lessor</w:t>
      </w:r>
      <w:r>
        <w:rPr>
          <w:spacing w:val="-23"/>
        </w:rPr>
        <w:t> </w:t>
      </w:r>
      <w:r>
        <w:rPr/>
        <w:t>effectively</w:t>
      </w:r>
      <w:r>
        <w:rPr>
          <w:spacing w:val="-23"/>
        </w:rPr>
        <w:t> </w:t>
      </w:r>
      <w:r>
        <w:rPr/>
        <w:t>retains</w:t>
      </w:r>
      <w:r>
        <w:rPr>
          <w:spacing w:val="-23"/>
        </w:rPr>
        <w:t> </w:t>
      </w:r>
      <w:r>
        <w:rPr/>
        <w:t>the</w:t>
      </w:r>
      <w:r>
        <w:rPr>
          <w:spacing w:val="-23"/>
        </w:rPr>
        <w:t> </w:t>
      </w:r>
      <w:r>
        <w:rPr/>
        <w:t>entire</w:t>
      </w:r>
      <w:r>
        <w:rPr>
          <w:spacing w:val="-23"/>
        </w:rPr>
        <w:t> </w:t>
      </w:r>
      <w:r>
        <w:rPr/>
        <w:t>risks and benefits incidental to ownership of the items held under the operating</w:t>
      </w:r>
      <w:r>
        <w:rPr>
          <w:spacing w:val="-12"/>
        </w:rPr>
        <w:t> </w:t>
      </w:r>
      <w:r>
        <w:rPr/>
        <w:t>lease.</w:t>
      </w:r>
    </w:p>
    <w:p>
      <w:pPr>
        <w:pStyle w:val="BodyText"/>
        <w:spacing w:before="4"/>
        <w:rPr>
          <w:sz w:val="23"/>
        </w:rPr>
      </w:pPr>
    </w:p>
    <w:p>
      <w:pPr>
        <w:pStyle w:val="BodyText"/>
        <w:spacing w:line="249" w:lineRule="auto"/>
        <w:ind w:left="424" w:right="806"/>
      </w:pPr>
      <w:r>
        <w:rPr/>
        <w:t>Lease income from operating leases where the Department</w:t>
      </w:r>
      <w:r>
        <w:rPr>
          <w:spacing w:val="-19"/>
        </w:rPr>
        <w:t> </w:t>
      </w:r>
      <w:r>
        <w:rPr/>
        <w:t>is</w:t>
      </w:r>
      <w:r>
        <w:rPr>
          <w:spacing w:val="-19"/>
        </w:rPr>
        <w:t> </w:t>
      </w:r>
      <w:r>
        <w:rPr/>
        <w:t>a</w:t>
      </w:r>
      <w:r>
        <w:rPr>
          <w:spacing w:val="-18"/>
        </w:rPr>
        <w:t> </w:t>
      </w:r>
      <w:r>
        <w:rPr/>
        <w:t>lessor</w:t>
      </w:r>
      <w:r>
        <w:rPr>
          <w:spacing w:val="-19"/>
        </w:rPr>
        <w:t> </w:t>
      </w:r>
      <w:r>
        <w:rPr/>
        <w:t>is</w:t>
      </w:r>
      <w:r>
        <w:rPr>
          <w:spacing w:val="-18"/>
        </w:rPr>
        <w:t> </w:t>
      </w:r>
      <w:r>
        <w:rPr/>
        <w:t>recognised</w:t>
      </w:r>
      <w:r>
        <w:rPr>
          <w:spacing w:val="-19"/>
        </w:rPr>
        <w:t> </w:t>
      </w:r>
      <w:r>
        <w:rPr/>
        <w:t>as</w:t>
      </w:r>
      <w:r>
        <w:rPr>
          <w:spacing w:val="-19"/>
        </w:rPr>
        <w:t> </w:t>
      </w:r>
      <w:r>
        <w:rPr/>
        <w:t>income</w:t>
      </w:r>
      <w:r>
        <w:rPr>
          <w:spacing w:val="-18"/>
        </w:rPr>
        <w:t> </w:t>
      </w:r>
      <w:r>
        <w:rPr>
          <w:spacing w:val="-9"/>
        </w:rPr>
        <w:t>on </w:t>
      </w:r>
      <w:r>
        <w:rPr/>
        <w:t>a straight-line basis over the lease</w:t>
      </w:r>
      <w:r>
        <w:rPr>
          <w:spacing w:val="-39"/>
        </w:rPr>
        <w:t> </w:t>
      </w:r>
      <w:r>
        <w:rPr/>
        <w:t>term.</w:t>
      </w:r>
    </w:p>
    <w:p>
      <w:pPr>
        <w:pStyle w:val="BodyText"/>
        <w:spacing w:before="2"/>
        <w:rPr>
          <w:sz w:val="23"/>
        </w:rPr>
      </w:pPr>
    </w:p>
    <w:p>
      <w:pPr>
        <w:pStyle w:val="BodyText"/>
        <w:spacing w:line="249" w:lineRule="auto"/>
        <w:ind w:left="424" w:right="1111"/>
      </w:pPr>
      <w:r>
        <w:rPr/>
        <w:t>Operating leases are expensed on a straight line</w:t>
      </w:r>
      <w:r>
        <w:rPr>
          <w:spacing w:val="-22"/>
        </w:rPr>
        <w:t> </w:t>
      </w:r>
      <w:r>
        <w:rPr/>
        <w:t>basis</w:t>
      </w:r>
      <w:r>
        <w:rPr>
          <w:spacing w:val="-22"/>
        </w:rPr>
        <w:t> </w:t>
      </w:r>
      <w:r>
        <w:rPr/>
        <w:t>over</w:t>
      </w:r>
      <w:r>
        <w:rPr>
          <w:spacing w:val="-21"/>
        </w:rPr>
        <w:t> </w:t>
      </w:r>
      <w:r>
        <w:rPr/>
        <w:t>the</w:t>
      </w:r>
      <w:r>
        <w:rPr>
          <w:spacing w:val="-22"/>
        </w:rPr>
        <w:t> </w:t>
      </w:r>
      <w:r>
        <w:rPr/>
        <w:t>lease</w:t>
      </w:r>
      <w:r>
        <w:rPr>
          <w:spacing w:val="-21"/>
        </w:rPr>
        <w:t> </w:t>
      </w:r>
      <w:r>
        <w:rPr/>
        <w:t>term</w:t>
      </w:r>
      <w:r>
        <w:rPr>
          <w:spacing w:val="-22"/>
        </w:rPr>
        <w:t> </w:t>
      </w:r>
      <w:r>
        <w:rPr/>
        <w:t>as</w:t>
      </w:r>
      <w:r>
        <w:rPr>
          <w:spacing w:val="-21"/>
        </w:rPr>
        <w:t> </w:t>
      </w:r>
      <w:r>
        <w:rPr/>
        <w:t>this</w:t>
      </w:r>
      <w:r>
        <w:rPr>
          <w:spacing w:val="-22"/>
        </w:rPr>
        <w:t> </w:t>
      </w:r>
      <w:r>
        <w:rPr>
          <w:spacing w:val="-3"/>
        </w:rPr>
        <w:t>represents </w:t>
      </w:r>
      <w:r>
        <w:rPr/>
        <w:t>the</w:t>
      </w:r>
      <w:r>
        <w:rPr>
          <w:spacing w:val="-15"/>
        </w:rPr>
        <w:t> </w:t>
      </w:r>
      <w:r>
        <w:rPr/>
        <w:t>pattern</w:t>
      </w:r>
      <w:r>
        <w:rPr>
          <w:spacing w:val="-15"/>
        </w:rPr>
        <w:t> </w:t>
      </w:r>
      <w:r>
        <w:rPr/>
        <w:t>of</w:t>
      </w:r>
      <w:r>
        <w:rPr>
          <w:spacing w:val="-15"/>
        </w:rPr>
        <w:t> </w:t>
      </w:r>
      <w:r>
        <w:rPr/>
        <w:t>benefits</w:t>
      </w:r>
      <w:r>
        <w:rPr>
          <w:spacing w:val="-16"/>
        </w:rPr>
        <w:t> </w:t>
      </w:r>
      <w:r>
        <w:rPr/>
        <w:t>derived</w:t>
      </w:r>
      <w:r>
        <w:rPr>
          <w:spacing w:val="-15"/>
        </w:rPr>
        <w:t> </w:t>
      </w:r>
      <w:r>
        <w:rPr/>
        <w:t>from</w:t>
      </w:r>
      <w:r>
        <w:rPr>
          <w:spacing w:val="-15"/>
        </w:rPr>
        <w:t> </w:t>
      </w:r>
      <w:r>
        <w:rPr/>
        <w:t>the</w:t>
      </w:r>
      <w:r>
        <w:rPr>
          <w:spacing w:val="-15"/>
        </w:rPr>
        <w:t> </w:t>
      </w:r>
      <w:r>
        <w:rPr/>
        <w:t>leased properties.</w:t>
      </w:r>
    </w:p>
    <w:p>
      <w:pPr>
        <w:pStyle w:val="BodyText"/>
        <w:spacing w:before="3"/>
        <w:rPr>
          <w:sz w:val="23"/>
        </w:rPr>
      </w:pPr>
    </w:p>
    <w:p>
      <w:pPr>
        <w:pStyle w:val="Heading6"/>
        <w:numPr>
          <w:ilvl w:val="0"/>
          <w:numId w:val="6"/>
        </w:numPr>
        <w:tabs>
          <w:tab w:pos="673" w:val="left" w:leader="none"/>
        </w:tabs>
        <w:spacing w:line="240" w:lineRule="auto" w:before="0" w:after="0"/>
        <w:ind w:left="672" w:right="0" w:hanging="248"/>
        <w:jc w:val="left"/>
      </w:pPr>
      <w:r>
        <w:rPr/>
        <w:t>Financial</w:t>
      </w:r>
      <w:r>
        <w:rPr>
          <w:spacing w:val="-1"/>
        </w:rPr>
        <w:t> </w:t>
      </w:r>
      <w:r>
        <w:rPr/>
        <w:t>instruments</w:t>
      </w:r>
    </w:p>
    <w:p>
      <w:pPr>
        <w:pStyle w:val="BodyText"/>
        <w:spacing w:line="249" w:lineRule="auto" w:before="11"/>
        <w:ind w:left="424" w:right="1341"/>
      </w:pPr>
      <w:r>
        <w:rPr/>
        <w:t>In addition to cash, the Department has </w:t>
      </w:r>
      <w:r>
        <w:rPr>
          <w:spacing w:val="-6"/>
        </w:rPr>
        <w:t>two </w:t>
      </w:r>
      <w:r>
        <w:rPr/>
        <w:t>categories of financial instruments:</w:t>
      </w:r>
    </w:p>
    <w:p>
      <w:pPr>
        <w:pStyle w:val="ListParagraph"/>
        <w:numPr>
          <w:ilvl w:val="0"/>
          <w:numId w:val="3"/>
        </w:numPr>
        <w:tabs>
          <w:tab w:pos="596" w:val="left" w:leader="none"/>
        </w:tabs>
        <w:spacing w:line="240" w:lineRule="auto" w:before="2" w:after="0"/>
        <w:ind w:left="595" w:right="0" w:hanging="171"/>
        <w:jc w:val="left"/>
        <w:rPr>
          <w:sz w:val="22"/>
        </w:rPr>
      </w:pPr>
      <w:r>
        <w:rPr>
          <w:sz w:val="22"/>
        </w:rPr>
        <w:t>Receivables;</w:t>
      </w:r>
      <w:r>
        <w:rPr>
          <w:spacing w:val="-2"/>
          <w:sz w:val="22"/>
        </w:rPr>
        <w:t> </w:t>
      </w:r>
      <w:r>
        <w:rPr>
          <w:sz w:val="22"/>
        </w:rPr>
        <w:t>and</w:t>
      </w:r>
    </w:p>
    <w:p>
      <w:pPr>
        <w:pStyle w:val="ListParagraph"/>
        <w:numPr>
          <w:ilvl w:val="0"/>
          <w:numId w:val="3"/>
        </w:numPr>
        <w:tabs>
          <w:tab w:pos="596" w:val="left" w:leader="none"/>
        </w:tabs>
        <w:spacing w:line="240" w:lineRule="auto" w:before="11" w:after="0"/>
        <w:ind w:left="595" w:right="0" w:hanging="171"/>
        <w:jc w:val="left"/>
        <w:rPr>
          <w:sz w:val="22"/>
        </w:rPr>
      </w:pPr>
      <w:r>
        <w:rPr>
          <w:sz w:val="22"/>
        </w:rPr>
        <w:t>Financial liabilities measured at amortised</w:t>
      </w:r>
      <w:r>
        <w:rPr>
          <w:spacing w:val="-44"/>
          <w:sz w:val="22"/>
        </w:rPr>
        <w:t> </w:t>
      </w:r>
      <w:r>
        <w:rPr>
          <w:sz w:val="22"/>
        </w:rPr>
        <w:t>cost.</w:t>
      </w:r>
    </w:p>
    <w:p>
      <w:pPr>
        <w:pStyle w:val="BodyText"/>
        <w:spacing w:before="11"/>
        <w:rPr>
          <w:sz w:val="23"/>
        </w:rPr>
      </w:pPr>
    </w:p>
    <w:p>
      <w:pPr>
        <w:pStyle w:val="BodyText"/>
        <w:spacing w:line="249" w:lineRule="auto"/>
        <w:ind w:left="424" w:right="1129"/>
      </w:pPr>
      <w:r>
        <w:rPr/>
        <w:t>Financial</w:t>
      </w:r>
      <w:r>
        <w:rPr>
          <w:spacing w:val="-37"/>
        </w:rPr>
        <w:t> </w:t>
      </w:r>
      <w:r>
        <w:rPr/>
        <w:t>instruments</w:t>
      </w:r>
      <w:r>
        <w:rPr>
          <w:spacing w:val="-36"/>
        </w:rPr>
        <w:t> </w:t>
      </w:r>
      <w:r>
        <w:rPr/>
        <w:t>have</w:t>
      </w:r>
      <w:r>
        <w:rPr>
          <w:spacing w:val="-37"/>
        </w:rPr>
        <w:t> </w:t>
      </w:r>
      <w:r>
        <w:rPr/>
        <w:t>been</w:t>
      </w:r>
      <w:r>
        <w:rPr>
          <w:spacing w:val="-36"/>
        </w:rPr>
        <w:t> </w:t>
      </w:r>
      <w:r>
        <w:rPr>
          <w:spacing w:val="-3"/>
        </w:rPr>
        <w:t>disaggregated </w:t>
      </w:r>
      <w:r>
        <w:rPr/>
        <w:t>into the following</w:t>
      </w:r>
      <w:r>
        <w:rPr>
          <w:spacing w:val="-7"/>
        </w:rPr>
        <w:t> </w:t>
      </w:r>
      <w:r>
        <w:rPr/>
        <w:t>classes:</w:t>
      </w:r>
    </w:p>
    <w:p>
      <w:pPr>
        <w:pStyle w:val="ListParagraph"/>
        <w:numPr>
          <w:ilvl w:val="0"/>
          <w:numId w:val="3"/>
        </w:numPr>
        <w:tabs>
          <w:tab w:pos="596" w:val="left" w:leader="none"/>
        </w:tabs>
        <w:spacing w:line="240" w:lineRule="auto" w:before="2" w:after="0"/>
        <w:ind w:left="595" w:right="0" w:hanging="171"/>
        <w:jc w:val="left"/>
        <w:rPr>
          <w:sz w:val="22"/>
        </w:rPr>
      </w:pPr>
      <w:r>
        <w:rPr>
          <w:sz w:val="22"/>
        </w:rPr>
        <w:t>Financial</w:t>
      </w:r>
      <w:r>
        <w:rPr>
          <w:spacing w:val="-2"/>
          <w:sz w:val="22"/>
        </w:rPr>
        <w:t> </w:t>
      </w:r>
      <w:r>
        <w:rPr>
          <w:sz w:val="22"/>
        </w:rPr>
        <w:t>assets</w:t>
      </w:r>
    </w:p>
    <w:p>
      <w:pPr>
        <w:pStyle w:val="ListParagraph"/>
        <w:numPr>
          <w:ilvl w:val="0"/>
          <w:numId w:val="7"/>
        </w:numPr>
        <w:tabs>
          <w:tab w:pos="751" w:val="left" w:leader="none"/>
        </w:tabs>
        <w:spacing w:line="240" w:lineRule="auto" w:before="11" w:after="0"/>
        <w:ind w:left="750" w:right="0" w:hanging="143"/>
        <w:jc w:val="left"/>
        <w:rPr>
          <w:sz w:val="22"/>
        </w:rPr>
      </w:pPr>
      <w:r>
        <w:rPr>
          <w:sz w:val="22"/>
        </w:rPr>
        <w:t>Cash and cash</w:t>
      </w:r>
      <w:r>
        <w:rPr>
          <w:spacing w:val="-7"/>
          <w:sz w:val="22"/>
        </w:rPr>
        <w:t> </w:t>
      </w:r>
      <w:r>
        <w:rPr>
          <w:sz w:val="22"/>
        </w:rPr>
        <w:t>equivalents</w:t>
      </w:r>
    </w:p>
    <w:p>
      <w:pPr>
        <w:pStyle w:val="ListParagraph"/>
        <w:numPr>
          <w:ilvl w:val="0"/>
          <w:numId w:val="7"/>
        </w:numPr>
        <w:tabs>
          <w:tab w:pos="751" w:val="left" w:leader="none"/>
        </w:tabs>
        <w:spacing w:line="240" w:lineRule="auto" w:before="11" w:after="0"/>
        <w:ind w:left="750" w:right="0" w:hanging="143"/>
        <w:jc w:val="left"/>
        <w:rPr>
          <w:sz w:val="22"/>
        </w:rPr>
      </w:pPr>
      <w:r>
        <w:rPr>
          <w:sz w:val="22"/>
        </w:rPr>
        <w:t>Restricted cash and cash</w:t>
      </w:r>
      <w:r>
        <w:rPr>
          <w:spacing w:val="-15"/>
          <w:sz w:val="22"/>
        </w:rPr>
        <w:t> </w:t>
      </w:r>
      <w:r>
        <w:rPr>
          <w:sz w:val="22"/>
        </w:rPr>
        <w:t>equivalents</w:t>
      </w:r>
    </w:p>
    <w:p>
      <w:pPr>
        <w:pStyle w:val="ListParagraph"/>
        <w:numPr>
          <w:ilvl w:val="0"/>
          <w:numId w:val="7"/>
        </w:numPr>
        <w:tabs>
          <w:tab w:pos="751" w:val="left" w:leader="none"/>
        </w:tabs>
        <w:spacing w:line="240" w:lineRule="auto" w:before="11" w:after="0"/>
        <w:ind w:left="750" w:right="0" w:hanging="143"/>
        <w:jc w:val="left"/>
        <w:rPr>
          <w:sz w:val="22"/>
        </w:rPr>
      </w:pPr>
      <w:r>
        <w:rPr>
          <w:sz w:val="22"/>
        </w:rPr>
        <w:t>Receivables</w:t>
      </w:r>
    </w:p>
    <w:p>
      <w:pPr>
        <w:pStyle w:val="ListParagraph"/>
        <w:numPr>
          <w:ilvl w:val="0"/>
          <w:numId w:val="7"/>
        </w:numPr>
        <w:tabs>
          <w:tab w:pos="751" w:val="left" w:leader="none"/>
        </w:tabs>
        <w:spacing w:line="240" w:lineRule="auto" w:before="11" w:after="0"/>
        <w:ind w:left="750" w:right="0" w:hanging="143"/>
        <w:jc w:val="left"/>
        <w:rPr>
          <w:sz w:val="22"/>
        </w:rPr>
      </w:pPr>
      <w:r>
        <w:rPr>
          <w:sz w:val="22"/>
        </w:rPr>
        <w:t>Finance lease</w:t>
      </w:r>
      <w:r>
        <w:rPr>
          <w:spacing w:val="-6"/>
          <w:sz w:val="22"/>
        </w:rPr>
        <w:t> </w:t>
      </w:r>
      <w:r>
        <w:rPr>
          <w:sz w:val="22"/>
        </w:rPr>
        <w:t>receivables</w:t>
      </w:r>
    </w:p>
    <w:p>
      <w:pPr>
        <w:pStyle w:val="ListParagraph"/>
        <w:numPr>
          <w:ilvl w:val="0"/>
          <w:numId w:val="7"/>
        </w:numPr>
        <w:tabs>
          <w:tab w:pos="751" w:val="left" w:leader="none"/>
        </w:tabs>
        <w:spacing w:line="240" w:lineRule="auto" w:before="11" w:after="0"/>
        <w:ind w:left="750" w:right="0" w:hanging="143"/>
        <w:jc w:val="left"/>
        <w:rPr>
          <w:sz w:val="22"/>
        </w:rPr>
      </w:pPr>
      <w:r>
        <w:rPr>
          <w:sz w:val="22"/>
        </w:rPr>
        <w:t>Amounts receivable for</w:t>
      </w:r>
      <w:r>
        <w:rPr>
          <w:spacing w:val="-10"/>
          <w:sz w:val="22"/>
        </w:rPr>
        <w:t> </w:t>
      </w:r>
      <w:r>
        <w:rPr>
          <w:sz w:val="22"/>
        </w:rPr>
        <w:t>services.</w:t>
      </w:r>
    </w:p>
    <w:p>
      <w:pPr>
        <w:spacing w:after="0" w:line="240" w:lineRule="auto"/>
        <w:jc w:val="left"/>
        <w:rPr>
          <w:sz w:val="22"/>
        </w:rPr>
        <w:sectPr>
          <w:type w:val="continuous"/>
          <w:pgSz w:w="16840" w:h="11910" w:orient="landscape"/>
          <w:pgMar w:top="0" w:bottom="0" w:left="0" w:right="0"/>
          <w:cols w:num="3" w:equalWidth="0">
            <w:col w:w="5546" w:space="40"/>
            <w:col w:w="5204" w:space="39"/>
            <w:col w:w="6011"/>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412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424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427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197"/>
          <w:pgSz w:w="16840" w:h="11910" w:orient="landscape"/>
          <w:pgMar w:footer="448" w:header="0" w:top="0" w:bottom="640" w:left="0" w:right="0"/>
        </w:sectPr>
      </w:pPr>
    </w:p>
    <w:p>
      <w:pPr>
        <w:pStyle w:val="BodyText"/>
        <w:spacing w:before="5"/>
        <w:rPr>
          <w:sz w:val="23"/>
        </w:rPr>
      </w:pPr>
    </w:p>
    <w:p>
      <w:pPr>
        <w:pStyle w:val="ListParagraph"/>
        <w:numPr>
          <w:ilvl w:val="1"/>
          <w:numId w:val="7"/>
        </w:numPr>
        <w:tabs>
          <w:tab w:pos="937" w:val="left" w:leader="none"/>
        </w:tabs>
        <w:spacing w:line="240" w:lineRule="auto" w:before="0" w:after="0"/>
        <w:ind w:left="936" w:right="0" w:hanging="171"/>
        <w:jc w:val="left"/>
        <w:rPr>
          <w:sz w:val="22"/>
        </w:rPr>
      </w:pPr>
      <w:r>
        <w:rPr>
          <w:sz w:val="22"/>
        </w:rPr>
        <w:t>Financial</w:t>
      </w:r>
      <w:r>
        <w:rPr>
          <w:spacing w:val="-3"/>
          <w:sz w:val="22"/>
        </w:rPr>
        <w:t> </w:t>
      </w:r>
      <w:r>
        <w:rPr>
          <w:sz w:val="22"/>
        </w:rPr>
        <w:t>liabilities</w:t>
      </w:r>
    </w:p>
    <w:p>
      <w:pPr>
        <w:pStyle w:val="ListParagraph"/>
        <w:numPr>
          <w:ilvl w:val="2"/>
          <w:numId w:val="7"/>
        </w:numPr>
        <w:tabs>
          <w:tab w:pos="1092" w:val="left" w:leader="none"/>
        </w:tabs>
        <w:spacing w:line="240" w:lineRule="auto" w:before="11" w:after="0"/>
        <w:ind w:left="1071" w:right="0" w:hanging="123"/>
        <w:jc w:val="left"/>
        <w:rPr>
          <w:sz w:val="22"/>
        </w:rPr>
      </w:pPr>
      <w:r>
        <w:rPr>
          <w:sz w:val="22"/>
        </w:rPr>
        <w:t>Payables</w:t>
      </w:r>
    </w:p>
    <w:p>
      <w:pPr>
        <w:pStyle w:val="ListParagraph"/>
        <w:numPr>
          <w:ilvl w:val="2"/>
          <w:numId w:val="7"/>
        </w:numPr>
        <w:tabs>
          <w:tab w:pos="1092" w:val="left" w:leader="none"/>
        </w:tabs>
        <w:spacing w:line="249" w:lineRule="auto" w:before="11" w:after="0"/>
        <w:ind w:left="1071" w:right="609" w:hanging="123"/>
        <w:jc w:val="left"/>
        <w:rPr>
          <w:sz w:val="22"/>
        </w:rPr>
      </w:pPr>
      <w:r>
        <w:rPr>
          <w:w w:val="95"/>
          <w:sz w:val="22"/>
        </w:rPr>
        <w:t>Western Australian </w:t>
      </w:r>
      <w:r>
        <w:rPr>
          <w:spacing w:val="-4"/>
          <w:w w:val="95"/>
          <w:sz w:val="22"/>
        </w:rPr>
        <w:t>Treasury </w:t>
      </w:r>
      <w:r>
        <w:rPr>
          <w:w w:val="95"/>
          <w:sz w:val="22"/>
        </w:rPr>
        <w:t>Corporation </w:t>
      </w:r>
      <w:r>
        <w:rPr>
          <w:spacing w:val="-4"/>
          <w:sz w:val="22"/>
        </w:rPr>
        <w:t>(WATC)</w:t>
      </w:r>
      <w:r>
        <w:rPr>
          <w:spacing w:val="-3"/>
          <w:sz w:val="22"/>
        </w:rPr>
        <w:t> </w:t>
      </w:r>
      <w:r>
        <w:rPr>
          <w:sz w:val="22"/>
        </w:rPr>
        <w:t>borrowings</w:t>
      </w:r>
    </w:p>
    <w:p>
      <w:pPr>
        <w:pStyle w:val="ListParagraph"/>
        <w:numPr>
          <w:ilvl w:val="2"/>
          <w:numId w:val="7"/>
        </w:numPr>
        <w:tabs>
          <w:tab w:pos="1092" w:val="left" w:leader="none"/>
        </w:tabs>
        <w:spacing w:line="240" w:lineRule="auto" w:before="2" w:after="0"/>
        <w:ind w:left="1091" w:right="0" w:hanging="143"/>
        <w:jc w:val="left"/>
        <w:rPr>
          <w:sz w:val="22"/>
        </w:rPr>
      </w:pPr>
      <w:r>
        <w:rPr>
          <w:sz w:val="22"/>
        </w:rPr>
        <w:t>Heritage Maintenance</w:t>
      </w:r>
      <w:r>
        <w:rPr>
          <w:spacing w:val="-10"/>
          <w:sz w:val="22"/>
        </w:rPr>
        <w:t> </w:t>
      </w:r>
      <w:r>
        <w:rPr>
          <w:sz w:val="22"/>
        </w:rPr>
        <w:t>borrowings</w:t>
      </w:r>
    </w:p>
    <w:p>
      <w:pPr>
        <w:pStyle w:val="ListParagraph"/>
        <w:numPr>
          <w:ilvl w:val="2"/>
          <w:numId w:val="7"/>
        </w:numPr>
        <w:tabs>
          <w:tab w:pos="1092" w:val="left" w:leader="none"/>
        </w:tabs>
        <w:spacing w:line="240" w:lineRule="auto" w:before="11" w:after="0"/>
        <w:ind w:left="1091" w:right="0" w:hanging="143"/>
        <w:jc w:val="left"/>
        <w:rPr>
          <w:sz w:val="22"/>
        </w:rPr>
      </w:pPr>
      <w:r>
        <w:rPr>
          <w:sz w:val="22"/>
        </w:rPr>
        <w:t>Amounts due to the</w:t>
      </w:r>
      <w:r>
        <w:rPr>
          <w:spacing w:val="-12"/>
          <w:sz w:val="22"/>
        </w:rPr>
        <w:t> </w:t>
      </w:r>
      <w:r>
        <w:rPr>
          <w:spacing w:val="-5"/>
          <w:sz w:val="22"/>
        </w:rPr>
        <w:t>Treasurer.</w:t>
      </w:r>
    </w:p>
    <w:p>
      <w:pPr>
        <w:pStyle w:val="BodyText"/>
        <w:spacing w:before="10"/>
        <w:rPr>
          <w:sz w:val="23"/>
        </w:rPr>
      </w:pPr>
    </w:p>
    <w:p>
      <w:pPr>
        <w:pStyle w:val="BodyText"/>
        <w:spacing w:line="249" w:lineRule="auto"/>
        <w:ind w:left="765" w:right="115"/>
      </w:pPr>
      <w:r>
        <w:rPr/>
        <w:t>Initial recognition and measurement of financial instruments is at fair value which normally equates</w:t>
      </w:r>
      <w:r>
        <w:rPr>
          <w:spacing w:val="-15"/>
        </w:rPr>
        <w:t> </w:t>
      </w:r>
      <w:r>
        <w:rPr/>
        <w:t>to</w:t>
      </w:r>
      <w:r>
        <w:rPr>
          <w:spacing w:val="-14"/>
        </w:rPr>
        <w:t> </w:t>
      </w:r>
      <w:r>
        <w:rPr/>
        <w:t>the</w:t>
      </w:r>
      <w:r>
        <w:rPr>
          <w:spacing w:val="-14"/>
        </w:rPr>
        <w:t> </w:t>
      </w:r>
      <w:r>
        <w:rPr/>
        <w:t>transaction</w:t>
      </w:r>
      <w:r>
        <w:rPr>
          <w:spacing w:val="-15"/>
        </w:rPr>
        <w:t> </w:t>
      </w:r>
      <w:r>
        <w:rPr/>
        <w:t>cost</w:t>
      </w:r>
      <w:r>
        <w:rPr>
          <w:spacing w:val="-14"/>
        </w:rPr>
        <w:t> </w:t>
      </w:r>
      <w:r>
        <w:rPr/>
        <w:t>or</w:t>
      </w:r>
      <w:r>
        <w:rPr>
          <w:spacing w:val="-14"/>
        </w:rPr>
        <w:t> </w:t>
      </w:r>
      <w:r>
        <w:rPr/>
        <w:t>the</w:t>
      </w:r>
      <w:r>
        <w:rPr>
          <w:spacing w:val="-15"/>
        </w:rPr>
        <w:t> </w:t>
      </w:r>
      <w:r>
        <w:rPr/>
        <w:t>face</w:t>
      </w:r>
      <w:r>
        <w:rPr>
          <w:spacing w:val="-14"/>
        </w:rPr>
        <w:t> </w:t>
      </w:r>
      <w:r>
        <w:rPr>
          <w:spacing w:val="-3"/>
        </w:rPr>
        <w:t>value. </w:t>
      </w:r>
      <w:r>
        <w:rPr/>
        <w:t>Subsequent measurement is at amortised cost using the effective interest</w:t>
      </w:r>
      <w:r>
        <w:rPr>
          <w:spacing w:val="-18"/>
        </w:rPr>
        <w:t> </w:t>
      </w:r>
      <w:r>
        <w:rPr/>
        <w:t>method.</w:t>
      </w:r>
    </w:p>
    <w:p>
      <w:pPr>
        <w:pStyle w:val="BodyText"/>
        <w:spacing w:before="4"/>
        <w:rPr>
          <w:sz w:val="23"/>
        </w:rPr>
      </w:pPr>
    </w:p>
    <w:p>
      <w:pPr>
        <w:pStyle w:val="BodyText"/>
        <w:spacing w:line="249" w:lineRule="auto"/>
        <w:ind w:left="765" w:right="130"/>
      </w:pPr>
      <w:r>
        <w:rPr/>
        <w:t>The fair value of short-term receivables and payables</w:t>
      </w:r>
      <w:r>
        <w:rPr>
          <w:spacing w:val="-18"/>
        </w:rPr>
        <w:t> </w:t>
      </w:r>
      <w:r>
        <w:rPr/>
        <w:t>is</w:t>
      </w:r>
      <w:r>
        <w:rPr>
          <w:spacing w:val="-17"/>
        </w:rPr>
        <w:t> </w:t>
      </w:r>
      <w:r>
        <w:rPr/>
        <w:t>the</w:t>
      </w:r>
      <w:r>
        <w:rPr>
          <w:spacing w:val="-18"/>
        </w:rPr>
        <w:t> </w:t>
      </w:r>
      <w:r>
        <w:rPr/>
        <w:t>transaction</w:t>
      </w:r>
      <w:r>
        <w:rPr>
          <w:spacing w:val="-17"/>
        </w:rPr>
        <w:t> </w:t>
      </w:r>
      <w:r>
        <w:rPr/>
        <w:t>cost</w:t>
      </w:r>
      <w:r>
        <w:rPr>
          <w:spacing w:val="-18"/>
        </w:rPr>
        <w:t> </w:t>
      </w:r>
      <w:r>
        <w:rPr/>
        <w:t>or</w:t>
      </w:r>
      <w:r>
        <w:rPr>
          <w:spacing w:val="-17"/>
        </w:rPr>
        <w:t> </w:t>
      </w:r>
      <w:r>
        <w:rPr/>
        <w:t>the</w:t>
      </w:r>
      <w:r>
        <w:rPr>
          <w:spacing w:val="-18"/>
        </w:rPr>
        <w:t> </w:t>
      </w:r>
      <w:r>
        <w:rPr/>
        <w:t>face</w:t>
      </w:r>
      <w:r>
        <w:rPr>
          <w:spacing w:val="-17"/>
        </w:rPr>
        <w:t> </w:t>
      </w:r>
      <w:r>
        <w:rPr>
          <w:spacing w:val="-4"/>
        </w:rPr>
        <w:t>value </w:t>
      </w:r>
      <w:r>
        <w:rPr/>
        <w:t>because</w:t>
      </w:r>
      <w:r>
        <w:rPr>
          <w:spacing w:val="-17"/>
        </w:rPr>
        <w:t> </w:t>
      </w:r>
      <w:r>
        <w:rPr/>
        <w:t>there</w:t>
      </w:r>
      <w:r>
        <w:rPr>
          <w:spacing w:val="-17"/>
        </w:rPr>
        <w:t> </w:t>
      </w:r>
      <w:r>
        <w:rPr/>
        <w:t>is</w:t>
      </w:r>
      <w:r>
        <w:rPr>
          <w:spacing w:val="-17"/>
        </w:rPr>
        <w:t> </w:t>
      </w:r>
      <w:r>
        <w:rPr/>
        <w:t>no</w:t>
      </w:r>
      <w:r>
        <w:rPr>
          <w:spacing w:val="-16"/>
        </w:rPr>
        <w:t> </w:t>
      </w:r>
      <w:r>
        <w:rPr/>
        <w:t>interest</w:t>
      </w:r>
      <w:r>
        <w:rPr>
          <w:spacing w:val="-17"/>
        </w:rPr>
        <w:t> </w:t>
      </w:r>
      <w:r>
        <w:rPr/>
        <w:t>rate</w:t>
      </w:r>
      <w:r>
        <w:rPr>
          <w:spacing w:val="-17"/>
        </w:rPr>
        <w:t> </w:t>
      </w:r>
      <w:r>
        <w:rPr/>
        <w:t>applicable</w:t>
      </w:r>
      <w:r>
        <w:rPr>
          <w:spacing w:val="-16"/>
        </w:rPr>
        <w:t> </w:t>
      </w:r>
      <w:r>
        <w:rPr/>
        <w:t>and subsequent</w:t>
      </w:r>
      <w:r>
        <w:rPr>
          <w:spacing w:val="-20"/>
        </w:rPr>
        <w:t> </w:t>
      </w:r>
      <w:r>
        <w:rPr/>
        <w:t>measurement</w:t>
      </w:r>
      <w:r>
        <w:rPr>
          <w:spacing w:val="-19"/>
        </w:rPr>
        <w:t> </w:t>
      </w:r>
      <w:r>
        <w:rPr/>
        <w:t>is</w:t>
      </w:r>
      <w:r>
        <w:rPr>
          <w:spacing w:val="-19"/>
        </w:rPr>
        <w:t> </w:t>
      </w:r>
      <w:r>
        <w:rPr/>
        <w:t>not</w:t>
      </w:r>
      <w:r>
        <w:rPr>
          <w:spacing w:val="-19"/>
        </w:rPr>
        <w:t> </w:t>
      </w:r>
      <w:r>
        <w:rPr/>
        <w:t>required</w:t>
      </w:r>
      <w:r>
        <w:rPr>
          <w:spacing w:val="-19"/>
        </w:rPr>
        <w:t> </w:t>
      </w:r>
      <w:r>
        <w:rPr/>
        <w:t>as</w:t>
      </w:r>
      <w:r>
        <w:rPr>
          <w:spacing w:val="-19"/>
        </w:rPr>
        <w:t> </w:t>
      </w:r>
      <w:r>
        <w:rPr/>
        <w:t>the effect of discounting is not</w:t>
      </w:r>
      <w:r>
        <w:rPr>
          <w:spacing w:val="-20"/>
        </w:rPr>
        <w:t> </w:t>
      </w:r>
      <w:r>
        <w:rPr/>
        <w:t>material.</w:t>
      </w:r>
    </w:p>
    <w:p>
      <w:pPr>
        <w:pStyle w:val="BodyText"/>
        <w:spacing w:before="4"/>
        <w:rPr>
          <w:sz w:val="23"/>
        </w:rPr>
      </w:pPr>
    </w:p>
    <w:p>
      <w:pPr>
        <w:pStyle w:val="Heading6"/>
        <w:numPr>
          <w:ilvl w:val="0"/>
          <w:numId w:val="6"/>
        </w:numPr>
        <w:tabs>
          <w:tab w:pos="1157" w:val="left" w:leader="none"/>
        </w:tabs>
        <w:spacing w:line="240" w:lineRule="auto" w:before="0" w:after="0"/>
        <w:ind w:left="1156" w:right="0" w:hanging="391"/>
        <w:jc w:val="left"/>
      </w:pPr>
      <w:r>
        <w:rPr/>
        <w:t>Cash and cash</w:t>
      </w:r>
      <w:r>
        <w:rPr>
          <w:spacing w:val="-2"/>
        </w:rPr>
        <w:t> </w:t>
      </w:r>
      <w:r>
        <w:rPr/>
        <w:t>equivalents</w:t>
      </w:r>
    </w:p>
    <w:p>
      <w:pPr>
        <w:pStyle w:val="BodyText"/>
        <w:spacing w:line="249" w:lineRule="auto" w:before="11"/>
        <w:ind w:left="765" w:right="-17"/>
      </w:pPr>
      <w:r>
        <w:rPr/>
        <w:t>For the purpose of the Statement of Cash Flows, cash</w:t>
      </w:r>
      <w:r>
        <w:rPr>
          <w:spacing w:val="-22"/>
        </w:rPr>
        <w:t> </w:t>
      </w:r>
      <w:r>
        <w:rPr/>
        <w:t>and</w:t>
      </w:r>
      <w:r>
        <w:rPr>
          <w:spacing w:val="-21"/>
        </w:rPr>
        <w:t> </w:t>
      </w:r>
      <w:r>
        <w:rPr/>
        <w:t>cash</w:t>
      </w:r>
      <w:r>
        <w:rPr>
          <w:spacing w:val="-21"/>
        </w:rPr>
        <w:t> </w:t>
      </w:r>
      <w:r>
        <w:rPr/>
        <w:t>equivalent</w:t>
      </w:r>
      <w:r>
        <w:rPr>
          <w:spacing w:val="-21"/>
        </w:rPr>
        <w:t> </w:t>
      </w:r>
      <w:r>
        <w:rPr/>
        <w:t>(and</w:t>
      </w:r>
      <w:r>
        <w:rPr>
          <w:spacing w:val="-21"/>
        </w:rPr>
        <w:t> </w:t>
      </w:r>
      <w:r>
        <w:rPr/>
        <w:t>restricted</w:t>
      </w:r>
      <w:r>
        <w:rPr>
          <w:spacing w:val="-22"/>
        </w:rPr>
        <w:t> </w:t>
      </w:r>
      <w:r>
        <w:rPr/>
        <w:t>cash</w:t>
      </w:r>
      <w:r>
        <w:rPr>
          <w:spacing w:val="-21"/>
        </w:rPr>
        <w:t> </w:t>
      </w:r>
      <w:r>
        <w:rPr>
          <w:spacing w:val="-7"/>
        </w:rPr>
        <w:t>and </w:t>
      </w:r>
      <w:r>
        <w:rPr/>
        <w:t>cash equivalent) assets comprise cash on hand and</w:t>
      </w:r>
      <w:r>
        <w:rPr>
          <w:spacing w:val="-17"/>
        </w:rPr>
        <w:t> </w:t>
      </w:r>
      <w:r>
        <w:rPr/>
        <w:t>short-term</w:t>
      </w:r>
      <w:r>
        <w:rPr>
          <w:spacing w:val="-16"/>
        </w:rPr>
        <w:t> </w:t>
      </w:r>
      <w:r>
        <w:rPr/>
        <w:t>deposits</w:t>
      </w:r>
      <w:r>
        <w:rPr>
          <w:spacing w:val="-16"/>
        </w:rPr>
        <w:t> </w:t>
      </w:r>
      <w:r>
        <w:rPr/>
        <w:t>with</w:t>
      </w:r>
      <w:r>
        <w:rPr>
          <w:spacing w:val="-16"/>
        </w:rPr>
        <w:t> </w:t>
      </w:r>
      <w:r>
        <w:rPr/>
        <w:t>original</w:t>
      </w:r>
      <w:r>
        <w:rPr>
          <w:spacing w:val="-17"/>
        </w:rPr>
        <w:t> </w:t>
      </w:r>
      <w:r>
        <w:rPr/>
        <w:t>maturities</w:t>
      </w:r>
      <w:r>
        <w:rPr>
          <w:spacing w:val="-16"/>
        </w:rPr>
        <w:t> </w:t>
      </w:r>
      <w:r>
        <w:rPr/>
        <w:t>of three</w:t>
      </w:r>
      <w:r>
        <w:rPr>
          <w:spacing w:val="-20"/>
        </w:rPr>
        <w:t> </w:t>
      </w:r>
      <w:r>
        <w:rPr/>
        <w:t>months</w:t>
      </w:r>
      <w:r>
        <w:rPr>
          <w:spacing w:val="-20"/>
        </w:rPr>
        <w:t> </w:t>
      </w:r>
      <w:r>
        <w:rPr/>
        <w:t>or</w:t>
      </w:r>
      <w:r>
        <w:rPr>
          <w:spacing w:val="-19"/>
        </w:rPr>
        <w:t> </w:t>
      </w:r>
      <w:r>
        <w:rPr/>
        <w:t>less</w:t>
      </w:r>
      <w:r>
        <w:rPr>
          <w:spacing w:val="-20"/>
        </w:rPr>
        <w:t> </w:t>
      </w:r>
      <w:r>
        <w:rPr/>
        <w:t>that</w:t>
      </w:r>
      <w:r>
        <w:rPr>
          <w:spacing w:val="-19"/>
        </w:rPr>
        <w:t> </w:t>
      </w:r>
      <w:r>
        <w:rPr/>
        <w:t>are</w:t>
      </w:r>
      <w:r>
        <w:rPr>
          <w:spacing w:val="-20"/>
        </w:rPr>
        <w:t> </w:t>
      </w:r>
      <w:r>
        <w:rPr/>
        <w:t>readily</w:t>
      </w:r>
      <w:r>
        <w:rPr>
          <w:spacing w:val="-19"/>
        </w:rPr>
        <w:t> </w:t>
      </w:r>
      <w:r>
        <w:rPr/>
        <w:t>convertible</w:t>
      </w:r>
      <w:r>
        <w:rPr>
          <w:spacing w:val="-20"/>
        </w:rPr>
        <w:t> </w:t>
      </w:r>
      <w:r>
        <w:rPr/>
        <w:t>to a</w:t>
      </w:r>
      <w:r>
        <w:rPr>
          <w:spacing w:val="-10"/>
        </w:rPr>
        <w:t> </w:t>
      </w:r>
      <w:r>
        <w:rPr/>
        <w:t>known</w:t>
      </w:r>
      <w:r>
        <w:rPr>
          <w:spacing w:val="-10"/>
        </w:rPr>
        <w:t> </w:t>
      </w:r>
      <w:r>
        <w:rPr/>
        <w:t>amount</w:t>
      </w:r>
      <w:r>
        <w:rPr>
          <w:spacing w:val="-10"/>
        </w:rPr>
        <w:t> </w:t>
      </w:r>
      <w:r>
        <w:rPr/>
        <w:t>of</w:t>
      </w:r>
      <w:r>
        <w:rPr>
          <w:spacing w:val="-10"/>
        </w:rPr>
        <w:t> </w:t>
      </w:r>
      <w:r>
        <w:rPr/>
        <w:t>cash</w:t>
      </w:r>
      <w:r>
        <w:rPr>
          <w:spacing w:val="-9"/>
        </w:rPr>
        <w:t> </w:t>
      </w:r>
      <w:r>
        <w:rPr/>
        <w:t>and</w:t>
      </w:r>
      <w:r>
        <w:rPr>
          <w:spacing w:val="-10"/>
        </w:rPr>
        <w:t> </w:t>
      </w:r>
      <w:r>
        <w:rPr/>
        <w:t>which</w:t>
      </w:r>
      <w:r>
        <w:rPr>
          <w:spacing w:val="-10"/>
        </w:rPr>
        <w:t> </w:t>
      </w:r>
      <w:r>
        <w:rPr/>
        <w:t>are</w:t>
      </w:r>
      <w:r>
        <w:rPr>
          <w:spacing w:val="-10"/>
        </w:rPr>
        <w:t> </w:t>
      </w:r>
      <w:r>
        <w:rPr/>
        <w:t>subject</w:t>
      </w:r>
      <w:r>
        <w:rPr>
          <w:spacing w:val="-10"/>
        </w:rPr>
        <w:t> </w:t>
      </w:r>
      <w:r>
        <w:rPr/>
        <w:t>to insignificant risk of changes in</w:t>
      </w:r>
      <w:r>
        <w:rPr>
          <w:spacing w:val="-28"/>
        </w:rPr>
        <w:t> </w:t>
      </w:r>
      <w:r>
        <w:rPr/>
        <w:t>value.</w:t>
      </w:r>
    </w:p>
    <w:p>
      <w:pPr>
        <w:pStyle w:val="BodyText"/>
        <w:spacing w:before="5"/>
        <w:rPr>
          <w:sz w:val="23"/>
        </w:rPr>
      </w:pPr>
      <w:r>
        <w:rPr/>
        <w:br w:type="column"/>
      </w:r>
      <w:r>
        <w:rPr>
          <w:sz w:val="23"/>
        </w:rPr>
      </w:r>
    </w:p>
    <w:p>
      <w:pPr>
        <w:pStyle w:val="Heading6"/>
        <w:numPr>
          <w:ilvl w:val="0"/>
          <w:numId w:val="6"/>
        </w:numPr>
        <w:tabs>
          <w:tab w:pos="779" w:val="left" w:leader="none"/>
        </w:tabs>
        <w:spacing w:line="240" w:lineRule="auto" w:before="0" w:after="0"/>
        <w:ind w:left="778" w:right="0" w:hanging="322"/>
        <w:jc w:val="left"/>
      </w:pPr>
      <w:r>
        <w:rPr/>
        <w:t>Accrued</w:t>
      </w:r>
      <w:r>
        <w:rPr>
          <w:spacing w:val="-1"/>
        </w:rPr>
        <w:t> </w:t>
      </w:r>
      <w:r>
        <w:rPr/>
        <w:t>salaries</w:t>
      </w:r>
    </w:p>
    <w:p>
      <w:pPr>
        <w:pStyle w:val="BodyText"/>
        <w:spacing w:line="249" w:lineRule="auto" w:before="11"/>
        <w:ind w:left="456" w:right="102"/>
      </w:pPr>
      <w:r>
        <w:rPr/>
        <w:t>Accrued salaries (see Note 28 ‘Payables’) represent the amount due to staff but unpaid at the</w:t>
      </w:r>
      <w:r>
        <w:rPr>
          <w:spacing w:val="-21"/>
        </w:rPr>
        <w:t> </w:t>
      </w:r>
      <w:r>
        <w:rPr/>
        <w:t>end</w:t>
      </w:r>
      <w:r>
        <w:rPr>
          <w:spacing w:val="-20"/>
        </w:rPr>
        <w:t> </w:t>
      </w:r>
      <w:r>
        <w:rPr/>
        <w:t>of</w:t>
      </w:r>
      <w:r>
        <w:rPr>
          <w:spacing w:val="-20"/>
        </w:rPr>
        <w:t> </w:t>
      </w:r>
      <w:r>
        <w:rPr/>
        <w:t>the</w:t>
      </w:r>
      <w:r>
        <w:rPr>
          <w:spacing w:val="-20"/>
        </w:rPr>
        <w:t> </w:t>
      </w:r>
      <w:r>
        <w:rPr/>
        <w:t>financial</w:t>
      </w:r>
      <w:r>
        <w:rPr>
          <w:spacing w:val="-20"/>
        </w:rPr>
        <w:t> </w:t>
      </w:r>
      <w:r>
        <w:rPr>
          <w:spacing w:val="-5"/>
        </w:rPr>
        <w:t>year.</w:t>
      </w:r>
      <w:r>
        <w:rPr>
          <w:spacing w:val="-20"/>
        </w:rPr>
        <w:t> </w:t>
      </w:r>
      <w:r>
        <w:rPr/>
        <w:t>Accrued</w:t>
      </w:r>
      <w:r>
        <w:rPr>
          <w:spacing w:val="-20"/>
        </w:rPr>
        <w:t> </w:t>
      </w:r>
      <w:r>
        <w:rPr/>
        <w:t>salaries</w:t>
      </w:r>
      <w:r>
        <w:rPr>
          <w:spacing w:val="-20"/>
        </w:rPr>
        <w:t> </w:t>
      </w:r>
      <w:r>
        <w:rPr/>
        <w:t>are settled</w:t>
      </w:r>
      <w:r>
        <w:rPr>
          <w:spacing w:val="-17"/>
        </w:rPr>
        <w:t> </w:t>
      </w:r>
      <w:r>
        <w:rPr/>
        <w:t>within</w:t>
      </w:r>
      <w:r>
        <w:rPr>
          <w:spacing w:val="-16"/>
        </w:rPr>
        <w:t> </w:t>
      </w:r>
      <w:r>
        <w:rPr/>
        <w:t>a</w:t>
      </w:r>
      <w:r>
        <w:rPr>
          <w:spacing w:val="-17"/>
        </w:rPr>
        <w:t> </w:t>
      </w:r>
      <w:r>
        <w:rPr/>
        <w:t>fortnight</w:t>
      </w:r>
      <w:r>
        <w:rPr>
          <w:spacing w:val="-16"/>
        </w:rPr>
        <w:t> </w:t>
      </w:r>
      <w:r>
        <w:rPr/>
        <w:t>of</w:t>
      </w:r>
      <w:r>
        <w:rPr>
          <w:spacing w:val="-16"/>
        </w:rPr>
        <w:t> </w:t>
      </w:r>
      <w:r>
        <w:rPr/>
        <w:t>the</w:t>
      </w:r>
      <w:r>
        <w:rPr>
          <w:spacing w:val="-17"/>
        </w:rPr>
        <w:t> </w:t>
      </w:r>
      <w:r>
        <w:rPr/>
        <w:t>financial</w:t>
      </w:r>
      <w:r>
        <w:rPr>
          <w:spacing w:val="-16"/>
        </w:rPr>
        <w:t> </w:t>
      </w:r>
      <w:r>
        <w:rPr/>
        <w:t>year</w:t>
      </w:r>
      <w:r>
        <w:rPr>
          <w:spacing w:val="-16"/>
        </w:rPr>
        <w:t> </w:t>
      </w:r>
      <w:r>
        <w:rPr/>
        <w:t>end. The</w:t>
      </w:r>
      <w:r>
        <w:rPr>
          <w:spacing w:val="-22"/>
        </w:rPr>
        <w:t> </w:t>
      </w:r>
      <w:r>
        <w:rPr/>
        <w:t>Department</w:t>
      </w:r>
      <w:r>
        <w:rPr>
          <w:spacing w:val="-21"/>
        </w:rPr>
        <w:t> </w:t>
      </w:r>
      <w:r>
        <w:rPr/>
        <w:t>considers</w:t>
      </w:r>
      <w:r>
        <w:rPr>
          <w:spacing w:val="-21"/>
        </w:rPr>
        <w:t> </w:t>
      </w:r>
      <w:r>
        <w:rPr/>
        <w:t>the</w:t>
      </w:r>
      <w:r>
        <w:rPr>
          <w:spacing w:val="-21"/>
        </w:rPr>
        <w:t> </w:t>
      </w:r>
      <w:r>
        <w:rPr/>
        <w:t>carrying</w:t>
      </w:r>
      <w:r>
        <w:rPr>
          <w:spacing w:val="-21"/>
        </w:rPr>
        <w:t> </w:t>
      </w:r>
      <w:r>
        <w:rPr/>
        <w:t>amount</w:t>
      </w:r>
      <w:r>
        <w:rPr>
          <w:spacing w:val="-21"/>
        </w:rPr>
        <w:t> </w:t>
      </w:r>
      <w:r>
        <w:rPr>
          <w:spacing w:val="-9"/>
        </w:rPr>
        <w:t>of </w:t>
      </w:r>
      <w:r>
        <w:rPr/>
        <w:t>accrued</w:t>
      </w:r>
      <w:r>
        <w:rPr>
          <w:spacing w:val="-18"/>
        </w:rPr>
        <w:t> </w:t>
      </w:r>
      <w:r>
        <w:rPr/>
        <w:t>salaries</w:t>
      </w:r>
      <w:r>
        <w:rPr>
          <w:spacing w:val="-18"/>
        </w:rPr>
        <w:t> </w:t>
      </w:r>
      <w:r>
        <w:rPr/>
        <w:t>to</w:t>
      </w:r>
      <w:r>
        <w:rPr>
          <w:spacing w:val="-18"/>
        </w:rPr>
        <w:t> </w:t>
      </w:r>
      <w:r>
        <w:rPr/>
        <w:t>be</w:t>
      </w:r>
      <w:r>
        <w:rPr>
          <w:spacing w:val="-17"/>
        </w:rPr>
        <w:t> </w:t>
      </w:r>
      <w:r>
        <w:rPr/>
        <w:t>equivalent</w:t>
      </w:r>
      <w:r>
        <w:rPr>
          <w:spacing w:val="-18"/>
        </w:rPr>
        <w:t> </w:t>
      </w:r>
      <w:r>
        <w:rPr/>
        <w:t>to</w:t>
      </w:r>
      <w:r>
        <w:rPr>
          <w:spacing w:val="-18"/>
        </w:rPr>
        <w:t> </w:t>
      </w:r>
      <w:r>
        <w:rPr/>
        <w:t>its</w:t>
      </w:r>
      <w:r>
        <w:rPr>
          <w:spacing w:val="-18"/>
        </w:rPr>
        <w:t> </w:t>
      </w:r>
      <w:r>
        <w:rPr/>
        <w:t>fair</w:t>
      </w:r>
      <w:r>
        <w:rPr>
          <w:spacing w:val="-17"/>
        </w:rPr>
        <w:t> </w:t>
      </w:r>
      <w:r>
        <w:rPr/>
        <w:t>value.</w:t>
      </w:r>
    </w:p>
    <w:p>
      <w:pPr>
        <w:pStyle w:val="BodyText"/>
        <w:spacing w:before="5"/>
        <w:rPr>
          <w:sz w:val="23"/>
        </w:rPr>
      </w:pPr>
    </w:p>
    <w:p>
      <w:pPr>
        <w:pStyle w:val="BodyText"/>
        <w:spacing w:line="249" w:lineRule="auto"/>
        <w:ind w:left="456" w:right="113"/>
      </w:pPr>
      <w:r>
        <w:rPr/>
        <w:t>The accrued salaries suspense account (see Note 19 ‘Restricted cash and cash equivalents’) consists of amounts paid </w:t>
      </w:r>
      <w:r>
        <w:rPr>
          <w:spacing w:val="-3"/>
        </w:rPr>
        <w:t>annually, </w:t>
      </w:r>
      <w:r>
        <w:rPr/>
        <w:t>from Departmental</w:t>
      </w:r>
      <w:r>
        <w:rPr>
          <w:spacing w:val="-40"/>
        </w:rPr>
        <w:t> </w:t>
      </w:r>
      <w:r>
        <w:rPr/>
        <w:t>appropriations</w:t>
      </w:r>
      <w:r>
        <w:rPr>
          <w:spacing w:val="-39"/>
        </w:rPr>
        <w:t> </w:t>
      </w:r>
      <w:r>
        <w:rPr/>
        <w:t>for</w:t>
      </w:r>
      <w:r>
        <w:rPr>
          <w:spacing w:val="-39"/>
        </w:rPr>
        <w:t> </w:t>
      </w:r>
      <w:r>
        <w:rPr/>
        <w:t>salaries</w:t>
      </w:r>
      <w:r>
        <w:rPr>
          <w:spacing w:val="-39"/>
        </w:rPr>
        <w:t> </w:t>
      </w:r>
      <w:r>
        <w:rPr>
          <w:spacing w:val="-3"/>
        </w:rPr>
        <w:t>expense, </w:t>
      </w:r>
      <w:r>
        <w:rPr/>
        <w:t>into a suspense account to meet the additional cash outflow for employee salary payments in reporting</w:t>
      </w:r>
      <w:r>
        <w:rPr>
          <w:spacing w:val="-13"/>
        </w:rPr>
        <w:t> </w:t>
      </w:r>
      <w:r>
        <w:rPr/>
        <w:t>periods</w:t>
      </w:r>
      <w:r>
        <w:rPr>
          <w:spacing w:val="-12"/>
        </w:rPr>
        <w:t> </w:t>
      </w:r>
      <w:r>
        <w:rPr/>
        <w:t>with</w:t>
      </w:r>
      <w:r>
        <w:rPr>
          <w:spacing w:val="-12"/>
        </w:rPr>
        <w:t> </w:t>
      </w:r>
      <w:r>
        <w:rPr/>
        <w:t>27</w:t>
      </w:r>
      <w:r>
        <w:rPr>
          <w:spacing w:val="-12"/>
        </w:rPr>
        <w:t> </w:t>
      </w:r>
      <w:r>
        <w:rPr/>
        <w:t>pay</w:t>
      </w:r>
      <w:r>
        <w:rPr>
          <w:spacing w:val="-12"/>
        </w:rPr>
        <w:t> </w:t>
      </w:r>
      <w:r>
        <w:rPr/>
        <w:t>days</w:t>
      </w:r>
      <w:r>
        <w:rPr>
          <w:spacing w:val="-13"/>
        </w:rPr>
        <w:t> </w:t>
      </w:r>
      <w:r>
        <w:rPr/>
        <w:t>instead</w:t>
      </w:r>
      <w:r>
        <w:rPr>
          <w:spacing w:val="-12"/>
        </w:rPr>
        <w:t> </w:t>
      </w:r>
      <w:r>
        <w:rPr/>
        <w:t>of</w:t>
      </w:r>
      <w:r>
        <w:rPr>
          <w:spacing w:val="-12"/>
        </w:rPr>
        <w:t> </w:t>
      </w:r>
      <w:r>
        <w:rPr/>
        <w:t>the</w:t>
      </w:r>
    </w:p>
    <w:p>
      <w:pPr>
        <w:pStyle w:val="BodyText"/>
        <w:spacing w:before="6"/>
        <w:ind w:left="456"/>
      </w:pPr>
      <w:r>
        <w:rPr/>
        <w:t>normal</w:t>
      </w:r>
      <w:r>
        <w:rPr>
          <w:spacing w:val="-15"/>
        </w:rPr>
        <w:t> </w:t>
      </w:r>
      <w:r>
        <w:rPr/>
        <w:t>26.</w:t>
      </w:r>
      <w:r>
        <w:rPr>
          <w:spacing w:val="-15"/>
        </w:rPr>
        <w:t> </w:t>
      </w:r>
      <w:r>
        <w:rPr/>
        <w:t>No</w:t>
      </w:r>
      <w:r>
        <w:rPr>
          <w:spacing w:val="-14"/>
        </w:rPr>
        <w:t> </w:t>
      </w:r>
      <w:r>
        <w:rPr/>
        <w:t>interest</w:t>
      </w:r>
      <w:r>
        <w:rPr>
          <w:spacing w:val="-15"/>
        </w:rPr>
        <w:t> </w:t>
      </w:r>
      <w:r>
        <w:rPr/>
        <w:t>is</w:t>
      </w:r>
      <w:r>
        <w:rPr>
          <w:spacing w:val="-15"/>
        </w:rPr>
        <w:t> </w:t>
      </w:r>
      <w:r>
        <w:rPr/>
        <w:t>received</w:t>
      </w:r>
      <w:r>
        <w:rPr>
          <w:spacing w:val="-14"/>
        </w:rPr>
        <w:t> </w:t>
      </w:r>
      <w:r>
        <w:rPr/>
        <w:t>on</w:t>
      </w:r>
      <w:r>
        <w:rPr>
          <w:spacing w:val="-15"/>
        </w:rPr>
        <w:t> </w:t>
      </w:r>
      <w:r>
        <w:rPr/>
        <w:t>this</w:t>
      </w:r>
      <w:r>
        <w:rPr>
          <w:spacing w:val="-15"/>
        </w:rPr>
        <w:t> </w:t>
      </w:r>
      <w:r>
        <w:rPr/>
        <w:t>account.</w:t>
      </w:r>
    </w:p>
    <w:p>
      <w:pPr>
        <w:pStyle w:val="BodyText"/>
        <w:spacing w:before="11"/>
        <w:rPr>
          <w:sz w:val="23"/>
        </w:rPr>
      </w:pPr>
    </w:p>
    <w:p>
      <w:pPr>
        <w:pStyle w:val="Heading6"/>
        <w:numPr>
          <w:ilvl w:val="0"/>
          <w:numId w:val="6"/>
        </w:numPr>
        <w:tabs>
          <w:tab w:pos="783" w:val="left" w:leader="none"/>
        </w:tabs>
        <w:spacing w:line="249" w:lineRule="auto" w:before="0" w:after="0"/>
        <w:ind w:left="456" w:right="1125" w:firstLine="0"/>
        <w:jc w:val="left"/>
      </w:pPr>
      <w:r>
        <w:rPr/>
        <w:t>Amounts receivable for </w:t>
      </w:r>
      <w:r>
        <w:rPr>
          <w:spacing w:val="-3"/>
        </w:rPr>
        <w:t>services </w:t>
      </w:r>
      <w:r>
        <w:rPr/>
        <w:t>(holding</w:t>
      </w:r>
      <w:r>
        <w:rPr>
          <w:spacing w:val="-1"/>
        </w:rPr>
        <w:t> </w:t>
      </w:r>
      <w:r>
        <w:rPr/>
        <w:t>account)</w:t>
      </w:r>
    </w:p>
    <w:p>
      <w:pPr>
        <w:pStyle w:val="BodyText"/>
        <w:spacing w:line="249" w:lineRule="auto" w:before="2"/>
        <w:ind w:left="456" w:right="-8"/>
      </w:pPr>
      <w:r>
        <w:rPr/>
        <w:t>The Department receives funding on an accrual basis. The appropriations are paid partly in cash and</w:t>
      </w:r>
      <w:r>
        <w:rPr>
          <w:spacing w:val="-27"/>
        </w:rPr>
        <w:t> </w:t>
      </w:r>
      <w:r>
        <w:rPr/>
        <w:t>partly</w:t>
      </w:r>
      <w:r>
        <w:rPr>
          <w:spacing w:val="-26"/>
        </w:rPr>
        <w:t> </w:t>
      </w:r>
      <w:r>
        <w:rPr/>
        <w:t>as</w:t>
      </w:r>
      <w:r>
        <w:rPr>
          <w:spacing w:val="-26"/>
        </w:rPr>
        <w:t> </w:t>
      </w:r>
      <w:r>
        <w:rPr/>
        <w:t>an</w:t>
      </w:r>
      <w:r>
        <w:rPr>
          <w:spacing w:val="-26"/>
        </w:rPr>
        <w:t> </w:t>
      </w:r>
      <w:r>
        <w:rPr/>
        <w:t>asset</w:t>
      </w:r>
      <w:r>
        <w:rPr>
          <w:spacing w:val="-26"/>
        </w:rPr>
        <w:t> </w:t>
      </w:r>
      <w:r>
        <w:rPr/>
        <w:t>(holding</w:t>
      </w:r>
      <w:r>
        <w:rPr>
          <w:spacing w:val="-26"/>
        </w:rPr>
        <w:t> </w:t>
      </w:r>
      <w:r>
        <w:rPr/>
        <w:t>account</w:t>
      </w:r>
      <w:r>
        <w:rPr>
          <w:spacing w:val="-26"/>
        </w:rPr>
        <w:t> </w:t>
      </w:r>
      <w:r>
        <w:rPr>
          <w:spacing w:val="-3"/>
        </w:rPr>
        <w:t>receivable). </w:t>
      </w:r>
      <w:r>
        <w:rPr/>
        <w:t>The accrued amount receivable is accessible on the</w:t>
      </w:r>
      <w:r>
        <w:rPr>
          <w:spacing w:val="-17"/>
        </w:rPr>
        <w:t> </w:t>
      </w:r>
      <w:r>
        <w:rPr/>
        <w:t>emergence</w:t>
      </w:r>
      <w:r>
        <w:rPr>
          <w:spacing w:val="-16"/>
        </w:rPr>
        <w:t> </w:t>
      </w:r>
      <w:r>
        <w:rPr/>
        <w:t>of</w:t>
      </w:r>
      <w:r>
        <w:rPr>
          <w:spacing w:val="-16"/>
        </w:rPr>
        <w:t> </w:t>
      </w:r>
      <w:r>
        <w:rPr/>
        <w:t>the</w:t>
      </w:r>
      <w:r>
        <w:rPr>
          <w:spacing w:val="-16"/>
        </w:rPr>
        <w:t> </w:t>
      </w:r>
      <w:r>
        <w:rPr/>
        <w:t>cash</w:t>
      </w:r>
      <w:r>
        <w:rPr>
          <w:spacing w:val="-16"/>
        </w:rPr>
        <w:t> </w:t>
      </w:r>
      <w:r>
        <w:rPr/>
        <w:t>funding</w:t>
      </w:r>
      <w:r>
        <w:rPr>
          <w:spacing w:val="-16"/>
        </w:rPr>
        <w:t> </w:t>
      </w:r>
      <w:r>
        <w:rPr/>
        <w:t>requirement</w:t>
      </w:r>
      <w:r>
        <w:rPr>
          <w:spacing w:val="-16"/>
        </w:rPr>
        <w:t> </w:t>
      </w:r>
      <w:r>
        <w:rPr/>
        <w:t>to cover</w:t>
      </w:r>
      <w:r>
        <w:rPr>
          <w:spacing w:val="-18"/>
        </w:rPr>
        <w:t> </w:t>
      </w:r>
      <w:r>
        <w:rPr/>
        <w:t>leave</w:t>
      </w:r>
      <w:r>
        <w:rPr>
          <w:spacing w:val="-18"/>
        </w:rPr>
        <w:t> </w:t>
      </w:r>
      <w:r>
        <w:rPr/>
        <w:t>entitlements</w:t>
      </w:r>
      <w:r>
        <w:rPr>
          <w:spacing w:val="-18"/>
        </w:rPr>
        <w:t> </w:t>
      </w:r>
      <w:r>
        <w:rPr/>
        <w:t>and</w:t>
      </w:r>
      <w:r>
        <w:rPr>
          <w:spacing w:val="-18"/>
        </w:rPr>
        <w:t> </w:t>
      </w:r>
      <w:r>
        <w:rPr/>
        <w:t>asset</w:t>
      </w:r>
      <w:r>
        <w:rPr>
          <w:spacing w:val="-18"/>
        </w:rPr>
        <w:t> </w:t>
      </w:r>
      <w:r>
        <w:rPr/>
        <w:t>replacement.</w:t>
      </w:r>
    </w:p>
    <w:p>
      <w:pPr>
        <w:pStyle w:val="BodyText"/>
        <w:spacing w:before="5"/>
        <w:rPr>
          <w:sz w:val="23"/>
        </w:rPr>
      </w:pPr>
      <w:r>
        <w:rPr/>
        <w:br w:type="column"/>
      </w:r>
      <w:r>
        <w:rPr>
          <w:sz w:val="23"/>
        </w:rPr>
      </w:r>
    </w:p>
    <w:p>
      <w:pPr>
        <w:pStyle w:val="Heading6"/>
        <w:numPr>
          <w:ilvl w:val="0"/>
          <w:numId w:val="6"/>
        </w:numPr>
        <w:tabs>
          <w:tab w:pos="712" w:val="left" w:leader="none"/>
        </w:tabs>
        <w:spacing w:line="240" w:lineRule="auto" w:before="0" w:after="0"/>
        <w:ind w:left="711" w:right="0" w:hanging="326"/>
        <w:jc w:val="left"/>
      </w:pPr>
      <w:r>
        <w:rPr/>
        <w:t>Receivables</w:t>
      </w:r>
    </w:p>
    <w:p>
      <w:pPr>
        <w:pStyle w:val="BodyText"/>
        <w:spacing w:line="249" w:lineRule="auto" w:before="11"/>
        <w:ind w:left="385" w:right="912"/>
      </w:pPr>
      <w:r>
        <w:rPr/>
        <w:t>Receivables are recognised at original invoice amount less an allowance for any uncollectible amounts</w:t>
      </w:r>
      <w:r>
        <w:rPr>
          <w:spacing w:val="-29"/>
        </w:rPr>
        <w:t> </w:t>
      </w:r>
      <w:r>
        <w:rPr/>
        <w:t>(that</w:t>
      </w:r>
      <w:r>
        <w:rPr>
          <w:spacing w:val="-28"/>
        </w:rPr>
        <w:t> </w:t>
      </w:r>
      <w:r>
        <w:rPr/>
        <w:t>is,</w:t>
      </w:r>
      <w:r>
        <w:rPr>
          <w:spacing w:val="-28"/>
        </w:rPr>
        <w:t> </w:t>
      </w:r>
      <w:r>
        <w:rPr/>
        <w:t>impairment).</w:t>
      </w:r>
      <w:r>
        <w:rPr>
          <w:spacing w:val="-28"/>
        </w:rPr>
        <w:t> </w:t>
      </w:r>
      <w:r>
        <w:rPr/>
        <w:t>The</w:t>
      </w:r>
      <w:r>
        <w:rPr>
          <w:spacing w:val="-28"/>
        </w:rPr>
        <w:t> </w:t>
      </w:r>
      <w:r>
        <w:rPr/>
        <w:t>collectability</w:t>
      </w:r>
      <w:r>
        <w:rPr>
          <w:spacing w:val="-28"/>
        </w:rPr>
        <w:t> </w:t>
      </w:r>
      <w:r>
        <w:rPr>
          <w:spacing w:val="-9"/>
        </w:rPr>
        <w:t>of </w:t>
      </w:r>
      <w:r>
        <w:rPr/>
        <w:t>receivables</w:t>
      </w:r>
      <w:r>
        <w:rPr>
          <w:spacing w:val="-21"/>
        </w:rPr>
        <w:t> </w:t>
      </w:r>
      <w:r>
        <w:rPr/>
        <w:t>is</w:t>
      </w:r>
      <w:r>
        <w:rPr>
          <w:spacing w:val="-20"/>
        </w:rPr>
        <w:t> </w:t>
      </w:r>
      <w:r>
        <w:rPr/>
        <w:t>reviewed</w:t>
      </w:r>
      <w:r>
        <w:rPr>
          <w:spacing w:val="-20"/>
        </w:rPr>
        <w:t> </w:t>
      </w:r>
      <w:r>
        <w:rPr/>
        <w:t>on</w:t>
      </w:r>
      <w:r>
        <w:rPr>
          <w:spacing w:val="-20"/>
        </w:rPr>
        <w:t> </w:t>
      </w:r>
      <w:r>
        <w:rPr/>
        <w:t>an</w:t>
      </w:r>
      <w:r>
        <w:rPr>
          <w:spacing w:val="-20"/>
        </w:rPr>
        <w:t> </w:t>
      </w:r>
      <w:r>
        <w:rPr/>
        <w:t>ongoing</w:t>
      </w:r>
      <w:r>
        <w:rPr>
          <w:spacing w:val="-20"/>
        </w:rPr>
        <w:t> </w:t>
      </w:r>
      <w:r>
        <w:rPr/>
        <w:t>basis</w:t>
      </w:r>
      <w:r>
        <w:rPr>
          <w:spacing w:val="-20"/>
        </w:rPr>
        <w:t> </w:t>
      </w:r>
      <w:r>
        <w:rPr/>
        <w:t>and any receivables identified as</w:t>
      </w:r>
      <w:r>
        <w:rPr>
          <w:spacing w:val="-41"/>
        </w:rPr>
        <w:t> </w:t>
      </w:r>
      <w:r>
        <w:rPr/>
        <w:t>uncollectible</w:t>
      </w:r>
    </w:p>
    <w:p>
      <w:pPr>
        <w:pStyle w:val="BodyText"/>
        <w:spacing w:line="249" w:lineRule="auto" w:before="4"/>
        <w:ind w:left="385" w:right="899"/>
      </w:pPr>
      <w:r>
        <w:rPr/>
        <w:t>are written-off against the allowance account. The</w:t>
      </w:r>
      <w:r>
        <w:rPr>
          <w:spacing w:val="-33"/>
        </w:rPr>
        <w:t> </w:t>
      </w:r>
      <w:r>
        <w:rPr/>
        <w:t>allowance</w:t>
      </w:r>
      <w:r>
        <w:rPr>
          <w:spacing w:val="-32"/>
        </w:rPr>
        <w:t> </w:t>
      </w:r>
      <w:r>
        <w:rPr/>
        <w:t>for</w:t>
      </w:r>
      <w:r>
        <w:rPr>
          <w:spacing w:val="-33"/>
        </w:rPr>
        <w:t> </w:t>
      </w:r>
      <w:r>
        <w:rPr/>
        <w:t>uncollectible</w:t>
      </w:r>
      <w:r>
        <w:rPr>
          <w:spacing w:val="-32"/>
        </w:rPr>
        <w:t> </w:t>
      </w:r>
      <w:r>
        <w:rPr/>
        <w:t>amounts</w:t>
      </w:r>
      <w:r>
        <w:rPr>
          <w:spacing w:val="-33"/>
        </w:rPr>
        <w:t> </w:t>
      </w:r>
      <w:r>
        <w:rPr/>
        <w:t>(doubtful debts)</w:t>
      </w:r>
      <w:r>
        <w:rPr>
          <w:spacing w:val="-20"/>
        </w:rPr>
        <w:t> </w:t>
      </w:r>
      <w:r>
        <w:rPr/>
        <w:t>is</w:t>
      </w:r>
      <w:r>
        <w:rPr>
          <w:spacing w:val="-20"/>
        </w:rPr>
        <w:t> </w:t>
      </w:r>
      <w:r>
        <w:rPr/>
        <w:t>raised</w:t>
      </w:r>
      <w:r>
        <w:rPr>
          <w:spacing w:val="-19"/>
        </w:rPr>
        <w:t> </w:t>
      </w:r>
      <w:r>
        <w:rPr/>
        <w:t>when</w:t>
      </w:r>
      <w:r>
        <w:rPr>
          <w:spacing w:val="-20"/>
        </w:rPr>
        <w:t> </w:t>
      </w:r>
      <w:r>
        <w:rPr/>
        <w:t>there</w:t>
      </w:r>
      <w:r>
        <w:rPr>
          <w:spacing w:val="-20"/>
        </w:rPr>
        <w:t> </w:t>
      </w:r>
      <w:r>
        <w:rPr/>
        <w:t>is</w:t>
      </w:r>
      <w:r>
        <w:rPr>
          <w:spacing w:val="-19"/>
        </w:rPr>
        <w:t> </w:t>
      </w:r>
      <w:r>
        <w:rPr/>
        <w:t>objective</w:t>
      </w:r>
      <w:r>
        <w:rPr>
          <w:spacing w:val="-20"/>
        </w:rPr>
        <w:t> </w:t>
      </w:r>
      <w:r>
        <w:rPr/>
        <w:t>evidence that</w:t>
      </w:r>
      <w:r>
        <w:rPr>
          <w:spacing w:val="-12"/>
        </w:rPr>
        <w:t> </w:t>
      </w:r>
      <w:r>
        <w:rPr/>
        <w:t>the</w:t>
      </w:r>
      <w:r>
        <w:rPr>
          <w:spacing w:val="-11"/>
        </w:rPr>
        <w:t> </w:t>
      </w:r>
      <w:r>
        <w:rPr/>
        <w:t>Department</w:t>
      </w:r>
      <w:r>
        <w:rPr>
          <w:spacing w:val="-11"/>
        </w:rPr>
        <w:t> </w:t>
      </w:r>
      <w:r>
        <w:rPr/>
        <w:t>will</w:t>
      </w:r>
      <w:r>
        <w:rPr>
          <w:spacing w:val="-11"/>
        </w:rPr>
        <w:t> </w:t>
      </w:r>
      <w:r>
        <w:rPr/>
        <w:t>not</w:t>
      </w:r>
      <w:r>
        <w:rPr>
          <w:spacing w:val="-11"/>
        </w:rPr>
        <w:t> </w:t>
      </w:r>
      <w:r>
        <w:rPr/>
        <w:t>be</w:t>
      </w:r>
      <w:r>
        <w:rPr>
          <w:spacing w:val="-11"/>
        </w:rPr>
        <w:t> </w:t>
      </w:r>
      <w:r>
        <w:rPr/>
        <w:t>able</w:t>
      </w:r>
      <w:r>
        <w:rPr>
          <w:spacing w:val="-11"/>
        </w:rPr>
        <w:t> </w:t>
      </w:r>
      <w:r>
        <w:rPr/>
        <w:t>to</w:t>
      </w:r>
      <w:r>
        <w:rPr>
          <w:spacing w:val="-11"/>
        </w:rPr>
        <w:t> </w:t>
      </w:r>
      <w:r>
        <w:rPr/>
        <w:t>collect</w:t>
      </w:r>
      <w:r>
        <w:rPr>
          <w:spacing w:val="-11"/>
        </w:rPr>
        <w:t> </w:t>
      </w:r>
      <w:r>
        <w:rPr/>
        <w:t>the debts. The carrying amount is equivalent to fair value</w:t>
      </w:r>
      <w:r>
        <w:rPr>
          <w:spacing w:val="-11"/>
        </w:rPr>
        <w:t> </w:t>
      </w:r>
      <w:r>
        <w:rPr/>
        <w:t>as</w:t>
      </w:r>
      <w:r>
        <w:rPr>
          <w:spacing w:val="-11"/>
        </w:rPr>
        <w:t> </w:t>
      </w:r>
      <w:r>
        <w:rPr/>
        <w:t>it</w:t>
      </w:r>
      <w:r>
        <w:rPr>
          <w:spacing w:val="-11"/>
        </w:rPr>
        <w:t> </w:t>
      </w:r>
      <w:r>
        <w:rPr/>
        <w:t>is</w:t>
      </w:r>
      <w:r>
        <w:rPr>
          <w:spacing w:val="-10"/>
        </w:rPr>
        <w:t> </w:t>
      </w:r>
      <w:r>
        <w:rPr/>
        <w:t>due</w:t>
      </w:r>
      <w:r>
        <w:rPr>
          <w:spacing w:val="-11"/>
        </w:rPr>
        <w:t> </w:t>
      </w:r>
      <w:r>
        <w:rPr/>
        <w:t>for</w:t>
      </w:r>
      <w:r>
        <w:rPr>
          <w:spacing w:val="-11"/>
        </w:rPr>
        <w:t> </w:t>
      </w:r>
      <w:r>
        <w:rPr/>
        <w:t>settlement</w:t>
      </w:r>
      <w:r>
        <w:rPr>
          <w:spacing w:val="-11"/>
        </w:rPr>
        <w:t> </w:t>
      </w:r>
      <w:r>
        <w:rPr/>
        <w:t>within</w:t>
      </w:r>
      <w:r>
        <w:rPr>
          <w:spacing w:val="-10"/>
        </w:rPr>
        <w:t> </w:t>
      </w:r>
      <w:r>
        <w:rPr/>
        <w:t>30</w:t>
      </w:r>
      <w:r>
        <w:rPr>
          <w:spacing w:val="-11"/>
        </w:rPr>
        <w:t> </w:t>
      </w:r>
      <w:r>
        <w:rPr/>
        <w:t>days.</w:t>
      </w:r>
    </w:p>
    <w:p>
      <w:pPr>
        <w:pStyle w:val="BodyText"/>
        <w:spacing w:before="5"/>
        <w:rPr>
          <w:sz w:val="23"/>
        </w:rPr>
      </w:pPr>
    </w:p>
    <w:p>
      <w:pPr>
        <w:pStyle w:val="Heading6"/>
        <w:numPr>
          <w:ilvl w:val="0"/>
          <w:numId w:val="6"/>
        </w:numPr>
        <w:tabs>
          <w:tab w:pos="712" w:val="left" w:leader="none"/>
        </w:tabs>
        <w:spacing w:line="240" w:lineRule="auto" w:before="0" w:after="0"/>
        <w:ind w:left="711" w:right="0" w:hanging="326"/>
        <w:jc w:val="left"/>
      </w:pPr>
      <w:r>
        <w:rPr/>
        <w:t>Payables</w:t>
      </w:r>
    </w:p>
    <w:p>
      <w:pPr>
        <w:pStyle w:val="BodyText"/>
        <w:spacing w:line="249" w:lineRule="auto" w:before="11"/>
        <w:ind w:left="385" w:right="752"/>
      </w:pPr>
      <w:r>
        <w:rPr/>
        <w:t>Payables are recognised at the amounts payable when the Department becomes obliged to make future</w:t>
      </w:r>
      <w:r>
        <w:rPr>
          <w:spacing w:val="-20"/>
        </w:rPr>
        <w:t> </w:t>
      </w:r>
      <w:r>
        <w:rPr/>
        <w:t>payments</w:t>
      </w:r>
      <w:r>
        <w:rPr>
          <w:spacing w:val="-19"/>
        </w:rPr>
        <w:t> </w:t>
      </w:r>
      <w:r>
        <w:rPr/>
        <w:t>as</w:t>
      </w:r>
      <w:r>
        <w:rPr>
          <w:spacing w:val="-20"/>
        </w:rPr>
        <w:t> </w:t>
      </w:r>
      <w:r>
        <w:rPr/>
        <w:t>a</w:t>
      </w:r>
      <w:r>
        <w:rPr>
          <w:spacing w:val="-19"/>
        </w:rPr>
        <w:t> </w:t>
      </w:r>
      <w:r>
        <w:rPr/>
        <w:t>result</w:t>
      </w:r>
      <w:r>
        <w:rPr>
          <w:spacing w:val="-19"/>
        </w:rPr>
        <w:t> </w:t>
      </w:r>
      <w:r>
        <w:rPr/>
        <w:t>of</w:t>
      </w:r>
      <w:r>
        <w:rPr>
          <w:spacing w:val="-20"/>
        </w:rPr>
        <w:t> </w:t>
      </w:r>
      <w:r>
        <w:rPr/>
        <w:t>a</w:t>
      </w:r>
      <w:r>
        <w:rPr>
          <w:spacing w:val="-19"/>
        </w:rPr>
        <w:t> </w:t>
      </w:r>
      <w:r>
        <w:rPr/>
        <w:t>purchase</w:t>
      </w:r>
      <w:r>
        <w:rPr>
          <w:spacing w:val="-19"/>
        </w:rPr>
        <w:t> </w:t>
      </w:r>
      <w:r>
        <w:rPr/>
        <w:t>of</w:t>
      </w:r>
      <w:r>
        <w:rPr>
          <w:spacing w:val="-20"/>
        </w:rPr>
        <w:t> </w:t>
      </w:r>
      <w:r>
        <w:rPr/>
        <w:t>assets or services. The carrying amount is equivalent to fair</w:t>
      </w:r>
      <w:r>
        <w:rPr>
          <w:spacing w:val="-25"/>
        </w:rPr>
        <w:t> </w:t>
      </w:r>
      <w:r>
        <w:rPr/>
        <w:t>value,</w:t>
      </w:r>
      <w:r>
        <w:rPr>
          <w:spacing w:val="-25"/>
        </w:rPr>
        <w:t> </w:t>
      </w:r>
      <w:r>
        <w:rPr/>
        <w:t>as</w:t>
      </w:r>
      <w:r>
        <w:rPr>
          <w:spacing w:val="-25"/>
        </w:rPr>
        <w:t> </w:t>
      </w:r>
      <w:r>
        <w:rPr/>
        <w:t>settlement</w:t>
      </w:r>
      <w:r>
        <w:rPr>
          <w:spacing w:val="-25"/>
        </w:rPr>
        <w:t> </w:t>
      </w:r>
      <w:r>
        <w:rPr/>
        <w:t>is</w:t>
      </w:r>
      <w:r>
        <w:rPr>
          <w:spacing w:val="-25"/>
        </w:rPr>
        <w:t> </w:t>
      </w:r>
      <w:r>
        <w:rPr/>
        <w:t>generally</w:t>
      </w:r>
      <w:r>
        <w:rPr>
          <w:spacing w:val="-25"/>
        </w:rPr>
        <w:t> </w:t>
      </w:r>
      <w:r>
        <w:rPr/>
        <w:t>within</w:t>
      </w:r>
      <w:r>
        <w:rPr>
          <w:spacing w:val="-25"/>
        </w:rPr>
        <w:t> </w:t>
      </w:r>
      <w:r>
        <w:rPr/>
        <w:t>30</w:t>
      </w:r>
      <w:r>
        <w:rPr>
          <w:spacing w:val="-25"/>
        </w:rPr>
        <w:t> </w:t>
      </w:r>
      <w:r>
        <w:rPr/>
        <w:t>days.</w:t>
      </w:r>
    </w:p>
    <w:p>
      <w:pPr>
        <w:pStyle w:val="BodyText"/>
        <w:spacing w:before="4"/>
        <w:rPr>
          <w:sz w:val="23"/>
        </w:rPr>
      </w:pPr>
    </w:p>
    <w:p>
      <w:pPr>
        <w:pStyle w:val="Heading6"/>
        <w:numPr>
          <w:ilvl w:val="0"/>
          <w:numId w:val="6"/>
        </w:numPr>
        <w:tabs>
          <w:tab w:pos="663" w:val="left" w:leader="none"/>
        </w:tabs>
        <w:spacing w:line="240" w:lineRule="auto" w:before="0" w:after="0"/>
        <w:ind w:left="662" w:right="0" w:hanging="277"/>
        <w:jc w:val="left"/>
      </w:pPr>
      <w:r>
        <w:rPr/>
        <w:t>Borrowings</w:t>
      </w:r>
    </w:p>
    <w:p>
      <w:pPr>
        <w:pStyle w:val="BodyText"/>
        <w:spacing w:line="249" w:lineRule="auto" w:before="11"/>
        <w:ind w:left="385" w:right="1520"/>
      </w:pPr>
      <w:r>
        <w:rPr/>
        <w:t>All</w:t>
      </w:r>
      <w:r>
        <w:rPr>
          <w:spacing w:val="-26"/>
        </w:rPr>
        <w:t> </w:t>
      </w:r>
      <w:r>
        <w:rPr/>
        <w:t>loans</w:t>
      </w:r>
      <w:r>
        <w:rPr>
          <w:spacing w:val="-25"/>
        </w:rPr>
        <w:t> </w:t>
      </w:r>
      <w:r>
        <w:rPr/>
        <w:t>payable</w:t>
      </w:r>
      <w:r>
        <w:rPr>
          <w:spacing w:val="-26"/>
        </w:rPr>
        <w:t> </w:t>
      </w:r>
      <w:r>
        <w:rPr/>
        <w:t>are</w:t>
      </w:r>
      <w:r>
        <w:rPr>
          <w:spacing w:val="-25"/>
        </w:rPr>
        <w:t> </w:t>
      </w:r>
      <w:r>
        <w:rPr/>
        <w:t>initially</w:t>
      </w:r>
      <w:r>
        <w:rPr>
          <w:spacing w:val="-26"/>
        </w:rPr>
        <w:t> </w:t>
      </w:r>
      <w:r>
        <w:rPr/>
        <w:t>recognised</w:t>
      </w:r>
      <w:r>
        <w:rPr>
          <w:spacing w:val="-25"/>
        </w:rPr>
        <w:t> </w:t>
      </w:r>
      <w:r>
        <w:rPr/>
        <w:t>at fair</w:t>
      </w:r>
      <w:r>
        <w:rPr>
          <w:spacing w:val="-23"/>
        </w:rPr>
        <w:t> </w:t>
      </w:r>
      <w:r>
        <w:rPr/>
        <w:t>value,</w:t>
      </w:r>
      <w:r>
        <w:rPr>
          <w:spacing w:val="-22"/>
        </w:rPr>
        <w:t> </w:t>
      </w:r>
      <w:r>
        <w:rPr/>
        <w:t>being</w:t>
      </w:r>
      <w:r>
        <w:rPr>
          <w:spacing w:val="-22"/>
        </w:rPr>
        <w:t> </w:t>
      </w:r>
      <w:r>
        <w:rPr/>
        <w:t>the</w:t>
      </w:r>
      <w:r>
        <w:rPr>
          <w:spacing w:val="-22"/>
        </w:rPr>
        <w:t> </w:t>
      </w:r>
      <w:r>
        <w:rPr/>
        <w:t>net</w:t>
      </w:r>
      <w:r>
        <w:rPr>
          <w:spacing w:val="-23"/>
        </w:rPr>
        <w:t> </w:t>
      </w:r>
      <w:r>
        <w:rPr/>
        <w:t>proceeds</w:t>
      </w:r>
      <w:r>
        <w:rPr>
          <w:spacing w:val="-22"/>
        </w:rPr>
        <w:t> </w:t>
      </w:r>
      <w:r>
        <w:rPr>
          <w:spacing w:val="-3"/>
        </w:rPr>
        <w:t>received.</w:t>
      </w:r>
    </w:p>
    <w:p>
      <w:pPr>
        <w:pStyle w:val="BodyText"/>
        <w:spacing w:line="249" w:lineRule="auto" w:before="2"/>
        <w:ind w:left="385" w:right="1019"/>
      </w:pPr>
      <w:r>
        <w:rPr/>
        <w:t>Subsequent measurement is at amortised cost using</w:t>
      </w:r>
      <w:r>
        <w:rPr>
          <w:spacing w:val="-26"/>
        </w:rPr>
        <w:t> </w:t>
      </w:r>
      <w:r>
        <w:rPr/>
        <w:t>the</w:t>
      </w:r>
      <w:r>
        <w:rPr>
          <w:spacing w:val="-25"/>
        </w:rPr>
        <w:t> </w:t>
      </w:r>
      <w:r>
        <w:rPr/>
        <w:t>effective</w:t>
      </w:r>
      <w:r>
        <w:rPr>
          <w:spacing w:val="-25"/>
        </w:rPr>
        <w:t> </w:t>
      </w:r>
      <w:r>
        <w:rPr/>
        <w:t>interest</w:t>
      </w:r>
      <w:r>
        <w:rPr>
          <w:spacing w:val="-26"/>
        </w:rPr>
        <w:t> </w:t>
      </w:r>
      <w:r>
        <w:rPr/>
        <w:t>rate</w:t>
      </w:r>
      <w:r>
        <w:rPr>
          <w:spacing w:val="-25"/>
        </w:rPr>
        <w:t> </w:t>
      </w:r>
      <w:r>
        <w:rPr/>
        <w:t>method</w:t>
      </w:r>
      <w:r>
        <w:rPr>
          <w:spacing w:val="-25"/>
        </w:rPr>
        <w:t> </w:t>
      </w:r>
      <w:r>
        <w:rPr/>
        <w:t>(see</w:t>
      </w:r>
      <w:r>
        <w:rPr>
          <w:spacing w:val="-25"/>
        </w:rPr>
        <w:t> </w:t>
      </w:r>
      <w:r>
        <w:rPr>
          <w:spacing w:val="-5"/>
        </w:rPr>
        <w:t>also </w:t>
      </w:r>
      <w:r>
        <w:rPr/>
        <w:t>Note 2(I) ‘Financial instruments’ and Note 29 ‘Borrowings’).</w:t>
      </w:r>
    </w:p>
    <w:p>
      <w:pPr>
        <w:spacing w:after="0" w:line="249" w:lineRule="auto"/>
        <w:sectPr>
          <w:type w:val="continuous"/>
          <w:pgSz w:w="16840" w:h="11910" w:orient="landscape"/>
          <w:pgMar w:top="0" w:bottom="0" w:left="0" w:right="0"/>
          <w:cols w:num="3" w:equalWidth="0">
            <w:col w:w="5513" w:space="40"/>
            <w:col w:w="5276" w:space="39"/>
            <w:col w:w="5972"/>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436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448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451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198"/>
          <w:pgSz w:w="16840" w:h="11910" w:orient="landscape"/>
          <w:pgMar w:footer="448" w:header="0" w:top="0" w:bottom="640" w:left="0" w:right="0"/>
        </w:sectPr>
      </w:pPr>
    </w:p>
    <w:p>
      <w:pPr>
        <w:pStyle w:val="BodyText"/>
        <w:spacing w:before="5"/>
        <w:rPr>
          <w:sz w:val="23"/>
        </w:rPr>
      </w:pPr>
    </w:p>
    <w:p>
      <w:pPr>
        <w:pStyle w:val="Heading6"/>
        <w:numPr>
          <w:ilvl w:val="0"/>
          <w:numId w:val="6"/>
        </w:numPr>
        <w:tabs>
          <w:tab w:pos="1075" w:val="left" w:leader="none"/>
        </w:tabs>
        <w:spacing w:line="240" w:lineRule="auto" w:before="0" w:after="0"/>
        <w:ind w:left="1074" w:right="0" w:hanging="309"/>
        <w:jc w:val="left"/>
      </w:pPr>
      <w:r>
        <w:rPr/>
        <w:t>Amounts due to the</w:t>
      </w:r>
      <w:r>
        <w:rPr>
          <w:spacing w:val="1"/>
        </w:rPr>
        <w:t> </w:t>
      </w:r>
      <w:r>
        <w:rPr>
          <w:spacing w:val="-4"/>
        </w:rPr>
        <w:t>Treasurer</w:t>
      </w:r>
    </w:p>
    <w:p>
      <w:pPr>
        <w:pStyle w:val="BodyText"/>
        <w:spacing w:line="249" w:lineRule="auto" w:before="11"/>
        <w:ind w:left="765" w:right="314"/>
      </w:pPr>
      <w:r>
        <w:rPr/>
        <w:t>The</w:t>
      </w:r>
      <w:r>
        <w:rPr>
          <w:spacing w:val="-15"/>
        </w:rPr>
        <w:t> </w:t>
      </w:r>
      <w:r>
        <w:rPr/>
        <w:t>amount</w:t>
      </w:r>
      <w:r>
        <w:rPr>
          <w:spacing w:val="-14"/>
        </w:rPr>
        <w:t> </w:t>
      </w:r>
      <w:r>
        <w:rPr/>
        <w:t>due</w:t>
      </w:r>
      <w:r>
        <w:rPr>
          <w:spacing w:val="-14"/>
        </w:rPr>
        <w:t> </w:t>
      </w:r>
      <w:r>
        <w:rPr/>
        <w:t>to</w:t>
      </w:r>
      <w:r>
        <w:rPr>
          <w:spacing w:val="-14"/>
        </w:rPr>
        <w:t> </w:t>
      </w:r>
      <w:r>
        <w:rPr/>
        <w:t>the</w:t>
      </w:r>
      <w:r>
        <w:rPr>
          <w:spacing w:val="-14"/>
        </w:rPr>
        <w:t> </w:t>
      </w:r>
      <w:r>
        <w:rPr>
          <w:spacing w:val="-4"/>
        </w:rPr>
        <w:t>Treasurer</w:t>
      </w:r>
      <w:r>
        <w:rPr>
          <w:spacing w:val="-14"/>
        </w:rPr>
        <w:t> </w:t>
      </w:r>
      <w:r>
        <w:rPr/>
        <w:t>is</w:t>
      </w:r>
      <w:r>
        <w:rPr>
          <w:spacing w:val="-14"/>
        </w:rPr>
        <w:t> </w:t>
      </w:r>
      <w:r>
        <w:rPr/>
        <w:t>in</w:t>
      </w:r>
      <w:r>
        <w:rPr>
          <w:spacing w:val="-14"/>
        </w:rPr>
        <w:t> </w:t>
      </w:r>
      <w:r>
        <w:rPr/>
        <w:t>respect of</w:t>
      </w:r>
      <w:r>
        <w:rPr>
          <w:spacing w:val="-28"/>
        </w:rPr>
        <w:t> </w:t>
      </w:r>
      <w:r>
        <w:rPr/>
        <w:t>a</w:t>
      </w:r>
      <w:r>
        <w:rPr>
          <w:spacing w:val="-27"/>
        </w:rPr>
        <w:t> </w:t>
      </w:r>
      <w:r>
        <w:rPr>
          <w:spacing w:val="-5"/>
        </w:rPr>
        <w:t>Treasurer’s</w:t>
      </w:r>
      <w:r>
        <w:rPr>
          <w:spacing w:val="-27"/>
        </w:rPr>
        <w:t> </w:t>
      </w:r>
      <w:r>
        <w:rPr/>
        <w:t>advance.</w:t>
      </w:r>
      <w:r>
        <w:rPr>
          <w:spacing w:val="-28"/>
        </w:rPr>
        <w:t> </w:t>
      </w:r>
      <w:r>
        <w:rPr/>
        <w:t>Initial</w:t>
      </w:r>
      <w:r>
        <w:rPr>
          <w:spacing w:val="-27"/>
        </w:rPr>
        <w:t> </w:t>
      </w:r>
      <w:r>
        <w:rPr/>
        <w:t>recognition</w:t>
      </w:r>
      <w:r>
        <w:rPr>
          <w:spacing w:val="-27"/>
        </w:rPr>
        <w:t> </w:t>
      </w:r>
      <w:r>
        <w:rPr>
          <w:spacing w:val="-6"/>
        </w:rPr>
        <w:t>and </w:t>
      </w:r>
      <w:r>
        <w:rPr/>
        <w:t>measurement,</w:t>
      </w:r>
      <w:r>
        <w:rPr>
          <w:spacing w:val="-29"/>
        </w:rPr>
        <w:t> </w:t>
      </w:r>
      <w:r>
        <w:rPr/>
        <w:t>and</w:t>
      </w:r>
      <w:r>
        <w:rPr>
          <w:spacing w:val="-28"/>
        </w:rPr>
        <w:t> </w:t>
      </w:r>
      <w:r>
        <w:rPr/>
        <w:t>subsequent</w:t>
      </w:r>
      <w:r>
        <w:rPr>
          <w:spacing w:val="-29"/>
        </w:rPr>
        <w:t> </w:t>
      </w:r>
      <w:r>
        <w:rPr/>
        <w:t>measurement are</w:t>
      </w:r>
      <w:r>
        <w:rPr>
          <w:spacing w:val="-15"/>
        </w:rPr>
        <w:t> </w:t>
      </w:r>
      <w:r>
        <w:rPr/>
        <w:t>at</w:t>
      </w:r>
      <w:r>
        <w:rPr>
          <w:spacing w:val="-15"/>
        </w:rPr>
        <w:t> </w:t>
      </w:r>
      <w:r>
        <w:rPr/>
        <w:t>the</w:t>
      </w:r>
      <w:r>
        <w:rPr>
          <w:spacing w:val="-14"/>
        </w:rPr>
        <w:t> </w:t>
      </w:r>
      <w:r>
        <w:rPr/>
        <w:t>amount</w:t>
      </w:r>
      <w:r>
        <w:rPr>
          <w:spacing w:val="-15"/>
        </w:rPr>
        <w:t> </w:t>
      </w:r>
      <w:r>
        <w:rPr/>
        <w:t>repayable.</w:t>
      </w:r>
      <w:r>
        <w:rPr>
          <w:spacing w:val="-15"/>
        </w:rPr>
        <w:t> </w:t>
      </w:r>
      <w:r>
        <w:rPr/>
        <w:t>Although</w:t>
      </w:r>
      <w:r>
        <w:rPr>
          <w:spacing w:val="-14"/>
        </w:rPr>
        <w:t> </w:t>
      </w:r>
      <w:r>
        <w:rPr/>
        <w:t>there</w:t>
      </w:r>
    </w:p>
    <w:p>
      <w:pPr>
        <w:pStyle w:val="BodyText"/>
        <w:spacing w:line="249" w:lineRule="auto" w:before="4"/>
        <w:ind w:left="765" w:right="471"/>
        <w:jc w:val="both"/>
      </w:pPr>
      <w:r>
        <w:rPr/>
        <w:t>is</w:t>
      </w:r>
      <w:r>
        <w:rPr>
          <w:spacing w:val="-21"/>
        </w:rPr>
        <w:t> </w:t>
      </w:r>
      <w:r>
        <w:rPr/>
        <w:t>no</w:t>
      </w:r>
      <w:r>
        <w:rPr>
          <w:spacing w:val="-20"/>
        </w:rPr>
        <w:t> </w:t>
      </w:r>
      <w:r>
        <w:rPr/>
        <w:t>interest</w:t>
      </w:r>
      <w:r>
        <w:rPr>
          <w:spacing w:val="-20"/>
        </w:rPr>
        <w:t> </w:t>
      </w:r>
      <w:r>
        <w:rPr/>
        <w:t>charged,</w:t>
      </w:r>
      <w:r>
        <w:rPr>
          <w:spacing w:val="-21"/>
        </w:rPr>
        <w:t> </w:t>
      </w:r>
      <w:r>
        <w:rPr/>
        <w:t>the</w:t>
      </w:r>
      <w:r>
        <w:rPr>
          <w:spacing w:val="-20"/>
        </w:rPr>
        <w:t> </w:t>
      </w:r>
      <w:r>
        <w:rPr/>
        <w:t>amount</w:t>
      </w:r>
      <w:r>
        <w:rPr>
          <w:spacing w:val="-20"/>
        </w:rPr>
        <w:t> </w:t>
      </w:r>
      <w:r>
        <w:rPr/>
        <w:t>repayable is</w:t>
      </w:r>
      <w:r>
        <w:rPr>
          <w:spacing w:val="-17"/>
        </w:rPr>
        <w:t> </w:t>
      </w:r>
      <w:r>
        <w:rPr/>
        <w:t>equivalent</w:t>
      </w:r>
      <w:r>
        <w:rPr>
          <w:spacing w:val="-17"/>
        </w:rPr>
        <w:t> </w:t>
      </w:r>
      <w:r>
        <w:rPr/>
        <w:t>to</w:t>
      </w:r>
      <w:r>
        <w:rPr>
          <w:spacing w:val="-16"/>
        </w:rPr>
        <w:t> </w:t>
      </w:r>
      <w:r>
        <w:rPr/>
        <w:t>fair</w:t>
      </w:r>
      <w:r>
        <w:rPr>
          <w:spacing w:val="-17"/>
        </w:rPr>
        <w:t> </w:t>
      </w:r>
      <w:r>
        <w:rPr/>
        <w:t>value</w:t>
      </w:r>
      <w:r>
        <w:rPr>
          <w:spacing w:val="-16"/>
        </w:rPr>
        <w:t> </w:t>
      </w:r>
      <w:r>
        <w:rPr/>
        <w:t>as</w:t>
      </w:r>
      <w:r>
        <w:rPr>
          <w:spacing w:val="-17"/>
        </w:rPr>
        <w:t> </w:t>
      </w:r>
      <w:r>
        <w:rPr/>
        <w:t>the</w:t>
      </w:r>
      <w:r>
        <w:rPr>
          <w:spacing w:val="-16"/>
        </w:rPr>
        <w:t> </w:t>
      </w:r>
      <w:r>
        <w:rPr/>
        <w:t>period</w:t>
      </w:r>
      <w:r>
        <w:rPr>
          <w:spacing w:val="-17"/>
        </w:rPr>
        <w:t> </w:t>
      </w:r>
      <w:r>
        <w:rPr/>
        <w:t>of</w:t>
      </w:r>
      <w:r>
        <w:rPr>
          <w:spacing w:val="-16"/>
        </w:rPr>
        <w:t> </w:t>
      </w:r>
      <w:r>
        <w:rPr/>
        <w:t>the borrowing</w:t>
      </w:r>
      <w:r>
        <w:rPr>
          <w:spacing w:val="-12"/>
        </w:rPr>
        <w:t> </w:t>
      </w:r>
      <w:r>
        <w:rPr/>
        <w:t>is</w:t>
      </w:r>
      <w:r>
        <w:rPr>
          <w:spacing w:val="-11"/>
        </w:rPr>
        <w:t> </w:t>
      </w:r>
      <w:r>
        <w:rPr/>
        <w:t>for</w:t>
      </w:r>
      <w:r>
        <w:rPr>
          <w:spacing w:val="-11"/>
        </w:rPr>
        <w:t> </w:t>
      </w:r>
      <w:r>
        <w:rPr/>
        <w:t>less</w:t>
      </w:r>
      <w:r>
        <w:rPr>
          <w:spacing w:val="-12"/>
        </w:rPr>
        <w:t> </w:t>
      </w:r>
      <w:r>
        <w:rPr/>
        <w:t>than</w:t>
      </w:r>
      <w:r>
        <w:rPr>
          <w:spacing w:val="-11"/>
        </w:rPr>
        <w:t> </w:t>
      </w:r>
      <w:r>
        <w:rPr/>
        <w:t>12</w:t>
      </w:r>
      <w:r>
        <w:rPr>
          <w:spacing w:val="-12"/>
        </w:rPr>
        <w:t> </w:t>
      </w:r>
      <w:r>
        <w:rPr/>
        <w:t>months</w:t>
      </w:r>
      <w:r>
        <w:rPr>
          <w:spacing w:val="-11"/>
        </w:rPr>
        <w:t> </w:t>
      </w:r>
      <w:r>
        <w:rPr/>
        <w:t>with</w:t>
      </w:r>
      <w:r>
        <w:rPr>
          <w:spacing w:val="-11"/>
        </w:rPr>
        <w:t> </w:t>
      </w:r>
      <w:r>
        <w:rPr>
          <w:spacing w:val="-6"/>
        </w:rPr>
        <w:t>the </w:t>
      </w:r>
      <w:r>
        <w:rPr/>
        <w:t>effect of discounting not being</w:t>
      </w:r>
      <w:r>
        <w:rPr>
          <w:spacing w:val="-38"/>
        </w:rPr>
        <w:t> </w:t>
      </w:r>
      <w:r>
        <w:rPr/>
        <w:t>material.</w:t>
      </w:r>
    </w:p>
    <w:p>
      <w:pPr>
        <w:pStyle w:val="BodyText"/>
        <w:spacing w:before="2"/>
        <w:rPr>
          <w:sz w:val="23"/>
        </w:rPr>
      </w:pPr>
    </w:p>
    <w:p>
      <w:pPr>
        <w:pStyle w:val="Heading6"/>
        <w:numPr>
          <w:ilvl w:val="0"/>
          <w:numId w:val="6"/>
        </w:numPr>
        <w:tabs>
          <w:tab w:pos="1035" w:val="left" w:leader="none"/>
        </w:tabs>
        <w:spacing w:line="240" w:lineRule="auto" w:before="1" w:after="0"/>
        <w:ind w:left="1034" w:right="0" w:hanging="269"/>
        <w:jc w:val="left"/>
      </w:pPr>
      <w:r>
        <w:rPr/>
        <w:t>Provisions</w:t>
      </w:r>
    </w:p>
    <w:p>
      <w:pPr>
        <w:pStyle w:val="BodyText"/>
        <w:spacing w:line="249" w:lineRule="auto" w:before="11"/>
        <w:ind w:left="765" w:right="-4"/>
      </w:pPr>
      <w:r>
        <w:rPr/>
        <w:t>Provisions are liabilities of uncertain timing or amount and are recognised where there is a present</w:t>
      </w:r>
      <w:r>
        <w:rPr>
          <w:spacing w:val="-21"/>
        </w:rPr>
        <w:t> </w:t>
      </w:r>
      <w:r>
        <w:rPr/>
        <w:t>legal</w:t>
      </w:r>
      <w:r>
        <w:rPr>
          <w:spacing w:val="-20"/>
        </w:rPr>
        <w:t> </w:t>
      </w:r>
      <w:r>
        <w:rPr/>
        <w:t>or</w:t>
      </w:r>
      <w:r>
        <w:rPr>
          <w:spacing w:val="-21"/>
        </w:rPr>
        <w:t> </w:t>
      </w:r>
      <w:r>
        <w:rPr/>
        <w:t>constructive</w:t>
      </w:r>
      <w:r>
        <w:rPr>
          <w:spacing w:val="-20"/>
        </w:rPr>
        <w:t> </w:t>
      </w:r>
      <w:r>
        <w:rPr/>
        <w:t>obligation</w:t>
      </w:r>
      <w:r>
        <w:rPr>
          <w:spacing w:val="-20"/>
        </w:rPr>
        <w:t> </w:t>
      </w:r>
      <w:r>
        <w:rPr/>
        <w:t>as</w:t>
      </w:r>
      <w:r>
        <w:rPr>
          <w:spacing w:val="-21"/>
        </w:rPr>
        <w:t> </w:t>
      </w:r>
      <w:r>
        <w:rPr/>
        <w:t>a</w:t>
      </w:r>
      <w:r>
        <w:rPr>
          <w:spacing w:val="-20"/>
        </w:rPr>
        <w:t> </w:t>
      </w:r>
      <w:r>
        <w:rPr/>
        <w:t>result of</w:t>
      </w:r>
      <w:r>
        <w:rPr>
          <w:spacing w:val="-12"/>
        </w:rPr>
        <w:t> </w:t>
      </w:r>
      <w:r>
        <w:rPr/>
        <w:t>a</w:t>
      </w:r>
      <w:r>
        <w:rPr>
          <w:spacing w:val="-12"/>
        </w:rPr>
        <w:t> </w:t>
      </w:r>
      <w:r>
        <w:rPr/>
        <w:t>past</w:t>
      </w:r>
      <w:r>
        <w:rPr>
          <w:spacing w:val="-11"/>
        </w:rPr>
        <w:t> </w:t>
      </w:r>
      <w:r>
        <w:rPr/>
        <w:t>event</w:t>
      </w:r>
      <w:r>
        <w:rPr>
          <w:spacing w:val="-12"/>
        </w:rPr>
        <w:t> </w:t>
      </w:r>
      <w:r>
        <w:rPr/>
        <w:t>and</w:t>
      </w:r>
      <w:r>
        <w:rPr>
          <w:spacing w:val="-11"/>
        </w:rPr>
        <w:t> </w:t>
      </w:r>
      <w:r>
        <w:rPr/>
        <w:t>when</w:t>
      </w:r>
      <w:r>
        <w:rPr>
          <w:spacing w:val="-12"/>
        </w:rPr>
        <w:t> </w:t>
      </w:r>
      <w:r>
        <w:rPr/>
        <w:t>the</w:t>
      </w:r>
      <w:r>
        <w:rPr>
          <w:spacing w:val="-11"/>
        </w:rPr>
        <w:t> </w:t>
      </w:r>
      <w:r>
        <w:rPr/>
        <w:t>outflow</w:t>
      </w:r>
      <w:r>
        <w:rPr>
          <w:spacing w:val="-12"/>
        </w:rPr>
        <w:t> </w:t>
      </w:r>
      <w:r>
        <w:rPr/>
        <w:t>of</w:t>
      </w:r>
      <w:r>
        <w:rPr>
          <w:spacing w:val="-11"/>
        </w:rPr>
        <w:t> </w:t>
      </w:r>
      <w:r>
        <w:rPr>
          <w:spacing w:val="-4"/>
        </w:rPr>
        <w:t>resources </w:t>
      </w:r>
      <w:r>
        <w:rPr/>
        <w:t>embodying</w:t>
      </w:r>
      <w:r>
        <w:rPr>
          <w:spacing w:val="-10"/>
        </w:rPr>
        <w:t> </w:t>
      </w:r>
      <w:r>
        <w:rPr/>
        <w:t>economic</w:t>
      </w:r>
      <w:r>
        <w:rPr>
          <w:spacing w:val="-10"/>
        </w:rPr>
        <w:t> </w:t>
      </w:r>
      <w:r>
        <w:rPr/>
        <w:t>benefits</w:t>
      </w:r>
      <w:r>
        <w:rPr>
          <w:spacing w:val="-9"/>
        </w:rPr>
        <w:t> </w:t>
      </w:r>
      <w:r>
        <w:rPr/>
        <w:t>is</w:t>
      </w:r>
      <w:r>
        <w:rPr>
          <w:spacing w:val="-10"/>
        </w:rPr>
        <w:t> </w:t>
      </w:r>
      <w:r>
        <w:rPr/>
        <w:t>probable</w:t>
      </w:r>
      <w:r>
        <w:rPr>
          <w:spacing w:val="-9"/>
        </w:rPr>
        <w:t> </w:t>
      </w:r>
      <w:r>
        <w:rPr/>
        <w:t>and</w:t>
      </w:r>
    </w:p>
    <w:p>
      <w:pPr>
        <w:pStyle w:val="BodyText"/>
        <w:spacing w:line="249" w:lineRule="auto" w:before="4"/>
        <w:ind w:left="765" w:right="271"/>
      </w:pPr>
      <w:r>
        <w:rPr/>
        <w:t>a</w:t>
      </w:r>
      <w:r>
        <w:rPr>
          <w:spacing w:val="-16"/>
        </w:rPr>
        <w:t> </w:t>
      </w:r>
      <w:r>
        <w:rPr/>
        <w:t>reliable</w:t>
      </w:r>
      <w:r>
        <w:rPr>
          <w:spacing w:val="-15"/>
        </w:rPr>
        <w:t> </w:t>
      </w:r>
      <w:r>
        <w:rPr/>
        <w:t>estimate</w:t>
      </w:r>
      <w:r>
        <w:rPr>
          <w:spacing w:val="-16"/>
        </w:rPr>
        <w:t> </w:t>
      </w:r>
      <w:r>
        <w:rPr/>
        <w:t>can</w:t>
      </w:r>
      <w:r>
        <w:rPr>
          <w:spacing w:val="-15"/>
        </w:rPr>
        <w:t> </w:t>
      </w:r>
      <w:r>
        <w:rPr/>
        <w:t>be</w:t>
      </w:r>
      <w:r>
        <w:rPr>
          <w:spacing w:val="-15"/>
        </w:rPr>
        <w:t> </w:t>
      </w:r>
      <w:r>
        <w:rPr/>
        <w:t>made</w:t>
      </w:r>
      <w:r>
        <w:rPr>
          <w:spacing w:val="-16"/>
        </w:rPr>
        <w:t> </w:t>
      </w:r>
      <w:r>
        <w:rPr/>
        <w:t>of</w:t>
      </w:r>
      <w:r>
        <w:rPr>
          <w:spacing w:val="-15"/>
        </w:rPr>
        <w:t> </w:t>
      </w:r>
      <w:r>
        <w:rPr/>
        <w:t>the</w:t>
      </w:r>
      <w:r>
        <w:rPr>
          <w:spacing w:val="-15"/>
        </w:rPr>
        <w:t> </w:t>
      </w:r>
      <w:r>
        <w:rPr/>
        <w:t>amount of</w:t>
      </w:r>
      <w:r>
        <w:rPr>
          <w:spacing w:val="-24"/>
        </w:rPr>
        <w:t> </w:t>
      </w:r>
      <w:r>
        <w:rPr/>
        <w:t>the</w:t>
      </w:r>
      <w:r>
        <w:rPr>
          <w:spacing w:val="-23"/>
        </w:rPr>
        <w:t> </w:t>
      </w:r>
      <w:r>
        <w:rPr/>
        <w:t>obligation.</w:t>
      </w:r>
      <w:r>
        <w:rPr>
          <w:spacing w:val="-23"/>
        </w:rPr>
        <w:t> </w:t>
      </w:r>
      <w:r>
        <w:rPr/>
        <w:t>Provisions</w:t>
      </w:r>
      <w:r>
        <w:rPr>
          <w:spacing w:val="-24"/>
        </w:rPr>
        <w:t> </w:t>
      </w:r>
      <w:r>
        <w:rPr/>
        <w:t>are</w:t>
      </w:r>
      <w:r>
        <w:rPr>
          <w:spacing w:val="-23"/>
        </w:rPr>
        <w:t> </w:t>
      </w:r>
      <w:r>
        <w:rPr/>
        <w:t>reviewed</w:t>
      </w:r>
      <w:r>
        <w:rPr>
          <w:spacing w:val="-23"/>
        </w:rPr>
        <w:t> </w:t>
      </w:r>
      <w:r>
        <w:rPr/>
        <w:t>at</w:t>
      </w:r>
      <w:r>
        <w:rPr>
          <w:spacing w:val="-24"/>
        </w:rPr>
        <w:t> </w:t>
      </w:r>
      <w:r>
        <w:rPr>
          <w:spacing w:val="-6"/>
        </w:rPr>
        <w:t>the </w:t>
      </w:r>
      <w:r>
        <w:rPr/>
        <w:t>end</w:t>
      </w:r>
      <w:r>
        <w:rPr>
          <w:spacing w:val="-16"/>
        </w:rPr>
        <w:t> </w:t>
      </w:r>
      <w:r>
        <w:rPr/>
        <w:t>of</w:t>
      </w:r>
      <w:r>
        <w:rPr>
          <w:spacing w:val="-15"/>
        </w:rPr>
        <w:t> </w:t>
      </w:r>
      <w:r>
        <w:rPr/>
        <w:t>each</w:t>
      </w:r>
      <w:r>
        <w:rPr>
          <w:spacing w:val="-15"/>
        </w:rPr>
        <w:t> </w:t>
      </w:r>
      <w:r>
        <w:rPr/>
        <w:t>reporting</w:t>
      </w:r>
      <w:r>
        <w:rPr>
          <w:spacing w:val="-16"/>
        </w:rPr>
        <w:t> </w:t>
      </w:r>
      <w:r>
        <w:rPr/>
        <w:t>period</w:t>
      </w:r>
      <w:r>
        <w:rPr>
          <w:spacing w:val="-15"/>
        </w:rPr>
        <w:t> </w:t>
      </w:r>
      <w:r>
        <w:rPr/>
        <w:t>(see</w:t>
      </w:r>
      <w:r>
        <w:rPr>
          <w:spacing w:val="-15"/>
        </w:rPr>
        <w:t> </w:t>
      </w:r>
      <w:r>
        <w:rPr/>
        <w:t>also</w:t>
      </w:r>
      <w:r>
        <w:rPr>
          <w:spacing w:val="-16"/>
        </w:rPr>
        <w:t> </w:t>
      </w:r>
      <w:r>
        <w:rPr/>
        <w:t>Note</w:t>
      </w:r>
      <w:r>
        <w:rPr>
          <w:spacing w:val="-15"/>
        </w:rPr>
        <w:t> </w:t>
      </w:r>
      <w:r>
        <w:rPr/>
        <w:t>30 ‘Provisions’).</w:t>
      </w:r>
    </w:p>
    <w:p>
      <w:pPr>
        <w:pStyle w:val="BodyText"/>
        <w:spacing w:before="3"/>
        <w:rPr>
          <w:sz w:val="23"/>
        </w:rPr>
      </w:pPr>
    </w:p>
    <w:p>
      <w:pPr>
        <w:spacing w:before="0"/>
        <w:ind w:left="765" w:right="0" w:firstLine="0"/>
        <w:jc w:val="left"/>
        <w:rPr>
          <w:i/>
          <w:sz w:val="22"/>
        </w:rPr>
      </w:pPr>
      <w:r>
        <w:rPr>
          <w:i/>
          <w:color w:val="6F2770"/>
          <w:sz w:val="22"/>
        </w:rPr>
        <w:t>Provisions - employee benefits</w:t>
      </w:r>
    </w:p>
    <w:p>
      <w:pPr>
        <w:pStyle w:val="BodyText"/>
        <w:spacing w:line="249" w:lineRule="auto" w:before="11"/>
        <w:ind w:left="765" w:right="105"/>
      </w:pPr>
      <w:r>
        <w:rPr/>
        <w:t>All</w:t>
      </w:r>
      <w:r>
        <w:rPr>
          <w:spacing w:val="-32"/>
        </w:rPr>
        <w:t> </w:t>
      </w:r>
      <w:r>
        <w:rPr/>
        <w:t>annual</w:t>
      </w:r>
      <w:r>
        <w:rPr>
          <w:spacing w:val="-31"/>
        </w:rPr>
        <w:t> </w:t>
      </w:r>
      <w:r>
        <w:rPr/>
        <w:t>leave</w:t>
      </w:r>
      <w:r>
        <w:rPr>
          <w:spacing w:val="-31"/>
        </w:rPr>
        <w:t> </w:t>
      </w:r>
      <w:r>
        <w:rPr/>
        <w:t>and</w:t>
      </w:r>
      <w:r>
        <w:rPr>
          <w:spacing w:val="-32"/>
        </w:rPr>
        <w:t> </w:t>
      </w:r>
      <w:r>
        <w:rPr/>
        <w:t>long</w:t>
      </w:r>
      <w:r>
        <w:rPr>
          <w:spacing w:val="-31"/>
        </w:rPr>
        <w:t> </w:t>
      </w:r>
      <w:r>
        <w:rPr/>
        <w:t>service</w:t>
      </w:r>
      <w:r>
        <w:rPr>
          <w:spacing w:val="-31"/>
        </w:rPr>
        <w:t> </w:t>
      </w:r>
      <w:r>
        <w:rPr/>
        <w:t>leave</w:t>
      </w:r>
      <w:r>
        <w:rPr>
          <w:spacing w:val="-31"/>
        </w:rPr>
        <w:t> </w:t>
      </w:r>
      <w:r>
        <w:rPr>
          <w:spacing w:val="-3"/>
        </w:rPr>
        <w:t>provisions </w:t>
      </w:r>
      <w:r>
        <w:rPr/>
        <w:t>are in respect of employees’ services up to the end of the reporting</w:t>
      </w:r>
      <w:r>
        <w:rPr>
          <w:spacing w:val="-7"/>
        </w:rPr>
        <w:t> </w:t>
      </w:r>
      <w:r>
        <w:rPr/>
        <w:t>period.</w:t>
      </w:r>
    </w:p>
    <w:p>
      <w:pPr>
        <w:pStyle w:val="BodyText"/>
        <w:spacing w:before="2"/>
        <w:rPr>
          <w:sz w:val="23"/>
        </w:rPr>
      </w:pPr>
    </w:p>
    <w:p>
      <w:pPr>
        <w:spacing w:before="1"/>
        <w:ind w:left="765" w:right="0" w:firstLine="0"/>
        <w:jc w:val="left"/>
        <w:rPr>
          <w:i/>
          <w:sz w:val="22"/>
        </w:rPr>
      </w:pPr>
      <w:r>
        <w:rPr>
          <w:i/>
          <w:sz w:val="22"/>
        </w:rPr>
        <w:t>Annual leave</w:t>
      </w:r>
    </w:p>
    <w:p>
      <w:pPr>
        <w:pStyle w:val="BodyText"/>
        <w:spacing w:line="249" w:lineRule="auto" w:before="11"/>
        <w:ind w:left="765" w:right="122"/>
      </w:pPr>
      <w:r>
        <w:rPr/>
        <w:t>Annual</w:t>
      </w:r>
      <w:r>
        <w:rPr>
          <w:spacing w:val="-18"/>
        </w:rPr>
        <w:t> </w:t>
      </w:r>
      <w:r>
        <w:rPr/>
        <w:t>leave</w:t>
      </w:r>
      <w:r>
        <w:rPr>
          <w:spacing w:val="-17"/>
        </w:rPr>
        <w:t> </w:t>
      </w:r>
      <w:r>
        <w:rPr/>
        <w:t>is</w:t>
      </w:r>
      <w:r>
        <w:rPr>
          <w:spacing w:val="-17"/>
        </w:rPr>
        <w:t> </w:t>
      </w:r>
      <w:r>
        <w:rPr/>
        <w:t>not</w:t>
      </w:r>
      <w:r>
        <w:rPr>
          <w:spacing w:val="-17"/>
        </w:rPr>
        <w:t> </w:t>
      </w:r>
      <w:r>
        <w:rPr/>
        <w:t>expected</w:t>
      </w:r>
      <w:r>
        <w:rPr>
          <w:spacing w:val="-18"/>
        </w:rPr>
        <w:t> </w:t>
      </w:r>
      <w:r>
        <w:rPr/>
        <w:t>to</w:t>
      </w:r>
      <w:r>
        <w:rPr>
          <w:spacing w:val="-17"/>
        </w:rPr>
        <w:t> </w:t>
      </w:r>
      <w:r>
        <w:rPr/>
        <w:t>be</w:t>
      </w:r>
      <w:r>
        <w:rPr>
          <w:spacing w:val="-17"/>
        </w:rPr>
        <w:t> </w:t>
      </w:r>
      <w:r>
        <w:rPr/>
        <w:t>settled</w:t>
      </w:r>
      <w:r>
        <w:rPr>
          <w:spacing w:val="-17"/>
        </w:rPr>
        <w:t> </w:t>
      </w:r>
      <w:r>
        <w:rPr>
          <w:spacing w:val="-3"/>
        </w:rPr>
        <w:t>wholly </w:t>
      </w:r>
      <w:r>
        <w:rPr/>
        <w:t>within</w:t>
      </w:r>
      <w:r>
        <w:rPr>
          <w:spacing w:val="-9"/>
        </w:rPr>
        <w:t> </w:t>
      </w:r>
      <w:r>
        <w:rPr/>
        <w:t>12</w:t>
      </w:r>
      <w:r>
        <w:rPr>
          <w:spacing w:val="-9"/>
        </w:rPr>
        <w:t> </w:t>
      </w:r>
      <w:r>
        <w:rPr/>
        <w:t>months</w:t>
      </w:r>
      <w:r>
        <w:rPr>
          <w:spacing w:val="-8"/>
        </w:rPr>
        <w:t> </w:t>
      </w:r>
      <w:r>
        <w:rPr/>
        <w:t>after</w:t>
      </w:r>
      <w:r>
        <w:rPr>
          <w:spacing w:val="-9"/>
        </w:rPr>
        <w:t> </w:t>
      </w:r>
      <w:r>
        <w:rPr/>
        <w:t>the</w:t>
      </w:r>
      <w:r>
        <w:rPr>
          <w:spacing w:val="-9"/>
        </w:rPr>
        <w:t> </w:t>
      </w:r>
      <w:r>
        <w:rPr/>
        <w:t>end</w:t>
      </w:r>
      <w:r>
        <w:rPr>
          <w:spacing w:val="-8"/>
        </w:rPr>
        <w:t> </w:t>
      </w:r>
      <w:r>
        <w:rPr/>
        <w:t>of</w:t>
      </w:r>
      <w:r>
        <w:rPr>
          <w:spacing w:val="-9"/>
        </w:rPr>
        <w:t> </w:t>
      </w:r>
      <w:r>
        <w:rPr/>
        <w:t>the</w:t>
      </w:r>
      <w:r>
        <w:rPr>
          <w:spacing w:val="-9"/>
        </w:rPr>
        <w:t> </w:t>
      </w:r>
      <w:r>
        <w:rPr/>
        <w:t>reporting</w:t>
      </w:r>
    </w:p>
    <w:p>
      <w:pPr>
        <w:pStyle w:val="BodyText"/>
        <w:spacing w:before="5"/>
        <w:rPr>
          <w:sz w:val="23"/>
        </w:rPr>
      </w:pPr>
      <w:r>
        <w:rPr/>
        <w:br w:type="column"/>
      </w:r>
      <w:r>
        <w:rPr>
          <w:sz w:val="23"/>
        </w:rPr>
      </w:r>
    </w:p>
    <w:p>
      <w:pPr>
        <w:pStyle w:val="BodyText"/>
        <w:spacing w:line="249" w:lineRule="auto"/>
        <w:ind w:left="472" w:right="102"/>
      </w:pPr>
      <w:r>
        <w:rPr/>
        <w:t>period and is therefore considered to be ‘other long-term employee benefits’. The annual leave liability</w:t>
      </w:r>
      <w:r>
        <w:rPr>
          <w:spacing w:val="-23"/>
        </w:rPr>
        <w:t> </w:t>
      </w:r>
      <w:r>
        <w:rPr/>
        <w:t>is</w:t>
      </w:r>
      <w:r>
        <w:rPr>
          <w:spacing w:val="-23"/>
        </w:rPr>
        <w:t> </w:t>
      </w:r>
      <w:r>
        <w:rPr/>
        <w:t>recognised</w:t>
      </w:r>
      <w:r>
        <w:rPr>
          <w:spacing w:val="-22"/>
        </w:rPr>
        <w:t> </w:t>
      </w:r>
      <w:r>
        <w:rPr/>
        <w:t>and</w:t>
      </w:r>
      <w:r>
        <w:rPr>
          <w:spacing w:val="-23"/>
        </w:rPr>
        <w:t> </w:t>
      </w:r>
      <w:r>
        <w:rPr/>
        <w:t>measured</w:t>
      </w:r>
      <w:r>
        <w:rPr>
          <w:spacing w:val="-23"/>
        </w:rPr>
        <w:t> </w:t>
      </w:r>
      <w:r>
        <w:rPr/>
        <w:t>at</w:t>
      </w:r>
      <w:r>
        <w:rPr>
          <w:spacing w:val="-22"/>
        </w:rPr>
        <w:t> </w:t>
      </w:r>
      <w:r>
        <w:rPr/>
        <w:t>the</w:t>
      </w:r>
      <w:r>
        <w:rPr>
          <w:spacing w:val="-23"/>
        </w:rPr>
        <w:t> </w:t>
      </w:r>
      <w:r>
        <w:rPr>
          <w:spacing w:val="-4"/>
        </w:rPr>
        <w:t>present </w:t>
      </w:r>
      <w:r>
        <w:rPr/>
        <w:t>value of amounts expected to be paid when the liabilities are settled using the remuneration rate expected to apply at the time of</w:t>
      </w:r>
      <w:r>
        <w:rPr>
          <w:spacing w:val="-35"/>
        </w:rPr>
        <w:t> </w:t>
      </w:r>
      <w:r>
        <w:rPr/>
        <w:t>settlement.</w:t>
      </w:r>
    </w:p>
    <w:p>
      <w:pPr>
        <w:pStyle w:val="BodyText"/>
        <w:spacing w:before="5"/>
        <w:rPr>
          <w:sz w:val="23"/>
        </w:rPr>
      </w:pPr>
    </w:p>
    <w:p>
      <w:pPr>
        <w:pStyle w:val="BodyText"/>
        <w:spacing w:line="249" w:lineRule="auto"/>
        <w:ind w:left="472" w:right="-13"/>
      </w:pPr>
      <w:r>
        <w:rPr/>
        <w:t>When assessing expected future payments consideration is given to expected future wage and</w:t>
      </w:r>
      <w:r>
        <w:rPr>
          <w:spacing w:val="-28"/>
        </w:rPr>
        <w:t> </w:t>
      </w:r>
      <w:r>
        <w:rPr/>
        <w:t>salary</w:t>
      </w:r>
      <w:r>
        <w:rPr>
          <w:spacing w:val="-28"/>
        </w:rPr>
        <w:t> </w:t>
      </w:r>
      <w:r>
        <w:rPr/>
        <w:t>levels</w:t>
      </w:r>
      <w:r>
        <w:rPr>
          <w:spacing w:val="-27"/>
        </w:rPr>
        <w:t> </w:t>
      </w:r>
      <w:r>
        <w:rPr/>
        <w:t>including</w:t>
      </w:r>
      <w:r>
        <w:rPr>
          <w:spacing w:val="-28"/>
        </w:rPr>
        <w:t> </w:t>
      </w:r>
      <w:r>
        <w:rPr/>
        <w:t>non-salary</w:t>
      </w:r>
      <w:r>
        <w:rPr>
          <w:spacing w:val="-28"/>
        </w:rPr>
        <w:t> </w:t>
      </w:r>
      <w:r>
        <w:rPr/>
        <w:t>components such</w:t>
      </w:r>
      <w:r>
        <w:rPr>
          <w:spacing w:val="-29"/>
        </w:rPr>
        <w:t> </w:t>
      </w:r>
      <w:r>
        <w:rPr/>
        <w:t>as</w:t>
      </w:r>
      <w:r>
        <w:rPr>
          <w:spacing w:val="-28"/>
        </w:rPr>
        <w:t> </w:t>
      </w:r>
      <w:r>
        <w:rPr/>
        <w:t>employer</w:t>
      </w:r>
      <w:r>
        <w:rPr>
          <w:spacing w:val="-28"/>
        </w:rPr>
        <w:t> </w:t>
      </w:r>
      <w:r>
        <w:rPr/>
        <w:t>superannuation</w:t>
      </w:r>
      <w:r>
        <w:rPr>
          <w:spacing w:val="-28"/>
        </w:rPr>
        <w:t> </w:t>
      </w:r>
      <w:r>
        <w:rPr/>
        <w:t>contributions,</w:t>
      </w:r>
      <w:r>
        <w:rPr>
          <w:spacing w:val="-28"/>
        </w:rPr>
        <w:t> </w:t>
      </w:r>
      <w:r>
        <w:rPr>
          <w:spacing w:val="-8"/>
        </w:rPr>
        <w:t>as </w:t>
      </w:r>
      <w:r>
        <w:rPr/>
        <w:t>well</w:t>
      </w:r>
      <w:r>
        <w:rPr>
          <w:spacing w:val="-24"/>
        </w:rPr>
        <w:t> </w:t>
      </w:r>
      <w:r>
        <w:rPr/>
        <w:t>as</w:t>
      </w:r>
      <w:r>
        <w:rPr>
          <w:spacing w:val="-23"/>
        </w:rPr>
        <w:t> </w:t>
      </w:r>
      <w:r>
        <w:rPr/>
        <w:t>the</w:t>
      </w:r>
      <w:r>
        <w:rPr>
          <w:spacing w:val="-24"/>
        </w:rPr>
        <w:t> </w:t>
      </w:r>
      <w:r>
        <w:rPr/>
        <w:t>experience</w:t>
      </w:r>
      <w:r>
        <w:rPr>
          <w:spacing w:val="-23"/>
        </w:rPr>
        <w:t> </w:t>
      </w:r>
      <w:r>
        <w:rPr/>
        <w:t>of</w:t>
      </w:r>
      <w:r>
        <w:rPr>
          <w:spacing w:val="-24"/>
        </w:rPr>
        <w:t> </w:t>
      </w:r>
      <w:r>
        <w:rPr/>
        <w:t>employee</w:t>
      </w:r>
      <w:r>
        <w:rPr>
          <w:spacing w:val="-23"/>
        </w:rPr>
        <w:t> </w:t>
      </w:r>
      <w:r>
        <w:rPr/>
        <w:t>departures</w:t>
      </w:r>
      <w:r>
        <w:rPr>
          <w:spacing w:val="-24"/>
        </w:rPr>
        <w:t> </w:t>
      </w:r>
      <w:r>
        <w:rPr/>
        <w:t>and periods</w:t>
      </w:r>
      <w:r>
        <w:rPr>
          <w:spacing w:val="-18"/>
        </w:rPr>
        <w:t> </w:t>
      </w:r>
      <w:r>
        <w:rPr/>
        <w:t>of</w:t>
      </w:r>
      <w:r>
        <w:rPr>
          <w:spacing w:val="-17"/>
        </w:rPr>
        <w:t> </w:t>
      </w:r>
      <w:r>
        <w:rPr/>
        <w:t>service.</w:t>
      </w:r>
      <w:r>
        <w:rPr>
          <w:spacing w:val="-17"/>
        </w:rPr>
        <w:t> </w:t>
      </w:r>
      <w:r>
        <w:rPr/>
        <w:t>The</w:t>
      </w:r>
      <w:r>
        <w:rPr>
          <w:spacing w:val="-17"/>
        </w:rPr>
        <w:t> </w:t>
      </w:r>
      <w:r>
        <w:rPr/>
        <w:t>expected</w:t>
      </w:r>
      <w:r>
        <w:rPr>
          <w:spacing w:val="-17"/>
        </w:rPr>
        <w:t> </w:t>
      </w:r>
      <w:r>
        <w:rPr/>
        <w:t>future</w:t>
      </w:r>
      <w:r>
        <w:rPr>
          <w:spacing w:val="-18"/>
        </w:rPr>
        <w:t> </w:t>
      </w:r>
      <w:r>
        <w:rPr/>
        <w:t>payments are discounted using market yields at the end of the</w:t>
      </w:r>
      <w:r>
        <w:rPr>
          <w:spacing w:val="-19"/>
        </w:rPr>
        <w:t> </w:t>
      </w:r>
      <w:r>
        <w:rPr/>
        <w:t>reporting</w:t>
      </w:r>
      <w:r>
        <w:rPr>
          <w:spacing w:val="-18"/>
        </w:rPr>
        <w:t> </w:t>
      </w:r>
      <w:r>
        <w:rPr/>
        <w:t>period</w:t>
      </w:r>
      <w:r>
        <w:rPr>
          <w:spacing w:val="-18"/>
        </w:rPr>
        <w:t> </w:t>
      </w:r>
      <w:r>
        <w:rPr/>
        <w:t>on</w:t>
      </w:r>
      <w:r>
        <w:rPr>
          <w:spacing w:val="-18"/>
        </w:rPr>
        <w:t> </w:t>
      </w:r>
      <w:r>
        <w:rPr/>
        <w:t>national</w:t>
      </w:r>
      <w:r>
        <w:rPr>
          <w:spacing w:val="-18"/>
        </w:rPr>
        <w:t> </w:t>
      </w:r>
      <w:r>
        <w:rPr/>
        <w:t>government</w:t>
      </w:r>
      <w:r>
        <w:rPr>
          <w:spacing w:val="-18"/>
        </w:rPr>
        <w:t> </w:t>
      </w:r>
      <w:r>
        <w:rPr>
          <w:spacing w:val="-3"/>
        </w:rPr>
        <w:t>bonds </w:t>
      </w:r>
      <w:r>
        <w:rPr/>
        <w:t>with terms to maturity that match, as closely as possible, the estimated future cash</w:t>
      </w:r>
      <w:r>
        <w:rPr>
          <w:spacing w:val="-37"/>
        </w:rPr>
        <w:t> </w:t>
      </w:r>
      <w:r>
        <w:rPr/>
        <w:t>outflows.</w:t>
      </w:r>
    </w:p>
    <w:p>
      <w:pPr>
        <w:pStyle w:val="BodyText"/>
        <w:spacing w:before="8"/>
        <w:rPr>
          <w:sz w:val="23"/>
        </w:rPr>
      </w:pPr>
    </w:p>
    <w:p>
      <w:pPr>
        <w:pStyle w:val="BodyText"/>
        <w:spacing w:line="249" w:lineRule="auto"/>
        <w:ind w:left="472" w:right="212"/>
      </w:pPr>
      <w:r>
        <w:rPr/>
        <w:t>The</w:t>
      </w:r>
      <w:r>
        <w:rPr>
          <w:spacing w:val="-20"/>
        </w:rPr>
        <w:t> </w:t>
      </w:r>
      <w:r>
        <w:rPr/>
        <w:t>provision</w:t>
      </w:r>
      <w:r>
        <w:rPr>
          <w:spacing w:val="-19"/>
        </w:rPr>
        <w:t> </w:t>
      </w:r>
      <w:r>
        <w:rPr/>
        <w:t>for</w:t>
      </w:r>
      <w:r>
        <w:rPr>
          <w:spacing w:val="-20"/>
        </w:rPr>
        <w:t> </w:t>
      </w:r>
      <w:r>
        <w:rPr/>
        <w:t>annual</w:t>
      </w:r>
      <w:r>
        <w:rPr>
          <w:spacing w:val="-19"/>
        </w:rPr>
        <w:t> </w:t>
      </w:r>
      <w:r>
        <w:rPr/>
        <w:t>leave</w:t>
      </w:r>
      <w:r>
        <w:rPr>
          <w:spacing w:val="-20"/>
        </w:rPr>
        <w:t> </w:t>
      </w:r>
      <w:r>
        <w:rPr/>
        <w:t>is</w:t>
      </w:r>
      <w:r>
        <w:rPr>
          <w:spacing w:val="-19"/>
        </w:rPr>
        <w:t> </w:t>
      </w:r>
      <w:r>
        <w:rPr/>
        <w:t>classified</w:t>
      </w:r>
      <w:r>
        <w:rPr>
          <w:spacing w:val="-20"/>
        </w:rPr>
        <w:t> </w:t>
      </w:r>
      <w:r>
        <w:rPr/>
        <w:t>as</w:t>
      </w:r>
      <w:r>
        <w:rPr>
          <w:spacing w:val="-19"/>
        </w:rPr>
        <w:t> </w:t>
      </w:r>
      <w:r>
        <w:rPr/>
        <w:t>a current</w:t>
      </w:r>
      <w:r>
        <w:rPr>
          <w:spacing w:val="-21"/>
        </w:rPr>
        <w:t> </w:t>
      </w:r>
      <w:r>
        <w:rPr/>
        <w:t>liability</w:t>
      </w:r>
      <w:r>
        <w:rPr>
          <w:spacing w:val="-20"/>
        </w:rPr>
        <w:t> </w:t>
      </w:r>
      <w:r>
        <w:rPr/>
        <w:t>as</w:t>
      </w:r>
      <w:r>
        <w:rPr>
          <w:spacing w:val="-21"/>
        </w:rPr>
        <w:t> </w:t>
      </w:r>
      <w:r>
        <w:rPr/>
        <w:t>the</w:t>
      </w:r>
      <w:r>
        <w:rPr>
          <w:spacing w:val="-20"/>
        </w:rPr>
        <w:t> </w:t>
      </w:r>
      <w:r>
        <w:rPr/>
        <w:t>Department</w:t>
      </w:r>
      <w:r>
        <w:rPr>
          <w:spacing w:val="-21"/>
        </w:rPr>
        <w:t> </w:t>
      </w:r>
      <w:r>
        <w:rPr/>
        <w:t>does</w:t>
      </w:r>
      <w:r>
        <w:rPr>
          <w:spacing w:val="-20"/>
        </w:rPr>
        <w:t> </w:t>
      </w:r>
      <w:r>
        <w:rPr/>
        <w:t>not</w:t>
      </w:r>
      <w:r>
        <w:rPr>
          <w:spacing w:val="-21"/>
        </w:rPr>
        <w:t> </w:t>
      </w:r>
      <w:r>
        <w:rPr/>
        <w:t>have an unconditional right to defer settlement of the liability</w:t>
      </w:r>
      <w:r>
        <w:rPr>
          <w:spacing w:val="-14"/>
        </w:rPr>
        <w:t> </w:t>
      </w:r>
      <w:r>
        <w:rPr/>
        <w:t>for</w:t>
      </w:r>
      <w:r>
        <w:rPr>
          <w:spacing w:val="-14"/>
        </w:rPr>
        <w:t> </w:t>
      </w:r>
      <w:r>
        <w:rPr/>
        <w:t>at</w:t>
      </w:r>
      <w:r>
        <w:rPr>
          <w:spacing w:val="-14"/>
        </w:rPr>
        <w:t> </w:t>
      </w:r>
      <w:r>
        <w:rPr/>
        <w:t>least</w:t>
      </w:r>
      <w:r>
        <w:rPr>
          <w:spacing w:val="-14"/>
        </w:rPr>
        <w:t> </w:t>
      </w:r>
      <w:r>
        <w:rPr/>
        <w:t>12</w:t>
      </w:r>
      <w:r>
        <w:rPr>
          <w:spacing w:val="-14"/>
        </w:rPr>
        <w:t> </w:t>
      </w:r>
      <w:r>
        <w:rPr/>
        <w:t>months</w:t>
      </w:r>
      <w:r>
        <w:rPr>
          <w:spacing w:val="-14"/>
        </w:rPr>
        <w:t> </w:t>
      </w:r>
      <w:r>
        <w:rPr/>
        <w:t>after</w:t>
      </w:r>
      <w:r>
        <w:rPr>
          <w:spacing w:val="-14"/>
        </w:rPr>
        <w:t> </w:t>
      </w:r>
      <w:r>
        <w:rPr/>
        <w:t>the</w:t>
      </w:r>
      <w:r>
        <w:rPr>
          <w:spacing w:val="-13"/>
        </w:rPr>
        <w:t> </w:t>
      </w:r>
      <w:r>
        <w:rPr/>
        <w:t>end</w:t>
      </w:r>
      <w:r>
        <w:rPr>
          <w:spacing w:val="-14"/>
        </w:rPr>
        <w:t> </w:t>
      </w:r>
      <w:r>
        <w:rPr/>
        <w:t>of</w:t>
      </w:r>
      <w:r>
        <w:rPr>
          <w:spacing w:val="-14"/>
        </w:rPr>
        <w:t> </w:t>
      </w:r>
      <w:r>
        <w:rPr>
          <w:spacing w:val="-6"/>
        </w:rPr>
        <w:t>the </w:t>
      </w:r>
      <w:r>
        <w:rPr/>
        <w:t>reporting</w:t>
      </w:r>
      <w:r>
        <w:rPr>
          <w:spacing w:val="-1"/>
        </w:rPr>
        <w:t> </w:t>
      </w:r>
      <w:r>
        <w:rPr/>
        <w:t>period.</w:t>
      </w:r>
    </w:p>
    <w:p>
      <w:pPr>
        <w:pStyle w:val="BodyText"/>
        <w:spacing w:before="4"/>
        <w:rPr>
          <w:sz w:val="23"/>
        </w:rPr>
      </w:pPr>
    </w:p>
    <w:p>
      <w:pPr>
        <w:spacing w:before="0"/>
        <w:ind w:left="472" w:right="0" w:firstLine="0"/>
        <w:jc w:val="left"/>
        <w:rPr>
          <w:i/>
          <w:sz w:val="22"/>
        </w:rPr>
      </w:pPr>
      <w:r>
        <w:rPr>
          <w:i/>
          <w:sz w:val="22"/>
        </w:rPr>
        <w:t>Long service leave</w:t>
      </w:r>
    </w:p>
    <w:p>
      <w:pPr>
        <w:pStyle w:val="BodyText"/>
        <w:spacing w:line="249" w:lineRule="auto" w:before="11"/>
        <w:ind w:left="472" w:right="304"/>
      </w:pPr>
      <w:r>
        <w:rPr/>
        <w:t>Long</w:t>
      </w:r>
      <w:r>
        <w:rPr>
          <w:spacing w:val="-15"/>
        </w:rPr>
        <w:t> </w:t>
      </w:r>
      <w:r>
        <w:rPr/>
        <w:t>service</w:t>
      </w:r>
      <w:r>
        <w:rPr>
          <w:spacing w:val="-15"/>
        </w:rPr>
        <w:t> </w:t>
      </w:r>
      <w:r>
        <w:rPr/>
        <w:t>leave</w:t>
      </w:r>
      <w:r>
        <w:rPr>
          <w:spacing w:val="-15"/>
        </w:rPr>
        <w:t> </w:t>
      </w:r>
      <w:r>
        <w:rPr/>
        <w:t>is</w:t>
      </w:r>
      <w:r>
        <w:rPr>
          <w:spacing w:val="-15"/>
        </w:rPr>
        <w:t> </w:t>
      </w:r>
      <w:r>
        <w:rPr/>
        <w:t>not</w:t>
      </w:r>
      <w:r>
        <w:rPr>
          <w:spacing w:val="-15"/>
        </w:rPr>
        <w:t> </w:t>
      </w:r>
      <w:r>
        <w:rPr/>
        <w:t>expected</w:t>
      </w:r>
      <w:r>
        <w:rPr>
          <w:spacing w:val="-14"/>
        </w:rPr>
        <w:t> </w:t>
      </w:r>
      <w:r>
        <w:rPr/>
        <w:t>to</w:t>
      </w:r>
      <w:r>
        <w:rPr>
          <w:spacing w:val="-15"/>
        </w:rPr>
        <w:t> </w:t>
      </w:r>
      <w:r>
        <w:rPr/>
        <w:t>be</w:t>
      </w:r>
      <w:r>
        <w:rPr>
          <w:spacing w:val="-15"/>
        </w:rPr>
        <w:t> </w:t>
      </w:r>
      <w:r>
        <w:rPr>
          <w:spacing w:val="-3"/>
        </w:rPr>
        <w:t>settled </w:t>
      </w:r>
      <w:r>
        <w:rPr/>
        <w:t>wholly within 12 months after the end of the reporting period and is therefore recognised and</w:t>
      </w:r>
      <w:r>
        <w:rPr>
          <w:spacing w:val="-17"/>
        </w:rPr>
        <w:t> </w:t>
      </w:r>
      <w:r>
        <w:rPr/>
        <w:t>measured</w:t>
      </w:r>
      <w:r>
        <w:rPr>
          <w:spacing w:val="-16"/>
        </w:rPr>
        <w:t> </w:t>
      </w:r>
      <w:r>
        <w:rPr/>
        <w:t>at</w:t>
      </w:r>
      <w:r>
        <w:rPr>
          <w:spacing w:val="-16"/>
        </w:rPr>
        <w:t> </w:t>
      </w:r>
      <w:r>
        <w:rPr/>
        <w:t>the</w:t>
      </w:r>
      <w:r>
        <w:rPr>
          <w:spacing w:val="-16"/>
        </w:rPr>
        <w:t> </w:t>
      </w:r>
      <w:r>
        <w:rPr/>
        <w:t>present</w:t>
      </w:r>
      <w:r>
        <w:rPr>
          <w:spacing w:val="-17"/>
        </w:rPr>
        <w:t> </w:t>
      </w:r>
      <w:r>
        <w:rPr/>
        <w:t>value</w:t>
      </w:r>
      <w:r>
        <w:rPr>
          <w:spacing w:val="-16"/>
        </w:rPr>
        <w:t> </w:t>
      </w:r>
      <w:r>
        <w:rPr/>
        <w:t>of</w:t>
      </w:r>
      <w:r>
        <w:rPr>
          <w:spacing w:val="-16"/>
        </w:rPr>
        <w:t> </w:t>
      </w:r>
      <w:r>
        <w:rPr/>
        <w:t>amounts</w:t>
      </w:r>
    </w:p>
    <w:p>
      <w:pPr>
        <w:pStyle w:val="BodyText"/>
        <w:spacing w:before="5"/>
        <w:rPr>
          <w:sz w:val="23"/>
        </w:rPr>
      </w:pPr>
      <w:r>
        <w:rPr/>
        <w:br w:type="column"/>
      </w:r>
      <w:r>
        <w:rPr>
          <w:sz w:val="23"/>
        </w:rPr>
      </w:r>
    </w:p>
    <w:p>
      <w:pPr>
        <w:pStyle w:val="BodyText"/>
        <w:spacing w:line="249" w:lineRule="auto"/>
        <w:ind w:left="385" w:right="867"/>
      </w:pPr>
      <w:r>
        <w:rPr/>
        <w:t>expected</w:t>
      </w:r>
      <w:r>
        <w:rPr>
          <w:spacing w:val="-17"/>
        </w:rPr>
        <w:t> </w:t>
      </w:r>
      <w:r>
        <w:rPr/>
        <w:t>to</w:t>
      </w:r>
      <w:r>
        <w:rPr>
          <w:spacing w:val="-17"/>
        </w:rPr>
        <w:t> </w:t>
      </w:r>
      <w:r>
        <w:rPr/>
        <w:t>be</w:t>
      </w:r>
      <w:r>
        <w:rPr>
          <w:spacing w:val="-17"/>
        </w:rPr>
        <w:t> </w:t>
      </w:r>
      <w:r>
        <w:rPr/>
        <w:t>paid</w:t>
      </w:r>
      <w:r>
        <w:rPr>
          <w:spacing w:val="-17"/>
        </w:rPr>
        <w:t> </w:t>
      </w:r>
      <w:r>
        <w:rPr/>
        <w:t>when</w:t>
      </w:r>
      <w:r>
        <w:rPr>
          <w:spacing w:val="-17"/>
        </w:rPr>
        <w:t> </w:t>
      </w:r>
      <w:r>
        <w:rPr/>
        <w:t>the</w:t>
      </w:r>
      <w:r>
        <w:rPr>
          <w:spacing w:val="-17"/>
        </w:rPr>
        <w:t> </w:t>
      </w:r>
      <w:r>
        <w:rPr/>
        <w:t>liabilities</w:t>
      </w:r>
      <w:r>
        <w:rPr>
          <w:spacing w:val="-16"/>
        </w:rPr>
        <w:t> </w:t>
      </w:r>
      <w:r>
        <w:rPr/>
        <w:t>are</w:t>
      </w:r>
      <w:r>
        <w:rPr>
          <w:spacing w:val="-17"/>
        </w:rPr>
        <w:t> </w:t>
      </w:r>
      <w:r>
        <w:rPr>
          <w:spacing w:val="-3"/>
        </w:rPr>
        <w:t>settled </w:t>
      </w:r>
      <w:r>
        <w:rPr/>
        <w:t>using</w:t>
      </w:r>
      <w:r>
        <w:rPr>
          <w:spacing w:val="-15"/>
        </w:rPr>
        <w:t> </w:t>
      </w:r>
      <w:r>
        <w:rPr/>
        <w:t>the</w:t>
      </w:r>
      <w:r>
        <w:rPr>
          <w:spacing w:val="-14"/>
        </w:rPr>
        <w:t> </w:t>
      </w:r>
      <w:r>
        <w:rPr/>
        <w:t>remuneration</w:t>
      </w:r>
      <w:r>
        <w:rPr>
          <w:spacing w:val="-14"/>
        </w:rPr>
        <w:t> </w:t>
      </w:r>
      <w:r>
        <w:rPr/>
        <w:t>rate</w:t>
      </w:r>
      <w:r>
        <w:rPr>
          <w:spacing w:val="-14"/>
        </w:rPr>
        <w:t> </w:t>
      </w:r>
      <w:r>
        <w:rPr/>
        <w:t>expected</w:t>
      </w:r>
      <w:r>
        <w:rPr>
          <w:spacing w:val="-15"/>
        </w:rPr>
        <w:t> </w:t>
      </w:r>
      <w:r>
        <w:rPr/>
        <w:t>to</w:t>
      </w:r>
      <w:r>
        <w:rPr>
          <w:spacing w:val="-14"/>
        </w:rPr>
        <w:t> </w:t>
      </w:r>
      <w:r>
        <w:rPr/>
        <w:t>apply</w:t>
      </w:r>
      <w:r>
        <w:rPr>
          <w:spacing w:val="-14"/>
        </w:rPr>
        <w:t> </w:t>
      </w:r>
      <w:r>
        <w:rPr/>
        <w:t>at the time of</w:t>
      </w:r>
      <w:r>
        <w:rPr>
          <w:spacing w:val="-4"/>
        </w:rPr>
        <w:t> </w:t>
      </w:r>
      <w:r>
        <w:rPr/>
        <w:t>settlement.</w:t>
      </w:r>
    </w:p>
    <w:p>
      <w:pPr>
        <w:pStyle w:val="BodyText"/>
        <w:spacing w:before="2"/>
        <w:rPr>
          <w:sz w:val="23"/>
        </w:rPr>
      </w:pPr>
    </w:p>
    <w:p>
      <w:pPr>
        <w:pStyle w:val="BodyText"/>
        <w:spacing w:line="249" w:lineRule="auto"/>
        <w:ind w:left="385" w:right="748"/>
      </w:pPr>
      <w:r>
        <w:rPr/>
        <w:t>When assessing expected future payments consideration is given to expected future wage and</w:t>
      </w:r>
      <w:r>
        <w:rPr>
          <w:spacing w:val="-28"/>
        </w:rPr>
        <w:t> </w:t>
      </w:r>
      <w:r>
        <w:rPr/>
        <w:t>salary</w:t>
      </w:r>
      <w:r>
        <w:rPr>
          <w:spacing w:val="-27"/>
        </w:rPr>
        <w:t> </w:t>
      </w:r>
      <w:r>
        <w:rPr/>
        <w:t>levels</w:t>
      </w:r>
      <w:r>
        <w:rPr>
          <w:spacing w:val="-28"/>
        </w:rPr>
        <w:t> </w:t>
      </w:r>
      <w:r>
        <w:rPr/>
        <w:t>including</w:t>
      </w:r>
      <w:r>
        <w:rPr>
          <w:spacing w:val="-27"/>
        </w:rPr>
        <w:t> </w:t>
      </w:r>
      <w:r>
        <w:rPr/>
        <w:t>non-salary</w:t>
      </w:r>
      <w:r>
        <w:rPr>
          <w:spacing w:val="-27"/>
        </w:rPr>
        <w:t> </w:t>
      </w:r>
      <w:r>
        <w:rPr/>
        <w:t>components such</w:t>
      </w:r>
      <w:r>
        <w:rPr>
          <w:spacing w:val="-28"/>
        </w:rPr>
        <w:t> </w:t>
      </w:r>
      <w:r>
        <w:rPr/>
        <w:t>as</w:t>
      </w:r>
      <w:r>
        <w:rPr>
          <w:spacing w:val="-28"/>
        </w:rPr>
        <w:t> </w:t>
      </w:r>
      <w:r>
        <w:rPr/>
        <w:t>employer</w:t>
      </w:r>
      <w:r>
        <w:rPr>
          <w:spacing w:val="-28"/>
        </w:rPr>
        <w:t> </w:t>
      </w:r>
      <w:r>
        <w:rPr/>
        <w:t>superannuation</w:t>
      </w:r>
      <w:r>
        <w:rPr>
          <w:spacing w:val="-28"/>
        </w:rPr>
        <w:t> </w:t>
      </w:r>
      <w:r>
        <w:rPr/>
        <w:t>contributions,</w:t>
      </w:r>
      <w:r>
        <w:rPr>
          <w:spacing w:val="-28"/>
        </w:rPr>
        <w:t> </w:t>
      </w:r>
      <w:r>
        <w:rPr>
          <w:spacing w:val="-7"/>
        </w:rPr>
        <w:t>as </w:t>
      </w:r>
      <w:r>
        <w:rPr/>
        <w:t>well</w:t>
      </w:r>
      <w:r>
        <w:rPr>
          <w:spacing w:val="-24"/>
        </w:rPr>
        <w:t> </w:t>
      </w:r>
      <w:r>
        <w:rPr/>
        <w:t>as</w:t>
      </w:r>
      <w:r>
        <w:rPr>
          <w:spacing w:val="-23"/>
        </w:rPr>
        <w:t> </w:t>
      </w:r>
      <w:r>
        <w:rPr/>
        <w:t>the</w:t>
      </w:r>
      <w:r>
        <w:rPr>
          <w:spacing w:val="-23"/>
        </w:rPr>
        <w:t> </w:t>
      </w:r>
      <w:r>
        <w:rPr/>
        <w:t>experience</w:t>
      </w:r>
      <w:r>
        <w:rPr>
          <w:spacing w:val="-24"/>
        </w:rPr>
        <w:t> </w:t>
      </w:r>
      <w:r>
        <w:rPr/>
        <w:t>of</w:t>
      </w:r>
      <w:r>
        <w:rPr>
          <w:spacing w:val="-23"/>
        </w:rPr>
        <w:t> </w:t>
      </w:r>
      <w:r>
        <w:rPr/>
        <w:t>employee</w:t>
      </w:r>
      <w:r>
        <w:rPr>
          <w:spacing w:val="-23"/>
        </w:rPr>
        <w:t> </w:t>
      </w:r>
      <w:r>
        <w:rPr/>
        <w:t>departures</w:t>
      </w:r>
      <w:r>
        <w:rPr>
          <w:spacing w:val="-23"/>
        </w:rPr>
        <w:t> </w:t>
      </w:r>
      <w:r>
        <w:rPr/>
        <w:t>and periods of service. The expected future payments are discounted using market yields at the end of the</w:t>
      </w:r>
      <w:r>
        <w:rPr>
          <w:spacing w:val="-18"/>
        </w:rPr>
        <w:t> </w:t>
      </w:r>
      <w:r>
        <w:rPr/>
        <w:t>reporting</w:t>
      </w:r>
      <w:r>
        <w:rPr>
          <w:spacing w:val="-18"/>
        </w:rPr>
        <w:t> </w:t>
      </w:r>
      <w:r>
        <w:rPr/>
        <w:t>period</w:t>
      </w:r>
      <w:r>
        <w:rPr>
          <w:spacing w:val="-17"/>
        </w:rPr>
        <w:t> </w:t>
      </w:r>
      <w:r>
        <w:rPr/>
        <w:t>on</w:t>
      </w:r>
      <w:r>
        <w:rPr>
          <w:spacing w:val="-18"/>
        </w:rPr>
        <w:t> </w:t>
      </w:r>
      <w:r>
        <w:rPr/>
        <w:t>national</w:t>
      </w:r>
      <w:r>
        <w:rPr>
          <w:spacing w:val="-18"/>
        </w:rPr>
        <w:t> </w:t>
      </w:r>
      <w:r>
        <w:rPr/>
        <w:t>government</w:t>
      </w:r>
      <w:r>
        <w:rPr>
          <w:spacing w:val="-18"/>
        </w:rPr>
        <w:t> </w:t>
      </w:r>
      <w:r>
        <w:rPr>
          <w:spacing w:val="-3"/>
        </w:rPr>
        <w:t>bonds </w:t>
      </w:r>
      <w:r>
        <w:rPr/>
        <w:t>with terms to maturity that match, as closely as possible, the estimated future cash</w:t>
      </w:r>
      <w:r>
        <w:rPr>
          <w:spacing w:val="-37"/>
        </w:rPr>
        <w:t> </w:t>
      </w:r>
      <w:r>
        <w:rPr/>
        <w:t>outflows.</w:t>
      </w:r>
    </w:p>
    <w:p>
      <w:pPr>
        <w:pStyle w:val="BodyText"/>
        <w:spacing w:before="9"/>
        <w:rPr>
          <w:sz w:val="23"/>
        </w:rPr>
      </w:pPr>
    </w:p>
    <w:p>
      <w:pPr>
        <w:pStyle w:val="BodyText"/>
        <w:spacing w:line="249" w:lineRule="auto"/>
        <w:ind w:left="385" w:right="1436"/>
      </w:pPr>
      <w:r>
        <w:rPr/>
        <w:t>Unconditional</w:t>
      </w:r>
      <w:r>
        <w:rPr>
          <w:spacing w:val="-30"/>
        </w:rPr>
        <w:t> </w:t>
      </w:r>
      <w:r>
        <w:rPr/>
        <w:t>long</w:t>
      </w:r>
      <w:r>
        <w:rPr>
          <w:spacing w:val="-30"/>
        </w:rPr>
        <w:t> </w:t>
      </w:r>
      <w:r>
        <w:rPr/>
        <w:t>service</w:t>
      </w:r>
      <w:r>
        <w:rPr>
          <w:spacing w:val="-29"/>
        </w:rPr>
        <w:t> </w:t>
      </w:r>
      <w:r>
        <w:rPr/>
        <w:t>leave</w:t>
      </w:r>
      <w:r>
        <w:rPr>
          <w:spacing w:val="-30"/>
        </w:rPr>
        <w:t> </w:t>
      </w:r>
      <w:r>
        <w:rPr/>
        <w:t>provisions are classified as current liabilities as the Department</w:t>
      </w:r>
      <w:r>
        <w:rPr>
          <w:spacing w:val="-20"/>
        </w:rPr>
        <w:t> </w:t>
      </w:r>
      <w:r>
        <w:rPr/>
        <w:t>does</w:t>
      </w:r>
      <w:r>
        <w:rPr>
          <w:spacing w:val="-20"/>
        </w:rPr>
        <w:t> </w:t>
      </w:r>
      <w:r>
        <w:rPr/>
        <w:t>not</w:t>
      </w:r>
      <w:r>
        <w:rPr>
          <w:spacing w:val="-20"/>
        </w:rPr>
        <w:t> </w:t>
      </w:r>
      <w:r>
        <w:rPr/>
        <w:t>have</w:t>
      </w:r>
      <w:r>
        <w:rPr>
          <w:spacing w:val="-20"/>
        </w:rPr>
        <w:t> </w:t>
      </w:r>
      <w:r>
        <w:rPr/>
        <w:t>an</w:t>
      </w:r>
      <w:r>
        <w:rPr>
          <w:spacing w:val="-20"/>
        </w:rPr>
        <w:t> </w:t>
      </w:r>
      <w:r>
        <w:rPr>
          <w:spacing w:val="-2"/>
        </w:rPr>
        <w:t>unconditional</w:t>
      </w:r>
    </w:p>
    <w:p>
      <w:pPr>
        <w:pStyle w:val="BodyText"/>
        <w:spacing w:line="249" w:lineRule="auto" w:before="2"/>
        <w:ind w:left="385" w:right="896"/>
      </w:pPr>
      <w:r>
        <w:rPr/>
        <w:t>right</w:t>
      </w:r>
      <w:r>
        <w:rPr>
          <w:spacing w:val="-15"/>
        </w:rPr>
        <w:t> </w:t>
      </w:r>
      <w:r>
        <w:rPr/>
        <w:t>to</w:t>
      </w:r>
      <w:r>
        <w:rPr>
          <w:spacing w:val="-14"/>
        </w:rPr>
        <w:t> </w:t>
      </w:r>
      <w:r>
        <w:rPr/>
        <w:t>defer</w:t>
      </w:r>
      <w:r>
        <w:rPr>
          <w:spacing w:val="-15"/>
        </w:rPr>
        <w:t> </w:t>
      </w:r>
      <w:r>
        <w:rPr/>
        <w:t>settlement</w:t>
      </w:r>
      <w:r>
        <w:rPr>
          <w:spacing w:val="-14"/>
        </w:rPr>
        <w:t> </w:t>
      </w:r>
      <w:r>
        <w:rPr/>
        <w:t>of</w:t>
      </w:r>
      <w:r>
        <w:rPr>
          <w:spacing w:val="-15"/>
        </w:rPr>
        <w:t> </w:t>
      </w:r>
      <w:r>
        <w:rPr/>
        <w:t>the</w:t>
      </w:r>
      <w:r>
        <w:rPr>
          <w:spacing w:val="-14"/>
        </w:rPr>
        <w:t> </w:t>
      </w:r>
      <w:r>
        <w:rPr/>
        <w:t>liability</w:t>
      </w:r>
      <w:r>
        <w:rPr>
          <w:spacing w:val="-14"/>
        </w:rPr>
        <w:t> </w:t>
      </w:r>
      <w:r>
        <w:rPr/>
        <w:t>for</w:t>
      </w:r>
      <w:r>
        <w:rPr>
          <w:spacing w:val="-15"/>
        </w:rPr>
        <w:t> </w:t>
      </w:r>
      <w:r>
        <w:rPr/>
        <w:t>at</w:t>
      </w:r>
      <w:r>
        <w:rPr>
          <w:spacing w:val="-14"/>
        </w:rPr>
        <w:t> </w:t>
      </w:r>
      <w:r>
        <w:rPr/>
        <w:t>least 12 months after the end of the reporting period. Pre-conditional</w:t>
      </w:r>
      <w:r>
        <w:rPr>
          <w:spacing w:val="-32"/>
        </w:rPr>
        <w:t> </w:t>
      </w:r>
      <w:r>
        <w:rPr/>
        <w:t>and</w:t>
      </w:r>
      <w:r>
        <w:rPr>
          <w:spacing w:val="-31"/>
        </w:rPr>
        <w:t> </w:t>
      </w:r>
      <w:r>
        <w:rPr/>
        <w:t>conditional</w:t>
      </w:r>
      <w:r>
        <w:rPr>
          <w:spacing w:val="-31"/>
        </w:rPr>
        <w:t> </w:t>
      </w:r>
      <w:r>
        <w:rPr/>
        <w:t>long</w:t>
      </w:r>
      <w:r>
        <w:rPr>
          <w:spacing w:val="-31"/>
        </w:rPr>
        <w:t> </w:t>
      </w:r>
      <w:r>
        <w:rPr/>
        <w:t>service</w:t>
      </w:r>
      <w:r>
        <w:rPr>
          <w:spacing w:val="-31"/>
        </w:rPr>
        <w:t> </w:t>
      </w:r>
      <w:r>
        <w:rPr/>
        <w:t>leave provisions</w:t>
      </w:r>
      <w:r>
        <w:rPr>
          <w:spacing w:val="-26"/>
        </w:rPr>
        <w:t> </w:t>
      </w:r>
      <w:r>
        <w:rPr/>
        <w:t>are</w:t>
      </w:r>
      <w:r>
        <w:rPr>
          <w:spacing w:val="-25"/>
        </w:rPr>
        <w:t> </w:t>
      </w:r>
      <w:r>
        <w:rPr/>
        <w:t>classified</w:t>
      </w:r>
      <w:r>
        <w:rPr>
          <w:spacing w:val="-26"/>
        </w:rPr>
        <w:t> </w:t>
      </w:r>
      <w:r>
        <w:rPr/>
        <w:t>as</w:t>
      </w:r>
      <w:r>
        <w:rPr>
          <w:spacing w:val="-25"/>
        </w:rPr>
        <w:t> </w:t>
      </w:r>
      <w:r>
        <w:rPr/>
        <w:t>non-current</w:t>
      </w:r>
      <w:r>
        <w:rPr>
          <w:spacing w:val="-25"/>
        </w:rPr>
        <w:t> </w:t>
      </w:r>
      <w:r>
        <w:rPr/>
        <w:t>liabilities because the Department has an unconditional right</w:t>
      </w:r>
      <w:r>
        <w:rPr>
          <w:spacing w:val="-17"/>
        </w:rPr>
        <w:t> </w:t>
      </w:r>
      <w:r>
        <w:rPr/>
        <w:t>to</w:t>
      </w:r>
      <w:r>
        <w:rPr>
          <w:spacing w:val="-17"/>
        </w:rPr>
        <w:t> </w:t>
      </w:r>
      <w:r>
        <w:rPr/>
        <w:t>defer</w:t>
      </w:r>
      <w:r>
        <w:rPr>
          <w:spacing w:val="-17"/>
        </w:rPr>
        <w:t> </w:t>
      </w:r>
      <w:r>
        <w:rPr/>
        <w:t>the</w:t>
      </w:r>
      <w:r>
        <w:rPr>
          <w:spacing w:val="-16"/>
        </w:rPr>
        <w:t> </w:t>
      </w:r>
      <w:r>
        <w:rPr/>
        <w:t>settlement</w:t>
      </w:r>
      <w:r>
        <w:rPr>
          <w:spacing w:val="-17"/>
        </w:rPr>
        <w:t> </w:t>
      </w:r>
      <w:r>
        <w:rPr/>
        <w:t>of</w:t>
      </w:r>
      <w:r>
        <w:rPr>
          <w:spacing w:val="-17"/>
        </w:rPr>
        <w:t> </w:t>
      </w:r>
      <w:r>
        <w:rPr/>
        <w:t>the</w:t>
      </w:r>
      <w:r>
        <w:rPr>
          <w:spacing w:val="-16"/>
        </w:rPr>
        <w:t> </w:t>
      </w:r>
      <w:r>
        <w:rPr/>
        <w:t>liability</w:t>
      </w:r>
      <w:r>
        <w:rPr>
          <w:spacing w:val="-17"/>
        </w:rPr>
        <w:t> </w:t>
      </w:r>
      <w:r>
        <w:rPr/>
        <w:t>until</w:t>
      </w:r>
      <w:r>
        <w:rPr>
          <w:spacing w:val="-17"/>
        </w:rPr>
        <w:t> </w:t>
      </w:r>
      <w:r>
        <w:rPr>
          <w:spacing w:val="-6"/>
        </w:rPr>
        <w:t>the </w:t>
      </w:r>
      <w:r>
        <w:rPr/>
        <w:t>employee has completed the requisite years of service.</w:t>
      </w:r>
    </w:p>
    <w:p>
      <w:pPr>
        <w:spacing w:after="0" w:line="249" w:lineRule="auto"/>
        <w:sectPr>
          <w:type w:val="continuous"/>
          <w:pgSz w:w="16840" w:h="11910" w:orient="landscape"/>
          <w:pgMar w:top="0" w:bottom="0" w:left="0" w:right="0"/>
          <w:cols w:num="3" w:equalWidth="0">
            <w:col w:w="5497" w:space="40"/>
            <w:col w:w="5292" w:space="39"/>
            <w:col w:w="5972"/>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460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472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475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199"/>
          <w:pgSz w:w="16840" w:h="11910" w:orient="landscape"/>
          <w:pgMar w:footer="448" w:header="0" w:top="0" w:bottom="640" w:left="0" w:right="0"/>
        </w:sectPr>
      </w:pPr>
    </w:p>
    <w:p>
      <w:pPr>
        <w:pStyle w:val="BodyText"/>
        <w:spacing w:before="5"/>
        <w:rPr>
          <w:sz w:val="23"/>
        </w:rPr>
      </w:pPr>
    </w:p>
    <w:p>
      <w:pPr>
        <w:spacing w:before="0"/>
        <w:ind w:left="765" w:right="0" w:firstLine="0"/>
        <w:jc w:val="left"/>
        <w:rPr>
          <w:i/>
          <w:sz w:val="22"/>
        </w:rPr>
      </w:pPr>
      <w:r>
        <w:rPr>
          <w:i/>
          <w:sz w:val="22"/>
        </w:rPr>
        <w:t>Deferred leave</w:t>
      </w:r>
    </w:p>
    <w:p>
      <w:pPr>
        <w:pStyle w:val="BodyText"/>
        <w:spacing w:line="249" w:lineRule="auto" w:before="11"/>
        <w:ind w:left="765" w:right="138"/>
      </w:pPr>
      <w:r>
        <w:rPr/>
        <w:t>The</w:t>
      </w:r>
      <w:r>
        <w:rPr>
          <w:spacing w:val="-25"/>
        </w:rPr>
        <w:t> </w:t>
      </w:r>
      <w:r>
        <w:rPr/>
        <w:t>provision</w:t>
      </w:r>
      <w:r>
        <w:rPr>
          <w:spacing w:val="-25"/>
        </w:rPr>
        <w:t> </w:t>
      </w:r>
      <w:r>
        <w:rPr/>
        <w:t>for</w:t>
      </w:r>
      <w:r>
        <w:rPr>
          <w:spacing w:val="-25"/>
        </w:rPr>
        <w:t> </w:t>
      </w:r>
      <w:r>
        <w:rPr/>
        <w:t>deferred</w:t>
      </w:r>
      <w:r>
        <w:rPr>
          <w:spacing w:val="-25"/>
        </w:rPr>
        <w:t> </w:t>
      </w:r>
      <w:r>
        <w:rPr/>
        <w:t>leave</w:t>
      </w:r>
      <w:r>
        <w:rPr>
          <w:spacing w:val="-25"/>
        </w:rPr>
        <w:t> </w:t>
      </w:r>
      <w:r>
        <w:rPr/>
        <w:t>relates</w:t>
      </w:r>
      <w:r>
        <w:rPr>
          <w:spacing w:val="-25"/>
        </w:rPr>
        <w:t> </w:t>
      </w:r>
      <w:r>
        <w:rPr/>
        <w:t>to</w:t>
      </w:r>
      <w:r>
        <w:rPr>
          <w:spacing w:val="-25"/>
        </w:rPr>
        <w:t> </w:t>
      </w:r>
      <w:r>
        <w:rPr/>
        <w:t>Public Service employees who have entered into an agreement</w:t>
      </w:r>
      <w:r>
        <w:rPr>
          <w:spacing w:val="-15"/>
        </w:rPr>
        <w:t> </w:t>
      </w:r>
      <w:r>
        <w:rPr/>
        <w:t>to</w:t>
      </w:r>
      <w:r>
        <w:rPr>
          <w:spacing w:val="-15"/>
        </w:rPr>
        <w:t> </w:t>
      </w:r>
      <w:r>
        <w:rPr/>
        <w:t>self-fund</w:t>
      </w:r>
      <w:r>
        <w:rPr>
          <w:spacing w:val="-15"/>
        </w:rPr>
        <w:t> </w:t>
      </w:r>
      <w:r>
        <w:rPr/>
        <w:t>an</w:t>
      </w:r>
      <w:r>
        <w:rPr>
          <w:spacing w:val="-15"/>
        </w:rPr>
        <w:t> </w:t>
      </w:r>
      <w:r>
        <w:rPr/>
        <w:t>additional</w:t>
      </w:r>
      <w:r>
        <w:rPr>
          <w:spacing w:val="-15"/>
        </w:rPr>
        <w:t> </w:t>
      </w:r>
      <w:r>
        <w:rPr/>
        <w:t>12</w:t>
      </w:r>
      <w:r>
        <w:rPr>
          <w:spacing w:val="-14"/>
        </w:rPr>
        <w:t> </w:t>
      </w:r>
      <w:r>
        <w:rPr/>
        <w:t>months leave in the fifth year of the agreement. The provision</w:t>
      </w:r>
      <w:r>
        <w:rPr>
          <w:spacing w:val="-27"/>
        </w:rPr>
        <w:t> </w:t>
      </w:r>
      <w:r>
        <w:rPr/>
        <w:t>recognises</w:t>
      </w:r>
      <w:r>
        <w:rPr>
          <w:spacing w:val="-27"/>
        </w:rPr>
        <w:t> </w:t>
      </w:r>
      <w:r>
        <w:rPr/>
        <w:t>the</w:t>
      </w:r>
      <w:r>
        <w:rPr>
          <w:spacing w:val="-27"/>
        </w:rPr>
        <w:t> </w:t>
      </w:r>
      <w:r>
        <w:rPr/>
        <w:t>value</w:t>
      </w:r>
      <w:r>
        <w:rPr>
          <w:spacing w:val="-27"/>
        </w:rPr>
        <w:t> </w:t>
      </w:r>
      <w:r>
        <w:rPr/>
        <w:t>of</w:t>
      </w:r>
      <w:r>
        <w:rPr>
          <w:spacing w:val="-27"/>
        </w:rPr>
        <w:t> </w:t>
      </w:r>
      <w:r>
        <w:rPr/>
        <w:t>salary</w:t>
      </w:r>
      <w:r>
        <w:rPr>
          <w:spacing w:val="-27"/>
        </w:rPr>
        <w:t> </w:t>
      </w:r>
      <w:r>
        <w:rPr/>
        <w:t>set</w:t>
      </w:r>
      <w:r>
        <w:rPr>
          <w:spacing w:val="-27"/>
        </w:rPr>
        <w:t> </w:t>
      </w:r>
      <w:r>
        <w:rPr>
          <w:spacing w:val="-4"/>
        </w:rPr>
        <w:t>aside </w:t>
      </w:r>
      <w:r>
        <w:rPr/>
        <w:t>for employees to be used in the fifth </w:t>
      </w:r>
      <w:r>
        <w:rPr>
          <w:spacing w:val="-5"/>
        </w:rPr>
        <w:t>year. </w:t>
      </w:r>
      <w:r>
        <w:rPr/>
        <w:t>This liability</w:t>
      </w:r>
      <w:r>
        <w:rPr>
          <w:spacing w:val="-25"/>
        </w:rPr>
        <w:t> </w:t>
      </w:r>
      <w:r>
        <w:rPr/>
        <w:t>is</w:t>
      </w:r>
      <w:r>
        <w:rPr>
          <w:spacing w:val="-24"/>
        </w:rPr>
        <w:t> </w:t>
      </w:r>
      <w:r>
        <w:rPr/>
        <w:t>measured</w:t>
      </w:r>
      <w:r>
        <w:rPr>
          <w:spacing w:val="-25"/>
        </w:rPr>
        <w:t> </w:t>
      </w:r>
      <w:r>
        <w:rPr/>
        <w:t>on</w:t>
      </w:r>
      <w:r>
        <w:rPr>
          <w:spacing w:val="-24"/>
        </w:rPr>
        <w:t> </w:t>
      </w:r>
      <w:r>
        <w:rPr/>
        <w:t>the</w:t>
      </w:r>
      <w:r>
        <w:rPr>
          <w:spacing w:val="-25"/>
        </w:rPr>
        <w:t> </w:t>
      </w:r>
      <w:r>
        <w:rPr/>
        <w:t>same</w:t>
      </w:r>
      <w:r>
        <w:rPr>
          <w:spacing w:val="-24"/>
        </w:rPr>
        <w:t> </w:t>
      </w:r>
      <w:r>
        <w:rPr/>
        <w:t>basis</w:t>
      </w:r>
      <w:r>
        <w:rPr>
          <w:spacing w:val="-24"/>
        </w:rPr>
        <w:t> </w:t>
      </w:r>
      <w:r>
        <w:rPr/>
        <w:t>as</w:t>
      </w:r>
      <w:r>
        <w:rPr>
          <w:spacing w:val="-25"/>
        </w:rPr>
        <w:t> </w:t>
      </w:r>
      <w:r>
        <w:rPr/>
        <w:t>annual leave. Deferred leave is reported as a current provision</w:t>
      </w:r>
      <w:r>
        <w:rPr>
          <w:spacing w:val="-24"/>
        </w:rPr>
        <w:t> </w:t>
      </w:r>
      <w:r>
        <w:rPr/>
        <w:t>as</w:t>
      </w:r>
      <w:r>
        <w:rPr>
          <w:spacing w:val="-23"/>
        </w:rPr>
        <w:t> </w:t>
      </w:r>
      <w:r>
        <w:rPr/>
        <w:t>employees</w:t>
      </w:r>
      <w:r>
        <w:rPr>
          <w:spacing w:val="-24"/>
        </w:rPr>
        <w:t> </w:t>
      </w:r>
      <w:r>
        <w:rPr/>
        <w:t>can</w:t>
      </w:r>
      <w:r>
        <w:rPr>
          <w:spacing w:val="-23"/>
        </w:rPr>
        <w:t> </w:t>
      </w:r>
      <w:r>
        <w:rPr/>
        <w:t>leave</w:t>
      </w:r>
      <w:r>
        <w:rPr>
          <w:spacing w:val="-23"/>
        </w:rPr>
        <w:t> </w:t>
      </w:r>
      <w:r>
        <w:rPr/>
        <w:t>the</w:t>
      </w:r>
      <w:r>
        <w:rPr>
          <w:spacing w:val="-24"/>
        </w:rPr>
        <w:t> </w:t>
      </w:r>
      <w:r>
        <w:rPr/>
        <w:t>scheme</w:t>
      </w:r>
      <w:r>
        <w:rPr>
          <w:spacing w:val="-23"/>
        </w:rPr>
        <w:t> </w:t>
      </w:r>
      <w:r>
        <w:rPr/>
        <w:t>at their discretion at any</w:t>
      </w:r>
      <w:r>
        <w:rPr>
          <w:spacing w:val="-10"/>
        </w:rPr>
        <w:t> </w:t>
      </w:r>
      <w:r>
        <w:rPr/>
        <w:t>time.</w:t>
      </w:r>
    </w:p>
    <w:p>
      <w:pPr>
        <w:pStyle w:val="BodyText"/>
        <w:spacing w:before="8"/>
        <w:rPr>
          <w:sz w:val="23"/>
        </w:rPr>
      </w:pPr>
    </w:p>
    <w:p>
      <w:pPr>
        <w:spacing w:before="0"/>
        <w:ind w:left="765" w:right="0" w:firstLine="0"/>
        <w:jc w:val="left"/>
        <w:rPr>
          <w:i/>
          <w:sz w:val="22"/>
        </w:rPr>
      </w:pPr>
      <w:r>
        <w:rPr>
          <w:i/>
          <w:sz w:val="22"/>
        </w:rPr>
        <w:t>Purchased leave</w:t>
      </w:r>
    </w:p>
    <w:p>
      <w:pPr>
        <w:pStyle w:val="BodyText"/>
        <w:spacing w:line="249" w:lineRule="auto" w:before="12"/>
        <w:ind w:left="765" w:right="156"/>
      </w:pPr>
      <w:r>
        <w:rPr/>
        <w:t>The provision for purchased leave relates to Public</w:t>
      </w:r>
      <w:r>
        <w:rPr>
          <w:spacing w:val="-27"/>
        </w:rPr>
        <w:t> </w:t>
      </w:r>
      <w:r>
        <w:rPr/>
        <w:t>Service</w:t>
      </w:r>
      <w:r>
        <w:rPr>
          <w:spacing w:val="-26"/>
        </w:rPr>
        <w:t> </w:t>
      </w:r>
      <w:r>
        <w:rPr/>
        <w:t>employees</w:t>
      </w:r>
      <w:r>
        <w:rPr>
          <w:spacing w:val="-26"/>
        </w:rPr>
        <w:t> </w:t>
      </w:r>
      <w:r>
        <w:rPr/>
        <w:t>who</w:t>
      </w:r>
      <w:r>
        <w:rPr>
          <w:spacing w:val="-26"/>
        </w:rPr>
        <w:t> </w:t>
      </w:r>
      <w:r>
        <w:rPr/>
        <w:t>have</w:t>
      </w:r>
      <w:r>
        <w:rPr>
          <w:spacing w:val="-26"/>
        </w:rPr>
        <w:t> </w:t>
      </w:r>
      <w:r>
        <w:rPr/>
        <w:t>entered</w:t>
      </w:r>
      <w:r>
        <w:rPr>
          <w:spacing w:val="-26"/>
        </w:rPr>
        <w:t> </w:t>
      </w:r>
      <w:r>
        <w:rPr>
          <w:spacing w:val="-5"/>
        </w:rPr>
        <w:t>into </w:t>
      </w:r>
      <w:r>
        <w:rPr/>
        <w:t>an</w:t>
      </w:r>
      <w:r>
        <w:rPr>
          <w:spacing w:val="-10"/>
        </w:rPr>
        <w:t> </w:t>
      </w:r>
      <w:r>
        <w:rPr/>
        <w:t>agreement</w:t>
      </w:r>
      <w:r>
        <w:rPr>
          <w:spacing w:val="-9"/>
        </w:rPr>
        <w:t> </w:t>
      </w:r>
      <w:r>
        <w:rPr/>
        <w:t>to</w:t>
      </w:r>
      <w:r>
        <w:rPr>
          <w:spacing w:val="-10"/>
        </w:rPr>
        <w:t> </w:t>
      </w:r>
      <w:r>
        <w:rPr/>
        <w:t>self-fund</w:t>
      </w:r>
      <w:r>
        <w:rPr>
          <w:spacing w:val="-9"/>
        </w:rPr>
        <w:t> </w:t>
      </w:r>
      <w:r>
        <w:rPr/>
        <w:t>up</w:t>
      </w:r>
      <w:r>
        <w:rPr>
          <w:spacing w:val="-9"/>
        </w:rPr>
        <w:t> </w:t>
      </w:r>
      <w:r>
        <w:rPr/>
        <w:t>to</w:t>
      </w:r>
      <w:r>
        <w:rPr>
          <w:spacing w:val="-10"/>
        </w:rPr>
        <w:t> </w:t>
      </w:r>
      <w:r>
        <w:rPr/>
        <w:t>an</w:t>
      </w:r>
      <w:r>
        <w:rPr>
          <w:spacing w:val="-9"/>
        </w:rPr>
        <w:t> </w:t>
      </w:r>
      <w:r>
        <w:rPr/>
        <w:t>additional</w:t>
      </w:r>
    </w:p>
    <w:p>
      <w:pPr>
        <w:pStyle w:val="BodyText"/>
        <w:spacing w:line="249" w:lineRule="auto" w:before="2"/>
        <w:ind w:left="765" w:right="135"/>
      </w:pPr>
      <w:r>
        <w:rPr/>
        <w:t>10</w:t>
      </w:r>
      <w:r>
        <w:rPr>
          <w:spacing w:val="-23"/>
        </w:rPr>
        <w:t> </w:t>
      </w:r>
      <w:r>
        <w:rPr/>
        <w:t>weeks</w:t>
      </w:r>
      <w:r>
        <w:rPr>
          <w:spacing w:val="-22"/>
        </w:rPr>
        <w:t> </w:t>
      </w:r>
      <w:r>
        <w:rPr/>
        <w:t>leave</w:t>
      </w:r>
      <w:r>
        <w:rPr>
          <w:spacing w:val="-22"/>
        </w:rPr>
        <w:t> </w:t>
      </w:r>
      <w:r>
        <w:rPr/>
        <w:t>per</w:t>
      </w:r>
      <w:r>
        <w:rPr>
          <w:spacing w:val="-22"/>
        </w:rPr>
        <w:t> </w:t>
      </w:r>
      <w:r>
        <w:rPr/>
        <w:t>calendar</w:t>
      </w:r>
      <w:r>
        <w:rPr>
          <w:spacing w:val="-22"/>
        </w:rPr>
        <w:t> </w:t>
      </w:r>
      <w:r>
        <w:rPr>
          <w:spacing w:val="-5"/>
        </w:rPr>
        <w:t>year.</w:t>
      </w:r>
      <w:r>
        <w:rPr>
          <w:spacing w:val="-23"/>
        </w:rPr>
        <w:t> </w:t>
      </w:r>
      <w:r>
        <w:rPr/>
        <w:t>The</w:t>
      </w:r>
      <w:r>
        <w:rPr>
          <w:spacing w:val="-22"/>
        </w:rPr>
        <w:t> </w:t>
      </w:r>
      <w:r>
        <w:rPr/>
        <w:t>provision recognises the value of salary set aside for employees</w:t>
      </w:r>
      <w:r>
        <w:rPr>
          <w:spacing w:val="-20"/>
        </w:rPr>
        <w:t> </w:t>
      </w:r>
      <w:r>
        <w:rPr/>
        <w:t>and</w:t>
      </w:r>
      <w:r>
        <w:rPr>
          <w:spacing w:val="-20"/>
        </w:rPr>
        <w:t> </w:t>
      </w:r>
      <w:r>
        <w:rPr/>
        <w:t>is</w:t>
      </w:r>
      <w:r>
        <w:rPr>
          <w:spacing w:val="-20"/>
        </w:rPr>
        <w:t> </w:t>
      </w:r>
      <w:r>
        <w:rPr/>
        <w:t>measured</w:t>
      </w:r>
      <w:r>
        <w:rPr>
          <w:spacing w:val="-20"/>
        </w:rPr>
        <w:t> </w:t>
      </w:r>
      <w:r>
        <w:rPr/>
        <w:t>at</w:t>
      </w:r>
      <w:r>
        <w:rPr>
          <w:spacing w:val="-20"/>
        </w:rPr>
        <w:t> </w:t>
      </w:r>
      <w:r>
        <w:rPr/>
        <w:t>the</w:t>
      </w:r>
      <w:r>
        <w:rPr>
          <w:spacing w:val="-20"/>
        </w:rPr>
        <w:t> </w:t>
      </w:r>
      <w:r>
        <w:rPr>
          <w:spacing w:val="-2"/>
        </w:rPr>
        <w:t>undiscounted </w:t>
      </w:r>
      <w:r>
        <w:rPr/>
        <w:t>amounts</w:t>
      </w:r>
      <w:r>
        <w:rPr>
          <w:spacing w:val="-16"/>
        </w:rPr>
        <w:t> </w:t>
      </w:r>
      <w:r>
        <w:rPr/>
        <w:t>expected</w:t>
      </w:r>
      <w:r>
        <w:rPr>
          <w:spacing w:val="-15"/>
        </w:rPr>
        <w:t> </w:t>
      </w:r>
      <w:r>
        <w:rPr/>
        <w:t>to</w:t>
      </w:r>
      <w:r>
        <w:rPr>
          <w:spacing w:val="-16"/>
        </w:rPr>
        <w:t> </w:t>
      </w:r>
      <w:r>
        <w:rPr/>
        <w:t>be</w:t>
      </w:r>
      <w:r>
        <w:rPr>
          <w:spacing w:val="-15"/>
        </w:rPr>
        <w:t> </w:t>
      </w:r>
      <w:r>
        <w:rPr/>
        <w:t>paid</w:t>
      </w:r>
      <w:r>
        <w:rPr>
          <w:spacing w:val="-15"/>
        </w:rPr>
        <w:t> </w:t>
      </w:r>
      <w:r>
        <w:rPr/>
        <w:t>when</w:t>
      </w:r>
      <w:r>
        <w:rPr>
          <w:spacing w:val="-16"/>
        </w:rPr>
        <w:t> </w:t>
      </w:r>
      <w:r>
        <w:rPr/>
        <w:t>the</w:t>
      </w:r>
      <w:r>
        <w:rPr>
          <w:spacing w:val="-15"/>
        </w:rPr>
        <w:t> </w:t>
      </w:r>
      <w:r>
        <w:rPr/>
        <w:t>liabilities are</w:t>
      </w:r>
      <w:r>
        <w:rPr>
          <w:spacing w:val="-1"/>
        </w:rPr>
        <w:t> </w:t>
      </w:r>
      <w:r>
        <w:rPr/>
        <w:t>settled.</w:t>
      </w:r>
    </w:p>
    <w:p>
      <w:pPr>
        <w:pStyle w:val="BodyText"/>
        <w:spacing w:before="4"/>
        <w:rPr>
          <w:sz w:val="23"/>
        </w:rPr>
      </w:pPr>
    </w:p>
    <w:p>
      <w:pPr>
        <w:spacing w:before="0"/>
        <w:ind w:left="765" w:right="0" w:firstLine="0"/>
        <w:jc w:val="left"/>
        <w:rPr>
          <w:i/>
          <w:sz w:val="22"/>
        </w:rPr>
      </w:pPr>
      <w:r>
        <w:rPr>
          <w:i/>
          <w:sz w:val="22"/>
        </w:rPr>
        <w:t>Superannuation</w:t>
      </w:r>
    </w:p>
    <w:p>
      <w:pPr>
        <w:pStyle w:val="BodyText"/>
        <w:spacing w:line="249" w:lineRule="auto" w:before="11"/>
        <w:ind w:left="765" w:right="-10"/>
      </w:pPr>
      <w:r>
        <w:rPr/>
        <w:t>The Government Employees Superannuation Board</w:t>
      </w:r>
      <w:r>
        <w:rPr>
          <w:spacing w:val="-33"/>
        </w:rPr>
        <w:t> </w:t>
      </w:r>
      <w:r>
        <w:rPr/>
        <w:t>(GESB)</w:t>
      </w:r>
      <w:r>
        <w:rPr>
          <w:spacing w:val="-32"/>
        </w:rPr>
        <w:t> </w:t>
      </w:r>
      <w:r>
        <w:rPr/>
        <w:t>and</w:t>
      </w:r>
      <w:r>
        <w:rPr>
          <w:spacing w:val="-32"/>
        </w:rPr>
        <w:t> </w:t>
      </w:r>
      <w:r>
        <w:rPr/>
        <w:t>other</w:t>
      </w:r>
      <w:r>
        <w:rPr>
          <w:spacing w:val="-32"/>
        </w:rPr>
        <w:t> </w:t>
      </w:r>
      <w:r>
        <w:rPr/>
        <w:t>fund</w:t>
      </w:r>
      <w:r>
        <w:rPr>
          <w:spacing w:val="-33"/>
        </w:rPr>
        <w:t> </w:t>
      </w:r>
      <w:r>
        <w:rPr/>
        <w:t>providers</w:t>
      </w:r>
      <w:r>
        <w:rPr>
          <w:spacing w:val="-32"/>
        </w:rPr>
        <w:t> </w:t>
      </w:r>
      <w:r>
        <w:rPr/>
        <w:t>administer public sector superannuation arrangements in Western Australia in accordance with legislative requirements.</w:t>
      </w:r>
      <w:r>
        <w:rPr>
          <w:spacing w:val="-28"/>
        </w:rPr>
        <w:t> </w:t>
      </w:r>
      <w:r>
        <w:rPr/>
        <w:t>Eligibility</w:t>
      </w:r>
      <w:r>
        <w:rPr>
          <w:spacing w:val="-28"/>
        </w:rPr>
        <w:t> </w:t>
      </w:r>
      <w:r>
        <w:rPr/>
        <w:t>criteria</w:t>
      </w:r>
      <w:r>
        <w:rPr>
          <w:spacing w:val="-27"/>
        </w:rPr>
        <w:t> </w:t>
      </w:r>
      <w:r>
        <w:rPr/>
        <w:t>for</w:t>
      </w:r>
      <w:r>
        <w:rPr>
          <w:spacing w:val="-28"/>
        </w:rPr>
        <w:t> </w:t>
      </w:r>
      <w:r>
        <w:rPr/>
        <w:t>membership</w:t>
      </w:r>
      <w:r>
        <w:rPr>
          <w:spacing w:val="-27"/>
        </w:rPr>
        <w:t> </w:t>
      </w:r>
      <w:r>
        <w:rPr/>
        <w:t>in</w:t>
      </w:r>
    </w:p>
    <w:p>
      <w:pPr>
        <w:pStyle w:val="BodyText"/>
        <w:spacing w:before="5"/>
        <w:rPr>
          <w:sz w:val="23"/>
        </w:rPr>
      </w:pPr>
      <w:r>
        <w:rPr/>
        <w:br w:type="column"/>
      </w:r>
      <w:r>
        <w:rPr>
          <w:sz w:val="23"/>
        </w:rPr>
      </w:r>
    </w:p>
    <w:p>
      <w:pPr>
        <w:pStyle w:val="BodyText"/>
        <w:spacing w:line="249" w:lineRule="auto"/>
        <w:ind w:left="460" w:right="346"/>
      </w:pPr>
      <w:r>
        <w:rPr/>
        <w:t>particular</w:t>
      </w:r>
      <w:r>
        <w:rPr>
          <w:spacing w:val="-27"/>
        </w:rPr>
        <w:t> </w:t>
      </w:r>
      <w:r>
        <w:rPr/>
        <w:t>schemes</w:t>
      </w:r>
      <w:r>
        <w:rPr>
          <w:spacing w:val="-26"/>
        </w:rPr>
        <w:t> </w:t>
      </w:r>
      <w:r>
        <w:rPr/>
        <w:t>for</w:t>
      </w:r>
      <w:r>
        <w:rPr>
          <w:spacing w:val="-26"/>
        </w:rPr>
        <w:t> </w:t>
      </w:r>
      <w:r>
        <w:rPr/>
        <w:t>public</w:t>
      </w:r>
      <w:r>
        <w:rPr>
          <w:spacing w:val="-26"/>
        </w:rPr>
        <w:t> </w:t>
      </w:r>
      <w:r>
        <w:rPr/>
        <w:t>sector</w:t>
      </w:r>
      <w:r>
        <w:rPr>
          <w:spacing w:val="-27"/>
        </w:rPr>
        <w:t> </w:t>
      </w:r>
      <w:r>
        <w:rPr/>
        <w:t>employees vary according to commencement and implementation</w:t>
      </w:r>
      <w:r>
        <w:rPr>
          <w:spacing w:val="-2"/>
        </w:rPr>
        <w:t> </w:t>
      </w:r>
      <w:r>
        <w:rPr/>
        <w:t>dates.</w:t>
      </w:r>
    </w:p>
    <w:p>
      <w:pPr>
        <w:pStyle w:val="BodyText"/>
        <w:spacing w:before="2"/>
        <w:rPr>
          <w:sz w:val="23"/>
        </w:rPr>
      </w:pPr>
    </w:p>
    <w:p>
      <w:pPr>
        <w:pStyle w:val="BodyText"/>
        <w:spacing w:line="249" w:lineRule="auto"/>
        <w:ind w:left="460" w:right="33"/>
      </w:pPr>
      <w:r>
        <w:rPr/>
        <w:t>Eligible employees contribute to the Pension Scheme,</w:t>
      </w:r>
      <w:r>
        <w:rPr>
          <w:spacing w:val="-22"/>
        </w:rPr>
        <w:t> </w:t>
      </w:r>
      <w:r>
        <w:rPr/>
        <w:t>a</w:t>
      </w:r>
      <w:r>
        <w:rPr>
          <w:spacing w:val="-22"/>
        </w:rPr>
        <w:t> </w:t>
      </w:r>
      <w:r>
        <w:rPr/>
        <w:t>defined</w:t>
      </w:r>
      <w:r>
        <w:rPr>
          <w:spacing w:val="-22"/>
        </w:rPr>
        <w:t> </w:t>
      </w:r>
      <w:r>
        <w:rPr/>
        <w:t>benefit</w:t>
      </w:r>
      <w:r>
        <w:rPr>
          <w:spacing w:val="-22"/>
        </w:rPr>
        <w:t> </w:t>
      </w:r>
      <w:r>
        <w:rPr/>
        <w:t>pension</w:t>
      </w:r>
      <w:r>
        <w:rPr>
          <w:spacing w:val="-22"/>
        </w:rPr>
        <w:t> </w:t>
      </w:r>
      <w:r>
        <w:rPr/>
        <w:t>scheme</w:t>
      </w:r>
      <w:r>
        <w:rPr>
          <w:spacing w:val="-22"/>
        </w:rPr>
        <w:t> </w:t>
      </w:r>
      <w:r>
        <w:rPr>
          <w:spacing w:val="-3"/>
        </w:rPr>
        <w:t>closed </w:t>
      </w:r>
      <w:r>
        <w:rPr/>
        <w:t>to new members since 1987, or the Gold State Superannuation</w:t>
      </w:r>
      <w:r>
        <w:rPr>
          <w:spacing w:val="-29"/>
        </w:rPr>
        <w:t> </w:t>
      </w:r>
      <w:r>
        <w:rPr/>
        <w:t>Scheme</w:t>
      </w:r>
      <w:r>
        <w:rPr>
          <w:spacing w:val="-28"/>
        </w:rPr>
        <w:t> </w:t>
      </w:r>
      <w:r>
        <w:rPr/>
        <w:t>(GSS),</w:t>
      </w:r>
      <w:r>
        <w:rPr>
          <w:spacing w:val="-28"/>
        </w:rPr>
        <w:t> </w:t>
      </w:r>
      <w:r>
        <w:rPr/>
        <w:t>a</w:t>
      </w:r>
      <w:r>
        <w:rPr>
          <w:spacing w:val="-28"/>
        </w:rPr>
        <w:t> </w:t>
      </w:r>
      <w:r>
        <w:rPr/>
        <w:t>defined</w:t>
      </w:r>
      <w:r>
        <w:rPr>
          <w:spacing w:val="-28"/>
        </w:rPr>
        <w:t> </w:t>
      </w:r>
      <w:r>
        <w:rPr/>
        <w:t>benefit lump sum scheme closed to new members since 1995.</w:t>
      </w:r>
    </w:p>
    <w:p>
      <w:pPr>
        <w:pStyle w:val="BodyText"/>
        <w:spacing w:before="5"/>
        <w:rPr>
          <w:sz w:val="23"/>
        </w:rPr>
      </w:pPr>
    </w:p>
    <w:p>
      <w:pPr>
        <w:pStyle w:val="BodyText"/>
        <w:spacing w:line="249" w:lineRule="auto"/>
        <w:ind w:left="460" w:right="739"/>
      </w:pPr>
      <w:r>
        <w:rPr/>
        <w:t>Employees</w:t>
      </w:r>
      <w:r>
        <w:rPr>
          <w:spacing w:val="-33"/>
        </w:rPr>
        <w:t> </w:t>
      </w:r>
      <w:r>
        <w:rPr/>
        <w:t>commencing</w:t>
      </w:r>
      <w:r>
        <w:rPr>
          <w:spacing w:val="-32"/>
        </w:rPr>
        <w:t> </w:t>
      </w:r>
      <w:r>
        <w:rPr/>
        <w:t>employment</w:t>
      </w:r>
      <w:r>
        <w:rPr>
          <w:spacing w:val="-32"/>
        </w:rPr>
        <w:t> </w:t>
      </w:r>
      <w:r>
        <w:rPr/>
        <w:t>prior to</w:t>
      </w:r>
      <w:r>
        <w:rPr>
          <w:spacing w:val="-9"/>
        </w:rPr>
        <w:t> </w:t>
      </w:r>
      <w:r>
        <w:rPr/>
        <w:t>16</w:t>
      </w:r>
      <w:r>
        <w:rPr>
          <w:spacing w:val="-8"/>
        </w:rPr>
        <w:t> </w:t>
      </w:r>
      <w:r>
        <w:rPr/>
        <w:t>April</w:t>
      </w:r>
      <w:r>
        <w:rPr>
          <w:spacing w:val="-8"/>
        </w:rPr>
        <w:t> </w:t>
      </w:r>
      <w:r>
        <w:rPr/>
        <w:t>2007</w:t>
      </w:r>
      <w:r>
        <w:rPr>
          <w:spacing w:val="-8"/>
        </w:rPr>
        <w:t> </w:t>
      </w:r>
      <w:r>
        <w:rPr/>
        <w:t>who</w:t>
      </w:r>
      <w:r>
        <w:rPr>
          <w:spacing w:val="-8"/>
        </w:rPr>
        <w:t> </w:t>
      </w:r>
      <w:r>
        <w:rPr/>
        <w:t>were</w:t>
      </w:r>
      <w:r>
        <w:rPr>
          <w:spacing w:val="-8"/>
        </w:rPr>
        <w:t> </w:t>
      </w:r>
      <w:r>
        <w:rPr/>
        <w:t>not</w:t>
      </w:r>
      <w:r>
        <w:rPr>
          <w:spacing w:val="-8"/>
        </w:rPr>
        <w:t> </w:t>
      </w:r>
      <w:r>
        <w:rPr/>
        <w:t>members</w:t>
      </w:r>
      <w:r>
        <w:rPr>
          <w:spacing w:val="-9"/>
        </w:rPr>
        <w:t> of</w:t>
      </w:r>
    </w:p>
    <w:p>
      <w:pPr>
        <w:pStyle w:val="BodyText"/>
        <w:spacing w:line="249" w:lineRule="auto" w:before="2"/>
        <w:ind w:left="460"/>
      </w:pPr>
      <w:r>
        <w:rPr/>
        <w:t>either the Pension Scheme or the GSS became non-contributory members of the West State Superannuation Scheme (WSS). Employees commencing</w:t>
      </w:r>
      <w:r>
        <w:rPr>
          <w:spacing w:val="-16"/>
        </w:rPr>
        <w:t> </w:t>
      </w:r>
      <w:r>
        <w:rPr/>
        <w:t>employment</w:t>
      </w:r>
      <w:r>
        <w:rPr>
          <w:spacing w:val="-15"/>
        </w:rPr>
        <w:t> </w:t>
      </w:r>
      <w:r>
        <w:rPr/>
        <w:t>on</w:t>
      </w:r>
      <w:r>
        <w:rPr>
          <w:spacing w:val="-16"/>
        </w:rPr>
        <w:t> </w:t>
      </w:r>
      <w:r>
        <w:rPr/>
        <w:t>or</w:t>
      </w:r>
      <w:r>
        <w:rPr>
          <w:spacing w:val="-15"/>
        </w:rPr>
        <w:t> </w:t>
      </w:r>
      <w:r>
        <w:rPr/>
        <w:t>after</w:t>
      </w:r>
      <w:r>
        <w:rPr>
          <w:spacing w:val="-16"/>
        </w:rPr>
        <w:t> </w:t>
      </w:r>
      <w:r>
        <w:rPr/>
        <w:t>16</w:t>
      </w:r>
      <w:r>
        <w:rPr>
          <w:spacing w:val="-15"/>
        </w:rPr>
        <w:t> </w:t>
      </w:r>
      <w:r>
        <w:rPr/>
        <w:t>April</w:t>
      </w:r>
      <w:r>
        <w:rPr>
          <w:spacing w:val="-16"/>
        </w:rPr>
        <w:t> </w:t>
      </w:r>
      <w:r>
        <w:rPr>
          <w:spacing w:val="-4"/>
        </w:rPr>
        <w:t>2007 </w:t>
      </w:r>
      <w:r>
        <w:rPr/>
        <w:t>became members of the GESB Super Scheme (GESBS).</w:t>
      </w:r>
      <w:r>
        <w:rPr>
          <w:spacing w:val="-24"/>
        </w:rPr>
        <w:t> </w:t>
      </w:r>
      <w:r>
        <w:rPr/>
        <w:t>From</w:t>
      </w:r>
      <w:r>
        <w:rPr>
          <w:spacing w:val="-24"/>
        </w:rPr>
        <w:t> </w:t>
      </w:r>
      <w:r>
        <w:rPr/>
        <w:t>30</w:t>
      </w:r>
      <w:r>
        <w:rPr>
          <w:spacing w:val="-24"/>
        </w:rPr>
        <w:t> </w:t>
      </w:r>
      <w:r>
        <w:rPr/>
        <w:t>March</w:t>
      </w:r>
      <w:r>
        <w:rPr>
          <w:spacing w:val="-24"/>
        </w:rPr>
        <w:t> </w:t>
      </w:r>
      <w:r>
        <w:rPr/>
        <w:t>2012,</w:t>
      </w:r>
      <w:r>
        <w:rPr>
          <w:spacing w:val="-24"/>
        </w:rPr>
        <w:t> </w:t>
      </w:r>
      <w:r>
        <w:rPr/>
        <w:t>existing</w:t>
      </w:r>
      <w:r>
        <w:rPr>
          <w:spacing w:val="-24"/>
        </w:rPr>
        <w:t> </w:t>
      </w:r>
      <w:r>
        <w:rPr/>
        <w:t>members of</w:t>
      </w:r>
      <w:r>
        <w:rPr>
          <w:spacing w:val="-8"/>
        </w:rPr>
        <w:t> </w:t>
      </w:r>
      <w:r>
        <w:rPr/>
        <w:t>the</w:t>
      </w:r>
      <w:r>
        <w:rPr>
          <w:spacing w:val="-7"/>
        </w:rPr>
        <w:t> </w:t>
      </w:r>
      <w:r>
        <w:rPr/>
        <w:t>WSS</w:t>
      </w:r>
      <w:r>
        <w:rPr>
          <w:spacing w:val="-7"/>
        </w:rPr>
        <w:t> </w:t>
      </w:r>
      <w:r>
        <w:rPr/>
        <w:t>or</w:t>
      </w:r>
      <w:r>
        <w:rPr>
          <w:spacing w:val="-7"/>
        </w:rPr>
        <w:t> </w:t>
      </w:r>
      <w:r>
        <w:rPr/>
        <w:t>GESBS</w:t>
      </w:r>
      <w:r>
        <w:rPr>
          <w:spacing w:val="-8"/>
        </w:rPr>
        <w:t> </w:t>
      </w:r>
      <w:r>
        <w:rPr/>
        <w:t>and</w:t>
      </w:r>
      <w:r>
        <w:rPr>
          <w:spacing w:val="-7"/>
        </w:rPr>
        <w:t> </w:t>
      </w:r>
      <w:r>
        <w:rPr/>
        <w:t>new</w:t>
      </w:r>
      <w:r>
        <w:rPr>
          <w:spacing w:val="-7"/>
        </w:rPr>
        <w:t> </w:t>
      </w:r>
      <w:r>
        <w:rPr/>
        <w:t>employees</w:t>
      </w:r>
    </w:p>
    <w:p>
      <w:pPr>
        <w:spacing w:line="249" w:lineRule="auto" w:before="6"/>
        <w:ind w:left="460" w:right="309" w:firstLine="0"/>
        <w:jc w:val="left"/>
        <w:rPr>
          <w:i/>
          <w:sz w:val="22"/>
        </w:rPr>
      </w:pPr>
      <w:r>
        <w:rPr>
          <w:sz w:val="22"/>
        </w:rPr>
        <w:t>have been able to choose their preferred superannuation</w:t>
      </w:r>
      <w:r>
        <w:rPr>
          <w:spacing w:val="-25"/>
          <w:sz w:val="22"/>
        </w:rPr>
        <w:t> </w:t>
      </w:r>
      <w:r>
        <w:rPr>
          <w:sz w:val="22"/>
        </w:rPr>
        <w:t>fund</w:t>
      </w:r>
      <w:r>
        <w:rPr>
          <w:spacing w:val="-25"/>
          <w:sz w:val="22"/>
        </w:rPr>
        <w:t> </w:t>
      </w:r>
      <w:r>
        <w:rPr>
          <w:spacing w:val="-3"/>
          <w:sz w:val="22"/>
        </w:rPr>
        <w:t>provider.</w:t>
      </w:r>
      <w:r>
        <w:rPr>
          <w:spacing w:val="-25"/>
          <w:sz w:val="22"/>
        </w:rPr>
        <w:t> </w:t>
      </w:r>
      <w:r>
        <w:rPr>
          <w:sz w:val="22"/>
        </w:rPr>
        <w:t>The</w:t>
      </w:r>
      <w:r>
        <w:rPr>
          <w:spacing w:val="-25"/>
          <w:sz w:val="22"/>
        </w:rPr>
        <w:t> </w:t>
      </w:r>
      <w:r>
        <w:rPr>
          <w:sz w:val="22"/>
        </w:rPr>
        <w:t>Department makes contributions to GESB or other fund providers</w:t>
      </w:r>
      <w:r>
        <w:rPr>
          <w:spacing w:val="-26"/>
          <w:sz w:val="22"/>
        </w:rPr>
        <w:t> </w:t>
      </w:r>
      <w:r>
        <w:rPr>
          <w:sz w:val="22"/>
        </w:rPr>
        <w:t>on</w:t>
      </w:r>
      <w:r>
        <w:rPr>
          <w:spacing w:val="-27"/>
          <w:sz w:val="22"/>
        </w:rPr>
        <w:t> </w:t>
      </w:r>
      <w:r>
        <w:rPr>
          <w:sz w:val="22"/>
        </w:rPr>
        <w:t>behalf</w:t>
      </w:r>
      <w:r>
        <w:rPr>
          <w:spacing w:val="-26"/>
          <w:sz w:val="22"/>
        </w:rPr>
        <w:t> </w:t>
      </w:r>
      <w:r>
        <w:rPr>
          <w:sz w:val="22"/>
        </w:rPr>
        <w:t>of</w:t>
      </w:r>
      <w:r>
        <w:rPr>
          <w:spacing w:val="-26"/>
          <w:sz w:val="22"/>
        </w:rPr>
        <w:t> </w:t>
      </w:r>
      <w:r>
        <w:rPr>
          <w:sz w:val="22"/>
        </w:rPr>
        <w:t>employees</w:t>
      </w:r>
      <w:r>
        <w:rPr>
          <w:spacing w:val="-26"/>
          <w:sz w:val="22"/>
        </w:rPr>
        <w:t> </w:t>
      </w:r>
      <w:r>
        <w:rPr>
          <w:sz w:val="22"/>
        </w:rPr>
        <w:t>in</w:t>
      </w:r>
      <w:r>
        <w:rPr>
          <w:spacing w:val="-26"/>
          <w:sz w:val="22"/>
        </w:rPr>
        <w:t> </w:t>
      </w:r>
      <w:r>
        <w:rPr>
          <w:sz w:val="22"/>
        </w:rPr>
        <w:t>compliance with the </w:t>
      </w:r>
      <w:r>
        <w:rPr>
          <w:i/>
          <w:sz w:val="22"/>
        </w:rPr>
        <w:t>Commonwealth Government’s </w:t>
      </w:r>
      <w:r>
        <w:rPr>
          <w:i/>
          <w:sz w:val="22"/>
        </w:rPr>
        <w:t>Superannuation Guarantee</w:t>
      </w:r>
      <w:r>
        <w:rPr>
          <w:i/>
          <w:spacing w:val="-41"/>
          <w:sz w:val="22"/>
        </w:rPr>
        <w:t> </w:t>
      </w:r>
      <w:r>
        <w:rPr>
          <w:i/>
          <w:sz w:val="22"/>
        </w:rPr>
        <w:t>(Administration)</w:t>
      </w:r>
    </w:p>
    <w:p>
      <w:pPr>
        <w:pStyle w:val="BodyText"/>
        <w:spacing w:line="249" w:lineRule="auto" w:before="6"/>
        <w:ind w:left="460" w:right="278"/>
      </w:pPr>
      <w:r>
        <w:rPr>
          <w:i/>
        </w:rPr>
        <w:t>Act 1992</w:t>
      </w:r>
      <w:r>
        <w:rPr/>
        <w:t>. Contributions to these accumulation schemes</w:t>
      </w:r>
      <w:r>
        <w:rPr>
          <w:spacing w:val="-27"/>
        </w:rPr>
        <w:t> </w:t>
      </w:r>
      <w:r>
        <w:rPr/>
        <w:t>extinguish</w:t>
      </w:r>
      <w:r>
        <w:rPr>
          <w:spacing w:val="-26"/>
        </w:rPr>
        <w:t> </w:t>
      </w:r>
      <w:r>
        <w:rPr/>
        <w:t>the</w:t>
      </w:r>
      <w:r>
        <w:rPr>
          <w:spacing w:val="-26"/>
        </w:rPr>
        <w:t> </w:t>
      </w:r>
      <w:r>
        <w:rPr>
          <w:spacing w:val="-3"/>
        </w:rPr>
        <w:t>Department’s</w:t>
      </w:r>
      <w:r>
        <w:rPr>
          <w:spacing w:val="-27"/>
        </w:rPr>
        <w:t> </w:t>
      </w:r>
      <w:r>
        <w:rPr/>
        <w:t>liability</w:t>
      </w:r>
      <w:r>
        <w:rPr>
          <w:spacing w:val="-26"/>
        </w:rPr>
        <w:t> </w:t>
      </w:r>
      <w:r>
        <w:rPr>
          <w:spacing w:val="-6"/>
        </w:rPr>
        <w:t>for</w:t>
      </w:r>
    </w:p>
    <w:p>
      <w:pPr>
        <w:pStyle w:val="BodyText"/>
        <w:spacing w:before="5"/>
        <w:rPr>
          <w:sz w:val="23"/>
        </w:rPr>
      </w:pPr>
      <w:r>
        <w:rPr/>
        <w:br w:type="column"/>
      </w:r>
      <w:r>
        <w:rPr>
          <w:sz w:val="23"/>
        </w:rPr>
      </w:r>
    </w:p>
    <w:p>
      <w:pPr>
        <w:pStyle w:val="BodyText"/>
        <w:spacing w:line="249" w:lineRule="auto"/>
        <w:ind w:left="385" w:right="985"/>
        <w:jc w:val="both"/>
      </w:pPr>
      <w:r>
        <w:rPr/>
        <w:t>superannuation</w:t>
      </w:r>
      <w:r>
        <w:rPr>
          <w:spacing w:val="-31"/>
        </w:rPr>
        <w:t> </w:t>
      </w:r>
      <w:r>
        <w:rPr/>
        <w:t>charges</w:t>
      </w:r>
      <w:r>
        <w:rPr>
          <w:spacing w:val="-31"/>
        </w:rPr>
        <w:t> </w:t>
      </w:r>
      <w:r>
        <w:rPr/>
        <w:t>in</w:t>
      </w:r>
      <w:r>
        <w:rPr>
          <w:spacing w:val="-31"/>
        </w:rPr>
        <w:t> </w:t>
      </w:r>
      <w:r>
        <w:rPr/>
        <w:t>respect</w:t>
      </w:r>
      <w:r>
        <w:rPr>
          <w:spacing w:val="-31"/>
        </w:rPr>
        <w:t> </w:t>
      </w:r>
      <w:r>
        <w:rPr/>
        <w:t>of</w:t>
      </w:r>
      <w:r>
        <w:rPr>
          <w:spacing w:val="-31"/>
        </w:rPr>
        <w:t> </w:t>
      </w:r>
      <w:r>
        <w:rPr/>
        <w:t>employees who</w:t>
      </w:r>
      <w:r>
        <w:rPr>
          <w:spacing w:val="-15"/>
        </w:rPr>
        <w:t> </w:t>
      </w:r>
      <w:r>
        <w:rPr/>
        <w:t>are</w:t>
      </w:r>
      <w:r>
        <w:rPr>
          <w:spacing w:val="-15"/>
        </w:rPr>
        <w:t> </w:t>
      </w:r>
      <w:r>
        <w:rPr/>
        <w:t>not</w:t>
      </w:r>
      <w:r>
        <w:rPr>
          <w:spacing w:val="-14"/>
        </w:rPr>
        <w:t> </w:t>
      </w:r>
      <w:r>
        <w:rPr/>
        <w:t>members</w:t>
      </w:r>
      <w:r>
        <w:rPr>
          <w:spacing w:val="-15"/>
        </w:rPr>
        <w:t> </w:t>
      </w:r>
      <w:r>
        <w:rPr/>
        <w:t>of</w:t>
      </w:r>
      <w:r>
        <w:rPr>
          <w:spacing w:val="-15"/>
        </w:rPr>
        <w:t> </w:t>
      </w:r>
      <w:r>
        <w:rPr/>
        <w:t>the</w:t>
      </w:r>
      <w:r>
        <w:rPr>
          <w:spacing w:val="-14"/>
        </w:rPr>
        <w:t> </w:t>
      </w:r>
      <w:r>
        <w:rPr/>
        <w:t>Pension</w:t>
      </w:r>
      <w:r>
        <w:rPr>
          <w:spacing w:val="-15"/>
        </w:rPr>
        <w:t> </w:t>
      </w:r>
      <w:r>
        <w:rPr/>
        <w:t>Scheme</w:t>
      </w:r>
      <w:r>
        <w:rPr>
          <w:spacing w:val="-15"/>
        </w:rPr>
        <w:t> </w:t>
      </w:r>
      <w:r>
        <w:rPr>
          <w:spacing w:val="-9"/>
        </w:rPr>
        <w:t>or </w:t>
      </w:r>
      <w:r>
        <w:rPr/>
        <w:t>GSS.</w:t>
      </w:r>
    </w:p>
    <w:p>
      <w:pPr>
        <w:pStyle w:val="BodyText"/>
        <w:spacing w:before="2"/>
        <w:rPr>
          <w:sz w:val="23"/>
        </w:rPr>
      </w:pPr>
    </w:p>
    <w:p>
      <w:pPr>
        <w:pStyle w:val="BodyText"/>
        <w:spacing w:line="249" w:lineRule="auto"/>
        <w:ind w:left="385" w:right="847"/>
      </w:pPr>
      <w:r>
        <w:rPr/>
        <w:t>The GSS is a defined benefit scheme for the purposes</w:t>
      </w:r>
      <w:r>
        <w:rPr>
          <w:spacing w:val="-28"/>
        </w:rPr>
        <w:t> </w:t>
      </w:r>
      <w:r>
        <w:rPr/>
        <w:t>of</w:t>
      </w:r>
      <w:r>
        <w:rPr>
          <w:spacing w:val="-28"/>
        </w:rPr>
        <w:t> </w:t>
      </w:r>
      <w:r>
        <w:rPr/>
        <w:t>employees</w:t>
      </w:r>
      <w:r>
        <w:rPr>
          <w:spacing w:val="-28"/>
        </w:rPr>
        <w:t> </w:t>
      </w:r>
      <w:r>
        <w:rPr/>
        <w:t>and</w:t>
      </w:r>
      <w:r>
        <w:rPr>
          <w:spacing w:val="-27"/>
        </w:rPr>
        <w:t> </w:t>
      </w:r>
      <w:r>
        <w:rPr/>
        <w:t>whole-of-government reporting. </w:t>
      </w:r>
      <w:r>
        <w:rPr>
          <w:spacing w:val="-3"/>
        </w:rPr>
        <w:t>However, </w:t>
      </w:r>
      <w:r>
        <w:rPr/>
        <w:t>it is a defined contribution plan</w:t>
      </w:r>
      <w:r>
        <w:rPr>
          <w:spacing w:val="-19"/>
        </w:rPr>
        <w:t> </w:t>
      </w:r>
      <w:r>
        <w:rPr/>
        <w:t>for</w:t>
      </w:r>
      <w:r>
        <w:rPr>
          <w:spacing w:val="-19"/>
        </w:rPr>
        <w:t> </w:t>
      </w:r>
      <w:r>
        <w:rPr/>
        <w:t>agency</w:t>
      </w:r>
      <w:r>
        <w:rPr>
          <w:spacing w:val="-19"/>
        </w:rPr>
        <w:t> </w:t>
      </w:r>
      <w:r>
        <w:rPr/>
        <w:t>purposes</w:t>
      </w:r>
      <w:r>
        <w:rPr>
          <w:spacing w:val="-19"/>
        </w:rPr>
        <w:t> </w:t>
      </w:r>
      <w:r>
        <w:rPr/>
        <w:t>because</w:t>
      </w:r>
      <w:r>
        <w:rPr>
          <w:spacing w:val="-19"/>
        </w:rPr>
        <w:t> </w:t>
      </w:r>
      <w:r>
        <w:rPr/>
        <w:t>the</w:t>
      </w:r>
      <w:r>
        <w:rPr>
          <w:spacing w:val="-19"/>
        </w:rPr>
        <w:t> </w:t>
      </w:r>
      <w:r>
        <w:rPr/>
        <w:t>concurrent contributions</w:t>
      </w:r>
      <w:r>
        <w:rPr>
          <w:spacing w:val="-20"/>
        </w:rPr>
        <w:t> </w:t>
      </w:r>
      <w:r>
        <w:rPr/>
        <w:t>(defined</w:t>
      </w:r>
      <w:r>
        <w:rPr>
          <w:spacing w:val="-20"/>
        </w:rPr>
        <w:t> </w:t>
      </w:r>
      <w:r>
        <w:rPr/>
        <w:t>contributions)</w:t>
      </w:r>
      <w:r>
        <w:rPr>
          <w:spacing w:val="-19"/>
        </w:rPr>
        <w:t> </w:t>
      </w:r>
      <w:r>
        <w:rPr/>
        <w:t>made</w:t>
      </w:r>
      <w:r>
        <w:rPr>
          <w:spacing w:val="-20"/>
        </w:rPr>
        <w:t> </w:t>
      </w:r>
      <w:r>
        <w:rPr/>
        <w:t>by</w:t>
      </w:r>
      <w:r>
        <w:rPr>
          <w:spacing w:val="-20"/>
        </w:rPr>
        <w:t> </w:t>
      </w:r>
      <w:r>
        <w:rPr/>
        <w:t>the Department to GESB extinguishes the </w:t>
      </w:r>
      <w:r>
        <w:rPr>
          <w:spacing w:val="-4"/>
        </w:rPr>
        <w:t>agency’s </w:t>
      </w:r>
      <w:r>
        <w:rPr/>
        <w:t>obligations</w:t>
      </w:r>
      <w:r>
        <w:rPr>
          <w:spacing w:val="-22"/>
        </w:rPr>
        <w:t> </w:t>
      </w:r>
      <w:r>
        <w:rPr/>
        <w:t>to</w:t>
      </w:r>
      <w:r>
        <w:rPr>
          <w:spacing w:val="-21"/>
        </w:rPr>
        <w:t> </w:t>
      </w:r>
      <w:r>
        <w:rPr/>
        <w:t>the</w:t>
      </w:r>
      <w:r>
        <w:rPr>
          <w:spacing w:val="-21"/>
        </w:rPr>
        <w:t> </w:t>
      </w:r>
      <w:r>
        <w:rPr/>
        <w:t>related</w:t>
      </w:r>
      <w:r>
        <w:rPr>
          <w:spacing w:val="-21"/>
        </w:rPr>
        <w:t> </w:t>
      </w:r>
      <w:r>
        <w:rPr/>
        <w:t>superannuation</w:t>
      </w:r>
      <w:r>
        <w:rPr>
          <w:spacing w:val="-22"/>
        </w:rPr>
        <w:t> </w:t>
      </w:r>
      <w:r>
        <w:rPr>
          <w:spacing w:val="-3"/>
        </w:rPr>
        <w:t>liability.</w:t>
      </w:r>
    </w:p>
    <w:p>
      <w:pPr>
        <w:pStyle w:val="BodyText"/>
        <w:spacing w:before="6"/>
        <w:rPr>
          <w:sz w:val="23"/>
        </w:rPr>
      </w:pPr>
    </w:p>
    <w:p>
      <w:pPr>
        <w:pStyle w:val="BodyText"/>
        <w:spacing w:line="249" w:lineRule="auto"/>
        <w:ind w:left="385" w:right="924"/>
      </w:pPr>
      <w:r>
        <w:rPr/>
        <w:t>The Department has no liabilities under the Pension Scheme or the GSS. The liabilities for the</w:t>
      </w:r>
      <w:r>
        <w:rPr>
          <w:spacing w:val="-20"/>
        </w:rPr>
        <w:t> </w:t>
      </w:r>
      <w:r>
        <w:rPr/>
        <w:t>unfunded</w:t>
      </w:r>
      <w:r>
        <w:rPr>
          <w:spacing w:val="-19"/>
        </w:rPr>
        <w:t> </w:t>
      </w:r>
      <w:r>
        <w:rPr/>
        <w:t>Pension</w:t>
      </w:r>
      <w:r>
        <w:rPr>
          <w:spacing w:val="-19"/>
        </w:rPr>
        <w:t> </w:t>
      </w:r>
      <w:r>
        <w:rPr/>
        <w:t>Scheme</w:t>
      </w:r>
      <w:r>
        <w:rPr>
          <w:spacing w:val="-19"/>
        </w:rPr>
        <w:t> </w:t>
      </w:r>
      <w:r>
        <w:rPr/>
        <w:t>and</w:t>
      </w:r>
      <w:r>
        <w:rPr>
          <w:spacing w:val="-19"/>
        </w:rPr>
        <w:t> </w:t>
      </w:r>
      <w:r>
        <w:rPr/>
        <w:t>the</w:t>
      </w:r>
      <w:r>
        <w:rPr>
          <w:spacing w:val="-20"/>
        </w:rPr>
        <w:t> </w:t>
      </w:r>
      <w:r>
        <w:rPr>
          <w:spacing w:val="-3"/>
        </w:rPr>
        <w:t>unfunded </w:t>
      </w:r>
      <w:r>
        <w:rPr/>
        <w:t>GSS transfer benefits attributable to members who transferred from the Pension</w:t>
      </w:r>
      <w:r>
        <w:rPr>
          <w:spacing w:val="-43"/>
        </w:rPr>
        <w:t> </w:t>
      </w:r>
      <w:r>
        <w:rPr/>
        <w:t>Scheme,</w:t>
      </w:r>
    </w:p>
    <w:p>
      <w:pPr>
        <w:pStyle w:val="BodyText"/>
        <w:spacing w:line="249" w:lineRule="auto" w:before="5"/>
        <w:ind w:left="385" w:right="825"/>
      </w:pPr>
      <w:r>
        <w:rPr/>
        <w:t>are assumed by the </w:t>
      </w:r>
      <w:r>
        <w:rPr>
          <w:spacing w:val="-5"/>
        </w:rPr>
        <w:t>Treasurer. </w:t>
      </w:r>
      <w:r>
        <w:rPr/>
        <w:t>All other GSS obligations</w:t>
      </w:r>
      <w:r>
        <w:rPr>
          <w:spacing w:val="-20"/>
        </w:rPr>
        <w:t> </w:t>
      </w:r>
      <w:r>
        <w:rPr/>
        <w:t>are</w:t>
      </w:r>
      <w:r>
        <w:rPr>
          <w:spacing w:val="-20"/>
        </w:rPr>
        <w:t> </w:t>
      </w:r>
      <w:r>
        <w:rPr/>
        <w:t>funded</w:t>
      </w:r>
      <w:r>
        <w:rPr>
          <w:spacing w:val="-20"/>
        </w:rPr>
        <w:t> </w:t>
      </w:r>
      <w:r>
        <w:rPr/>
        <w:t>by</w:t>
      </w:r>
      <w:r>
        <w:rPr>
          <w:spacing w:val="-20"/>
        </w:rPr>
        <w:t> </w:t>
      </w:r>
      <w:r>
        <w:rPr/>
        <w:t>concurrent</w:t>
      </w:r>
      <w:r>
        <w:rPr>
          <w:spacing w:val="-20"/>
        </w:rPr>
        <w:t> </w:t>
      </w:r>
      <w:r>
        <w:rPr>
          <w:spacing w:val="-2"/>
        </w:rPr>
        <w:t>contributions </w:t>
      </w:r>
      <w:r>
        <w:rPr/>
        <w:t>made by the Department to the</w:t>
      </w:r>
      <w:r>
        <w:rPr>
          <w:spacing w:val="-24"/>
        </w:rPr>
        <w:t> </w:t>
      </w:r>
      <w:r>
        <w:rPr/>
        <w:t>GESB.</w:t>
      </w:r>
    </w:p>
    <w:p>
      <w:pPr>
        <w:pStyle w:val="BodyText"/>
        <w:spacing w:before="2"/>
        <w:rPr>
          <w:sz w:val="23"/>
        </w:rPr>
      </w:pPr>
    </w:p>
    <w:p>
      <w:pPr>
        <w:pStyle w:val="BodyText"/>
        <w:spacing w:line="249" w:lineRule="auto"/>
        <w:ind w:left="385" w:right="806"/>
      </w:pPr>
      <w:r>
        <w:rPr/>
        <w:t>The</w:t>
      </w:r>
      <w:r>
        <w:rPr>
          <w:spacing w:val="-19"/>
        </w:rPr>
        <w:t> </w:t>
      </w:r>
      <w:r>
        <w:rPr/>
        <w:t>GESB</w:t>
      </w:r>
      <w:r>
        <w:rPr>
          <w:spacing w:val="-19"/>
        </w:rPr>
        <w:t> </w:t>
      </w:r>
      <w:r>
        <w:rPr/>
        <w:t>makes</w:t>
      </w:r>
      <w:r>
        <w:rPr>
          <w:spacing w:val="-18"/>
        </w:rPr>
        <w:t> </w:t>
      </w:r>
      <w:r>
        <w:rPr/>
        <w:t>all</w:t>
      </w:r>
      <w:r>
        <w:rPr>
          <w:spacing w:val="-19"/>
        </w:rPr>
        <w:t> </w:t>
      </w:r>
      <w:r>
        <w:rPr/>
        <w:t>benefit</w:t>
      </w:r>
      <w:r>
        <w:rPr>
          <w:spacing w:val="-19"/>
        </w:rPr>
        <w:t> </w:t>
      </w:r>
      <w:r>
        <w:rPr/>
        <w:t>payments</w:t>
      </w:r>
      <w:r>
        <w:rPr>
          <w:spacing w:val="-18"/>
        </w:rPr>
        <w:t> </w:t>
      </w:r>
      <w:r>
        <w:rPr/>
        <w:t>in</w:t>
      </w:r>
      <w:r>
        <w:rPr>
          <w:spacing w:val="-19"/>
        </w:rPr>
        <w:t> </w:t>
      </w:r>
      <w:r>
        <w:rPr/>
        <w:t>respect of</w:t>
      </w:r>
      <w:r>
        <w:rPr>
          <w:spacing w:val="-16"/>
        </w:rPr>
        <w:t> </w:t>
      </w:r>
      <w:r>
        <w:rPr/>
        <w:t>the</w:t>
      </w:r>
      <w:r>
        <w:rPr>
          <w:spacing w:val="-15"/>
        </w:rPr>
        <w:t> </w:t>
      </w:r>
      <w:r>
        <w:rPr/>
        <w:t>Pension</w:t>
      </w:r>
      <w:r>
        <w:rPr>
          <w:spacing w:val="-16"/>
        </w:rPr>
        <w:t> </w:t>
      </w:r>
      <w:r>
        <w:rPr/>
        <w:t>Scheme</w:t>
      </w:r>
      <w:r>
        <w:rPr>
          <w:spacing w:val="-15"/>
        </w:rPr>
        <w:t> </w:t>
      </w:r>
      <w:r>
        <w:rPr/>
        <w:t>and</w:t>
      </w:r>
      <w:r>
        <w:rPr>
          <w:spacing w:val="-15"/>
        </w:rPr>
        <w:t> </w:t>
      </w:r>
      <w:r>
        <w:rPr/>
        <w:t>GSS,</w:t>
      </w:r>
      <w:r>
        <w:rPr>
          <w:spacing w:val="-16"/>
        </w:rPr>
        <w:t> </w:t>
      </w:r>
      <w:r>
        <w:rPr/>
        <w:t>and</w:t>
      </w:r>
      <w:r>
        <w:rPr>
          <w:spacing w:val="-15"/>
        </w:rPr>
        <w:t> </w:t>
      </w:r>
      <w:r>
        <w:rPr/>
        <w:t>is</w:t>
      </w:r>
      <w:r>
        <w:rPr>
          <w:spacing w:val="-16"/>
        </w:rPr>
        <w:t> </w:t>
      </w:r>
      <w:r>
        <w:rPr>
          <w:spacing w:val="-4"/>
        </w:rPr>
        <w:t>recouped </w:t>
      </w:r>
      <w:r>
        <w:rPr/>
        <w:t>from the </w:t>
      </w:r>
      <w:r>
        <w:rPr>
          <w:spacing w:val="-4"/>
        </w:rPr>
        <w:t>Treasurer </w:t>
      </w:r>
      <w:r>
        <w:rPr/>
        <w:t>for the </w:t>
      </w:r>
      <w:r>
        <w:rPr>
          <w:spacing w:val="-3"/>
        </w:rPr>
        <w:t>employer’s</w:t>
      </w:r>
      <w:r>
        <w:rPr>
          <w:spacing w:val="-45"/>
        </w:rPr>
        <w:t> </w:t>
      </w:r>
      <w:r>
        <w:rPr/>
        <w:t>share.</w:t>
      </w:r>
    </w:p>
    <w:p>
      <w:pPr>
        <w:pStyle w:val="BodyText"/>
        <w:spacing w:before="2"/>
        <w:rPr>
          <w:sz w:val="23"/>
        </w:rPr>
      </w:pPr>
    </w:p>
    <w:p>
      <w:pPr>
        <w:pStyle w:val="BodyText"/>
        <w:ind w:left="385"/>
      </w:pPr>
      <w:r>
        <w:rPr/>
        <w:t>See also Note 2(u) ‘Superannuation expense’.</w:t>
      </w:r>
    </w:p>
    <w:p>
      <w:pPr>
        <w:spacing w:after="0"/>
        <w:sectPr>
          <w:type w:val="continuous"/>
          <w:pgSz w:w="16840" w:h="11910" w:orient="landscape"/>
          <w:pgMar w:top="0" w:bottom="0" w:left="0" w:right="0"/>
          <w:cols w:num="3" w:equalWidth="0">
            <w:col w:w="5509" w:space="40"/>
            <w:col w:w="5280" w:space="39"/>
            <w:col w:w="5972"/>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484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496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499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200"/>
          <w:pgSz w:w="16840" w:h="11910" w:orient="landscape"/>
          <w:pgMar w:footer="448" w:header="0" w:top="0" w:bottom="640" w:left="0" w:right="0"/>
        </w:sectPr>
      </w:pPr>
    </w:p>
    <w:p>
      <w:pPr>
        <w:pStyle w:val="BodyText"/>
        <w:spacing w:before="5"/>
        <w:rPr>
          <w:sz w:val="23"/>
        </w:rPr>
      </w:pPr>
    </w:p>
    <w:p>
      <w:pPr>
        <w:spacing w:line="249" w:lineRule="auto" w:before="0"/>
        <w:ind w:left="765" w:right="1988" w:firstLine="0"/>
        <w:jc w:val="left"/>
        <w:rPr>
          <w:i/>
          <w:sz w:val="22"/>
        </w:rPr>
      </w:pPr>
      <w:r>
        <w:rPr>
          <w:i/>
          <w:color w:val="6F2770"/>
          <w:spacing w:val="-5"/>
          <w:sz w:val="22"/>
        </w:rPr>
        <w:t>Provisions </w:t>
      </w:r>
      <w:r>
        <w:rPr>
          <w:i/>
          <w:color w:val="6F2770"/>
          <w:sz w:val="22"/>
        </w:rPr>
        <w:t>- </w:t>
      </w:r>
      <w:r>
        <w:rPr>
          <w:i/>
          <w:color w:val="6F2770"/>
          <w:spacing w:val="-5"/>
          <w:sz w:val="22"/>
        </w:rPr>
        <w:t>other </w:t>
      </w:r>
      <w:r>
        <w:rPr>
          <w:i/>
          <w:spacing w:val="-5"/>
          <w:sz w:val="22"/>
        </w:rPr>
        <w:t>Employment on-costs</w:t>
      </w:r>
    </w:p>
    <w:p>
      <w:pPr>
        <w:pStyle w:val="BodyText"/>
        <w:spacing w:line="249" w:lineRule="auto" w:before="2"/>
        <w:ind w:left="765" w:right="231" w:hanging="1"/>
      </w:pPr>
      <w:r>
        <w:rPr>
          <w:spacing w:val="-5"/>
        </w:rPr>
        <w:t>Employment on-costs, including workers’ compensation insurance, are </w:t>
      </w:r>
      <w:r>
        <w:rPr>
          <w:spacing w:val="-4"/>
        </w:rPr>
        <w:t>not </w:t>
      </w:r>
      <w:r>
        <w:rPr>
          <w:spacing w:val="-5"/>
        </w:rPr>
        <w:t>employee </w:t>
      </w:r>
      <w:r>
        <w:rPr>
          <w:spacing w:val="-4"/>
        </w:rPr>
        <w:t>benefits</w:t>
      </w:r>
      <w:r>
        <w:rPr>
          <w:spacing w:val="-40"/>
        </w:rPr>
        <w:t> </w:t>
      </w:r>
      <w:r>
        <w:rPr>
          <w:spacing w:val="-4"/>
        </w:rPr>
        <w:t>and</w:t>
      </w:r>
      <w:r>
        <w:rPr>
          <w:spacing w:val="-39"/>
        </w:rPr>
        <w:t> </w:t>
      </w:r>
      <w:r>
        <w:rPr>
          <w:spacing w:val="-5"/>
        </w:rPr>
        <w:t>are</w:t>
      </w:r>
      <w:r>
        <w:rPr>
          <w:spacing w:val="-39"/>
        </w:rPr>
        <w:t> </w:t>
      </w:r>
      <w:r>
        <w:rPr>
          <w:spacing w:val="-5"/>
        </w:rPr>
        <w:t>recognised</w:t>
      </w:r>
      <w:r>
        <w:rPr>
          <w:spacing w:val="-40"/>
        </w:rPr>
        <w:t> </w:t>
      </w:r>
      <w:r>
        <w:rPr>
          <w:spacing w:val="-5"/>
        </w:rPr>
        <w:t>separately</w:t>
      </w:r>
      <w:r>
        <w:rPr>
          <w:spacing w:val="-39"/>
        </w:rPr>
        <w:t> </w:t>
      </w:r>
      <w:r>
        <w:rPr>
          <w:spacing w:val="-3"/>
        </w:rPr>
        <w:t>as</w:t>
      </w:r>
      <w:r>
        <w:rPr>
          <w:spacing w:val="-39"/>
        </w:rPr>
        <w:t> </w:t>
      </w:r>
      <w:r>
        <w:rPr>
          <w:spacing w:val="-5"/>
        </w:rPr>
        <w:t>liabilities </w:t>
      </w:r>
      <w:r>
        <w:rPr>
          <w:spacing w:val="-4"/>
        </w:rPr>
        <w:t>and </w:t>
      </w:r>
      <w:r>
        <w:rPr>
          <w:spacing w:val="-5"/>
        </w:rPr>
        <w:t>expenses </w:t>
      </w:r>
      <w:r>
        <w:rPr>
          <w:spacing w:val="-4"/>
        </w:rPr>
        <w:t>when the </w:t>
      </w:r>
      <w:r>
        <w:rPr>
          <w:spacing w:val="-5"/>
        </w:rPr>
        <w:t>employment </w:t>
      </w:r>
      <w:r>
        <w:rPr>
          <w:spacing w:val="-3"/>
        </w:rPr>
        <w:t>to </w:t>
      </w:r>
      <w:r>
        <w:rPr>
          <w:spacing w:val="-5"/>
        </w:rPr>
        <w:t>which </w:t>
      </w:r>
      <w:r>
        <w:rPr>
          <w:spacing w:val="-4"/>
        </w:rPr>
        <w:t>they </w:t>
      </w:r>
      <w:r>
        <w:rPr>
          <w:spacing w:val="-5"/>
        </w:rPr>
        <w:t>relate </w:t>
      </w:r>
      <w:r>
        <w:rPr>
          <w:spacing w:val="-4"/>
        </w:rPr>
        <w:t>has </w:t>
      </w:r>
      <w:r>
        <w:rPr>
          <w:spacing w:val="-5"/>
        </w:rPr>
        <w:t>occurred. Employment on-costs are</w:t>
      </w:r>
      <w:r>
        <w:rPr>
          <w:spacing w:val="-14"/>
        </w:rPr>
        <w:t> </w:t>
      </w:r>
      <w:r>
        <w:rPr>
          <w:spacing w:val="-5"/>
        </w:rPr>
        <w:t>included</w:t>
      </w:r>
      <w:r>
        <w:rPr>
          <w:spacing w:val="-14"/>
        </w:rPr>
        <w:t> </w:t>
      </w:r>
      <w:r>
        <w:rPr>
          <w:spacing w:val="-3"/>
        </w:rPr>
        <w:t>as</w:t>
      </w:r>
      <w:r>
        <w:rPr>
          <w:spacing w:val="-14"/>
        </w:rPr>
        <w:t> </w:t>
      </w:r>
      <w:r>
        <w:rPr>
          <w:spacing w:val="-4"/>
        </w:rPr>
        <w:t>part</w:t>
      </w:r>
      <w:r>
        <w:rPr>
          <w:spacing w:val="-14"/>
        </w:rPr>
        <w:t> </w:t>
      </w:r>
      <w:r>
        <w:rPr>
          <w:spacing w:val="-3"/>
        </w:rPr>
        <w:t>of</w:t>
      </w:r>
      <w:r>
        <w:rPr>
          <w:spacing w:val="-14"/>
        </w:rPr>
        <w:t> </w:t>
      </w:r>
      <w:r>
        <w:rPr>
          <w:spacing w:val="-5"/>
        </w:rPr>
        <w:t>‘Other</w:t>
      </w:r>
      <w:r>
        <w:rPr>
          <w:spacing w:val="-14"/>
        </w:rPr>
        <w:t> </w:t>
      </w:r>
      <w:r>
        <w:rPr>
          <w:spacing w:val="-5"/>
        </w:rPr>
        <w:t>expenses’</w:t>
      </w:r>
      <w:r>
        <w:rPr>
          <w:spacing w:val="-14"/>
        </w:rPr>
        <w:t> </w:t>
      </w:r>
      <w:r>
        <w:rPr>
          <w:spacing w:val="-5"/>
        </w:rPr>
        <w:t>and</w:t>
      </w:r>
    </w:p>
    <w:p>
      <w:pPr>
        <w:pStyle w:val="BodyText"/>
        <w:spacing w:line="249" w:lineRule="auto" w:before="5"/>
        <w:ind w:left="765" w:right="408"/>
      </w:pPr>
      <w:r>
        <w:rPr>
          <w:spacing w:val="-5"/>
        </w:rPr>
        <w:t>are </w:t>
      </w:r>
      <w:r>
        <w:rPr>
          <w:spacing w:val="-4"/>
        </w:rPr>
        <w:t>not </w:t>
      </w:r>
      <w:r>
        <w:rPr>
          <w:spacing w:val="-5"/>
        </w:rPr>
        <w:t>included </w:t>
      </w:r>
      <w:r>
        <w:rPr>
          <w:spacing w:val="-3"/>
        </w:rPr>
        <w:t>as </w:t>
      </w:r>
      <w:r>
        <w:rPr>
          <w:spacing w:val="-4"/>
        </w:rPr>
        <w:t>part </w:t>
      </w:r>
      <w:r>
        <w:rPr>
          <w:spacing w:val="-3"/>
        </w:rPr>
        <w:t>of </w:t>
      </w:r>
      <w:r>
        <w:rPr>
          <w:spacing w:val="-4"/>
        </w:rPr>
        <w:t>the </w:t>
      </w:r>
      <w:r>
        <w:rPr>
          <w:spacing w:val="-7"/>
        </w:rPr>
        <w:t>Department’s </w:t>
      </w:r>
      <w:r>
        <w:rPr>
          <w:spacing w:val="-5"/>
        </w:rPr>
        <w:t>‘Employee</w:t>
      </w:r>
      <w:r>
        <w:rPr>
          <w:spacing w:val="-40"/>
        </w:rPr>
        <w:t> </w:t>
      </w:r>
      <w:r>
        <w:rPr>
          <w:spacing w:val="-4"/>
        </w:rPr>
        <w:t>benefits</w:t>
      </w:r>
      <w:r>
        <w:rPr>
          <w:spacing w:val="-40"/>
        </w:rPr>
        <w:t> </w:t>
      </w:r>
      <w:r>
        <w:rPr>
          <w:spacing w:val="-5"/>
        </w:rPr>
        <w:t>expense’.</w:t>
      </w:r>
      <w:r>
        <w:rPr>
          <w:spacing w:val="-40"/>
        </w:rPr>
        <w:t> </w:t>
      </w:r>
      <w:r>
        <w:rPr>
          <w:spacing w:val="-4"/>
        </w:rPr>
        <w:t>The</w:t>
      </w:r>
      <w:r>
        <w:rPr>
          <w:spacing w:val="-40"/>
        </w:rPr>
        <w:t> </w:t>
      </w:r>
      <w:r>
        <w:rPr>
          <w:spacing w:val="-5"/>
        </w:rPr>
        <w:t>related</w:t>
      </w:r>
      <w:r>
        <w:rPr>
          <w:spacing w:val="-39"/>
        </w:rPr>
        <w:t> </w:t>
      </w:r>
      <w:r>
        <w:rPr>
          <w:spacing w:val="-5"/>
        </w:rPr>
        <w:t>liability </w:t>
      </w:r>
      <w:r>
        <w:rPr>
          <w:spacing w:val="-3"/>
        </w:rPr>
        <w:t>is</w:t>
      </w:r>
      <w:r>
        <w:rPr>
          <w:spacing w:val="-18"/>
        </w:rPr>
        <w:t> </w:t>
      </w:r>
      <w:r>
        <w:rPr>
          <w:spacing w:val="-5"/>
        </w:rPr>
        <w:t>included</w:t>
      </w:r>
      <w:r>
        <w:rPr>
          <w:spacing w:val="-17"/>
        </w:rPr>
        <w:t> </w:t>
      </w:r>
      <w:r>
        <w:rPr>
          <w:spacing w:val="-3"/>
        </w:rPr>
        <w:t>in</w:t>
      </w:r>
      <w:r>
        <w:rPr>
          <w:spacing w:val="-18"/>
        </w:rPr>
        <w:t> </w:t>
      </w:r>
      <w:r>
        <w:rPr>
          <w:spacing w:val="-5"/>
        </w:rPr>
        <w:t>‘Employment</w:t>
      </w:r>
      <w:r>
        <w:rPr>
          <w:spacing w:val="-17"/>
        </w:rPr>
        <w:t> </w:t>
      </w:r>
      <w:r>
        <w:rPr>
          <w:spacing w:val="-5"/>
        </w:rPr>
        <w:t>on-costs</w:t>
      </w:r>
      <w:r>
        <w:rPr>
          <w:spacing w:val="-18"/>
        </w:rPr>
        <w:t> </w:t>
      </w:r>
      <w:r>
        <w:rPr>
          <w:spacing w:val="-6"/>
        </w:rPr>
        <w:t>provision’.</w:t>
      </w:r>
    </w:p>
    <w:p>
      <w:pPr>
        <w:pStyle w:val="BodyText"/>
        <w:spacing w:before="2"/>
        <w:rPr>
          <w:sz w:val="23"/>
        </w:rPr>
      </w:pPr>
    </w:p>
    <w:p>
      <w:pPr>
        <w:spacing w:before="0"/>
        <w:ind w:left="765" w:right="0" w:firstLine="0"/>
        <w:jc w:val="left"/>
        <w:rPr>
          <w:i/>
          <w:sz w:val="22"/>
        </w:rPr>
      </w:pPr>
      <w:r>
        <w:rPr>
          <w:i/>
          <w:sz w:val="22"/>
        </w:rPr>
        <w:t>Remediation costs</w:t>
      </w:r>
    </w:p>
    <w:p>
      <w:pPr>
        <w:pStyle w:val="BodyText"/>
        <w:spacing w:line="249" w:lineRule="auto" w:before="11"/>
        <w:ind w:left="765" w:right="279"/>
      </w:pPr>
      <w:r>
        <w:rPr/>
        <w:t>A </w:t>
      </w:r>
      <w:r>
        <w:rPr>
          <w:spacing w:val="-5"/>
        </w:rPr>
        <w:t>provision </w:t>
      </w:r>
      <w:r>
        <w:rPr>
          <w:spacing w:val="-3"/>
        </w:rPr>
        <w:t>is </w:t>
      </w:r>
      <w:r>
        <w:rPr>
          <w:spacing w:val="-5"/>
        </w:rPr>
        <w:t>recognised where </w:t>
      </w:r>
      <w:r>
        <w:rPr>
          <w:spacing w:val="-4"/>
        </w:rPr>
        <w:t>the </w:t>
      </w:r>
      <w:r>
        <w:rPr>
          <w:spacing w:val="-5"/>
        </w:rPr>
        <w:t>Department </w:t>
      </w:r>
      <w:r>
        <w:rPr>
          <w:spacing w:val="-4"/>
        </w:rPr>
        <w:t>has</w:t>
      </w:r>
      <w:r>
        <w:rPr>
          <w:spacing w:val="-26"/>
        </w:rPr>
        <w:t> </w:t>
      </w:r>
      <w:r>
        <w:rPr/>
        <w:t>a</w:t>
      </w:r>
      <w:r>
        <w:rPr>
          <w:spacing w:val="-26"/>
        </w:rPr>
        <w:t> </w:t>
      </w:r>
      <w:r>
        <w:rPr>
          <w:spacing w:val="-4"/>
        </w:rPr>
        <w:t>legal</w:t>
      </w:r>
      <w:r>
        <w:rPr>
          <w:spacing w:val="-26"/>
        </w:rPr>
        <w:t> </w:t>
      </w:r>
      <w:r>
        <w:rPr>
          <w:spacing w:val="-3"/>
        </w:rPr>
        <w:t>or</w:t>
      </w:r>
      <w:r>
        <w:rPr>
          <w:spacing w:val="-26"/>
        </w:rPr>
        <w:t> </w:t>
      </w:r>
      <w:r>
        <w:rPr>
          <w:spacing w:val="-5"/>
        </w:rPr>
        <w:t>constructive</w:t>
      </w:r>
      <w:r>
        <w:rPr>
          <w:spacing w:val="-25"/>
        </w:rPr>
        <w:t> </w:t>
      </w:r>
      <w:r>
        <w:rPr>
          <w:spacing w:val="-5"/>
        </w:rPr>
        <w:t>obligation</w:t>
      </w:r>
      <w:r>
        <w:rPr>
          <w:spacing w:val="-26"/>
        </w:rPr>
        <w:t> </w:t>
      </w:r>
      <w:r>
        <w:rPr>
          <w:spacing w:val="-3"/>
        </w:rPr>
        <w:t>to</w:t>
      </w:r>
      <w:r>
        <w:rPr>
          <w:spacing w:val="-26"/>
        </w:rPr>
        <w:t> </w:t>
      </w:r>
      <w:r>
        <w:rPr>
          <w:spacing w:val="-5"/>
        </w:rPr>
        <w:t>undertake remediation </w:t>
      </w:r>
      <w:r>
        <w:rPr>
          <w:spacing w:val="-4"/>
        </w:rPr>
        <w:t>work. </w:t>
      </w:r>
      <w:r>
        <w:rPr>
          <w:spacing w:val="-5"/>
        </w:rPr>
        <w:t>Estimates are </w:t>
      </w:r>
      <w:r>
        <w:rPr>
          <w:spacing w:val="-4"/>
        </w:rPr>
        <w:t>based </w:t>
      </w:r>
      <w:r>
        <w:rPr>
          <w:spacing w:val="-3"/>
        </w:rPr>
        <w:t>on </w:t>
      </w:r>
      <w:r>
        <w:rPr>
          <w:spacing w:val="-5"/>
        </w:rPr>
        <w:t>the present</w:t>
      </w:r>
      <w:r>
        <w:rPr>
          <w:spacing w:val="-20"/>
        </w:rPr>
        <w:t> </w:t>
      </w:r>
      <w:r>
        <w:rPr>
          <w:spacing w:val="-4"/>
        </w:rPr>
        <w:t>value</w:t>
      </w:r>
      <w:r>
        <w:rPr>
          <w:spacing w:val="-19"/>
        </w:rPr>
        <w:t> </w:t>
      </w:r>
      <w:r>
        <w:rPr>
          <w:spacing w:val="-3"/>
        </w:rPr>
        <w:t>of</w:t>
      </w:r>
      <w:r>
        <w:rPr>
          <w:spacing w:val="-19"/>
        </w:rPr>
        <w:t> </w:t>
      </w:r>
      <w:r>
        <w:rPr>
          <w:spacing w:val="-5"/>
        </w:rPr>
        <w:t>expected</w:t>
      </w:r>
      <w:r>
        <w:rPr>
          <w:spacing w:val="-19"/>
        </w:rPr>
        <w:t> </w:t>
      </w:r>
      <w:r>
        <w:rPr>
          <w:spacing w:val="-5"/>
        </w:rPr>
        <w:t>future</w:t>
      </w:r>
      <w:r>
        <w:rPr>
          <w:spacing w:val="-19"/>
        </w:rPr>
        <w:t> </w:t>
      </w:r>
      <w:r>
        <w:rPr>
          <w:spacing w:val="-4"/>
        </w:rPr>
        <w:t>cash</w:t>
      </w:r>
      <w:r>
        <w:rPr>
          <w:spacing w:val="-19"/>
        </w:rPr>
        <w:t> </w:t>
      </w:r>
      <w:r>
        <w:rPr>
          <w:spacing w:val="-5"/>
        </w:rPr>
        <w:t>outflows.</w:t>
      </w:r>
    </w:p>
    <w:p>
      <w:pPr>
        <w:pStyle w:val="BodyText"/>
        <w:spacing w:before="3"/>
        <w:rPr>
          <w:sz w:val="23"/>
        </w:rPr>
      </w:pPr>
    </w:p>
    <w:p>
      <w:pPr>
        <w:pStyle w:val="Heading6"/>
        <w:numPr>
          <w:ilvl w:val="0"/>
          <w:numId w:val="6"/>
        </w:numPr>
        <w:tabs>
          <w:tab w:pos="1070" w:val="left" w:leader="none"/>
        </w:tabs>
        <w:spacing w:line="240" w:lineRule="auto" w:before="1" w:after="0"/>
        <w:ind w:left="1069" w:right="0" w:hanging="304"/>
        <w:jc w:val="left"/>
      </w:pPr>
      <w:r>
        <w:rPr>
          <w:spacing w:val="-5"/>
        </w:rPr>
        <w:t>Superannuation</w:t>
      </w:r>
      <w:r>
        <w:rPr>
          <w:spacing w:val="-10"/>
        </w:rPr>
        <w:t> </w:t>
      </w:r>
      <w:r>
        <w:rPr>
          <w:spacing w:val="-5"/>
        </w:rPr>
        <w:t>expense</w:t>
      </w:r>
    </w:p>
    <w:p>
      <w:pPr>
        <w:pStyle w:val="BodyText"/>
        <w:spacing w:line="249" w:lineRule="auto" w:before="11"/>
        <w:ind w:left="765" w:right="-8"/>
      </w:pPr>
      <w:r>
        <w:rPr>
          <w:spacing w:val="-5"/>
        </w:rPr>
        <w:t>Superannuation expense </w:t>
      </w:r>
      <w:r>
        <w:rPr>
          <w:spacing w:val="-3"/>
        </w:rPr>
        <w:t>is </w:t>
      </w:r>
      <w:r>
        <w:rPr>
          <w:spacing w:val="-5"/>
        </w:rPr>
        <w:t>recognised </w:t>
      </w:r>
      <w:r>
        <w:rPr>
          <w:spacing w:val="-3"/>
        </w:rPr>
        <w:t>in </w:t>
      </w:r>
      <w:r>
        <w:rPr>
          <w:spacing w:val="-4"/>
        </w:rPr>
        <w:t>the </w:t>
      </w:r>
      <w:r>
        <w:rPr>
          <w:spacing w:val="-5"/>
        </w:rPr>
        <w:t>profit </w:t>
      </w:r>
      <w:r>
        <w:rPr>
          <w:spacing w:val="-3"/>
        </w:rPr>
        <w:t>or </w:t>
      </w:r>
      <w:r>
        <w:rPr>
          <w:spacing w:val="-4"/>
        </w:rPr>
        <w:t>loss </w:t>
      </w:r>
      <w:r>
        <w:rPr>
          <w:spacing w:val="-3"/>
        </w:rPr>
        <w:t>of </w:t>
      </w:r>
      <w:r>
        <w:rPr>
          <w:spacing w:val="-4"/>
        </w:rPr>
        <w:t>the </w:t>
      </w:r>
      <w:r>
        <w:rPr>
          <w:spacing w:val="-5"/>
        </w:rPr>
        <w:t>Statement </w:t>
      </w:r>
      <w:r>
        <w:rPr>
          <w:spacing w:val="-3"/>
        </w:rPr>
        <w:t>of </w:t>
      </w:r>
      <w:r>
        <w:rPr>
          <w:spacing w:val="-5"/>
        </w:rPr>
        <w:t>Comprehensive Income </w:t>
      </w:r>
      <w:r>
        <w:rPr>
          <w:spacing w:val="-4"/>
        </w:rPr>
        <w:t>and </w:t>
      </w:r>
      <w:r>
        <w:rPr>
          <w:spacing w:val="-5"/>
        </w:rPr>
        <w:t>comprises employer contributions </w:t>
      </w:r>
      <w:r>
        <w:rPr>
          <w:spacing w:val="-4"/>
        </w:rPr>
        <w:t>paid </w:t>
      </w:r>
      <w:r>
        <w:rPr>
          <w:spacing w:val="-3"/>
        </w:rPr>
        <w:t>to </w:t>
      </w:r>
      <w:r>
        <w:rPr>
          <w:spacing w:val="-5"/>
        </w:rPr>
        <w:t>the </w:t>
      </w:r>
      <w:r>
        <w:rPr>
          <w:spacing w:val="-4"/>
        </w:rPr>
        <w:t>GSS</w:t>
      </w:r>
      <w:r>
        <w:rPr>
          <w:spacing w:val="-35"/>
        </w:rPr>
        <w:t> </w:t>
      </w:r>
      <w:r>
        <w:rPr>
          <w:spacing w:val="-5"/>
        </w:rPr>
        <w:t>(concurrent</w:t>
      </w:r>
      <w:r>
        <w:rPr>
          <w:spacing w:val="-34"/>
        </w:rPr>
        <w:t> </w:t>
      </w:r>
      <w:r>
        <w:rPr>
          <w:spacing w:val="-5"/>
        </w:rPr>
        <w:t>contributions),</w:t>
      </w:r>
      <w:r>
        <w:rPr>
          <w:spacing w:val="-34"/>
        </w:rPr>
        <w:t> </w:t>
      </w:r>
      <w:r>
        <w:rPr>
          <w:spacing w:val="-4"/>
        </w:rPr>
        <w:t>the</w:t>
      </w:r>
      <w:r>
        <w:rPr>
          <w:spacing w:val="-34"/>
        </w:rPr>
        <w:t> </w:t>
      </w:r>
      <w:r>
        <w:rPr>
          <w:spacing w:val="-4"/>
        </w:rPr>
        <w:t>WSS,</w:t>
      </w:r>
      <w:r>
        <w:rPr>
          <w:spacing w:val="-34"/>
        </w:rPr>
        <w:t> </w:t>
      </w:r>
      <w:r>
        <w:rPr>
          <w:spacing w:val="-4"/>
        </w:rPr>
        <w:t>the</w:t>
      </w:r>
      <w:r>
        <w:rPr>
          <w:spacing w:val="-34"/>
        </w:rPr>
        <w:t> </w:t>
      </w:r>
      <w:r>
        <w:rPr>
          <w:spacing w:val="-5"/>
        </w:rPr>
        <w:t>GESB, </w:t>
      </w:r>
      <w:r>
        <w:rPr>
          <w:spacing w:val="-3"/>
        </w:rPr>
        <w:t>or </w:t>
      </w:r>
      <w:r>
        <w:rPr>
          <w:spacing w:val="-4"/>
        </w:rPr>
        <w:t>other </w:t>
      </w:r>
      <w:r>
        <w:rPr>
          <w:spacing w:val="-5"/>
        </w:rPr>
        <w:t>superannuation funds. </w:t>
      </w:r>
      <w:r>
        <w:rPr>
          <w:spacing w:val="-4"/>
        </w:rPr>
        <w:t>The </w:t>
      </w:r>
      <w:r>
        <w:rPr>
          <w:spacing w:val="-5"/>
        </w:rPr>
        <w:t>employer contribution</w:t>
      </w:r>
      <w:r>
        <w:rPr>
          <w:spacing w:val="-14"/>
        </w:rPr>
        <w:t> </w:t>
      </w:r>
      <w:r>
        <w:rPr>
          <w:spacing w:val="-4"/>
        </w:rPr>
        <w:t>paid</w:t>
      </w:r>
      <w:r>
        <w:rPr>
          <w:spacing w:val="-14"/>
        </w:rPr>
        <w:t> </w:t>
      </w:r>
      <w:r>
        <w:rPr>
          <w:spacing w:val="-3"/>
        </w:rPr>
        <w:t>to</w:t>
      </w:r>
      <w:r>
        <w:rPr>
          <w:spacing w:val="-13"/>
        </w:rPr>
        <w:t> </w:t>
      </w:r>
      <w:r>
        <w:rPr>
          <w:spacing w:val="-4"/>
        </w:rPr>
        <w:t>the</w:t>
      </w:r>
      <w:r>
        <w:rPr>
          <w:spacing w:val="-14"/>
        </w:rPr>
        <w:t> </w:t>
      </w:r>
      <w:r>
        <w:rPr>
          <w:spacing w:val="-4"/>
        </w:rPr>
        <w:t>GESB</w:t>
      </w:r>
      <w:r>
        <w:rPr>
          <w:spacing w:val="-13"/>
        </w:rPr>
        <w:t> </w:t>
      </w:r>
      <w:r>
        <w:rPr>
          <w:spacing w:val="-3"/>
        </w:rPr>
        <w:t>in</w:t>
      </w:r>
      <w:r>
        <w:rPr>
          <w:spacing w:val="-14"/>
        </w:rPr>
        <w:t> </w:t>
      </w:r>
      <w:r>
        <w:rPr>
          <w:spacing w:val="-5"/>
        </w:rPr>
        <w:t>respect</w:t>
      </w:r>
      <w:r>
        <w:rPr>
          <w:spacing w:val="-13"/>
        </w:rPr>
        <w:t> </w:t>
      </w:r>
      <w:r>
        <w:rPr>
          <w:spacing w:val="-3"/>
        </w:rPr>
        <w:t>of</w:t>
      </w:r>
      <w:r>
        <w:rPr>
          <w:spacing w:val="-14"/>
        </w:rPr>
        <w:t> </w:t>
      </w:r>
      <w:r>
        <w:rPr>
          <w:spacing w:val="-5"/>
        </w:rPr>
        <w:t>the</w:t>
      </w:r>
    </w:p>
    <w:p>
      <w:pPr>
        <w:pStyle w:val="BodyText"/>
        <w:spacing w:line="249" w:lineRule="auto" w:before="5"/>
        <w:ind w:left="765" w:right="399"/>
      </w:pPr>
      <w:r>
        <w:rPr>
          <w:spacing w:val="-4"/>
        </w:rPr>
        <w:t>GSS</w:t>
      </w:r>
      <w:r>
        <w:rPr>
          <w:spacing w:val="-21"/>
        </w:rPr>
        <w:t> </w:t>
      </w:r>
      <w:r>
        <w:rPr>
          <w:spacing w:val="-3"/>
        </w:rPr>
        <w:t>is</w:t>
      </w:r>
      <w:r>
        <w:rPr>
          <w:spacing w:val="-21"/>
        </w:rPr>
        <w:t> </w:t>
      </w:r>
      <w:r>
        <w:rPr>
          <w:spacing w:val="-4"/>
        </w:rPr>
        <w:t>paid</w:t>
      </w:r>
      <w:r>
        <w:rPr>
          <w:spacing w:val="-20"/>
        </w:rPr>
        <w:t> </w:t>
      </w:r>
      <w:r>
        <w:rPr>
          <w:spacing w:val="-4"/>
        </w:rPr>
        <w:t>back</w:t>
      </w:r>
      <w:r>
        <w:rPr>
          <w:spacing w:val="-21"/>
        </w:rPr>
        <w:t> </w:t>
      </w:r>
      <w:r>
        <w:rPr>
          <w:spacing w:val="-4"/>
        </w:rPr>
        <w:t>into</w:t>
      </w:r>
      <w:r>
        <w:rPr>
          <w:spacing w:val="-21"/>
        </w:rPr>
        <w:t> </w:t>
      </w:r>
      <w:r>
        <w:rPr>
          <w:spacing w:val="-4"/>
        </w:rPr>
        <w:t>the</w:t>
      </w:r>
      <w:r>
        <w:rPr>
          <w:spacing w:val="-20"/>
        </w:rPr>
        <w:t> </w:t>
      </w:r>
      <w:r>
        <w:rPr>
          <w:spacing w:val="-5"/>
        </w:rPr>
        <w:t>Consolidated</w:t>
      </w:r>
      <w:r>
        <w:rPr>
          <w:spacing w:val="-21"/>
        </w:rPr>
        <w:t> </w:t>
      </w:r>
      <w:r>
        <w:rPr>
          <w:spacing w:val="-5"/>
        </w:rPr>
        <w:t>Account </w:t>
      </w:r>
      <w:r>
        <w:rPr>
          <w:spacing w:val="-3"/>
        </w:rPr>
        <w:t>by </w:t>
      </w:r>
      <w:r>
        <w:rPr>
          <w:spacing w:val="-4"/>
        </w:rPr>
        <w:t>the</w:t>
      </w:r>
      <w:r>
        <w:rPr>
          <w:spacing w:val="-17"/>
        </w:rPr>
        <w:t> </w:t>
      </w:r>
      <w:r>
        <w:rPr>
          <w:spacing w:val="-5"/>
        </w:rPr>
        <w:t>GESB.</w:t>
      </w:r>
    </w:p>
    <w:p>
      <w:pPr>
        <w:pStyle w:val="BodyText"/>
        <w:spacing w:before="5"/>
        <w:rPr>
          <w:sz w:val="23"/>
        </w:rPr>
      </w:pPr>
      <w:r>
        <w:rPr/>
        <w:br w:type="column"/>
      </w:r>
      <w:r>
        <w:rPr>
          <w:sz w:val="23"/>
        </w:rPr>
      </w:r>
    </w:p>
    <w:p>
      <w:pPr>
        <w:pStyle w:val="Heading6"/>
        <w:numPr>
          <w:ilvl w:val="0"/>
          <w:numId w:val="6"/>
        </w:numPr>
        <w:tabs>
          <w:tab w:pos="720" w:val="left" w:leader="none"/>
        </w:tabs>
        <w:spacing w:line="249" w:lineRule="auto" w:before="0" w:after="0"/>
        <w:ind w:left="431" w:right="138" w:firstLine="0"/>
        <w:jc w:val="left"/>
      </w:pPr>
      <w:r>
        <w:rPr>
          <w:spacing w:val="-5"/>
        </w:rPr>
        <w:t>Assets </w:t>
      </w:r>
      <w:r>
        <w:rPr>
          <w:spacing w:val="-4"/>
        </w:rPr>
        <w:t>and </w:t>
      </w:r>
      <w:r>
        <w:rPr>
          <w:spacing w:val="-5"/>
        </w:rPr>
        <w:t>services received free </w:t>
      </w:r>
      <w:r>
        <w:rPr>
          <w:spacing w:val="-3"/>
        </w:rPr>
        <w:t>of </w:t>
      </w:r>
      <w:r>
        <w:rPr>
          <w:spacing w:val="-5"/>
        </w:rPr>
        <w:t>charge </w:t>
      </w:r>
      <w:r>
        <w:rPr>
          <w:spacing w:val="-3"/>
        </w:rPr>
        <w:t>or </w:t>
      </w:r>
      <w:r>
        <w:rPr>
          <w:spacing w:val="-4"/>
        </w:rPr>
        <w:t>for </w:t>
      </w:r>
      <w:r>
        <w:rPr>
          <w:spacing w:val="-5"/>
        </w:rPr>
        <w:t>nominal</w:t>
      </w:r>
      <w:r>
        <w:rPr>
          <w:spacing w:val="-20"/>
        </w:rPr>
        <w:t> </w:t>
      </w:r>
      <w:r>
        <w:rPr>
          <w:spacing w:val="-5"/>
        </w:rPr>
        <w:t>cost</w:t>
      </w:r>
    </w:p>
    <w:p>
      <w:pPr>
        <w:pStyle w:val="BodyText"/>
        <w:spacing w:line="249" w:lineRule="auto" w:before="2"/>
        <w:ind w:left="431" w:right="-3"/>
      </w:pPr>
      <w:r>
        <w:rPr>
          <w:spacing w:val="-5"/>
        </w:rPr>
        <w:t>Assets </w:t>
      </w:r>
      <w:r>
        <w:rPr>
          <w:spacing w:val="-3"/>
        </w:rPr>
        <w:t>or </w:t>
      </w:r>
      <w:r>
        <w:rPr>
          <w:spacing w:val="-5"/>
        </w:rPr>
        <w:t>services received free </w:t>
      </w:r>
      <w:r>
        <w:rPr>
          <w:spacing w:val="-3"/>
        </w:rPr>
        <w:t>of </w:t>
      </w:r>
      <w:r>
        <w:rPr>
          <w:spacing w:val="-5"/>
        </w:rPr>
        <w:t>charge </w:t>
      </w:r>
      <w:r>
        <w:rPr>
          <w:spacing w:val="-3"/>
        </w:rPr>
        <w:t>or </w:t>
      </w:r>
      <w:r>
        <w:rPr>
          <w:spacing w:val="-5"/>
        </w:rPr>
        <w:t>for nominal </w:t>
      </w:r>
      <w:r>
        <w:rPr>
          <w:spacing w:val="-4"/>
        </w:rPr>
        <w:t>cost that the </w:t>
      </w:r>
      <w:r>
        <w:rPr>
          <w:spacing w:val="-5"/>
        </w:rPr>
        <w:t>Department </w:t>
      </w:r>
      <w:r>
        <w:rPr>
          <w:spacing w:val="-4"/>
        </w:rPr>
        <w:t>would </w:t>
      </w:r>
      <w:r>
        <w:rPr>
          <w:spacing w:val="-5"/>
        </w:rPr>
        <w:t>otherwise purchase</w:t>
      </w:r>
      <w:r>
        <w:rPr>
          <w:spacing w:val="-23"/>
        </w:rPr>
        <w:t> </w:t>
      </w:r>
      <w:r>
        <w:rPr>
          <w:spacing w:val="-3"/>
        </w:rPr>
        <w:t>if</w:t>
      </w:r>
      <w:r>
        <w:rPr>
          <w:spacing w:val="-22"/>
        </w:rPr>
        <w:t> </w:t>
      </w:r>
      <w:r>
        <w:rPr>
          <w:spacing w:val="-4"/>
        </w:rPr>
        <w:t>not</w:t>
      </w:r>
      <w:r>
        <w:rPr>
          <w:spacing w:val="-22"/>
        </w:rPr>
        <w:t> </w:t>
      </w:r>
      <w:r>
        <w:rPr>
          <w:spacing w:val="-5"/>
        </w:rPr>
        <w:t>donated,</w:t>
      </w:r>
      <w:r>
        <w:rPr>
          <w:spacing w:val="-22"/>
        </w:rPr>
        <w:t> </w:t>
      </w:r>
      <w:r>
        <w:rPr>
          <w:spacing w:val="-5"/>
        </w:rPr>
        <w:t>are</w:t>
      </w:r>
      <w:r>
        <w:rPr>
          <w:spacing w:val="-22"/>
        </w:rPr>
        <w:t> </w:t>
      </w:r>
      <w:r>
        <w:rPr>
          <w:spacing w:val="-5"/>
        </w:rPr>
        <w:t>recognised</w:t>
      </w:r>
      <w:r>
        <w:rPr>
          <w:spacing w:val="-23"/>
        </w:rPr>
        <w:t> </w:t>
      </w:r>
      <w:r>
        <w:rPr>
          <w:spacing w:val="-3"/>
        </w:rPr>
        <w:t>as</w:t>
      </w:r>
      <w:r>
        <w:rPr>
          <w:spacing w:val="-22"/>
        </w:rPr>
        <w:t> </w:t>
      </w:r>
      <w:r>
        <w:rPr>
          <w:spacing w:val="-5"/>
        </w:rPr>
        <w:t>income</w:t>
      </w:r>
      <w:r>
        <w:rPr>
          <w:spacing w:val="-22"/>
        </w:rPr>
        <w:t> </w:t>
      </w:r>
      <w:r>
        <w:rPr>
          <w:spacing w:val="-5"/>
        </w:rPr>
        <w:t>at </w:t>
      </w:r>
      <w:r>
        <w:rPr>
          <w:spacing w:val="-4"/>
        </w:rPr>
        <w:t>the</w:t>
      </w:r>
      <w:r>
        <w:rPr>
          <w:spacing w:val="-26"/>
        </w:rPr>
        <w:t> </w:t>
      </w:r>
      <w:r>
        <w:rPr>
          <w:spacing w:val="-4"/>
        </w:rPr>
        <w:t>fair</w:t>
      </w:r>
      <w:r>
        <w:rPr>
          <w:spacing w:val="-26"/>
        </w:rPr>
        <w:t> </w:t>
      </w:r>
      <w:r>
        <w:rPr>
          <w:spacing w:val="-4"/>
        </w:rPr>
        <w:t>value</w:t>
      </w:r>
      <w:r>
        <w:rPr>
          <w:spacing w:val="-25"/>
        </w:rPr>
        <w:t> </w:t>
      </w:r>
      <w:r>
        <w:rPr>
          <w:spacing w:val="-3"/>
        </w:rPr>
        <w:t>of</w:t>
      </w:r>
      <w:r>
        <w:rPr>
          <w:spacing w:val="-26"/>
        </w:rPr>
        <w:t> </w:t>
      </w:r>
      <w:r>
        <w:rPr>
          <w:spacing w:val="-4"/>
        </w:rPr>
        <w:t>the</w:t>
      </w:r>
      <w:r>
        <w:rPr>
          <w:spacing w:val="-26"/>
        </w:rPr>
        <w:t> </w:t>
      </w:r>
      <w:r>
        <w:rPr>
          <w:spacing w:val="-5"/>
        </w:rPr>
        <w:t>assets</w:t>
      </w:r>
      <w:r>
        <w:rPr>
          <w:spacing w:val="-25"/>
        </w:rPr>
        <w:t> </w:t>
      </w:r>
      <w:r>
        <w:rPr>
          <w:spacing w:val="-3"/>
        </w:rPr>
        <w:t>or</w:t>
      </w:r>
      <w:r>
        <w:rPr>
          <w:spacing w:val="-26"/>
        </w:rPr>
        <w:t> </w:t>
      </w:r>
      <w:r>
        <w:rPr>
          <w:spacing w:val="-5"/>
        </w:rPr>
        <w:t>services</w:t>
      </w:r>
      <w:r>
        <w:rPr>
          <w:spacing w:val="-26"/>
        </w:rPr>
        <w:t> </w:t>
      </w:r>
      <w:r>
        <w:rPr>
          <w:spacing w:val="-5"/>
        </w:rPr>
        <w:t>where</w:t>
      </w:r>
      <w:r>
        <w:rPr>
          <w:spacing w:val="-25"/>
        </w:rPr>
        <w:t> </w:t>
      </w:r>
      <w:r>
        <w:rPr>
          <w:spacing w:val="-4"/>
        </w:rPr>
        <w:t>they</w:t>
      </w:r>
      <w:r>
        <w:rPr>
          <w:spacing w:val="-26"/>
        </w:rPr>
        <w:t> </w:t>
      </w:r>
      <w:r>
        <w:rPr>
          <w:spacing w:val="-5"/>
        </w:rPr>
        <w:t>can </w:t>
      </w:r>
      <w:r>
        <w:rPr>
          <w:spacing w:val="-3"/>
        </w:rPr>
        <w:t>be </w:t>
      </w:r>
      <w:r>
        <w:rPr>
          <w:spacing w:val="-5"/>
        </w:rPr>
        <w:t>reliably measured. </w:t>
      </w:r>
      <w:r>
        <w:rPr/>
        <w:t>A </w:t>
      </w:r>
      <w:r>
        <w:rPr>
          <w:spacing w:val="-5"/>
        </w:rPr>
        <w:t>corresponding expense is recognised</w:t>
      </w:r>
      <w:r>
        <w:rPr>
          <w:spacing w:val="-26"/>
        </w:rPr>
        <w:t> </w:t>
      </w:r>
      <w:r>
        <w:rPr>
          <w:spacing w:val="-4"/>
        </w:rPr>
        <w:t>for</w:t>
      </w:r>
      <w:r>
        <w:rPr>
          <w:spacing w:val="-26"/>
        </w:rPr>
        <w:t> </w:t>
      </w:r>
      <w:r>
        <w:rPr>
          <w:spacing w:val="-5"/>
        </w:rPr>
        <w:t>services</w:t>
      </w:r>
      <w:r>
        <w:rPr>
          <w:spacing w:val="-26"/>
        </w:rPr>
        <w:t> </w:t>
      </w:r>
      <w:r>
        <w:rPr>
          <w:spacing w:val="-5"/>
        </w:rPr>
        <w:t>received.</w:t>
      </w:r>
      <w:r>
        <w:rPr>
          <w:spacing w:val="-26"/>
        </w:rPr>
        <w:t> </w:t>
      </w:r>
      <w:r>
        <w:rPr>
          <w:spacing w:val="-5"/>
        </w:rPr>
        <w:t>Receipts</w:t>
      </w:r>
      <w:r>
        <w:rPr>
          <w:spacing w:val="-25"/>
        </w:rPr>
        <w:t> </w:t>
      </w:r>
      <w:r>
        <w:rPr>
          <w:spacing w:val="-3"/>
        </w:rPr>
        <w:t>of</w:t>
      </w:r>
      <w:r>
        <w:rPr>
          <w:spacing w:val="-26"/>
        </w:rPr>
        <w:t> </w:t>
      </w:r>
      <w:r>
        <w:rPr>
          <w:spacing w:val="-5"/>
        </w:rPr>
        <w:t>assets are</w:t>
      </w:r>
      <w:r>
        <w:rPr>
          <w:spacing w:val="-30"/>
        </w:rPr>
        <w:t> </w:t>
      </w:r>
      <w:r>
        <w:rPr>
          <w:spacing w:val="-5"/>
        </w:rPr>
        <w:t>recognised</w:t>
      </w:r>
      <w:r>
        <w:rPr>
          <w:spacing w:val="-30"/>
        </w:rPr>
        <w:t> </w:t>
      </w:r>
      <w:r>
        <w:rPr>
          <w:spacing w:val="-3"/>
        </w:rPr>
        <w:t>in</w:t>
      </w:r>
      <w:r>
        <w:rPr>
          <w:spacing w:val="-30"/>
        </w:rPr>
        <w:t> </w:t>
      </w:r>
      <w:r>
        <w:rPr>
          <w:spacing w:val="-4"/>
        </w:rPr>
        <w:t>the</w:t>
      </w:r>
      <w:r>
        <w:rPr>
          <w:spacing w:val="-30"/>
        </w:rPr>
        <w:t> </w:t>
      </w:r>
      <w:r>
        <w:rPr>
          <w:spacing w:val="-5"/>
        </w:rPr>
        <w:t>Statement</w:t>
      </w:r>
      <w:r>
        <w:rPr>
          <w:spacing w:val="-30"/>
        </w:rPr>
        <w:t> </w:t>
      </w:r>
      <w:r>
        <w:rPr>
          <w:spacing w:val="-3"/>
        </w:rPr>
        <w:t>of</w:t>
      </w:r>
      <w:r>
        <w:rPr>
          <w:spacing w:val="-30"/>
        </w:rPr>
        <w:t> </w:t>
      </w:r>
      <w:r>
        <w:rPr>
          <w:spacing w:val="-5"/>
        </w:rPr>
        <w:t>Financial</w:t>
      </w:r>
      <w:r>
        <w:rPr>
          <w:spacing w:val="-30"/>
        </w:rPr>
        <w:t> </w:t>
      </w:r>
      <w:r>
        <w:rPr>
          <w:spacing w:val="-5"/>
        </w:rPr>
        <w:t>Position.</w:t>
      </w:r>
    </w:p>
    <w:p>
      <w:pPr>
        <w:pStyle w:val="BodyText"/>
        <w:spacing w:before="5"/>
        <w:rPr>
          <w:sz w:val="23"/>
        </w:rPr>
      </w:pPr>
    </w:p>
    <w:p>
      <w:pPr>
        <w:pStyle w:val="BodyText"/>
        <w:spacing w:line="249" w:lineRule="auto" w:before="1"/>
        <w:ind w:left="431" w:right="1"/>
      </w:pPr>
      <w:r>
        <w:rPr>
          <w:spacing w:val="-5"/>
        </w:rPr>
        <w:t>Assets </w:t>
      </w:r>
      <w:r>
        <w:rPr>
          <w:spacing w:val="-3"/>
        </w:rPr>
        <w:t>or </w:t>
      </w:r>
      <w:r>
        <w:rPr>
          <w:spacing w:val="-5"/>
        </w:rPr>
        <w:t>services received from </w:t>
      </w:r>
      <w:r>
        <w:rPr>
          <w:spacing w:val="-4"/>
        </w:rPr>
        <w:t>other </w:t>
      </w:r>
      <w:r>
        <w:rPr>
          <w:spacing w:val="-5"/>
        </w:rPr>
        <w:t>State Government</w:t>
      </w:r>
      <w:r>
        <w:rPr>
          <w:spacing w:val="-38"/>
        </w:rPr>
        <w:t> </w:t>
      </w:r>
      <w:r>
        <w:rPr>
          <w:spacing w:val="-5"/>
        </w:rPr>
        <w:t>agencies</w:t>
      </w:r>
      <w:r>
        <w:rPr>
          <w:spacing w:val="-38"/>
        </w:rPr>
        <w:t> </w:t>
      </w:r>
      <w:r>
        <w:rPr>
          <w:spacing w:val="-5"/>
        </w:rPr>
        <w:t>are</w:t>
      </w:r>
      <w:r>
        <w:rPr>
          <w:spacing w:val="-38"/>
        </w:rPr>
        <w:t> </w:t>
      </w:r>
      <w:r>
        <w:rPr>
          <w:spacing w:val="-5"/>
        </w:rPr>
        <w:t>separately</w:t>
      </w:r>
      <w:r>
        <w:rPr>
          <w:spacing w:val="-38"/>
        </w:rPr>
        <w:t> </w:t>
      </w:r>
      <w:r>
        <w:rPr>
          <w:spacing w:val="-5"/>
        </w:rPr>
        <w:t>disclosed</w:t>
      </w:r>
      <w:r>
        <w:rPr>
          <w:spacing w:val="-38"/>
        </w:rPr>
        <w:t> </w:t>
      </w:r>
      <w:r>
        <w:rPr>
          <w:spacing w:val="-5"/>
        </w:rPr>
        <w:t>under Income from </w:t>
      </w:r>
      <w:r>
        <w:rPr>
          <w:spacing w:val="-4"/>
        </w:rPr>
        <w:t>State </w:t>
      </w:r>
      <w:r>
        <w:rPr>
          <w:spacing w:val="-5"/>
        </w:rPr>
        <w:t>Government </w:t>
      </w:r>
      <w:r>
        <w:rPr>
          <w:spacing w:val="-3"/>
        </w:rPr>
        <w:t>in </w:t>
      </w:r>
      <w:r>
        <w:rPr>
          <w:spacing w:val="-4"/>
        </w:rPr>
        <w:t>the </w:t>
      </w:r>
      <w:r>
        <w:rPr>
          <w:spacing w:val="-5"/>
        </w:rPr>
        <w:t>Statement of Comprehensive</w:t>
      </w:r>
      <w:r>
        <w:rPr>
          <w:spacing w:val="-11"/>
        </w:rPr>
        <w:t> </w:t>
      </w:r>
      <w:r>
        <w:rPr>
          <w:spacing w:val="-5"/>
        </w:rPr>
        <w:t>Income.</w:t>
      </w:r>
    </w:p>
    <w:p>
      <w:pPr>
        <w:pStyle w:val="BodyText"/>
        <w:spacing w:before="3"/>
        <w:rPr>
          <w:sz w:val="23"/>
        </w:rPr>
      </w:pPr>
    </w:p>
    <w:p>
      <w:pPr>
        <w:pStyle w:val="ListParagraph"/>
        <w:numPr>
          <w:ilvl w:val="0"/>
          <w:numId w:val="6"/>
        </w:numPr>
        <w:tabs>
          <w:tab w:pos="785" w:val="left" w:leader="none"/>
        </w:tabs>
        <w:spacing w:line="249" w:lineRule="auto" w:before="0" w:after="0"/>
        <w:ind w:left="431" w:right="406" w:firstLine="0"/>
        <w:jc w:val="left"/>
        <w:rPr>
          <w:sz w:val="22"/>
        </w:rPr>
      </w:pPr>
      <w:r>
        <w:rPr>
          <w:b/>
          <w:spacing w:val="-5"/>
          <w:sz w:val="22"/>
        </w:rPr>
        <w:t>Construction </w:t>
      </w:r>
      <w:r>
        <w:rPr>
          <w:b/>
          <w:spacing w:val="-4"/>
          <w:sz w:val="22"/>
        </w:rPr>
        <w:t>work </w:t>
      </w:r>
      <w:r>
        <w:rPr>
          <w:b/>
          <w:spacing w:val="-3"/>
          <w:sz w:val="22"/>
        </w:rPr>
        <w:t>in </w:t>
      </w:r>
      <w:r>
        <w:rPr>
          <w:b/>
          <w:spacing w:val="-6"/>
          <w:sz w:val="22"/>
        </w:rPr>
        <w:t>progress </w:t>
      </w:r>
      <w:r>
        <w:rPr>
          <w:spacing w:val="-5"/>
          <w:sz w:val="22"/>
        </w:rPr>
        <w:t>Construction </w:t>
      </w:r>
      <w:r>
        <w:rPr>
          <w:spacing w:val="-4"/>
          <w:sz w:val="22"/>
        </w:rPr>
        <w:t>work </w:t>
      </w:r>
      <w:r>
        <w:rPr>
          <w:spacing w:val="-3"/>
          <w:sz w:val="22"/>
        </w:rPr>
        <w:t>in </w:t>
      </w:r>
      <w:r>
        <w:rPr>
          <w:spacing w:val="-6"/>
          <w:sz w:val="22"/>
        </w:rPr>
        <w:t>progress </w:t>
      </w:r>
      <w:r>
        <w:rPr>
          <w:spacing w:val="-3"/>
          <w:sz w:val="22"/>
        </w:rPr>
        <w:t>is </w:t>
      </w:r>
      <w:r>
        <w:rPr>
          <w:spacing w:val="-5"/>
          <w:sz w:val="22"/>
        </w:rPr>
        <w:t>stated </w:t>
      </w:r>
      <w:r>
        <w:rPr>
          <w:spacing w:val="-3"/>
          <w:sz w:val="22"/>
        </w:rPr>
        <w:t>at </w:t>
      </w:r>
      <w:r>
        <w:rPr>
          <w:spacing w:val="-5"/>
          <w:sz w:val="22"/>
        </w:rPr>
        <w:t>the aggregate</w:t>
      </w:r>
      <w:r>
        <w:rPr>
          <w:spacing w:val="-19"/>
          <w:sz w:val="22"/>
        </w:rPr>
        <w:t> </w:t>
      </w:r>
      <w:r>
        <w:rPr>
          <w:spacing w:val="-3"/>
          <w:sz w:val="22"/>
        </w:rPr>
        <w:t>of</w:t>
      </w:r>
      <w:r>
        <w:rPr>
          <w:spacing w:val="-18"/>
          <w:sz w:val="22"/>
        </w:rPr>
        <w:t> </w:t>
      </w:r>
      <w:r>
        <w:rPr>
          <w:spacing w:val="-5"/>
          <w:sz w:val="22"/>
        </w:rPr>
        <w:t>contract</w:t>
      </w:r>
      <w:r>
        <w:rPr>
          <w:spacing w:val="-18"/>
          <w:sz w:val="22"/>
        </w:rPr>
        <w:t> </w:t>
      </w:r>
      <w:r>
        <w:rPr>
          <w:spacing w:val="-4"/>
          <w:sz w:val="22"/>
        </w:rPr>
        <w:t>costs</w:t>
      </w:r>
      <w:r>
        <w:rPr>
          <w:spacing w:val="-18"/>
          <w:sz w:val="22"/>
        </w:rPr>
        <w:t> </w:t>
      </w:r>
      <w:r>
        <w:rPr>
          <w:spacing w:val="-5"/>
          <w:sz w:val="22"/>
        </w:rPr>
        <w:t>incurred</w:t>
      </w:r>
      <w:r>
        <w:rPr>
          <w:spacing w:val="-18"/>
          <w:sz w:val="22"/>
        </w:rPr>
        <w:t> </w:t>
      </w:r>
      <w:r>
        <w:rPr>
          <w:spacing w:val="-3"/>
          <w:sz w:val="22"/>
        </w:rPr>
        <w:t>to</w:t>
      </w:r>
      <w:r>
        <w:rPr>
          <w:spacing w:val="-19"/>
          <w:sz w:val="22"/>
        </w:rPr>
        <w:t> </w:t>
      </w:r>
      <w:r>
        <w:rPr>
          <w:spacing w:val="-4"/>
          <w:sz w:val="22"/>
        </w:rPr>
        <w:t>date</w:t>
      </w:r>
      <w:r>
        <w:rPr>
          <w:spacing w:val="-18"/>
          <w:sz w:val="22"/>
        </w:rPr>
        <w:t> </w:t>
      </w:r>
      <w:r>
        <w:rPr>
          <w:spacing w:val="-5"/>
          <w:sz w:val="22"/>
        </w:rPr>
        <w:t>plus recognised profits </w:t>
      </w:r>
      <w:r>
        <w:rPr>
          <w:spacing w:val="-4"/>
          <w:sz w:val="22"/>
        </w:rPr>
        <w:t>less </w:t>
      </w:r>
      <w:r>
        <w:rPr>
          <w:spacing w:val="-5"/>
          <w:sz w:val="22"/>
        </w:rPr>
        <w:t>recognised losses and </w:t>
      </w:r>
      <w:r>
        <w:rPr>
          <w:spacing w:val="-6"/>
          <w:sz w:val="22"/>
        </w:rPr>
        <w:t>progress </w:t>
      </w:r>
      <w:r>
        <w:rPr>
          <w:spacing w:val="-5"/>
          <w:sz w:val="22"/>
        </w:rPr>
        <w:t>billings. </w:t>
      </w:r>
      <w:r>
        <w:rPr>
          <w:spacing w:val="-3"/>
          <w:sz w:val="22"/>
        </w:rPr>
        <w:t>If </w:t>
      </w:r>
      <w:r>
        <w:rPr>
          <w:spacing w:val="-5"/>
          <w:sz w:val="22"/>
        </w:rPr>
        <w:t>there are contracts where </w:t>
      </w:r>
      <w:r>
        <w:rPr>
          <w:spacing w:val="-6"/>
          <w:sz w:val="22"/>
        </w:rPr>
        <w:t>progress </w:t>
      </w:r>
      <w:r>
        <w:rPr>
          <w:spacing w:val="-5"/>
          <w:sz w:val="22"/>
        </w:rPr>
        <w:t>billing exceeds </w:t>
      </w:r>
      <w:r>
        <w:rPr>
          <w:spacing w:val="-4"/>
          <w:sz w:val="22"/>
        </w:rPr>
        <w:t>the </w:t>
      </w:r>
      <w:r>
        <w:rPr>
          <w:spacing w:val="-5"/>
          <w:sz w:val="22"/>
        </w:rPr>
        <w:t>aggregate costs incurred</w:t>
      </w:r>
      <w:r>
        <w:rPr>
          <w:spacing w:val="-25"/>
          <w:sz w:val="22"/>
        </w:rPr>
        <w:t> </w:t>
      </w:r>
      <w:r>
        <w:rPr>
          <w:spacing w:val="-4"/>
          <w:sz w:val="22"/>
        </w:rPr>
        <w:t>plus</w:t>
      </w:r>
      <w:r>
        <w:rPr>
          <w:spacing w:val="-25"/>
          <w:sz w:val="22"/>
        </w:rPr>
        <w:t> </w:t>
      </w:r>
      <w:r>
        <w:rPr>
          <w:spacing w:val="-5"/>
          <w:sz w:val="22"/>
        </w:rPr>
        <w:t>profits</w:t>
      </w:r>
      <w:r>
        <w:rPr>
          <w:spacing w:val="-24"/>
          <w:sz w:val="22"/>
        </w:rPr>
        <w:t> </w:t>
      </w:r>
      <w:r>
        <w:rPr>
          <w:spacing w:val="-4"/>
          <w:sz w:val="22"/>
        </w:rPr>
        <w:t>less</w:t>
      </w:r>
      <w:r>
        <w:rPr>
          <w:spacing w:val="-25"/>
          <w:sz w:val="22"/>
        </w:rPr>
        <w:t> </w:t>
      </w:r>
      <w:r>
        <w:rPr>
          <w:spacing w:val="-5"/>
          <w:sz w:val="22"/>
        </w:rPr>
        <w:t>losses,</w:t>
      </w:r>
      <w:r>
        <w:rPr>
          <w:spacing w:val="-24"/>
          <w:sz w:val="22"/>
        </w:rPr>
        <w:t> </w:t>
      </w:r>
      <w:r>
        <w:rPr>
          <w:spacing w:val="-4"/>
          <w:sz w:val="22"/>
        </w:rPr>
        <w:t>the</w:t>
      </w:r>
      <w:r>
        <w:rPr>
          <w:spacing w:val="-25"/>
          <w:sz w:val="22"/>
        </w:rPr>
        <w:t> </w:t>
      </w:r>
      <w:r>
        <w:rPr>
          <w:spacing w:val="-4"/>
          <w:sz w:val="22"/>
        </w:rPr>
        <w:t>net</w:t>
      </w:r>
      <w:r>
        <w:rPr>
          <w:spacing w:val="-24"/>
          <w:sz w:val="22"/>
        </w:rPr>
        <w:t> </w:t>
      </w:r>
      <w:r>
        <w:rPr>
          <w:spacing w:val="-5"/>
          <w:sz w:val="22"/>
        </w:rPr>
        <w:t>amounts</w:t>
      </w:r>
    </w:p>
    <w:p>
      <w:pPr>
        <w:pStyle w:val="BodyText"/>
        <w:spacing w:line="249" w:lineRule="auto" w:before="6"/>
        <w:ind w:left="431" w:right="-3"/>
      </w:pPr>
      <w:r>
        <w:rPr>
          <w:spacing w:val="-5"/>
        </w:rPr>
        <w:t>are presented </w:t>
      </w:r>
      <w:r>
        <w:rPr>
          <w:spacing w:val="-4"/>
        </w:rPr>
        <w:t>under other </w:t>
      </w:r>
      <w:r>
        <w:rPr>
          <w:spacing w:val="-5"/>
        </w:rPr>
        <w:t>payables. Contract costs include</w:t>
      </w:r>
      <w:r>
        <w:rPr>
          <w:spacing w:val="-22"/>
        </w:rPr>
        <w:t> </w:t>
      </w:r>
      <w:r>
        <w:rPr>
          <w:spacing w:val="-4"/>
        </w:rPr>
        <w:t>all</w:t>
      </w:r>
      <w:r>
        <w:rPr>
          <w:spacing w:val="-21"/>
        </w:rPr>
        <w:t> </w:t>
      </w:r>
      <w:r>
        <w:rPr>
          <w:spacing w:val="-4"/>
        </w:rPr>
        <w:t>costs</w:t>
      </w:r>
      <w:r>
        <w:rPr>
          <w:spacing w:val="-22"/>
        </w:rPr>
        <w:t> </w:t>
      </w:r>
      <w:r>
        <w:rPr>
          <w:spacing w:val="-5"/>
        </w:rPr>
        <w:t>directly</w:t>
      </w:r>
      <w:r>
        <w:rPr>
          <w:spacing w:val="-21"/>
        </w:rPr>
        <w:t> </w:t>
      </w:r>
      <w:r>
        <w:rPr>
          <w:spacing w:val="-5"/>
        </w:rPr>
        <w:t>related</w:t>
      </w:r>
      <w:r>
        <w:rPr>
          <w:spacing w:val="-21"/>
        </w:rPr>
        <w:t> </w:t>
      </w:r>
      <w:r>
        <w:rPr>
          <w:spacing w:val="-3"/>
        </w:rPr>
        <w:t>to</w:t>
      </w:r>
      <w:r>
        <w:rPr>
          <w:spacing w:val="-22"/>
        </w:rPr>
        <w:t> </w:t>
      </w:r>
      <w:r>
        <w:rPr>
          <w:spacing w:val="-4"/>
        </w:rPr>
        <w:t>specific</w:t>
      </w:r>
      <w:r>
        <w:rPr>
          <w:spacing w:val="-21"/>
        </w:rPr>
        <w:t> </w:t>
      </w:r>
      <w:r>
        <w:rPr>
          <w:spacing w:val="-5"/>
        </w:rPr>
        <w:t>contracts, </w:t>
      </w:r>
      <w:r>
        <w:rPr>
          <w:spacing w:val="-4"/>
        </w:rPr>
        <w:t>costs</w:t>
      </w:r>
      <w:r>
        <w:rPr>
          <w:spacing w:val="-25"/>
        </w:rPr>
        <w:t> </w:t>
      </w:r>
      <w:r>
        <w:rPr>
          <w:spacing w:val="-4"/>
        </w:rPr>
        <w:t>that</w:t>
      </w:r>
      <w:r>
        <w:rPr>
          <w:spacing w:val="-24"/>
        </w:rPr>
        <w:t> </w:t>
      </w:r>
      <w:r>
        <w:rPr>
          <w:spacing w:val="-5"/>
        </w:rPr>
        <w:t>are</w:t>
      </w:r>
      <w:r>
        <w:rPr>
          <w:spacing w:val="-25"/>
        </w:rPr>
        <w:t> </w:t>
      </w:r>
      <w:r>
        <w:rPr>
          <w:spacing w:val="-5"/>
        </w:rPr>
        <w:t>specifically</w:t>
      </w:r>
      <w:r>
        <w:rPr>
          <w:spacing w:val="-24"/>
        </w:rPr>
        <w:t> </w:t>
      </w:r>
      <w:r>
        <w:rPr>
          <w:spacing w:val="-5"/>
        </w:rPr>
        <w:t>chargeable</w:t>
      </w:r>
      <w:r>
        <w:rPr>
          <w:spacing w:val="-25"/>
        </w:rPr>
        <w:t> </w:t>
      </w:r>
      <w:r>
        <w:rPr>
          <w:spacing w:val="-3"/>
        </w:rPr>
        <w:t>to</w:t>
      </w:r>
      <w:r>
        <w:rPr>
          <w:spacing w:val="-24"/>
        </w:rPr>
        <w:t> </w:t>
      </w:r>
      <w:r>
        <w:rPr>
          <w:spacing w:val="-4"/>
        </w:rPr>
        <w:t>the</w:t>
      </w:r>
      <w:r>
        <w:rPr>
          <w:spacing w:val="-25"/>
        </w:rPr>
        <w:t> </w:t>
      </w:r>
      <w:r>
        <w:rPr>
          <w:spacing w:val="-5"/>
        </w:rPr>
        <w:t>customer </w:t>
      </w:r>
      <w:r>
        <w:rPr>
          <w:spacing w:val="-4"/>
        </w:rPr>
        <w:t>under the terms </w:t>
      </w:r>
      <w:r>
        <w:rPr>
          <w:spacing w:val="-3"/>
        </w:rPr>
        <w:t>of </w:t>
      </w:r>
      <w:r>
        <w:rPr>
          <w:spacing w:val="-4"/>
        </w:rPr>
        <w:t>the </w:t>
      </w:r>
      <w:r>
        <w:rPr>
          <w:spacing w:val="-5"/>
        </w:rPr>
        <w:t>contract </w:t>
      </w:r>
      <w:r>
        <w:rPr>
          <w:spacing w:val="-4"/>
        </w:rPr>
        <w:t>and </w:t>
      </w:r>
      <w:r>
        <w:rPr>
          <w:spacing w:val="-3"/>
        </w:rPr>
        <w:t>an </w:t>
      </w:r>
      <w:r>
        <w:rPr>
          <w:spacing w:val="-5"/>
        </w:rPr>
        <w:t>allocation of overhead expenses incurred </w:t>
      </w:r>
      <w:r>
        <w:rPr>
          <w:spacing w:val="-3"/>
        </w:rPr>
        <w:t>in </w:t>
      </w:r>
      <w:r>
        <w:rPr>
          <w:spacing w:val="-5"/>
        </w:rPr>
        <w:t>connection </w:t>
      </w:r>
      <w:r>
        <w:rPr>
          <w:spacing w:val="-4"/>
        </w:rPr>
        <w:t>with </w:t>
      </w:r>
      <w:r>
        <w:rPr>
          <w:spacing w:val="-5"/>
        </w:rPr>
        <w:t>the </w:t>
      </w:r>
      <w:r>
        <w:rPr>
          <w:spacing w:val="-7"/>
        </w:rPr>
        <w:t>Department’s </w:t>
      </w:r>
      <w:r>
        <w:rPr>
          <w:spacing w:val="-5"/>
        </w:rPr>
        <w:t>construction activities </w:t>
      </w:r>
      <w:r>
        <w:rPr>
          <w:spacing w:val="-3"/>
        </w:rPr>
        <w:t>in</w:t>
      </w:r>
      <w:r>
        <w:rPr>
          <w:spacing w:val="-47"/>
        </w:rPr>
        <w:t> </w:t>
      </w:r>
      <w:r>
        <w:rPr>
          <w:spacing w:val="-5"/>
        </w:rPr>
        <w:t>general.</w:t>
      </w:r>
    </w:p>
    <w:p>
      <w:pPr>
        <w:pStyle w:val="BodyText"/>
        <w:spacing w:before="5"/>
        <w:rPr>
          <w:sz w:val="23"/>
        </w:rPr>
      </w:pPr>
      <w:r>
        <w:rPr/>
        <w:br w:type="column"/>
      </w:r>
      <w:r>
        <w:rPr>
          <w:sz w:val="23"/>
        </w:rPr>
      </w:r>
    </w:p>
    <w:p>
      <w:pPr>
        <w:pStyle w:val="Heading6"/>
        <w:numPr>
          <w:ilvl w:val="0"/>
          <w:numId w:val="6"/>
        </w:numPr>
        <w:tabs>
          <w:tab w:pos="681" w:val="left" w:leader="none"/>
        </w:tabs>
        <w:spacing w:line="240" w:lineRule="auto" w:before="0" w:after="0"/>
        <w:ind w:left="680" w:right="0" w:hanging="291"/>
        <w:jc w:val="left"/>
      </w:pPr>
      <w:r>
        <w:rPr>
          <w:spacing w:val="-4"/>
        </w:rPr>
        <w:t>Lease</w:t>
      </w:r>
      <w:r>
        <w:rPr>
          <w:spacing w:val="-10"/>
        </w:rPr>
        <w:t> </w:t>
      </w:r>
      <w:r>
        <w:rPr>
          <w:spacing w:val="-5"/>
        </w:rPr>
        <w:t>incentives</w:t>
      </w:r>
    </w:p>
    <w:p>
      <w:pPr>
        <w:pStyle w:val="BodyText"/>
        <w:spacing w:line="249" w:lineRule="auto" w:before="11"/>
        <w:ind w:left="388" w:right="797"/>
      </w:pPr>
      <w:r>
        <w:rPr>
          <w:spacing w:val="-3"/>
        </w:rPr>
        <w:t>In</w:t>
      </w:r>
      <w:r>
        <w:rPr>
          <w:spacing w:val="-32"/>
        </w:rPr>
        <w:t> </w:t>
      </w:r>
      <w:r>
        <w:rPr>
          <w:spacing w:val="-5"/>
        </w:rPr>
        <w:t>instances</w:t>
      </w:r>
      <w:r>
        <w:rPr>
          <w:spacing w:val="-31"/>
        </w:rPr>
        <w:t> </w:t>
      </w:r>
      <w:r>
        <w:rPr>
          <w:spacing w:val="-5"/>
        </w:rPr>
        <w:t>where</w:t>
      </w:r>
      <w:r>
        <w:rPr>
          <w:spacing w:val="-31"/>
        </w:rPr>
        <w:t> </w:t>
      </w:r>
      <w:r>
        <w:rPr>
          <w:spacing w:val="-4"/>
        </w:rPr>
        <w:t>the</w:t>
      </w:r>
      <w:r>
        <w:rPr>
          <w:spacing w:val="-31"/>
        </w:rPr>
        <w:t> </w:t>
      </w:r>
      <w:r>
        <w:rPr>
          <w:spacing w:val="-5"/>
        </w:rPr>
        <w:t>lessor</w:t>
      </w:r>
      <w:r>
        <w:rPr>
          <w:spacing w:val="-31"/>
        </w:rPr>
        <w:t> </w:t>
      </w:r>
      <w:r>
        <w:rPr>
          <w:spacing w:val="-4"/>
        </w:rPr>
        <w:t>has</w:t>
      </w:r>
      <w:r>
        <w:rPr>
          <w:spacing w:val="-32"/>
        </w:rPr>
        <w:t> </w:t>
      </w:r>
      <w:r>
        <w:rPr>
          <w:spacing w:val="-5"/>
        </w:rPr>
        <w:t>provided</w:t>
      </w:r>
      <w:r>
        <w:rPr>
          <w:spacing w:val="-31"/>
        </w:rPr>
        <w:t> </w:t>
      </w:r>
      <w:r>
        <w:rPr>
          <w:spacing w:val="-5"/>
        </w:rPr>
        <w:t>incentives </w:t>
      </w:r>
      <w:r>
        <w:rPr>
          <w:spacing w:val="-4"/>
        </w:rPr>
        <w:t>for the </w:t>
      </w:r>
      <w:r>
        <w:rPr>
          <w:spacing w:val="-5"/>
        </w:rPr>
        <w:t>Department </w:t>
      </w:r>
      <w:r>
        <w:rPr>
          <w:spacing w:val="-3"/>
        </w:rPr>
        <w:t>to </w:t>
      </w:r>
      <w:r>
        <w:rPr>
          <w:spacing w:val="-4"/>
        </w:rPr>
        <w:t>enter into </w:t>
      </w:r>
      <w:r>
        <w:rPr>
          <w:spacing w:val="-3"/>
        </w:rPr>
        <w:t>an </w:t>
      </w:r>
      <w:r>
        <w:rPr>
          <w:spacing w:val="-5"/>
        </w:rPr>
        <w:t>operating lease, </w:t>
      </w:r>
      <w:r>
        <w:rPr>
          <w:spacing w:val="-4"/>
        </w:rPr>
        <w:t>the </w:t>
      </w:r>
      <w:r>
        <w:rPr>
          <w:spacing w:val="-5"/>
        </w:rPr>
        <w:t>Department </w:t>
      </w:r>
      <w:r>
        <w:rPr>
          <w:spacing w:val="-4"/>
        </w:rPr>
        <w:t>has </w:t>
      </w:r>
      <w:r>
        <w:rPr>
          <w:spacing w:val="-5"/>
        </w:rPr>
        <w:t>recognised </w:t>
      </w:r>
      <w:r>
        <w:rPr>
          <w:spacing w:val="-4"/>
        </w:rPr>
        <w:t>the </w:t>
      </w:r>
      <w:r>
        <w:rPr>
          <w:spacing w:val="-6"/>
        </w:rPr>
        <w:t>aggregate </w:t>
      </w:r>
      <w:r>
        <w:rPr>
          <w:spacing w:val="-4"/>
        </w:rPr>
        <w:t>benefit</w:t>
      </w:r>
      <w:r>
        <w:rPr>
          <w:spacing w:val="-26"/>
        </w:rPr>
        <w:t> </w:t>
      </w:r>
      <w:r>
        <w:rPr>
          <w:spacing w:val="-3"/>
        </w:rPr>
        <w:t>of</w:t>
      </w:r>
      <w:r>
        <w:rPr>
          <w:spacing w:val="-26"/>
        </w:rPr>
        <w:t> </w:t>
      </w:r>
      <w:r>
        <w:rPr>
          <w:spacing w:val="-5"/>
        </w:rPr>
        <w:t>incentives</w:t>
      </w:r>
      <w:r>
        <w:rPr>
          <w:spacing w:val="-26"/>
        </w:rPr>
        <w:t> </w:t>
      </w:r>
      <w:r>
        <w:rPr>
          <w:spacing w:val="-3"/>
        </w:rPr>
        <w:t>as</w:t>
      </w:r>
      <w:r>
        <w:rPr>
          <w:spacing w:val="-26"/>
        </w:rPr>
        <w:t> </w:t>
      </w:r>
      <w:r>
        <w:rPr/>
        <w:t>a</w:t>
      </w:r>
      <w:r>
        <w:rPr>
          <w:spacing w:val="-26"/>
        </w:rPr>
        <w:t> </w:t>
      </w:r>
      <w:r>
        <w:rPr>
          <w:spacing w:val="-5"/>
        </w:rPr>
        <w:t>reduction</w:t>
      </w:r>
      <w:r>
        <w:rPr>
          <w:spacing w:val="-25"/>
        </w:rPr>
        <w:t> </w:t>
      </w:r>
      <w:r>
        <w:rPr>
          <w:spacing w:val="-3"/>
        </w:rPr>
        <w:t>of</w:t>
      </w:r>
      <w:r>
        <w:rPr>
          <w:spacing w:val="-26"/>
        </w:rPr>
        <w:t> </w:t>
      </w:r>
      <w:r>
        <w:rPr>
          <w:spacing w:val="-5"/>
        </w:rPr>
        <w:t>rental</w:t>
      </w:r>
      <w:r>
        <w:rPr>
          <w:spacing w:val="-26"/>
        </w:rPr>
        <w:t> </w:t>
      </w:r>
      <w:r>
        <w:rPr>
          <w:spacing w:val="-5"/>
        </w:rPr>
        <w:t>expense </w:t>
      </w:r>
      <w:r>
        <w:rPr>
          <w:spacing w:val="-4"/>
        </w:rPr>
        <w:t>over</w:t>
      </w:r>
      <w:r>
        <w:rPr>
          <w:spacing w:val="-15"/>
        </w:rPr>
        <w:t> </w:t>
      </w:r>
      <w:r>
        <w:rPr>
          <w:spacing w:val="-4"/>
        </w:rPr>
        <w:t>the</w:t>
      </w:r>
      <w:r>
        <w:rPr>
          <w:spacing w:val="-15"/>
        </w:rPr>
        <w:t> </w:t>
      </w:r>
      <w:r>
        <w:rPr>
          <w:spacing w:val="-4"/>
        </w:rPr>
        <w:t>lease</w:t>
      </w:r>
      <w:r>
        <w:rPr>
          <w:spacing w:val="-15"/>
        </w:rPr>
        <w:t> </w:t>
      </w:r>
      <w:r>
        <w:rPr>
          <w:spacing w:val="-4"/>
        </w:rPr>
        <w:t>term,</w:t>
      </w:r>
      <w:r>
        <w:rPr>
          <w:spacing w:val="-14"/>
        </w:rPr>
        <w:t> </w:t>
      </w:r>
      <w:r>
        <w:rPr>
          <w:spacing w:val="-3"/>
        </w:rPr>
        <w:t>on</w:t>
      </w:r>
      <w:r>
        <w:rPr>
          <w:spacing w:val="-15"/>
        </w:rPr>
        <w:t> </w:t>
      </w:r>
      <w:r>
        <w:rPr/>
        <w:t>a</w:t>
      </w:r>
      <w:r>
        <w:rPr>
          <w:spacing w:val="-15"/>
        </w:rPr>
        <w:t> </w:t>
      </w:r>
      <w:r>
        <w:rPr>
          <w:spacing w:val="-5"/>
        </w:rPr>
        <w:t>straight</w:t>
      </w:r>
      <w:r>
        <w:rPr>
          <w:spacing w:val="-15"/>
        </w:rPr>
        <w:t> </w:t>
      </w:r>
      <w:r>
        <w:rPr>
          <w:spacing w:val="-4"/>
        </w:rPr>
        <w:t>line</w:t>
      </w:r>
      <w:r>
        <w:rPr>
          <w:spacing w:val="-14"/>
        </w:rPr>
        <w:t> </w:t>
      </w:r>
      <w:r>
        <w:rPr>
          <w:spacing w:val="-5"/>
        </w:rPr>
        <w:t>basis.</w:t>
      </w:r>
    </w:p>
    <w:p>
      <w:pPr>
        <w:pStyle w:val="BodyText"/>
        <w:spacing w:line="249" w:lineRule="auto" w:before="4"/>
        <w:ind w:left="388" w:right="1031"/>
      </w:pPr>
      <w:r>
        <w:rPr>
          <w:spacing w:val="-5"/>
        </w:rPr>
        <w:t>Examples</w:t>
      </w:r>
      <w:r>
        <w:rPr>
          <w:spacing w:val="-33"/>
        </w:rPr>
        <w:t> </w:t>
      </w:r>
      <w:r>
        <w:rPr>
          <w:spacing w:val="-3"/>
        </w:rPr>
        <w:t>of</w:t>
      </w:r>
      <w:r>
        <w:rPr>
          <w:spacing w:val="-32"/>
        </w:rPr>
        <w:t> </w:t>
      </w:r>
      <w:r>
        <w:rPr>
          <w:spacing w:val="-4"/>
        </w:rPr>
        <w:t>lease</w:t>
      </w:r>
      <w:r>
        <w:rPr>
          <w:spacing w:val="-32"/>
        </w:rPr>
        <w:t> </w:t>
      </w:r>
      <w:r>
        <w:rPr>
          <w:spacing w:val="-5"/>
        </w:rPr>
        <w:t>incentives</w:t>
      </w:r>
      <w:r>
        <w:rPr>
          <w:spacing w:val="-32"/>
        </w:rPr>
        <w:t> </w:t>
      </w:r>
      <w:r>
        <w:rPr>
          <w:spacing w:val="-5"/>
        </w:rPr>
        <w:t>include</w:t>
      </w:r>
      <w:r>
        <w:rPr>
          <w:spacing w:val="-32"/>
        </w:rPr>
        <w:t> </w:t>
      </w:r>
      <w:r>
        <w:rPr>
          <w:spacing w:val="-5"/>
        </w:rPr>
        <w:t>up-front</w:t>
      </w:r>
      <w:r>
        <w:rPr>
          <w:spacing w:val="-32"/>
        </w:rPr>
        <w:t> </w:t>
      </w:r>
      <w:r>
        <w:rPr>
          <w:spacing w:val="-5"/>
        </w:rPr>
        <w:t>cash payments</w:t>
      </w:r>
      <w:r>
        <w:rPr>
          <w:spacing w:val="-24"/>
        </w:rPr>
        <w:t> </w:t>
      </w:r>
      <w:r>
        <w:rPr>
          <w:spacing w:val="-3"/>
        </w:rPr>
        <w:t>or</w:t>
      </w:r>
      <w:r>
        <w:rPr>
          <w:spacing w:val="-23"/>
        </w:rPr>
        <w:t> </w:t>
      </w:r>
      <w:r>
        <w:rPr>
          <w:spacing w:val="-4"/>
        </w:rPr>
        <w:t>the</w:t>
      </w:r>
      <w:r>
        <w:rPr>
          <w:spacing w:val="-23"/>
        </w:rPr>
        <w:t> </w:t>
      </w:r>
      <w:r>
        <w:rPr>
          <w:spacing w:val="-5"/>
        </w:rPr>
        <w:t>reimbursement</w:t>
      </w:r>
      <w:r>
        <w:rPr>
          <w:spacing w:val="-24"/>
        </w:rPr>
        <w:t> </w:t>
      </w:r>
      <w:r>
        <w:rPr>
          <w:spacing w:val="-3"/>
        </w:rPr>
        <w:t>or</w:t>
      </w:r>
      <w:r>
        <w:rPr>
          <w:spacing w:val="-23"/>
        </w:rPr>
        <w:t> </w:t>
      </w:r>
      <w:r>
        <w:rPr>
          <w:spacing w:val="-5"/>
        </w:rPr>
        <w:t>assumption</w:t>
      </w:r>
      <w:r>
        <w:rPr>
          <w:spacing w:val="-23"/>
        </w:rPr>
        <w:t> </w:t>
      </w:r>
      <w:r>
        <w:rPr>
          <w:spacing w:val="-5"/>
        </w:rPr>
        <w:t>by </w:t>
      </w:r>
      <w:r>
        <w:rPr>
          <w:spacing w:val="-4"/>
        </w:rPr>
        <w:t>the</w:t>
      </w:r>
      <w:r>
        <w:rPr>
          <w:spacing w:val="-21"/>
        </w:rPr>
        <w:t> </w:t>
      </w:r>
      <w:r>
        <w:rPr>
          <w:spacing w:val="-5"/>
        </w:rPr>
        <w:t>lessor</w:t>
      </w:r>
      <w:r>
        <w:rPr>
          <w:spacing w:val="-21"/>
        </w:rPr>
        <w:t> </w:t>
      </w:r>
      <w:r>
        <w:rPr>
          <w:spacing w:val="-3"/>
        </w:rPr>
        <w:t>of</w:t>
      </w:r>
      <w:r>
        <w:rPr>
          <w:spacing w:val="-21"/>
        </w:rPr>
        <w:t> </w:t>
      </w:r>
      <w:r>
        <w:rPr>
          <w:spacing w:val="-4"/>
        </w:rPr>
        <w:t>costs</w:t>
      </w:r>
      <w:r>
        <w:rPr>
          <w:spacing w:val="-21"/>
        </w:rPr>
        <w:t> </w:t>
      </w:r>
      <w:r>
        <w:rPr>
          <w:spacing w:val="-3"/>
        </w:rPr>
        <w:t>of</w:t>
      </w:r>
      <w:r>
        <w:rPr>
          <w:spacing w:val="-21"/>
        </w:rPr>
        <w:t> </w:t>
      </w:r>
      <w:r>
        <w:rPr>
          <w:spacing w:val="-4"/>
        </w:rPr>
        <w:t>the</w:t>
      </w:r>
      <w:r>
        <w:rPr>
          <w:spacing w:val="-21"/>
        </w:rPr>
        <w:t> </w:t>
      </w:r>
      <w:r>
        <w:rPr>
          <w:spacing w:val="-4"/>
        </w:rPr>
        <w:t>lease</w:t>
      </w:r>
      <w:r>
        <w:rPr>
          <w:spacing w:val="-21"/>
        </w:rPr>
        <w:t> </w:t>
      </w:r>
      <w:r>
        <w:rPr>
          <w:spacing w:val="-4"/>
        </w:rPr>
        <w:t>such</w:t>
      </w:r>
      <w:r>
        <w:rPr>
          <w:spacing w:val="-21"/>
        </w:rPr>
        <w:t> </w:t>
      </w:r>
      <w:r>
        <w:rPr>
          <w:spacing w:val="-3"/>
        </w:rPr>
        <w:t>as</w:t>
      </w:r>
      <w:r>
        <w:rPr>
          <w:spacing w:val="-21"/>
        </w:rPr>
        <w:t> </w:t>
      </w:r>
      <w:r>
        <w:rPr>
          <w:spacing w:val="-5"/>
        </w:rPr>
        <w:t>leasehold </w:t>
      </w:r>
      <w:r>
        <w:rPr>
          <w:spacing w:val="-6"/>
        </w:rPr>
        <w:t>improvements.</w:t>
      </w:r>
    </w:p>
    <w:p>
      <w:pPr>
        <w:pStyle w:val="BodyText"/>
        <w:spacing w:before="6"/>
        <w:rPr>
          <w:sz w:val="23"/>
        </w:rPr>
      </w:pPr>
    </w:p>
    <w:p>
      <w:pPr>
        <w:spacing w:before="0"/>
        <w:ind w:left="388" w:right="0" w:firstLine="0"/>
        <w:jc w:val="left"/>
        <w:rPr>
          <w:sz w:val="32"/>
        </w:rPr>
      </w:pPr>
      <w:r>
        <w:rPr>
          <w:color w:val="6F2770"/>
          <w:spacing w:val="-6"/>
          <w:sz w:val="32"/>
        </w:rPr>
        <w:t>Note</w:t>
      </w:r>
      <w:r>
        <w:rPr>
          <w:color w:val="6F2770"/>
          <w:spacing w:val="-50"/>
          <w:sz w:val="32"/>
        </w:rPr>
        <w:t> </w:t>
      </w:r>
      <w:r>
        <w:rPr>
          <w:color w:val="6F2770"/>
          <w:spacing w:val="-4"/>
          <w:sz w:val="32"/>
        </w:rPr>
        <w:t>3.</w:t>
      </w:r>
      <w:r>
        <w:rPr>
          <w:color w:val="6F2770"/>
          <w:spacing w:val="-49"/>
          <w:sz w:val="32"/>
        </w:rPr>
        <w:t> </w:t>
      </w:r>
      <w:r>
        <w:rPr>
          <w:color w:val="6F2770"/>
          <w:spacing w:val="-7"/>
          <w:sz w:val="32"/>
        </w:rPr>
        <w:t>Comparative</w:t>
      </w:r>
      <w:r>
        <w:rPr>
          <w:color w:val="6F2770"/>
          <w:spacing w:val="-49"/>
          <w:sz w:val="32"/>
        </w:rPr>
        <w:t> </w:t>
      </w:r>
      <w:r>
        <w:rPr>
          <w:color w:val="6F2770"/>
          <w:spacing w:val="-7"/>
          <w:sz w:val="32"/>
        </w:rPr>
        <w:t>figures</w:t>
      </w:r>
    </w:p>
    <w:p>
      <w:pPr>
        <w:pStyle w:val="BodyText"/>
        <w:spacing w:line="249" w:lineRule="auto" w:before="254"/>
        <w:ind w:left="388" w:right="1508"/>
      </w:pPr>
      <w:r>
        <w:rPr>
          <w:spacing w:val="-5"/>
        </w:rPr>
        <w:t>Comparative</w:t>
      </w:r>
      <w:r>
        <w:rPr>
          <w:spacing w:val="-27"/>
        </w:rPr>
        <w:t> </w:t>
      </w:r>
      <w:r>
        <w:rPr>
          <w:spacing w:val="-5"/>
        </w:rPr>
        <w:t>figures</w:t>
      </w:r>
      <w:r>
        <w:rPr>
          <w:spacing w:val="-27"/>
        </w:rPr>
        <w:t> </w:t>
      </w:r>
      <w:r>
        <w:rPr>
          <w:spacing w:val="-5"/>
        </w:rPr>
        <w:t>are,</w:t>
      </w:r>
      <w:r>
        <w:rPr>
          <w:spacing w:val="-27"/>
        </w:rPr>
        <w:t> </w:t>
      </w:r>
      <w:r>
        <w:rPr>
          <w:spacing w:val="-5"/>
        </w:rPr>
        <w:t>where</w:t>
      </w:r>
      <w:r>
        <w:rPr>
          <w:spacing w:val="-27"/>
        </w:rPr>
        <w:t> </w:t>
      </w:r>
      <w:r>
        <w:rPr>
          <w:spacing w:val="-6"/>
        </w:rPr>
        <w:t>appropriate, </w:t>
      </w:r>
      <w:r>
        <w:rPr>
          <w:spacing w:val="-5"/>
        </w:rPr>
        <w:t>reclassified</w:t>
      </w:r>
      <w:r>
        <w:rPr>
          <w:spacing w:val="-27"/>
        </w:rPr>
        <w:t> </w:t>
      </w:r>
      <w:r>
        <w:rPr>
          <w:spacing w:val="-3"/>
        </w:rPr>
        <w:t>to</w:t>
      </w:r>
      <w:r>
        <w:rPr>
          <w:spacing w:val="-26"/>
        </w:rPr>
        <w:t> </w:t>
      </w:r>
      <w:r>
        <w:rPr>
          <w:spacing w:val="-3"/>
        </w:rPr>
        <w:t>be</w:t>
      </w:r>
      <w:r>
        <w:rPr>
          <w:spacing w:val="-26"/>
        </w:rPr>
        <w:t> </w:t>
      </w:r>
      <w:r>
        <w:rPr>
          <w:spacing w:val="-5"/>
        </w:rPr>
        <w:t>comparable</w:t>
      </w:r>
      <w:r>
        <w:rPr>
          <w:spacing w:val="-26"/>
        </w:rPr>
        <w:t> </w:t>
      </w:r>
      <w:r>
        <w:rPr>
          <w:spacing w:val="-4"/>
        </w:rPr>
        <w:t>with</w:t>
      </w:r>
      <w:r>
        <w:rPr>
          <w:spacing w:val="-27"/>
        </w:rPr>
        <w:t> </w:t>
      </w:r>
      <w:r>
        <w:rPr>
          <w:spacing w:val="-4"/>
        </w:rPr>
        <w:t>the</w:t>
      </w:r>
      <w:r>
        <w:rPr>
          <w:spacing w:val="-26"/>
        </w:rPr>
        <w:t> </w:t>
      </w:r>
      <w:r>
        <w:rPr>
          <w:spacing w:val="-5"/>
        </w:rPr>
        <w:t>figures presented</w:t>
      </w:r>
      <w:r>
        <w:rPr>
          <w:spacing w:val="-16"/>
        </w:rPr>
        <w:t> </w:t>
      </w:r>
      <w:r>
        <w:rPr>
          <w:spacing w:val="-3"/>
        </w:rPr>
        <w:t>in</w:t>
      </w:r>
      <w:r>
        <w:rPr>
          <w:spacing w:val="-16"/>
        </w:rPr>
        <w:t> </w:t>
      </w:r>
      <w:r>
        <w:rPr>
          <w:spacing w:val="-4"/>
        </w:rPr>
        <w:t>the</w:t>
      </w:r>
      <w:r>
        <w:rPr>
          <w:spacing w:val="-16"/>
        </w:rPr>
        <w:t> </w:t>
      </w:r>
      <w:r>
        <w:rPr>
          <w:spacing w:val="-5"/>
        </w:rPr>
        <w:t>current</w:t>
      </w:r>
      <w:r>
        <w:rPr>
          <w:spacing w:val="-16"/>
        </w:rPr>
        <w:t> </w:t>
      </w:r>
      <w:r>
        <w:rPr>
          <w:spacing w:val="-5"/>
        </w:rPr>
        <w:t>reporting</w:t>
      </w:r>
      <w:r>
        <w:rPr>
          <w:spacing w:val="-16"/>
        </w:rPr>
        <w:t> </w:t>
      </w:r>
      <w:r>
        <w:rPr>
          <w:spacing w:val="-5"/>
        </w:rPr>
        <w:t>period.</w:t>
      </w:r>
    </w:p>
    <w:p>
      <w:pPr>
        <w:pStyle w:val="BodyText"/>
        <w:spacing w:before="10"/>
        <w:rPr>
          <w:sz w:val="23"/>
        </w:rPr>
      </w:pPr>
    </w:p>
    <w:p>
      <w:pPr>
        <w:pStyle w:val="Heading5"/>
        <w:spacing w:line="235" w:lineRule="auto" w:before="0"/>
        <w:ind w:left="388" w:right="1550"/>
      </w:pPr>
      <w:r>
        <w:rPr>
          <w:color w:val="6F2770"/>
          <w:spacing w:val="-6"/>
        </w:rPr>
        <w:t>Note </w:t>
      </w:r>
      <w:r>
        <w:rPr>
          <w:color w:val="6F2770"/>
          <w:spacing w:val="-4"/>
        </w:rPr>
        <w:t>4. </w:t>
      </w:r>
      <w:r>
        <w:rPr>
          <w:color w:val="6F2770"/>
          <w:spacing w:val="-7"/>
        </w:rPr>
        <w:t>Judgements </w:t>
      </w:r>
      <w:r>
        <w:rPr>
          <w:color w:val="6F2770"/>
          <w:spacing w:val="-6"/>
        </w:rPr>
        <w:t>made </w:t>
      </w:r>
      <w:r>
        <w:rPr>
          <w:color w:val="6F2770"/>
          <w:spacing w:val="-7"/>
        </w:rPr>
        <w:t>by management </w:t>
      </w:r>
      <w:r>
        <w:rPr>
          <w:color w:val="6F2770"/>
          <w:spacing w:val="-4"/>
        </w:rPr>
        <w:t>in </w:t>
      </w:r>
      <w:r>
        <w:rPr>
          <w:color w:val="6F2770"/>
          <w:spacing w:val="-7"/>
        </w:rPr>
        <w:t>applying accounting policies</w:t>
      </w:r>
    </w:p>
    <w:p>
      <w:pPr>
        <w:pStyle w:val="BodyText"/>
        <w:spacing w:line="249" w:lineRule="auto" w:before="254"/>
        <w:ind w:left="388" w:right="797"/>
      </w:pPr>
      <w:r>
        <w:rPr>
          <w:spacing w:val="-4"/>
        </w:rPr>
        <w:t>The </w:t>
      </w:r>
      <w:r>
        <w:rPr>
          <w:spacing w:val="-5"/>
        </w:rPr>
        <w:t>preparation </w:t>
      </w:r>
      <w:r>
        <w:rPr>
          <w:spacing w:val="-3"/>
        </w:rPr>
        <w:t>of </w:t>
      </w:r>
      <w:r>
        <w:rPr>
          <w:spacing w:val="-4"/>
        </w:rPr>
        <w:t>financial </w:t>
      </w:r>
      <w:r>
        <w:rPr>
          <w:spacing w:val="-5"/>
        </w:rPr>
        <w:t>statements </w:t>
      </w:r>
      <w:r>
        <w:rPr>
          <w:spacing w:val="-6"/>
        </w:rPr>
        <w:t>requires </w:t>
      </w:r>
      <w:r>
        <w:rPr>
          <w:spacing w:val="-5"/>
        </w:rPr>
        <w:t>management </w:t>
      </w:r>
      <w:r>
        <w:rPr>
          <w:spacing w:val="-3"/>
        </w:rPr>
        <w:t>to </w:t>
      </w:r>
      <w:r>
        <w:rPr>
          <w:spacing w:val="-4"/>
        </w:rPr>
        <w:t>make </w:t>
      </w:r>
      <w:r>
        <w:rPr>
          <w:spacing w:val="-5"/>
        </w:rPr>
        <w:t>judgements </w:t>
      </w:r>
      <w:r>
        <w:rPr>
          <w:spacing w:val="-4"/>
        </w:rPr>
        <w:t>about </w:t>
      </w:r>
      <w:r>
        <w:rPr>
          <w:spacing w:val="-5"/>
        </w:rPr>
        <w:t>the application </w:t>
      </w:r>
      <w:r>
        <w:rPr>
          <w:spacing w:val="-3"/>
        </w:rPr>
        <w:t>of </w:t>
      </w:r>
      <w:r>
        <w:rPr>
          <w:spacing w:val="-5"/>
        </w:rPr>
        <w:t>accounting policies </w:t>
      </w:r>
      <w:r>
        <w:rPr>
          <w:spacing w:val="-4"/>
        </w:rPr>
        <w:t>that have </w:t>
      </w:r>
      <w:r>
        <w:rPr/>
        <w:t>a </w:t>
      </w:r>
      <w:r>
        <w:rPr>
          <w:spacing w:val="-5"/>
        </w:rPr>
        <w:t>significant</w:t>
      </w:r>
      <w:r>
        <w:rPr>
          <w:spacing w:val="-25"/>
        </w:rPr>
        <w:t> </w:t>
      </w:r>
      <w:r>
        <w:rPr>
          <w:spacing w:val="-5"/>
        </w:rPr>
        <w:t>effect</w:t>
      </w:r>
      <w:r>
        <w:rPr>
          <w:spacing w:val="-24"/>
        </w:rPr>
        <w:t> </w:t>
      </w:r>
      <w:r>
        <w:rPr>
          <w:spacing w:val="-3"/>
        </w:rPr>
        <w:t>on</w:t>
      </w:r>
      <w:r>
        <w:rPr>
          <w:spacing w:val="-25"/>
        </w:rPr>
        <w:t> </w:t>
      </w:r>
      <w:r>
        <w:rPr>
          <w:spacing w:val="-4"/>
        </w:rPr>
        <w:t>the</w:t>
      </w:r>
      <w:r>
        <w:rPr>
          <w:spacing w:val="-24"/>
        </w:rPr>
        <w:t> </w:t>
      </w:r>
      <w:r>
        <w:rPr>
          <w:spacing w:val="-5"/>
        </w:rPr>
        <w:t>amounts</w:t>
      </w:r>
      <w:r>
        <w:rPr>
          <w:spacing w:val="-24"/>
        </w:rPr>
        <w:t> </w:t>
      </w:r>
      <w:r>
        <w:rPr>
          <w:spacing w:val="-5"/>
        </w:rPr>
        <w:t>recognised</w:t>
      </w:r>
      <w:r>
        <w:rPr>
          <w:spacing w:val="-25"/>
        </w:rPr>
        <w:t> </w:t>
      </w:r>
      <w:r>
        <w:rPr>
          <w:spacing w:val="-3"/>
        </w:rPr>
        <w:t>in</w:t>
      </w:r>
      <w:r>
        <w:rPr>
          <w:spacing w:val="-24"/>
        </w:rPr>
        <w:t> </w:t>
      </w:r>
      <w:r>
        <w:rPr>
          <w:spacing w:val="-5"/>
        </w:rPr>
        <w:t>the </w:t>
      </w:r>
      <w:r>
        <w:rPr>
          <w:spacing w:val="-4"/>
        </w:rPr>
        <w:t>financial </w:t>
      </w:r>
      <w:r>
        <w:rPr>
          <w:spacing w:val="-5"/>
        </w:rPr>
        <w:t>statements. </w:t>
      </w:r>
      <w:r>
        <w:rPr>
          <w:spacing w:val="-4"/>
        </w:rPr>
        <w:t>The </w:t>
      </w:r>
      <w:r>
        <w:rPr>
          <w:spacing w:val="-5"/>
        </w:rPr>
        <w:t>Department evaluates </w:t>
      </w:r>
      <w:r>
        <w:rPr>
          <w:spacing w:val="-4"/>
        </w:rPr>
        <w:t>these </w:t>
      </w:r>
      <w:r>
        <w:rPr>
          <w:spacing w:val="-5"/>
        </w:rPr>
        <w:t>judgements</w:t>
      </w:r>
      <w:r>
        <w:rPr>
          <w:spacing w:val="-19"/>
        </w:rPr>
        <w:t> </w:t>
      </w:r>
      <w:r>
        <w:rPr>
          <w:spacing w:val="-7"/>
        </w:rPr>
        <w:t>regularly.</w:t>
      </w:r>
    </w:p>
    <w:p>
      <w:pPr>
        <w:spacing w:after="0" w:line="249" w:lineRule="auto"/>
        <w:sectPr>
          <w:type w:val="continuous"/>
          <w:pgSz w:w="16840" w:h="11910" w:orient="landscape"/>
          <w:pgMar w:top="0" w:bottom="0" w:left="0" w:right="0"/>
          <w:cols w:num="3" w:equalWidth="0">
            <w:col w:w="5538" w:space="40"/>
            <w:col w:w="5247" w:space="39"/>
            <w:col w:w="5976"/>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508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520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523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201"/>
          <w:pgSz w:w="16840" w:h="11910" w:orient="landscape"/>
          <w:pgMar w:footer="448" w:header="0" w:top="0" w:bottom="640" w:left="0" w:right="0"/>
        </w:sectPr>
      </w:pPr>
    </w:p>
    <w:p>
      <w:pPr>
        <w:pStyle w:val="BodyText"/>
        <w:spacing w:before="5"/>
        <w:rPr>
          <w:sz w:val="23"/>
        </w:rPr>
      </w:pPr>
    </w:p>
    <w:p>
      <w:pPr>
        <w:pStyle w:val="Heading6"/>
      </w:pPr>
      <w:r>
        <w:rPr/>
        <w:t>Operating lease commitments</w:t>
      </w:r>
    </w:p>
    <w:p>
      <w:pPr>
        <w:pStyle w:val="BodyText"/>
        <w:spacing w:line="249" w:lineRule="auto" w:before="11"/>
        <w:ind w:left="765" w:right="659"/>
      </w:pPr>
      <w:r>
        <w:rPr/>
        <w:t>The</w:t>
      </w:r>
      <w:r>
        <w:rPr>
          <w:spacing w:val="-21"/>
        </w:rPr>
        <w:t> </w:t>
      </w:r>
      <w:r>
        <w:rPr/>
        <w:t>Department</w:t>
      </w:r>
      <w:r>
        <w:rPr>
          <w:spacing w:val="-21"/>
        </w:rPr>
        <w:t> </w:t>
      </w:r>
      <w:r>
        <w:rPr/>
        <w:t>has</w:t>
      </w:r>
      <w:r>
        <w:rPr>
          <w:spacing w:val="-21"/>
        </w:rPr>
        <w:t> </w:t>
      </w:r>
      <w:r>
        <w:rPr/>
        <w:t>entered</w:t>
      </w:r>
      <w:r>
        <w:rPr>
          <w:spacing w:val="-20"/>
        </w:rPr>
        <w:t> </w:t>
      </w:r>
      <w:r>
        <w:rPr/>
        <w:t>into</w:t>
      </w:r>
      <w:r>
        <w:rPr>
          <w:spacing w:val="-21"/>
        </w:rPr>
        <w:t> </w:t>
      </w:r>
      <w:r>
        <w:rPr/>
        <w:t>a</w:t>
      </w:r>
      <w:r>
        <w:rPr>
          <w:spacing w:val="-21"/>
        </w:rPr>
        <w:t> </w:t>
      </w:r>
      <w:r>
        <w:rPr>
          <w:spacing w:val="-3"/>
        </w:rPr>
        <w:t>number </w:t>
      </w:r>
      <w:r>
        <w:rPr/>
        <w:t>of</w:t>
      </w:r>
      <w:r>
        <w:rPr>
          <w:spacing w:val="-10"/>
        </w:rPr>
        <w:t> </w:t>
      </w:r>
      <w:r>
        <w:rPr/>
        <w:t>leases</w:t>
      </w:r>
      <w:r>
        <w:rPr>
          <w:spacing w:val="-10"/>
        </w:rPr>
        <w:t> </w:t>
      </w:r>
      <w:r>
        <w:rPr/>
        <w:t>for</w:t>
      </w:r>
      <w:r>
        <w:rPr>
          <w:spacing w:val="-9"/>
        </w:rPr>
        <w:t> </w:t>
      </w:r>
      <w:r>
        <w:rPr/>
        <w:t>buildings</w:t>
      </w:r>
      <w:r>
        <w:rPr>
          <w:spacing w:val="-10"/>
        </w:rPr>
        <w:t> </w:t>
      </w:r>
      <w:r>
        <w:rPr/>
        <w:t>for</w:t>
      </w:r>
      <w:r>
        <w:rPr>
          <w:spacing w:val="-9"/>
        </w:rPr>
        <w:t> </w:t>
      </w:r>
      <w:r>
        <w:rPr/>
        <w:t>branch</w:t>
      </w:r>
      <w:r>
        <w:rPr>
          <w:spacing w:val="-10"/>
        </w:rPr>
        <w:t> </w:t>
      </w:r>
      <w:r>
        <w:rPr/>
        <w:t>office</w:t>
      </w:r>
    </w:p>
    <w:p>
      <w:pPr>
        <w:pStyle w:val="BodyText"/>
        <w:spacing w:line="249" w:lineRule="auto" w:before="2"/>
        <w:ind w:left="765" w:right="162"/>
      </w:pPr>
      <w:r>
        <w:rPr/>
        <w:t>accommodation.</w:t>
      </w:r>
      <w:r>
        <w:rPr>
          <w:spacing w:val="-18"/>
        </w:rPr>
        <w:t> </w:t>
      </w:r>
      <w:r>
        <w:rPr/>
        <w:t>Some</w:t>
      </w:r>
      <w:r>
        <w:rPr>
          <w:spacing w:val="-18"/>
        </w:rPr>
        <w:t> </w:t>
      </w:r>
      <w:r>
        <w:rPr/>
        <w:t>of</w:t>
      </w:r>
      <w:r>
        <w:rPr>
          <w:spacing w:val="-18"/>
        </w:rPr>
        <w:t> </w:t>
      </w:r>
      <w:r>
        <w:rPr/>
        <w:t>these</w:t>
      </w:r>
      <w:r>
        <w:rPr>
          <w:spacing w:val="-18"/>
        </w:rPr>
        <w:t> </w:t>
      </w:r>
      <w:r>
        <w:rPr/>
        <w:t>leases</w:t>
      </w:r>
      <w:r>
        <w:rPr>
          <w:spacing w:val="-18"/>
        </w:rPr>
        <w:t> </w:t>
      </w:r>
      <w:r>
        <w:rPr/>
        <w:t>relate</w:t>
      </w:r>
      <w:r>
        <w:rPr>
          <w:spacing w:val="-18"/>
        </w:rPr>
        <w:t> </w:t>
      </w:r>
      <w:r>
        <w:rPr/>
        <w:t>to buildings</w:t>
      </w:r>
      <w:r>
        <w:rPr>
          <w:spacing w:val="-14"/>
        </w:rPr>
        <w:t> </w:t>
      </w:r>
      <w:r>
        <w:rPr/>
        <w:t>of</w:t>
      </w:r>
      <w:r>
        <w:rPr>
          <w:spacing w:val="-14"/>
        </w:rPr>
        <w:t> </w:t>
      </w:r>
      <w:r>
        <w:rPr/>
        <w:t>a</w:t>
      </w:r>
      <w:r>
        <w:rPr>
          <w:spacing w:val="-14"/>
        </w:rPr>
        <w:t> </w:t>
      </w:r>
      <w:r>
        <w:rPr/>
        <w:t>temporary</w:t>
      </w:r>
      <w:r>
        <w:rPr>
          <w:spacing w:val="-14"/>
        </w:rPr>
        <w:t> </w:t>
      </w:r>
      <w:r>
        <w:rPr/>
        <w:t>nature</w:t>
      </w:r>
      <w:r>
        <w:rPr>
          <w:spacing w:val="-14"/>
        </w:rPr>
        <w:t> </w:t>
      </w:r>
      <w:r>
        <w:rPr/>
        <w:t>and</w:t>
      </w:r>
      <w:r>
        <w:rPr>
          <w:spacing w:val="-14"/>
        </w:rPr>
        <w:t> </w:t>
      </w:r>
      <w:r>
        <w:rPr/>
        <w:t>it</w:t>
      </w:r>
      <w:r>
        <w:rPr>
          <w:spacing w:val="-14"/>
        </w:rPr>
        <w:t> </w:t>
      </w:r>
      <w:r>
        <w:rPr/>
        <w:t>has</w:t>
      </w:r>
      <w:r>
        <w:rPr>
          <w:spacing w:val="-14"/>
        </w:rPr>
        <w:t> </w:t>
      </w:r>
      <w:r>
        <w:rPr/>
        <w:t>been determined that the lessor retains substantially all</w:t>
      </w:r>
      <w:r>
        <w:rPr>
          <w:spacing w:val="-23"/>
        </w:rPr>
        <w:t> </w:t>
      </w:r>
      <w:r>
        <w:rPr/>
        <w:t>the</w:t>
      </w:r>
      <w:r>
        <w:rPr>
          <w:spacing w:val="-23"/>
        </w:rPr>
        <w:t> </w:t>
      </w:r>
      <w:r>
        <w:rPr/>
        <w:t>risks</w:t>
      </w:r>
      <w:r>
        <w:rPr>
          <w:spacing w:val="-22"/>
        </w:rPr>
        <w:t> </w:t>
      </w:r>
      <w:r>
        <w:rPr/>
        <w:t>and</w:t>
      </w:r>
      <w:r>
        <w:rPr>
          <w:spacing w:val="-23"/>
        </w:rPr>
        <w:t> </w:t>
      </w:r>
      <w:r>
        <w:rPr/>
        <w:t>rewards</w:t>
      </w:r>
      <w:r>
        <w:rPr>
          <w:spacing w:val="-22"/>
        </w:rPr>
        <w:t> </w:t>
      </w:r>
      <w:r>
        <w:rPr/>
        <w:t>incidental</w:t>
      </w:r>
      <w:r>
        <w:rPr>
          <w:spacing w:val="-23"/>
        </w:rPr>
        <w:t> </w:t>
      </w:r>
      <w:r>
        <w:rPr/>
        <w:t>to</w:t>
      </w:r>
      <w:r>
        <w:rPr>
          <w:spacing w:val="-23"/>
        </w:rPr>
        <w:t> </w:t>
      </w:r>
      <w:r>
        <w:rPr/>
        <w:t>ownership. </w:t>
      </w:r>
      <w:r>
        <w:rPr>
          <w:spacing w:val="-3"/>
        </w:rPr>
        <w:t>Accordingly, </w:t>
      </w:r>
      <w:r>
        <w:rPr/>
        <w:t>these leases have been classified as operating</w:t>
      </w:r>
      <w:r>
        <w:rPr>
          <w:spacing w:val="-4"/>
        </w:rPr>
        <w:t> </w:t>
      </w:r>
      <w:r>
        <w:rPr/>
        <w:t>leases.</w:t>
      </w:r>
    </w:p>
    <w:p>
      <w:pPr>
        <w:pStyle w:val="BodyText"/>
        <w:spacing w:before="1"/>
        <w:rPr>
          <w:sz w:val="24"/>
        </w:rPr>
      </w:pPr>
    </w:p>
    <w:p>
      <w:pPr>
        <w:spacing w:line="235" w:lineRule="auto" w:before="0"/>
        <w:ind w:left="765" w:right="94" w:firstLine="0"/>
        <w:jc w:val="left"/>
        <w:rPr>
          <w:sz w:val="32"/>
        </w:rPr>
      </w:pPr>
      <w:r>
        <w:rPr>
          <w:color w:val="6F2770"/>
          <w:sz w:val="32"/>
        </w:rPr>
        <w:t>Note</w:t>
      </w:r>
      <w:r>
        <w:rPr>
          <w:color w:val="6F2770"/>
          <w:spacing w:val="-29"/>
          <w:sz w:val="32"/>
        </w:rPr>
        <w:t> </w:t>
      </w:r>
      <w:r>
        <w:rPr>
          <w:color w:val="6F2770"/>
          <w:sz w:val="32"/>
        </w:rPr>
        <w:t>5.</w:t>
      </w:r>
      <w:r>
        <w:rPr>
          <w:color w:val="6F2770"/>
          <w:spacing w:val="-28"/>
          <w:sz w:val="32"/>
        </w:rPr>
        <w:t> </w:t>
      </w:r>
      <w:r>
        <w:rPr>
          <w:color w:val="6F2770"/>
          <w:sz w:val="32"/>
        </w:rPr>
        <w:t>Key</w:t>
      </w:r>
      <w:r>
        <w:rPr>
          <w:color w:val="6F2770"/>
          <w:spacing w:val="-29"/>
          <w:sz w:val="32"/>
        </w:rPr>
        <w:t> </w:t>
      </w:r>
      <w:r>
        <w:rPr>
          <w:color w:val="6F2770"/>
          <w:sz w:val="32"/>
        </w:rPr>
        <w:t>sources</w:t>
      </w:r>
      <w:r>
        <w:rPr>
          <w:color w:val="6F2770"/>
          <w:spacing w:val="-28"/>
          <w:sz w:val="32"/>
        </w:rPr>
        <w:t> </w:t>
      </w:r>
      <w:r>
        <w:rPr>
          <w:color w:val="6F2770"/>
          <w:sz w:val="32"/>
        </w:rPr>
        <w:t>of</w:t>
      </w:r>
      <w:r>
        <w:rPr>
          <w:color w:val="6F2770"/>
          <w:spacing w:val="-29"/>
          <w:sz w:val="32"/>
        </w:rPr>
        <w:t> </w:t>
      </w:r>
      <w:r>
        <w:rPr>
          <w:color w:val="6F2770"/>
          <w:sz w:val="32"/>
        </w:rPr>
        <w:t>estimation uncertainty</w:t>
      </w:r>
    </w:p>
    <w:p>
      <w:pPr>
        <w:pStyle w:val="BodyText"/>
        <w:spacing w:line="249" w:lineRule="auto" w:before="255"/>
        <w:ind w:left="765" w:right="250"/>
      </w:pPr>
      <w:r>
        <w:rPr/>
        <w:t>Key</w:t>
      </w:r>
      <w:r>
        <w:rPr>
          <w:spacing w:val="-23"/>
        </w:rPr>
        <w:t> </w:t>
      </w:r>
      <w:r>
        <w:rPr/>
        <w:t>estimates</w:t>
      </w:r>
      <w:r>
        <w:rPr>
          <w:spacing w:val="-22"/>
        </w:rPr>
        <w:t> </w:t>
      </w:r>
      <w:r>
        <w:rPr/>
        <w:t>and</w:t>
      </w:r>
      <w:r>
        <w:rPr>
          <w:spacing w:val="-23"/>
        </w:rPr>
        <w:t> </w:t>
      </w:r>
      <w:r>
        <w:rPr/>
        <w:t>assumptions</w:t>
      </w:r>
      <w:r>
        <w:rPr>
          <w:spacing w:val="-22"/>
        </w:rPr>
        <w:t> </w:t>
      </w:r>
      <w:r>
        <w:rPr/>
        <w:t>concerning</w:t>
      </w:r>
      <w:r>
        <w:rPr>
          <w:spacing w:val="-23"/>
        </w:rPr>
        <w:t> </w:t>
      </w:r>
      <w:r>
        <w:rPr>
          <w:spacing w:val="-6"/>
        </w:rPr>
        <w:t>the </w:t>
      </w:r>
      <w:r>
        <w:rPr/>
        <w:t>future are based on historical experience and various</w:t>
      </w:r>
      <w:r>
        <w:rPr>
          <w:spacing w:val="-20"/>
        </w:rPr>
        <w:t> </w:t>
      </w:r>
      <w:r>
        <w:rPr/>
        <w:t>other</w:t>
      </w:r>
      <w:r>
        <w:rPr>
          <w:spacing w:val="-20"/>
        </w:rPr>
        <w:t> </w:t>
      </w:r>
      <w:r>
        <w:rPr/>
        <w:t>factors</w:t>
      </w:r>
      <w:r>
        <w:rPr>
          <w:spacing w:val="-20"/>
        </w:rPr>
        <w:t> </w:t>
      </w:r>
      <w:r>
        <w:rPr/>
        <w:t>that</w:t>
      </w:r>
      <w:r>
        <w:rPr>
          <w:spacing w:val="-20"/>
        </w:rPr>
        <w:t> </w:t>
      </w:r>
      <w:r>
        <w:rPr/>
        <w:t>have</w:t>
      </w:r>
      <w:r>
        <w:rPr>
          <w:spacing w:val="-19"/>
        </w:rPr>
        <w:t> </w:t>
      </w:r>
      <w:r>
        <w:rPr/>
        <w:t>a</w:t>
      </w:r>
      <w:r>
        <w:rPr>
          <w:spacing w:val="-20"/>
        </w:rPr>
        <w:t> </w:t>
      </w:r>
      <w:r>
        <w:rPr/>
        <w:t>significant</w:t>
      </w:r>
      <w:r>
        <w:rPr>
          <w:spacing w:val="-20"/>
        </w:rPr>
        <w:t> </w:t>
      </w:r>
      <w:r>
        <w:rPr/>
        <w:t>risk of</w:t>
      </w:r>
      <w:r>
        <w:rPr>
          <w:spacing w:val="-20"/>
        </w:rPr>
        <w:t> </w:t>
      </w:r>
      <w:r>
        <w:rPr/>
        <w:t>causing</w:t>
      </w:r>
      <w:r>
        <w:rPr>
          <w:spacing w:val="-20"/>
        </w:rPr>
        <w:t> </w:t>
      </w:r>
      <w:r>
        <w:rPr/>
        <w:t>a</w:t>
      </w:r>
      <w:r>
        <w:rPr>
          <w:spacing w:val="-19"/>
        </w:rPr>
        <w:t> </w:t>
      </w:r>
      <w:r>
        <w:rPr/>
        <w:t>material</w:t>
      </w:r>
      <w:r>
        <w:rPr>
          <w:spacing w:val="-20"/>
        </w:rPr>
        <w:t> </w:t>
      </w:r>
      <w:r>
        <w:rPr/>
        <w:t>adjustment</w:t>
      </w:r>
      <w:r>
        <w:rPr>
          <w:spacing w:val="-19"/>
        </w:rPr>
        <w:t> </w:t>
      </w:r>
      <w:r>
        <w:rPr/>
        <w:t>to</w:t>
      </w:r>
      <w:r>
        <w:rPr>
          <w:spacing w:val="-20"/>
        </w:rPr>
        <w:t> </w:t>
      </w:r>
      <w:r>
        <w:rPr/>
        <w:t>the</w:t>
      </w:r>
      <w:r>
        <w:rPr>
          <w:spacing w:val="-19"/>
        </w:rPr>
        <w:t> </w:t>
      </w:r>
      <w:r>
        <w:rPr/>
        <w:t>carrying amount of assets and liabilities within the next reporting</w:t>
      </w:r>
      <w:r>
        <w:rPr>
          <w:spacing w:val="-1"/>
        </w:rPr>
        <w:t> </w:t>
      </w:r>
      <w:r>
        <w:rPr/>
        <w:t>period.</w:t>
      </w:r>
    </w:p>
    <w:p>
      <w:pPr>
        <w:pStyle w:val="BodyText"/>
        <w:spacing w:before="5"/>
        <w:rPr>
          <w:sz w:val="23"/>
        </w:rPr>
      </w:pPr>
    </w:p>
    <w:p>
      <w:pPr>
        <w:pStyle w:val="Heading6"/>
      </w:pPr>
      <w:r>
        <w:rPr/>
        <w:t>Waste disposal site</w:t>
      </w:r>
    </w:p>
    <w:p>
      <w:pPr>
        <w:pStyle w:val="BodyText"/>
        <w:spacing w:line="249" w:lineRule="auto" w:before="11"/>
        <w:ind w:left="765" w:right="-11"/>
      </w:pPr>
      <w:r>
        <w:rPr/>
        <w:t>An</w:t>
      </w:r>
      <w:r>
        <w:rPr>
          <w:spacing w:val="-33"/>
        </w:rPr>
        <w:t> </w:t>
      </w:r>
      <w:r>
        <w:rPr/>
        <w:t>environmental</w:t>
      </w:r>
      <w:r>
        <w:rPr>
          <w:spacing w:val="-32"/>
        </w:rPr>
        <w:t> </w:t>
      </w:r>
      <w:r>
        <w:rPr/>
        <w:t>analysis</w:t>
      </w:r>
      <w:r>
        <w:rPr>
          <w:spacing w:val="-33"/>
        </w:rPr>
        <w:t> </w:t>
      </w:r>
      <w:r>
        <w:rPr/>
        <w:t>to</w:t>
      </w:r>
      <w:r>
        <w:rPr>
          <w:spacing w:val="-32"/>
        </w:rPr>
        <w:t> </w:t>
      </w:r>
      <w:r>
        <w:rPr/>
        <w:t>provide</w:t>
      </w:r>
      <w:r>
        <w:rPr>
          <w:spacing w:val="-33"/>
        </w:rPr>
        <w:t> </w:t>
      </w:r>
      <w:r>
        <w:rPr/>
        <w:t>a</w:t>
      </w:r>
      <w:r>
        <w:rPr>
          <w:spacing w:val="-32"/>
        </w:rPr>
        <w:t> </w:t>
      </w:r>
      <w:r>
        <w:rPr>
          <w:spacing w:val="-2"/>
        </w:rPr>
        <w:t>quantifiable </w:t>
      </w:r>
      <w:r>
        <w:rPr/>
        <w:t>estimate</w:t>
      </w:r>
      <w:r>
        <w:rPr>
          <w:spacing w:val="-12"/>
        </w:rPr>
        <w:t> </w:t>
      </w:r>
      <w:r>
        <w:rPr/>
        <w:t>of</w:t>
      </w:r>
      <w:r>
        <w:rPr>
          <w:spacing w:val="-11"/>
        </w:rPr>
        <w:t> </w:t>
      </w:r>
      <w:r>
        <w:rPr/>
        <w:t>the</w:t>
      </w:r>
      <w:r>
        <w:rPr>
          <w:spacing w:val="-11"/>
        </w:rPr>
        <w:t> </w:t>
      </w:r>
      <w:r>
        <w:rPr/>
        <w:t>amount</w:t>
      </w:r>
      <w:r>
        <w:rPr>
          <w:spacing w:val="-12"/>
        </w:rPr>
        <w:t> </w:t>
      </w:r>
      <w:r>
        <w:rPr/>
        <w:t>required</w:t>
      </w:r>
      <w:r>
        <w:rPr>
          <w:spacing w:val="-11"/>
        </w:rPr>
        <w:t> </w:t>
      </w:r>
      <w:r>
        <w:rPr/>
        <w:t>to</w:t>
      </w:r>
      <w:r>
        <w:rPr>
          <w:spacing w:val="-11"/>
        </w:rPr>
        <w:t> </w:t>
      </w:r>
      <w:r>
        <w:rPr/>
        <w:t>rehabilitate</w:t>
      </w:r>
    </w:p>
    <w:p>
      <w:pPr>
        <w:pStyle w:val="BodyText"/>
        <w:spacing w:line="249" w:lineRule="auto" w:before="2"/>
        <w:ind w:left="765" w:right="52"/>
      </w:pPr>
      <w:r>
        <w:rPr/>
        <w:t>the</w:t>
      </w:r>
      <w:r>
        <w:rPr>
          <w:spacing w:val="-21"/>
        </w:rPr>
        <w:t> </w:t>
      </w:r>
      <w:r>
        <w:rPr/>
        <w:t>Mt</w:t>
      </w:r>
      <w:r>
        <w:rPr>
          <w:spacing w:val="-20"/>
        </w:rPr>
        <w:t> </w:t>
      </w:r>
      <w:r>
        <w:rPr/>
        <w:t>Walton</w:t>
      </w:r>
      <w:r>
        <w:rPr>
          <w:spacing w:val="-21"/>
        </w:rPr>
        <w:t> </w:t>
      </w:r>
      <w:r>
        <w:rPr/>
        <w:t>East</w:t>
      </w:r>
      <w:r>
        <w:rPr>
          <w:spacing w:val="-20"/>
        </w:rPr>
        <w:t> </w:t>
      </w:r>
      <w:r>
        <w:rPr/>
        <w:t>intractable</w:t>
      </w:r>
      <w:r>
        <w:rPr>
          <w:spacing w:val="-20"/>
        </w:rPr>
        <w:t> </w:t>
      </w:r>
      <w:r>
        <w:rPr/>
        <w:t>waste</w:t>
      </w:r>
      <w:r>
        <w:rPr>
          <w:spacing w:val="-21"/>
        </w:rPr>
        <w:t> </w:t>
      </w:r>
      <w:r>
        <w:rPr/>
        <w:t>disposal</w:t>
      </w:r>
      <w:r>
        <w:rPr>
          <w:spacing w:val="-20"/>
        </w:rPr>
        <w:t> </w:t>
      </w:r>
      <w:r>
        <w:rPr>
          <w:spacing w:val="-4"/>
        </w:rPr>
        <w:t>site </w:t>
      </w:r>
      <w:r>
        <w:rPr/>
        <w:t>was obtained for the 2016-17 financial</w:t>
      </w:r>
      <w:r>
        <w:rPr>
          <w:spacing w:val="-43"/>
        </w:rPr>
        <w:t> </w:t>
      </w:r>
      <w:r>
        <w:rPr>
          <w:spacing w:val="-5"/>
        </w:rPr>
        <w:t>year.</w:t>
      </w:r>
    </w:p>
    <w:p>
      <w:pPr>
        <w:pStyle w:val="BodyText"/>
        <w:spacing w:before="5"/>
        <w:rPr>
          <w:sz w:val="23"/>
        </w:rPr>
      </w:pPr>
      <w:r>
        <w:rPr/>
        <w:br w:type="column"/>
      </w:r>
      <w:r>
        <w:rPr>
          <w:sz w:val="23"/>
        </w:rPr>
      </w:r>
    </w:p>
    <w:p>
      <w:pPr>
        <w:pStyle w:val="BodyText"/>
        <w:spacing w:line="249" w:lineRule="auto"/>
        <w:ind w:left="448" w:right="223"/>
      </w:pPr>
      <w:r>
        <w:rPr/>
        <w:t>Calculations performed in assessing the restoration</w:t>
      </w:r>
      <w:r>
        <w:rPr>
          <w:spacing w:val="-23"/>
        </w:rPr>
        <w:t> </w:t>
      </w:r>
      <w:r>
        <w:rPr/>
        <w:t>costs</w:t>
      </w:r>
      <w:r>
        <w:rPr>
          <w:spacing w:val="-23"/>
        </w:rPr>
        <w:t> </w:t>
      </w:r>
      <w:r>
        <w:rPr/>
        <w:t>provision</w:t>
      </w:r>
      <w:r>
        <w:rPr>
          <w:spacing w:val="-23"/>
        </w:rPr>
        <w:t> </w:t>
      </w:r>
      <w:r>
        <w:rPr/>
        <w:t>incorporate</w:t>
      </w:r>
      <w:r>
        <w:rPr>
          <w:spacing w:val="-23"/>
        </w:rPr>
        <w:t> </w:t>
      </w:r>
      <w:r>
        <w:rPr/>
        <w:t>a</w:t>
      </w:r>
      <w:r>
        <w:rPr>
          <w:spacing w:val="-23"/>
        </w:rPr>
        <w:t> </w:t>
      </w:r>
      <w:r>
        <w:rPr>
          <w:spacing w:val="-3"/>
        </w:rPr>
        <w:t>number </w:t>
      </w:r>
      <w:r>
        <w:rPr/>
        <w:t>of</w:t>
      </w:r>
      <w:r>
        <w:rPr>
          <w:spacing w:val="-23"/>
        </w:rPr>
        <w:t> </w:t>
      </w:r>
      <w:r>
        <w:rPr/>
        <w:t>key</w:t>
      </w:r>
      <w:r>
        <w:rPr>
          <w:spacing w:val="-22"/>
        </w:rPr>
        <w:t> </w:t>
      </w:r>
      <w:r>
        <w:rPr/>
        <w:t>estimates.</w:t>
      </w:r>
      <w:r>
        <w:rPr>
          <w:spacing w:val="-22"/>
        </w:rPr>
        <w:t> </w:t>
      </w:r>
      <w:r>
        <w:rPr/>
        <w:t>Calculation</w:t>
      </w:r>
      <w:r>
        <w:rPr>
          <w:spacing w:val="-22"/>
        </w:rPr>
        <w:t> </w:t>
      </w:r>
      <w:r>
        <w:rPr/>
        <w:t>of</w:t>
      </w:r>
      <w:r>
        <w:rPr>
          <w:spacing w:val="-22"/>
        </w:rPr>
        <w:t> </w:t>
      </w:r>
      <w:r>
        <w:rPr/>
        <w:t>the</w:t>
      </w:r>
      <w:r>
        <w:rPr>
          <w:spacing w:val="-23"/>
        </w:rPr>
        <w:t> </w:t>
      </w:r>
      <w:r>
        <w:rPr/>
        <w:t>provision</w:t>
      </w:r>
      <w:r>
        <w:rPr>
          <w:spacing w:val="-22"/>
        </w:rPr>
        <w:t> </w:t>
      </w:r>
      <w:r>
        <w:rPr/>
        <w:t>will be conducted annually and adjusted using the most up-to-date information</w:t>
      </w:r>
      <w:r>
        <w:rPr>
          <w:spacing w:val="-14"/>
        </w:rPr>
        <w:t> </w:t>
      </w:r>
      <w:r>
        <w:rPr/>
        <w:t>available.</w:t>
      </w:r>
    </w:p>
    <w:p>
      <w:pPr>
        <w:pStyle w:val="BodyText"/>
        <w:spacing w:before="4"/>
        <w:rPr>
          <w:sz w:val="23"/>
        </w:rPr>
      </w:pPr>
    </w:p>
    <w:p>
      <w:pPr>
        <w:pStyle w:val="Heading6"/>
        <w:ind w:left="448"/>
      </w:pPr>
      <w:r>
        <w:rPr/>
        <w:t>Long service leave</w:t>
      </w:r>
    </w:p>
    <w:p>
      <w:pPr>
        <w:pStyle w:val="BodyText"/>
        <w:spacing w:line="249" w:lineRule="auto" w:before="11"/>
        <w:ind w:left="448"/>
      </w:pPr>
      <w:r>
        <w:rPr>
          <w:spacing w:val="-3"/>
        </w:rPr>
        <w:t>Several estimations </w:t>
      </w:r>
      <w:r>
        <w:rPr/>
        <w:t>and </w:t>
      </w:r>
      <w:r>
        <w:rPr>
          <w:spacing w:val="-3"/>
        </w:rPr>
        <w:t>assumptions used in calculating </w:t>
      </w:r>
      <w:r>
        <w:rPr/>
        <w:t>the </w:t>
      </w:r>
      <w:r>
        <w:rPr>
          <w:spacing w:val="-5"/>
        </w:rPr>
        <w:t>Department’s </w:t>
      </w:r>
      <w:r>
        <w:rPr>
          <w:spacing w:val="-3"/>
        </w:rPr>
        <w:t>long service leave </w:t>
      </w:r>
      <w:r>
        <w:rPr>
          <w:spacing w:val="-4"/>
        </w:rPr>
        <w:t>provision </w:t>
      </w:r>
      <w:r>
        <w:rPr>
          <w:spacing w:val="-3"/>
        </w:rPr>
        <w:t>include expected </w:t>
      </w:r>
      <w:r>
        <w:rPr>
          <w:spacing w:val="-4"/>
        </w:rPr>
        <w:t>future </w:t>
      </w:r>
      <w:r>
        <w:rPr>
          <w:spacing w:val="-3"/>
        </w:rPr>
        <w:t>salary rates, discount rates, employee </w:t>
      </w:r>
      <w:r>
        <w:rPr>
          <w:spacing w:val="-4"/>
        </w:rPr>
        <w:t>retention </w:t>
      </w:r>
      <w:r>
        <w:rPr>
          <w:spacing w:val="-3"/>
        </w:rPr>
        <w:t>rates and expected </w:t>
      </w:r>
      <w:r>
        <w:rPr>
          <w:spacing w:val="-4"/>
        </w:rPr>
        <w:t>future </w:t>
      </w:r>
      <w:r>
        <w:rPr>
          <w:spacing w:val="-3"/>
        </w:rPr>
        <w:t>payments. Changes </w:t>
      </w:r>
      <w:r>
        <w:rPr/>
        <w:t>in </w:t>
      </w:r>
      <w:r>
        <w:rPr>
          <w:spacing w:val="-3"/>
        </w:rPr>
        <w:t>these estimations </w:t>
      </w:r>
      <w:r>
        <w:rPr/>
        <w:t>and </w:t>
      </w:r>
      <w:r>
        <w:rPr>
          <w:spacing w:val="-3"/>
        </w:rPr>
        <w:t>assumptions </w:t>
      </w:r>
      <w:r>
        <w:rPr/>
        <w:t>may </w:t>
      </w:r>
      <w:r>
        <w:rPr>
          <w:spacing w:val="-3"/>
        </w:rPr>
        <w:t>impact </w:t>
      </w:r>
      <w:r>
        <w:rPr/>
        <w:t>on </w:t>
      </w:r>
      <w:r>
        <w:rPr>
          <w:spacing w:val="-3"/>
        </w:rPr>
        <w:t>the carrying</w:t>
      </w:r>
      <w:r>
        <w:rPr>
          <w:spacing w:val="-28"/>
        </w:rPr>
        <w:t> </w:t>
      </w:r>
      <w:r>
        <w:rPr>
          <w:spacing w:val="-3"/>
        </w:rPr>
        <w:t>amounts</w:t>
      </w:r>
      <w:r>
        <w:rPr>
          <w:spacing w:val="-28"/>
        </w:rPr>
        <w:t> </w:t>
      </w:r>
      <w:r>
        <w:rPr/>
        <w:t>of</w:t>
      </w:r>
      <w:r>
        <w:rPr>
          <w:spacing w:val="-27"/>
        </w:rPr>
        <w:t> </w:t>
      </w:r>
      <w:r>
        <w:rPr/>
        <w:t>the</w:t>
      </w:r>
      <w:r>
        <w:rPr>
          <w:spacing w:val="-28"/>
        </w:rPr>
        <w:t> </w:t>
      </w:r>
      <w:r>
        <w:rPr>
          <w:spacing w:val="-3"/>
        </w:rPr>
        <w:t>long</w:t>
      </w:r>
      <w:r>
        <w:rPr>
          <w:spacing w:val="-28"/>
        </w:rPr>
        <w:t> </w:t>
      </w:r>
      <w:r>
        <w:rPr>
          <w:spacing w:val="-3"/>
        </w:rPr>
        <w:t>service</w:t>
      </w:r>
      <w:r>
        <w:rPr>
          <w:spacing w:val="-27"/>
        </w:rPr>
        <w:t> </w:t>
      </w:r>
      <w:r>
        <w:rPr>
          <w:spacing w:val="-3"/>
        </w:rPr>
        <w:t>leave</w:t>
      </w:r>
      <w:r>
        <w:rPr>
          <w:spacing w:val="-28"/>
        </w:rPr>
        <w:t> </w:t>
      </w:r>
      <w:r>
        <w:rPr>
          <w:spacing w:val="-4"/>
        </w:rPr>
        <w:t>provision.</w:t>
      </w:r>
    </w:p>
    <w:p>
      <w:pPr>
        <w:pStyle w:val="BodyText"/>
        <w:spacing w:before="2"/>
        <w:rPr>
          <w:sz w:val="24"/>
        </w:rPr>
      </w:pPr>
    </w:p>
    <w:p>
      <w:pPr>
        <w:pStyle w:val="Heading5"/>
        <w:spacing w:line="235" w:lineRule="auto" w:before="1"/>
        <w:ind w:left="448" w:right="345"/>
      </w:pPr>
      <w:r>
        <w:rPr>
          <w:color w:val="6F2770"/>
        </w:rPr>
        <w:t>Note</w:t>
      </w:r>
      <w:r>
        <w:rPr>
          <w:color w:val="6F2770"/>
          <w:spacing w:val="-28"/>
        </w:rPr>
        <w:t> </w:t>
      </w:r>
      <w:r>
        <w:rPr>
          <w:color w:val="6F2770"/>
        </w:rPr>
        <w:t>6.</w:t>
      </w:r>
      <w:r>
        <w:rPr>
          <w:color w:val="6F2770"/>
          <w:spacing w:val="-27"/>
        </w:rPr>
        <w:t> </w:t>
      </w:r>
      <w:r>
        <w:rPr>
          <w:color w:val="6F2770"/>
        </w:rPr>
        <w:t>Disclosure</w:t>
      </w:r>
      <w:r>
        <w:rPr>
          <w:color w:val="6F2770"/>
          <w:spacing w:val="-27"/>
        </w:rPr>
        <w:t> </w:t>
      </w:r>
      <w:r>
        <w:rPr>
          <w:color w:val="6F2770"/>
        </w:rPr>
        <w:t>of</w:t>
      </w:r>
      <w:r>
        <w:rPr>
          <w:color w:val="6F2770"/>
          <w:spacing w:val="-27"/>
        </w:rPr>
        <w:t> </w:t>
      </w:r>
      <w:r>
        <w:rPr>
          <w:color w:val="6F2770"/>
        </w:rPr>
        <w:t>changes</w:t>
      </w:r>
      <w:r>
        <w:rPr>
          <w:color w:val="6F2770"/>
          <w:spacing w:val="-27"/>
        </w:rPr>
        <w:t> </w:t>
      </w:r>
      <w:r>
        <w:rPr>
          <w:color w:val="6F2770"/>
          <w:spacing w:val="-9"/>
        </w:rPr>
        <w:t>in </w:t>
      </w:r>
      <w:r>
        <w:rPr>
          <w:color w:val="6F2770"/>
        </w:rPr>
        <w:t>accounting</w:t>
      </w:r>
      <w:r>
        <w:rPr>
          <w:color w:val="6F2770"/>
          <w:spacing w:val="-32"/>
        </w:rPr>
        <w:t> </w:t>
      </w:r>
      <w:r>
        <w:rPr>
          <w:color w:val="6F2770"/>
        </w:rPr>
        <w:t>policy</w:t>
      </w:r>
      <w:r>
        <w:rPr>
          <w:color w:val="6F2770"/>
          <w:spacing w:val="-32"/>
        </w:rPr>
        <w:t> </w:t>
      </w:r>
      <w:r>
        <w:rPr>
          <w:color w:val="6F2770"/>
        </w:rPr>
        <w:t>and</w:t>
      </w:r>
      <w:r>
        <w:rPr>
          <w:color w:val="6F2770"/>
          <w:spacing w:val="-31"/>
        </w:rPr>
        <w:t> </w:t>
      </w:r>
      <w:r>
        <w:rPr>
          <w:color w:val="6F2770"/>
        </w:rPr>
        <w:t>estimates</w:t>
      </w:r>
    </w:p>
    <w:p>
      <w:pPr>
        <w:pStyle w:val="Heading6"/>
        <w:spacing w:line="249" w:lineRule="auto" w:before="254"/>
        <w:ind w:left="448" w:right="223"/>
      </w:pPr>
      <w:r>
        <w:rPr/>
        <w:t>Initial application of an Australian Accounting Standard</w:t>
      </w:r>
    </w:p>
    <w:p>
      <w:pPr>
        <w:pStyle w:val="BodyText"/>
        <w:spacing w:line="249" w:lineRule="auto" w:before="2"/>
        <w:ind w:left="448" w:right="8"/>
      </w:pPr>
      <w:r>
        <w:rPr/>
        <w:t>The</w:t>
      </w:r>
      <w:r>
        <w:rPr>
          <w:spacing w:val="-34"/>
        </w:rPr>
        <w:t> </w:t>
      </w:r>
      <w:r>
        <w:rPr>
          <w:spacing w:val="-3"/>
        </w:rPr>
        <w:t>Department</w:t>
      </w:r>
      <w:r>
        <w:rPr>
          <w:spacing w:val="-34"/>
        </w:rPr>
        <w:t> </w:t>
      </w:r>
      <w:r>
        <w:rPr/>
        <w:t>has</w:t>
      </w:r>
      <w:r>
        <w:rPr>
          <w:spacing w:val="-33"/>
        </w:rPr>
        <w:t> </w:t>
      </w:r>
      <w:r>
        <w:rPr>
          <w:spacing w:val="-3"/>
        </w:rPr>
        <w:t>applied</w:t>
      </w:r>
      <w:r>
        <w:rPr>
          <w:spacing w:val="-34"/>
        </w:rPr>
        <w:t> </w:t>
      </w:r>
      <w:r>
        <w:rPr/>
        <w:t>the</w:t>
      </w:r>
      <w:r>
        <w:rPr>
          <w:spacing w:val="-33"/>
        </w:rPr>
        <w:t> </w:t>
      </w:r>
      <w:r>
        <w:rPr>
          <w:spacing w:val="-3"/>
        </w:rPr>
        <w:t>following</w:t>
      </w:r>
      <w:r>
        <w:rPr>
          <w:spacing w:val="-34"/>
        </w:rPr>
        <w:t> </w:t>
      </w:r>
      <w:r>
        <w:rPr>
          <w:spacing w:val="-3"/>
        </w:rPr>
        <w:t>Australian Accounting </w:t>
      </w:r>
      <w:r>
        <w:rPr>
          <w:spacing w:val="-4"/>
        </w:rPr>
        <w:t>Standards effective, </w:t>
      </w:r>
      <w:r>
        <w:rPr/>
        <w:t>or </w:t>
      </w:r>
      <w:r>
        <w:rPr>
          <w:spacing w:val="-3"/>
        </w:rPr>
        <w:t>adopted, for annual</w:t>
      </w:r>
      <w:r>
        <w:rPr>
          <w:spacing w:val="-13"/>
        </w:rPr>
        <w:t> </w:t>
      </w:r>
      <w:r>
        <w:rPr>
          <w:spacing w:val="-4"/>
        </w:rPr>
        <w:t>reporting</w:t>
      </w:r>
      <w:r>
        <w:rPr>
          <w:spacing w:val="-12"/>
        </w:rPr>
        <w:t> </w:t>
      </w:r>
      <w:r>
        <w:rPr>
          <w:spacing w:val="-3"/>
        </w:rPr>
        <w:t>periods</w:t>
      </w:r>
      <w:r>
        <w:rPr>
          <w:spacing w:val="-12"/>
        </w:rPr>
        <w:t> </w:t>
      </w:r>
      <w:r>
        <w:rPr>
          <w:spacing w:val="-3"/>
        </w:rPr>
        <w:t>beginning</w:t>
      </w:r>
      <w:r>
        <w:rPr>
          <w:spacing w:val="-13"/>
        </w:rPr>
        <w:t> </w:t>
      </w:r>
      <w:r>
        <w:rPr/>
        <w:t>on</w:t>
      </w:r>
      <w:r>
        <w:rPr>
          <w:spacing w:val="-12"/>
        </w:rPr>
        <w:t> </w:t>
      </w:r>
      <w:r>
        <w:rPr/>
        <w:t>or</w:t>
      </w:r>
      <w:r>
        <w:rPr>
          <w:spacing w:val="-12"/>
        </w:rPr>
        <w:t> </w:t>
      </w:r>
      <w:r>
        <w:rPr>
          <w:spacing w:val="-3"/>
        </w:rPr>
        <w:t>after</w:t>
      </w:r>
    </w:p>
    <w:p>
      <w:pPr>
        <w:pStyle w:val="BodyText"/>
        <w:spacing w:before="3"/>
        <w:ind w:left="448"/>
      </w:pPr>
      <w:r>
        <w:rPr/>
        <w:t>1 </w:t>
      </w:r>
      <w:r>
        <w:rPr>
          <w:spacing w:val="-3"/>
        </w:rPr>
        <w:t>January 2016 that impacted </w:t>
      </w:r>
      <w:r>
        <w:rPr/>
        <w:t>on the </w:t>
      </w:r>
      <w:r>
        <w:rPr>
          <w:spacing w:val="-3"/>
        </w:rPr>
        <w:t>Department.</w:t>
      </w:r>
    </w:p>
    <w:p>
      <w:pPr>
        <w:pStyle w:val="BodyText"/>
        <w:spacing w:before="5"/>
        <w:rPr>
          <w:sz w:val="23"/>
        </w:rPr>
      </w:pPr>
      <w:r>
        <w:rPr/>
        <w:br w:type="column"/>
      </w:r>
      <w:r>
        <w:rPr>
          <w:sz w:val="23"/>
        </w:rPr>
      </w:r>
    </w:p>
    <w:p>
      <w:pPr>
        <w:spacing w:before="0"/>
        <w:ind w:left="386" w:right="0" w:firstLine="0"/>
        <w:jc w:val="left"/>
        <w:rPr>
          <w:b/>
          <w:sz w:val="22"/>
        </w:rPr>
      </w:pPr>
      <w:r>
        <w:rPr>
          <w:b/>
          <w:color w:val="6F2770"/>
          <w:sz w:val="22"/>
        </w:rPr>
        <w:t>AASB 1057</w:t>
      </w:r>
    </w:p>
    <w:p>
      <w:pPr>
        <w:spacing w:line="249" w:lineRule="auto" w:before="11"/>
        <w:ind w:left="386" w:right="884" w:firstLine="0"/>
        <w:jc w:val="left"/>
        <w:rPr>
          <w:sz w:val="22"/>
        </w:rPr>
      </w:pPr>
      <w:r>
        <w:rPr>
          <w:i/>
          <w:color w:val="6F2770"/>
          <w:sz w:val="22"/>
        </w:rPr>
        <w:t>Application of Australian Accounting Standards </w:t>
      </w:r>
      <w:r>
        <w:rPr>
          <w:sz w:val="22"/>
        </w:rPr>
        <w:t>This</w:t>
      </w:r>
      <w:r>
        <w:rPr>
          <w:spacing w:val="-22"/>
          <w:sz w:val="22"/>
        </w:rPr>
        <w:t> </w:t>
      </w:r>
      <w:r>
        <w:rPr>
          <w:sz w:val="22"/>
        </w:rPr>
        <w:t>Standard</w:t>
      </w:r>
      <w:r>
        <w:rPr>
          <w:spacing w:val="-22"/>
          <w:sz w:val="22"/>
        </w:rPr>
        <w:t> </w:t>
      </w:r>
      <w:r>
        <w:rPr>
          <w:sz w:val="22"/>
        </w:rPr>
        <w:t>lists</w:t>
      </w:r>
      <w:r>
        <w:rPr>
          <w:spacing w:val="-21"/>
          <w:sz w:val="22"/>
        </w:rPr>
        <w:t> </w:t>
      </w:r>
      <w:r>
        <w:rPr>
          <w:sz w:val="22"/>
        </w:rPr>
        <w:t>the</w:t>
      </w:r>
      <w:r>
        <w:rPr>
          <w:spacing w:val="-22"/>
          <w:sz w:val="22"/>
        </w:rPr>
        <w:t> </w:t>
      </w:r>
      <w:r>
        <w:rPr>
          <w:sz w:val="22"/>
        </w:rPr>
        <w:t>application</w:t>
      </w:r>
      <w:r>
        <w:rPr>
          <w:spacing w:val="-21"/>
          <w:sz w:val="22"/>
        </w:rPr>
        <w:t> </w:t>
      </w:r>
      <w:r>
        <w:rPr>
          <w:sz w:val="22"/>
        </w:rPr>
        <w:t>paragraphs</w:t>
      </w:r>
      <w:r>
        <w:rPr>
          <w:spacing w:val="-22"/>
          <w:sz w:val="22"/>
        </w:rPr>
        <w:t> </w:t>
      </w:r>
      <w:r>
        <w:rPr>
          <w:sz w:val="22"/>
        </w:rPr>
        <w:t>for each</w:t>
      </w:r>
      <w:r>
        <w:rPr>
          <w:spacing w:val="-29"/>
          <w:sz w:val="22"/>
        </w:rPr>
        <w:t> </w:t>
      </w:r>
      <w:r>
        <w:rPr>
          <w:sz w:val="22"/>
        </w:rPr>
        <w:t>other</w:t>
      </w:r>
      <w:r>
        <w:rPr>
          <w:spacing w:val="-29"/>
          <w:sz w:val="22"/>
        </w:rPr>
        <w:t> </w:t>
      </w:r>
      <w:r>
        <w:rPr>
          <w:sz w:val="22"/>
        </w:rPr>
        <w:t>Standard</w:t>
      </w:r>
      <w:r>
        <w:rPr>
          <w:spacing w:val="-29"/>
          <w:sz w:val="22"/>
        </w:rPr>
        <w:t> </w:t>
      </w:r>
      <w:r>
        <w:rPr>
          <w:sz w:val="22"/>
        </w:rPr>
        <w:t>(and</w:t>
      </w:r>
      <w:r>
        <w:rPr>
          <w:spacing w:val="-28"/>
          <w:sz w:val="22"/>
        </w:rPr>
        <w:t> </w:t>
      </w:r>
      <w:r>
        <w:rPr>
          <w:sz w:val="22"/>
        </w:rPr>
        <w:t>Interpretation),</w:t>
      </w:r>
      <w:r>
        <w:rPr>
          <w:spacing w:val="-29"/>
          <w:sz w:val="22"/>
        </w:rPr>
        <w:t> </w:t>
      </w:r>
      <w:r>
        <w:rPr>
          <w:spacing w:val="-4"/>
          <w:sz w:val="22"/>
        </w:rPr>
        <w:t>grouped </w:t>
      </w:r>
      <w:r>
        <w:rPr>
          <w:sz w:val="22"/>
        </w:rPr>
        <w:t>where they are the same. There is no financial impact.</w:t>
      </w:r>
    </w:p>
    <w:p>
      <w:pPr>
        <w:pStyle w:val="BodyText"/>
        <w:spacing w:before="4"/>
        <w:rPr>
          <w:sz w:val="23"/>
        </w:rPr>
      </w:pPr>
    </w:p>
    <w:p>
      <w:pPr>
        <w:spacing w:before="0"/>
        <w:ind w:left="386" w:right="0" w:firstLine="0"/>
        <w:jc w:val="left"/>
        <w:rPr>
          <w:b/>
          <w:sz w:val="22"/>
        </w:rPr>
      </w:pPr>
      <w:r>
        <w:rPr>
          <w:b/>
          <w:color w:val="6F2770"/>
          <w:sz w:val="22"/>
        </w:rPr>
        <w:t>AASB 2014-3</w:t>
      </w:r>
    </w:p>
    <w:p>
      <w:pPr>
        <w:spacing w:line="249" w:lineRule="auto" w:before="11"/>
        <w:ind w:left="386" w:right="899" w:firstLine="0"/>
        <w:jc w:val="left"/>
        <w:rPr>
          <w:i/>
          <w:sz w:val="22"/>
        </w:rPr>
      </w:pPr>
      <w:r>
        <w:rPr>
          <w:i/>
          <w:color w:val="6F2770"/>
          <w:sz w:val="22"/>
        </w:rPr>
        <w:t>Amendments</w:t>
      </w:r>
      <w:r>
        <w:rPr>
          <w:i/>
          <w:color w:val="6F2770"/>
          <w:spacing w:val="-32"/>
          <w:sz w:val="22"/>
        </w:rPr>
        <w:t> </w:t>
      </w:r>
      <w:r>
        <w:rPr>
          <w:i/>
          <w:color w:val="6F2770"/>
          <w:sz w:val="22"/>
        </w:rPr>
        <w:t>to</w:t>
      </w:r>
      <w:r>
        <w:rPr>
          <w:i/>
          <w:color w:val="6F2770"/>
          <w:spacing w:val="-31"/>
          <w:sz w:val="22"/>
        </w:rPr>
        <w:t> </w:t>
      </w:r>
      <w:r>
        <w:rPr>
          <w:i/>
          <w:color w:val="6F2770"/>
          <w:sz w:val="22"/>
        </w:rPr>
        <w:t>Australian</w:t>
      </w:r>
      <w:r>
        <w:rPr>
          <w:i/>
          <w:color w:val="6F2770"/>
          <w:spacing w:val="-31"/>
          <w:sz w:val="22"/>
        </w:rPr>
        <w:t> </w:t>
      </w:r>
      <w:r>
        <w:rPr>
          <w:i/>
          <w:color w:val="6F2770"/>
          <w:sz w:val="22"/>
        </w:rPr>
        <w:t>Accounting</w:t>
      </w:r>
      <w:r>
        <w:rPr>
          <w:i/>
          <w:color w:val="6F2770"/>
          <w:spacing w:val="-31"/>
          <w:sz w:val="22"/>
        </w:rPr>
        <w:t> </w:t>
      </w:r>
      <w:r>
        <w:rPr>
          <w:i/>
          <w:color w:val="6F2770"/>
          <w:sz w:val="22"/>
        </w:rPr>
        <w:t>Standards </w:t>
      </w:r>
      <w:r>
        <w:rPr>
          <w:i/>
          <w:color w:val="6F2770"/>
          <w:sz w:val="22"/>
        </w:rPr>
        <w:t>Accounting for Acquisitions of Interests in Joint Operations [AASB 1 &amp;</w:t>
      </w:r>
      <w:r>
        <w:rPr>
          <w:i/>
          <w:color w:val="6F2770"/>
          <w:spacing w:val="-9"/>
          <w:sz w:val="22"/>
        </w:rPr>
        <w:t> </w:t>
      </w:r>
      <w:r>
        <w:rPr>
          <w:i/>
          <w:color w:val="6F2770"/>
          <w:sz w:val="22"/>
        </w:rPr>
        <w:t>11]</w:t>
      </w:r>
    </w:p>
    <w:p>
      <w:pPr>
        <w:pStyle w:val="BodyText"/>
        <w:spacing w:line="249" w:lineRule="auto" w:before="3"/>
        <w:ind w:left="386" w:right="1083"/>
      </w:pPr>
      <w:r>
        <w:rPr/>
        <w:t>The Authority establishes Joint Operations in pursuit of its objectives and does not routinely acquire</w:t>
      </w:r>
      <w:r>
        <w:rPr>
          <w:spacing w:val="-33"/>
        </w:rPr>
        <w:t> </w:t>
      </w:r>
      <w:r>
        <w:rPr/>
        <w:t>interests</w:t>
      </w:r>
      <w:r>
        <w:rPr>
          <w:spacing w:val="-33"/>
        </w:rPr>
        <w:t> </w:t>
      </w:r>
      <w:r>
        <w:rPr/>
        <w:t>in</w:t>
      </w:r>
      <w:r>
        <w:rPr>
          <w:spacing w:val="-33"/>
        </w:rPr>
        <w:t> </w:t>
      </w:r>
      <w:r>
        <w:rPr/>
        <w:t>Joint</w:t>
      </w:r>
      <w:r>
        <w:rPr>
          <w:spacing w:val="-32"/>
        </w:rPr>
        <w:t> </w:t>
      </w:r>
      <w:r>
        <w:rPr/>
        <w:t>Operations.</w:t>
      </w:r>
      <w:r>
        <w:rPr>
          <w:spacing w:val="-33"/>
        </w:rPr>
        <w:t> </w:t>
      </w:r>
      <w:r>
        <w:rPr/>
        <w:t>Therefore, there</w:t>
      </w:r>
      <w:r>
        <w:rPr>
          <w:spacing w:val="-17"/>
        </w:rPr>
        <w:t> </w:t>
      </w:r>
      <w:r>
        <w:rPr/>
        <w:t>is</w:t>
      </w:r>
      <w:r>
        <w:rPr>
          <w:spacing w:val="-17"/>
        </w:rPr>
        <w:t> </w:t>
      </w:r>
      <w:r>
        <w:rPr/>
        <w:t>no</w:t>
      </w:r>
      <w:r>
        <w:rPr>
          <w:spacing w:val="-16"/>
        </w:rPr>
        <w:t> </w:t>
      </w:r>
      <w:r>
        <w:rPr/>
        <w:t>financial</w:t>
      </w:r>
      <w:r>
        <w:rPr>
          <w:spacing w:val="-17"/>
        </w:rPr>
        <w:t> </w:t>
      </w:r>
      <w:r>
        <w:rPr/>
        <w:t>impact</w:t>
      </w:r>
      <w:r>
        <w:rPr>
          <w:spacing w:val="-16"/>
        </w:rPr>
        <w:t> </w:t>
      </w:r>
      <w:r>
        <w:rPr/>
        <w:t>on</w:t>
      </w:r>
      <w:r>
        <w:rPr>
          <w:spacing w:val="-17"/>
        </w:rPr>
        <w:t> </w:t>
      </w:r>
      <w:r>
        <w:rPr/>
        <w:t>application</w:t>
      </w:r>
      <w:r>
        <w:rPr>
          <w:spacing w:val="-17"/>
        </w:rPr>
        <w:t> </w:t>
      </w:r>
      <w:r>
        <w:rPr/>
        <w:t>of</w:t>
      </w:r>
      <w:r>
        <w:rPr>
          <w:spacing w:val="-16"/>
        </w:rPr>
        <w:t> </w:t>
      </w:r>
      <w:r>
        <w:rPr>
          <w:spacing w:val="-6"/>
        </w:rPr>
        <w:t>the </w:t>
      </w:r>
      <w:r>
        <w:rPr/>
        <w:t>Standard.</w:t>
      </w:r>
    </w:p>
    <w:p>
      <w:pPr>
        <w:pStyle w:val="BodyText"/>
        <w:spacing w:before="3"/>
        <w:rPr>
          <w:sz w:val="23"/>
        </w:rPr>
      </w:pPr>
    </w:p>
    <w:p>
      <w:pPr>
        <w:spacing w:before="1"/>
        <w:ind w:left="386" w:right="0" w:firstLine="0"/>
        <w:jc w:val="left"/>
        <w:rPr>
          <w:b/>
          <w:sz w:val="22"/>
        </w:rPr>
      </w:pPr>
      <w:r>
        <w:rPr>
          <w:b/>
          <w:color w:val="6F2770"/>
          <w:sz w:val="22"/>
        </w:rPr>
        <w:t>AASB 2014-4</w:t>
      </w:r>
    </w:p>
    <w:p>
      <w:pPr>
        <w:spacing w:line="249" w:lineRule="auto" w:before="11"/>
        <w:ind w:left="386" w:right="899" w:firstLine="0"/>
        <w:jc w:val="left"/>
        <w:rPr>
          <w:sz w:val="22"/>
        </w:rPr>
      </w:pPr>
      <w:r>
        <w:rPr>
          <w:i/>
          <w:color w:val="6F2770"/>
          <w:sz w:val="22"/>
        </w:rPr>
        <w:t>Amendments</w:t>
      </w:r>
      <w:r>
        <w:rPr>
          <w:i/>
          <w:color w:val="6F2770"/>
          <w:spacing w:val="-32"/>
          <w:sz w:val="22"/>
        </w:rPr>
        <w:t> </w:t>
      </w:r>
      <w:r>
        <w:rPr>
          <w:i/>
          <w:color w:val="6F2770"/>
          <w:sz w:val="22"/>
        </w:rPr>
        <w:t>to</w:t>
      </w:r>
      <w:r>
        <w:rPr>
          <w:i/>
          <w:color w:val="6F2770"/>
          <w:spacing w:val="-31"/>
          <w:sz w:val="22"/>
        </w:rPr>
        <w:t> </w:t>
      </w:r>
      <w:r>
        <w:rPr>
          <w:i/>
          <w:color w:val="6F2770"/>
          <w:sz w:val="22"/>
        </w:rPr>
        <w:t>Australian</w:t>
      </w:r>
      <w:r>
        <w:rPr>
          <w:i/>
          <w:color w:val="6F2770"/>
          <w:spacing w:val="-31"/>
          <w:sz w:val="22"/>
        </w:rPr>
        <w:t> </w:t>
      </w:r>
      <w:r>
        <w:rPr>
          <w:i/>
          <w:color w:val="6F2770"/>
          <w:sz w:val="22"/>
        </w:rPr>
        <w:t>Accounting</w:t>
      </w:r>
      <w:r>
        <w:rPr>
          <w:i/>
          <w:color w:val="6F2770"/>
          <w:spacing w:val="-31"/>
          <w:sz w:val="22"/>
        </w:rPr>
        <w:t> </w:t>
      </w:r>
      <w:r>
        <w:rPr>
          <w:i/>
          <w:color w:val="6F2770"/>
          <w:sz w:val="22"/>
        </w:rPr>
        <w:t>Standards </w:t>
      </w:r>
      <w:r>
        <w:rPr>
          <w:i/>
          <w:color w:val="6F2770"/>
          <w:sz w:val="22"/>
        </w:rPr>
        <w:t>Clarification of Acceptable Methods of Depreciation</w:t>
      </w:r>
      <w:r>
        <w:rPr>
          <w:i/>
          <w:color w:val="6F2770"/>
          <w:spacing w:val="-22"/>
          <w:sz w:val="22"/>
        </w:rPr>
        <w:t> </w:t>
      </w:r>
      <w:r>
        <w:rPr>
          <w:i/>
          <w:color w:val="6F2770"/>
          <w:sz w:val="22"/>
        </w:rPr>
        <w:t>and</w:t>
      </w:r>
      <w:r>
        <w:rPr>
          <w:i/>
          <w:color w:val="6F2770"/>
          <w:spacing w:val="-21"/>
          <w:sz w:val="22"/>
        </w:rPr>
        <w:t> </w:t>
      </w:r>
      <w:r>
        <w:rPr>
          <w:i/>
          <w:color w:val="6F2770"/>
          <w:sz w:val="22"/>
        </w:rPr>
        <w:t>Amortisation</w:t>
      </w:r>
      <w:r>
        <w:rPr>
          <w:i/>
          <w:color w:val="6F2770"/>
          <w:spacing w:val="-22"/>
          <w:sz w:val="22"/>
        </w:rPr>
        <w:t> </w:t>
      </w:r>
      <w:r>
        <w:rPr>
          <w:i/>
          <w:color w:val="6F2770"/>
          <w:sz w:val="22"/>
        </w:rPr>
        <w:t>[AASB</w:t>
      </w:r>
      <w:r>
        <w:rPr>
          <w:i/>
          <w:color w:val="6F2770"/>
          <w:spacing w:val="-21"/>
          <w:sz w:val="22"/>
        </w:rPr>
        <w:t> </w:t>
      </w:r>
      <w:r>
        <w:rPr>
          <w:i/>
          <w:color w:val="6F2770"/>
          <w:sz w:val="22"/>
        </w:rPr>
        <w:t>116</w:t>
      </w:r>
      <w:r>
        <w:rPr>
          <w:i/>
          <w:color w:val="6F2770"/>
          <w:spacing w:val="-22"/>
          <w:sz w:val="22"/>
        </w:rPr>
        <w:t> </w:t>
      </w:r>
      <w:r>
        <w:rPr>
          <w:i/>
          <w:color w:val="6F2770"/>
          <w:sz w:val="22"/>
        </w:rPr>
        <w:t>&amp;</w:t>
      </w:r>
      <w:r>
        <w:rPr>
          <w:i/>
          <w:color w:val="6F2770"/>
          <w:spacing w:val="-22"/>
          <w:sz w:val="22"/>
        </w:rPr>
        <w:t> </w:t>
      </w:r>
      <w:r>
        <w:rPr>
          <w:i/>
          <w:color w:val="6F2770"/>
          <w:sz w:val="22"/>
        </w:rPr>
        <w:t>138] </w:t>
      </w:r>
      <w:r>
        <w:rPr>
          <w:sz w:val="22"/>
        </w:rPr>
        <w:t>The adoption of this Standard has no financial impact for the Department as depreciation and amortisation</w:t>
      </w:r>
      <w:r>
        <w:rPr>
          <w:spacing w:val="-10"/>
          <w:sz w:val="22"/>
        </w:rPr>
        <w:t> </w:t>
      </w:r>
      <w:r>
        <w:rPr>
          <w:sz w:val="22"/>
        </w:rPr>
        <w:t>is</w:t>
      </w:r>
      <w:r>
        <w:rPr>
          <w:spacing w:val="-9"/>
          <w:sz w:val="22"/>
        </w:rPr>
        <w:t> </w:t>
      </w:r>
      <w:r>
        <w:rPr>
          <w:sz w:val="22"/>
        </w:rPr>
        <w:t>not</w:t>
      </w:r>
      <w:r>
        <w:rPr>
          <w:spacing w:val="-9"/>
          <w:sz w:val="22"/>
        </w:rPr>
        <w:t> </w:t>
      </w:r>
      <w:r>
        <w:rPr>
          <w:sz w:val="22"/>
        </w:rPr>
        <w:t>determined</w:t>
      </w:r>
      <w:r>
        <w:rPr>
          <w:spacing w:val="-10"/>
          <w:sz w:val="22"/>
        </w:rPr>
        <w:t> </w:t>
      </w:r>
      <w:r>
        <w:rPr>
          <w:sz w:val="22"/>
        </w:rPr>
        <w:t>by</w:t>
      </w:r>
      <w:r>
        <w:rPr>
          <w:spacing w:val="-9"/>
          <w:sz w:val="22"/>
        </w:rPr>
        <w:t> </w:t>
      </w:r>
      <w:r>
        <w:rPr>
          <w:sz w:val="22"/>
        </w:rPr>
        <w:t>reference</w:t>
      </w:r>
    </w:p>
    <w:p>
      <w:pPr>
        <w:pStyle w:val="BodyText"/>
        <w:spacing w:line="249" w:lineRule="auto" w:before="5"/>
        <w:ind w:left="386" w:right="1615"/>
      </w:pPr>
      <w:r>
        <w:rPr/>
        <w:t>to</w:t>
      </w:r>
      <w:r>
        <w:rPr>
          <w:spacing w:val="-22"/>
        </w:rPr>
        <w:t> </w:t>
      </w:r>
      <w:r>
        <w:rPr/>
        <w:t>revenue</w:t>
      </w:r>
      <w:r>
        <w:rPr>
          <w:spacing w:val="-21"/>
        </w:rPr>
        <w:t> </w:t>
      </w:r>
      <w:r>
        <w:rPr/>
        <w:t>generation,</w:t>
      </w:r>
      <w:r>
        <w:rPr>
          <w:spacing w:val="-21"/>
        </w:rPr>
        <w:t> </w:t>
      </w:r>
      <w:r>
        <w:rPr/>
        <w:t>but</w:t>
      </w:r>
      <w:r>
        <w:rPr>
          <w:spacing w:val="-21"/>
        </w:rPr>
        <w:t> </w:t>
      </w:r>
      <w:r>
        <w:rPr/>
        <w:t>by</w:t>
      </w:r>
      <w:r>
        <w:rPr>
          <w:spacing w:val="-21"/>
        </w:rPr>
        <w:t> </w:t>
      </w:r>
      <w:r>
        <w:rPr/>
        <w:t>reference</w:t>
      </w:r>
      <w:r>
        <w:rPr>
          <w:spacing w:val="-21"/>
        </w:rPr>
        <w:t> </w:t>
      </w:r>
      <w:r>
        <w:rPr>
          <w:spacing w:val="-9"/>
        </w:rPr>
        <w:t>to </w:t>
      </w:r>
      <w:r>
        <w:rPr/>
        <w:t>consumption</w:t>
      </w:r>
      <w:r>
        <w:rPr>
          <w:spacing w:val="-18"/>
        </w:rPr>
        <w:t> </w:t>
      </w:r>
      <w:r>
        <w:rPr/>
        <w:t>of</w:t>
      </w:r>
      <w:r>
        <w:rPr>
          <w:spacing w:val="-18"/>
        </w:rPr>
        <w:t> </w:t>
      </w:r>
      <w:r>
        <w:rPr/>
        <w:t>future</w:t>
      </w:r>
      <w:r>
        <w:rPr>
          <w:spacing w:val="-18"/>
        </w:rPr>
        <w:t> </w:t>
      </w:r>
      <w:r>
        <w:rPr/>
        <w:t>economic</w:t>
      </w:r>
      <w:r>
        <w:rPr>
          <w:spacing w:val="-18"/>
        </w:rPr>
        <w:t> </w:t>
      </w:r>
      <w:r>
        <w:rPr/>
        <w:t>benefits.</w:t>
      </w:r>
    </w:p>
    <w:p>
      <w:pPr>
        <w:spacing w:after="0" w:line="249" w:lineRule="auto"/>
        <w:sectPr>
          <w:type w:val="continuous"/>
          <w:pgSz w:w="16840" w:h="11910" w:orient="landscape"/>
          <w:pgMar w:top="0" w:bottom="0" w:left="0" w:right="0"/>
          <w:cols w:num="3" w:equalWidth="0">
            <w:col w:w="5521" w:space="40"/>
            <w:col w:w="5266" w:space="39"/>
            <w:col w:w="5974"/>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532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544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547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202"/>
          <w:pgSz w:w="16840" w:h="11910" w:orient="landscape"/>
          <w:pgMar w:footer="448" w:header="0" w:top="0" w:bottom="640" w:left="0" w:right="0"/>
        </w:sectPr>
      </w:pPr>
    </w:p>
    <w:p>
      <w:pPr>
        <w:pStyle w:val="BodyText"/>
        <w:spacing w:before="5"/>
        <w:rPr>
          <w:sz w:val="23"/>
        </w:rPr>
      </w:pPr>
    </w:p>
    <w:p>
      <w:pPr>
        <w:spacing w:before="0"/>
        <w:ind w:left="765" w:right="0" w:firstLine="0"/>
        <w:jc w:val="left"/>
        <w:rPr>
          <w:b/>
          <w:sz w:val="22"/>
        </w:rPr>
      </w:pPr>
      <w:r>
        <w:rPr>
          <w:b/>
          <w:color w:val="6F2770"/>
          <w:sz w:val="22"/>
        </w:rPr>
        <w:t>AASB 2014-9</w:t>
      </w:r>
    </w:p>
    <w:p>
      <w:pPr>
        <w:spacing w:line="249" w:lineRule="auto" w:before="11"/>
        <w:ind w:left="765" w:right="64" w:firstLine="0"/>
        <w:jc w:val="left"/>
        <w:rPr>
          <w:i/>
          <w:sz w:val="22"/>
        </w:rPr>
      </w:pPr>
      <w:r>
        <w:rPr>
          <w:i/>
          <w:color w:val="6F2770"/>
          <w:spacing w:val="-3"/>
          <w:sz w:val="22"/>
        </w:rPr>
        <w:t>Amendments</w:t>
      </w:r>
      <w:r>
        <w:rPr>
          <w:i/>
          <w:color w:val="6F2770"/>
          <w:spacing w:val="-30"/>
          <w:sz w:val="22"/>
        </w:rPr>
        <w:t> </w:t>
      </w:r>
      <w:r>
        <w:rPr>
          <w:i/>
          <w:color w:val="6F2770"/>
          <w:sz w:val="22"/>
        </w:rPr>
        <w:t>to</w:t>
      </w:r>
      <w:r>
        <w:rPr>
          <w:i/>
          <w:color w:val="6F2770"/>
          <w:spacing w:val="-30"/>
          <w:sz w:val="22"/>
        </w:rPr>
        <w:t> </w:t>
      </w:r>
      <w:r>
        <w:rPr>
          <w:i/>
          <w:color w:val="6F2770"/>
          <w:spacing w:val="-3"/>
          <w:sz w:val="22"/>
        </w:rPr>
        <w:t>Australian</w:t>
      </w:r>
      <w:r>
        <w:rPr>
          <w:i/>
          <w:color w:val="6F2770"/>
          <w:spacing w:val="-30"/>
          <w:sz w:val="22"/>
        </w:rPr>
        <w:t> </w:t>
      </w:r>
      <w:r>
        <w:rPr>
          <w:i/>
          <w:color w:val="6F2770"/>
          <w:spacing w:val="-3"/>
          <w:sz w:val="22"/>
        </w:rPr>
        <w:t>Accounting</w:t>
      </w:r>
      <w:r>
        <w:rPr>
          <w:i/>
          <w:color w:val="6F2770"/>
          <w:spacing w:val="-29"/>
          <w:sz w:val="22"/>
        </w:rPr>
        <w:t> </w:t>
      </w:r>
      <w:r>
        <w:rPr>
          <w:i/>
          <w:color w:val="6F2770"/>
          <w:spacing w:val="-3"/>
          <w:sz w:val="22"/>
        </w:rPr>
        <w:t>Standards </w:t>
      </w:r>
      <w:r>
        <w:rPr>
          <w:i/>
          <w:color w:val="6F2770"/>
          <w:spacing w:val="-3"/>
          <w:sz w:val="22"/>
        </w:rPr>
        <w:t>Equity</w:t>
      </w:r>
      <w:r>
        <w:rPr>
          <w:i/>
          <w:color w:val="6F2770"/>
          <w:spacing w:val="-26"/>
          <w:sz w:val="22"/>
        </w:rPr>
        <w:t> </w:t>
      </w:r>
      <w:r>
        <w:rPr>
          <w:i/>
          <w:color w:val="6F2770"/>
          <w:spacing w:val="-3"/>
          <w:sz w:val="22"/>
        </w:rPr>
        <w:t>Method</w:t>
      </w:r>
      <w:r>
        <w:rPr>
          <w:i/>
          <w:color w:val="6F2770"/>
          <w:spacing w:val="-25"/>
          <w:sz w:val="22"/>
        </w:rPr>
        <w:t> </w:t>
      </w:r>
      <w:r>
        <w:rPr>
          <w:i/>
          <w:color w:val="6F2770"/>
          <w:sz w:val="22"/>
        </w:rPr>
        <w:t>in</w:t>
      </w:r>
      <w:r>
        <w:rPr>
          <w:i/>
          <w:color w:val="6F2770"/>
          <w:spacing w:val="-25"/>
          <w:sz w:val="22"/>
        </w:rPr>
        <w:t> </w:t>
      </w:r>
      <w:r>
        <w:rPr>
          <w:i/>
          <w:color w:val="6F2770"/>
          <w:spacing w:val="-3"/>
          <w:sz w:val="22"/>
        </w:rPr>
        <w:t>Separate</w:t>
      </w:r>
      <w:r>
        <w:rPr>
          <w:i/>
          <w:color w:val="6F2770"/>
          <w:spacing w:val="-25"/>
          <w:sz w:val="22"/>
        </w:rPr>
        <w:t> </w:t>
      </w:r>
      <w:r>
        <w:rPr>
          <w:i/>
          <w:color w:val="6F2770"/>
          <w:spacing w:val="-3"/>
          <w:sz w:val="22"/>
        </w:rPr>
        <w:t>Financial</w:t>
      </w:r>
      <w:r>
        <w:rPr>
          <w:i/>
          <w:color w:val="6F2770"/>
          <w:spacing w:val="-25"/>
          <w:sz w:val="22"/>
        </w:rPr>
        <w:t> </w:t>
      </w:r>
      <w:r>
        <w:rPr>
          <w:i/>
          <w:color w:val="6F2770"/>
          <w:spacing w:val="-3"/>
          <w:sz w:val="22"/>
        </w:rPr>
        <w:t>Statements [AASB </w:t>
      </w:r>
      <w:r>
        <w:rPr>
          <w:i/>
          <w:color w:val="6F2770"/>
          <w:sz w:val="22"/>
        </w:rPr>
        <w:t>1, 127 &amp;</w:t>
      </w:r>
      <w:r>
        <w:rPr>
          <w:i/>
          <w:color w:val="6F2770"/>
          <w:spacing w:val="-22"/>
          <w:sz w:val="22"/>
        </w:rPr>
        <w:t> </w:t>
      </w:r>
      <w:r>
        <w:rPr>
          <w:i/>
          <w:color w:val="6F2770"/>
          <w:spacing w:val="-3"/>
          <w:sz w:val="22"/>
        </w:rPr>
        <w:t>128]</w:t>
      </w:r>
    </w:p>
    <w:p>
      <w:pPr>
        <w:pStyle w:val="BodyText"/>
        <w:spacing w:line="249" w:lineRule="auto" w:before="3"/>
        <w:ind w:left="765" w:right="191"/>
      </w:pPr>
      <w:r>
        <w:rPr/>
        <w:t>This Standard amends AASB 127, and consequentially</w:t>
      </w:r>
      <w:r>
        <w:rPr>
          <w:spacing w:val="-22"/>
        </w:rPr>
        <w:t> </w:t>
      </w:r>
      <w:r>
        <w:rPr/>
        <w:t>amends</w:t>
      </w:r>
      <w:r>
        <w:rPr>
          <w:spacing w:val="-22"/>
        </w:rPr>
        <w:t> </w:t>
      </w:r>
      <w:r>
        <w:rPr/>
        <w:t>AASB</w:t>
      </w:r>
      <w:r>
        <w:rPr>
          <w:spacing w:val="-21"/>
        </w:rPr>
        <w:t> </w:t>
      </w:r>
      <w:r>
        <w:rPr/>
        <w:t>1</w:t>
      </w:r>
      <w:r>
        <w:rPr>
          <w:spacing w:val="-22"/>
        </w:rPr>
        <w:t> </w:t>
      </w:r>
      <w:r>
        <w:rPr/>
        <w:t>and</w:t>
      </w:r>
      <w:r>
        <w:rPr>
          <w:spacing w:val="-22"/>
        </w:rPr>
        <w:t> </w:t>
      </w:r>
      <w:r>
        <w:rPr/>
        <w:t>AASB</w:t>
      </w:r>
      <w:r>
        <w:rPr>
          <w:spacing w:val="-21"/>
        </w:rPr>
        <w:t> </w:t>
      </w:r>
      <w:r>
        <w:rPr>
          <w:spacing w:val="-5"/>
        </w:rPr>
        <w:t>128, </w:t>
      </w:r>
      <w:r>
        <w:rPr/>
        <w:t>to allow entities to use the equity method of accounting for investments in</w:t>
      </w:r>
      <w:r>
        <w:rPr>
          <w:spacing w:val="-38"/>
        </w:rPr>
        <w:t> </w:t>
      </w:r>
      <w:r>
        <w:rPr/>
        <w:t>subsidiaries,</w:t>
      </w:r>
    </w:p>
    <w:p>
      <w:pPr>
        <w:pStyle w:val="BodyText"/>
        <w:spacing w:line="249" w:lineRule="auto" w:before="3"/>
        <w:ind w:left="765" w:right="323"/>
      </w:pPr>
      <w:r>
        <w:rPr/>
        <w:t>joint ventures and associates in their separate financial</w:t>
      </w:r>
      <w:r>
        <w:rPr>
          <w:spacing w:val="-23"/>
        </w:rPr>
        <w:t> </w:t>
      </w:r>
      <w:r>
        <w:rPr/>
        <w:t>statements.</w:t>
      </w:r>
      <w:r>
        <w:rPr>
          <w:spacing w:val="-23"/>
        </w:rPr>
        <w:t> </w:t>
      </w:r>
      <w:r>
        <w:rPr/>
        <w:t>As</w:t>
      </w:r>
      <w:r>
        <w:rPr>
          <w:spacing w:val="-22"/>
        </w:rPr>
        <w:t> </w:t>
      </w:r>
      <w:r>
        <w:rPr/>
        <w:t>the</w:t>
      </w:r>
      <w:r>
        <w:rPr>
          <w:spacing w:val="-23"/>
        </w:rPr>
        <w:t> </w:t>
      </w:r>
      <w:r>
        <w:rPr/>
        <w:t>Department</w:t>
      </w:r>
      <w:r>
        <w:rPr>
          <w:spacing w:val="-22"/>
        </w:rPr>
        <w:t> </w:t>
      </w:r>
      <w:r>
        <w:rPr/>
        <w:t>has</w:t>
      </w:r>
      <w:r>
        <w:rPr>
          <w:spacing w:val="-23"/>
        </w:rPr>
        <w:t> </w:t>
      </w:r>
      <w:r>
        <w:rPr>
          <w:spacing w:val="-9"/>
        </w:rPr>
        <w:t>no </w:t>
      </w:r>
      <w:r>
        <w:rPr/>
        <w:t>joint</w:t>
      </w:r>
      <w:r>
        <w:rPr>
          <w:spacing w:val="-23"/>
        </w:rPr>
        <w:t> </w:t>
      </w:r>
      <w:r>
        <w:rPr/>
        <w:t>ventures</w:t>
      </w:r>
      <w:r>
        <w:rPr>
          <w:spacing w:val="-23"/>
        </w:rPr>
        <w:t> </w:t>
      </w:r>
      <w:r>
        <w:rPr/>
        <w:t>and</w:t>
      </w:r>
      <w:r>
        <w:rPr>
          <w:spacing w:val="-22"/>
        </w:rPr>
        <w:t> </w:t>
      </w:r>
      <w:r>
        <w:rPr/>
        <w:t>associates,</w:t>
      </w:r>
      <w:r>
        <w:rPr>
          <w:spacing w:val="-23"/>
        </w:rPr>
        <w:t> </w:t>
      </w:r>
      <w:r>
        <w:rPr/>
        <w:t>the</w:t>
      </w:r>
      <w:r>
        <w:rPr>
          <w:spacing w:val="-23"/>
        </w:rPr>
        <w:t> </w:t>
      </w:r>
      <w:r>
        <w:rPr/>
        <w:t>application</w:t>
      </w:r>
      <w:r>
        <w:rPr>
          <w:spacing w:val="-22"/>
        </w:rPr>
        <w:t> </w:t>
      </w:r>
      <w:r>
        <w:rPr>
          <w:spacing w:val="-9"/>
        </w:rPr>
        <w:t>of </w:t>
      </w:r>
      <w:r>
        <w:rPr/>
        <w:t>the Standard has no financial</w:t>
      </w:r>
      <w:r>
        <w:rPr>
          <w:spacing w:val="-26"/>
        </w:rPr>
        <w:t> </w:t>
      </w:r>
      <w:r>
        <w:rPr/>
        <w:t>impact.</w:t>
      </w:r>
    </w:p>
    <w:p>
      <w:pPr>
        <w:pStyle w:val="BodyText"/>
        <w:spacing w:before="3"/>
        <w:rPr>
          <w:sz w:val="23"/>
        </w:rPr>
      </w:pPr>
    </w:p>
    <w:p>
      <w:pPr>
        <w:spacing w:before="0"/>
        <w:ind w:left="765" w:right="0" w:firstLine="0"/>
        <w:jc w:val="left"/>
        <w:rPr>
          <w:b/>
          <w:sz w:val="22"/>
        </w:rPr>
      </w:pPr>
      <w:r>
        <w:rPr>
          <w:b/>
          <w:color w:val="6F2770"/>
          <w:sz w:val="22"/>
        </w:rPr>
        <w:t>AASB 2015-1</w:t>
      </w:r>
    </w:p>
    <w:p>
      <w:pPr>
        <w:spacing w:line="249" w:lineRule="auto" w:before="11"/>
        <w:ind w:left="765" w:right="64" w:firstLine="0"/>
        <w:jc w:val="left"/>
        <w:rPr>
          <w:i/>
          <w:sz w:val="22"/>
        </w:rPr>
      </w:pPr>
      <w:r>
        <w:rPr>
          <w:i/>
          <w:color w:val="6F2770"/>
          <w:spacing w:val="-3"/>
          <w:sz w:val="22"/>
        </w:rPr>
        <w:t>Amendments</w:t>
      </w:r>
      <w:r>
        <w:rPr>
          <w:i/>
          <w:color w:val="6F2770"/>
          <w:spacing w:val="-30"/>
          <w:sz w:val="22"/>
        </w:rPr>
        <w:t> </w:t>
      </w:r>
      <w:r>
        <w:rPr>
          <w:i/>
          <w:color w:val="6F2770"/>
          <w:sz w:val="22"/>
        </w:rPr>
        <w:t>to</w:t>
      </w:r>
      <w:r>
        <w:rPr>
          <w:i/>
          <w:color w:val="6F2770"/>
          <w:spacing w:val="-30"/>
          <w:sz w:val="22"/>
        </w:rPr>
        <w:t> </w:t>
      </w:r>
      <w:r>
        <w:rPr>
          <w:i/>
          <w:color w:val="6F2770"/>
          <w:spacing w:val="-3"/>
          <w:sz w:val="22"/>
        </w:rPr>
        <w:t>Australian</w:t>
      </w:r>
      <w:r>
        <w:rPr>
          <w:i/>
          <w:color w:val="6F2770"/>
          <w:spacing w:val="-30"/>
          <w:sz w:val="22"/>
        </w:rPr>
        <w:t> </w:t>
      </w:r>
      <w:r>
        <w:rPr>
          <w:i/>
          <w:color w:val="6F2770"/>
          <w:spacing w:val="-3"/>
          <w:sz w:val="22"/>
        </w:rPr>
        <w:t>Accounting</w:t>
      </w:r>
      <w:r>
        <w:rPr>
          <w:i/>
          <w:color w:val="6F2770"/>
          <w:spacing w:val="-29"/>
          <w:sz w:val="22"/>
        </w:rPr>
        <w:t> </w:t>
      </w:r>
      <w:r>
        <w:rPr>
          <w:i/>
          <w:color w:val="6F2770"/>
          <w:spacing w:val="-3"/>
          <w:sz w:val="22"/>
        </w:rPr>
        <w:t>Standards </w:t>
      </w:r>
      <w:r>
        <w:rPr>
          <w:i/>
          <w:color w:val="6F2770"/>
          <w:spacing w:val="-3"/>
          <w:sz w:val="22"/>
        </w:rPr>
        <w:t>Annual Improvements </w:t>
      </w:r>
      <w:r>
        <w:rPr>
          <w:i/>
          <w:color w:val="6F2770"/>
          <w:sz w:val="22"/>
        </w:rPr>
        <w:t>to </w:t>
      </w:r>
      <w:r>
        <w:rPr>
          <w:i/>
          <w:color w:val="6F2770"/>
          <w:spacing w:val="-3"/>
          <w:sz w:val="22"/>
        </w:rPr>
        <w:t>Australian Accounting Standards 2012-2014</w:t>
      </w:r>
      <w:r>
        <w:rPr>
          <w:i/>
          <w:color w:val="6F2770"/>
          <w:spacing w:val="-9"/>
          <w:sz w:val="22"/>
        </w:rPr>
        <w:t> </w:t>
      </w:r>
      <w:r>
        <w:rPr>
          <w:i/>
          <w:color w:val="6F2770"/>
          <w:spacing w:val="-3"/>
          <w:sz w:val="22"/>
        </w:rPr>
        <w:t>Cycle</w:t>
      </w:r>
    </w:p>
    <w:p>
      <w:pPr>
        <w:spacing w:before="3"/>
        <w:ind w:left="765" w:right="0" w:firstLine="0"/>
        <w:jc w:val="left"/>
        <w:rPr>
          <w:i/>
          <w:sz w:val="22"/>
        </w:rPr>
      </w:pPr>
      <w:r>
        <w:rPr>
          <w:i/>
          <w:color w:val="6F2770"/>
          <w:sz w:val="22"/>
        </w:rPr>
        <w:t>[AASB</w:t>
      </w:r>
      <w:r>
        <w:rPr>
          <w:i/>
          <w:color w:val="6F2770"/>
          <w:spacing w:val="-17"/>
          <w:sz w:val="22"/>
        </w:rPr>
        <w:t> </w:t>
      </w:r>
      <w:r>
        <w:rPr>
          <w:i/>
          <w:color w:val="6F2770"/>
          <w:spacing w:val="-15"/>
          <w:sz w:val="22"/>
        </w:rPr>
        <w:t>1,</w:t>
      </w:r>
      <w:r>
        <w:rPr>
          <w:i/>
          <w:color w:val="6F2770"/>
          <w:spacing w:val="-26"/>
          <w:sz w:val="22"/>
        </w:rPr>
        <w:t> </w:t>
      </w:r>
      <w:r>
        <w:rPr>
          <w:i/>
          <w:color w:val="6F2770"/>
          <w:spacing w:val="-10"/>
          <w:sz w:val="22"/>
        </w:rPr>
        <w:t>2,</w:t>
      </w:r>
      <w:r>
        <w:rPr>
          <w:i/>
          <w:color w:val="6F2770"/>
          <w:spacing w:val="-26"/>
          <w:sz w:val="22"/>
        </w:rPr>
        <w:t> </w:t>
      </w:r>
      <w:r>
        <w:rPr>
          <w:i/>
          <w:color w:val="6F2770"/>
          <w:spacing w:val="-7"/>
          <w:sz w:val="22"/>
        </w:rPr>
        <w:t>3,</w:t>
      </w:r>
      <w:r>
        <w:rPr>
          <w:i/>
          <w:color w:val="6F2770"/>
          <w:spacing w:val="-26"/>
          <w:sz w:val="22"/>
        </w:rPr>
        <w:t> </w:t>
      </w:r>
      <w:r>
        <w:rPr>
          <w:i/>
          <w:color w:val="6F2770"/>
          <w:spacing w:val="-7"/>
          <w:sz w:val="22"/>
        </w:rPr>
        <w:t>5,</w:t>
      </w:r>
      <w:r>
        <w:rPr>
          <w:i/>
          <w:color w:val="6F2770"/>
          <w:spacing w:val="-26"/>
          <w:sz w:val="22"/>
        </w:rPr>
        <w:t> </w:t>
      </w:r>
      <w:r>
        <w:rPr>
          <w:i/>
          <w:color w:val="6F2770"/>
          <w:spacing w:val="-19"/>
          <w:sz w:val="22"/>
        </w:rPr>
        <w:t>7,</w:t>
      </w:r>
      <w:r>
        <w:rPr>
          <w:i/>
          <w:color w:val="6F2770"/>
          <w:spacing w:val="-26"/>
          <w:sz w:val="22"/>
        </w:rPr>
        <w:t> </w:t>
      </w:r>
      <w:r>
        <w:rPr>
          <w:i/>
          <w:color w:val="6F2770"/>
          <w:spacing w:val="-23"/>
          <w:sz w:val="22"/>
        </w:rPr>
        <w:t>11,</w:t>
      </w:r>
      <w:r>
        <w:rPr>
          <w:i/>
          <w:color w:val="6F2770"/>
          <w:spacing w:val="-26"/>
          <w:sz w:val="22"/>
        </w:rPr>
        <w:t> </w:t>
      </w:r>
      <w:r>
        <w:rPr>
          <w:i/>
          <w:color w:val="6F2770"/>
          <w:spacing w:val="-20"/>
          <w:sz w:val="22"/>
        </w:rPr>
        <w:t>110,</w:t>
      </w:r>
      <w:r>
        <w:rPr>
          <w:i/>
          <w:color w:val="6F2770"/>
          <w:spacing w:val="-26"/>
          <w:sz w:val="22"/>
        </w:rPr>
        <w:t> </w:t>
      </w:r>
      <w:r>
        <w:rPr>
          <w:i/>
          <w:color w:val="6F2770"/>
          <w:spacing w:val="-21"/>
          <w:sz w:val="22"/>
        </w:rPr>
        <w:t>119,</w:t>
      </w:r>
      <w:r>
        <w:rPr>
          <w:i/>
          <w:color w:val="6F2770"/>
          <w:spacing w:val="-25"/>
          <w:sz w:val="22"/>
        </w:rPr>
        <w:t> </w:t>
      </w:r>
      <w:r>
        <w:rPr>
          <w:i/>
          <w:color w:val="6F2770"/>
          <w:spacing w:val="-21"/>
          <w:sz w:val="22"/>
        </w:rPr>
        <w:t>121,</w:t>
      </w:r>
      <w:r>
        <w:rPr>
          <w:i/>
          <w:color w:val="6F2770"/>
          <w:spacing w:val="-26"/>
          <w:sz w:val="22"/>
        </w:rPr>
        <w:t> </w:t>
      </w:r>
      <w:r>
        <w:rPr>
          <w:i/>
          <w:color w:val="6F2770"/>
          <w:spacing w:val="-14"/>
          <w:sz w:val="22"/>
        </w:rPr>
        <w:t>133,</w:t>
      </w:r>
      <w:r>
        <w:rPr>
          <w:i/>
          <w:color w:val="6F2770"/>
          <w:spacing w:val="-26"/>
          <w:sz w:val="22"/>
        </w:rPr>
        <w:t> </w:t>
      </w:r>
      <w:r>
        <w:rPr>
          <w:i/>
          <w:color w:val="6F2770"/>
          <w:spacing w:val="-14"/>
          <w:sz w:val="22"/>
        </w:rPr>
        <w:t>134,</w:t>
      </w:r>
      <w:r>
        <w:rPr>
          <w:i/>
          <w:color w:val="6F2770"/>
          <w:spacing w:val="-26"/>
          <w:sz w:val="22"/>
        </w:rPr>
        <w:t> </w:t>
      </w:r>
      <w:r>
        <w:rPr>
          <w:i/>
          <w:color w:val="6F2770"/>
          <w:spacing w:val="-17"/>
          <w:sz w:val="22"/>
        </w:rPr>
        <w:t>137</w:t>
      </w:r>
      <w:r>
        <w:rPr>
          <w:i/>
          <w:color w:val="6F2770"/>
          <w:spacing w:val="-26"/>
          <w:sz w:val="22"/>
        </w:rPr>
        <w:t> </w:t>
      </w:r>
      <w:r>
        <w:rPr>
          <w:i/>
          <w:color w:val="6F2770"/>
          <w:sz w:val="22"/>
        </w:rPr>
        <w:t>&amp;</w:t>
      </w:r>
      <w:r>
        <w:rPr>
          <w:i/>
          <w:color w:val="6F2770"/>
          <w:spacing w:val="-26"/>
          <w:sz w:val="22"/>
        </w:rPr>
        <w:t> </w:t>
      </w:r>
      <w:r>
        <w:rPr>
          <w:i/>
          <w:color w:val="6F2770"/>
          <w:spacing w:val="-16"/>
          <w:sz w:val="22"/>
        </w:rPr>
        <w:t>140]</w:t>
      </w:r>
    </w:p>
    <w:p>
      <w:pPr>
        <w:pStyle w:val="BodyText"/>
        <w:spacing w:line="249" w:lineRule="auto" w:before="11"/>
        <w:ind w:left="765" w:right="64"/>
      </w:pPr>
      <w:r>
        <w:rPr/>
        <w:t>These amendments arise from the issuance of </w:t>
      </w:r>
      <w:r>
        <w:rPr>
          <w:w w:val="95"/>
        </w:rPr>
        <w:t>International Financial Reporting Standard Annual </w:t>
      </w:r>
      <w:r>
        <w:rPr/>
        <w:t>Improvements to IFRSs 2012-2014 Cycle in September 2014, and editorial corrections.</w:t>
      </w:r>
    </w:p>
    <w:p>
      <w:pPr>
        <w:pStyle w:val="BodyText"/>
        <w:spacing w:line="249" w:lineRule="auto" w:before="4"/>
        <w:ind w:left="765" w:right="736"/>
      </w:pPr>
      <w:r>
        <w:rPr/>
        <w:t>The Department has determined that the application</w:t>
      </w:r>
      <w:r>
        <w:rPr>
          <w:spacing w:val="-25"/>
        </w:rPr>
        <w:t> </w:t>
      </w:r>
      <w:r>
        <w:rPr/>
        <w:t>of</w:t>
      </w:r>
      <w:r>
        <w:rPr>
          <w:spacing w:val="-24"/>
        </w:rPr>
        <w:t> </w:t>
      </w:r>
      <w:r>
        <w:rPr/>
        <w:t>the</w:t>
      </w:r>
      <w:r>
        <w:rPr>
          <w:spacing w:val="-24"/>
        </w:rPr>
        <w:t> </w:t>
      </w:r>
      <w:r>
        <w:rPr/>
        <w:t>Standard</w:t>
      </w:r>
      <w:r>
        <w:rPr>
          <w:spacing w:val="-24"/>
        </w:rPr>
        <w:t> </w:t>
      </w:r>
      <w:r>
        <w:rPr/>
        <w:t>has</w:t>
      </w:r>
      <w:r>
        <w:rPr>
          <w:spacing w:val="-24"/>
        </w:rPr>
        <w:t> </w:t>
      </w:r>
      <w:r>
        <w:rPr/>
        <w:t>no</w:t>
      </w:r>
      <w:r>
        <w:rPr>
          <w:spacing w:val="-24"/>
        </w:rPr>
        <w:t> </w:t>
      </w:r>
      <w:r>
        <w:rPr/>
        <w:t>financial impact.</w:t>
      </w:r>
    </w:p>
    <w:p>
      <w:pPr>
        <w:pStyle w:val="BodyText"/>
        <w:spacing w:before="5"/>
        <w:rPr>
          <w:sz w:val="23"/>
        </w:rPr>
      </w:pPr>
      <w:r>
        <w:rPr/>
        <w:br w:type="column"/>
      </w:r>
      <w:r>
        <w:rPr>
          <w:sz w:val="23"/>
        </w:rPr>
      </w:r>
    </w:p>
    <w:p>
      <w:pPr>
        <w:spacing w:before="0"/>
        <w:ind w:left="386" w:right="0" w:firstLine="0"/>
        <w:jc w:val="left"/>
        <w:rPr>
          <w:b/>
          <w:sz w:val="22"/>
        </w:rPr>
      </w:pPr>
      <w:r>
        <w:rPr>
          <w:b/>
          <w:color w:val="6F2770"/>
          <w:sz w:val="22"/>
        </w:rPr>
        <w:t>AASB 2015-2</w:t>
      </w:r>
    </w:p>
    <w:p>
      <w:pPr>
        <w:spacing w:line="249" w:lineRule="auto" w:before="11"/>
        <w:ind w:left="386" w:right="0" w:firstLine="0"/>
        <w:jc w:val="left"/>
        <w:rPr>
          <w:i/>
          <w:sz w:val="22"/>
        </w:rPr>
      </w:pPr>
      <w:r>
        <w:rPr>
          <w:i/>
          <w:color w:val="6F2770"/>
          <w:spacing w:val="-3"/>
          <w:sz w:val="22"/>
        </w:rPr>
        <w:t>Amendments</w:t>
      </w:r>
      <w:r>
        <w:rPr>
          <w:i/>
          <w:color w:val="6F2770"/>
          <w:spacing w:val="-30"/>
          <w:sz w:val="22"/>
        </w:rPr>
        <w:t> </w:t>
      </w:r>
      <w:r>
        <w:rPr>
          <w:i/>
          <w:color w:val="6F2770"/>
          <w:sz w:val="22"/>
        </w:rPr>
        <w:t>to</w:t>
      </w:r>
      <w:r>
        <w:rPr>
          <w:i/>
          <w:color w:val="6F2770"/>
          <w:spacing w:val="-30"/>
          <w:sz w:val="22"/>
        </w:rPr>
        <w:t> </w:t>
      </w:r>
      <w:r>
        <w:rPr>
          <w:i/>
          <w:color w:val="6F2770"/>
          <w:spacing w:val="-3"/>
          <w:sz w:val="22"/>
        </w:rPr>
        <w:t>Australian</w:t>
      </w:r>
      <w:r>
        <w:rPr>
          <w:i/>
          <w:color w:val="6F2770"/>
          <w:spacing w:val="-30"/>
          <w:sz w:val="22"/>
        </w:rPr>
        <w:t> </w:t>
      </w:r>
      <w:r>
        <w:rPr>
          <w:i/>
          <w:color w:val="6F2770"/>
          <w:spacing w:val="-3"/>
          <w:sz w:val="22"/>
        </w:rPr>
        <w:t>Accounting</w:t>
      </w:r>
      <w:r>
        <w:rPr>
          <w:i/>
          <w:color w:val="6F2770"/>
          <w:spacing w:val="-29"/>
          <w:sz w:val="22"/>
        </w:rPr>
        <w:t> </w:t>
      </w:r>
      <w:r>
        <w:rPr>
          <w:i/>
          <w:color w:val="6F2770"/>
          <w:spacing w:val="-3"/>
          <w:sz w:val="22"/>
        </w:rPr>
        <w:t>Standards </w:t>
      </w:r>
      <w:r>
        <w:rPr>
          <w:i/>
          <w:color w:val="6F2770"/>
          <w:spacing w:val="-3"/>
          <w:sz w:val="22"/>
        </w:rPr>
        <w:t>Disclosure Initiative: Amendments </w:t>
      </w:r>
      <w:r>
        <w:rPr>
          <w:i/>
          <w:color w:val="6F2770"/>
          <w:sz w:val="22"/>
        </w:rPr>
        <w:t>to </w:t>
      </w:r>
      <w:r>
        <w:rPr>
          <w:i/>
          <w:color w:val="6F2770"/>
          <w:spacing w:val="-3"/>
          <w:sz w:val="22"/>
        </w:rPr>
        <w:t>AASB 101 [AASB </w:t>
      </w:r>
      <w:r>
        <w:rPr>
          <w:i/>
          <w:color w:val="6F2770"/>
          <w:sz w:val="22"/>
        </w:rPr>
        <w:t>7, </w:t>
      </w:r>
      <w:r>
        <w:rPr>
          <w:i/>
          <w:color w:val="6F2770"/>
          <w:spacing w:val="-3"/>
          <w:sz w:val="22"/>
        </w:rPr>
        <w:t>101, </w:t>
      </w:r>
      <w:r>
        <w:rPr>
          <w:i/>
          <w:color w:val="6F2770"/>
          <w:sz w:val="22"/>
        </w:rPr>
        <w:t>134 &amp;</w:t>
      </w:r>
      <w:r>
        <w:rPr>
          <w:i/>
          <w:color w:val="6F2770"/>
          <w:spacing w:val="-26"/>
          <w:sz w:val="22"/>
        </w:rPr>
        <w:t> </w:t>
      </w:r>
      <w:r>
        <w:rPr>
          <w:i/>
          <w:color w:val="6F2770"/>
          <w:spacing w:val="-3"/>
          <w:sz w:val="22"/>
        </w:rPr>
        <w:t>1049]</w:t>
      </w:r>
    </w:p>
    <w:p>
      <w:pPr>
        <w:pStyle w:val="BodyText"/>
        <w:spacing w:line="249" w:lineRule="auto" w:before="3"/>
        <w:ind w:left="386"/>
      </w:pPr>
      <w:r>
        <w:rPr>
          <w:spacing w:val="-3"/>
        </w:rPr>
        <w:t>This </w:t>
      </w:r>
      <w:r>
        <w:rPr>
          <w:spacing w:val="-4"/>
        </w:rPr>
        <w:t>Standard </w:t>
      </w:r>
      <w:r>
        <w:rPr>
          <w:spacing w:val="-3"/>
        </w:rPr>
        <w:t>amends AASB </w:t>
      </w:r>
      <w:r>
        <w:rPr/>
        <w:t>101 to </w:t>
      </w:r>
      <w:r>
        <w:rPr>
          <w:spacing w:val="-4"/>
        </w:rPr>
        <w:t>provide </w:t>
      </w:r>
      <w:r>
        <w:rPr>
          <w:spacing w:val="-3"/>
        </w:rPr>
        <w:t>clarification </w:t>
      </w:r>
      <w:r>
        <w:rPr>
          <w:spacing w:val="-4"/>
        </w:rPr>
        <w:t>regarding </w:t>
      </w:r>
      <w:r>
        <w:rPr/>
        <w:t>the </w:t>
      </w:r>
      <w:r>
        <w:rPr>
          <w:spacing w:val="-4"/>
        </w:rPr>
        <w:t>disclosure requirements </w:t>
      </w:r>
      <w:r>
        <w:rPr/>
        <w:t>in </w:t>
      </w:r>
      <w:r>
        <w:rPr>
          <w:spacing w:val="-3"/>
        </w:rPr>
        <w:t>AASB 101. </w:t>
      </w:r>
      <w:r>
        <w:rPr>
          <w:spacing w:val="-5"/>
        </w:rPr>
        <w:t>Specifically, </w:t>
      </w:r>
      <w:r>
        <w:rPr/>
        <w:t>the </w:t>
      </w:r>
      <w:r>
        <w:rPr>
          <w:spacing w:val="-4"/>
        </w:rPr>
        <w:t>Standard proposes narrow-focus</w:t>
      </w:r>
      <w:r>
        <w:rPr>
          <w:spacing w:val="-16"/>
        </w:rPr>
        <w:t> </w:t>
      </w:r>
      <w:r>
        <w:rPr>
          <w:spacing w:val="-3"/>
        </w:rPr>
        <w:t>amendments</w:t>
      </w:r>
      <w:r>
        <w:rPr>
          <w:spacing w:val="-16"/>
        </w:rPr>
        <w:t> </w:t>
      </w:r>
      <w:r>
        <w:rPr/>
        <w:t>to</w:t>
      </w:r>
      <w:r>
        <w:rPr>
          <w:spacing w:val="-16"/>
        </w:rPr>
        <w:t> </w:t>
      </w:r>
      <w:r>
        <w:rPr>
          <w:spacing w:val="-4"/>
        </w:rPr>
        <w:t>address</w:t>
      </w:r>
      <w:r>
        <w:rPr>
          <w:spacing w:val="-15"/>
        </w:rPr>
        <w:t> </w:t>
      </w:r>
      <w:r>
        <w:rPr>
          <w:spacing w:val="-3"/>
        </w:rPr>
        <w:t>some</w:t>
      </w:r>
      <w:r>
        <w:rPr>
          <w:spacing w:val="-16"/>
        </w:rPr>
        <w:t> </w:t>
      </w:r>
      <w:r>
        <w:rPr/>
        <w:t>of</w:t>
      </w:r>
      <w:r>
        <w:rPr>
          <w:spacing w:val="-16"/>
        </w:rPr>
        <w:t> </w:t>
      </w:r>
      <w:r>
        <w:rPr>
          <w:spacing w:val="-3"/>
        </w:rPr>
        <w:t>the concerns </w:t>
      </w:r>
      <w:r>
        <w:rPr>
          <w:spacing w:val="-4"/>
        </w:rPr>
        <w:t>expressed </w:t>
      </w:r>
      <w:r>
        <w:rPr>
          <w:spacing w:val="-3"/>
        </w:rPr>
        <w:t>about existing </w:t>
      </w:r>
      <w:r>
        <w:rPr>
          <w:spacing w:val="-4"/>
        </w:rPr>
        <w:t>presentation </w:t>
      </w:r>
      <w:r>
        <w:rPr/>
        <w:t>and</w:t>
      </w:r>
      <w:r>
        <w:rPr>
          <w:spacing w:val="-12"/>
        </w:rPr>
        <w:t> </w:t>
      </w:r>
      <w:r>
        <w:rPr>
          <w:spacing w:val="-4"/>
        </w:rPr>
        <w:t>disclosure</w:t>
      </w:r>
      <w:r>
        <w:rPr>
          <w:spacing w:val="-11"/>
        </w:rPr>
        <w:t> </w:t>
      </w:r>
      <w:r>
        <w:rPr>
          <w:spacing w:val="-4"/>
        </w:rPr>
        <w:t>requirements</w:t>
      </w:r>
      <w:r>
        <w:rPr>
          <w:spacing w:val="-11"/>
        </w:rPr>
        <w:t> </w:t>
      </w:r>
      <w:r>
        <w:rPr/>
        <w:t>and</w:t>
      </w:r>
      <w:r>
        <w:rPr>
          <w:spacing w:val="-11"/>
        </w:rPr>
        <w:t> </w:t>
      </w:r>
      <w:r>
        <w:rPr/>
        <w:t>to</w:t>
      </w:r>
      <w:r>
        <w:rPr>
          <w:spacing w:val="-11"/>
        </w:rPr>
        <w:t> </w:t>
      </w:r>
      <w:r>
        <w:rPr>
          <w:spacing w:val="-4"/>
        </w:rPr>
        <w:t>ensure</w:t>
      </w:r>
    </w:p>
    <w:p>
      <w:pPr>
        <w:pStyle w:val="BodyText"/>
        <w:spacing w:line="249" w:lineRule="auto" w:before="5"/>
        <w:ind w:left="386" w:right="117"/>
      </w:pPr>
      <w:r>
        <w:rPr>
          <w:spacing w:val="-3"/>
        </w:rPr>
        <w:t>entities</w:t>
      </w:r>
      <w:r>
        <w:rPr>
          <w:spacing w:val="-25"/>
        </w:rPr>
        <w:t> </w:t>
      </w:r>
      <w:r>
        <w:rPr>
          <w:spacing w:val="-4"/>
        </w:rPr>
        <w:t>are</w:t>
      </w:r>
      <w:r>
        <w:rPr>
          <w:spacing w:val="-24"/>
        </w:rPr>
        <w:t> </w:t>
      </w:r>
      <w:r>
        <w:rPr>
          <w:spacing w:val="-3"/>
        </w:rPr>
        <w:t>able</w:t>
      </w:r>
      <w:r>
        <w:rPr>
          <w:spacing w:val="-25"/>
        </w:rPr>
        <w:t> </w:t>
      </w:r>
      <w:r>
        <w:rPr/>
        <w:t>to</w:t>
      </w:r>
      <w:r>
        <w:rPr>
          <w:spacing w:val="-24"/>
        </w:rPr>
        <w:t> </w:t>
      </w:r>
      <w:r>
        <w:rPr/>
        <w:t>use</w:t>
      </w:r>
      <w:r>
        <w:rPr>
          <w:spacing w:val="-25"/>
        </w:rPr>
        <w:t> </w:t>
      </w:r>
      <w:r>
        <w:rPr>
          <w:spacing w:val="-3"/>
        </w:rPr>
        <w:t>judgement</w:t>
      </w:r>
      <w:r>
        <w:rPr>
          <w:spacing w:val="-24"/>
        </w:rPr>
        <w:t> </w:t>
      </w:r>
      <w:r>
        <w:rPr>
          <w:spacing w:val="-3"/>
        </w:rPr>
        <w:t>when</w:t>
      </w:r>
      <w:r>
        <w:rPr>
          <w:spacing w:val="-24"/>
        </w:rPr>
        <w:t> </w:t>
      </w:r>
      <w:r>
        <w:rPr>
          <w:spacing w:val="-3"/>
        </w:rPr>
        <w:t>applying </w:t>
      </w:r>
      <w:r>
        <w:rPr/>
        <w:t>a </w:t>
      </w:r>
      <w:r>
        <w:rPr>
          <w:spacing w:val="-4"/>
        </w:rPr>
        <w:t>Standard </w:t>
      </w:r>
      <w:r>
        <w:rPr/>
        <w:t>in </w:t>
      </w:r>
      <w:r>
        <w:rPr>
          <w:spacing w:val="-3"/>
        </w:rPr>
        <w:t>determining what information to disclose</w:t>
      </w:r>
      <w:r>
        <w:rPr>
          <w:spacing w:val="-25"/>
        </w:rPr>
        <w:t> </w:t>
      </w:r>
      <w:r>
        <w:rPr/>
        <w:t>in</w:t>
      </w:r>
      <w:r>
        <w:rPr>
          <w:spacing w:val="-25"/>
        </w:rPr>
        <w:t> </w:t>
      </w:r>
      <w:r>
        <w:rPr>
          <w:spacing w:val="-3"/>
        </w:rPr>
        <w:t>their</w:t>
      </w:r>
      <w:r>
        <w:rPr>
          <w:spacing w:val="-25"/>
        </w:rPr>
        <w:t> </w:t>
      </w:r>
      <w:r>
        <w:rPr>
          <w:spacing w:val="-3"/>
        </w:rPr>
        <w:t>financial</w:t>
      </w:r>
      <w:r>
        <w:rPr>
          <w:spacing w:val="-25"/>
        </w:rPr>
        <w:t> </w:t>
      </w:r>
      <w:r>
        <w:rPr>
          <w:spacing w:val="-3"/>
        </w:rPr>
        <w:t>statements.</w:t>
      </w:r>
      <w:r>
        <w:rPr>
          <w:spacing w:val="-25"/>
        </w:rPr>
        <w:t> </w:t>
      </w:r>
      <w:r>
        <w:rPr>
          <w:spacing w:val="-4"/>
        </w:rPr>
        <w:t>There</w:t>
      </w:r>
      <w:r>
        <w:rPr>
          <w:spacing w:val="-25"/>
        </w:rPr>
        <w:t> </w:t>
      </w:r>
      <w:r>
        <w:rPr/>
        <w:t>is</w:t>
      </w:r>
      <w:r>
        <w:rPr>
          <w:spacing w:val="-25"/>
        </w:rPr>
        <w:t> </w:t>
      </w:r>
      <w:r>
        <w:rPr>
          <w:spacing w:val="-3"/>
        </w:rPr>
        <w:t>no financial</w:t>
      </w:r>
      <w:r>
        <w:rPr>
          <w:spacing w:val="-6"/>
        </w:rPr>
        <w:t> </w:t>
      </w:r>
      <w:r>
        <w:rPr>
          <w:spacing w:val="-3"/>
        </w:rPr>
        <w:t>impact.</w:t>
      </w:r>
    </w:p>
    <w:p>
      <w:pPr>
        <w:pStyle w:val="BodyText"/>
        <w:spacing w:before="3"/>
        <w:rPr>
          <w:sz w:val="23"/>
        </w:rPr>
      </w:pPr>
    </w:p>
    <w:p>
      <w:pPr>
        <w:spacing w:before="0"/>
        <w:ind w:left="386" w:right="0" w:firstLine="0"/>
        <w:jc w:val="left"/>
        <w:rPr>
          <w:b/>
          <w:sz w:val="22"/>
        </w:rPr>
      </w:pPr>
      <w:r>
        <w:rPr>
          <w:b/>
          <w:color w:val="6F2770"/>
          <w:sz w:val="22"/>
        </w:rPr>
        <w:t>AASB 2015-6</w:t>
      </w:r>
    </w:p>
    <w:p>
      <w:pPr>
        <w:spacing w:line="249" w:lineRule="auto" w:before="11"/>
        <w:ind w:left="386" w:right="0" w:firstLine="0"/>
        <w:jc w:val="left"/>
        <w:rPr>
          <w:i/>
          <w:sz w:val="22"/>
        </w:rPr>
      </w:pPr>
      <w:r>
        <w:rPr>
          <w:i/>
          <w:color w:val="6F2770"/>
          <w:spacing w:val="-3"/>
          <w:sz w:val="22"/>
        </w:rPr>
        <w:t>Amendments</w:t>
      </w:r>
      <w:r>
        <w:rPr>
          <w:i/>
          <w:color w:val="6F2770"/>
          <w:spacing w:val="-30"/>
          <w:sz w:val="22"/>
        </w:rPr>
        <w:t> </w:t>
      </w:r>
      <w:r>
        <w:rPr>
          <w:i/>
          <w:color w:val="6F2770"/>
          <w:sz w:val="22"/>
        </w:rPr>
        <w:t>to</w:t>
      </w:r>
      <w:r>
        <w:rPr>
          <w:i/>
          <w:color w:val="6F2770"/>
          <w:spacing w:val="-30"/>
          <w:sz w:val="22"/>
        </w:rPr>
        <w:t> </w:t>
      </w:r>
      <w:r>
        <w:rPr>
          <w:i/>
          <w:color w:val="6F2770"/>
          <w:spacing w:val="-3"/>
          <w:sz w:val="22"/>
        </w:rPr>
        <w:t>Australian</w:t>
      </w:r>
      <w:r>
        <w:rPr>
          <w:i/>
          <w:color w:val="6F2770"/>
          <w:spacing w:val="-30"/>
          <w:sz w:val="22"/>
        </w:rPr>
        <w:t> </w:t>
      </w:r>
      <w:r>
        <w:rPr>
          <w:i/>
          <w:color w:val="6F2770"/>
          <w:spacing w:val="-3"/>
          <w:sz w:val="22"/>
        </w:rPr>
        <w:t>Accounting</w:t>
      </w:r>
      <w:r>
        <w:rPr>
          <w:i/>
          <w:color w:val="6F2770"/>
          <w:spacing w:val="-29"/>
          <w:sz w:val="22"/>
        </w:rPr>
        <w:t> </w:t>
      </w:r>
      <w:r>
        <w:rPr>
          <w:i/>
          <w:color w:val="6F2770"/>
          <w:spacing w:val="-3"/>
          <w:sz w:val="22"/>
        </w:rPr>
        <w:t>Standards </w:t>
      </w:r>
      <w:r>
        <w:rPr>
          <w:i/>
          <w:color w:val="6F2770"/>
          <w:spacing w:val="-3"/>
          <w:sz w:val="22"/>
        </w:rPr>
        <w:t>Extending Related Party Disclosures</w:t>
      </w:r>
      <w:r>
        <w:rPr>
          <w:i/>
          <w:color w:val="6F2770"/>
          <w:spacing w:val="-37"/>
          <w:sz w:val="22"/>
        </w:rPr>
        <w:t> </w:t>
      </w:r>
      <w:r>
        <w:rPr>
          <w:i/>
          <w:color w:val="6F2770"/>
          <w:spacing w:val="-3"/>
          <w:sz w:val="22"/>
        </w:rPr>
        <w:t>to</w:t>
      </w:r>
    </w:p>
    <w:p>
      <w:pPr>
        <w:spacing w:line="249" w:lineRule="auto" w:before="2"/>
        <w:ind w:left="386" w:right="1415" w:firstLine="0"/>
        <w:jc w:val="left"/>
        <w:rPr>
          <w:i/>
          <w:sz w:val="22"/>
        </w:rPr>
      </w:pPr>
      <w:r>
        <w:rPr>
          <w:i/>
          <w:color w:val="6F2770"/>
          <w:spacing w:val="-4"/>
          <w:sz w:val="22"/>
        </w:rPr>
        <w:t>Not-for-Profit </w:t>
      </w:r>
      <w:r>
        <w:rPr>
          <w:i/>
          <w:color w:val="6F2770"/>
          <w:spacing w:val="-3"/>
          <w:sz w:val="22"/>
        </w:rPr>
        <w:t>Public Sector Entities </w:t>
      </w:r>
      <w:r>
        <w:rPr>
          <w:i/>
          <w:color w:val="6F2770"/>
          <w:spacing w:val="-3"/>
          <w:sz w:val="22"/>
        </w:rPr>
        <w:t>[AASB 10,124 </w:t>
      </w:r>
      <w:r>
        <w:rPr>
          <w:i/>
          <w:color w:val="6F2770"/>
          <w:sz w:val="22"/>
        </w:rPr>
        <w:t>&amp; </w:t>
      </w:r>
      <w:r>
        <w:rPr>
          <w:i/>
          <w:color w:val="6F2770"/>
          <w:spacing w:val="-3"/>
          <w:sz w:val="22"/>
        </w:rPr>
        <w:t>1049]</w:t>
      </w:r>
    </w:p>
    <w:p>
      <w:pPr>
        <w:pStyle w:val="BodyText"/>
        <w:spacing w:line="249" w:lineRule="auto" w:before="2"/>
        <w:ind w:left="386"/>
      </w:pPr>
      <w:r>
        <w:rPr/>
        <w:t>The </w:t>
      </w:r>
      <w:r>
        <w:rPr>
          <w:spacing w:val="-3"/>
        </w:rPr>
        <w:t>amendments extend </w:t>
      </w:r>
      <w:r>
        <w:rPr/>
        <w:t>the </w:t>
      </w:r>
      <w:r>
        <w:rPr>
          <w:spacing w:val="-3"/>
        </w:rPr>
        <w:t>scope </w:t>
      </w:r>
      <w:r>
        <w:rPr/>
        <w:t>of </w:t>
      </w:r>
      <w:r>
        <w:rPr>
          <w:spacing w:val="-3"/>
        </w:rPr>
        <w:t>AASB 124 </w:t>
      </w:r>
      <w:r>
        <w:rPr/>
        <w:t>to</w:t>
      </w:r>
      <w:r>
        <w:rPr>
          <w:spacing w:val="-15"/>
        </w:rPr>
        <w:t> </w:t>
      </w:r>
      <w:r>
        <w:rPr>
          <w:spacing w:val="-3"/>
        </w:rPr>
        <w:t>include</w:t>
      </w:r>
      <w:r>
        <w:rPr>
          <w:spacing w:val="-15"/>
        </w:rPr>
        <w:t> </w:t>
      </w:r>
      <w:r>
        <w:rPr>
          <w:spacing w:val="-3"/>
        </w:rPr>
        <w:t>application</w:t>
      </w:r>
      <w:r>
        <w:rPr>
          <w:spacing w:val="-15"/>
        </w:rPr>
        <w:t> </w:t>
      </w:r>
      <w:r>
        <w:rPr/>
        <w:t>by</w:t>
      </w:r>
      <w:r>
        <w:rPr>
          <w:spacing w:val="-15"/>
        </w:rPr>
        <w:t> </w:t>
      </w:r>
      <w:r>
        <w:rPr>
          <w:spacing w:val="-4"/>
        </w:rPr>
        <w:t>not-for-profit</w:t>
      </w:r>
      <w:r>
        <w:rPr>
          <w:spacing w:val="-15"/>
        </w:rPr>
        <w:t> </w:t>
      </w:r>
      <w:r>
        <w:rPr>
          <w:spacing w:val="-3"/>
        </w:rPr>
        <w:t>public</w:t>
      </w:r>
      <w:r>
        <w:rPr>
          <w:spacing w:val="-15"/>
        </w:rPr>
        <w:t> </w:t>
      </w:r>
      <w:r>
        <w:rPr>
          <w:spacing w:val="-3"/>
        </w:rPr>
        <w:t>sector entities. Implementation guidance </w:t>
      </w:r>
      <w:r>
        <w:rPr/>
        <w:t>is </w:t>
      </w:r>
      <w:r>
        <w:rPr>
          <w:spacing w:val="-3"/>
        </w:rPr>
        <w:t>included to assist application </w:t>
      </w:r>
      <w:r>
        <w:rPr/>
        <w:t>of the </w:t>
      </w:r>
      <w:r>
        <w:rPr>
          <w:spacing w:val="-4"/>
        </w:rPr>
        <w:t>Standard </w:t>
      </w:r>
      <w:r>
        <w:rPr/>
        <w:t>by </w:t>
      </w:r>
      <w:r>
        <w:rPr>
          <w:spacing w:val="-5"/>
        </w:rPr>
        <w:t>not-for-profit </w:t>
      </w:r>
      <w:r>
        <w:rPr>
          <w:spacing w:val="-3"/>
        </w:rPr>
        <w:t>public</w:t>
      </w:r>
      <w:r>
        <w:rPr>
          <w:spacing w:val="-20"/>
        </w:rPr>
        <w:t> </w:t>
      </w:r>
      <w:r>
        <w:rPr>
          <w:spacing w:val="-3"/>
        </w:rPr>
        <w:t>sector</w:t>
      </w:r>
      <w:r>
        <w:rPr>
          <w:spacing w:val="-20"/>
        </w:rPr>
        <w:t> </w:t>
      </w:r>
      <w:r>
        <w:rPr>
          <w:spacing w:val="-3"/>
        </w:rPr>
        <w:t>entities.</w:t>
      </w:r>
      <w:r>
        <w:rPr>
          <w:spacing w:val="-20"/>
        </w:rPr>
        <w:t> </w:t>
      </w:r>
      <w:r>
        <w:rPr>
          <w:spacing w:val="-4"/>
        </w:rPr>
        <w:t>There</w:t>
      </w:r>
      <w:r>
        <w:rPr>
          <w:spacing w:val="-20"/>
        </w:rPr>
        <w:t> </w:t>
      </w:r>
      <w:r>
        <w:rPr/>
        <w:t>is</w:t>
      </w:r>
      <w:r>
        <w:rPr>
          <w:spacing w:val="-20"/>
        </w:rPr>
        <w:t> </w:t>
      </w:r>
      <w:r>
        <w:rPr/>
        <w:t>no</w:t>
      </w:r>
      <w:r>
        <w:rPr>
          <w:spacing w:val="-20"/>
        </w:rPr>
        <w:t> </w:t>
      </w:r>
      <w:r>
        <w:rPr>
          <w:spacing w:val="-3"/>
        </w:rPr>
        <w:t>financial</w:t>
      </w:r>
      <w:r>
        <w:rPr>
          <w:spacing w:val="-19"/>
        </w:rPr>
        <w:t> </w:t>
      </w:r>
      <w:r>
        <w:rPr>
          <w:spacing w:val="-3"/>
        </w:rPr>
        <w:t>impact.</w:t>
      </w:r>
    </w:p>
    <w:p>
      <w:pPr>
        <w:pStyle w:val="BodyText"/>
        <w:spacing w:before="5"/>
        <w:rPr>
          <w:sz w:val="23"/>
        </w:rPr>
      </w:pPr>
      <w:r>
        <w:rPr/>
        <w:br w:type="column"/>
      </w:r>
      <w:r>
        <w:rPr>
          <w:sz w:val="23"/>
        </w:rPr>
      </w:r>
    </w:p>
    <w:p>
      <w:pPr>
        <w:spacing w:before="0"/>
        <w:ind w:left="497" w:right="0" w:firstLine="0"/>
        <w:jc w:val="left"/>
        <w:rPr>
          <w:b/>
          <w:sz w:val="22"/>
        </w:rPr>
      </w:pPr>
      <w:r>
        <w:rPr>
          <w:b/>
          <w:color w:val="6F2770"/>
          <w:sz w:val="22"/>
        </w:rPr>
        <w:t>AASB 2015-10</w:t>
      </w:r>
    </w:p>
    <w:p>
      <w:pPr>
        <w:spacing w:line="249" w:lineRule="auto" w:before="11"/>
        <w:ind w:left="497" w:right="926" w:firstLine="0"/>
        <w:jc w:val="both"/>
        <w:rPr>
          <w:sz w:val="22"/>
        </w:rPr>
      </w:pPr>
      <w:r>
        <w:rPr>
          <w:i/>
          <w:color w:val="6F2770"/>
          <w:spacing w:val="-4"/>
          <w:sz w:val="22"/>
        </w:rPr>
        <w:t>Amendments </w:t>
      </w:r>
      <w:r>
        <w:rPr>
          <w:i/>
          <w:color w:val="6F2770"/>
          <w:sz w:val="22"/>
        </w:rPr>
        <w:t>to </w:t>
      </w:r>
      <w:r>
        <w:rPr>
          <w:i/>
          <w:color w:val="6F2770"/>
          <w:spacing w:val="-4"/>
          <w:sz w:val="22"/>
        </w:rPr>
        <w:t>Australian Accounting Standards </w:t>
      </w:r>
      <w:r>
        <w:rPr>
          <w:i/>
          <w:color w:val="6F2770"/>
          <w:spacing w:val="-4"/>
          <w:sz w:val="22"/>
        </w:rPr>
        <w:t>Effective</w:t>
      </w:r>
      <w:r>
        <w:rPr>
          <w:i/>
          <w:color w:val="6F2770"/>
          <w:spacing w:val="-21"/>
          <w:sz w:val="22"/>
        </w:rPr>
        <w:t> </w:t>
      </w:r>
      <w:r>
        <w:rPr>
          <w:i/>
          <w:color w:val="6F2770"/>
          <w:spacing w:val="-3"/>
          <w:sz w:val="22"/>
        </w:rPr>
        <w:t>Date</w:t>
      </w:r>
      <w:r>
        <w:rPr>
          <w:i/>
          <w:color w:val="6F2770"/>
          <w:spacing w:val="-20"/>
          <w:sz w:val="22"/>
        </w:rPr>
        <w:t> </w:t>
      </w:r>
      <w:r>
        <w:rPr>
          <w:i/>
          <w:color w:val="6F2770"/>
          <w:sz w:val="22"/>
        </w:rPr>
        <w:t>of</w:t>
      </w:r>
      <w:r>
        <w:rPr>
          <w:i/>
          <w:color w:val="6F2770"/>
          <w:spacing w:val="-20"/>
          <w:sz w:val="22"/>
        </w:rPr>
        <w:t> </w:t>
      </w:r>
      <w:r>
        <w:rPr>
          <w:i/>
          <w:color w:val="6F2770"/>
          <w:spacing w:val="-4"/>
          <w:sz w:val="22"/>
        </w:rPr>
        <w:t>Amendments</w:t>
      </w:r>
      <w:r>
        <w:rPr>
          <w:i/>
          <w:color w:val="6F2770"/>
          <w:spacing w:val="-20"/>
          <w:sz w:val="22"/>
        </w:rPr>
        <w:t> </w:t>
      </w:r>
      <w:r>
        <w:rPr>
          <w:i/>
          <w:color w:val="6F2770"/>
          <w:sz w:val="22"/>
        </w:rPr>
        <w:t>to</w:t>
      </w:r>
      <w:r>
        <w:rPr>
          <w:i/>
          <w:color w:val="6F2770"/>
          <w:spacing w:val="-20"/>
          <w:sz w:val="22"/>
        </w:rPr>
        <w:t> </w:t>
      </w:r>
      <w:r>
        <w:rPr>
          <w:i/>
          <w:color w:val="6F2770"/>
          <w:spacing w:val="-3"/>
          <w:sz w:val="22"/>
        </w:rPr>
        <w:t>AASB</w:t>
      </w:r>
      <w:r>
        <w:rPr>
          <w:i/>
          <w:color w:val="6F2770"/>
          <w:spacing w:val="-20"/>
          <w:sz w:val="22"/>
        </w:rPr>
        <w:t> </w:t>
      </w:r>
      <w:r>
        <w:rPr>
          <w:i/>
          <w:color w:val="6F2770"/>
          <w:sz w:val="22"/>
        </w:rPr>
        <w:t>10</w:t>
      </w:r>
      <w:r>
        <w:rPr>
          <w:i/>
          <w:color w:val="6F2770"/>
          <w:spacing w:val="-20"/>
          <w:sz w:val="22"/>
        </w:rPr>
        <w:t> </w:t>
      </w:r>
      <w:r>
        <w:rPr>
          <w:i/>
          <w:color w:val="6F2770"/>
          <w:sz w:val="22"/>
        </w:rPr>
        <w:t>&amp;</w:t>
      </w:r>
      <w:r>
        <w:rPr>
          <w:i/>
          <w:color w:val="6F2770"/>
          <w:spacing w:val="-20"/>
          <w:sz w:val="22"/>
        </w:rPr>
        <w:t> </w:t>
      </w:r>
      <w:r>
        <w:rPr>
          <w:i/>
          <w:color w:val="6F2770"/>
          <w:spacing w:val="-4"/>
          <w:sz w:val="22"/>
        </w:rPr>
        <w:t>128 </w:t>
      </w:r>
      <w:r>
        <w:rPr>
          <w:spacing w:val="-3"/>
          <w:sz w:val="22"/>
        </w:rPr>
        <w:t>This</w:t>
      </w:r>
      <w:r>
        <w:rPr>
          <w:spacing w:val="-25"/>
          <w:sz w:val="22"/>
        </w:rPr>
        <w:t> </w:t>
      </w:r>
      <w:r>
        <w:rPr>
          <w:spacing w:val="-4"/>
          <w:sz w:val="22"/>
        </w:rPr>
        <w:t>Standard</w:t>
      </w:r>
      <w:r>
        <w:rPr>
          <w:spacing w:val="-24"/>
          <w:sz w:val="22"/>
        </w:rPr>
        <w:t> </w:t>
      </w:r>
      <w:r>
        <w:rPr>
          <w:spacing w:val="-4"/>
          <w:sz w:val="22"/>
        </w:rPr>
        <w:t>defers</w:t>
      </w:r>
      <w:r>
        <w:rPr>
          <w:spacing w:val="-25"/>
          <w:sz w:val="22"/>
        </w:rPr>
        <w:t> </w:t>
      </w:r>
      <w:r>
        <w:rPr>
          <w:spacing w:val="-3"/>
          <w:sz w:val="22"/>
        </w:rPr>
        <w:t>the</w:t>
      </w:r>
      <w:r>
        <w:rPr>
          <w:spacing w:val="-24"/>
          <w:sz w:val="22"/>
        </w:rPr>
        <w:t> </w:t>
      </w:r>
      <w:r>
        <w:rPr>
          <w:spacing w:val="-4"/>
          <w:sz w:val="22"/>
        </w:rPr>
        <w:t>mandatory</w:t>
      </w:r>
      <w:r>
        <w:rPr>
          <w:spacing w:val="-24"/>
          <w:sz w:val="22"/>
        </w:rPr>
        <w:t> </w:t>
      </w:r>
      <w:r>
        <w:rPr>
          <w:spacing w:val="-4"/>
          <w:sz w:val="22"/>
        </w:rPr>
        <w:t>effective</w:t>
      </w:r>
      <w:r>
        <w:rPr>
          <w:spacing w:val="-25"/>
          <w:sz w:val="22"/>
        </w:rPr>
        <w:t> </w:t>
      </w:r>
      <w:r>
        <w:rPr>
          <w:spacing w:val="-4"/>
          <w:sz w:val="22"/>
        </w:rPr>
        <w:t>date (application</w:t>
      </w:r>
      <w:r>
        <w:rPr>
          <w:spacing w:val="-24"/>
          <w:sz w:val="22"/>
        </w:rPr>
        <w:t> </w:t>
      </w:r>
      <w:r>
        <w:rPr>
          <w:spacing w:val="-4"/>
          <w:sz w:val="22"/>
        </w:rPr>
        <w:t>date)</w:t>
      </w:r>
      <w:r>
        <w:rPr>
          <w:spacing w:val="-23"/>
          <w:sz w:val="22"/>
        </w:rPr>
        <w:t> </w:t>
      </w:r>
      <w:r>
        <w:rPr>
          <w:sz w:val="22"/>
        </w:rPr>
        <w:t>of</w:t>
      </w:r>
      <w:r>
        <w:rPr>
          <w:spacing w:val="-23"/>
          <w:sz w:val="22"/>
        </w:rPr>
        <w:t> </w:t>
      </w:r>
      <w:r>
        <w:rPr>
          <w:spacing w:val="-4"/>
          <w:sz w:val="22"/>
        </w:rPr>
        <w:t>amendments</w:t>
      </w:r>
      <w:r>
        <w:rPr>
          <w:spacing w:val="-23"/>
          <w:sz w:val="22"/>
        </w:rPr>
        <w:t> </w:t>
      </w:r>
      <w:r>
        <w:rPr>
          <w:sz w:val="22"/>
        </w:rPr>
        <w:t>to</w:t>
      </w:r>
      <w:r>
        <w:rPr>
          <w:spacing w:val="-24"/>
          <w:sz w:val="22"/>
        </w:rPr>
        <w:t> </w:t>
      </w:r>
      <w:r>
        <w:rPr>
          <w:spacing w:val="-3"/>
          <w:sz w:val="22"/>
        </w:rPr>
        <w:t>AASB</w:t>
      </w:r>
      <w:r>
        <w:rPr>
          <w:spacing w:val="-23"/>
          <w:sz w:val="22"/>
        </w:rPr>
        <w:t> </w:t>
      </w:r>
      <w:r>
        <w:rPr>
          <w:sz w:val="22"/>
        </w:rPr>
        <w:t>10</w:t>
      </w:r>
      <w:r>
        <w:rPr>
          <w:spacing w:val="-23"/>
          <w:sz w:val="22"/>
        </w:rPr>
        <w:t> </w:t>
      </w:r>
      <w:r>
        <w:rPr>
          <w:spacing w:val="-4"/>
          <w:sz w:val="22"/>
        </w:rPr>
        <w:t>and </w:t>
      </w:r>
      <w:r>
        <w:rPr>
          <w:spacing w:val="-3"/>
          <w:sz w:val="22"/>
        </w:rPr>
        <w:t>128</w:t>
      </w:r>
      <w:r>
        <w:rPr>
          <w:spacing w:val="-21"/>
          <w:sz w:val="22"/>
        </w:rPr>
        <w:t> </w:t>
      </w:r>
      <w:r>
        <w:rPr>
          <w:spacing w:val="-3"/>
          <w:sz w:val="22"/>
        </w:rPr>
        <w:t>that</w:t>
      </w:r>
      <w:r>
        <w:rPr>
          <w:spacing w:val="-20"/>
          <w:sz w:val="22"/>
        </w:rPr>
        <w:t> </w:t>
      </w:r>
      <w:r>
        <w:rPr>
          <w:spacing w:val="-4"/>
          <w:sz w:val="22"/>
        </w:rPr>
        <w:t>were</w:t>
      </w:r>
      <w:r>
        <w:rPr>
          <w:spacing w:val="-20"/>
          <w:sz w:val="22"/>
        </w:rPr>
        <w:t> </w:t>
      </w:r>
      <w:r>
        <w:rPr>
          <w:spacing w:val="-4"/>
          <w:sz w:val="22"/>
        </w:rPr>
        <w:t>originally</w:t>
      </w:r>
      <w:r>
        <w:rPr>
          <w:spacing w:val="-20"/>
          <w:sz w:val="22"/>
        </w:rPr>
        <w:t> </w:t>
      </w:r>
      <w:r>
        <w:rPr>
          <w:spacing w:val="-3"/>
          <w:sz w:val="22"/>
        </w:rPr>
        <w:t>made</w:t>
      </w:r>
      <w:r>
        <w:rPr>
          <w:spacing w:val="-20"/>
          <w:sz w:val="22"/>
        </w:rPr>
        <w:t> </w:t>
      </w:r>
      <w:r>
        <w:rPr>
          <w:sz w:val="22"/>
        </w:rPr>
        <w:t>in</w:t>
      </w:r>
      <w:r>
        <w:rPr>
          <w:spacing w:val="-20"/>
          <w:sz w:val="22"/>
        </w:rPr>
        <w:t> </w:t>
      </w:r>
      <w:r>
        <w:rPr>
          <w:spacing w:val="-3"/>
          <w:sz w:val="22"/>
        </w:rPr>
        <w:t>AASB</w:t>
      </w:r>
      <w:r>
        <w:rPr>
          <w:spacing w:val="-20"/>
          <w:sz w:val="22"/>
        </w:rPr>
        <w:t> </w:t>
      </w:r>
      <w:r>
        <w:rPr>
          <w:spacing w:val="-4"/>
          <w:sz w:val="22"/>
        </w:rPr>
        <w:t>2014-10</w:t>
      </w:r>
      <w:r>
        <w:rPr>
          <w:spacing w:val="-21"/>
          <w:sz w:val="22"/>
        </w:rPr>
        <w:t> </w:t>
      </w:r>
      <w:r>
        <w:rPr>
          <w:spacing w:val="-4"/>
          <w:sz w:val="22"/>
        </w:rPr>
        <w:t>so </w:t>
      </w:r>
      <w:r>
        <w:rPr>
          <w:spacing w:val="-3"/>
          <w:sz w:val="22"/>
        </w:rPr>
        <w:t>that</w:t>
      </w:r>
      <w:r>
        <w:rPr>
          <w:spacing w:val="-21"/>
          <w:sz w:val="22"/>
        </w:rPr>
        <w:t> </w:t>
      </w:r>
      <w:r>
        <w:rPr>
          <w:spacing w:val="-3"/>
          <w:sz w:val="22"/>
        </w:rPr>
        <w:t>the</w:t>
      </w:r>
      <w:r>
        <w:rPr>
          <w:spacing w:val="-20"/>
          <w:sz w:val="22"/>
        </w:rPr>
        <w:t> </w:t>
      </w:r>
      <w:r>
        <w:rPr>
          <w:spacing w:val="-4"/>
          <w:sz w:val="22"/>
        </w:rPr>
        <w:t>amendments</w:t>
      </w:r>
      <w:r>
        <w:rPr>
          <w:spacing w:val="-21"/>
          <w:sz w:val="22"/>
        </w:rPr>
        <w:t> </w:t>
      </w:r>
      <w:r>
        <w:rPr>
          <w:spacing w:val="-4"/>
          <w:sz w:val="22"/>
        </w:rPr>
        <w:t>are</w:t>
      </w:r>
      <w:r>
        <w:rPr>
          <w:spacing w:val="-20"/>
          <w:sz w:val="22"/>
        </w:rPr>
        <w:t> </w:t>
      </w:r>
      <w:r>
        <w:rPr>
          <w:spacing w:val="-5"/>
          <w:sz w:val="22"/>
        </w:rPr>
        <w:t>required</w:t>
      </w:r>
      <w:r>
        <w:rPr>
          <w:spacing w:val="-21"/>
          <w:sz w:val="22"/>
        </w:rPr>
        <w:t> </w:t>
      </w:r>
      <w:r>
        <w:rPr>
          <w:sz w:val="22"/>
        </w:rPr>
        <w:t>to</w:t>
      </w:r>
      <w:r>
        <w:rPr>
          <w:spacing w:val="-20"/>
          <w:sz w:val="22"/>
        </w:rPr>
        <w:t> </w:t>
      </w:r>
      <w:r>
        <w:rPr>
          <w:sz w:val="22"/>
        </w:rPr>
        <w:t>be</w:t>
      </w:r>
      <w:r>
        <w:rPr>
          <w:spacing w:val="-21"/>
          <w:sz w:val="22"/>
        </w:rPr>
        <w:t> </w:t>
      </w:r>
      <w:r>
        <w:rPr>
          <w:spacing w:val="-4"/>
          <w:sz w:val="22"/>
        </w:rPr>
        <w:t>applied</w:t>
      </w:r>
      <w:r>
        <w:rPr>
          <w:spacing w:val="-20"/>
          <w:sz w:val="22"/>
        </w:rPr>
        <w:t> </w:t>
      </w:r>
      <w:r>
        <w:rPr>
          <w:spacing w:val="-4"/>
          <w:sz w:val="22"/>
        </w:rPr>
        <w:t>for annual</w:t>
      </w:r>
      <w:r>
        <w:rPr>
          <w:spacing w:val="-16"/>
          <w:sz w:val="22"/>
        </w:rPr>
        <w:t> </w:t>
      </w:r>
      <w:r>
        <w:rPr>
          <w:spacing w:val="-4"/>
          <w:sz w:val="22"/>
        </w:rPr>
        <w:t>reporting</w:t>
      </w:r>
      <w:r>
        <w:rPr>
          <w:spacing w:val="-15"/>
          <w:sz w:val="22"/>
        </w:rPr>
        <w:t> </w:t>
      </w:r>
      <w:r>
        <w:rPr>
          <w:spacing w:val="-4"/>
          <w:sz w:val="22"/>
        </w:rPr>
        <w:t>periods</w:t>
      </w:r>
      <w:r>
        <w:rPr>
          <w:spacing w:val="-16"/>
          <w:sz w:val="22"/>
        </w:rPr>
        <w:t> </w:t>
      </w:r>
      <w:r>
        <w:rPr>
          <w:spacing w:val="-4"/>
          <w:sz w:val="22"/>
        </w:rPr>
        <w:t>beginning</w:t>
      </w:r>
      <w:r>
        <w:rPr>
          <w:spacing w:val="-15"/>
          <w:sz w:val="22"/>
        </w:rPr>
        <w:t> </w:t>
      </w:r>
      <w:r>
        <w:rPr>
          <w:sz w:val="22"/>
        </w:rPr>
        <w:t>on</w:t>
      </w:r>
      <w:r>
        <w:rPr>
          <w:spacing w:val="-16"/>
          <w:sz w:val="22"/>
        </w:rPr>
        <w:t> </w:t>
      </w:r>
      <w:r>
        <w:rPr>
          <w:sz w:val="22"/>
        </w:rPr>
        <w:t>or</w:t>
      </w:r>
      <w:r>
        <w:rPr>
          <w:spacing w:val="-15"/>
          <w:sz w:val="22"/>
        </w:rPr>
        <w:t> </w:t>
      </w:r>
      <w:r>
        <w:rPr>
          <w:spacing w:val="-4"/>
          <w:sz w:val="22"/>
        </w:rPr>
        <w:t>after</w:t>
      </w:r>
    </w:p>
    <w:p>
      <w:pPr>
        <w:pStyle w:val="BodyText"/>
        <w:spacing w:line="249" w:lineRule="auto" w:before="6"/>
        <w:ind w:left="497" w:right="1424"/>
      </w:pPr>
      <w:r>
        <w:rPr/>
        <w:t>1</w:t>
      </w:r>
      <w:r>
        <w:rPr>
          <w:spacing w:val="-20"/>
        </w:rPr>
        <w:t> </w:t>
      </w:r>
      <w:r>
        <w:rPr>
          <w:spacing w:val="-4"/>
        </w:rPr>
        <w:t>January</w:t>
      </w:r>
      <w:r>
        <w:rPr>
          <w:spacing w:val="-20"/>
        </w:rPr>
        <w:t> </w:t>
      </w:r>
      <w:r>
        <w:rPr>
          <w:spacing w:val="-3"/>
        </w:rPr>
        <w:t>2018</w:t>
      </w:r>
      <w:r>
        <w:rPr>
          <w:spacing w:val="-20"/>
        </w:rPr>
        <w:t> </w:t>
      </w:r>
      <w:r>
        <w:rPr>
          <w:spacing w:val="-4"/>
        </w:rPr>
        <w:t>instead</w:t>
      </w:r>
      <w:r>
        <w:rPr>
          <w:spacing w:val="-19"/>
        </w:rPr>
        <w:t> </w:t>
      </w:r>
      <w:r>
        <w:rPr/>
        <w:t>of</w:t>
      </w:r>
      <w:r>
        <w:rPr>
          <w:spacing w:val="-20"/>
        </w:rPr>
        <w:t> </w:t>
      </w:r>
      <w:r>
        <w:rPr/>
        <w:t>1</w:t>
      </w:r>
      <w:r>
        <w:rPr>
          <w:spacing w:val="-20"/>
        </w:rPr>
        <w:t> </w:t>
      </w:r>
      <w:r>
        <w:rPr>
          <w:spacing w:val="-4"/>
        </w:rPr>
        <w:t>January</w:t>
      </w:r>
      <w:r>
        <w:rPr>
          <w:spacing w:val="-19"/>
        </w:rPr>
        <w:t> </w:t>
      </w:r>
      <w:r>
        <w:rPr>
          <w:spacing w:val="-4"/>
        </w:rPr>
        <w:t>2016. There </w:t>
      </w:r>
      <w:r>
        <w:rPr/>
        <w:t>is no </w:t>
      </w:r>
      <w:r>
        <w:rPr>
          <w:spacing w:val="-4"/>
        </w:rPr>
        <w:t>financial</w:t>
      </w:r>
      <w:r>
        <w:rPr>
          <w:spacing w:val="-39"/>
        </w:rPr>
        <w:t> </w:t>
      </w:r>
      <w:r>
        <w:rPr>
          <w:spacing w:val="-4"/>
        </w:rPr>
        <w:t>impact.</w:t>
      </w:r>
    </w:p>
    <w:p>
      <w:pPr>
        <w:pStyle w:val="BodyText"/>
        <w:spacing w:before="1"/>
        <w:rPr>
          <w:sz w:val="23"/>
        </w:rPr>
      </w:pPr>
    </w:p>
    <w:p>
      <w:pPr>
        <w:spacing w:line="249" w:lineRule="auto" w:before="1"/>
        <w:ind w:left="497" w:right="1424" w:firstLine="0"/>
        <w:jc w:val="left"/>
        <w:rPr>
          <w:sz w:val="22"/>
        </w:rPr>
      </w:pPr>
      <w:r>
        <w:rPr>
          <w:b/>
          <w:spacing w:val="-5"/>
          <w:sz w:val="22"/>
        </w:rPr>
        <w:t>Voluntary </w:t>
      </w:r>
      <w:r>
        <w:rPr>
          <w:b/>
          <w:spacing w:val="-4"/>
          <w:sz w:val="22"/>
        </w:rPr>
        <w:t>changes </w:t>
      </w:r>
      <w:r>
        <w:rPr>
          <w:b/>
          <w:sz w:val="22"/>
        </w:rPr>
        <w:t>in </w:t>
      </w:r>
      <w:r>
        <w:rPr>
          <w:b/>
          <w:spacing w:val="-4"/>
          <w:sz w:val="22"/>
        </w:rPr>
        <w:t>accounting policy </w:t>
      </w:r>
      <w:r>
        <w:rPr>
          <w:spacing w:val="-4"/>
          <w:sz w:val="22"/>
        </w:rPr>
        <w:t>There</w:t>
      </w:r>
      <w:r>
        <w:rPr>
          <w:spacing w:val="-31"/>
          <w:sz w:val="22"/>
        </w:rPr>
        <w:t> </w:t>
      </w:r>
      <w:r>
        <w:rPr>
          <w:spacing w:val="-4"/>
          <w:sz w:val="22"/>
        </w:rPr>
        <w:t>are</w:t>
      </w:r>
      <w:r>
        <w:rPr>
          <w:spacing w:val="-31"/>
          <w:sz w:val="22"/>
        </w:rPr>
        <w:t> </w:t>
      </w:r>
      <w:r>
        <w:rPr>
          <w:sz w:val="22"/>
        </w:rPr>
        <w:t>no</w:t>
      </w:r>
      <w:r>
        <w:rPr>
          <w:spacing w:val="-31"/>
          <w:sz w:val="22"/>
        </w:rPr>
        <w:t> </w:t>
      </w:r>
      <w:r>
        <w:rPr>
          <w:spacing w:val="-4"/>
          <w:sz w:val="22"/>
        </w:rPr>
        <w:t>voluntary</w:t>
      </w:r>
      <w:r>
        <w:rPr>
          <w:spacing w:val="-31"/>
          <w:sz w:val="22"/>
        </w:rPr>
        <w:t> </w:t>
      </w:r>
      <w:r>
        <w:rPr>
          <w:spacing w:val="-4"/>
          <w:sz w:val="22"/>
        </w:rPr>
        <w:t>changes</w:t>
      </w:r>
      <w:r>
        <w:rPr>
          <w:spacing w:val="-31"/>
          <w:sz w:val="22"/>
        </w:rPr>
        <w:t> </w:t>
      </w:r>
      <w:r>
        <w:rPr>
          <w:sz w:val="22"/>
        </w:rPr>
        <w:t>in</w:t>
      </w:r>
      <w:r>
        <w:rPr>
          <w:spacing w:val="-31"/>
          <w:sz w:val="22"/>
        </w:rPr>
        <w:t> </w:t>
      </w:r>
      <w:r>
        <w:rPr>
          <w:spacing w:val="-4"/>
          <w:sz w:val="22"/>
        </w:rPr>
        <w:t>accounting policies during </w:t>
      </w:r>
      <w:r>
        <w:rPr>
          <w:spacing w:val="-3"/>
          <w:sz w:val="22"/>
        </w:rPr>
        <w:t>the </w:t>
      </w:r>
      <w:r>
        <w:rPr>
          <w:spacing w:val="-4"/>
          <w:sz w:val="22"/>
        </w:rPr>
        <w:t>reporting</w:t>
      </w:r>
      <w:r>
        <w:rPr>
          <w:spacing w:val="-32"/>
          <w:sz w:val="22"/>
        </w:rPr>
        <w:t> </w:t>
      </w:r>
      <w:r>
        <w:rPr>
          <w:spacing w:val="-4"/>
          <w:sz w:val="22"/>
        </w:rPr>
        <w:t>period.</w:t>
      </w:r>
    </w:p>
    <w:p>
      <w:pPr>
        <w:pStyle w:val="BodyText"/>
        <w:spacing w:before="2"/>
        <w:rPr>
          <w:sz w:val="23"/>
        </w:rPr>
      </w:pPr>
    </w:p>
    <w:p>
      <w:pPr>
        <w:pStyle w:val="Heading6"/>
        <w:spacing w:line="249" w:lineRule="auto"/>
        <w:ind w:left="497" w:right="1424"/>
      </w:pPr>
      <w:r>
        <w:rPr>
          <w:spacing w:val="-4"/>
        </w:rPr>
        <w:t>Future impact </w:t>
      </w:r>
      <w:r>
        <w:rPr/>
        <w:t>of </w:t>
      </w:r>
      <w:r>
        <w:rPr>
          <w:spacing w:val="-4"/>
        </w:rPr>
        <w:t>Australian Accounting Standards </w:t>
      </w:r>
      <w:r>
        <w:rPr>
          <w:spacing w:val="-3"/>
        </w:rPr>
        <w:t>not yet </w:t>
      </w:r>
      <w:r>
        <w:rPr>
          <w:spacing w:val="-4"/>
        </w:rPr>
        <w:t>operative</w:t>
      </w:r>
    </w:p>
    <w:p>
      <w:pPr>
        <w:spacing w:line="249" w:lineRule="auto" w:before="2"/>
        <w:ind w:left="497" w:right="1036" w:firstLine="0"/>
        <w:jc w:val="left"/>
        <w:rPr>
          <w:i/>
          <w:sz w:val="22"/>
        </w:rPr>
      </w:pPr>
      <w:r>
        <w:rPr>
          <w:spacing w:val="-3"/>
          <w:sz w:val="22"/>
        </w:rPr>
        <w:t>The</w:t>
      </w:r>
      <w:r>
        <w:rPr>
          <w:spacing w:val="-27"/>
          <w:sz w:val="22"/>
        </w:rPr>
        <w:t> </w:t>
      </w:r>
      <w:r>
        <w:rPr>
          <w:spacing w:val="-4"/>
          <w:sz w:val="22"/>
        </w:rPr>
        <w:t>Department</w:t>
      </w:r>
      <w:r>
        <w:rPr>
          <w:spacing w:val="-27"/>
          <w:sz w:val="22"/>
        </w:rPr>
        <w:t> </w:t>
      </w:r>
      <w:r>
        <w:rPr>
          <w:spacing w:val="-4"/>
          <w:sz w:val="22"/>
        </w:rPr>
        <w:t>cannot</w:t>
      </w:r>
      <w:r>
        <w:rPr>
          <w:spacing w:val="-26"/>
          <w:sz w:val="22"/>
        </w:rPr>
        <w:t> </w:t>
      </w:r>
      <w:r>
        <w:rPr>
          <w:spacing w:val="-4"/>
          <w:sz w:val="22"/>
        </w:rPr>
        <w:t>early</w:t>
      </w:r>
      <w:r>
        <w:rPr>
          <w:spacing w:val="-27"/>
          <w:sz w:val="22"/>
        </w:rPr>
        <w:t> </w:t>
      </w:r>
      <w:r>
        <w:rPr>
          <w:spacing w:val="-4"/>
          <w:sz w:val="22"/>
        </w:rPr>
        <w:t>adopt</w:t>
      </w:r>
      <w:r>
        <w:rPr>
          <w:spacing w:val="-26"/>
          <w:sz w:val="22"/>
        </w:rPr>
        <w:t> </w:t>
      </w:r>
      <w:r>
        <w:rPr>
          <w:sz w:val="22"/>
        </w:rPr>
        <w:t>an</w:t>
      </w:r>
      <w:r>
        <w:rPr>
          <w:spacing w:val="-27"/>
          <w:sz w:val="22"/>
        </w:rPr>
        <w:t> </w:t>
      </w:r>
      <w:r>
        <w:rPr>
          <w:spacing w:val="-4"/>
          <w:sz w:val="22"/>
        </w:rPr>
        <w:t>Australian Accounting</w:t>
      </w:r>
      <w:r>
        <w:rPr>
          <w:spacing w:val="-34"/>
          <w:sz w:val="22"/>
        </w:rPr>
        <w:t> </w:t>
      </w:r>
      <w:r>
        <w:rPr>
          <w:spacing w:val="-4"/>
          <w:sz w:val="22"/>
        </w:rPr>
        <w:t>Standard</w:t>
      </w:r>
      <w:r>
        <w:rPr>
          <w:spacing w:val="-33"/>
          <w:sz w:val="22"/>
        </w:rPr>
        <w:t> </w:t>
      </w:r>
      <w:r>
        <w:rPr>
          <w:spacing w:val="-4"/>
          <w:sz w:val="22"/>
        </w:rPr>
        <w:t>unless</w:t>
      </w:r>
      <w:r>
        <w:rPr>
          <w:spacing w:val="-33"/>
          <w:sz w:val="22"/>
        </w:rPr>
        <w:t> </w:t>
      </w:r>
      <w:r>
        <w:rPr>
          <w:spacing w:val="-4"/>
          <w:sz w:val="22"/>
        </w:rPr>
        <w:t>specifically</w:t>
      </w:r>
      <w:r>
        <w:rPr>
          <w:spacing w:val="-33"/>
          <w:sz w:val="22"/>
        </w:rPr>
        <w:t> </w:t>
      </w:r>
      <w:r>
        <w:rPr>
          <w:spacing w:val="-4"/>
          <w:sz w:val="22"/>
        </w:rPr>
        <w:t>permitted </w:t>
      </w:r>
      <w:r>
        <w:rPr>
          <w:sz w:val="22"/>
        </w:rPr>
        <w:t>by TI </w:t>
      </w:r>
      <w:r>
        <w:rPr>
          <w:spacing w:val="-3"/>
          <w:sz w:val="22"/>
        </w:rPr>
        <w:t>1101 </w:t>
      </w:r>
      <w:r>
        <w:rPr>
          <w:i/>
          <w:spacing w:val="-4"/>
          <w:sz w:val="22"/>
        </w:rPr>
        <w:t>Application </w:t>
      </w:r>
      <w:r>
        <w:rPr>
          <w:i/>
          <w:sz w:val="22"/>
        </w:rPr>
        <w:t>of </w:t>
      </w:r>
      <w:r>
        <w:rPr>
          <w:i/>
          <w:spacing w:val="-4"/>
          <w:sz w:val="22"/>
        </w:rPr>
        <w:t>Australian Accounting </w:t>
      </w:r>
      <w:r>
        <w:rPr>
          <w:i/>
          <w:spacing w:val="-4"/>
          <w:sz w:val="22"/>
        </w:rPr>
        <w:t>Standards </w:t>
      </w:r>
      <w:r>
        <w:rPr>
          <w:i/>
          <w:spacing w:val="-3"/>
          <w:sz w:val="22"/>
        </w:rPr>
        <w:t>and </w:t>
      </w:r>
      <w:r>
        <w:rPr>
          <w:i/>
          <w:spacing w:val="-4"/>
          <w:sz w:val="22"/>
        </w:rPr>
        <w:t>Other Pronouncements </w:t>
      </w:r>
      <w:r>
        <w:rPr>
          <w:sz w:val="22"/>
        </w:rPr>
        <w:t>or by </w:t>
      </w:r>
      <w:r>
        <w:rPr>
          <w:spacing w:val="-4"/>
          <w:sz w:val="22"/>
        </w:rPr>
        <w:t>an exemption from </w:t>
      </w:r>
      <w:r>
        <w:rPr>
          <w:sz w:val="22"/>
        </w:rPr>
        <w:t>TI </w:t>
      </w:r>
      <w:r>
        <w:rPr>
          <w:spacing w:val="-4"/>
          <w:sz w:val="22"/>
        </w:rPr>
        <w:t>1101. </w:t>
      </w:r>
      <w:r>
        <w:rPr>
          <w:sz w:val="22"/>
        </w:rPr>
        <w:t>By </w:t>
      </w:r>
      <w:r>
        <w:rPr>
          <w:spacing w:val="-4"/>
          <w:sz w:val="22"/>
        </w:rPr>
        <w:t>virtue </w:t>
      </w:r>
      <w:r>
        <w:rPr>
          <w:sz w:val="22"/>
        </w:rPr>
        <w:t>of a </w:t>
      </w:r>
      <w:r>
        <w:rPr>
          <w:spacing w:val="-4"/>
          <w:sz w:val="22"/>
        </w:rPr>
        <w:t>limited exemption, </w:t>
      </w:r>
      <w:r>
        <w:rPr>
          <w:spacing w:val="-3"/>
          <w:sz w:val="22"/>
        </w:rPr>
        <w:t>the </w:t>
      </w:r>
      <w:r>
        <w:rPr>
          <w:spacing w:val="-4"/>
          <w:sz w:val="22"/>
        </w:rPr>
        <w:t>Department </w:t>
      </w:r>
      <w:r>
        <w:rPr>
          <w:spacing w:val="-3"/>
          <w:sz w:val="22"/>
        </w:rPr>
        <w:t>has </w:t>
      </w:r>
      <w:r>
        <w:rPr>
          <w:spacing w:val="-4"/>
          <w:sz w:val="22"/>
        </w:rPr>
        <w:t>early adopted </w:t>
      </w:r>
      <w:r>
        <w:rPr>
          <w:spacing w:val="-3"/>
          <w:sz w:val="22"/>
        </w:rPr>
        <w:t>AASB </w:t>
      </w:r>
      <w:r>
        <w:rPr>
          <w:spacing w:val="-4"/>
          <w:sz w:val="22"/>
        </w:rPr>
        <w:t>2015-7 </w:t>
      </w:r>
      <w:r>
        <w:rPr>
          <w:i/>
          <w:spacing w:val="-4"/>
          <w:sz w:val="22"/>
        </w:rPr>
        <w:t>Amendments </w:t>
      </w:r>
      <w:r>
        <w:rPr>
          <w:i/>
          <w:sz w:val="22"/>
        </w:rPr>
        <w:t>to </w:t>
      </w:r>
      <w:r>
        <w:rPr>
          <w:i/>
          <w:spacing w:val="-4"/>
          <w:sz w:val="22"/>
        </w:rPr>
        <w:t>Australian </w:t>
      </w:r>
      <w:r>
        <w:rPr>
          <w:i/>
          <w:spacing w:val="-4"/>
          <w:sz w:val="22"/>
        </w:rPr>
        <w:t>Accounting</w:t>
      </w:r>
      <w:r>
        <w:rPr>
          <w:i/>
          <w:spacing w:val="-21"/>
          <w:sz w:val="22"/>
        </w:rPr>
        <w:t> </w:t>
      </w:r>
      <w:r>
        <w:rPr>
          <w:i/>
          <w:spacing w:val="-4"/>
          <w:sz w:val="22"/>
        </w:rPr>
        <w:t>Standards-Fair</w:t>
      </w:r>
      <w:r>
        <w:rPr>
          <w:i/>
          <w:spacing w:val="-20"/>
          <w:sz w:val="22"/>
        </w:rPr>
        <w:t> </w:t>
      </w:r>
      <w:r>
        <w:rPr>
          <w:i/>
          <w:spacing w:val="-5"/>
          <w:sz w:val="22"/>
        </w:rPr>
        <w:t>Value</w:t>
      </w:r>
      <w:r>
        <w:rPr>
          <w:i/>
          <w:spacing w:val="-21"/>
          <w:sz w:val="22"/>
        </w:rPr>
        <w:t> </w:t>
      </w:r>
      <w:r>
        <w:rPr>
          <w:i/>
          <w:spacing w:val="-4"/>
          <w:sz w:val="22"/>
        </w:rPr>
        <w:t>Disclosures</w:t>
      </w:r>
    </w:p>
    <w:p>
      <w:pPr>
        <w:spacing w:before="7"/>
        <w:ind w:left="497" w:right="0" w:firstLine="0"/>
        <w:jc w:val="left"/>
        <w:rPr>
          <w:sz w:val="22"/>
        </w:rPr>
      </w:pPr>
      <w:r>
        <w:rPr>
          <w:i/>
          <w:sz w:val="22"/>
        </w:rPr>
        <w:t>of Not-for-Profit Public sector Entities</w:t>
      </w:r>
      <w:r>
        <w:rPr>
          <w:sz w:val="22"/>
        </w:rPr>
        <w:t>.</w:t>
      </w:r>
    </w:p>
    <w:p>
      <w:pPr>
        <w:pStyle w:val="BodyText"/>
        <w:spacing w:line="249" w:lineRule="auto" w:before="11"/>
        <w:ind w:left="497" w:right="1478"/>
      </w:pPr>
      <w:r>
        <w:rPr>
          <w:spacing w:val="-4"/>
        </w:rPr>
        <w:t>Where applicable, </w:t>
      </w:r>
      <w:r>
        <w:rPr>
          <w:spacing w:val="-3"/>
        </w:rPr>
        <w:t>the </w:t>
      </w:r>
      <w:r>
        <w:rPr>
          <w:spacing w:val="-4"/>
        </w:rPr>
        <w:t>Department plans to apply</w:t>
      </w:r>
      <w:r>
        <w:rPr>
          <w:spacing w:val="-32"/>
        </w:rPr>
        <w:t> </w:t>
      </w:r>
      <w:r>
        <w:rPr>
          <w:spacing w:val="-4"/>
        </w:rPr>
        <w:t>these</w:t>
      </w:r>
      <w:r>
        <w:rPr>
          <w:spacing w:val="-31"/>
        </w:rPr>
        <w:t> </w:t>
      </w:r>
      <w:r>
        <w:rPr>
          <w:spacing w:val="-4"/>
        </w:rPr>
        <w:t>Australian</w:t>
      </w:r>
      <w:r>
        <w:rPr>
          <w:spacing w:val="-32"/>
        </w:rPr>
        <w:t> </w:t>
      </w:r>
      <w:r>
        <w:rPr>
          <w:spacing w:val="-4"/>
        </w:rPr>
        <w:t>Accounting</w:t>
      </w:r>
      <w:r>
        <w:rPr>
          <w:spacing w:val="-31"/>
        </w:rPr>
        <w:t> </w:t>
      </w:r>
      <w:r>
        <w:rPr>
          <w:spacing w:val="-5"/>
        </w:rPr>
        <w:t>Standards </w:t>
      </w:r>
      <w:r>
        <w:rPr>
          <w:spacing w:val="-4"/>
        </w:rPr>
        <w:t>from their application</w:t>
      </w:r>
      <w:r>
        <w:rPr>
          <w:spacing w:val="-19"/>
        </w:rPr>
        <w:t> </w:t>
      </w:r>
      <w:r>
        <w:rPr>
          <w:spacing w:val="-4"/>
        </w:rPr>
        <w:t>date.</w:t>
      </w:r>
    </w:p>
    <w:p>
      <w:pPr>
        <w:spacing w:after="0" w:line="249" w:lineRule="auto"/>
        <w:sectPr>
          <w:type w:val="continuous"/>
          <w:pgSz w:w="16840" w:h="11910" w:orient="landscape"/>
          <w:pgMar w:top="0" w:bottom="0" w:left="0" w:right="0"/>
          <w:cols w:num="3" w:equalWidth="0">
            <w:col w:w="5584" w:space="40"/>
            <w:col w:w="5094" w:space="39"/>
            <w:col w:w="6083"/>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556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568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571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203"/>
          <w:pgSz w:w="16840" w:h="11910" w:orient="landscape"/>
          <w:pgMar w:footer="448" w:header="0" w:top="0" w:bottom="640" w:left="0" w:right="0"/>
        </w:sectPr>
      </w:pPr>
    </w:p>
    <w:p>
      <w:pPr>
        <w:pStyle w:val="BodyText"/>
        <w:spacing w:before="5"/>
        <w:rPr>
          <w:sz w:val="23"/>
        </w:rPr>
      </w:pPr>
    </w:p>
    <w:p>
      <w:pPr>
        <w:pStyle w:val="Heading6"/>
        <w:spacing w:line="249" w:lineRule="auto"/>
        <w:ind w:right="16"/>
      </w:pPr>
      <w:r>
        <w:rPr/>
        <w:t>Operative for reporting periods beginning on/ after 1 Jan 2017</w:t>
      </w:r>
    </w:p>
    <w:p>
      <w:pPr>
        <w:pStyle w:val="BodyText"/>
        <w:spacing w:before="5"/>
        <w:rPr>
          <w:b/>
          <w:sz w:val="23"/>
        </w:rPr>
      </w:pPr>
      <w:r>
        <w:rPr/>
        <w:br w:type="column"/>
      </w:r>
      <w:r>
        <w:rPr>
          <w:b/>
          <w:sz w:val="23"/>
        </w:rPr>
      </w:r>
    </w:p>
    <w:p>
      <w:pPr>
        <w:spacing w:line="249" w:lineRule="auto" w:before="0"/>
        <w:ind w:left="765" w:right="812" w:firstLine="0"/>
        <w:jc w:val="left"/>
        <w:rPr>
          <w:b/>
          <w:sz w:val="22"/>
        </w:rPr>
      </w:pPr>
      <w:r>
        <w:rPr>
          <w:b/>
          <w:sz w:val="22"/>
        </w:rPr>
        <w:t>Operative for reporting periods beginning on/ after 1 Jan 2018</w:t>
      </w:r>
    </w:p>
    <w:p>
      <w:pPr>
        <w:spacing w:after="0" w:line="249" w:lineRule="auto"/>
        <w:jc w:val="left"/>
        <w:rPr>
          <w:sz w:val="22"/>
        </w:rPr>
        <w:sectPr>
          <w:type w:val="continuous"/>
          <w:pgSz w:w="16840" w:h="11910" w:orient="landscape"/>
          <w:pgMar w:top="0" w:bottom="0" w:left="0" w:right="0"/>
          <w:cols w:num="2" w:equalWidth="0">
            <w:col w:w="5556" w:space="4932"/>
            <w:col w:w="6352"/>
          </w:cols>
        </w:sectPr>
      </w:pPr>
    </w:p>
    <w:p>
      <w:pPr>
        <w:pStyle w:val="BodyText"/>
        <w:spacing w:before="8"/>
        <w:rPr>
          <w:b/>
          <w:sz w:val="13"/>
        </w:rPr>
      </w:pPr>
    </w:p>
    <w:p>
      <w:pPr>
        <w:spacing w:after="0"/>
        <w:rPr>
          <w:sz w:val="13"/>
        </w:rPr>
        <w:sectPr>
          <w:type w:val="continuous"/>
          <w:pgSz w:w="16840" w:h="11910" w:orient="landscape"/>
          <w:pgMar w:top="0" w:bottom="0" w:left="0" w:right="0"/>
        </w:sectPr>
      </w:pPr>
    </w:p>
    <w:p>
      <w:pPr>
        <w:spacing w:before="108"/>
        <w:ind w:left="765" w:right="0" w:firstLine="0"/>
        <w:jc w:val="left"/>
        <w:rPr>
          <w:b/>
          <w:sz w:val="22"/>
        </w:rPr>
      </w:pPr>
      <w:r>
        <w:rPr>
          <w:b/>
          <w:color w:val="6F2770"/>
          <w:sz w:val="22"/>
        </w:rPr>
        <w:t>AASB 2016-2</w:t>
      </w:r>
    </w:p>
    <w:p>
      <w:pPr>
        <w:spacing w:line="249" w:lineRule="auto" w:before="11"/>
        <w:ind w:left="765" w:right="-13" w:firstLine="0"/>
        <w:jc w:val="left"/>
        <w:rPr>
          <w:sz w:val="22"/>
        </w:rPr>
      </w:pPr>
      <w:r>
        <w:rPr>
          <w:i/>
          <w:color w:val="6F2770"/>
          <w:sz w:val="22"/>
        </w:rPr>
        <w:t>Amendments to Australian Accounting Standards </w:t>
      </w:r>
      <w:r>
        <w:rPr>
          <w:i/>
          <w:color w:val="6F2770"/>
          <w:sz w:val="22"/>
        </w:rPr>
        <w:t>Disclosure Initiative: Amendments to AASB 107 </w:t>
      </w:r>
      <w:r>
        <w:rPr>
          <w:sz w:val="22"/>
        </w:rPr>
        <w:t>This Standard amends AASB 107 </w:t>
      </w:r>
      <w:r>
        <w:rPr>
          <w:i/>
          <w:sz w:val="22"/>
        </w:rPr>
        <w:t>Statement of </w:t>
      </w:r>
      <w:r>
        <w:rPr>
          <w:i/>
          <w:sz w:val="22"/>
        </w:rPr>
        <w:t>Cash Flows </w:t>
      </w:r>
      <w:r>
        <w:rPr>
          <w:sz w:val="22"/>
        </w:rPr>
        <w:t>(August 2015) to require disclosures that enable users of financial statements to evaluate</w:t>
      </w:r>
      <w:r>
        <w:rPr>
          <w:spacing w:val="-36"/>
          <w:sz w:val="22"/>
        </w:rPr>
        <w:t> </w:t>
      </w:r>
      <w:r>
        <w:rPr>
          <w:sz w:val="22"/>
        </w:rPr>
        <w:t>changes</w:t>
      </w:r>
      <w:r>
        <w:rPr>
          <w:spacing w:val="-36"/>
          <w:sz w:val="22"/>
        </w:rPr>
        <w:t> </w:t>
      </w:r>
      <w:r>
        <w:rPr>
          <w:sz w:val="22"/>
        </w:rPr>
        <w:t>in</w:t>
      </w:r>
      <w:r>
        <w:rPr>
          <w:spacing w:val="-36"/>
          <w:sz w:val="22"/>
        </w:rPr>
        <w:t> </w:t>
      </w:r>
      <w:r>
        <w:rPr>
          <w:sz w:val="22"/>
        </w:rPr>
        <w:t>liabilities</w:t>
      </w:r>
      <w:r>
        <w:rPr>
          <w:spacing w:val="-36"/>
          <w:sz w:val="22"/>
        </w:rPr>
        <w:t> </w:t>
      </w:r>
      <w:r>
        <w:rPr>
          <w:sz w:val="22"/>
        </w:rPr>
        <w:t>arising</w:t>
      </w:r>
      <w:r>
        <w:rPr>
          <w:spacing w:val="-35"/>
          <w:sz w:val="22"/>
        </w:rPr>
        <w:t> </w:t>
      </w:r>
      <w:r>
        <w:rPr>
          <w:sz w:val="22"/>
        </w:rPr>
        <w:t>from</w:t>
      </w:r>
      <w:r>
        <w:rPr>
          <w:spacing w:val="-36"/>
          <w:sz w:val="22"/>
        </w:rPr>
        <w:t> </w:t>
      </w:r>
      <w:r>
        <w:rPr>
          <w:sz w:val="22"/>
        </w:rPr>
        <w:t>financing activities,</w:t>
      </w:r>
      <w:r>
        <w:rPr>
          <w:spacing w:val="-25"/>
          <w:sz w:val="22"/>
        </w:rPr>
        <w:t> </w:t>
      </w:r>
      <w:r>
        <w:rPr>
          <w:sz w:val="22"/>
        </w:rPr>
        <w:t>including</w:t>
      </w:r>
      <w:r>
        <w:rPr>
          <w:spacing w:val="-24"/>
          <w:sz w:val="22"/>
        </w:rPr>
        <w:t> </w:t>
      </w:r>
      <w:r>
        <w:rPr>
          <w:sz w:val="22"/>
        </w:rPr>
        <w:t>both</w:t>
      </w:r>
      <w:r>
        <w:rPr>
          <w:spacing w:val="-24"/>
          <w:sz w:val="22"/>
        </w:rPr>
        <w:t> </w:t>
      </w:r>
      <w:r>
        <w:rPr>
          <w:sz w:val="22"/>
        </w:rPr>
        <w:t>changes</w:t>
      </w:r>
      <w:r>
        <w:rPr>
          <w:spacing w:val="-24"/>
          <w:sz w:val="22"/>
        </w:rPr>
        <w:t> </w:t>
      </w:r>
      <w:r>
        <w:rPr>
          <w:sz w:val="22"/>
        </w:rPr>
        <w:t>arising</w:t>
      </w:r>
      <w:r>
        <w:rPr>
          <w:spacing w:val="-24"/>
          <w:sz w:val="22"/>
        </w:rPr>
        <w:t> </w:t>
      </w:r>
      <w:r>
        <w:rPr>
          <w:sz w:val="22"/>
        </w:rPr>
        <w:t>from</w:t>
      </w:r>
      <w:r>
        <w:rPr>
          <w:spacing w:val="-24"/>
          <w:sz w:val="22"/>
        </w:rPr>
        <w:t> </w:t>
      </w:r>
      <w:r>
        <w:rPr>
          <w:spacing w:val="-5"/>
          <w:sz w:val="22"/>
        </w:rPr>
        <w:t>cash </w:t>
      </w:r>
      <w:r>
        <w:rPr>
          <w:sz w:val="22"/>
        </w:rPr>
        <w:t>flows</w:t>
      </w:r>
      <w:r>
        <w:rPr>
          <w:spacing w:val="-20"/>
          <w:sz w:val="22"/>
        </w:rPr>
        <w:t> </w:t>
      </w:r>
      <w:r>
        <w:rPr>
          <w:sz w:val="22"/>
        </w:rPr>
        <w:t>and</w:t>
      </w:r>
      <w:r>
        <w:rPr>
          <w:spacing w:val="-20"/>
          <w:sz w:val="22"/>
        </w:rPr>
        <w:t> </w:t>
      </w:r>
      <w:r>
        <w:rPr>
          <w:sz w:val="22"/>
        </w:rPr>
        <w:t>non-cash</w:t>
      </w:r>
      <w:r>
        <w:rPr>
          <w:spacing w:val="-19"/>
          <w:sz w:val="22"/>
        </w:rPr>
        <w:t> </w:t>
      </w:r>
      <w:r>
        <w:rPr>
          <w:sz w:val="22"/>
        </w:rPr>
        <w:t>changes.</w:t>
      </w:r>
      <w:r>
        <w:rPr>
          <w:spacing w:val="-20"/>
          <w:sz w:val="22"/>
        </w:rPr>
        <w:t> </w:t>
      </w:r>
      <w:r>
        <w:rPr>
          <w:sz w:val="22"/>
        </w:rPr>
        <w:t>There</w:t>
      </w:r>
      <w:r>
        <w:rPr>
          <w:spacing w:val="-19"/>
          <w:sz w:val="22"/>
        </w:rPr>
        <w:t> </w:t>
      </w:r>
      <w:r>
        <w:rPr>
          <w:sz w:val="22"/>
        </w:rPr>
        <w:t>is</w:t>
      </w:r>
      <w:r>
        <w:rPr>
          <w:spacing w:val="-20"/>
          <w:sz w:val="22"/>
        </w:rPr>
        <w:t> </w:t>
      </w:r>
      <w:r>
        <w:rPr>
          <w:sz w:val="22"/>
        </w:rPr>
        <w:t>no</w:t>
      </w:r>
      <w:r>
        <w:rPr>
          <w:spacing w:val="-20"/>
          <w:sz w:val="22"/>
        </w:rPr>
        <w:t> </w:t>
      </w:r>
      <w:r>
        <w:rPr>
          <w:sz w:val="22"/>
        </w:rPr>
        <w:t>financial impact.</w:t>
      </w:r>
    </w:p>
    <w:p>
      <w:pPr>
        <w:pStyle w:val="BodyText"/>
        <w:spacing w:before="8"/>
        <w:rPr>
          <w:sz w:val="23"/>
        </w:rPr>
      </w:pPr>
    </w:p>
    <w:p>
      <w:pPr>
        <w:spacing w:before="0"/>
        <w:ind w:left="765" w:right="0" w:firstLine="0"/>
        <w:jc w:val="left"/>
        <w:rPr>
          <w:b/>
          <w:sz w:val="22"/>
        </w:rPr>
      </w:pPr>
      <w:r>
        <w:rPr>
          <w:b/>
          <w:color w:val="6F2770"/>
          <w:sz w:val="22"/>
        </w:rPr>
        <w:t>AASB 2016-4</w:t>
      </w:r>
    </w:p>
    <w:p>
      <w:pPr>
        <w:spacing w:line="249" w:lineRule="auto" w:before="11"/>
        <w:ind w:left="765" w:right="114" w:firstLine="0"/>
        <w:jc w:val="left"/>
        <w:rPr>
          <w:i/>
          <w:sz w:val="22"/>
        </w:rPr>
      </w:pPr>
      <w:r>
        <w:rPr>
          <w:i/>
          <w:color w:val="6F2770"/>
          <w:sz w:val="22"/>
        </w:rPr>
        <w:t>Amendments</w:t>
      </w:r>
      <w:r>
        <w:rPr>
          <w:i/>
          <w:color w:val="6F2770"/>
          <w:spacing w:val="-32"/>
          <w:sz w:val="22"/>
        </w:rPr>
        <w:t> </w:t>
      </w:r>
      <w:r>
        <w:rPr>
          <w:i/>
          <w:color w:val="6F2770"/>
          <w:sz w:val="22"/>
        </w:rPr>
        <w:t>to</w:t>
      </w:r>
      <w:r>
        <w:rPr>
          <w:i/>
          <w:color w:val="6F2770"/>
          <w:spacing w:val="-32"/>
          <w:sz w:val="22"/>
        </w:rPr>
        <w:t> </w:t>
      </w:r>
      <w:r>
        <w:rPr>
          <w:i/>
          <w:color w:val="6F2770"/>
          <w:sz w:val="22"/>
        </w:rPr>
        <w:t>Australian</w:t>
      </w:r>
      <w:r>
        <w:rPr>
          <w:i/>
          <w:color w:val="6F2770"/>
          <w:spacing w:val="-32"/>
          <w:sz w:val="22"/>
        </w:rPr>
        <w:t> </w:t>
      </w:r>
      <w:r>
        <w:rPr>
          <w:i/>
          <w:color w:val="6F2770"/>
          <w:sz w:val="22"/>
        </w:rPr>
        <w:t>Accounting</w:t>
      </w:r>
      <w:r>
        <w:rPr>
          <w:i/>
          <w:color w:val="6F2770"/>
          <w:spacing w:val="-31"/>
          <w:sz w:val="22"/>
        </w:rPr>
        <w:t> </w:t>
      </w:r>
      <w:r>
        <w:rPr>
          <w:i/>
          <w:color w:val="6F2770"/>
          <w:sz w:val="22"/>
        </w:rPr>
        <w:t>Standards </w:t>
      </w:r>
      <w:r>
        <w:rPr>
          <w:i/>
          <w:color w:val="6F2770"/>
          <w:sz w:val="22"/>
        </w:rPr>
        <w:t>Recoverable Amount of Non-Cash-Generating Specialised Assets of Not-for-Profit</w:t>
      </w:r>
      <w:r>
        <w:rPr>
          <w:i/>
          <w:color w:val="6F2770"/>
          <w:spacing w:val="-42"/>
          <w:sz w:val="22"/>
        </w:rPr>
        <w:t> </w:t>
      </w:r>
      <w:r>
        <w:rPr>
          <w:i/>
          <w:color w:val="6F2770"/>
          <w:sz w:val="22"/>
        </w:rPr>
        <w:t>Entities</w:t>
      </w:r>
    </w:p>
    <w:p>
      <w:pPr>
        <w:pStyle w:val="BodyText"/>
        <w:spacing w:line="249" w:lineRule="auto" w:before="3"/>
        <w:ind w:left="765" w:right="274"/>
      </w:pPr>
      <w:r>
        <w:rPr/>
        <w:t>This Standard clarifies that the recoverable amount</w:t>
      </w:r>
      <w:r>
        <w:rPr>
          <w:spacing w:val="-31"/>
        </w:rPr>
        <w:t> </w:t>
      </w:r>
      <w:r>
        <w:rPr/>
        <w:t>of</w:t>
      </w:r>
      <w:r>
        <w:rPr>
          <w:spacing w:val="-30"/>
        </w:rPr>
        <w:t> </w:t>
      </w:r>
      <w:r>
        <w:rPr/>
        <w:t>primarily</w:t>
      </w:r>
      <w:r>
        <w:rPr>
          <w:spacing w:val="-30"/>
        </w:rPr>
        <w:t> </w:t>
      </w:r>
      <w:r>
        <w:rPr/>
        <w:t>non-cash-generating</w:t>
      </w:r>
      <w:r>
        <w:rPr>
          <w:spacing w:val="-31"/>
        </w:rPr>
        <w:t> </w:t>
      </w:r>
      <w:r>
        <w:rPr>
          <w:spacing w:val="-3"/>
        </w:rPr>
        <w:t>assets </w:t>
      </w:r>
      <w:r>
        <w:rPr/>
        <w:t>of not-for-profit entities, which are typically specialised in nature and held for continuing use of their service </w:t>
      </w:r>
      <w:r>
        <w:rPr>
          <w:spacing w:val="-3"/>
        </w:rPr>
        <w:t>capacity, </w:t>
      </w:r>
      <w:r>
        <w:rPr/>
        <w:t>is expected to be materially the same as fair value determined under</w:t>
      </w:r>
      <w:r>
        <w:rPr>
          <w:spacing w:val="-12"/>
        </w:rPr>
        <w:t> </w:t>
      </w:r>
      <w:r>
        <w:rPr/>
        <w:t>AASB</w:t>
      </w:r>
      <w:r>
        <w:rPr>
          <w:spacing w:val="-11"/>
        </w:rPr>
        <w:t> </w:t>
      </w:r>
      <w:r>
        <w:rPr/>
        <w:t>13</w:t>
      </w:r>
      <w:r>
        <w:rPr>
          <w:spacing w:val="-11"/>
        </w:rPr>
        <w:t> </w:t>
      </w:r>
      <w:r>
        <w:rPr>
          <w:i/>
        </w:rPr>
        <w:t>Fair</w:t>
      </w:r>
      <w:r>
        <w:rPr>
          <w:i/>
          <w:spacing w:val="-11"/>
        </w:rPr>
        <w:t> </w:t>
      </w:r>
      <w:r>
        <w:rPr>
          <w:i/>
        </w:rPr>
        <w:t>Value</w:t>
      </w:r>
      <w:r>
        <w:rPr>
          <w:i/>
          <w:spacing w:val="-11"/>
        </w:rPr>
        <w:t> </w:t>
      </w:r>
      <w:r>
        <w:rPr>
          <w:i/>
        </w:rPr>
        <w:t>Measurement</w:t>
      </w:r>
      <w:r>
        <w:rPr/>
        <w:t>.</w:t>
      </w:r>
    </w:p>
    <w:p>
      <w:pPr>
        <w:pStyle w:val="BodyText"/>
        <w:spacing w:line="249" w:lineRule="auto" w:before="6"/>
        <w:ind w:left="765" w:right="656"/>
      </w:pPr>
      <w:r>
        <w:rPr/>
        <w:t>The</w:t>
      </w:r>
      <w:r>
        <w:rPr>
          <w:spacing w:val="-19"/>
        </w:rPr>
        <w:t> </w:t>
      </w:r>
      <w:r>
        <w:rPr/>
        <w:t>Department</w:t>
      </w:r>
      <w:r>
        <w:rPr>
          <w:spacing w:val="-19"/>
        </w:rPr>
        <w:t> </w:t>
      </w:r>
      <w:r>
        <w:rPr/>
        <w:t>has</w:t>
      </w:r>
      <w:r>
        <w:rPr>
          <w:spacing w:val="-19"/>
        </w:rPr>
        <w:t> </w:t>
      </w:r>
      <w:r>
        <w:rPr/>
        <w:t>not</w:t>
      </w:r>
      <w:r>
        <w:rPr>
          <w:spacing w:val="-19"/>
        </w:rPr>
        <w:t> </w:t>
      </w:r>
      <w:r>
        <w:rPr/>
        <w:t>yet</w:t>
      </w:r>
      <w:r>
        <w:rPr>
          <w:spacing w:val="-19"/>
        </w:rPr>
        <w:t> </w:t>
      </w:r>
      <w:r>
        <w:rPr/>
        <w:t>determined</w:t>
      </w:r>
      <w:r>
        <w:rPr>
          <w:spacing w:val="-18"/>
        </w:rPr>
        <w:t> </w:t>
      </w:r>
      <w:r>
        <w:rPr>
          <w:spacing w:val="-6"/>
        </w:rPr>
        <w:t>the </w:t>
      </w:r>
      <w:r>
        <w:rPr/>
        <w:t>application or the potential</w:t>
      </w:r>
      <w:r>
        <w:rPr>
          <w:spacing w:val="-16"/>
        </w:rPr>
        <w:t> </w:t>
      </w:r>
      <w:r>
        <w:rPr/>
        <w:t>impact.</w:t>
      </w:r>
    </w:p>
    <w:p>
      <w:pPr>
        <w:spacing w:before="108"/>
        <w:ind w:left="404" w:right="0" w:firstLine="0"/>
        <w:jc w:val="left"/>
        <w:rPr>
          <w:b/>
          <w:sz w:val="22"/>
        </w:rPr>
      </w:pPr>
      <w:r>
        <w:rPr/>
        <w:br w:type="column"/>
      </w:r>
      <w:r>
        <w:rPr>
          <w:b/>
          <w:color w:val="6F2770"/>
          <w:sz w:val="22"/>
        </w:rPr>
        <w:t>AASB 2016-7</w:t>
      </w:r>
    </w:p>
    <w:p>
      <w:pPr>
        <w:spacing w:line="249" w:lineRule="auto" w:before="11"/>
        <w:ind w:left="404" w:right="117" w:firstLine="0"/>
        <w:jc w:val="left"/>
        <w:rPr>
          <w:sz w:val="22"/>
        </w:rPr>
      </w:pPr>
      <w:r>
        <w:rPr>
          <w:i/>
          <w:color w:val="6F2770"/>
          <w:sz w:val="22"/>
        </w:rPr>
        <w:t>Amendments</w:t>
      </w:r>
      <w:r>
        <w:rPr>
          <w:i/>
          <w:color w:val="6F2770"/>
          <w:spacing w:val="-29"/>
          <w:sz w:val="22"/>
        </w:rPr>
        <w:t> </w:t>
      </w:r>
      <w:r>
        <w:rPr>
          <w:i/>
          <w:color w:val="6F2770"/>
          <w:sz w:val="22"/>
        </w:rPr>
        <w:t>to</w:t>
      </w:r>
      <w:r>
        <w:rPr>
          <w:i/>
          <w:color w:val="6F2770"/>
          <w:spacing w:val="-28"/>
          <w:sz w:val="22"/>
        </w:rPr>
        <w:t> </w:t>
      </w:r>
      <w:r>
        <w:rPr>
          <w:i/>
          <w:color w:val="6F2770"/>
          <w:sz w:val="22"/>
        </w:rPr>
        <w:t>Australian</w:t>
      </w:r>
      <w:r>
        <w:rPr>
          <w:i/>
          <w:color w:val="6F2770"/>
          <w:spacing w:val="-28"/>
          <w:sz w:val="22"/>
        </w:rPr>
        <w:t> </w:t>
      </w:r>
      <w:r>
        <w:rPr>
          <w:i/>
          <w:color w:val="6F2770"/>
          <w:sz w:val="22"/>
        </w:rPr>
        <w:t>Accounting</w:t>
      </w:r>
      <w:r>
        <w:rPr>
          <w:i/>
          <w:color w:val="6F2770"/>
          <w:spacing w:val="-28"/>
          <w:sz w:val="22"/>
        </w:rPr>
        <w:t> </w:t>
      </w:r>
      <w:r>
        <w:rPr>
          <w:i/>
          <w:color w:val="6F2770"/>
          <w:sz w:val="22"/>
        </w:rPr>
        <w:t>Standards </w:t>
      </w:r>
      <w:r>
        <w:rPr>
          <w:i/>
          <w:color w:val="6F2770"/>
          <w:sz w:val="22"/>
        </w:rPr>
        <w:t>Deferral of AASB 15 for Not-for-Profit Entities</w:t>
      </w:r>
      <w:r>
        <w:rPr>
          <w:i/>
          <w:sz w:val="22"/>
        </w:rPr>
        <w:t> </w:t>
      </w:r>
      <w:r>
        <w:rPr>
          <w:sz w:val="22"/>
        </w:rPr>
        <w:t>This Standard amends the mandatory effective date</w:t>
      </w:r>
      <w:r>
        <w:rPr>
          <w:spacing w:val="-19"/>
          <w:sz w:val="22"/>
        </w:rPr>
        <w:t> </w:t>
      </w:r>
      <w:r>
        <w:rPr>
          <w:sz w:val="22"/>
        </w:rPr>
        <w:t>(application</w:t>
      </w:r>
      <w:r>
        <w:rPr>
          <w:spacing w:val="-19"/>
          <w:sz w:val="22"/>
        </w:rPr>
        <w:t> </w:t>
      </w:r>
      <w:r>
        <w:rPr>
          <w:sz w:val="22"/>
        </w:rPr>
        <w:t>date)</w:t>
      </w:r>
      <w:r>
        <w:rPr>
          <w:spacing w:val="-18"/>
          <w:sz w:val="22"/>
        </w:rPr>
        <w:t> </w:t>
      </w:r>
      <w:r>
        <w:rPr>
          <w:sz w:val="22"/>
        </w:rPr>
        <w:t>of</w:t>
      </w:r>
      <w:r>
        <w:rPr>
          <w:spacing w:val="-19"/>
          <w:sz w:val="22"/>
        </w:rPr>
        <w:t> </w:t>
      </w:r>
      <w:r>
        <w:rPr>
          <w:sz w:val="22"/>
        </w:rPr>
        <w:t>AASB</w:t>
      </w:r>
      <w:r>
        <w:rPr>
          <w:spacing w:val="-19"/>
          <w:sz w:val="22"/>
        </w:rPr>
        <w:t> </w:t>
      </w:r>
      <w:r>
        <w:rPr>
          <w:sz w:val="22"/>
        </w:rPr>
        <w:t>15</w:t>
      </w:r>
      <w:r>
        <w:rPr>
          <w:spacing w:val="-18"/>
          <w:sz w:val="22"/>
        </w:rPr>
        <w:t> </w:t>
      </w:r>
      <w:r>
        <w:rPr>
          <w:sz w:val="22"/>
        </w:rPr>
        <w:t>and</w:t>
      </w:r>
      <w:r>
        <w:rPr>
          <w:spacing w:val="-19"/>
          <w:sz w:val="22"/>
        </w:rPr>
        <w:t> </w:t>
      </w:r>
      <w:r>
        <w:rPr>
          <w:sz w:val="22"/>
        </w:rPr>
        <w:t>defers</w:t>
      </w:r>
      <w:r>
        <w:rPr>
          <w:spacing w:val="-19"/>
          <w:sz w:val="22"/>
        </w:rPr>
        <w:t> </w:t>
      </w:r>
      <w:r>
        <w:rPr>
          <w:spacing w:val="-6"/>
          <w:sz w:val="22"/>
        </w:rPr>
        <w:t>the</w:t>
      </w:r>
    </w:p>
    <w:p>
      <w:pPr>
        <w:spacing w:line="249" w:lineRule="auto" w:before="4"/>
        <w:ind w:left="404" w:right="40" w:firstLine="0"/>
        <w:jc w:val="left"/>
        <w:rPr>
          <w:sz w:val="22"/>
        </w:rPr>
      </w:pPr>
      <w:r>
        <w:rPr>
          <w:sz w:val="22"/>
        </w:rPr>
        <w:t>consequential</w:t>
      </w:r>
      <w:r>
        <w:rPr>
          <w:spacing w:val="-31"/>
          <w:sz w:val="22"/>
        </w:rPr>
        <w:t> </w:t>
      </w:r>
      <w:r>
        <w:rPr>
          <w:sz w:val="22"/>
        </w:rPr>
        <w:t>amendments</w:t>
      </w:r>
      <w:r>
        <w:rPr>
          <w:spacing w:val="-31"/>
          <w:sz w:val="22"/>
        </w:rPr>
        <w:t> </w:t>
      </w:r>
      <w:r>
        <w:rPr>
          <w:sz w:val="22"/>
        </w:rPr>
        <w:t>that</w:t>
      </w:r>
      <w:r>
        <w:rPr>
          <w:spacing w:val="-31"/>
          <w:sz w:val="22"/>
        </w:rPr>
        <w:t> </w:t>
      </w:r>
      <w:r>
        <w:rPr>
          <w:sz w:val="22"/>
        </w:rPr>
        <w:t>were</w:t>
      </w:r>
      <w:r>
        <w:rPr>
          <w:spacing w:val="-31"/>
          <w:sz w:val="22"/>
        </w:rPr>
        <w:t> </w:t>
      </w:r>
      <w:r>
        <w:rPr>
          <w:sz w:val="22"/>
        </w:rPr>
        <w:t>originally</w:t>
      </w:r>
      <w:r>
        <w:rPr>
          <w:spacing w:val="-31"/>
          <w:sz w:val="22"/>
        </w:rPr>
        <w:t> </w:t>
      </w:r>
      <w:r>
        <w:rPr>
          <w:spacing w:val="-6"/>
          <w:sz w:val="22"/>
        </w:rPr>
        <w:t>set </w:t>
      </w:r>
      <w:r>
        <w:rPr>
          <w:sz w:val="22"/>
        </w:rPr>
        <w:t>out in AASB 2014-5 </w:t>
      </w:r>
      <w:r>
        <w:rPr>
          <w:i/>
          <w:sz w:val="22"/>
        </w:rPr>
        <w:t>Amendments to Australian </w:t>
      </w:r>
      <w:r>
        <w:rPr>
          <w:i/>
          <w:sz w:val="22"/>
        </w:rPr>
        <w:t>Accounting Standards arising from AASB 15 </w:t>
      </w:r>
      <w:r>
        <w:rPr>
          <w:sz w:val="22"/>
        </w:rPr>
        <w:t>for not-for-profit entities to annual reporting periods beginning</w:t>
      </w:r>
      <w:r>
        <w:rPr>
          <w:spacing w:val="-10"/>
          <w:sz w:val="22"/>
        </w:rPr>
        <w:t> </w:t>
      </w:r>
      <w:r>
        <w:rPr>
          <w:sz w:val="22"/>
        </w:rPr>
        <w:t>on</w:t>
      </w:r>
      <w:r>
        <w:rPr>
          <w:spacing w:val="-10"/>
          <w:sz w:val="22"/>
        </w:rPr>
        <w:t> </w:t>
      </w:r>
      <w:r>
        <w:rPr>
          <w:sz w:val="22"/>
        </w:rPr>
        <w:t>or</w:t>
      </w:r>
      <w:r>
        <w:rPr>
          <w:spacing w:val="-10"/>
          <w:sz w:val="22"/>
        </w:rPr>
        <w:t> </w:t>
      </w:r>
      <w:r>
        <w:rPr>
          <w:sz w:val="22"/>
        </w:rPr>
        <w:t>after</w:t>
      </w:r>
      <w:r>
        <w:rPr>
          <w:spacing w:val="-10"/>
          <w:sz w:val="22"/>
        </w:rPr>
        <w:t> </w:t>
      </w:r>
      <w:r>
        <w:rPr>
          <w:sz w:val="22"/>
        </w:rPr>
        <w:t>1</w:t>
      </w:r>
      <w:r>
        <w:rPr>
          <w:spacing w:val="-10"/>
          <w:sz w:val="22"/>
        </w:rPr>
        <w:t> </w:t>
      </w:r>
      <w:r>
        <w:rPr>
          <w:sz w:val="22"/>
        </w:rPr>
        <w:t>January</w:t>
      </w:r>
      <w:r>
        <w:rPr>
          <w:spacing w:val="-10"/>
          <w:sz w:val="22"/>
        </w:rPr>
        <w:t> </w:t>
      </w:r>
      <w:r>
        <w:rPr>
          <w:sz w:val="22"/>
        </w:rPr>
        <w:t>2019</w:t>
      </w:r>
      <w:r>
        <w:rPr>
          <w:spacing w:val="-10"/>
          <w:sz w:val="22"/>
        </w:rPr>
        <w:t> </w:t>
      </w:r>
      <w:r>
        <w:rPr>
          <w:sz w:val="22"/>
        </w:rPr>
        <w:t>instead</w:t>
      </w:r>
      <w:r>
        <w:rPr>
          <w:spacing w:val="-10"/>
          <w:sz w:val="22"/>
        </w:rPr>
        <w:t> </w:t>
      </w:r>
      <w:r>
        <w:rPr>
          <w:sz w:val="22"/>
        </w:rPr>
        <w:t>of</w:t>
      </w:r>
    </w:p>
    <w:p>
      <w:pPr>
        <w:pStyle w:val="BodyText"/>
        <w:spacing w:before="4"/>
        <w:ind w:left="404"/>
      </w:pPr>
      <w:r>
        <w:rPr/>
        <w:t>1 January 2018. There is no financial impact.</w:t>
      </w:r>
    </w:p>
    <w:p>
      <w:pPr>
        <w:pStyle w:val="BodyText"/>
        <w:spacing w:before="11"/>
        <w:rPr>
          <w:sz w:val="23"/>
        </w:rPr>
      </w:pPr>
    </w:p>
    <w:p>
      <w:pPr>
        <w:spacing w:before="0"/>
        <w:ind w:left="404" w:right="0" w:firstLine="0"/>
        <w:jc w:val="left"/>
        <w:rPr>
          <w:b/>
          <w:sz w:val="22"/>
        </w:rPr>
      </w:pPr>
      <w:r>
        <w:rPr>
          <w:b/>
          <w:color w:val="6F2770"/>
          <w:sz w:val="22"/>
        </w:rPr>
        <w:t>AASB 2017-2</w:t>
      </w:r>
    </w:p>
    <w:p>
      <w:pPr>
        <w:spacing w:line="249" w:lineRule="auto" w:before="11"/>
        <w:ind w:left="404" w:right="-5" w:firstLine="0"/>
        <w:jc w:val="left"/>
        <w:rPr>
          <w:sz w:val="22"/>
        </w:rPr>
      </w:pPr>
      <w:r>
        <w:rPr>
          <w:i/>
          <w:color w:val="6F2770"/>
          <w:sz w:val="22"/>
        </w:rPr>
        <w:t>Amendments to Australian Accounting Standards </w:t>
      </w:r>
      <w:r>
        <w:rPr>
          <w:i/>
          <w:color w:val="6F2770"/>
          <w:sz w:val="22"/>
        </w:rPr>
        <w:t>Further Annual Improvements 2014-2016 Cycle </w:t>
      </w:r>
      <w:r>
        <w:rPr>
          <w:sz w:val="22"/>
        </w:rPr>
        <w:t>This Standard clarifies the scope of AASB 12 by specifying that the disclosure requirements apply to an </w:t>
      </w:r>
      <w:r>
        <w:rPr>
          <w:spacing w:val="-4"/>
          <w:sz w:val="22"/>
        </w:rPr>
        <w:t>entity’s </w:t>
      </w:r>
      <w:r>
        <w:rPr>
          <w:sz w:val="22"/>
        </w:rPr>
        <w:t>interests in other entities that are classified as held for sale, held for distribution to owners</w:t>
      </w:r>
      <w:r>
        <w:rPr>
          <w:spacing w:val="-17"/>
          <w:sz w:val="22"/>
        </w:rPr>
        <w:t> </w:t>
      </w:r>
      <w:r>
        <w:rPr>
          <w:sz w:val="22"/>
        </w:rPr>
        <w:t>in</w:t>
      </w:r>
      <w:r>
        <w:rPr>
          <w:spacing w:val="-17"/>
          <w:sz w:val="22"/>
        </w:rPr>
        <w:t> </w:t>
      </w:r>
      <w:r>
        <w:rPr>
          <w:sz w:val="22"/>
        </w:rPr>
        <w:t>their</w:t>
      </w:r>
      <w:r>
        <w:rPr>
          <w:spacing w:val="-17"/>
          <w:sz w:val="22"/>
        </w:rPr>
        <w:t> </w:t>
      </w:r>
      <w:r>
        <w:rPr>
          <w:sz w:val="22"/>
        </w:rPr>
        <w:t>capacity</w:t>
      </w:r>
      <w:r>
        <w:rPr>
          <w:spacing w:val="-16"/>
          <w:sz w:val="22"/>
        </w:rPr>
        <w:t> </w:t>
      </w:r>
      <w:r>
        <w:rPr>
          <w:sz w:val="22"/>
        </w:rPr>
        <w:t>as</w:t>
      </w:r>
      <w:r>
        <w:rPr>
          <w:spacing w:val="-17"/>
          <w:sz w:val="22"/>
        </w:rPr>
        <w:t> </w:t>
      </w:r>
      <w:r>
        <w:rPr>
          <w:sz w:val="22"/>
        </w:rPr>
        <w:t>owners</w:t>
      </w:r>
      <w:r>
        <w:rPr>
          <w:spacing w:val="-17"/>
          <w:sz w:val="22"/>
        </w:rPr>
        <w:t> </w:t>
      </w:r>
      <w:r>
        <w:rPr>
          <w:sz w:val="22"/>
        </w:rPr>
        <w:t>or</w:t>
      </w:r>
      <w:r>
        <w:rPr>
          <w:spacing w:val="-16"/>
          <w:sz w:val="22"/>
        </w:rPr>
        <w:t> </w:t>
      </w:r>
      <w:r>
        <w:rPr>
          <w:sz w:val="22"/>
        </w:rPr>
        <w:t>discontinued operations</w:t>
      </w:r>
      <w:r>
        <w:rPr>
          <w:spacing w:val="-18"/>
          <w:sz w:val="22"/>
        </w:rPr>
        <w:t> </w:t>
      </w:r>
      <w:r>
        <w:rPr>
          <w:sz w:val="22"/>
        </w:rPr>
        <w:t>in</w:t>
      </w:r>
      <w:r>
        <w:rPr>
          <w:spacing w:val="-18"/>
          <w:sz w:val="22"/>
        </w:rPr>
        <w:t> </w:t>
      </w:r>
      <w:r>
        <w:rPr>
          <w:sz w:val="22"/>
        </w:rPr>
        <w:t>accordance</w:t>
      </w:r>
      <w:r>
        <w:rPr>
          <w:spacing w:val="-17"/>
          <w:sz w:val="22"/>
        </w:rPr>
        <w:t> </w:t>
      </w:r>
      <w:r>
        <w:rPr>
          <w:sz w:val="22"/>
        </w:rPr>
        <w:t>with</w:t>
      </w:r>
      <w:r>
        <w:rPr>
          <w:spacing w:val="-18"/>
          <w:sz w:val="22"/>
        </w:rPr>
        <w:t> </w:t>
      </w:r>
      <w:r>
        <w:rPr>
          <w:sz w:val="22"/>
        </w:rPr>
        <w:t>AASB</w:t>
      </w:r>
      <w:r>
        <w:rPr>
          <w:spacing w:val="-18"/>
          <w:sz w:val="22"/>
        </w:rPr>
        <w:t> </w:t>
      </w:r>
      <w:r>
        <w:rPr>
          <w:sz w:val="22"/>
        </w:rPr>
        <w:t>5.</w:t>
      </w:r>
      <w:r>
        <w:rPr>
          <w:spacing w:val="-17"/>
          <w:sz w:val="22"/>
        </w:rPr>
        <w:t> </w:t>
      </w:r>
      <w:r>
        <w:rPr>
          <w:sz w:val="22"/>
        </w:rPr>
        <w:t>There</w:t>
      </w:r>
      <w:r>
        <w:rPr>
          <w:spacing w:val="-18"/>
          <w:sz w:val="22"/>
        </w:rPr>
        <w:t> </w:t>
      </w:r>
      <w:r>
        <w:rPr>
          <w:sz w:val="22"/>
        </w:rPr>
        <w:t>is</w:t>
      </w:r>
      <w:r>
        <w:rPr>
          <w:spacing w:val="-18"/>
          <w:sz w:val="22"/>
        </w:rPr>
        <w:t> </w:t>
      </w:r>
      <w:r>
        <w:rPr>
          <w:spacing w:val="-10"/>
          <w:sz w:val="22"/>
        </w:rPr>
        <w:t>no </w:t>
      </w:r>
      <w:r>
        <w:rPr>
          <w:sz w:val="22"/>
        </w:rPr>
        <w:t>financial</w:t>
      </w:r>
      <w:r>
        <w:rPr>
          <w:spacing w:val="-1"/>
          <w:sz w:val="22"/>
        </w:rPr>
        <w:t> </w:t>
      </w:r>
      <w:r>
        <w:rPr>
          <w:sz w:val="22"/>
        </w:rPr>
        <w:t>impact.</w:t>
      </w:r>
    </w:p>
    <w:p>
      <w:pPr>
        <w:spacing w:before="108"/>
        <w:ind w:left="386" w:right="0" w:firstLine="0"/>
        <w:jc w:val="left"/>
        <w:rPr>
          <w:b/>
          <w:sz w:val="22"/>
        </w:rPr>
      </w:pPr>
      <w:r>
        <w:rPr/>
        <w:br w:type="column"/>
      </w:r>
      <w:r>
        <w:rPr>
          <w:b/>
          <w:color w:val="6F2770"/>
          <w:sz w:val="22"/>
        </w:rPr>
        <w:t>AASB 9</w:t>
      </w:r>
    </w:p>
    <w:p>
      <w:pPr>
        <w:spacing w:before="11"/>
        <w:ind w:left="386" w:right="0" w:firstLine="0"/>
        <w:jc w:val="left"/>
        <w:rPr>
          <w:i/>
          <w:sz w:val="22"/>
        </w:rPr>
      </w:pPr>
      <w:r>
        <w:rPr>
          <w:i/>
          <w:color w:val="6F2770"/>
          <w:sz w:val="22"/>
        </w:rPr>
        <w:t>Financial Instruments</w:t>
      </w:r>
    </w:p>
    <w:p>
      <w:pPr>
        <w:spacing w:line="249" w:lineRule="auto" w:before="11"/>
        <w:ind w:left="386" w:right="1095" w:firstLine="0"/>
        <w:jc w:val="left"/>
        <w:rPr>
          <w:sz w:val="22"/>
        </w:rPr>
      </w:pPr>
      <w:r>
        <w:rPr>
          <w:sz w:val="22"/>
        </w:rPr>
        <w:t>This</w:t>
      </w:r>
      <w:r>
        <w:rPr>
          <w:spacing w:val="-29"/>
          <w:sz w:val="22"/>
        </w:rPr>
        <w:t> </w:t>
      </w:r>
      <w:r>
        <w:rPr>
          <w:sz w:val="22"/>
        </w:rPr>
        <w:t>Standard</w:t>
      </w:r>
      <w:r>
        <w:rPr>
          <w:spacing w:val="-28"/>
          <w:sz w:val="22"/>
        </w:rPr>
        <w:t> </w:t>
      </w:r>
      <w:r>
        <w:rPr>
          <w:sz w:val="22"/>
        </w:rPr>
        <w:t>supersedes</w:t>
      </w:r>
      <w:r>
        <w:rPr>
          <w:spacing w:val="-28"/>
          <w:sz w:val="22"/>
        </w:rPr>
        <w:t> </w:t>
      </w:r>
      <w:r>
        <w:rPr>
          <w:sz w:val="22"/>
        </w:rPr>
        <w:t>AASB</w:t>
      </w:r>
      <w:r>
        <w:rPr>
          <w:spacing w:val="-28"/>
          <w:sz w:val="22"/>
        </w:rPr>
        <w:t> </w:t>
      </w:r>
      <w:r>
        <w:rPr>
          <w:sz w:val="22"/>
        </w:rPr>
        <w:t>139</w:t>
      </w:r>
      <w:r>
        <w:rPr>
          <w:spacing w:val="-28"/>
          <w:sz w:val="22"/>
        </w:rPr>
        <w:t> </w:t>
      </w:r>
      <w:r>
        <w:rPr>
          <w:i/>
          <w:sz w:val="22"/>
        </w:rPr>
        <w:t>Financial </w:t>
      </w:r>
      <w:r>
        <w:rPr>
          <w:i/>
          <w:sz w:val="22"/>
        </w:rPr>
        <w:t>Instruments: Recognition and Measurement, </w:t>
      </w:r>
      <w:r>
        <w:rPr>
          <w:sz w:val="22"/>
        </w:rPr>
        <w:t>introducing</w:t>
      </w:r>
      <w:r>
        <w:rPr>
          <w:spacing w:val="-18"/>
          <w:sz w:val="22"/>
        </w:rPr>
        <w:t> </w:t>
      </w:r>
      <w:r>
        <w:rPr>
          <w:sz w:val="22"/>
        </w:rPr>
        <w:t>a</w:t>
      </w:r>
      <w:r>
        <w:rPr>
          <w:spacing w:val="-17"/>
          <w:sz w:val="22"/>
        </w:rPr>
        <w:t> </w:t>
      </w:r>
      <w:r>
        <w:rPr>
          <w:sz w:val="22"/>
        </w:rPr>
        <w:t>number</w:t>
      </w:r>
      <w:r>
        <w:rPr>
          <w:spacing w:val="-17"/>
          <w:sz w:val="22"/>
        </w:rPr>
        <w:t> </w:t>
      </w:r>
      <w:r>
        <w:rPr>
          <w:sz w:val="22"/>
        </w:rPr>
        <w:t>of</w:t>
      </w:r>
      <w:r>
        <w:rPr>
          <w:spacing w:val="-17"/>
          <w:sz w:val="22"/>
        </w:rPr>
        <w:t> </w:t>
      </w:r>
      <w:r>
        <w:rPr>
          <w:sz w:val="22"/>
        </w:rPr>
        <w:t>changes</w:t>
      </w:r>
      <w:r>
        <w:rPr>
          <w:spacing w:val="-17"/>
          <w:sz w:val="22"/>
        </w:rPr>
        <w:t> </w:t>
      </w:r>
      <w:r>
        <w:rPr>
          <w:sz w:val="22"/>
        </w:rPr>
        <w:t>to</w:t>
      </w:r>
      <w:r>
        <w:rPr>
          <w:spacing w:val="-17"/>
          <w:sz w:val="22"/>
        </w:rPr>
        <w:t> </w:t>
      </w:r>
      <w:r>
        <w:rPr>
          <w:sz w:val="22"/>
        </w:rPr>
        <w:t>accounting treatments.</w:t>
      </w:r>
    </w:p>
    <w:p>
      <w:pPr>
        <w:pStyle w:val="BodyText"/>
        <w:spacing w:before="3"/>
        <w:rPr>
          <w:sz w:val="23"/>
        </w:rPr>
      </w:pPr>
    </w:p>
    <w:p>
      <w:pPr>
        <w:pStyle w:val="BodyText"/>
        <w:spacing w:line="249" w:lineRule="auto"/>
        <w:ind w:left="386" w:right="813"/>
      </w:pPr>
      <w:r>
        <w:rPr/>
        <w:t>The</w:t>
      </w:r>
      <w:r>
        <w:rPr>
          <w:spacing w:val="-20"/>
        </w:rPr>
        <w:t> </w:t>
      </w:r>
      <w:r>
        <w:rPr/>
        <w:t>mandatory</w:t>
      </w:r>
      <w:r>
        <w:rPr>
          <w:spacing w:val="-19"/>
        </w:rPr>
        <w:t> </w:t>
      </w:r>
      <w:r>
        <w:rPr/>
        <w:t>application</w:t>
      </w:r>
      <w:r>
        <w:rPr>
          <w:spacing w:val="-19"/>
        </w:rPr>
        <w:t> </w:t>
      </w:r>
      <w:r>
        <w:rPr/>
        <w:t>date</w:t>
      </w:r>
      <w:r>
        <w:rPr>
          <w:spacing w:val="-19"/>
        </w:rPr>
        <w:t> </w:t>
      </w:r>
      <w:r>
        <w:rPr/>
        <w:t>of</w:t>
      </w:r>
      <w:r>
        <w:rPr>
          <w:spacing w:val="-19"/>
        </w:rPr>
        <w:t> </w:t>
      </w:r>
      <w:r>
        <w:rPr/>
        <w:t>this</w:t>
      </w:r>
      <w:r>
        <w:rPr>
          <w:spacing w:val="-20"/>
        </w:rPr>
        <w:t> </w:t>
      </w:r>
      <w:r>
        <w:rPr/>
        <w:t>Standard</w:t>
      </w:r>
      <w:r>
        <w:rPr>
          <w:spacing w:val="-19"/>
        </w:rPr>
        <w:t> </w:t>
      </w:r>
      <w:r>
        <w:rPr>
          <w:spacing w:val="-8"/>
        </w:rPr>
        <w:t>is </w:t>
      </w:r>
      <w:r>
        <w:rPr/>
        <w:t>currently</w:t>
      </w:r>
      <w:r>
        <w:rPr>
          <w:spacing w:val="-16"/>
        </w:rPr>
        <w:t> </w:t>
      </w:r>
      <w:r>
        <w:rPr/>
        <w:t>1</w:t>
      </w:r>
      <w:r>
        <w:rPr>
          <w:spacing w:val="-15"/>
        </w:rPr>
        <w:t> </w:t>
      </w:r>
      <w:r>
        <w:rPr/>
        <w:t>January</w:t>
      </w:r>
      <w:r>
        <w:rPr>
          <w:spacing w:val="-16"/>
        </w:rPr>
        <w:t> </w:t>
      </w:r>
      <w:r>
        <w:rPr/>
        <w:t>2018</w:t>
      </w:r>
      <w:r>
        <w:rPr>
          <w:spacing w:val="-15"/>
        </w:rPr>
        <w:t> </w:t>
      </w:r>
      <w:r>
        <w:rPr/>
        <w:t>after</w:t>
      </w:r>
      <w:r>
        <w:rPr>
          <w:spacing w:val="-16"/>
        </w:rPr>
        <w:t> </w:t>
      </w:r>
      <w:r>
        <w:rPr/>
        <w:t>being</w:t>
      </w:r>
      <w:r>
        <w:rPr>
          <w:spacing w:val="-15"/>
        </w:rPr>
        <w:t> </w:t>
      </w:r>
      <w:r>
        <w:rPr/>
        <w:t>amended</w:t>
      </w:r>
      <w:r>
        <w:rPr>
          <w:spacing w:val="-15"/>
        </w:rPr>
        <w:t> </w:t>
      </w:r>
      <w:r>
        <w:rPr/>
        <w:t>by AASB 2012-6, AASB 2013-9 and AASB</w:t>
      </w:r>
      <w:r>
        <w:rPr>
          <w:spacing w:val="-37"/>
        </w:rPr>
        <w:t> </w:t>
      </w:r>
      <w:r>
        <w:rPr/>
        <w:t>2014-1</w:t>
      </w:r>
    </w:p>
    <w:p>
      <w:pPr>
        <w:spacing w:line="249" w:lineRule="auto" w:before="3"/>
        <w:ind w:left="386" w:right="689" w:firstLine="0"/>
        <w:jc w:val="left"/>
        <w:rPr>
          <w:sz w:val="22"/>
        </w:rPr>
      </w:pPr>
      <w:r>
        <w:rPr>
          <w:i/>
          <w:sz w:val="22"/>
        </w:rPr>
        <w:t>Amendments to Australian Accounting Standards</w:t>
      </w:r>
      <w:r>
        <w:rPr>
          <w:sz w:val="22"/>
        </w:rPr>
        <w:t>. The Department has not yet determined the application or the potential impact of the </w:t>
      </w:r>
      <w:r>
        <w:rPr>
          <w:spacing w:val="-3"/>
          <w:sz w:val="22"/>
        </w:rPr>
        <w:t>Standard.</w:t>
      </w:r>
    </w:p>
    <w:p>
      <w:pPr>
        <w:pStyle w:val="BodyText"/>
        <w:spacing w:before="2"/>
        <w:rPr>
          <w:sz w:val="23"/>
        </w:rPr>
      </w:pPr>
    </w:p>
    <w:p>
      <w:pPr>
        <w:spacing w:before="0"/>
        <w:ind w:left="386" w:right="0" w:firstLine="0"/>
        <w:jc w:val="left"/>
        <w:rPr>
          <w:b/>
          <w:sz w:val="22"/>
        </w:rPr>
      </w:pPr>
      <w:r>
        <w:rPr>
          <w:b/>
          <w:color w:val="6F2770"/>
          <w:sz w:val="22"/>
        </w:rPr>
        <w:t>AASB 2010-7</w:t>
      </w:r>
    </w:p>
    <w:p>
      <w:pPr>
        <w:spacing w:line="249" w:lineRule="auto" w:before="11"/>
        <w:ind w:left="386" w:right="787" w:firstLine="0"/>
        <w:jc w:val="left"/>
        <w:rPr>
          <w:i/>
          <w:sz w:val="22"/>
        </w:rPr>
      </w:pPr>
      <w:r>
        <w:rPr>
          <w:i/>
          <w:color w:val="6F2770"/>
          <w:sz w:val="22"/>
        </w:rPr>
        <w:t>Amendments</w:t>
      </w:r>
      <w:r>
        <w:rPr>
          <w:i/>
          <w:color w:val="6F2770"/>
          <w:spacing w:val="-21"/>
          <w:sz w:val="22"/>
        </w:rPr>
        <w:t> </w:t>
      </w:r>
      <w:r>
        <w:rPr>
          <w:i/>
          <w:color w:val="6F2770"/>
          <w:sz w:val="22"/>
        </w:rPr>
        <w:t>to</w:t>
      </w:r>
      <w:r>
        <w:rPr>
          <w:i/>
          <w:color w:val="6F2770"/>
          <w:spacing w:val="-20"/>
          <w:sz w:val="22"/>
        </w:rPr>
        <w:t> </w:t>
      </w:r>
      <w:r>
        <w:rPr>
          <w:i/>
          <w:color w:val="6F2770"/>
          <w:sz w:val="22"/>
        </w:rPr>
        <w:t>Australian</w:t>
      </w:r>
      <w:r>
        <w:rPr>
          <w:i/>
          <w:color w:val="6F2770"/>
          <w:spacing w:val="-20"/>
          <w:sz w:val="22"/>
        </w:rPr>
        <w:t> </w:t>
      </w:r>
      <w:r>
        <w:rPr>
          <w:i/>
          <w:color w:val="6F2770"/>
          <w:sz w:val="22"/>
        </w:rPr>
        <w:t>Accounting</w:t>
      </w:r>
      <w:r>
        <w:rPr>
          <w:i/>
          <w:color w:val="6F2770"/>
          <w:spacing w:val="-20"/>
          <w:sz w:val="22"/>
        </w:rPr>
        <w:t> </w:t>
      </w:r>
      <w:r>
        <w:rPr>
          <w:i/>
          <w:color w:val="6F2770"/>
          <w:sz w:val="22"/>
        </w:rPr>
        <w:t>Standards </w:t>
      </w:r>
      <w:r>
        <w:rPr>
          <w:i/>
          <w:color w:val="6F2770"/>
          <w:sz w:val="22"/>
        </w:rPr>
        <w:t>arising</w:t>
      </w:r>
      <w:r>
        <w:rPr>
          <w:i/>
          <w:color w:val="6F2770"/>
          <w:spacing w:val="-20"/>
          <w:sz w:val="22"/>
        </w:rPr>
        <w:t> </w:t>
      </w:r>
      <w:r>
        <w:rPr>
          <w:i/>
          <w:color w:val="6F2770"/>
          <w:sz w:val="22"/>
        </w:rPr>
        <w:t>from</w:t>
      </w:r>
      <w:r>
        <w:rPr>
          <w:i/>
          <w:color w:val="6F2770"/>
          <w:spacing w:val="-19"/>
          <w:sz w:val="22"/>
        </w:rPr>
        <w:t> </w:t>
      </w:r>
      <w:r>
        <w:rPr>
          <w:i/>
          <w:color w:val="6F2770"/>
          <w:sz w:val="22"/>
        </w:rPr>
        <w:t>AASB</w:t>
      </w:r>
      <w:r>
        <w:rPr>
          <w:i/>
          <w:color w:val="6F2770"/>
          <w:spacing w:val="-19"/>
          <w:sz w:val="22"/>
        </w:rPr>
        <w:t> </w:t>
      </w:r>
      <w:r>
        <w:rPr>
          <w:i/>
          <w:color w:val="6F2770"/>
          <w:sz w:val="22"/>
        </w:rPr>
        <w:t>9</w:t>
      </w:r>
      <w:r>
        <w:rPr>
          <w:i/>
          <w:color w:val="6F2770"/>
          <w:spacing w:val="-20"/>
          <w:sz w:val="22"/>
        </w:rPr>
        <w:t> </w:t>
      </w:r>
      <w:r>
        <w:rPr>
          <w:i/>
          <w:color w:val="6F2770"/>
          <w:sz w:val="22"/>
        </w:rPr>
        <w:t>(December</w:t>
      </w:r>
      <w:r>
        <w:rPr>
          <w:i/>
          <w:color w:val="6F2770"/>
          <w:spacing w:val="-19"/>
          <w:sz w:val="22"/>
        </w:rPr>
        <w:t> </w:t>
      </w:r>
      <w:r>
        <w:rPr>
          <w:i/>
          <w:color w:val="6F2770"/>
          <w:sz w:val="22"/>
        </w:rPr>
        <w:t>2010)</w:t>
      </w:r>
      <w:r>
        <w:rPr>
          <w:i/>
          <w:color w:val="6F2770"/>
          <w:spacing w:val="-19"/>
          <w:sz w:val="22"/>
        </w:rPr>
        <w:t> </w:t>
      </w:r>
      <w:r>
        <w:rPr>
          <w:i/>
          <w:color w:val="6F2770"/>
          <w:sz w:val="22"/>
        </w:rPr>
        <w:t>[AASB</w:t>
      </w:r>
      <w:r>
        <w:rPr>
          <w:i/>
          <w:color w:val="6F2770"/>
          <w:spacing w:val="-20"/>
          <w:sz w:val="22"/>
        </w:rPr>
        <w:t> </w:t>
      </w:r>
      <w:r>
        <w:rPr>
          <w:i/>
          <w:color w:val="6F2770"/>
          <w:sz w:val="22"/>
        </w:rPr>
        <w:t>1,</w:t>
      </w:r>
      <w:r>
        <w:rPr>
          <w:i/>
          <w:color w:val="6F2770"/>
          <w:spacing w:val="-19"/>
          <w:sz w:val="22"/>
        </w:rPr>
        <w:t> </w:t>
      </w:r>
      <w:r>
        <w:rPr>
          <w:i/>
          <w:color w:val="6F2770"/>
          <w:spacing w:val="-9"/>
          <w:sz w:val="22"/>
        </w:rPr>
        <w:t>3,</w:t>
      </w:r>
    </w:p>
    <w:p>
      <w:pPr>
        <w:spacing w:before="2"/>
        <w:ind w:left="386" w:right="0" w:firstLine="0"/>
        <w:jc w:val="left"/>
        <w:rPr>
          <w:i/>
          <w:sz w:val="22"/>
        </w:rPr>
      </w:pPr>
      <w:r>
        <w:rPr>
          <w:i/>
          <w:color w:val="6F2770"/>
          <w:sz w:val="22"/>
        </w:rPr>
        <w:t>4, 5, 7, 101, 102, 108, 112, 118, 120, 121,</w:t>
      </w:r>
      <w:r>
        <w:rPr>
          <w:i/>
          <w:color w:val="6F2770"/>
          <w:spacing w:val="-1"/>
          <w:sz w:val="22"/>
        </w:rPr>
        <w:t> </w:t>
      </w:r>
      <w:r>
        <w:rPr>
          <w:i/>
          <w:color w:val="6F2770"/>
          <w:sz w:val="22"/>
        </w:rPr>
        <w:t>127,</w:t>
      </w:r>
    </w:p>
    <w:p>
      <w:pPr>
        <w:spacing w:before="11"/>
        <w:ind w:left="386" w:right="0" w:firstLine="0"/>
        <w:jc w:val="left"/>
        <w:rPr>
          <w:i/>
          <w:sz w:val="22"/>
        </w:rPr>
      </w:pPr>
      <w:r>
        <w:rPr>
          <w:i/>
          <w:color w:val="6F2770"/>
          <w:sz w:val="22"/>
        </w:rPr>
        <w:t>128, 131, 132, 136, 137, 139, 1023 &amp; 1038</w:t>
      </w:r>
      <w:r>
        <w:rPr>
          <w:i/>
          <w:color w:val="6F2770"/>
          <w:spacing w:val="-22"/>
          <w:sz w:val="22"/>
        </w:rPr>
        <w:t> </w:t>
      </w:r>
      <w:r>
        <w:rPr>
          <w:i/>
          <w:color w:val="6F2770"/>
          <w:sz w:val="22"/>
        </w:rPr>
        <w:t>and</w:t>
      </w:r>
    </w:p>
    <w:p>
      <w:pPr>
        <w:spacing w:before="11"/>
        <w:ind w:left="386" w:right="0" w:firstLine="0"/>
        <w:jc w:val="left"/>
        <w:rPr>
          <w:i/>
          <w:sz w:val="22"/>
        </w:rPr>
      </w:pPr>
      <w:r>
        <w:rPr>
          <w:i/>
          <w:color w:val="6F2770"/>
          <w:sz w:val="22"/>
        </w:rPr>
        <w:t>Int 2, 5, 10, 12, 19 &amp; 127]</w:t>
      </w:r>
    </w:p>
    <w:p>
      <w:pPr>
        <w:pStyle w:val="BodyText"/>
        <w:spacing w:line="249" w:lineRule="auto" w:before="11"/>
        <w:ind w:left="386" w:right="888"/>
      </w:pPr>
      <w:r>
        <w:rPr/>
        <w:t>This</w:t>
      </w:r>
      <w:r>
        <w:rPr>
          <w:spacing w:val="-38"/>
        </w:rPr>
        <w:t> </w:t>
      </w:r>
      <w:r>
        <w:rPr/>
        <w:t>Standard</w:t>
      </w:r>
      <w:r>
        <w:rPr>
          <w:spacing w:val="-38"/>
        </w:rPr>
        <w:t> </w:t>
      </w:r>
      <w:r>
        <w:rPr/>
        <w:t>makes</w:t>
      </w:r>
      <w:r>
        <w:rPr>
          <w:spacing w:val="-38"/>
        </w:rPr>
        <w:t> </w:t>
      </w:r>
      <w:r>
        <w:rPr/>
        <w:t>consequential</w:t>
      </w:r>
      <w:r>
        <w:rPr>
          <w:spacing w:val="-38"/>
        </w:rPr>
        <w:t> </w:t>
      </w:r>
      <w:r>
        <w:rPr/>
        <w:t>amendments to other Australian Accounting Standards and Interpretations as a result of issuing AASB 9 in December</w:t>
      </w:r>
      <w:r>
        <w:rPr>
          <w:spacing w:val="-1"/>
        </w:rPr>
        <w:t> </w:t>
      </w:r>
      <w:r>
        <w:rPr/>
        <w:t>2010.</w:t>
      </w:r>
    </w:p>
    <w:p>
      <w:pPr>
        <w:spacing w:after="0" w:line="249" w:lineRule="auto"/>
        <w:sectPr>
          <w:type w:val="continuous"/>
          <w:pgSz w:w="16840" w:h="11910" w:orient="landscape"/>
          <w:pgMar w:top="0" w:bottom="0" w:left="0" w:right="0"/>
          <w:cols w:num="3" w:equalWidth="0">
            <w:col w:w="5566" w:space="40"/>
            <w:col w:w="5222" w:space="39"/>
            <w:col w:w="5973"/>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580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592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595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204"/>
          <w:pgSz w:w="16840" w:h="11910" w:orient="landscape"/>
          <w:pgMar w:footer="448" w:header="0" w:top="0" w:bottom="640" w:left="0" w:right="0"/>
        </w:sectPr>
      </w:pPr>
    </w:p>
    <w:p>
      <w:pPr>
        <w:pStyle w:val="BodyText"/>
        <w:spacing w:before="5"/>
        <w:rPr>
          <w:sz w:val="23"/>
        </w:rPr>
      </w:pPr>
    </w:p>
    <w:p>
      <w:pPr>
        <w:pStyle w:val="BodyText"/>
        <w:spacing w:line="249" w:lineRule="auto"/>
        <w:ind w:left="765" w:right="67"/>
      </w:pPr>
      <w:r>
        <w:rPr/>
        <w:t>The mandatory application date of this Standard has been amended by AASB 2012-6 and AASB 2014-1 to 1 January 2018. The Department has not</w:t>
      </w:r>
      <w:r>
        <w:rPr>
          <w:spacing w:val="-19"/>
        </w:rPr>
        <w:t> </w:t>
      </w:r>
      <w:r>
        <w:rPr/>
        <w:t>yet</w:t>
      </w:r>
      <w:r>
        <w:rPr>
          <w:spacing w:val="-18"/>
        </w:rPr>
        <w:t> </w:t>
      </w:r>
      <w:r>
        <w:rPr/>
        <w:t>determined</w:t>
      </w:r>
      <w:r>
        <w:rPr>
          <w:spacing w:val="-18"/>
        </w:rPr>
        <w:t> </w:t>
      </w:r>
      <w:r>
        <w:rPr/>
        <w:t>the</w:t>
      </w:r>
      <w:r>
        <w:rPr>
          <w:spacing w:val="-19"/>
        </w:rPr>
        <w:t> </w:t>
      </w:r>
      <w:r>
        <w:rPr/>
        <w:t>application</w:t>
      </w:r>
      <w:r>
        <w:rPr>
          <w:spacing w:val="-18"/>
        </w:rPr>
        <w:t> </w:t>
      </w:r>
      <w:r>
        <w:rPr/>
        <w:t>or</w:t>
      </w:r>
      <w:r>
        <w:rPr>
          <w:spacing w:val="-18"/>
        </w:rPr>
        <w:t> </w:t>
      </w:r>
      <w:r>
        <w:rPr/>
        <w:t>the</w:t>
      </w:r>
      <w:r>
        <w:rPr>
          <w:spacing w:val="-18"/>
        </w:rPr>
        <w:t> </w:t>
      </w:r>
      <w:r>
        <w:rPr/>
        <w:t>potential impact of the</w:t>
      </w:r>
      <w:r>
        <w:rPr>
          <w:spacing w:val="-3"/>
        </w:rPr>
        <w:t> </w:t>
      </w:r>
      <w:r>
        <w:rPr/>
        <w:t>Standard.</w:t>
      </w:r>
    </w:p>
    <w:p>
      <w:pPr>
        <w:pStyle w:val="BodyText"/>
        <w:spacing w:before="4"/>
        <w:rPr>
          <w:sz w:val="23"/>
        </w:rPr>
      </w:pPr>
    </w:p>
    <w:p>
      <w:pPr>
        <w:spacing w:before="0"/>
        <w:ind w:left="765" w:right="0" w:firstLine="0"/>
        <w:jc w:val="left"/>
        <w:rPr>
          <w:b/>
          <w:sz w:val="22"/>
        </w:rPr>
      </w:pPr>
      <w:r>
        <w:rPr>
          <w:b/>
          <w:color w:val="6F2770"/>
          <w:sz w:val="22"/>
        </w:rPr>
        <w:t>AASB 2014-1</w:t>
      </w:r>
    </w:p>
    <w:p>
      <w:pPr>
        <w:spacing w:line="249" w:lineRule="auto" w:before="11"/>
        <w:ind w:left="765" w:right="85" w:firstLine="0"/>
        <w:jc w:val="left"/>
        <w:rPr>
          <w:sz w:val="22"/>
        </w:rPr>
      </w:pPr>
      <w:r>
        <w:rPr>
          <w:i/>
          <w:color w:val="6F2770"/>
          <w:sz w:val="22"/>
        </w:rPr>
        <w:t>Amendments</w:t>
      </w:r>
      <w:r>
        <w:rPr>
          <w:i/>
          <w:color w:val="6F2770"/>
          <w:spacing w:val="-32"/>
          <w:sz w:val="22"/>
        </w:rPr>
        <w:t> </w:t>
      </w:r>
      <w:r>
        <w:rPr>
          <w:i/>
          <w:color w:val="6F2770"/>
          <w:sz w:val="22"/>
        </w:rPr>
        <w:t>to</w:t>
      </w:r>
      <w:r>
        <w:rPr>
          <w:i/>
          <w:color w:val="6F2770"/>
          <w:spacing w:val="-32"/>
          <w:sz w:val="22"/>
        </w:rPr>
        <w:t> </w:t>
      </w:r>
      <w:r>
        <w:rPr>
          <w:i/>
          <w:color w:val="6F2770"/>
          <w:sz w:val="22"/>
        </w:rPr>
        <w:t>Australian</w:t>
      </w:r>
      <w:r>
        <w:rPr>
          <w:i/>
          <w:color w:val="6F2770"/>
          <w:spacing w:val="-31"/>
          <w:sz w:val="22"/>
        </w:rPr>
        <w:t> </w:t>
      </w:r>
      <w:r>
        <w:rPr>
          <w:i/>
          <w:color w:val="6F2770"/>
          <w:sz w:val="22"/>
        </w:rPr>
        <w:t>Accounting</w:t>
      </w:r>
      <w:r>
        <w:rPr>
          <w:i/>
          <w:color w:val="6F2770"/>
          <w:spacing w:val="-32"/>
          <w:sz w:val="22"/>
        </w:rPr>
        <w:t> </w:t>
      </w:r>
      <w:r>
        <w:rPr>
          <w:i/>
          <w:color w:val="6F2770"/>
          <w:sz w:val="22"/>
        </w:rPr>
        <w:t>Standards </w:t>
      </w:r>
      <w:r>
        <w:rPr>
          <w:sz w:val="22"/>
        </w:rPr>
        <w:t>Part E of this Standard makes amendments to AASB</w:t>
      </w:r>
      <w:r>
        <w:rPr>
          <w:spacing w:val="-18"/>
          <w:sz w:val="22"/>
        </w:rPr>
        <w:t> </w:t>
      </w:r>
      <w:r>
        <w:rPr>
          <w:sz w:val="22"/>
        </w:rPr>
        <w:t>9</w:t>
      </w:r>
      <w:r>
        <w:rPr>
          <w:spacing w:val="-18"/>
          <w:sz w:val="22"/>
        </w:rPr>
        <w:t> </w:t>
      </w:r>
      <w:r>
        <w:rPr>
          <w:sz w:val="22"/>
        </w:rPr>
        <w:t>and</w:t>
      </w:r>
      <w:r>
        <w:rPr>
          <w:spacing w:val="-17"/>
          <w:sz w:val="22"/>
        </w:rPr>
        <w:t> </w:t>
      </w:r>
      <w:r>
        <w:rPr>
          <w:sz w:val="22"/>
        </w:rPr>
        <w:t>consequential</w:t>
      </w:r>
      <w:r>
        <w:rPr>
          <w:spacing w:val="-18"/>
          <w:sz w:val="22"/>
        </w:rPr>
        <w:t> </w:t>
      </w:r>
      <w:r>
        <w:rPr>
          <w:sz w:val="22"/>
        </w:rPr>
        <w:t>amendments</w:t>
      </w:r>
      <w:r>
        <w:rPr>
          <w:spacing w:val="-18"/>
          <w:sz w:val="22"/>
        </w:rPr>
        <w:t> </w:t>
      </w:r>
      <w:r>
        <w:rPr>
          <w:sz w:val="22"/>
        </w:rPr>
        <w:t>to</w:t>
      </w:r>
      <w:r>
        <w:rPr>
          <w:spacing w:val="-17"/>
          <w:sz w:val="22"/>
        </w:rPr>
        <w:t> </w:t>
      </w:r>
      <w:r>
        <w:rPr>
          <w:sz w:val="22"/>
        </w:rPr>
        <w:t>other </w:t>
      </w:r>
      <w:r>
        <w:rPr>
          <w:spacing w:val="-4"/>
          <w:sz w:val="22"/>
        </w:rPr>
        <w:t>Standards. </w:t>
      </w:r>
      <w:r>
        <w:rPr>
          <w:sz w:val="22"/>
        </w:rPr>
        <w:t>It has not yet </w:t>
      </w:r>
      <w:r>
        <w:rPr>
          <w:spacing w:val="-3"/>
          <w:sz w:val="22"/>
        </w:rPr>
        <w:t>been assessed to determine </w:t>
      </w:r>
      <w:r>
        <w:rPr>
          <w:sz w:val="22"/>
        </w:rPr>
        <w:t>the application or potential</w:t>
      </w:r>
      <w:r>
        <w:rPr>
          <w:spacing w:val="-39"/>
          <w:sz w:val="22"/>
        </w:rPr>
        <w:t> </w:t>
      </w:r>
      <w:r>
        <w:rPr>
          <w:sz w:val="22"/>
        </w:rPr>
        <w:t>impact</w:t>
      </w:r>
    </w:p>
    <w:p>
      <w:pPr>
        <w:pStyle w:val="BodyText"/>
        <w:spacing w:before="4"/>
        <w:ind w:left="765"/>
      </w:pPr>
      <w:r>
        <w:rPr/>
        <w:t>of the Standard.</w:t>
      </w:r>
    </w:p>
    <w:p>
      <w:pPr>
        <w:pStyle w:val="BodyText"/>
        <w:spacing w:before="11"/>
        <w:rPr>
          <w:sz w:val="23"/>
        </w:rPr>
      </w:pPr>
    </w:p>
    <w:p>
      <w:pPr>
        <w:spacing w:before="0"/>
        <w:ind w:left="765" w:right="0" w:firstLine="0"/>
        <w:jc w:val="left"/>
        <w:rPr>
          <w:b/>
          <w:sz w:val="22"/>
        </w:rPr>
      </w:pPr>
      <w:r>
        <w:rPr>
          <w:b/>
          <w:color w:val="6F2770"/>
          <w:sz w:val="22"/>
        </w:rPr>
        <w:t>AASB 2014-5</w:t>
      </w:r>
    </w:p>
    <w:p>
      <w:pPr>
        <w:spacing w:line="249" w:lineRule="auto" w:before="11"/>
        <w:ind w:left="765" w:right="85" w:firstLine="0"/>
        <w:jc w:val="left"/>
        <w:rPr>
          <w:i/>
          <w:sz w:val="22"/>
        </w:rPr>
      </w:pPr>
      <w:r>
        <w:rPr>
          <w:i/>
          <w:color w:val="6F2770"/>
          <w:sz w:val="22"/>
        </w:rPr>
        <w:t>Amendments</w:t>
      </w:r>
      <w:r>
        <w:rPr>
          <w:i/>
          <w:color w:val="6F2770"/>
          <w:spacing w:val="-32"/>
          <w:sz w:val="22"/>
        </w:rPr>
        <w:t> </w:t>
      </w:r>
      <w:r>
        <w:rPr>
          <w:i/>
          <w:color w:val="6F2770"/>
          <w:sz w:val="22"/>
        </w:rPr>
        <w:t>to</w:t>
      </w:r>
      <w:r>
        <w:rPr>
          <w:i/>
          <w:color w:val="6F2770"/>
          <w:spacing w:val="-32"/>
          <w:sz w:val="22"/>
        </w:rPr>
        <w:t> </w:t>
      </w:r>
      <w:r>
        <w:rPr>
          <w:i/>
          <w:color w:val="6F2770"/>
          <w:sz w:val="22"/>
        </w:rPr>
        <w:t>Australian</w:t>
      </w:r>
      <w:r>
        <w:rPr>
          <w:i/>
          <w:color w:val="6F2770"/>
          <w:spacing w:val="-31"/>
          <w:sz w:val="22"/>
        </w:rPr>
        <w:t> </w:t>
      </w:r>
      <w:r>
        <w:rPr>
          <w:i/>
          <w:color w:val="6F2770"/>
          <w:sz w:val="22"/>
        </w:rPr>
        <w:t>Accounting</w:t>
      </w:r>
      <w:r>
        <w:rPr>
          <w:i/>
          <w:color w:val="6F2770"/>
          <w:spacing w:val="-32"/>
          <w:sz w:val="22"/>
        </w:rPr>
        <w:t> </w:t>
      </w:r>
      <w:r>
        <w:rPr>
          <w:i/>
          <w:color w:val="6F2770"/>
          <w:sz w:val="22"/>
        </w:rPr>
        <w:t>Standards </w:t>
      </w:r>
      <w:r>
        <w:rPr>
          <w:i/>
          <w:color w:val="6F2770"/>
          <w:sz w:val="22"/>
        </w:rPr>
        <w:t>arising from AASB</w:t>
      </w:r>
      <w:r>
        <w:rPr>
          <w:i/>
          <w:color w:val="6F2770"/>
          <w:spacing w:val="-5"/>
          <w:sz w:val="22"/>
        </w:rPr>
        <w:t> </w:t>
      </w:r>
      <w:r>
        <w:rPr>
          <w:i/>
          <w:color w:val="6F2770"/>
          <w:sz w:val="22"/>
        </w:rPr>
        <w:t>15</w:t>
      </w:r>
    </w:p>
    <w:p>
      <w:pPr>
        <w:pStyle w:val="BodyText"/>
        <w:spacing w:line="249" w:lineRule="auto" w:before="2"/>
        <w:ind w:left="765" w:right="-18"/>
      </w:pPr>
      <w:r>
        <w:rPr/>
        <w:t>This Standard gives effect to the consequential amendments to Australian Accounting Standards (including</w:t>
      </w:r>
      <w:r>
        <w:rPr>
          <w:spacing w:val="-41"/>
        </w:rPr>
        <w:t> </w:t>
      </w:r>
      <w:r>
        <w:rPr/>
        <w:t>Interpretations)</w:t>
      </w:r>
      <w:r>
        <w:rPr>
          <w:spacing w:val="-40"/>
        </w:rPr>
        <w:t> </w:t>
      </w:r>
      <w:r>
        <w:rPr/>
        <w:t>arising</w:t>
      </w:r>
      <w:r>
        <w:rPr>
          <w:spacing w:val="-40"/>
        </w:rPr>
        <w:t> </w:t>
      </w:r>
      <w:r>
        <w:rPr/>
        <w:t>from</w:t>
      </w:r>
      <w:r>
        <w:rPr>
          <w:spacing w:val="-40"/>
        </w:rPr>
        <w:t> </w:t>
      </w:r>
      <w:r>
        <w:rPr/>
        <w:t>the</w:t>
      </w:r>
      <w:r>
        <w:rPr>
          <w:spacing w:val="-40"/>
        </w:rPr>
        <w:t> </w:t>
      </w:r>
      <w:r>
        <w:rPr>
          <w:spacing w:val="-3"/>
        </w:rPr>
        <w:t>issuance </w:t>
      </w:r>
      <w:r>
        <w:rPr/>
        <w:t>of</w:t>
      </w:r>
      <w:r>
        <w:rPr>
          <w:spacing w:val="-8"/>
        </w:rPr>
        <w:t> </w:t>
      </w:r>
      <w:r>
        <w:rPr/>
        <w:t>AASB</w:t>
      </w:r>
      <w:r>
        <w:rPr>
          <w:spacing w:val="-8"/>
        </w:rPr>
        <w:t> </w:t>
      </w:r>
      <w:r>
        <w:rPr/>
        <w:t>15.</w:t>
      </w:r>
      <w:r>
        <w:rPr>
          <w:spacing w:val="-8"/>
        </w:rPr>
        <w:t> </w:t>
      </w:r>
      <w:r>
        <w:rPr/>
        <w:t>The</w:t>
      </w:r>
      <w:r>
        <w:rPr>
          <w:spacing w:val="-7"/>
        </w:rPr>
        <w:t> </w:t>
      </w:r>
      <w:r>
        <w:rPr/>
        <w:t>mandatory</w:t>
      </w:r>
      <w:r>
        <w:rPr>
          <w:spacing w:val="-8"/>
        </w:rPr>
        <w:t> </w:t>
      </w:r>
      <w:r>
        <w:rPr/>
        <w:t>application</w:t>
      </w:r>
      <w:r>
        <w:rPr>
          <w:spacing w:val="-8"/>
        </w:rPr>
        <w:t> </w:t>
      </w:r>
      <w:r>
        <w:rPr/>
        <w:t>date</w:t>
      </w:r>
    </w:p>
    <w:p>
      <w:pPr>
        <w:pStyle w:val="BodyText"/>
        <w:spacing w:before="3"/>
        <w:ind w:left="765"/>
      </w:pPr>
      <w:r>
        <w:rPr/>
        <w:t>of this Standard has been amended by</w:t>
      </w:r>
    </w:p>
    <w:p>
      <w:pPr>
        <w:pStyle w:val="BodyText"/>
        <w:spacing w:line="249" w:lineRule="auto" w:before="11"/>
        <w:ind w:left="765" w:right="-1"/>
      </w:pPr>
      <w:r>
        <w:rPr/>
        <w:t>AASB</w:t>
      </w:r>
      <w:r>
        <w:rPr>
          <w:spacing w:val="-17"/>
        </w:rPr>
        <w:t> </w:t>
      </w:r>
      <w:r>
        <w:rPr/>
        <w:t>2015-8</w:t>
      </w:r>
      <w:r>
        <w:rPr>
          <w:spacing w:val="-16"/>
        </w:rPr>
        <w:t> </w:t>
      </w:r>
      <w:r>
        <w:rPr/>
        <w:t>to</w:t>
      </w:r>
      <w:r>
        <w:rPr>
          <w:spacing w:val="-16"/>
        </w:rPr>
        <w:t> </w:t>
      </w:r>
      <w:r>
        <w:rPr/>
        <w:t>1</w:t>
      </w:r>
      <w:r>
        <w:rPr>
          <w:spacing w:val="-17"/>
        </w:rPr>
        <w:t> </w:t>
      </w:r>
      <w:r>
        <w:rPr/>
        <w:t>January</w:t>
      </w:r>
      <w:r>
        <w:rPr>
          <w:spacing w:val="-16"/>
        </w:rPr>
        <w:t> </w:t>
      </w:r>
      <w:r>
        <w:rPr/>
        <w:t>2018.</w:t>
      </w:r>
      <w:r>
        <w:rPr>
          <w:spacing w:val="-16"/>
        </w:rPr>
        <w:t> </w:t>
      </w:r>
      <w:r>
        <w:rPr/>
        <w:t>The</w:t>
      </w:r>
      <w:r>
        <w:rPr>
          <w:spacing w:val="-17"/>
        </w:rPr>
        <w:t> </w:t>
      </w:r>
      <w:r>
        <w:rPr/>
        <w:t>Department has not yet determined the application or the potential impact of the</w:t>
      </w:r>
      <w:r>
        <w:rPr>
          <w:spacing w:val="-9"/>
        </w:rPr>
        <w:t> </w:t>
      </w:r>
      <w:r>
        <w:rPr/>
        <w:t>Standard.</w:t>
      </w:r>
    </w:p>
    <w:p>
      <w:pPr>
        <w:pStyle w:val="BodyText"/>
        <w:spacing w:before="5"/>
        <w:rPr>
          <w:sz w:val="23"/>
        </w:rPr>
      </w:pPr>
      <w:r>
        <w:rPr/>
        <w:br w:type="column"/>
      </w:r>
      <w:r>
        <w:rPr>
          <w:sz w:val="23"/>
        </w:rPr>
      </w:r>
    </w:p>
    <w:p>
      <w:pPr>
        <w:spacing w:before="0"/>
        <w:ind w:left="432" w:right="0" w:firstLine="0"/>
        <w:jc w:val="left"/>
        <w:rPr>
          <w:b/>
          <w:sz w:val="22"/>
        </w:rPr>
      </w:pPr>
      <w:r>
        <w:rPr>
          <w:b/>
          <w:color w:val="6F2770"/>
          <w:sz w:val="22"/>
        </w:rPr>
        <w:t>AASB 2014-7</w:t>
      </w:r>
    </w:p>
    <w:p>
      <w:pPr>
        <w:spacing w:line="249" w:lineRule="auto" w:before="11"/>
        <w:ind w:left="432" w:right="94" w:firstLine="0"/>
        <w:jc w:val="left"/>
        <w:rPr>
          <w:i/>
          <w:sz w:val="22"/>
        </w:rPr>
      </w:pPr>
      <w:r>
        <w:rPr>
          <w:i/>
          <w:color w:val="6F2770"/>
          <w:sz w:val="22"/>
        </w:rPr>
        <w:t>Amendments</w:t>
      </w:r>
      <w:r>
        <w:rPr>
          <w:i/>
          <w:color w:val="6F2770"/>
          <w:spacing w:val="-32"/>
          <w:sz w:val="22"/>
        </w:rPr>
        <w:t> </w:t>
      </w:r>
      <w:r>
        <w:rPr>
          <w:i/>
          <w:color w:val="6F2770"/>
          <w:sz w:val="22"/>
        </w:rPr>
        <w:t>to</w:t>
      </w:r>
      <w:r>
        <w:rPr>
          <w:i/>
          <w:color w:val="6F2770"/>
          <w:spacing w:val="-32"/>
          <w:sz w:val="22"/>
        </w:rPr>
        <w:t> </w:t>
      </w:r>
      <w:r>
        <w:rPr>
          <w:i/>
          <w:color w:val="6F2770"/>
          <w:sz w:val="22"/>
        </w:rPr>
        <w:t>Australian</w:t>
      </w:r>
      <w:r>
        <w:rPr>
          <w:i/>
          <w:color w:val="6F2770"/>
          <w:spacing w:val="-32"/>
          <w:sz w:val="22"/>
        </w:rPr>
        <w:t> </w:t>
      </w:r>
      <w:r>
        <w:rPr>
          <w:i/>
          <w:color w:val="6F2770"/>
          <w:sz w:val="22"/>
        </w:rPr>
        <w:t>Accounting</w:t>
      </w:r>
      <w:r>
        <w:rPr>
          <w:i/>
          <w:color w:val="6F2770"/>
          <w:spacing w:val="-31"/>
          <w:sz w:val="22"/>
        </w:rPr>
        <w:t> </w:t>
      </w:r>
      <w:r>
        <w:rPr>
          <w:i/>
          <w:color w:val="6F2770"/>
          <w:sz w:val="22"/>
        </w:rPr>
        <w:t>Standards </w:t>
      </w:r>
      <w:r>
        <w:rPr>
          <w:i/>
          <w:color w:val="6F2770"/>
          <w:sz w:val="22"/>
        </w:rPr>
        <w:t>arising from AASB 9 (December</w:t>
      </w:r>
      <w:r>
        <w:rPr>
          <w:i/>
          <w:color w:val="6F2770"/>
          <w:spacing w:val="-30"/>
          <w:sz w:val="22"/>
        </w:rPr>
        <w:t> </w:t>
      </w:r>
      <w:r>
        <w:rPr>
          <w:i/>
          <w:color w:val="6F2770"/>
          <w:sz w:val="22"/>
        </w:rPr>
        <w:t>2014)</w:t>
      </w:r>
    </w:p>
    <w:p>
      <w:pPr>
        <w:pStyle w:val="BodyText"/>
        <w:spacing w:line="249" w:lineRule="auto" w:before="2"/>
        <w:ind w:left="432" w:right="-9"/>
      </w:pPr>
      <w:r>
        <w:rPr/>
        <w:t>This Standard gives effect to the consequential amendments to Australian Accounting Standards (including</w:t>
      </w:r>
      <w:r>
        <w:rPr>
          <w:spacing w:val="-40"/>
        </w:rPr>
        <w:t> </w:t>
      </w:r>
      <w:r>
        <w:rPr/>
        <w:t>Interpretations)</w:t>
      </w:r>
      <w:r>
        <w:rPr>
          <w:spacing w:val="-39"/>
        </w:rPr>
        <w:t> </w:t>
      </w:r>
      <w:r>
        <w:rPr/>
        <w:t>arising</w:t>
      </w:r>
      <w:r>
        <w:rPr>
          <w:spacing w:val="-40"/>
        </w:rPr>
        <w:t> </w:t>
      </w:r>
      <w:r>
        <w:rPr/>
        <w:t>from</w:t>
      </w:r>
      <w:r>
        <w:rPr>
          <w:spacing w:val="-39"/>
        </w:rPr>
        <w:t> </w:t>
      </w:r>
      <w:r>
        <w:rPr/>
        <w:t>the</w:t>
      </w:r>
      <w:r>
        <w:rPr>
          <w:spacing w:val="-40"/>
        </w:rPr>
        <w:t> </w:t>
      </w:r>
      <w:r>
        <w:rPr>
          <w:spacing w:val="-3"/>
        </w:rPr>
        <w:t>issuance </w:t>
      </w:r>
      <w:r>
        <w:rPr/>
        <w:t>of</w:t>
      </w:r>
      <w:r>
        <w:rPr>
          <w:spacing w:val="-23"/>
        </w:rPr>
        <w:t> </w:t>
      </w:r>
      <w:r>
        <w:rPr/>
        <w:t>AASB</w:t>
      </w:r>
      <w:r>
        <w:rPr>
          <w:spacing w:val="-23"/>
        </w:rPr>
        <w:t> </w:t>
      </w:r>
      <w:r>
        <w:rPr/>
        <w:t>9</w:t>
      </w:r>
      <w:r>
        <w:rPr>
          <w:spacing w:val="-22"/>
        </w:rPr>
        <w:t> </w:t>
      </w:r>
      <w:r>
        <w:rPr/>
        <w:t>(December</w:t>
      </w:r>
      <w:r>
        <w:rPr>
          <w:spacing w:val="-23"/>
        </w:rPr>
        <w:t> </w:t>
      </w:r>
      <w:r>
        <w:rPr/>
        <w:t>2014).</w:t>
      </w:r>
      <w:r>
        <w:rPr>
          <w:spacing w:val="-22"/>
        </w:rPr>
        <w:t> </w:t>
      </w:r>
      <w:r>
        <w:rPr/>
        <w:t>The</w:t>
      </w:r>
      <w:r>
        <w:rPr>
          <w:spacing w:val="-23"/>
        </w:rPr>
        <w:t> </w:t>
      </w:r>
      <w:r>
        <w:rPr/>
        <w:t>Department</w:t>
      </w:r>
      <w:r>
        <w:rPr>
          <w:spacing w:val="-22"/>
        </w:rPr>
        <w:t> </w:t>
      </w:r>
      <w:r>
        <w:rPr/>
        <w:t>has not</w:t>
      </w:r>
      <w:r>
        <w:rPr>
          <w:spacing w:val="-15"/>
        </w:rPr>
        <w:t> </w:t>
      </w:r>
      <w:r>
        <w:rPr/>
        <w:t>yet</w:t>
      </w:r>
      <w:r>
        <w:rPr>
          <w:spacing w:val="-14"/>
        </w:rPr>
        <w:t> </w:t>
      </w:r>
      <w:r>
        <w:rPr/>
        <w:t>determined</w:t>
      </w:r>
      <w:r>
        <w:rPr>
          <w:spacing w:val="-14"/>
        </w:rPr>
        <w:t> </w:t>
      </w:r>
      <w:r>
        <w:rPr/>
        <w:t>the</w:t>
      </w:r>
      <w:r>
        <w:rPr>
          <w:spacing w:val="-14"/>
        </w:rPr>
        <w:t> </w:t>
      </w:r>
      <w:r>
        <w:rPr/>
        <w:t>application</w:t>
      </w:r>
      <w:r>
        <w:rPr>
          <w:spacing w:val="-15"/>
        </w:rPr>
        <w:t> </w:t>
      </w:r>
      <w:r>
        <w:rPr/>
        <w:t>or</w:t>
      </w:r>
      <w:r>
        <w:rPr>
          <w:spacing w:val="-14"/>
        </w:rPr>
        <w:t> </w:t>
      </w:r>
      <w:r>
        <w:rPr/>
        <w:t>the</w:t>
      </w:r>
      <w:r>
        <w:rPr>
          <w:spacing w:val="-14"/>
        </w:rPr>
        <w:t> </w:t>
      </w:r>
      <w:r>
        <w:rPr/>
        <w:t>potential impact of the</w:t>
      </w:r>
      <w:r>
        <w:rPr>
          <w:spacing w:val="-3"/>
        </w:rPr>
        <w:t> </w:t>
      </w:r>
      <w:r>
        <w:rPr/>
        <w:t>Standard.</w:t>
      </w:r>
    </w:p>
    <w:p>
      <w:pPr>
        <w:pStyle w:val="BodyText"/>
        <w:spacing w:before="4"/>
        <w:rPr>
          <w:sz w:val="23"/>
        </w:rPr>
      </w:pPr>
    </w:p>
    <w:p>
      <w:pPr>
        <w:spacing w:before="1"/>
        <w:ind w:left="432" w:right="0" w:firstLine="0"/>
        <w:jc w:val="left"/>
        <w:rPr>
          <w:b/>
          <w:sz w:val="22"/>
        </w:rPr>
      </w:pPr>
      <w:r>
        <w:rPr>
          <w:b/>
          <w:color w:val="6F2770"/>
          <w:sz w:val="22"/>
        </w:rPr>
        <w:t>AASB 2014-10</w:t>
      </w:r>
    </w:p>
    <w:p>
      <w:pPr>
        <w:spacing w:line="249" w:lineRule="auto" w:before="11"/>
        <w:ind w:left="432" w:right="25" w:firstLine="0"/>
        <w:jc w:val="left"/>
        <w:rPr>
          <w:sz w:val="22"/>
        </w:rPr>
      </w:pPr>
      <w:r>
        <w:rPr>
          <w:i/>
          <w:color w:val="6F2770"/>
          <w:sz w:val="22"/>
        </w:rPr>
        <w:t>Amendments</w:t>
      </w:r>
      <w:r>
        <w:rPr>
          <w:i/>
          <w:color w:val="6F2770"/>
          <w:spacing w:val="-24"/>
          <w:sz w:val="22"/>
        </w:rPr>
        <w:t> </w:t>
      </w:r>
      <w:r>
        <w:rPr>
          <w:i/>
          <w:color w:val="6F2770"/>
          <w:sz w:val="22"/>
        </w:rPr>
        <w:t>to</w:t>
      </w:r>
      <w:r>
        <w:rPr>
          <w:i/>
          <w:color w:val="6F2770"/>
          <w:spacing w:val="-23"/>
          <w:sz w:val="22"/>
        </w:rPr>
        <w:t> </w:t>
      </w:r>
      <w:r>
        <w:rPr>
          <w:i/>
          <w:color w:val="6F2770"/>
          <w:sz w:val="22"/>
        </w:rPr>
        <w:t>Australian</w:t>
      </w:r>
      <w:r>
        <w:rPr>
          <w:i/>
          <w:color w:val="6F2770"/>
          <w:spacing w:val="-23"/>
          <w:sz w:val="22"/>
        </w:rPr>
        <w:t> </w:t>
      </w:r>
      <w:r>
        <w:rPr>
          <w:i/>
          <w:color w:val="6F2770"/>
          <w:sz w:val="22"/>
        </w:rPr>
        <w:t>Accounting</w:t>
      </w:r>
      <w:r>
        <w:rPr>
          <w:i/>
          <w:color w:val="6F2770"/>
          <w:spacing w:val="-23"/>
          <w:sz w:val="22"/>
        </w:rPr>
        <w:t> </w:t>
      </w:r>
      <w:r>
        <w:rPr>
          <w:i/>
          <w:color w:val="6F2770"/>
          <w:sz w:val="22"/>
        </w:rPr>
        <w:t>Standards </w:t>
      </w:r>
      <w:r>
        <w:rPr>
          <w:i/>
          <w:color w:val="6F2770"/>
          <w:spacing w:val="-3"/>
          <w:sz w:val="22"/>
        </w:rPr>
        <w:t>Sale</w:t>
      </w:r>
      <w:r>
        <w:rPr>
          <w:i/>
          <w:color w:val="6F2770"/>
          <w:spacing w:val="-23"/>
          <w:sz w:val="22"/>
        </w:rPr>
        <w:t> </w:t>
      </w:r>
      <w:r>
        <w:rPr>
          <w:i/>
          <w:color w:val="6F2770"/>
          <w:sz w:val="22"/>
        </w:rPr>
        <w:t>or</w:t>
      </w:r>
      <w:r>
        <w:rPr>
          <w:i/>
          <w:color w:val="6F2770"/>
          <w:spacing w:val="-23"/>
          <w:sz w:val="22"/>
        </w:rPr>
        <w:t> </w:t>
      </w:r>
      <w:r>
        <w:rPr>
          <w:i/>
          <w:color w:val="6F2770"/>
          <w:spacing w:val="-3"/>
          <w:sz w:val="22"/>
        </w:rPr>
        <w:t>Contribution</w:t>
      </w:r>
      <w:r>
        <w:rPr>
          <w:i/>
          <w:color w:val="6F2770"/>
          <w:spacing w:val="-23"/>
          <w:sz w:val="22"/>
        </w:rPr>
        <w:t> </w:t>
      </w:r>
      <w:r>
        <w:rPr>
          <w:i/>
          <w:color w:val="6F2770"/>
          <w:sz w:val="22"/>
        </w:rPr>
        <w:t>of</w:t>
      </w:r>
      <w:r>
        <w:rPr>
          <w:i/>
          <w:color w:val="6F2770"/>
          <w:spacing w:val="-22"/>
          <w:sz w:val="22"/>
        </w:rPr>
        <w:t> </w:t>
      </w:r>
      <w:r>
        <w:rPr>
          <w:i/>
          <w:color w:val="6F2770"/>
          <w:spacing w:val="-3"/>
          <w:sz w:val="22"/>
        </w:rPr>
        <w:t>Assets</w:t>
      </w:r>
      <w:r>
        <w:rPr>
          <w:i/>
          <w:color w:val="6F2770"/>
          <w:spacing w:val="-23"/>
          <w:sz w:val="22"/>
        </w:rPr>
        <w:t> </w:t>
      </w:r>
      <w:r>
        <w:rPr>
          <w:i/>
          <w:color w:val="6F2770"/>
          <w:spacing w:val="-3"/>
          <w:sz w:val="22"/>
        </w:rPr>
        <w:t>between</w:t>
      </w:r>
      <w:r>
        <w:rPr>
          <w:i/>
          <w:color w:val="6F2770"/>
          <w:spacing w:val="-23"/>
          <w:sz w:val="22"/>
        </w:rPr>
        <w:t> </w:t>
      </w:r>
      <w:r>
        <w:rPr>
          <w:i/>
          <w:color w:val="6F2770"/>
          <w:sz w:val="22"/>
        </w:rPr>
        <w:t>an</w:t>
      </w:r>
      <w:r>
        <w:rPr>
          <w:i/>
          <w:color w:val="6F2770"/>
          <w:spacing w:val="-23"/>
          <w:sz w:val="22"/>
        </w:rPr>
        <w:t> </w:t>
      </w:r>
      <w:r>
        <w:rPr>
          <w:i/>
          <w:color w:val="6F2770"/>
          <w:spacing w:val="-3"/>
          <w:sz w:val="22"/>
        </w:rPr>
        <w:t>Investor </w:t>
      </w:r>
      <w:r>
        <w:rPr>
          <w:i/>
          <w:color w:val="6F2770"/>
          <w:sz w:val="22"/>
        </w:rPr>
        <w:t>and</w:t>
      </w:r>
      <w:r>
        <w:rPr>
          <w:i/>
          <w:color w:val="6F2770"/>
          <w:spacing w:val="-22"/>
          <w:sz w:val="22"/>
        </w:rPr>
        <w:t> </w:t>
      </w:r>
      <w:r>
        <w:rPr>
          <w:i/>
          <w:color w:val="6F2770"/>
          <w:sz w:val="22"/>
        </w:rPr>
        <w:t>its</w:t>
      </w:r>
      <w:r>
        <w:rPr>
          <w:i/>
          <w:color w:val="6F2770"/>
          <w:spacing w:val="-21"/>
          <w:sz w:val="22"/>
        </w:rPr>
        <w:t> </w:t>
      </w:r>
      <w:r>
        <w:rPr>
          <w:i/>
          <w:color w:val="6F2770"/>
          <w:spacing w:val="-3"/>
          <w:sz w:val="22"/>
        </w:rPr>
        <w:t>Associate</w:t>
      </w:r>
      <w:r>
        <w:rPr>
          <w:i/>
          <w:color w:val="6F2770"/>
          <w:spacing w:val="-21"/>
          <w:sz w:val="22"/>
        </w:rPr>
        <w:t> </w:t>
      </w:r>
      <w:r>
        <w:rPr>
          <w:i/>
          <w:color w:val="6F2770"/>
          <w:sz w:val="22"/>
        </w:rPr>
        <w:t>or</w:t>
      </w:r>
      <w:r>
        <w:rPr>
          <w:i/>
          <w:color w:val="6F2770"/>
          <w:spacing w:val="-21"/>
          <w:sz w:val="22"/>
        </w:rPr>
        <w:t> </w:t>
      </w:r>
      <w:r>
        <w:rPr>
          <w:i/>
          <w:color w:val="6F2770"/>
          <w:spacing w:val="-3"/>
          <w:sz w:val="22"/>
        </w:rPr>
        <w:t>Joint</w:t>
      </w:r>
      <w:r>
        <w:rPr>
          <w:i/>
          <w:color w:val="6F2770"/>
          <w:spacing w:val="-21"/>
          <w:sz w:val="22"/>
        </w:rPr>
        <w:t> </w:t>
      </w:r>
      <w:r>
        <w:rPr>
          <w:i/>
          <w:color w:val="6F2770"/>
          <w:spacing w:val="-4"/>
          <w:sz w:val="22"/>
        </w:rPr>
        <w:t>Venture</w:t>
      </w:r>
      <w:r>
        <w:rPr>
          <w:i/>
          <w:color w:val="6F2770"/>
          <w:spacing w:val="-21"/>
          <w:sz w:val="22"/>
        </w:rPr>
        <w:t> </w:t>
      </w:r>
      <w:r>
        <w:rPr>
          <w:i/>
          <w:color w:val="6F2770"/>
          <w:spacing w:val="-3"/>
          <w:sz w:val="22"/>
        </w:rPr>
        <w:t>[AASB</w:t>
      </w:r>
      <w:r>
        <w:rPr>
          <w:i/>
          <w:color w:val="6F2770"/>
          <w:spacing w:val="-21"/>
          <w:sz w:val="22"/>
        </w:rPr>
        <w:t> </w:t>
      </w:r>
      <w:r>
        <w:rPr>
          <w:i/>
          <w:color w:val="6F2770"/>
          <w:sz w:val="22"/>
        </w:rPr>
        <w:t>10</w:t>
      </w:r>
      <w:r>
        <w:rPr>
          <w:i/>
          <w:color w:val="6F2770"/>
          <w:spacing w:val="-22"/>
          <w:sz w:val="22"/>
        </w:rPr>
        <w:t> </w:t>
      </w:r>
      <w:r>
        <w:rPr>
          <w:i/>
          <w:color w:val="6F2770"/>
          <w:sz w:val="22"/>
        </w:rPr>
        <w:t>&amp;</w:t>
      </w:r>
      <w:r>
        <w:rPr>
          <w:i/>
          <w:color w:val="6F2770"/>
          <w:spacing w:val="-21"/>
          <w:sz w:val="22"/>
        </w:rPr>
        <w:t> </w:t>
      </w:r>
      <w:r>
        <w:rPr>
          <w:i/>
          <w:color w:val="6F2770"/>
          <w:spacing w:val="-3"/>
          <w:sz w:val="22"/>
        </w:rPr>
        <w:t>128] </w:t>
      </w:r>
      <w:r>
        <w:rPr>
          <w:sz w:val="22"/>
        </w:rPr>
        <w:t>This Standard amends AASB 10 and AASB 128 to address an inconsistency between the requirements</w:t>
      </w:r>
      <w:r>
        <w:rPr>
          <w:spacing w:val="-16"/>
          <w:sz w:val="22"/>
        </w:rPr>
        <w:t> </w:t>
      </w:r>
      <w:r>
        <w:rPr>
          <w:sz w:val="22"/>
        </w:rPr>
        <w:t>in</w:t>
      </w:r>
      <w:r>
        <w:rPr>
          <w:spacing w:val="-16"/>
          <w:sz w:val="22"/>
        </w:rPr>
        <w:t> </w:t>
      </w:r>
      <w:r>
        <w:rPr>
          <w:sz w:val="22"/>
        </w:rPr>
        <w:t>AASB</w:t>
      </w:r>
      <w:r>
        <w:rPr>
          <w:spacing w:val="-15"/>
          <w:sz w:val="22"/>
        </w:rPr>
        <w:t> </w:t>
      </w:r>
      <w:r>
        <w:rPr>
          <w:sz w:val="22"/>
        </w:rPr>
        <w:t>10</w:t>
      </w:r>
      <w:r>
        <w:rPr>
          <w:spacing w:val="-16"/>
          <w:sz w:val="22"/>
        </w:rPr>
        <w:t> </w:t>
      </w:r>
      <w:r>
        <w:rPr>
          <w:sz w:val="22"/>
        </w:rPr>
        <w:t>and</w:t>
      </w:r>
      <w:r>
        <w:rPr>
          <w:spacing w:val="-16"/>
          <w:sz w:val="22"/>
        </w:rPr>
        <w:t> </w:t>
      </w:r>
      <w:r>
        <w:rPr>
          <w:sz w:val="22"/>
        </w:rPr>
        <w:t>those</w:t>
      </w:r>
      <w:r>
        <w:rPr>
          <w:spacing w:val="-16"/>
          <w:sz w:val="22"/>
        </w:rPr>
        <w:t> </w:t>
      </w:r>
      <w:r>
        <w:rPr>
          <w:sz w:val="22"/>
        </w:rPr>
        <w:t>in</w:t>
      </w:r>
      <w:r>
        <w:rPr>
          <w:spacing w:val="-15"/>
          <w:sz w:val="22"/>
        </w:rPr>
        <w:t> </w:t>
      </w:r>
      <w:r>
        <w:rPr>
          <w:sz w:val="22"/>
        </w:rPr>
        <w:t>AASB</w:t>
      </w:r>
      <w:r>
        <w:rPr>
          <w:spacing w:val="-16"/>
          <w:sz w:val="22"/>
        </w:rPr>
        <w:t> </w:t>
      </w:r>
      <w:r>
        <w:rPr>
          <w:sz w:val="22"/>
        </w:rPr>
        <w:t>128 (August 2011), in dealing with the sale or contribution</w:t>
      </w:r>
      <w:r>
        <w:rPr>
          <w:spacing w:val="-16"/>
          <w:sz w:val="22"/>
        </w:rPr>
        <w:t> </w:t>
      </w:r>
      <w:r>
        <w:rPr>
          <w:sz w:val="22"/>
        </w:rPr>
        <w:t>of</w:t>
      </w:r>
      <w:r>
        <w:rPr>
          <w:spacing w:val="-16"/>
          <w:sz w:val="22"/>
        </w:rPr>
        <w:t> </w:t>
      </w:r>
      <w:r>
        <w:rPr>
          <w:sz w:val="22"/>
        </w:rPr>
        <w:t>assets</w:t>
      </w:r>
      <w:r>
        <w:rPr>
          <w:spacing w:val="-16"/>
          <w:sz w:val="22"/>
        </w:rPr>
        <w:t> </w:t>
      </w:r>
      <w:r>
        <w:rPr>
          <w:sz w:val="22"/>
        </w:rPr>
        <w:t>between</w:t>
      </w:r>
      <w:r>
        <w:rPr>
          <w:spacing w:val="-16"/>
          <w:sz w:val="22"/>
        </w:rPr>
        <w:t> </w:t>
      </w:r>
      <w:r>
        <w:rPr>
          <w:sz w:val="22"/>
        </w:rPr>
        <w:t>an</w:t>
      </w:r>
      <w:r>
        <w:rPr>
          <w:spacing w:val="-16"/>
          <w:sz w:val="22"/>
        </w:rPr>
        <w:t> </w:t>
      </w:r>
      <w:r>
        <w:rPr>
          <w:sz w:val="22"/>
        </w:rPr>
        <w:t>investor</w:t>
      </w:r>
      <w:r>
        <w:rPr>
          <w:spacing w:val="-16"/>
          <w:sz w:val="22"/>
        </w:rPr>
        <w:t> </w:t>
      </w:r>
      <w:r>
        <w:rPr>
          <w:sz w:val="22"/>
        </w:rPr>
        <w:t>and</w:t>
      </w:r>
      <w:r>
        <w:rPr>
          <w:spacing w:val="-15"/>
          <w:sz w:val="22"/>
        </w:rPr>
        <w:t> </w:t>
      </w:r>
      <w:r>
        <w:rPr>
          <w:sz w:val="22"/>
        </w:rPr>
        <w:t>its associate</w:t>
      </w:r>
      <w:r>
        <w:rPr>
          <w:spacing w:val="-28"/>
          <w:sz w:val="22"/>
        </w:rPr>
        <w:t> </w:t>
      </w:r>
      <w:r>
        <w:rPr>
          <w:sz w:val="22"/>
        </w:rPr>
        <w:t>or</w:t>
      </w:r>
      <w:r>
        <w:rPr>
          <w:spacing w:val="-28"/>
          <w:sz w:val="22"/>
        </w:rPr>
        <w:t> </w:t>
      </w:r>
      <w:r>
        <w:rPr>
          <w:sz w:val="22"/>
        </w:rPr>
        <w:t>joint</w:t>
      </w:r>
      <w:r>
        <w:rPr>
          <w:spacing w:val="-27"/>
          <w:sz w:val="22"/>
        </w:rPr>
        <w:t> </w:t>
      </w:r>
      <w:r>
        <w:rPr>
          <w:sz w:val="22"/>
        </w:rPr>
        <w:t>venture.</w:t>
      </w:r>
      <w:r>
        <w:rPr>
          <w:spacing w:val="-28"/>
          <w:sz w:val="22"/>
        </w:rPr>
        <w:t> </w:t>
      </w:r>
      <w:r>
        <w:rPr>
          <w:sz w:val="22"/>
        </w:rPr>
        <w:t>The</w:t>
      </w:r>
      <w:r>
        <w:rPr>
          <w:spacing w:val="-27"/>
          <w:sz w:val="22"/>
        </w:rPr>
        <w:t> </w:t>
      </w:r>
      <w:r>
        <w:rPr>
          <w:sz w:val="22"/>
        </w:rPr>
        <w:t>mandatory</w:t>
      </w:r>
      <w:r>
        <w:rPr>
          <w:spacing w:val="-28"/>
          <w:sz w:val="22"/>
        </w:rPr>
        <w:t> </w:t>
      </w:r>
      <w:r>
        <w:rPr>
          <w:spacing w:val="-3"/>
          <w:sz w:val="22"/>
        </w:rPr>
        <w:t>effective </w:t>
      </w:r>
      <w:r>
        <w:rPr>
          <w:sz w:val="22"/>
        </w:rPr>
        <w:t>date</w:t>
      </w:r>
      <w:r>
        <w:rPr>
          <w:spacing w:val="-18"/>
          <w:sz w:val="22"/>
        </w:rPr>
        <w:t> </w:t>
      </w:r>
      <w:r>
        <w:rPr>
          <w:sz w:val="22"/>
        </w:rPr>
        <w:t>(application</w:t>
      </w:r>
      <w:r>
        <w:rPr>
          <w:spacing w:val="-18"/>
          <w:sz w:val="22"/>
        </w:rPr>
        <w:t> </w:t>
      </w:r>
      <w:r>
        <w:rPr>
          <w:sz w:val="22"/>
        </w:rPr>
        <w:t>date)</w:t>
      </w:r>
      <w:r>
        <w:rPr>
          <w:spacing w:val="-18"/>
          <w:sz w:val="22"/>
        </w:rPr>
        <w:t> </w:t>
      </w:r>
      <w:r>
        <w:rPr>
          <w:sz w:val="22"/>
        </w:rPr>
        <w:t>for</w:t>
      </w:r>
      <w:r>
        <w:rPr>
          <w:spacing w:val="-18"/>
          <w:sz w:val="22"/>
        </w:rPr>
        <w:t> </w:t>
      </w:r>
      <w:r>
        <w:rPr>
          <w:sz w:val="22"/>
        </w:rPr>
        <w:t>the</w:t>
      </w:r>
      <w:r>
        <w:rPr>
          <w:spacing w:val="-17"/>
          <w:sz w:val="22"/>
        </w:rPr>
        <w:t> </w:t>
      </w:r>
      <w:r>
        <w:rPr>
          <w:sz w:val="22"/>
        </w:rPr>
        <w:t>Standard</w:t>
      </w:r>
      <w:r>
        <w:rPr>
          <w:spacing w:val="-18"/>
          <w:sz w:val="22"/>
        </w:rPr>
        <w:t> </w:t>
      </w:r>
      <w:r>
        <w:rPr>
          <w:sz w:val="22"/>
        </w:rPr>
        <w:t>has</w:t>
      </w:r>
      <w:r>
        <w:rPr>
          <w:spacing w:val="-18"/>
          <w:sz w:val="22"/>
        </w:rPr>
        <w:t> </w:t>
      </w:r>
      <w:r>
        <w:rPr>
          <w:sz w:val="22"/>
        </w:rPr>
        <w:t>been deferred</w:t>
      </w:r>
      <w:r>
        <w:rPr>
          <w:spacing w:val="-8"/>
          <w:sz w:val="22"/>
        </w:rPr>
        <w:t> </w:t>
      </w:r>
      <w:r>
        <w:rPr>
          <w:sz w:val="22"/>
        </w:rPr>
        <w:t>to</w:t>
      </w:r>
      <w:r>
        <w:rPr>
          <w:spacing w:val="-7"/>
          <w:sz w:val="22"/>
        </w:rPr>
        <w:t> </w:t>
      </w:r>
      <w:r>
        <w:rPr>
          <w:sz w:val="22"/>
        </w:rPr>
        <w:t>1</w:t>
      </w:r>
      <w:r>
        <w:rPr>
          <w:spacing w:val="-7"/>
          <w:sz w:val="22"/>
        </w:rPr>
        <w:t> </w:t>
      </w:r>
      <w:r>
        <w:rPr>
          <w:sz w:val="22"/>
        </w:rPr>
        <w:t>January</w:t>
      </w:r>
      <w:r>
        <w:rPr>
          <w:spacing w:val="-7"/>
          <w:sz w:val="22"/>
        </w:rPr>
        <w:t> </w:t>
      </w:r>
      <w:r>
        <w:rPr>
          <w:sz w:val="22"/>
        </w:rPr>
        <w:t>2018</w:t>
      </w:r>
      <w:r>
        <w:rPr>
          <w:spacing w:val="-7"/>
          <w:sz w:val="22"/>
        </w:rPr>
        <w:t> </w:t>
      </w:r>
      <w:r>
        <w:rPr>
          <w:sz w:val="22"/>
        </w:rPr>
        <w:t>by</w:t>
      </w:r>
      <w:r>
        <w:rPr>
          <w:spacing w:val="-7"/>
          <w:sz w:val="22"/>
        </w:rPr>
        <w:t> </w:t>
      </w:r>
      <w:r>
        <w:rPr>
          <w:sz w:val="22"/>
        </w:rPr>
        <w:t>AASB</w:t>
      </w:r>
      <w:r>
        <w:rPr>
          <w:spacing w:val="-7"/>
          <w:sz w:val="22"/>
        </w:rPr>
        <w:t> </w:t>
      </w:r>
      <w:r>
        <w:rPr>
          <w:sz w:val="22"/>
        </w:rPr>
        <w:t>2015-10.</w:t>
      </w:r>
    </w:p>
    <w:p>
      <w:pPr>
        <w:pStyle w:val="BodyText"/>
        <w:spacing w:line="249" w:lineRule="auto" w:before="10"/>
        <w:ind w:left="432" w:right="-5"/>
      </w:pPr>
      <w:r>
        <w:rPr/>
        <w:t>The</w:t>
      </w:r>
      <w:r>
        <w:rPr>
          <w:spacing w:val="-20"/>
        </w:rPr>
        <w:t> </w:t>
      </w:r>
      <w:r>
        <w:rPr/>
        <w:t>Department</w:t>
      </w:r>
      <w:r>
        <w:rPr>
          <w:spacing w:val="-20"/>
        </w:rPr>
        <w:t> </w:t>
      </w:r>
      <w:r>
        <w:rPr/>
        <w:t>has</w:t>
      </w:r>
      <w:r>
        <w:rPr>
          <w:spacing w:val="-20"/>
        </w:rPr>
        <w:t> </w:t>
      </w:r>
      <w:r>
        <w:rPr/>
        <w:t>determined</w:t>
      </w:r>
      <w:r>
        <w:rPr>
          <w:spacing w:val="-20"/>
        </w:rPr>
        <w:t> </w:t>
      </w:r>
      <w:r>
        <w:rPr/>
        <w:t>that</w:t>
      </w:r>
      <w:r>
        <w:rPr>
          <w:spacing w:val="-19"/>
        </w:rPr>
        <w:t> </w:t>
      </w:r>
      <w:r>
        <w:rPr/>
        <w:t>the</w:t>
      </w:r>
      <w:r>
        <w:rPr>
          <w:spacing w:val="-20"/>
        </w:rPr>
        <w:t> </w:t>
      </w:r>
      <w:r>
        <w:rPr>
          <w:spacing w:val="-4"/>
        </w:rPr>
        <w:t>Standard </w:t>
      </w:r>
      <w:r>
        <w:rPr/>
        <w:t>has no financial</w:t>
      </w:r>
      <w:r>
        <w:rPr>
          <w:spacing w:val="-5"/>
        </w:rPr>
        <w:t> </w:t>
      </w:r>
      <w:r>
        <w:rPr/>
        <w:t>impact.</w:t>
      </w:r>
    </w:p>
    <w:p>
      <w:pPr>
        <w:pStyle w:val="BodyText"/>
        <w:spacing w:before="5"/>
        <w:rPr>
          <w:sz w:val="23"/>
        </w:rPr>
      </w:pPr>
      <w:r>
        <w:rPr/>
        <w:br w:type="column"/>
      </w:r>
      <w:r>
        <w:rPr>
          <w:sz w:val="23"/>
        </w:rPr>
      </w:r>
    </w:p>
    <w:p>
      <w:pPr>
        <w:spacing w:before="0"/>
        <w:ind w:left="424" w:right="0" w:firstLine="0"/>
        <w:jc w:val="left"/>
        <w:rPr>
          <w:b/>
          <w:sz w:val="22"/>
        </w:rPr>
      </w:pPr>
      <w:r>
        <w:rPr>
          <w:b/>
          <w:color w:val="6F2770"/>
          <w:sz w:val="22"/>
        </w:rPr>
        <w:t>AASB 2016-3</w:t>
      </w:r>
    </w:p>
    <w:p>
      <w:pPr>
        <w:spacing w:line="249" w:lineRule="auto" w:before="11"/>
        <w:ind w:left="424" w:right="899" w:firstLine="0"/>
        <w:jc w:val="left"/>
        <w:rPr>
          <w:i/>
          <w:sz w:val="22"/>
        </w:rPr>
      </w:pPr>
      <w:r>
        <w:rPr>
          <w:i/>
          <w:color w:val="6F2770"/>
          <w:sz w:val="22"/>
        </w:rPr>
        <w:t>Amendments</w:t>
      </w:r>
      <w:r>
        <w:rPr>
          <w:i/>
          <w:color w:val="6F2770"/>
          <w:spacing w:val="-32"/>
          <w:sz w:val="22"/>
        </w:rPr>
        <w:t> </w:t>
      </w:r>
      <w:r>
        <w:rPr>
          <w:i/>
          <w:color w:val="6F2770"/>
          <w:sz w:val="22"/>
        </w:rPr>
        <w:t>to</w:t>
      </w:r>
      <w:r>
        <w:rPr>
          <w:i/>
          <w:color w:val="6F2770"/>
          <w:spacing w:val="-31"/>
          <w:sz w:val="22"/>
        </w:rPr>
        <w:t> </w:t>
      </w:r>
      <w:r>
        <w:rPr>
          <w:i/>
          <w:color w:val="6F2770"/>
          <w:sz w:val="22"/>
        </w:rPr>
        <w:t>Australian</w:t>
      </w:r>
      <w:r>
        <w:rPr>
          <w:i/>
          <w:color w:val="6F2770"/>
          <w:spacing w:val="-32"/>
          <w:sz w:val="22"/>
        </w:rPr>
        <w:t> </w:t>
      </w:r>
      <w:r>
        <w:rPr>
          <w:i/>
          <w:color w:val="6F2770"/>
          <w:sz w:val="22"/>
        </w:rPr>
        <w:t>Accounting</w:t>
      </w:r>
      <w:r>
        <w:rPr>
          <w:i/>
          <w:color w:val="6F2770"/>
          <w:spacing w:val="-31"/>
          <w:sz w:val="22"/>
        </w:rPr>
        <w:t> </w:t>
      </w:r>
      <w:r>
        <w:rPr>
          <w:i/>
          <w:color w:val="6F2770"/>
          <w:sz w:val="22"/>
        </w:rPr>
        <w:t>Standards </w:t>
      </w:r>
      <w:r>
        <w:rPr>
          <w:i/>
          <w:color w:val="6F2770"/>
          <w:sz w:val="22"/>
        </w:rPr>
        <w:t>Clarifications to AASB</w:t>
      </w:r>
      <w:r>
        <w:rPr>
          <w:i/>
          <w:color w:val="6F2770"/>
          <w:spacing w:val="-7"/>
          <w:sz w:val="22"/>
        </w:rPr>
        <w:t> </w:t>
      </w:r>
      <w:r>
        <w:rPr>
          <w:i/>
          <w:color w:val="6F2770"/>
          <w:sz w:val="22"/>
        </w:rPr>
        <w:t>15</w:t>
      </w:r>
    </w:p>
    <w:p>
      <w:pPr>
        <w:pStyle w:val="BodyText"/>
        <w:spacing w:line="249" w:lineRule="auto" w:before="2"/>
        <w:ind w:left="424" w:right="813"/>
      </w:pPr>
      <w:r>
        <w:rPr/>
        <w:t>This Standard clarifies identifying performance obligations,</w:t>
      </w:r>
      <w:r>
        <w:rPr>
          <w:spacing w:val="-31"/>
        </w:rPr>
        <w:t> </w:t>
      </w:r>
      <w:r>
        <w:rPr/>
        <w:t>principal</w:t>
      </w:r>
      <w:r>
        <w:rPr>
          <w:spacing w:val="-30"/>
        </w:rPr>
        <w:t> </w:t>
      </w:r>
      <w:r>
        <w:rPr/>
        <w:t>versus</w:t>
      </w:r>
      <w:r>
        <w:rPr>
          <w:spacing w:val="-31"/>
        </w:rPr>
        <w:t> </w:t>
      </w:r>
      <w:r>
        <w:rPr/>
        <w:t>agent</w:t>
      </w:r>
      <w:r>
        <w:rPr>
          <w:spacing w:val="-30"/>
        </w:rPr>
        <w:t> </w:t>
      </w:r>
      <w:r>
        <w:rPr/>
        <w:t>considerations, timing of recognising revenue from granting a licence,</w:t>
      </w:r>
      <w:r>
        <w:rPr>
          <w:spacing w:val="-32"/>
        </w:rPr>
        <w:t> </w:t>
      </w:r>
      <w:r>
        <w:rPr/>
        <w:t>and</w:t>
      </w:r>
      <w:r>
        <w:rPr>
          <w:spacing w:val="-31"/>
        </w:rPr>
        <w:t> </w:t>
      </w:r>
      <w:r>
        <w:rPr/>
        <w:t>provides</w:t>
      </w:r>
      <w:r>
        <w:rPr>
          <w:spacing w:val="-31"/>
        </w:rPr>
        <w:t> </w:t>
      </w:r>
      <w:r>
        <w:rPr/>
        <w:t>further</w:t>
      </w:r>
      <w:r>
        <w:rPr>
          <w:spacing w:val="-32"/>
        </w:rPr>
        <w:t> </w:t>
      </w:r>
      <w:r>
        <w:rPr/>
        <w:t>transitional</w:t>
      </w:r>
      <w:r>
        <w:rPr>
          <w:spacing w:val="-31"/>
        </w:rPr>
        <w:t> </w:t>
      </w:r>
      <w:r>
        <w:rPr>
          <w:spacing w:val="-3"/>
        </w:rPr>
        <w:t>provisions </w:t>
      </w:r>
      <w:r>
        <w:rPr/>
        <w:t>to AASB 15. The Department has not yet determined</w:t>
      </w:r>
      <w:r>
        <w:rPr>
          <w:spacing w:val="-17"/>
        </w:rPr>
        <w:t> </w:t>
      </w:r>
      <w:r>
        <w:rPr/>
        <w:t>the</w:t>
      </w:r>
      <w:r>
        <w:rPr>
          <w:spacing w:val="-16"/>
        </w:rPr>
        <w:t> </w:t>
      </w:r>
      <w:r>
        <w:rPr/>
        <w:t>application</w:t>
      </w:r>
      <w:r>
        <w:rPr>
          <w:spacing w:val="-16"/>
        </w:rPr>
        <w:t> </w:t>
      </w:r>
      <w:r>
        <w:rPr/>
        <w:t>or</w:t>
      </w:r>
      <w:r>
        <w:rPr>
          <w:spacing w:val="-17"/>
        </w:rPr>
        <w:t> </w:t>
      </w:r>
      <w:r>
        <w:rPr/>
        <w:t>the</w:t>
      </w:r>
      <w:r>
        <w:rPr>
          <w:spacing w:val="-16"/>
        </w:rPr>
        <w:t> </w:t>
      </w:r>
      <w:r>
        <w:rPr/>
        <w:t>potential</w:t>
      </w:r>
      <w:r>
        <w:rPr>
          <w:spacing w:val="-16"/>
        </w:rPr>
        <w:t> </w:t>
      </w:r>
      <w:r>
        <w:rPr>
          <w:spacing w:val="-3"/>
        </w:rPr>
        <w:t>impact.</w:t>
      </w:r>
    </w:p>
    <w:p>
      <w:pPr>
        <w:pStyle w:val="BodyText"/>
        <w:spacing w:before="4"/>
        <w:rPr>
          <w:sz w:val="23"/>
        </w:rPr>
      </w:pPr>
    </w:p>
    <w:p>
      <w:pPr>
        <w:pStyle w:val="Heading6"/>
        <w:spacing w:line="249" w:lineRule="auto" w:before="1"/>
        <w:ind w:left="424" w:right="812"/>
      </w:pPr>
      <w:r>
        <w:rPr/>
        <w:t>Operative for reporting periods beginning on/ after 1 Jan 2019</w:t>
      </w:r>
    </w:p>
    <w:p>
      <w:pPr>
        <w:pStyle w:val="BodyText"/>
        <w:spacing w:before="1"/>
        <w:rPr>
          <w:b/>
          <w:sz w:val="23"/>
        </w:rPr>
      </w:pPr>
    </w:p>
    <w:p>
      <w:pPr>
        <w:spacing w:before="0"/>
        <w:ind w:left="424" w:right="0" w:firstLine="0"/>
        <w:jc w:val="left"/>
        <w:rPr>
          <w:b/>
          <w:sz w:val="22"/>
        </w:rPr>
      </w:pPr>
      <w:r>
        <w:rPr>
          <w:b/>
          <w:color w:val="6F2770"/>
          <w:sz w:val="22"/>
        </w:rPr>
        <w:t>AASB 15</w:t>
      </w:r>
    </w:p>
    <w:p>
      <w:pPr>
        <w:spacing w:before="11"/>
        <w:ind w:left="424" w:right="0" w:firstLine="0"/>
        <w:jc w:val="left"/>
        <w:rPr>
          <w:i/>
          <w:sz w:val="22"/>
        </w:rPr>
      </w:pPr>
      <w:r>
        <w:rPr>
          <w:i/>
          <w:color w:val="6F2770"/>
          <w:sz w:val="22"/>
        </w:rPr>
        <w:t>Revenue from Contracts with Customers</w:t>
      </w:r>
    </w:p>
    <w:p>
      <w:pPr>
        <w:pStyle w:val="BodyText"/>
        <w:spacing w:line="249" w:lineRule="auto" w:before="11"/>
        <w:ind w:left="424" w:right="775"/>
      </w:pPr>
      <w:r>
        <w:rPr/>
        <w:t>This Standard establishes the principles that the Department</w:t>
      </w:r>
      <w:r>
        <w:rPr>
          <w:spacing w:val="-24"/>
        </w:rPr>
        <w:t> </w:t>
      </w:r>
      <w:r>
        <w:rPr/>
        <w:t>shall</w:t>
      </w:r>
      <w:r>
        <w:rPr>
          <w:spacing w:val="-24"/>
        </w:rPr>
        <w:t> </w:t>
      </w:r>
      <w:r>
        <w:rPr/>
        <w:t>apply</w:t>
      </w:r>
      <w:r>
        <w:rPr>
          <w:spacing w:val="-24"/>
        </w:rPr>
        <w:t> </w:t>
      </w:r>
      <w:r>
        <w:rPr/>
        <w:t>to</w:t>
      </w:r>
      <w:r>
        <w:rPr>
          <w:spacing w:val="-24"/>
        </w:rPr>
        <w:t> </w:t>
      </w:r>
      <w:r>
        <w:rPr/>
        <w:t>report</w:t>
      </w:r>
      <w:r>
        <w:rPr>
          <w:spacing w:val="-24"/>
        </w:rPr>
        <w:t> </w:t>
      </w:r>
      <w:r>
        <w:rPr/>
        <w:t>useful</w:t>
      </w:r>
      <w:r>
        <w:rPr>
          <w:spacing w:val="-24"/>
        </w:rPr>
        <w:t> </w:t>
      </w:r>
      <w:r>
        <w:rPr/>
        <w:t>information to users of financial statements about the nature, amount, timing and uncertainty of revenue and cash</w:t>
      </w:r>
      <w:r>
        <w:rPr>
          <w:spacing w:val="-12"/>
        </w:rPr>
        <w:t> </w:t>
      </w:r>
      <w:r>
        <w:rPr/>
        <w:t>flows</w:t>
      </w:r>
      <w:r>
        <w:rPr>
          <w:spacing w:val="-12"/>
        </w:rPr>
        <w:t> </w:t>
      </w:r>
      <w:r>
        <w:rPr/>
        <w:t>arising</w:t>
      </w:r>
      <w:r>
        <w:rPr>
          <w:spacing w:val="-12"/>
        </w:rPr>
        <w:t> </w:t>
      </w:r>
      <w:r>
        <w:rPr/>
        <w:t>from</w:t>
      </w:r>
      <w:r>
        <w:rPr>
          <w:spacing w:val="-12"/>
        </w:rPr>
        <w:t> </w:t>
      </w:r>
      <w:r>
        <w:rPr/>
        <w:t>a</w:t>
      </w:r>
      <w:r>
        <w:rPr>
          <w:spacing w:val="-12"/>
        </w:rPr>
        <w:t> </w:t>
      </w:r>
      <w:r>
        <w:rPr/>
        <w:t>contract</w:t>
      </w:r>
      <w:r>
        <w:rPr>
          <w:spacing w:val="-12"/>
        </w:rPr>
        <w:t> </w:t>
      </w:r>
      <w:r>
        <w:rPr/>
        <w:t>with</w:t>
      </w:r>
      <w:r>
        <w:rPr>
          <w:spacing w:val="-12"/>
        </w:rPr>
        <w:t> </w:t>
      </w:r>
      <w:r>
        <w:rPr/>
        <w:t>a</w:t>
      </w:r>
      <w:r>
        <w:rPr>
          <w:spacing w:val="-12"/>
        </w:rPr>
        <w:t> </w:t>
      </w:r>
      <w:r>
        <w:rPr>
          <w:spacing w:val="-5"/>
        </w:rPr>
        <w:t>customer. </w:t>
      </w:r>
      <w:r>
        <w:rPr/>
        <w:t>The </w:t>
      </w:r>
      <w:r>
        <w:rPr>
          <w:spacing w:val="-3"/>
        </w:rPr>
        <w:t>Department’s </w:t>
      </w:r>
      <w:r>
        <w:rPr/>
        <w:t>income is principally derived from</w:t>
      </w:r>
      <w:r>
        <w:rPr>
          <w:spacing w:val="-19"/>
        </w:rPr>
        <w:t> </w:t>
      </w:r>
      <w:r>
        <w:rPr/>
        <w:t>appropriations</w:t>
      </w:r>
      <w:r>
        <w:rPr>
          <w:spacing w:val="-18"/>
        </w:rPr>
        <w:t> </w:t>
      </w:r>
      <w:r>
        <w:rPr/>
        <w:t>which</w:t>
      </w:r>
      <w:r>
        <w:rPr>
          <w:spacing w:val="-18"/>
        </w:rPr>
        <w:t> </w:t>
      </w:r>
      <w:r>
        <w:rPr/>
        <w:t>will</w:t>
      </w:r>
      <w:r>
        <w:rPr>
          <w:spacing w:val="-19"/>
        </w:rPr>
        <w:t> </w:t>
      </w:r>
      <w:r>
        <w:rPr/>
        <w:t>be</w:t>
      </w:r>
      <w:r>
        <w:rPr>
          <w:spacing w:val="-18"/>
        </w:rPr>
        <w:t> </w:t>
      </w:r>
      <w:r>
        <w:rPr/>
        <w:t>measured</w:t>
      </w:r>
      <w:r>
        <w:rPr>
          <w:spacing w:val="-18"/>
        </w:rPr>
        <w:t> </w:t>
      </w:r>
      <w:r>
        <w:rPr/>
        <w:t>under AASB 1058 </w:t>
      </w:r>
      <w:r>
        <w:rPr>
          <w:i/>
        </w:rPr>
        <w:t>Income of not-for-profit Entities </w:t>
      </w:r>
      <w:r>
        <w:rPr/>
        <w:t>and will be unaffected by this change. </w:t>
      </w:r>
      <w:r>
        <w:rPr>
          <w:spacing w:val="-3"/>
        </w:rPr>
        <w:t>However, </w:t>
      </w:r>
      <w:r>
        <w:rPr/>
        <w:t>the Department has not yet determined the potential impact</w:t>
      </w:r>
      <w:r>
        <w:rPr>
          <w:spacing w:val="-13"/>
        </w:rPr>
        <w:t> </w:t>
      </w:r>
      <w:r>
        <w:rPr/>
        <w:t>of</w:t>
      </w:r>
      <w:r>
        <w:rPr>
          <w:spacing w:val="-12"/>
        </w:rPr>
        <w:t> </w:t>
      </w:r>
      <w:r>
        <w:rPr/>
        <w:t>the</w:t>
      </w:r>
      <w:r>
        <w:rPr>
          <w:spacing w:val="-13"/>
        </w:rPr>
        <w:t> </w:t>
      </w:r>
      <w:r>
        <w:rPr/>
        <w:t>Standard</w:t>
      </w:r>
      <w:r>
        <w:rPr>
          <w:spacing w:val="-12"/>
        </w:rPr>
        <w:t> </w:t>
      </w:r>
      <w:r>
        <w:rPr/>
        <w:t>on</w:t>
      </w:r>
      <w:r>
        <w:rPr>
          <w:spacing w:val="-13"/>
        </w:rPr>
        <w:t> </w:t>
      </w:r>
      <w:r>
        <w:rPr/>
        <w:t>‘User</w:t>
      </w:r>
      <w:r>
        <w:rPr>
          <w:spacing w:val="-12"/>
        </w:rPr>
        <w:t> </w:t>
      </w:r>
      <w:r>
        <w:rPr/>
        <w:t>charges</w:t>
      </w:r>
      <w:r>
        <w:rPr>
          <w:spacing w:val="-13"/>
        </w:rPr>
        <w:t> </w:t>
      </w:r>
      <w:r>
        <w:rPr/>
        <w:t>and</w:t>
      </w:r>
      <w:r>
        <w:rPr>
          <w:spacing w:val="-12"/>
        </w:rPr>
        <w:t> </w:t>
      </w:r>
      <w:r>
        <w:rPr/>
        <w:t>fees’</w:t>
      </w:r>
    </w:p>
    <w:p>
      <w:pPr>
        <w:spacing w:after="0" w:line="249" w:lineRule="auto"/>
        <w:sectPr>
          <w:type w:val="continuous"/>
          <w:pgSz w:w="16840" w:h="11910" w:orient="landscape"/>
          <w:pgMar w:top="0" w:bottom="0" w:left="0" w:right="0"/>
          <w:cols w:num="3" w:equalWidth="0">
            <w:col w:w="5537" w:space="40"/>
            <w:col w:w="5213" w:space="39"/>
            <w:col w:w="6011"/>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604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616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6192"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20"/>
        </w:rPr>
      </w:pPr>
    </w:p>
    <w:p>
      <w:pPr>
        <w:spacing w:after="0"/>
        <w:rPr>
          <w:sz w:val="20"/>
        </w:rPr>
        <w:sectPr>
          <w:footerReference w:type="default" r:id="rId205"/>
          <w:pgSz w:w="16840" w:h="11910" w:orient="landscape"/>
          <w:pgMar w:footer="448" w:header="0" w:top="0" w:bottom="640" w:left="0" w:right="0"/>
        </w:sectPr>
      </w:pPr>
    </w:p>
    <w:p>
      <w:pPr>
        <w:pStyle w:val="BodyText"/>
        <w:spacing w:before="5"/>
        <w:rPr>
          <w:sz w:val="23"/>
        </w:rPr>
      </w:pPr>
    </w:p>
    <w:p>
      <w:pPr>
        <w:pStyle w:val="BodyText"/>
        <w:spacing w:line="249" w:lineRule="auto"/>
        <w:ind w:left="765" w:right="-3"/>
      </w:pPr>
      <w:r>
        <w:rPr/>
        <w:t>and ‘Sales’ revenues. In broad terms, it is anticipated that the terms and conditions attached to these revenues will defer revenue recognition</w:t>
      </w:r>
      <w:r>
        <w:rPr>
          <w:spacing w:val="-28"/>
        </w:rPr>
        <w:t> </w:t>
      </w:r>
      <w:r>
        <w:rPr/>
        <w:t>until</w:t>
      </w:r>
      <w:r>
        <w:rPr>
          <w:spacing w:val="-28"/>
        </w:rPr>
        <w:t> </w:t>
      </w:r>
      <w:r>
        <w:rPr/>
        <w:t>the</w:t>
      </w:r>
      <w:r>
        <w:rPr>
          <w:spacing w:val="-28"/>
        </w:rPr>
        <w:t> </w:t>
      </w:r>
      <w:r>
        <w:rPr/>
        <w:t>Department</w:t>
      </w:r>
      <w:r>
        <w:rPr>
          <w:spacing w:val="-28"/>
        </w:rPr>
        <w:t> </w:t>
      </w:r>
      <w:r>
        <w:rPr/>
        <w:t>has</w:t>
      </w:r>
      <w:r>
        <w:rPr>
          <w:spacing w:val="-28"/>
        </w:rPr>
        <w:t> </w:t>
      </w:r>
      <w:r>
        <w:rPr/>
        <w:t>discharged its performance</w:t>
      </w:r>
      <w:r>
        <w:rPr>
          <w:spacing w:val="-5"/>
        </w:rPr>
        <w:t> </w:t>
      </w:r>
      <w:r>
        <w:rPr/>
        <w:t>obligations.</w:t>
      </w:r>
    </w:p>
    <w:p>
      <w:pPr>
        <w:pStyle w:val="BodyText"/>
        <w:spacing w:before="4"/>
        <w:rPr>
          <w:sz w:val="23"/>
        </w:rPr>
      </w:pPr>
    </w:p>
    <w:p>
      <w:pPr>
        <w:spacing w:before="0"/>
        <w:ind w:left="765" w:right="0" w:firstLine="0"/>
        <w:jc w:val="left"/>
        <w:rPr>
          <w:b/>
          <w:sz w:val="22"/>
        </w:rPr>
      </w:pPr>
      <w:r>
        <w:rPr>
          <w:b/>
          <w:color w:val="6F2770"/>
          <w:sz w:val="22"/>
        </w:rPr>
        <w:t>AASB 16</w:t>
      </w:r>
    </w:p>
    <w:p>
      <w:pPr>
        <w:spacing w:before="11"/>
        <w:ind w:left="765" w:right="0" w:firstLine="0"/>
        <w:jc w:val="left"/>
        <w:rPr>
          <w:i/>
          <w:sz w:val="22"/>
        </w:rPr>
      </w:pPr>
      <w:r>
        <w:rPr>
          <w:i/>
          <w:color w:val="6F2770"/>
          <w:sz w:val="22"/>
        </w:rPr>
        <w:t>Leases</w:t>
      </w:r>
    </w:p>
    <w:p>
      <w:pPr>
        <w:pStyle w:val="BodyText"/>
        <w:spacing w:line="249" w:lineRule="auto" w:before="11"/>
        <w:ind w:left="765" w:right="208"/>
      </w:pPr>
      <w:r>
        <w:rPr/>
        <w:t>This Standard introduces a single lessee accounting model and requires a lessee to recognise assets and liabilities for all leases with a term of more than 12 months, unless the</w:t>
      </w:r>
      <w:r>
        <w:rPr>
          <w:spacing w:val="-21"/>
        </w:rPr>
        <w:t> </w:t>
      </w:r>
      <w:r>
        <w:rPr/>
        <w:t>underlying</w:t>
      </w:r>
      <w:r>
        <w:rPr>
          <w:spacing w:val="-20"/>
        </w:rPr>
        <w:t> </w:t>
      </w:r>
      <w:r>
        <w:rPr/>
        <w:t>asset</w:t>
      </w:r>
      <w:r>
        <w:rPr>
          <w:spacing w:val="-20"/>
        </w:rPr>
        <w:t> </w:t>
      </w:r>
      <w:r>
        <w:rPr/>
        <w:t>is</w:t>
      </w:r>
      <w:r>
        <w:rPr>
          <w:spacing w:val="-20"/>
        </w:rPr>
        <w:t> </w:t>
      </w:r>
      <w:r>
        <w:rPr/>
        <w:t>of</w:t>
      </w:r>
      <w:r>
        <w:rPr>
          <w:spacing w:val="-20"/>
        </w:rPr>
        <w:t> </w:t>
      </w:r>
      <w:r>
        <w:rPr/>
        <w:t>low</w:t>
      </w:r>
      <w:r>
        <w:rPr>
          <w:spacing w:val="-20"/>
        </w:rPr>
        <w:t> </w:t>
      </w:r>
      <w:r>
        <w:rPr/>
        <w:t>value.</w:t>
      </w:r>
      <w:r>
        <w:rPr>
          <w:spacing w:val="-20"/>
        </w:rPr>
        <w:t> </w:t>
      </w:r>
      <w:r>
        <w:rPr/>
        <w:t>Whilst</w:t>
      </w:r>
      <w:r>
        <w:rPr>
          <w:spacing w:val="-20"/>
        </w:rPr>
        <w:t> </w:t>
      </w:r>
      <w:r>
        <w:rPr>
          <w:spacing w:val="-6"/>
        </w:rPr>
        <w:t>the</w:t>
      </w:r>
    </w:p>
    <w:p>
      <w:pPr>
        <w:pStyle w:val="BodyText"/>
        <w:spacing w:line="249" w:lineRule="auto" w:before="5"/>
        <w:ind w:left="765" w:right="-7"/>
      </w:pPr>
      <w:r>
        <w:rPr/>
        <w:t>impact</w:t>
      </w:r>
      <w:r>
        <w:rPr>
          <w:spacing w:val="-13"/>
        </w:rPr>
        <w:t> </w:t>
      </w:r>
      <w:r>
        <w:rPr/>
        <w:t>of</w:t>
      </w:r>
      <w:r>
        <w:rPr>
          <w:spacing w:val="-13"/>
        </w:rPr>
        <w:t> </w:t>
      </w:r>
      <w:r>
        <w:rPr/>
        <w:t>AASB</w:t>
      </w:r>
      <w:r>
        <w:rPr>
          <w:spacing w:val="-13"/>
        </w:rPr>
        <w:t> </w:t>
      </w:r>
      <w:r>
        <w:rPr/>
        <w:t>16</w:t>
      </w:r>
      <w:r>
        <w:rPr>
          <w:spacing w:val="-12"/>
        </w:rPr>
        <w:t> </w:t>
      </w:r>
      <w:r>
        <w:rPr/>
        <w:t>has</w:t>
      </w:r>
      <w:r>
        <w:rPr>
          <w:spacing w:val="-13"/>
        </w:rPr>
        <w:t> </w:t>
      </w:r>
      <w:r>
        <w:rPr/>
        <w:t>not</w:t>
      </w:r>
      <w:r>
        <w:rPr>
          <w:spacing w:val="-13"/>
        </w:rPr>
        <w:t> </w:t>
      </w:r>
      <w:r>
        <w:rPr/>
        <w:t>yet</w:t>
      </w:r>
      <w:r>
        <w:rPr>
          <w:spacing w:val="-12"/>
        </w:rPr>
        <w:t> </w:t>
      </w:r>
      <w:r>
        <w:rPr/>
        <w:t>been</w:t>
      </w:r>
      <w:r>
        <w:rPr>
          <w:spacing w:val="-13"/>
        </w:rPr>
        <w:t> </w:t>
      </w:r>
      <w:r>
        <w:rPr/>
        <w:t>quantified, the Department currently has operating lease commitments</w:t>
      </w:r>
      <w:r>
        <w:rPr>
          <w:spacing w:val="-22"/>
        </w:rPr>
        <w:t> </w:t>
      </w:r>
      <w:r>
        <w:rPr/>
        <w:t>for</w:t>
      </w:r>
      <w:r>
        <w:rPr>
          <w:spacing w:val="-22"/>
        </w:rPr>
        <w:t> </w:t>
      </w:r>
      <w:r>
        <w:rPr/>
        <w:t>$73,739,000.</w:t>
      </w:r>
      <w:r>
        <w:rPr>
          <w:spacing w:val="-21"/>
        </w:rPr>
        <w:t> </w:t>
      </w:r>
      <w:r>
        <w:rPr/>
        <w:t>The</w:t>
      </w:r>
      <w:r>
        <w:rPr>
          <w:spacing w:val="-22"/>
        </w:rPr>
        <w:t> </w:t>
      </w:r>
      <w:r>
        <w:rPr/>
        <w:t>Department anticipates most of this amount will be brought onto the statement of financial position, excepting amounts pertinent to</w:t>
      </w:r>
      <w:r>
        <w:rPr>
          <w:spacing w:val="-21"/>
        </w:rPr>
        <w:t> </w:t>
      </w:r>
      <w:r>
        <w:rPr/>
        <w:t>short-term</w:t>
      </w:r>
    </w:p>
    <w:p>
      <w:pPr>
        <w:pStyle w:val="BodyText"/>
        <w:spacing w:line="249" w:lineRule="auto" w:before="5"/>
        <w:ind w:left="765" w:right="270"/>
      </w:pPr>
      <w:r>
        <w:rPr/>
        <w:t>or</w:t>
      </w:r>
      <w:r>
        <w:rPr>
          <w:spacing w:val="-29"/>
        </w:rPr>
        <w:t> </w:t>
      </w:r>
      <w:r>
        <w:rPr/>
        <w:t>low-value</w:t>
      </w:r>
      <w:r>
        <w:rPr>
          <w:spacing w:val="-29"/>
        </w:rPr>
        <w:t> </w:t>
      </w:r>
      <w:r>
        <w:rPr/>
        <w:t>leases.</w:t>
      </w:r>
      <w:r>
        <w:rPr>
          <w:spacing w:val="-29"/>
        </w:rPr>
        <w:t> </w:t>
      </w:r>
      <w:r>
        <w:rPr/>
        <w:t>Interest</w:t>
      </w:r>
      <w:r>
        <w:rPr>
          <w:spacing w:val="-28"/>
        </w:rPr>
        <w:t> </w:t>
      </w:r>
      <w:r>
        <w:rPr/>
        <w:t>and</w:t>
      </w:r>
      <w:r>
        <w:rPr>
          <w:spacing w:val="-29"/>
        </w:rPr>
        <w:t> </w:t>
      </w:r>
      <w:r>
        <w:rPr>
          <w:spacing w:val="-2"/>
        </w:rPr>
        <w:t>amortisation </w:t>
      </w:r>
      <w:r>
        <w:rPr/>
        <w:t>expense</w:t>
      </w:r>
      <w:r>
        <w:rPr>
          <w:spacing w:val="-27"/>
        </w:rPr>
        <w:t> </w:t>
      </w:r>
      <w:r>
        <w:rPr/>
        <w:t>will</w:t>
      </w:r>
      <w:r>
        <w:rPr>
          <w:spacing w:val="-27"/>
        </w:rPr>
        <w:t> </w:t>
      </w:r>
      <w:r>
        <w:rPr/>
        <w:t>increase</w:t>
      </w:r>
      <w:r>
        <w:rPr>
          <w:spacing w:val="-27"/>
        </w:rPr>
        <w:t> </w:t>
      </w:r>
      <w:r>
        <w:rPr/>
        <w:t>and</w:t>
      </w:r>
      <w:r>
        <w:rPr>
          <w:spacing w:val="-27"/>
        </w:rPr>
        <w:t> </w:t>
      </w:r>
      <w:r>
        <w:rPr/>
        <w:t>rental</w:t>
      </w:r>
      <w:r>
        <w:rPr>
          <w:spacing w:val="-27"/>
        </w:rPr>
        <w:t> </w:t>
      </w:r>
      <w:r>
        <w:rPr/>
        <w:t>expense</w:t>
      </w:r>
      <w:r>
        <w:rPr>
          <w:spacing w:val="-27"/>
        </w:rPr>
        <w:t> </w:t>
      </w:r>
      <w:r>
        <w:rPr/>
        <w:t>will decrease.</w:t>
      </w:r>
    </w:p>
    <w:p>
      <w:pPr>
        <w:pStyle w:val="BodyText"/>
        <w:spacing w:before="5"/>
        <w:rPr>
          <w:sz w:val="23"/>
        </w:rPr>
      </w:pPr>
      <w:r>
        <w:rPr/>
        <w:br w:type="column"/>
      </w:r>
      <w:r>
        <w:rPr>
          <w:sz w:val="23"/>
        </w:rPr>
      </w:r>
    </w:p>
    <w:p>
      <w:pPr>
        <w:spacing w:before="0"/>
        <w:ind w:left="656" w:right="0" w:firstLine="0"/>
        <w:jc w:val="left"/>
        <w:rPr>
          <w:b/>
          <w:sz w:val="22"/>
        </w:rPr>
      </w:pPr>
      <w:r>
        <w:rPr>
          <w:b/>
          <w:color w:val="6F2770"/>
          <w:sz w:val="22"/>
        </w:rPr>
        <w:t>AASB 1058</w:t>
      </w:r>
    </w:p>
    <w:p>
      <w:pPr>
        <w:spacing w:before="11"/>
        <w:ind w:left="656" w:right="0" w:firstLine="0"/>
        <w:jc w:val="left"/>
        <w:rPr>
          <w:i/>
          <w:sz w:val="22"/>
        </w:rPr>
      </w:pPr>
      <w:r>
        <w:rPr>
          <w:i/>
          <w:color w:val="6F2770"/>
          <w:sz w:val="22"/>
        </w:rPr>
        <w:t>Income of Not-for-Profit Entities</w:t>
      </w:r>
    </w:p>
    <w:p>
      <w:pPr>
        <w:pStyle w:val="BodyText"/>
        <w:spacing w:line="249" w:lineRule="auto" w:before="11"/>
        <w:ind w:left="656" w:right="238"/>
      </w:pPr>
      <w:r>
        <w:rPr/>
        <w:t>This Standard clarifies and simplifies the income recognition requirements that apply to not-for-profit (NFP) entities, more closely reflecting the economic reality of NFP entity transactions that are not contracts with customers. Timing of income recognition is dependent</w:t>
      </w:r>
      <w:r>
        <w:rPr>
          <w:spacing w:val="-18"/>
        </w:rPr>
        <w:t> </w:t>
      </w:r>
      <w:r>
        <w:rPr/>
        <w:t>on</w:t>
      </w:r>
      <w:r>
        <w:rPr>
          <w:spacing w:val="-18"/>
        </w:rPr>
        <w:t> </w:t>
      </w:r>
      <w:r>
        <w:rPr/>
        <w:t>whether</w:t>
      </w:r>
      <w:r>
        <w:rPr>
          <w:spacing w:val="-18"/>
        </w:rPr>
        <w:t> </w:t>
      </w:r>
      <w:r>
        <w:rPr/>
        <w:t>such</w:t>
      </w:r>
      <w:r>
        <w:rPr>
          <w:spacing w:val="-18"/>
        </w:rPr>
        <w:t> </w:t>
      </w:r>
      <w:r>
        <w:rPr/>
        <w:t>a</w:t>
      </w:r>
      <w:r>
        <w:rPr>
          <w:spacing w:val="-18"/>
        </w:rPr>
        <w:t> </w:t>
      </w:r>
      <w:r>
        <w:rPr/>
        <w:t>transaction</w:t>
      </w:r>
      <w:r>
        <w:rPr>
          <w:spacing w:val="-18"/>
        </w:rPr>
        <w:t> </w:t>
      </w:r>
      <w:r>
        <w:rPr>
          <w:spacing w:val="-4"/>
        </w:rPr>
        <w:t>gives </w:t>
      </w:r>
      <w:r>
        <w:rPr/>
        <w:t>rise</w:t>
      </w:r>
      <w:r>
        <w:rPr>
          <w:spacing w:val="-9"/>
        </w:rPr>
        <w:t> </w:t>
      </w:r>
      <w:r>
        <w:rPr/>
        <w:t>to</w:t>
      </w:r>
      <w:r>
        <w:rPr>
          <w:spacing w:val="-9"/>
        </w:rPr>
        <w:t> </w:t>
      </w:r>
      <w:r>
        <w:rPr/>
        <w:t>a</w:t>
      </w:r>
      <w:r>
        <w:rPr>
          <w:spacing w:val="-8"/>
        </w:rPr>
        <w:t> </w:t>
      </w:r>
      <w:r>
        <w:rPr>
          <w:spacing w:val="-3"/>
        </w:rPr>
        <w:t>liability,</w:t>
      </w:r>
      <w:r>
        <w:rPr>
          <w:spacing w:val="-9"/>
        </w:rPr>
        <w:t> </w:t>
      </w:r>
      <w:r>
        <w:rPr/>
        <w:t>a</w:t>
      </w:r>
      <w:r>
        <w:rPr>
          <w:spacing w:val="-9"/>
        </w:rPr>
        <w:t> </w:t>
      </w:r>
      <w:r>
        <w:rPr/>
        <w:t>performance</w:t>
      </w:r>
      <w:r>
        <w:rPr>
          <w:spacing w:val="-8"/>
        </w:rPr>
        <w:t> </w:t>
      </w:r>
      <w:r>
        <w:rPr/>
        <w:t>obligation</w:t>
      </w:r>
    </w:p>
    <w:p>
      <w:pPr>
        <w:pStyle w:val="BodyText"/>
        <w:spacing w:line="249" w:lineRule="auto" w:before="7"/>
        <w:ind w:left="656" w:right="899"/>
      </w:pPr>
      <w:r>
        <w:rPr/>
        <w:t>(a</w:t>
      </w:r>
      <w:r>
        <w:rPr>
          <w:spacing w:val="-23"/>
        </w:rPr>
        <w:t> </w:t>
      </w:r>
      <w:r>
        <w:rPr/>
        <w:t>promise</w:t>
      </w:r>
      <w:r>
        <w:rPr>
          <w:spacing w:val="-22"/>
        </w:rPr>
        <w:t> </w:t>
      </w:r>
      <w:r>
        <w:rPr/>
        <w:t>to</w:t>
      </w:r>
      <w:r>
        <w:rPr>
          <w:spacing w:val="-23"/>
        </w:rPr>
        <w:t> </w:t>
      </w:r>
      <w:r>
        <w:rPr/>
        <w:t>transfer</w:t>
      </w:r>
      <w:r>
        <w:rPr>
          <w:spacing w:val="-22"/>
        </w:rPr>
        <w:t> </w:t>
      </w:r>
      <w:r>
        <w:rPr/>
        <w:t>a</w:t>
      </w:r>
      <w:r>
        <w:rPr>
          <w:spacing w:val="-22"/>
        </w:rPr>
        <w:t> </w:t>
      </w:r>
      <w:r>
        <w:rPr/>
        <w:t>good</w:t>
      </w:r>
      <w:r>
        <w:rPr>
          <w:spacing w:val="-23"/>
        </w:rPr>
        <w:t> </w:t>
      </w:r>
      <w:r>
        <w:rPr/>
        <w:t>or</w:t>
      </w:r>
      <w:r>
        <w:rPr>
          <w:spacing w:val="-22"/>
        </w:rPr>
        <w:t> </w:t>
      </w:r>
      <w:r>
        <w:rPr/>
        <w:t>service), </w:t>
      </w:r>
      <w:r>
        <w:rPr>
          <w:spacing w:val="-7"/>
        </w:rPr>
        <w:t>or, </w:t>
      </w:r>
      <w:r>
        <w:rPr/>
        <w:t>an obligation to acquire an</w:t>
      </w:r>
      <w:r>
        <w:rPr>
          <w:spacing w:val="-42"/>
        </w:rPr>
        <w:t> </w:t>
      </w:r>
      <w:r>
        <w:rPr/>
        <w:t>asset.</w:t>
      </w:r>
    </w:p>
    <w:p>
      <w:pPr>
        <w:pStyle w:val="BodyText"/>
        <w:spacing w:line="249" w:lineRule="auto" w:before="2"/>
        <w:ind w:left="656" w:right="591"/>
      </w:pPr>
      <w:r>
        <w:rPr/>
        <w:t>The</w:t>
      </w:r>
      <w:r>
        <w:rPr>
          <w:spacing w:val="-19"/>
        </w:rPr>
        <w:t> </w:t>
      </w:r>
      <w:r>
        <w:rPr/>
        <w:t>Department</w:t>
      </w:r>
      <w:r>
        <w:rPr>
          <w:spacing w:val="-19"/>
        </w:rPr>
        <w:t> </w:t>
      </w:r>
      <w:r>
        <w:rPr/>
        <w:t>has</w:t>
      </w:r>
      <w:r>
        <w:rPr>
          <w:spacing w:val="-19"/>
        </w:rPr>
        <w:t> </w:t>
      </w:r>
      <w:r>
        <w:rPr/>
        <w:t>not</w:t>
      </w:r>
      <w:r>
        <w:rPr>
          <w:spacing w:val="-19"/>
        </w:rPr>
        <w:t> </w:t>
      </w:r>
      <w:r>
        <w:rPr/>
        <w:t>yet</w:t>
      </w:r>
      <w:r>
        <w:rPr>
          <w:spacing w:val="-18"/>
        </w:rPr>
        <w:t> </w:t>
      </w:r>
      <w:r>
        <w:rPr/>
        <w:t>determined</w:t>
      </w:r>
      <w:r>
        <w:rPr>
          <w:spacing w:val="-19"/>
        </w:rPr>
        <w:t> </w:t>
      </w:r>
      <w:r>
        <w:rPr>
          <w:spacing w:val="-6"/>
        </w:rPr>
        <w:t>the </w:t>
      </w:r>
      <w:r>
        <w:rPr/>
        <w:t>application or the potential impact of this recently issued</w:t>
      </w:r>
      <w:r>
        <w:rPr>
          <w:spacing w:val="-6"/>
        </w:rPr>
        <w:t> </w:t>
      </w:r>
      <w:r>
        <w:rPr/>
        <w:t>Standard.</w:t>
      </w:r>
    </w:p>
    <w:p>
      <w:pPr>
        <w:pStyle w:val="BodyText"/>
        <w:spacing w:before="2"/>
        <w:rPr>
          <w:sz w:val="23"/>
        </w:rPr>
      </w:pPr>
    </w:p>
    <w:p>
      <w:pPr>
        <w:spacing w:before="0"/>
        <w:ind w:left="656" w:right="0" w:firstLine="0"/>
        <w:jc w:val="left"/>
        <w:rPr>
          <w:b/>
          <w:sz w:val="22"/>
        </w:rPr>
      </w:pPr>
      <w:r>
        <w:rPr>
          <w:b/>
          <w:color w:val="6F2770"/>
          <w:sz w:val="22"/>
        </w:rPr>
        <w:t>AASB 2015-8</w:t>
      </w:r>
    </w:p>
    <w:p>
      <w:pPr>
        <w:spacing w:line="249" w:lineRule="auto" w:before="11"/>
        <w:ind w:left="656" w:right="53" w:firstLine="0"/>
        <w:jc w:val="left"/>
        <w:rPr>
          <w:i/>
          <w:sz w:val="22"/>
        </w:rPr>
      </w:pPr>
      <w:r>
        <w:rPr>
          <w:i/>
          <w:color w:val="6F2770"/>
          <w:sz w:val="22"/>
        </w:rPr>
        <w:t>Amendments</w:t>
      </w:r>
      <w:r>
        <w:rPr>
          <w:i/>
          <w:color w:val="6F2770"/>
          <w:spacing w:val="-26"/>
          <w:sz w:val="22"/>
        </w:rPr>
        <w:t> </w:t>
      </w:r>
      <w:r>
        <w:rPr>
          <w:i/>
          <w:color w:val="6F2770"/>
          <w:sz w:val="22"/>
        </w:rPr>
        <w:t>to</w:t>
      </w:r>
      <w:r>
        <w:rPr>
          <w:i/>
          <w:color w:val="6F2770"/>
          <w:spacing w:val="-26"/>
          <w:sz w:val="22"/>
        </w:rPr>
        <w:t> </w:t>
      </w:r>
      <w:r>
        <w:rPr>
          <w:i/>
          <w:color w:val="6F2770"/>
          <w:sz w:val="22"/>
        </w:rPr>
        <w:t>Australian</w:t>
      </w:r>
      <w:r>
        <w:rPr>
          <w:i/>
          <w:color w:val="6F2770"/>
          <w:spacing w:val="-26"/>
          <w:sz w:val="22"/>
        </w:rPr>
        <w:t> </w:t>
      </w:r>
      <w:r>
        <w:rPr>
          <w:i/>
          <w:color w:val="6F2770"/>
          <w:sz w:val="22"/>
        </w:rPr>
        <w:t>Accounting</w:t>
      </w:r>
      <w:r>
        <w:rPr>
          <w:i/>
          <w:color w:val="6F2770"/>
          <w:spacing w:val="-26"/>
          <w:sz w:val="22"/>
        </w:rPr>
        <w:t> </w:t>
      </w:r>
      <w:r>
        <w:rPr>
          <w:i/>
          <w:color w:val="6F2770"/>
          <w:spacing w:val="-3"/>
          <w:sz w:val="22"/>
        </w:rPr>
        <w:t>Standards </w:t>
      </w:r>
      <w:r>
        <w:rPr>
          <w:i/>
          <w:color w:val="6F2770"/>
          <w:sz w:val="22"/>
        </w:rPr>
        <w:t>Effective Date of AASB</w:t>
      </w:r>
      <w:r>
        <w:rPr>
          <w:i/>
          <w:color w:val="6F2770"/>
          <w:spacing w:val="-11"/>
          <w:sz w:val="22"/>
        </w:rPr>
        <w:t> </w:t>
      </w:r>
      <w:r>
        <w:rPr>
          <w:i/>
          <w:color w:val="6F2770"/>
          <w:sz w:val="22"/>
        </w:rPr>
        <w:t>15</w:t>
      </w:r>
    </w:p>
    <w:p>
      <w:pPr>
        <w:pStyle w:val="BodyText"/>
        <w:spacing w:before="1"/>
        <w:rPr>
          <w:i/>
          <w:sz w:val="23"/>
        </w:rPr>
      </w:pPr>
    </w:p>
    <w:p>
      <w:pPr>
        <w:pStyle w:val="BodyText"/>
        <w:spacing w:line="249" w:lineRule="auto" w:before="1"/>
        <w:ind w:left="656" w:right="-6"/>
      </w:pPr>
      <w:r>
        <w:rPr/>
        <w:t>The Standard amends the mandatory effective date</w:t>
      </w:r>
      <w:r>
        <w:rPr>
          <w:spacing w:val="-21"/>
        </w:rPr>
        <w:t> </w:t>
      </w:r>
      <w:r>
        <w:rPr/>
        <w:t>(application</w:t>
      </w:r>
      <w:r>
        <w:rPr>
          <w:spacing w:val="-21"/>
        </w:rPr>
        <w:t> </w:t>
      </w:r>
      <w:r>
        <w:rPr/>
        <w:t>date)</w:t>
      </w:r>
      <w:r>
        <w:rPr>
          <w:spacing w:val="-21"/>
        </w:rPr>
        <w:t> </w:t>
      </w:r>
      <w:r>
        <w:rPr/>
        <w:t>of</w:t>
      </w:r>
      <w:r>
        <w:rPr>
          <w:spacing w:val="-21"/>
        </w:rPr>
        <w:t> </w:t>
      </w:r>
      <w:r>
        <w:rPr/>
        <w:t>AASB</w:t>
      </w:r>
      <w:r>
        <w:rPr>
          <w:spacing w:val="-21"/>
        </w:rPr>
        <w:t> </w:t>
      </w:r>
      <w:r>
        <w:rPr/>
        <w:t>15</w:t>
      </w:r>
      <w:r>
        <w:rPr>
          <w:spacing w:val="-21"/>
        </w:rPr>
        <w:t> </w:t>
      </w:r>
      <w:r>
        <w:rPr>
          <w:i/>
        </w:rPr>
        <w:t>Revenue</w:t>
      </w:r>
      <w:r>
        <w:rPr>
          <w:i/>
          <w:spacing w:val="-21"/>
        </w:rPr>
        <w:t> </w:t>
      </w:r>
      <w:r>
        <w:rPr>
          <w:i/>
        </w:rPr>
        <w:t>from </w:t>
      </w:r>
      <w:r>
        <w:rPr>
          <w:i/>
        </w:rPr>
        <w:t>Contracts with Customers </w:t>
      </w:r>
      <w:r>
        <w:rPr/>
        <w:t>so that AASB 15 is required</w:t>
      </w:r>
      <w:r>
        <w:rPr>
          <w:spacing w:val="-20"/>
        </w:rPr>
        <w:t> </w:t>
      </w:r>
      <w:r>
        <w:rPr/>
        <w:t>to</w:t>
      </w:r>
      <w:r>
        <w:rPr>
          <w:spacing w:val="-20"/>
        </w:rPr>
        <w:t> </w:t>
      </w:r>
      <w:r>
        <w:rPr/>
        <w:t>be</w:t>
      </w:r>
      <w:r>
        <w:rPr>
          <w:spacing w:val="-19"/>
        </w:rPr>
        <w:t> </w:t>
      </w:r>
      <w:r>
        <w:rPr/>
        <w:t>applied</w:t>
      </w:r>
      <w:r>
        <w:rPr>
          <w:spacing w:val="-20"/>
        </w:rPr>
        <w:t> </w:t>
      </w:r>
      <w:r>
        <w:rPr/>
        <w:t>for</w:t>
      </w:r>
      <w:r>
        <w:rPr>
          <w:spacing w:val="-19"/>
        </w:rPr>
        <w:t> </w:t>
      </w:r>
      <w:r>
        <w:rPr/>
        <w:t>annual</w:t>
      </w:r>
      <w:r>
        <w:rPr>
          <w:spacing w:val="-20"/>
        </w:rPr>
        <w:t> </w:t>
      </w:r>
      <w:r>
        <w:rPr/>
        <w:t>reporting</w:t>
      </w:r>
      <w:r>
        <w:rPr>
          <w:spacing w:val="-19"/>
        </w:rPr>
        <w:t> </w:t>
      </w:r>
      <w:r>
        <w:rPr>
          <w:spacing w:val="-3"/>
        </w:rPr>
        <w:t>periods </w:t>
      </w:r>
      <w:r>
        <w:rPr/>
        <w:t>beginning</w:t>
      </w:r>
      <w:r>
        <w:rPr>
          <w:spacing w:val="-9"/>
        </w:rPr>
        <w:t> </w:t>
      </w:r>
      <w:r>
        <w:rPr/>
        <w:t>on</w:t>
      </w:r>
      <w:r>
        <w:rPr>
          <w:spacing w:val="-8"/>
        </w:rPr>
        <w:t> </w:t>
      </w:r>
      <w:r>
        <w:rPr/>
        <w:t>or</w:t>
      </w:r>
      <w:r>
        <w:rPr>
          <w:spacing w:val="-8"/>
        </w:rPr>
        <w:t> </w:t>
      </w:r>
      <w:r>
        <w:rPr/>
        <w:t>after</w:t>
      </w:r>
      <w:r>
        <w:rPr>
          <w:spacing w:val="-8"/>
        </w:rPr>
        <w:t> </w:t>
      </w:r>
      <w:r>
        <w:rPr/>
        <w:t>1</w:t>
      </w:r>
      <w:r>
        <w:rPr>
          <w:spacing w:val="-9"/>
        </w:rPr>
        <w:t> </w:t>
      </w:r>
      <w:r>
        <w:rPr/>
        <w:t>January</w:t>
      </w:r>
      <w:r>
        <w:rPr>
          <w:spacing w:val="-8"/>
        </w:rPr>
        <w:t> </w:t>
      </w:r>
      <w:r>
        <w:rPr/>
        <w:t>2018</w:t>
      </w:r>
      <w:r>
        <w:rPr>
          <w:spacing w:val="-8"/>
        </w:rPr>
        <w:t> </w:t>
      </w:r>
      <w:r>
        <w:rPr/>
        <w:t>instead</w:t>
      </w:r>
    </w:p>
    <w:p>
      <w:pPr>
        <w:pStyle w:val="BodyText"/>
        <w:spacing w:before="4"/>
        <w:ind w:left="656"/>
      </w:pPr>
      <w:r>
        <w:rPr/>
        <w:t>of 1 January 2017.</w:t>
      </w:r>
    </w:p>
    <w:p>
      <w:pPr>
        <w:pStyle w:val="BodyText"/>
        <w:spacing w:before="5"/>
        <w:rPr>
          <w:sz w:val="23"/>
        </w:rPr>
      </w:pPr>
      <w:r>
        <w:rPr/>
        <w:br w:type="column"/>
      </w:r>
      <w:r>
        <w:rPr>
          <w:sz w:val="23"/>
        </w:rPr>
      </w:r>
    </w:p>
    <w:p>
      <w:pPr>
        <w:pStyle w:val="BodyText"/>
        <w:ind w:left="468"/>
      </w:pPr>
      <w:r>
        <w:rPr/>
        <w:t>For not-for-profit entities, the mandatory</w:t>
      </w:r>
    </w:p>
    <w:p>
      <w:pPr>
        <w:pStyle w:val="BodyText"/>
        <w:spacing w:line="249" w:lineRule="auto" w:before="11"/>
        <w:ind w:left="468" w:right="772"/>
      </w:pPr>
      <w:r>
        <w:rPr/>
        <w:t>effective</w:t>
      </w:r>
      <w:r>
        <w:rPr>
          <w:spacing w:val="-19"/>
        </w:rPr>
        <w:t> </w:t>
      </w:r>
      <w:r>
        <w:rPr/>
        <w:t>date</w:t>
      </w:r>
      <w:r>
        <w:rPr>
          <w:spacing w:val="-19"/>
        </w:rPr>
        <w:t> </w:t>
      </w:r>
      <w:r>
        <w:rPr/>
        <w:t>has</w:t>
      </w:r>
      <w:r>
        <w:rPr>
          <w:spacing w:val="-19"/>
        </w:rPr>
        <w:t> </w:t>
      </w:r>
      <w:r>
        <w:rPr/>
        <w:t>subsequently</w:t>
      </w:r>
      <w:r>
        <w:rPr>
          <w:spacing w:val="-20"/>
        </w:rPr>
        <w:t> </w:t>
      </w:r>
      <w:r>
        <w:rPr/>
        <w:t>been</w:t>
      </w:r>
      <w:r>
        <w:rPr>
          <w:spacing w:val="-19"/>
        </w:rPr>
        <w:t> </w:t>
      </w:r>
      <w:r>
        <w:rPr/>
        <w:t>amended</w:t>
      </w:r>
      <w:r>
        <w:rPr>
          <w:spacing w:val="-19"/>
        </w:rPr>
        <w:t> </w:t>
      </w:r>
      <w:r>
        <w:rPr/>
        <w:t>to 1</w:t>
      </w:r>
      <w:r>
        <w:rPr>
          <w:spacing w:val="-18"/>
        </w:rPr>
        <w:t> </w:t>
      </w:r>
      <w:r>
        <w:rPr/>
        <w:t>January</w:t>
      </w:r>
      <w:r>
        <w:rPr>
          <w:spacing w:val="-17"/>
        </w:rPr>
        <w:t> </w:t>
      </w:r>
      <w:r>
        <w:rPr/>
        <w:t>2019</w:t>
      </w:r>
      <w:r>
        <w:rPr>
          <w:spacing w:val="-17"/>
        </w:rPr>
        <w:t> </w:t>
      </w:r>
      <w:r>
        <w:rPr/>
        <w:t>by</w:t>
      </w:r>
      <w:r>
        <w:rPr>
          <w:spacing w:val="-18"/>
        </w:rPr>
        <w:t> </w:t>
      </w:r>
      <w:r>
        <w:rPr/>
        <w:t>AASB</w:t>
      </w:r>
      <w:r>
        <w:rPr>
          <w:spacing w:val="-17"/>
        </w:rPr>
        <w:t> </w:t>
      </w:r>
      <w:r>
        <w:rPr/>
        <w:t>2016-7.</w:t>
      </w:r>
      <w:r>
        <w:rPr>
          <w:spacing w:val="-17"/>
        </w:rPr>
        <w:t> </w:t>
      </w:r>
      <w:r>
        <w:rPr/>
        <w:t>The</w:t>
      </w:r>
      <w:r>
        <w:rPr>
          <w:spacing w:val="-18"/>
        </w:rPr>
        <w:t> </w:t>
      </w:r>
      <w:r>
        <w:rPr/>
        <w:t>Department has not yet determined the application or the potential impact of AASB</w:t>
      </w:r>
      <w:r>
        <w:rPr>
          <w:spacing w:val="-7"/>
        </w:rPr>
        <w:t> </w:t>
      </w:r>
      <w:r>
        <w:rPr/>
        <w:t>15.</w:t>
      </w:r>
    </w:p>
    <w:p>
      <w:pPr>
        <w:pStyle w:val="BodyText"/>
        <w:spacing w:before="3"/>
        <w:rPr>
          <w:sz w:val="23"/>
        </w:rPr>
      </w:pPr>
    </w:p>
    <w:p>
      <w:pPr>
        <w:spacing w:before="0"/>
        <w:ind w:left="468" w:right="0" w:firstLine="0"/>
        <w:jc w:val="left"/>
        <w:rPr>
          <w:b/>
          <w:sz w:val="22"/>
        </w:rPr>
      </w:pPr>
      <w:r>
        <w:rPr>
          <w:b/>
          <w:color w:val="6F2770"/>
          <w:sz w:val="22"/>
        </w:rPr>
        <w:t>AASB 2016-8</w:t>
      </w:r>
    </w:p>
    <w:p>
      <w:pPr>
        <w:spacing w:line="249" w:lineRule="auto" w:before="11"/>
        <w:ind w:left="468" w:right="899" w:firstLine="0"/>
        <w:jc w:val="left"/>
        <w:rPr>
          <w:i/>
          <w:sz w:val="22"/>
        </w:rPr>
      </w:pPr>
      <w:r>
        <w:rPr>
          <w:i/>
          <w:color w:val="6F2770"/>
          <w:sz w:val="22"/>
        </w:rPr>
        <w:t>Amendments</w:t>
      </w:r>
      <w:r>
        <w:rPr>
          <w:i/>
          <w:color w:val="6F2770"/>
          <w:spacing w:val="-32"/>
          <w:sz w:val="22"/>
        </w:rPr>
        <w:t> </w:t>
      </w:r>
      <w:r>
        <w:rPr>
          <w:i/>
          <w:color w:val="6F2770"/>
          <w:sz w:val="22"/>
        </w:rPr>
        <w:t>to</w:t>
      </w:r>
      <w:r>
        <w:rPr>
          <w:i/>
          <w:color w:val="6F2770"/>
          <w:spacing w:val="-31"/>
          <w:sz w:val="22"/>
        </w:rPr>
        <w:t> </w:t>
      </w:r>
      <w:r>
        <w:rPr>
          <w:i/>
          <w:color w:val="6F2770"/>
          <w:sz w:val="22"/>
        </w:rPr>
        <w:t>Australian</w:t>
      </w:r>
      <w:r>
        <w:rPr>
          <w:i/>
          <w:color w:val="6F2770"/>
          <w:spacing w:val="-32"/>
          <w:sz w:val="22"/>
        </w:rPr>
        <w:t> </w:t>
      </w:r>
      <w:r>
        <w:rPr>
          <w:i/>
          <w:color w:val="6F2770"/>
          <w:sz w:val="22"/>
        </w:rPr>
        <w:t>Accounting</w:t>
      </w:r>
      <w:r>
        <w:rPr>
          <w:i/>
          <w:color w:val="6F2770"/>
          <w:spacing w:val="-31"/>
          <w:sz w:val="22"/>
        </w:rPr>
        <w:t> </w:t>
      </w:r>
      <w:r>
        <w:rPr>
          <w:i/>
          <w:color w:val="6F2770"/>
          <w:sz w:val="22"/>
        </w:rPr>
        <w:t>Standards </w:t>
      </w:r>
      <w:r>
        <w:rPr>
          <w:i/>
          <w:color w:val="6F2770"/>
          <w:sz w:val="22"/>
        </w:rPr>
        <w:t>Australian Implementation Guidance</w:t>
      </w:r>
      <w:r>
        <w:rPr>
          <w:i/>
          <w:color w:val="6F2770"/>
          <w:spacing w:val="-24"/>
          <w:sz w:val="22"/>
        </w:rPr>
        <w:t> </w:t>
      </w:r>
      <w:r>
        <w:rPr>
          <w:i/>
          <w:color w:val="6F2770"/>
          <w:sz w:val="22"/>
        </w:rPr>
        <w:t>for</w:t>
      </w:r>
    </w:p>
    <w:p>
      <w:pPr>
        <w:spacing w:before="2"/>
        <w:ind w:left="468" w:right="0" w:firstLine="0"/>
        <w:jc w:val="left"/>
        <w:rPr>
          <w:i/>
          <w:sz w:val="22"/>
        </w:rPr>
      </w:pPr>
      <w:r>
        <w:rPr>
          <w:i/>
          <w:color w:val="6F2770"/>
          <w:sz w:val="22"/>
        </w:rPr>
        <w:t>Not-for-Profit Entities</w:t>
      </w:r>
    </w:p>
    <w:p>
      <w:pPr>
        <w:pStyle w:val="BodyText"/>
        <w:spacing w:line="249" w:lineRule="auto" w:before="11"/>
        <w:ind w:left="468" w:right="877"/>
      </w:pPr>
      <w:r>
        <w:rPr/>
        <w:t>This</w:t>
      </w:r>
      <w:r>
        <w:rPr>
          <w:spacing w:val="-37"/>
        </w:rPr>
        <w:t> </w:t>
      </w:r>
      <w:r>
        <w:rPr/>
        <w:t>Standard</w:t>
      </w:r>
      <w:r>
        <w:rPr>
          <w:spacing w:val="-37"/>
        </w:rPr>
        <w:t> </w:t>
      </w:r>
      <w:r>
        <w:rPr/>
        <w:t>inserts</w:t>
      </w:r>
      <w:r>
        <w:rPr>
          <w:spacing w:val="-36"/>
        </w:rPr>
        <w:t> </w:t>
      </w:r>
      <w:r>
        <w:rPr/>
        <w:t>Australian</w:t>
      </w:r>
      <w:r>
        <w:rPr>
          <w:spacing w:val="-37"/>
        </w:rPr>
        <w:t> </w:t>
      </w:r>
      <w:r>
        <w:rPr/>
        <w:t>requirements</w:t>
      </w:r>
      <w:r>
        <w:rPr>
          <w:spacing w:val="-37"/>
        </w:rPr>
        <w:t> </w:t>
      </w:r>
      <w:r>
        <w:rPr>
          <w:spacing w:val="-6"/>
        </w:rPr>
        <w:t>and </w:t>
      </w:r>
      <w:r>
        <w:rPr/>
        <w:t>authoritative implementation guidance</w:t>
      </w:r>
      <w:r>
        <w:rPr>
          <w:spacing w:val="-24"/>
        </w:rPr>
        <w:t> </w:t>
      </w:r>
      <w:r>
        <w:rPr/>
        <w:t>for</w:t>
      </w:r>
    </w:p>
    <w:p>
      <w:pPr>
        <w:pStyle w:val="BodyText"/>
        <w:spacing w:line="249" w:lineRule="auto" w:before="2"/>
        <w:ind w:left="468" w:right="767"/>
      </w:pPr>
      <w:r>
        <w:rPr/>
        <w:t>not-for-profit entities into AASB 9 and AASB 15. This guidance assists not-for-profit entities in applying</w:t>
      </w:r>
      <w:r>
        <w:rPr>
          <w:spacing w:val="-24"/>
        </w:rPr>
        <w:t> </w:t>
      </w:r>
      <w:r>
        <w:rPr/>
        <w:t>those</w:t>
      </w:r>
      <w:r>
        <w:rPr>
          <w:spacing w:val="-23"/>
        </w:rPr>
        <w:t> </w:t>
      </w:r>
      <w:r>
        <w:rPr/>
        <w:t>Standards</w:t>
      </w:r>
      <w:r>
        <w:rPr>
          <w:spacing w:val="-23"/>
        </w:rPr>
        <w:t> </w:t>
      </w:r>
      <w:r>
        <w:rPr/>
        <w:t>to</w:t>
      </w:r>
      <w:r>
        <w:rPr>
          <w:spacing w:val="-24"/>
        </w:rPr>
        <w:t> </w:t>
      </w:r>
      <w:r>
        <w:rPr/>
        <w:t>particular</w:t>
      </w:r>
      <w:r>
        <w:rPr>
          <w:spacing w:val="-23"/>
        </w:rPr>
        <w:t> </w:t>
      </w:r>
      <w:r>
        <w:rPr>
          <w:spacing w:val="-2"/>
        </w:rPr>
        <w:t>transactions </w:t>
      </w:r>
      <w:r>
        <w:rPr/>
        <w:t>and</w:t>
      </w:r>
      <w:r>
        <w:rPr>
          <w:spacing w:val="-11"/>
        </w:rPr>
        <w:t> </w:t>
      </w:r>
      <w:r>
        <w:rPr/>
        <w:t>other</w:t>
      </w:r>
      <w:r>
        <w:rPr>
          <w:spacing w:val="-11"/>
        </w:rPr>
        <w:t> </w:t>
      </w:r>
      <w:r>
        <w:rPr/>
        <w:t>events.</w:t>
      </w:r>
      <w:r>
        <w:rPr>
          <w:spacing w:val="-11"/>
        </w:rPr>
        <w:t> </w:t>
      </w:r>
      <w:r>
        <w:rPr/>
        <w:t>There</w:t>
      </w:r>
      <w:r>
        <w:rPr>
          <w:spacing w:val="-11"/>
        </w:rPr>
        <w:t> </w:t>
      </w:r>
      <w:r>
        <w:rPr/>
        <w:t>is</w:t>
      </w:r>
      <w:r>
        <w:rPr>
          <w:spacing w:val="-11"/>
        </w:rPr>
        <w:t> </w:t>
      </w:r>
      <w:r>
        <w:rPr/>
        <w:t>no</w:t>
      </w:r>
      <w:r>
        <w:rPr>
          <w:spacing w:val="-11"/>
        </w:rPr>
        <w:t> </w:t>
      </w:r>
      <w:r>
        <w:rPr/>
        <w:t>financial</w:t>
      </w:r>
      <w:r>
        <w:rPr>
          <w:spacing w:val="-11"/>
        </w:rPr>
        <w:t> </w:t>
      </w:r>
      <w:r>
        <w:rPr/>
        <w:t>impact.</w:t>
      </w:r>
    </w:p>
    <w:p>
      <w:pPr>
        <w:pStyle w:val="BodyText"/>
        <w:spacing w:before="3"/>
        <w:rPr>
          <w:sz w:val="23"/>
        </w:rPr>
      </w:pPr>
    </w:p>
    <w:p>
      <w:pPr>
        <w:spacing w:line="249" w:lineRule="auto" w:before="0"/>
        <w:ind w:left="468" w:right="1506" w:firstLine="0"/>
        <w:jc w:val="left"/>
        <w:rPr>
          <w:sz w:val="22"/>
        </w:rPr>
      </w:pPr>
      <w:r>
        <w:rPr>
          <w:b/>
          <w:sz w:val="22"/>
        </w:rPr>
        <w:t>Changes in accounting estimates </w:t>
      </w:r>
      <w:r>
        <w:rPr>
          <w:sz w:val="22"/>
        </w:rPr>
        <w:t>There</w:t>
      </w:r>
      <w:r>
        <w:rPr>
          <w:spacing w:val="-26"/>
          <w:sz w:val="22"/>
        </w:rPr>
        <w:t> </w:t>
      </w:r>
      <w:r>
        <w:rPr>
          <w:sz w:val="22"/>
        </w:rPr>
        <w:t>have</w:t>
      </w:r>
      <w:r>
        <w:rPr>
          <w:spacing w:val="-25"/>
          <w:sz w:val="22"/>
        </w:rPr>
        <w:t> </w:t>
      </w:r>
      <w:r>
        <w:rPr>
          <w:sz w:val="22"/>
        </w:rPr>
        <w:t>been</w:t>
      </w:r>
      <w:r>
        <w:rPr>
          <w:spacing w:val="-25"/>
          <w:sz w:val="22"/>
        </w:rPr>
        <w:t> </w:t>
      </w:r>
      <w:r>
        <w:rPr>
          <w:sz w:val="22"/>
        </w:rPr>
        <w:t>no</w:t>
      </w:r>
      <w:r>
        <w:rPr>
          <w:spacing w:val="-26"/>
          <w:sz w:val="22"/>
        </w:rPr>
        <w:t> </w:t>
      </w:r>
      <w:r>
        <w:rPr>
          <w:sz w:val="22"/>
        </w:rPr>
        <w:t>changes</w:t>
      </w:r>
      <w:r>
        <w:rPr>
          <w:spacing w:val="-25"/>
          <w:sz w:val="22"/>
        </w:rPr>
        <w:t> </w:t>
      </w:r>
      <w:r>
        <w:rPr>
          <w:sz w:val="22"/>
        </w:rPr>
        <w:t>in</w:t>
      </w:r>
      <w:r>
        <w:rPr>
          <w:spacing w:val="-25"/>
          <w:sz w:val="22"/>
        </w:rPr>
        <w:t> </w:t>
      </w:r>
      <w:r>
        <w:rPr>
          <w:sz w:val="22"/>
        </w:rPr>
        <w:t>accounting estimates during the</w:t>
      </w:r>
      <w:r>
        <w:rPr>
          <w:spacing w:val="-9"/>
          <w:sz w:val="22"/>
        </w:rPr>
        <w:t> </w:t>
      </w:r>
      <w:r>
        <w:rPr>
          <w:spacing w:val="-5"/>
          <w:sz w:val="22"/>
        </w:rPr>
        <w:t>year.</w:t>
      </w:r>
    </w:p>
    <w:p>
      <w:pPr>
        <w:spacing w:after="0" w:line="249" w:lineRule="auto"/>
        <w:jc w:val="left"/>
        <w:rPr>
          <w:sz w:val="22"/>
        </w:rPr>
        <w:sectPr>
          <w:type w:val="continuous"/>
          <w:pgSz w:w="16840" w:h="11910" w:orient="landscape"/>
          <w:pgMar w:top="0" w:bottom="0" w:left="0" w:right="0"/>
          <w:cols w:num="3" w:equalWidth="0">
            <w:col w:w="5314" w:space="40"/>
            <w:col w:w="5392" w:space="39"/>
            <w:col w:w="6055"/>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6312"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6432"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6456"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4"/>
        <w:rPr>
          <w:sz w:val="15"/>
        </w:rPr>
      </w:pPr>
    </w:p>
    <w:p>
      <w:pPr>
        <w:spacing w:after="0"/>
        <w:rPr>
          <w:sz w:val="15"/>
        </w:rPr>
        <w:sectPr>
          <w:footerReference w:type="default" r:id="rId206"/>
          <w:pgSz w:w="16840" w:h="11910" w:orient="landscape"/>
          <w:pgMar w:footer="448" w:header="0" w:top="0" w:bottom="640" w:left="0" w:right="0"/>
        </w:sectPr>
      </w:pPr>
    </w:p>
    <w:p>
      <w:pPr>
        <w:pStyle w:val="Heading5"/>
      </w:pPr>
      <w:bookmarkStart w:name="_bookmark28" w:id="29"/>
      <w:bookmarkEnd w:id="29"/>
      <w:r>
        <w:rPr/>
      </w:r>
      <w:r>
        <w:rPr>
          <w:color w:val="6F2770"/>
          <w:spacing w:val="-3"/>
        </w:rPr>
        <w:t>Note</w:t>
      </w:r>
      <w:r>
        <w:rPr>
          <w:color w:val="6F2770"/>
          <w:spacing w:val="-45"/>
        </w:rPr>
        <w:t> </w:t>
      </w:r>
      <w:r>
        <w:rPr>
          <w:color w:val="6F2770"/>
        </w:rPr>
        <w:t>7.</w:t>
      </w:r>
      <w:r>
        <w:rPr>
          <w:color w:val="6F2770"/>
          <w:spacing w:val="-44"/>
        </w:rPr>
        <w:t> </w:t>
      </w:r>
      <w:r>
        <w:rPr>
          <w:color w:val="6F2770"/>
          <w:spacing w:val="-4"/>
        </w:rPr>
        <w:t>Employee</w:t>
      </w:r>
      <w:r>
        <w:rPr>
          <w:color w:val="6F2770"/>
          <w:spacing w:val="-44"/>
        </w:rPr>
        <w:t> </w:t>
      </w:r>
      <w:r>
        <w:rPr>
          <w:color w:val="6F2770"/>
          <w:spacing w:val="-4"/>
        </w:rPr>
        <w:t>benefits</w:t>
      </w:r>
      <w:r>
        <w:rPr>
          <w:color w:val="6F2770"/>
          <w:spacing w:val="-44"/>
        </w:rPr>
        <w:t> </w:t>
      </w:r>
      <w:r>
        <w:rPr>
          <w:color w:val="6F2770"/>
          <w:spacing w:val="-4"/>
        </w:rPr>
        <w:t>expense</w:t>
      </w:r>
    </w:p>
    <w:p>
      <w:pPr>
        <w:pStyle w:val="BodyText"/>
        <w:spacing w:before="1"/>
        <w:rPr>
          <w:sz w:val="6"/>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2017</w:t>
              <w:tab/>
            </w:r>
            <w:r>
              <w:rPr>
                <w:b/>
                <w:color w:val="FFFFFF"/>
                <w:w w:val="95"/>
                <w:sz w:val="16"/>
              </w:rPr>
              <w:t>2016</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sz w:val="16"/>
              </w:rPr>
            </w:pPr>
            <w:r>
              <w:rPr>
                <w:sz w:val="16"/>
              </w:rPr>
              <w:t>Wages and salaries</w:t>
            </w:r>
          </w:p>
        </w:tc>
        <w:tc>
          <w:tcPr>
            <w:tcW w:w="964" w:type="dxa"/>
            <w:vMerge w:val="restart"/>
            <w:tcBorders>
              <w:bottom w:val="single" w:sz="4" w:space="0" w:color="000000"/>
            </w:tcBorders>
            <w:shd w:val="clear" w:color="auto" w:fill="E1E4BB"/>
          </w:tcPr>
          <w:p>
            <w:pPr>
              <w:pStyle w:val="TableParagraph"/>
              <w:spacing w:before="49"/>
              <w:ind w:left="361"/>
              <w:rPr>
                <w:sz w:val="16"/>
              </w:rPr>
            </w:pPr>
            <w:r>
              <w:rPr>
                <w:sz w:val="16"/>
              </w:rPr>
              <w:t>82,671</w:t>
            </w:r>
          </w:p>
          <w:p>
            <w:pPr>
              <w:pStyle w:val="TableParagraph"/>
              <w:spacing w:before="100"/>
              <w:ind w:left="361"/>
              <w:rPr>
                <w:sz w:val="16"/>
              </w:rPr>
            </w:pPr>
            <w:r>
              <w:rPr>
                <w:sz w:val="16"/>
              </w:rPr>
              <w:t>10,684</w:t>
            </w:r>
          </w:p>
          <w:p>
            <w:pPr>
              <w:pStyle w:val="TableParagraph"/>
              <w:spacing w:before="101"/>
              <w:ind w:left="338" w:right="2"/>
              <w:jc w:val="center"/>
              <w:rPr>
                <w:sz w:val="16"/>
              </w:rPr>
            </w:pPr>
            <w:r>
              <w:rPr>
                <w:sz w:val="16"/>
              </w:rPr>
              <w:t>3,714</w:t>
            </w:r>
          </w:p>
          <w:p>
            <w:pPr>
              <w:pStyle w:val="TableParagraph"/>
              <w:spacing w:before="100"/>
              <w:ind w:left="361"/>
              <w:rPr>
                <w:sz w:val="16"/>
              </w:rPr>
            </w:pPr>
            <w:r>
              <w:rPr>
                <w:sz w:val="16"/>
              </w:rPr>
              <w:t>14,875</w:t>
            </w:r>
          </w:p>
          <w:p>
            <w:pPr>
              <w:pStyle w:val="TableParagraph"/>
              <w:spacing w:before="100"/>
              <w:ind w:left="548" w:right="79"/>
              <w:jc w:val="center"/>
              <w:rPr>
                <w:sz w:val="16"/>
              </w:rPr>
            </w:pPr>
            <w:r>
              <w:rPr>
                <w:sz w:val="16"/>
              </w:rPr>
              <w:t>513</w:t>
            </w:r>
          </w:p>
          <w:p>
            <w:pPr>
              <w:pStyle w:val="TableParagraph"/>
              <w:spacing w:before="101"/>
              <w:ind w:left="338" w:right="2"/>
              <w:jc w:val="center"/>
              <w:rPr>
                <w:sz w:val="16"/>
              </w:rPr>
            </w:pPr>
            <w:r>
              <w:rPr>
                <w:sz w:val="16"/>
              </w:rPr>
              <w:t>2,042</w:t>
            </w:r>
          </w:p>
        </w:tc>
        <w:tc>
          <w:tcPr>
            <w:tcW w:w="964" w:type="dxa"/>
            <w:tcBorders>
              <w:bottom w:val="single" w:sz="8" w:space="0" w:color="FFFFFF"/>
            </w:tcBorders>
            <w:shd w:val="clear" w:color="auto" w:fill="F4F4F4"/>
          </w:tcPr>
          <w:p>
            <w:pPr>
              <w:pStyle w:val="TableParagraph"/>
              <w:spacing w:before="49"/>
              <w:ind w:right="111"/>
              <w:jc w:val="right"/>
              <w:rPr>
                <w:sz w:val="16"/>
              </w:rPr>
            </w:pPr>
            <w:r>
              <w:rPr>
                <w:w w:val="95"/>
                <w:sz w:val="16"/>
              </w:rPr>
              <w:t>87,830</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Superannuation</w:t>
            </w:r>
            <w:r>
              <w:rPr>
                <w:position w:val="6"/>
                <w:sz w:val="10"/>
              </w:rPr>
              <w:t>(a)</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11,503</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5"/>
              <w:ind w:left="113"/>
              <w:rPr>
                <w:sz w:val="10"/>
              </w:rPr>
            </w:pPr>
            <w:r>
              <w:rPr>
                <w:sz w:val="16"/>
              </w:rPr>
              <w:t>Long service leave</w:t>
            </w:r>
            <w:r>
              <w:rPr>
                <w:position w:val="6"/>
                <w:sz w:val="10"/>
              </w:rPr>
              <w:t>(b)</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3,545</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Annual leave</w:t>
            </w:r>
            <w:r>
              <w:rPr>
                <w:position w:val="6"/>
                <w:sz w:val="10"/>
              </w:rPr>
              <w:t>(b)</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16,724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5"/>
              <w:ind w:left="113"/>
              <w:rPr>
                <w:sz w:val="10"/>
              </w:rPr>
            </w:pPr>
            <w:r>
              <w:rPr>
                <w:sz w:val="16"/>
              </w:rPr>
              <w:t>Severance payments</w:t>
            </w:r>
            <w:r>
              <w:rPr>
                <w:position w:val="6"/>
                <w:sz w:val="10"/>
              </w:rPr>
              <w:t>(c)</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7,488</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Other related expenses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2,363</w:t>
            </w:r>
          </w:p>
        </w:tc>
      </w:tr>
      <w:tr>
        <w:trPr>
          <w:trHeight w:val="23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line="175" w:lineRule="exact" w:before="39"/>
              <w:ind w:left="272"/>
              <w:rPr>
                <w:b/>
                <w:sz w:val="16"/>
              </w:rPr>
            </w:pPr>
            <w:r>
              <w:rPr>
                <w:b/>
                <w:sz w:val="16"/>
              </w:rPr>
              <w:t>114,499</w:t>
            </w:r>
          </w:p>
        </w:tc>
        <w:tc>
          <w:tcPr>
            <w:tcW w:w="964" w:type="dxa"/>
            <w:tcBorders>
              <w:top w:val="single" w:sz="4" w:space="0" w:color="000000"/>
              <w:bottom w:val="single" w:sz="24" w:space="0" w:color="FFFFFF"/>
            </w:tcBorders>
            <w:shd w:val="clear" w:color="auto" w:fill="F4F4F4"/>
          </w:tcPr>
          <w:p>
            <w:pPr>
              <w:pStyle w:val="TableParagraph"/>
              <w:spacing w:line="175" w:lineRule="exact" w:before="39"/>
              <w:ind w:right="111"/>
              <w:jc w:val="right"/>
              <w:rPr>
                <w:b/>
                <w:sz w:val="16"/>
              </w:rPr>
            </w:pPr>
            <w:r>
              <w:rPr>
                <w:b/>
                <w:w w:val="95"/>
                <w:sz w:val="16"/>
              </w:rPr>
              <w:t>129,453</w:t>
            </w:r>
          </w:p>
        </w:tc>
      </w:tr>
    </w:tbl>
    <w:p>
      <w:pPr>
        <w:pStyle w:val="ListParagraph"/>
        <w:numPr>
          <w:ilvl w:val="1"/>
          <w:numId w:val="6"/>
        </w:numPr>
        <w:tabs>
          <w:tab w:pos="919" w:val="left" w:leader="none"/>
        </w:tabs>
        <w:spacing w:line="240" w:lineRule="auto" w:before="58" w:after="0"/>
        <w:ind w:left="918" w:right="0" w:hanging="153"/>
        <w:jc w:val="left"/>
        <w:rPr>
          <w:sz w:val="12"/>
        </w:rPr>
      </w:pPr>
      <w:r>
        <w:rPr>
          <w:sz w:val="12"/>
        </w:rPr>
        <w:t>Includes West State, Gold State, GESB and other eligible</w:t>
      </w:r>
      <w:r>
        <w:rPr>
          <w:spacing w:val="-22"/>
          <w:sz w:val="12"/>
        </w:rPr>
        <w:t> </w:t>
      </w:r>
      <w:r>
        <w:rPr>
          <w:sz w:val="12"/>
        </w:rPr>
        <w:t>funds.</w:t>
      </w:r>
    </w:p>
    <w:p>
      <w:pPr>
        <w:pStyle w:val="ListParagraph"/>
        <w:numPr>
          <w:ilvl w:val="1"/>
          <w:numId w:val="6"/>
        </w:numPr>
        <w:tabs>
          <w:tab w:pos="926" w:val="left" w:leader="none"/>
        </w:tabs>
        <w:spacing w:line="240" w:lineRule="auto" w:before="22" w:after="0"/>
        <w:ind w:left="925" w:right="0" w:hanging="160"/>
        <w:jc w:val="left"/>
        <w:rPr>
          <w:sz w:val="12"/>
        </w:rPr>
      </w:pPr>
      <w:r>
        <w:rPr>
          <w:sz w:val="12"/>
        </w:rPr>
        <w:t>Includes a superannuation contribution</w:t>
      </w:r>
      <w:r>
        <w:rPr>
          <w:spacing w:val="-5"/>
          <w:sz w:val="12"/>
        </w:rPr>
        <w:t> </w:t>
      </w:r>
      <w:r>
        <w:rPr>
          <w:sz w:val="12"/>
        </w:rPr>
        <w:t>component.</w:t>
      </w:r>
    </w:p>
    <w:p>
      <w:pPr>
        <w:pStyle w:val="ListParagraph"/>
        <w:numPr>
          <w:ilvl w:val="1"/>
          <w:numId w:val="6"/>
        </w:numPr>
        <w:tabs>
          <w:tab w:pos="919" w:val="left" w:leader="none"/>
        </w:tabs>
        <w:spacing w:line="278" w:lineRule="auto" w:before="22" w:after="0"/>
        <w:ind w:left="932" w:right="1420" w:hanging="167"/>
        <w:jc w:val="left"/>
        <w:rPr>
          <w:sz w:val="12"/>
        </w:rPr>
      </w:pPr>
      <w:r>
        <w:rPr>
          <w:sz w:val="12"/>
        </w:rPr>
        <w:t>The total severance gross payout for 2017 was $672,925, with</w:t>
      </w:r>
      <w:r>
        <w:rPr>
          <w:spacing w:val="-11"/>
          <w:sz w:val="12"/>
        </w:rPr>
        <w:t> </w:t>
      </w:r>
      <w:r>
        <w:rPr>
          <w:sz w:val="12"/>
        </w:rPr>
        <w:t>$160,340</w:t>
      </w:r>
      <w:r>
        <w:rPr>
          <w:spacing w:val="-11"/>
          <w:sz w:val="12"/>
        </w:rPr>
        <w:t> </w:t>
      </w:r>
      <w:r>
        <w:rPr>
          <w:sz w:val="12"/>
        </w:rPr>
        <w:t>related</w:t>
      </w:r>
      <w:r>
        <w:rPr>
          <w:spacing w:val="-11"/>
          <w:sz w:val="12"/>
        </w:rPr>
        <w:t> </w:t>
      </w:r>
      <w:r>
        <w:rPr>
          <w:sz w:val="12"/>
        </w:rPr>
        <w:t>to</w:t>
      </w:r>
      <w:r>
        <w:rPr>
          <w:spacing w:val="-11"/>
          <w:sz w:val="12"/>
        </w:rPr>
        <w:t> </w:t>
      </w:r>
      <w:r>
        <w:rPr>
          <w:sz w:val="12"/>
        </w:rPr>
        <w:t>leave</w:t>
      </w:r>
      <w:r>
        <w:rPr>
          <w:spacing w:val="-11"/>
          <w:sz w:val="12"/>
        </w:rPr>
        <w:t> </w:t>
      </w:r>
      <w:r>
        <w:rPr>
          <w:sz w:val="12"/>
        </w:rPr>
        <w:t>entitlements</w:t>
      </w:r>
      <w:r>
        <w:rPr>
          <w:spacing w:val="-11"/>
          <w:sz w:val="12"/>
        </w:rPr>
        <w:t> </w:t>
      </w:r>
      <w:r>
        <w:rPr>
          <w:sz w:val="12"/>
        </w:rPr>
        <w:t>(Refer</w:t>
      </w:r>
      <w:r>
        <w:rPr>
          <w:spacing w:val="-11"/>
          <w:sz w:val="12"/>
        </w:rPr>
        <w:t> </w:t>
      </w:r>
      <w:r>
        <w:rPr>
          <w:sz w:val="12"/>
        </w:rPr>
        <w:t>to</w:t>
      </w:r>
      <w:r>
        <w:rPr>
          <w:spacing w:val="-11"/>
          <w:sz w:val="12"/>
        </w:rPr>
        <w:t> </w:t>
      </w:r>
      <w:r>
        <w:rPr>
          <w:sz w:val="12"/>
        </w:rPr>
        <w:t>Note</w:t>
      </w:r>
      <w:r>
        <w:rPr>
          <w:spacing w:val="-11"/>
          <w:sz w:val="12"/>
        </w:rPr>
        <w:t> </w:t>
      </w:r>
      <w:r>
        <w:rPr>
          <w:spacing w:val="-5"/>
          <w:sz w:val="12"/>
        </w:rPr>
        <w:t>30).</w:t>
      </w:r>
    </w:p>
    <w:p>
      <w:pPr>
        <w:spacing w:line="138" w:lineRule="exact" w:before="0"/>
        <w:ind w:left="932" w:right="0" w:firstLine="0"/>
        <w:jc w:val="left"/>
        <w:rPr>
          <w:sz w:val="12"/>
        </w:rPr>
      </w:pPr>
      <w:r>
        <w:rPr>
          <w:sz w:val="12"/>
        </w:rPr>
        <w:t>The employment on-costs liability is included at Note 30 ‘Provisions’.</w:t>
      </w:r>
    </w:p>
    <w:p>
      <w:pPr>
        <w:pStyle w:val="BodyText"/>
        <w:spacing w:before="10"/>
        <w:rPr>
          <w:sz w:val="16"/>
        </w:rPr>
      </w:pPr>
    </w:p>
    <w:p>
      <w:pPr>
        <w:pStyle w:val="Heading5"/>
        <w:spacing w:before="1"/>
      </w:pPr>
      <w:bookmarkStart w:name="_bookmark29" w:id="30"/>
      <w:bookmarkEnd w:id="30"/>
      <w:r>
        <w:rPr/>
      </w:r>
      <w:r>
        <w:rPr>
          <w:color w:val="6F2770"/>
        </w:rPr>
        <w:t>Note 8. Supplies and services</w:t>
      </w:r>
    </w:p>
    <w:p>
      <w:pPr>
        <w:pStyle w:val="BodyText"/>
        <w:spacing w:before="8"/>
        <w:rPr>
          <w:sz w:val="5"/>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3827" w:type="dxa"/>
            <w:gridSpan w:val="2"/>
            <w:shd w:val="clear" w:color="auto" w:fill="783A79"/>
          </w:tcPr>
          <w:p>
            <w:pPr>
              <w:pStyle w:val="TableParagraph"/>
              <w:spacing w:before="54"/>
              <w:ind w:right="111"/>
              <w:jc w:val="right"/>
              <w:rPr>
                <w:b/>
                <w:sz w:val="16"/>
              </w:rPr>
            </w:pPr>
            <w:r>
              <w:rPr>
                <w:b/>
                <w:color w:val="FFFFFF"/>
                <w:w w:val="95"/>
                <w:sz w:val="16"/>
              </w:rPr>
              <w:t>2017</w:t>
            </w:r>
          </w:p>
          <w:p>
            <w:pPr>
              <w:pStyle w:val="TableParagraph"/>
              <w:spacing w:before="8"/>
              <w:ind w:right="111"/>
              <w:jc w:val="right"/>
              <w:rPr>
                <w:b/>
                <w:sz w:val="16"/>
              </w:rPr>
            </w:pPr>
            <w:r>
              <w:rPr>
                <w:b/>
                <w:color w:val="FFFFFF"/>
                <w:w w:val="95"/>
                <w:sz w:val="16"/>
              </w:rPr>
              <w:t>$000</w:t>
            </w:r>
          </w:p>
        </w:tc>
        <w:tc>
          <w:tcPr>
            <w:tcW w:w="964" w:type="dxa"/>
            <w:shd w:val="clear" w:color="auto" w:fill="783A79"/>
          </w:tcPr>
          <w:p>
            <w:pPr>
              <w:pStyle w:val="TableParagraph"/>
              <w:spacing w:before="54"/>
              <w:ind w:left="494"/>
              <w:rPr>
                <w:b/>
                <w:sz w:val="16"/>
              </w:rPr>
            </w:pPr>
            <w:r>
              <w:rPr>
                <w:b/>
                <w:color w:val="FFFFFF"/>
                <w:sz w:val="16"/>
              </w:rPr>
              <w:t>2016</w:t>
            </w:r>
          </w:p>
          <w:p>
            <w:pPr>
              <w:pStyle w:val="TableParagraph"/>
              <w:spacing w:before="8"/>
              <w:ind w:left="494"/>
              <w:rPr>
                <w:b/>
                <w:sz w:val="16"/>
              </w:rPr>
            </w:pPr>
            <w:r>
              <w:rPr>
                <w:b/>
                <w:color w:val="FFFFFF"/>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5"/>
              <w:ind w:left="113"/>
              <w:rPr>
                <w:sz w:val="10"/>
              </w:rPr>
            </w:pPr>
            <w:r>
              <w:rPr>
                <w:sz w:val="16"/>
              </w:rPr>
              <w:t>Managed contracts</w:t>
            </w:r>
            <w:r>
              <w:rPr>
                <w:position w:val="6"/>
                <w:sz w:val="10"/>
              </w:rPr>
              <w:t>(a)</w:t>
            </w:r>
          </w:p>
        </w:tc>
        <w:tc>
          <w:tcPr>
            <w:tcW w:w="964" w:type="dxa"/>
            <w:shd w:val="clear" w:color="auto" w:fill="E1E4BB"/>
          </w:tcPr>
          <w:p>
            <w:pPr>
              <w:pStyle w:val="TableParagraph"/>
              <w:spacing w:before="49"/>
              <w:ind w:right="111"/>
              <w:jc w:val="right"/>
              <w:rPr>
                <w:sz w:val="16"/>
              </w:rPr>
            </w:pPr>
            <w:r>
              <w:rPr>
                <w:w w:val="95"/>
                <w:sz w:val="16"/>
              </w:rPr>
              <w:t>915,823</w:t>
            </w:r>
          </w:p>
        </w:tc>
        <w:tc>
          <w:tcPr>
            <w:tcW w:w="964" w:type="dxa"/>
            <w:tcBorders>
              <w:bottom w:val="single" w:sz="8" w:space="0" w:color="FFFFFF"/>
            </w:tcBorders>
            <w:shd w:val="clear" w:color="auto" w:fill="F4F4F4"/>
          </w:tcPr>
          <w:p>
            <w:pPr>
              <w:pStyle w:val="TableParagraph"/>
              <w:spacing w:before="49"/>
              <w:ind w:right="111"/>
              <w:jc w:val="right"/>
              <w:rPr>
                <w:sz w:val="16"/>
              </w:rPr>
            </w:pPr>
            <w:r>
              <w:rPr>
                <w:w w:val="95"/>
                <w:sz w:val="16"/>
              </w:rPr>
              <w:t>818,424</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Communications</w:t>
            </w:r>
          </w:p>
        </w:tc>
        <w:tc>
          <w:tcPr>
            <w:tcW w:w="964" w:type="dxa"/>
            <w:shd w:val="clear" w:color="auto" w:fill="E1E4BB"/>
          </w:tcPr>
          <w:p>
            <w:pPr>
              <w:pStyle w:val="TableParagraph"/>
              <w:spacing w:before="39"/>
              <w:ind w:right="111"/>
              <w:jc w:val="right"/>
              <w:rPr>
                <w:sz w:val="16"/>
              </w:rPr>
            </w:pPr>
            <w:r>
              <w:rPr>
                <w:w w:val="95"/>
                <w:sz w:val="16"/>
              </w:rPr>
              <w:t>2,575</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2,260</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Consultants and contractors</w:t>
            </w:r>
          </w:p>
        </w:tc>
        <w:tc>
          <w:tcPr>
            <w:tcW w:w="964" w:type="dxa"/>
            <w:shd w:val="clear" w:color="auto" w:fill="E1E4BB"/>
          </w:tcPr>
          <w:p>
            <w:pPr>
              <w:pStyle w:val="TableParagraph"/>
              <w:spacing w:before="39"/>
              <w:ind w:right="111"/>
              <w:jc w:val="right"/>
              <w:rPr>
                <w:sz w:val="16"/>
              </w:rPr>
            </w:pPr>
            <w:r>
              <w:rPr>
                <w:w w:val="95"/>
                <w:sz w:val="16"/>
              </w:rPr>
              <w:t>44,156</w:t>
            </w: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35,680</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Consumables</w:t>
            </w:r>
          </w:p>
        </w:tc>
        <w:tc>
          <w:tcPr>
            <w:tcW w:w="964" w:type="dxa"/>
            <w:shd w:val="clear" w:color="auto" w:fill="E1E4BB"/>
          </w:tcPr>
          <w:p>
            <w:pPr>
              <w:pStyle w:val="TableParagraph"/>
              <w:spacing w:before="39"/>
              <w:ind w:right="111"/>
              <w:jc w:val="right"/>
              <w:rPr>
                <w:sz w:val="16"/>
              </w:rPr>
            </w:pPr>
            <w:r>
              <w:rPr>
                <w:w w:val="95"/>
                <w:sz w:val="16"/>
              </w:rPr>
              <w:t>480</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652</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Repairs and maintenance</w:t>
            </w:r>
          </w:p>
        </w:tc>
        <w:tc>
          <w:tcPr>
            <w:tcW w:w="964" w:type="dxa"/>
            <w:shd w:val="clear" w:color="auto" w:fill="E1E4BB"/>
          </w:tcPr>
          <w:p>
            <w:pPr>
              <w:pStyle w:val="TableParagraph"/>
              <w:spacing w:before="39"/>
              <w:ind w:right="111"/>
              <w:jc w:val="right"/>
              <w:rPr>
                <w:sz w:val="16"/>
              </w:rPr>
            </w:pPr>
            <w:r>
              <w:rPr>
                <w:w w:val="95"/>
                <w:sz w:val="16"/>
              </w:rPr>
              <w:t>860</w:t>
            </w: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766</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Travel</w:t>
            </w:r>
          </w:p>
        </w:tc>
        <w:tc>
          <w:tcPr>
            <w:tcW w:w="964" w:type="dxa"/>
            <w:shd w:val="clear" w:color="auto" w:fill="E1E4BB"/>
          </w:tcPr>
          <w:p>
            <w:pPr>
              <w:pStyle w:val="TableParagraph"/>
              <w:spacing w:before="39"/>
              <w:ind w:right="111"/>
              <w:jc w:val="right"/>
              <w:rPr>
                <w:sz w:val="16"/>
              </w:rPr>
            </w:pPr>
            <w:r>
              <w:rPr>
                <w:w w:val="95"/>
                <w:sz w:val="16"/>
              </w:rPr>
              <w:t>364</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359</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Legal costs</w:t>
            </w:r>
          </w:p>
        </w:tc>
        <w:tc>
          <w:tcPr>
            <w:tcW w:w="964" w:type="dxa"/>
            <w:shd w:val="clear" w:color="auto" w:fill="E1E4BB"/>
          </w:tcPr>
          <w:p>
            <w:pPr>
              <w:pStyle w:val="TableParagraph"/>
              <w:spacing w:before="39"/>
              <w:ind w:right="111"/>
              <w:jc w:val="right"/>
              <w:rPr>
                <w:sz w:val="16"/>
              </w:rPr>
            </w:pPr>
            <w:r>
              <w:rPr>
                <w:w w:val="95"/>
                <w:sz w:val="16"/>
              </w:rPr>
              <w:t>1,809</w:t>
            </w: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4,755</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Other</w:t>
            </w:r>
            <w:r>
              <w:rPr>
                <w:position w:val="6"/>
                <w:sz w:val="10"/>
              </w:rPr>
              <w:t>(b)</w:t>
            </w:r>
          </w:p>
        </w:tc>
        <w:tc>
          <w:tcPr>
            <w:tcW w:w="964" w:type="dxa"/>
            <w:tcBorders>
              <w:bottom w:val="single" w:sz="4" w:space="0" w:color="000000"/>
            </w:tcBorders>
            <w:shd w:val="clear" w:color="auto" w:fill="E1E4BB"/>
          </w:tcPr>
          <w:p>
            <w:pPr>
              <w:pStyle w:val="TableParagraph"/>
              <w:spacing w:before="39"/>
              <w:ind w:right="111"/>
              <w:jc w:val="right"/>
              <w:rPr>
                <w:sz w:val="16"/>
              </w:rPr>
            </w:pPr>
            <w:r>
              <w:rPr>
                <w:w w:val="95"/>
                <w:sz w:val="16"/>
              </w:rPr>
              <w:t>5,263</w:t>
            </w: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7,592</w:t>
            </w:r>
          </w:p>
        </w:tc>
      </w:tr>
      <w:tr>
        <w:trPr>
          <w:trHeight w:val="24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before="39"/>
              <w:ind w:right="111"/>
              <w:jc w:val="right"/>
              <w:rPr>
                <w:b/>
                <w:sz w:val="16"/>
              </w:rPr>
            </w:pPr>
            <w:r>
              <w:rPr>
                <w:b/>
                <w:w w:val="95"/>
                <w:sz w:val="16"/>
              </w:rPr>
              <w:t>971,330</w:t>
            </w:r>
          </w:p>
        </w:tc>
        <w:tc>
          <w:tcPr>
            <w:tcW w:w="964" w:type="dxa"/>
            <w:tcBorders>
              <w:top w:val="single" w:sz="4" w:space="0" w:color="000000"/>
              <w:bottom w:val="single" w:sz="24" w:space="0" w:color="FFFFFF"/>
            </w:tcBorders>
            <w:shd w:val="clear" w:color="auto" w:fill="F4F4F4"/>
          </w:tcPr>
          <w:p>
            <w:pPr>
              <w:pStyle w:val="TableParagraph"/>
              <w:spacing w:before="39"/>
              <w:ind w:right="111"/>
              <w:jc w:val="right"/>
              <w:rPr>
                <w:b/>
                <w:sz w:val="16"/>
              </w:rPr>
            </w:pPr>
            <w:r>
              <w:rPr>
                <w:b/>
                <w:w w:val="95"/>
                <w:sz w:val="16"/>
              </w:rPr>
              <w:t>870,487</w:t>
            </w:r>
          </w:p>
        </w:tc>
      </w:tr>
    </w:tbl>
    <w:p>
      <w:pPr>
        <w:pStyle w:val="ListParagraph"/>
        <w:numPr>
          <w:ilvl w:val="0"/>
          <w:numId w:val="8"/>
        </w:numPr>
        <w:tabs>
          <w:tab w:pos="919" w:val="left" w:leader="none"/>
        </w:tabs>
        <w:spacing w:line="240" w:lineRule="auto" w:before="69" w:after="0"/>
        <w:ind w:left="918" w:right="0" w:hanging="153"/>
        <w:jc w:val="left"/>
        <w:rPr>
          <w:sz w:val="12"/>
        </w:rPr>
      </w:pPr>
      <w:r>
        <w:rPr>
          <w:sz w:val="12"/>
        </w:rPr>
        <w:t>The</w:t>
      </w:r>
      <w:r>
        <w:rPr>
          <w:spacing w:val="-6"/>
          <w:sz w:val="12"/>
        </w:rPr>
        <w:t> </w:t>
      </w:r>
      <w:r>
        <w:rPr>
          <w:sz w:val="12"/>
        </w:rPr>
        <w:t>2016</w:t>
      </w:r>
      <w:r>
        <w:rPr>
          <w:spacing w:val="-5"/>
          <w:sz w:val="12"/>
        </w:rPr>
        <w:t> </w:t>
      </w:r>
      <w:r>
        <w:rPr>
          <w:sz w:val="12"/>
        </w:rPr>
        <w:t>figure</w:t>
      </w:r>
      <w:r>
        <w:rPr>
          <w:spacing w:val="-6"/>
          <w:sz w:val="12"/>
        </w:rPr>
        <w:t> </w:t>
      </w:r>
      <w:r>
        <w:rPr>
          <w:sz w:val="12"/>
        </w:rPr>
        <w:t>is</w:t>
      </w:r>
      <w:r>
        <w:rPr>
          <w:spacing w:val="-5"/>
          <w:sz w:val="12"/>
        </w:rPr>
        <w:t> </w:t>
      </w:r>
      <w:r>
        <w:rPr>
          <w:sz w:val="12"/>
        </w:rPr>
        <w:t>reduced</w:t>
      </w:r>
      <w:r>
        <w:rPr>
          <w:spacing w:val="-6"/>
          <w:sz w:val="12"/>
        </w:rPr>
        <w:t> </w:t>
      </w:r>
      <w:r>
        <w:rPr>
          <w:sz w:val="12"/>
        </w:rPr>
        <w:t>by</w:t>
      </w:r>
      <w:r>
        <w:rPr>
          <w:spacing w:val="-5"/>
          <w:sz w:val="12"/>
        </w:rPr>
        <w:t> </w:t>
      </w:r>
      <w:r>
        <w:rPr>
          <w:sz w:val="12"/>
        </w:rPr>
        <w:t>$14,585,000</w:t>
      </w:r>
      <w:r>
        <w:rPr>
          <w:spacing w:val="-6"/>
          <w:sz w:val="12"/>
        </w:rPr>
        <w:t> </w:t>
      </w:r>
      <w:r>
        <w:rPr>
          <w:sz w:val="12"/>
        </w:rPr>
        <w:t>for</w:t>
      </w:r>
      <w:r>
        <w:rPr>
          <w:spacing w:val="-5"/>
          <w:sz w:val="12"/>
        </w:rPr>
        <w:t> </w:t>
      </w:r>
      <w:r>
        <w:rPr>
          <w:sz w:val="12"/>
        </w:rPr>
        <w:t>capitalisation</w:t>
      </w:r>
      <w:r>
        <w:rPr>
          <w:spacing w:val="-6"/>
          <w:sz w:val="12"/>
        </w:rPr>
        <w:t> </w:t>
      </w:r>
      <w:r>
        <w:rPr>
          <w:sz w:val="12"/>
        </w:rPr>
        <w:t>of</w:t>
      </w:r>
      <w:r>
        <w:rPr>
          <w:spacing w:val="-5"/>
          <w:sz w:val="12"/>
        </w:rPr>
        <w:t> </w:t>
      </w:r>
      <w:r>
        <w:rPr>
          <w:sz w:val="12"/>
        </w:rPr>
        <w:t>construction</w:t>
      </w:r>
      <w:r>
        <w:rPr>
          <w:spacing w:val="-6"/>
          <w:sz w:val="12"/>
        </w:rPr>
        <w:t> </w:t>
      </w:r>
      <w:r>
        <w:rPr>
          <w:sz w:val="12"/>
        </w:rPr>
        <w:t>projects.</w:t>
      </w:r>
    </w:p>
    <w:p>
      <w:pPr>
        <w:pStyle w:val="ListParagraph"/>
        <w:numPr>
          <w:ilvl w:val="0"/>
          <w:numId w:val="8"/>
        </w:numPr>
        <w:tabs>
          <w:tab w:pos="926" w:val="left" w:leader="none"/>
        </w:tabs>
        <w:spacing w:line="278" w:lineRule="auto" w:before="22" w:after="0"/>
        <w:ind w:left="932" w:right="48" w:hanging="167"/>
        <w:jc w:val="left"/>
        <w:rPr>
          <w:sz w:val="12"/>
        </w:rPr>
      </w:pPr>
      <w:r>
        <w:rPr>
          <w:sz w:val="12"/>
        </w:rPr>
        <w:t>During</w:t>
      </w:r>
      <w:r>
        <w:rPr>
          <w:spacing w:val="-9"/>
          <w:sz w:val="12"/>
        </w:rPr>
        <w:t> </w:t>
      </w:r>
      <w:r>
        <w:rPr>
          <w:sz w:val="12"/>
        </w:rPr>
        <w:t>the</w:t>
      </w:r>
      <w:r>
        <w:rPr>
          <w:spacing w:val="-8"/>
          <w:sz w:val="12"/>
        </w:rPr>
        <w:t> </w:t>
      </w:r>
      <w:r>
        <w:rPr>
          <w:sz w:val="12"/>
        </w:rPr>
        <w:t>period</w:t>
      </w:r>
      <w:r>
        <w:rPr>
          <w:spacing w:val="-8"/>
          <w:sz w:val="12"/>
        </w:rPr>
        <w:t> </w:t>
      </w:r>
      <w:r>
        <w:rPr>
          <w:sz w:val="12"/>
        </w:rPr>
        <w:t>the</w:t>
      </w:r>
      <w:r>
        <w:rPr>
          <w:spacing w:val="-8"/>
          <w:sz w:val="12"/>
        </w:rPr>
        <w:t> </w:t>
      </w:r>
      <w:r>
        <w:rPr>
          <w:sz w:val="12"/>
        </w:rPr>
        <w:t>Department</w:t>
      </w:r>
      <w:r>
        <w:rPr>
          <w:spacing w:val="-8"/>
          <w:sz w:val="12"/>
        </w:rPr>
        <w:t> </w:t>
      </w:r>
      <w:r>
        <w:rPr>
          <w:sz w:val="12"/>
        </w:rPr>
        <w:t>paid</w:t>
      </w:r>
      <w:r>
        <w:rPr>
          <w:spacing w:val="-8"/>
          <w:sz w:val="12"/>
        </w:rPr>
        <w:t> </w:t>
      </w:r>
      <w:r>
        <w:rPr>
          <w:sz w:val="12"/>
        </w:rPr>
        <w:t>$1,609,557</w:t>
      </w:r>
      <w:r>
        <w:rPr>
          <w:spacing w:val="-8"/>
          <w:sz w:val="12"/>
        </w:rPr>
        <w:t> </w:t>
      </w:r>
      <w:r>
        <w:rPr>
          <w:sz w:val="12"/>
        </w:rPr>
        <w:t>(2016:</w:t>
      </w:r>
      <w:r>
        <w:rPr>
          <w:spacing w:val="-9"/>
          <w:sz w:val="12"/>
        </w:rPr>
        <w:t> </w:t>
      </w:r>
      <w:r>
        <w:rPr>
          <w:sz w:val="12"/>
        </w:rPr>
        <w:t>$479,308)</w:t>
      </w:r>
      <w:r>
        <w:rPr>
          <w:spacing w:val="-8"/>
          <w:sz w:val="12"/>
        </w:rPr>
        <w:t> </w:t>
      </w:r>
      <w:r>
        <w:rPr>
          <w:sz w:val="12"/>
        </w:rPr>
        <w:t>for</w:t>
      </w:r>
      <w:r>
        <w:rPr>
          <w:spacing w:val="-8"/>
          <w:sz w:val="12"/>
        </w:rPr>
        <w:t> </w:t>
      </w:r>
      <w:r>
        <w:rPr>
          <w:sz w:val="12"/>
        </w:rPr>
        <w:t>insurance</w:t>
      </w:r>
      <w:r>
        <w:rPr>
          <w:spacing w:val="-8"/>
          <w:sz w:val="12"/>
        </w:rPr>
        <w:t> </w:t>
      </w:r>
      <w:r>
        <w:rPr>
          <w:sz w:val="12"/>
        </w:rPr>
        <w:t>to</w:t>
      </w:r>
      <w:r>
        <w:rPr>
          <w:spacing w:val="-8"/>
          <w:sz w:val="12"/>
        </w:rPr>
        <w:t> </w:t>
      </w:r>
      <w:r>
        <w:rPr>
          <w:spacing w:val="-6"/>
          <w:sz w:val="12"/>
        </w:rPr>
        <w:t>the </w:t>
      </w:r>
      <w:r>
        <w:rPr>
          <w:sz w:val="12"/>
        </w:rPr>
        <w:t>Insurance Commission of Western</w:t>
      </w:r>
      <w:r>
        <w:rPr>
          <w:spacing w:val="-5"/>
          <w:sz w:val="12"/>
        </w:rPr>
        <w:t> </w:t>
      </w:r>
      <w:r>
        <w:rPr>
          <w:sz w:val="12"/>
        </w:rPr>
        <w:t>Australia.</w:t>
      </w:r>
    </w:p>
    <w:p>
      <w:pPr>
        <w:pStyle w:val="Heading5"/>
        <w:spacing w:line="235" w:lineRule="auto" w:before="117"/>
        <w:ind w:left="413" w:right="1250"/>
      </w:pPr>
      <w:r>
        <w:rPr/>
        <w:br w:type="column"/>
      </w:r>
      <w:bookmarkStart w:name="_bookmark30" w:id="31"/>
      <w:bookmarkEnd w:id="31"/>
      <w:r>
        <w:rPr/>
      </w:r>
      <w:r>
        <w:rPr>
          <w:color w:val="6F2770"/>
        </w:rPr>
        <w:t>Note 9. Depreciation </w:t>
      </w:r>
      <w:r>
        <w:rPr>
          <w:color w:val="6F2770"/>
          <w:spacing w:val="-6"/>
        </w:rPr>
        <w:t>and </w:t>
      </w:r>
      <w:r>
        <w:rPr>
          <w:color w:val="6F2770"/>
        </w:rPr>
        <w:t>amortisation expense</w:t>
      </w:r>
    </w:p>
    <w:p>
      <w:pPr>
        <w:pStyle w:val="BodyText"/>
        <w:spacing w:before="6"/>
        <w:rPr>
          <w:sz w:val="2"/>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3827" w:type="dxa"/>
            <w:gridSpan w:val="2"/>
            <w:shd w:val="clear" w:color="auto" w:fill="783A79"/>
          </w:tcPr>
          <w:p>
            <w:pPr>
              <w:pStyle w:val="TableParagraph"/>
              <w:spacing w:before="54"/>
              <w:ind w:right="111"/>
              <w:jc w:val="right"/>
              <w:rPr>
                <w:b/>
                <w:sz w:val="16"/>
              </w:rPr>
            </w:pPr>
            <w:r>
              <w:rPr>
                <w:b/>
                <w:color w:val="FFFFFF"/>
                <w:w w:val="95"/>
                <w:sz w:val="16"/>
              </w:rPr>
              <w:t>2017</w:t>
            </w:r>
          </w:p>
          <w:p>
            <w:pPr>
              <w:pStyle w:val="TableParagraph"/>
              <w:spacing w:before="8"/>
              <w:ind w:right="111"/>
              <w:jc w:val="right"/>
              <w:rPr>
                <w:b/>
                <w:sz w:val="16"/>
              </w:rPr>
            </w:pPr>
            <w:r>
              <w:rPr>
                <w:b/>
                <w:color w:val="FFFFFF"/>
                <w:w w:val="95"/>
                <w:sz w:val="16"/>
              </w:rPr>
              <w:t>$000</w:t>
            </w:r>
          </w:p>
        </w:tc>
        <w:tc>
          <w:tcPr>
            <w:tcW w:w="964" w:type="dxa"/>
            <w:shd w:val="clear" w:color="auto" w:fill="783A79"/>
          </w:tcPr>
          <w:p>
            <w:pPr>
              <w:pStyle w:val="TableParagraph"/>
              <w:spacing w:before="54"/>
              <w:ind w:left="494"/>
              <w:rPr>
                <w:b/>
                <w:sz w:val="16"/>
              </w:rPr>
            </w:pPr>
            <w:r>
              <w:rPr>
                <w:b/>
                <w:color w:val="FFFFFF"/>
                <w:sz w:val="16"/>
              </w:rPr>
              <w:t>2016</w:t>
            </w:r>
          </w:p>
          <w:p>
            <w:pPr>
              <w:pStyle w:val="TableParagraph"/>
              <w:spacing w:before="8"/>
              <w:ind w:left="494"/>
              <w:rPr>
                <w:b/>
                <w:sz w:val="16"/>
              </w:rPr>
            </w:pPr>
            <w:r>
              <w:rPr>
                <w:b/>
                <w:color w:val="FFFFFF"/>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A7BE39"/>
                <w:sz w:val="16"/>
              </w:rPr>
              <w:t>Depreciation</w:t>
            </w:r>
          </w:p>
        </w:tc>
        <w:tc>
          <w:tcPr>
            <w:tcW w:w="964" w:type="dxa"/>
            <w:shd w:val="clear" w:color="auto" w:fill="E1E4BB"/>
          </w:tcPr>
          <w:p>
            <w:pPr>
              <w:pStyle w:val="TableParagraph"/>
              <w:spacing w:before="0"/>
              <w:rPr>
                <w:rFonts w:ascii="Times New Roman"/>
                <w:sz w:val="16"/>
              </w:rPr>
            </w:pPr>
          </w:p>
        </w:tc>
        <w:tc>
          <w:tcPr>
            <w:tcW w:w="964" w:type="dxa"/>
            <w:tcBorders>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Office fitout</w:t>
            </w:r>
          </w:p>
        </w:tc>
        <w:tc>
          <w:tcPr>
            <w:tcW w:w="964" w:type="dxa"/>
            <w:shd w:val="clear" w:color="auto" w:fill="E1E4BB"/>
          </w:tcPr>
          <w:p>
            <w:pPr>
              <w:pStyle w:val="TableParagraph"/>
              <w:spacing w:before="39"/>
              <w:ind w:right="111"/>
              <w:jc w:val="right"/>
              <w:rPr>
                <w:sz w:val="16"/>
              </w:rPr>
            </w:pPr>
            <w:r>
              <w:rPr>
                <w:w w:val="95"/>
                <w:sz w:val="16"/>
              </w:rPr>
              <w:t>12,540</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14,118</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Computer equipment</w:t>
            </w:r>
          </w:p>
        </w:tc>
        <w:tc>
          <w:tcPr>
            <w:tcW w:w="964" w:type="dxa"/>
            <w:shd w:val="clear" w:color="auto" w:fill="E1E4BB"/>
          </w:tcPr>
          <w:p>
            <w:pPr>
              <w:pStyle w:val="TableParagraph"/>
              <w:spacing w:before="39"/>
              <w:ind w:right="111"/>
              <w:jc w:val="right"/>
              <w:rPr>
                <w:sz w:val="16"/>
              </w:rPr>
            </w:pPr>
            <w:r>
              <w:rPr>
                <w:w w:val="95"/>
                <w:sz w:val="16"/>
              </w:rPr>
              <w:t>498</w:t>
            </w: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729</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Vehicles</w:t>
            </w:r>
          </w:p>
        </w:tc>
        <w:tc>
          <w:tcPr>
            <w:tcW w:w="964" w:type="dxa"/>
            <w:shd w:val="clear" w:color="auto" w:fill="E1E4BB"/>
          </w:tcPr>
          <w:p>
            <w:pPr>
              <w:pStyle w:val="TableParagraph"/>
              <w:spacing w:before="39"/>
              <w:ind w:right="111"/>
              <w:jc w:val="right"/>
              <w:rPr>
                <w:sz w:val="16"/>
              </w:rPr>
            </w:pPr>
            <w:r>
              <w:rPr>
                <w:w w:val="95"/>
                <w:sz w:val="16"/>
              </w:rPr>
              <w:t>41,622</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45,662</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Buildings</w:t>
            </w:r>
          </w:p>
        </w:tc>
        <w:tc>
          <w:tcPr>
            <w:tcW w:w="964" w:type="dxa"/>
            <w:shd w:val="clear" w:color="auto" w:fill="E1E4BB"/>
          </w:tcPr>
          <w:p>
            <w:pPr>
              <w:pStyle w:val="TableParagraph"/>
              <w:spacing w:before="39"/>
              <w:ind w:right="111"/>
              <w:jc w:val="right"/>
              <w:rPr>
                <w:sz w:val="16"/>
              </w:rPr>
            </w:pPr>
            <w:r>
              <w:rPr>
                <w:w w:val="95"/>
                <w:sz w:val="16"/>
              </w:rPr>
              <w:t>3,747</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5,129</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Leasehold improvements</w:t>
            </w:r>
          </w:p>
        </w:tc>
        <w:tc>
          <w:tcPr>
            <w:tcW w:w="964" w:type="dxa"/>
            <w:shd w:val="clear" w:color="auto" w:fill="E1E4BB"/>
          </w:tcPr>
          <w:p>
            <w:pPr>
              <w:pStyle w:val="TableParagraph"/>
              <w:spacing w:before="39"/>
              <w:ind w:right="111"/>
              <w:jc w:val="right"/>
              <w:rPr>
                <w:sz w:val="16"/>
              </w:rPr>
            </w:pPr>
            <w:r>
              <w:rPr>
                <w:w w:val="95"/>
                <w:sz w:val="16"/>
              </w:rPr>
              <w:t>8,065</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6,057</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Office equipment</w:t>
            </w:r>
          </w:p>
        </w:tc>
        <w:tc>
          <w:tcPr>
            <w:tcW w:w="964" w:type="dxa"/>
            <w:tcBorders>
              <w:bottom w:val="single" w:sz="4" w:space="0" w:color="000000"/>
            </w:tcBorders>
            <w:shd w:val="clear" w:color="auto" w:fill="E1E4BB"/>
          </w:tcPr>
          <w:p>
            <w:pPr>
              <w:pStyle w:val="TableParagraph"/>
              <w:spacing w:before="39"/>
              <w:ind w:right="111"/>
              <w:jc w:val="right"/>
              <w:rPr>
                <w:sz w:val="16"/>
              </w:rPr>
            </w:pPr>
            <w:r>
              <w:rPr>
                <w:w w:val="95"/>
                <w:sz w:val="16"/>
              </w:rPr>
              <w:t>54</w:t>
            </w: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47</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b/>
                <w:sz w:val="16"/>
              </w:rPr>
            </w:pPr>
            <w:r>
              <w:rPr>
                <w:b/>
                <w:sz w:val="16"/>
              </w:rPr>
              <w:t>Total depreciation</w:t>
            </w: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b/>
                <w:sz w:val="16"/>
              </w:rPr>
            </w:pPr>
            <w:r>
              <w:rPr>
                <w:b/>
                <w:w w:val="95"/>
                <w:sz w:val="16"/>
              </w:rPr>
              <w:t>66,526</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b/>
                <w:sz w:val="16"/>
              </w:rPr>
            </w:pPr>
            <w:r>
              <w:rPr>
                <w:b/>
                <w:w w:val="95"/>
                <w:sz w:val="16"/>
              </w:rPr>
              <w:t>71,742</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A7BE39"/>
                <w:sz w:val="16"/>
              </w:rPr>
              <w:t>Amortisation</w:t>
            </w:r>
          </w:p>
        </w:tc>
        <w:tc>
          <w:tcPr>
            <w:tcW w:w="964" w:type="dxa"/>
            <w:tcBorders>
              <w:top w:val="single" w:sz="4" w:space="0" w:color="000000"/>
            </w:tcBorders>
            <w:shd w:val="clear" w:color="auto" w:fill="E1E4BB"/>
          </w:tcPr>
          <w:p>
            <w:pPr>
              <w:pStyle w:val="TableParagraph"/>
              <w:spacing w:before="0"/>
              <w:rPr>
                <w:rFonts w:ascii="Times New Roman"/>
                <w:sz w:val="16"/>
              </w:rPr>
            </w:pPr>
          </w:p>
        </w:tc>
        <w:tc>
          <w:tcPr>
            <w:tcW w:w="96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Computer software</w:t>
            </w:r>
          </w:p>
        </w:tc>
        <w:tc>
          <w:tcPr>
            <w:tcW w:w="964" w:type="dxa"/>
            <w:shd w:val="clear" w:color="auto" w:fill="E1E4BB"/>
          </w:tcPr>
          <w:p>
            <w:pPr>
              <w:pStyle w:val="TableParagraph"/>
              <w:spacing w:before="39"/>
              <w:ind w:right="111"/>
              <w:jc w:val="right"/>
              <w:rPr>
                <w:sz w:val="16"/>
              </w:rPr>
            </w:pPr>
            <w:r>
              <w:rPr>
                <w:w w:val="95"/>
                <w:sz w:val="16"/>
              </w:rPr>
              <w:t>4,261</w:t>
            </w: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4,444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Licence</w:t>
            </w:r>
          </w:p>
        </w:tc>
        <w:tc>
          <w:tcPr>
            <w:tcW w:w="964" w:type="dxa"/>
            <w:tcBorders>
              <w:bottom w:val="single" w:sz="4" w:space="0" w:color="58595B"/>
            </w:tcBorders>
            <w:shd w:val="clear" w:color="auto" w:fill="E1E4BB"/>
          </w:tcPr>
          <w:p>
            <w:pPr>
              <w:pStyle w:val="TableParagraph"/>
              <w:spacing w:before="39"/>
              <w:ind w:right="111"/>
              <w:jc w:val="right"/>
              <w:rPr>
                <w:sz w:val="16"/>
              </w:rPr>
            </w:pPr>
            <w:r>
              <w:rPr>
                <w:w w:val="95"/>
                <w:sz w:val="16"/>
              </w:rPr>
              <w:t>726</w:t>
            </w:r>
          </w:p>
        </w:tc>
        <w:tc>
          <w:tcPr>
            <w:tcW w:w="964" w:type="dxa"/>
            <w:tcBorders>
              <w:top w:val="single" w:sz="8" w:space="0" w:color="FFFFFF"/>
              <w:bottom w:val="single" w:sz="4" w:space="0" w:color="58595B"/>
            </w:tcBorders>
            <w:shd w:val="clear" w:color="auto" w:fill="F4F4F4"/>
          </w:tcPr>
          <w:p>
            <w:pPr>
              <w:pStyle w:val="TableParagraph"/>
              <w:spacing w:before="39"/>
              <w:ind w:right="111"/>
              <w:jc w:val="right"/>
              <w:rPr>
                <w:sz w:val="16"/>
              </w:rPr>
            </w:pPr>
            <w:r>
              <w:rPr>
                <w:w w:val="95"/>
                <w:sz w:val="16"/>
              </w:rPr>
              <w:t>2,845</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b/>
                <w:sz w:val="16"/>
              </w:rPr>
            </w:pPr>
            <w:r>
              <w:rPr>
                <w:b/>
                <w:sz w:val="16"/>
              </w:rPr>
              <w:t>Total amortisation</w:t>
            </w:r>
          </w:p>
        </w:tc>
        <w:tc>
          <w:tcPr>
            <w:tcW w:w="964" w:type="dxa"/>
            <w:tcBorders>
              <w:top w:val="single" w:sz="4" w:space="0" w:color="58595B"/>
              <w:bottom w:val="single" w:sz="4" w:space="0" w:color="000000"/>
            </w:tcBorders>
            <w:shd w:val="clear" w:color="auto" w:fill="E1E4BB"/>
          </w:tcPr>
          <w:p>
            <w:pPr>
              <w:pStyle w:val="TableParagraph"/>
              <w:spacing w:before="39"/>
              <w:ind w:right="111"/>
              <w:jc w:val="right"/>
              <w:rPr>
                <w:b/>
                <w:sz w:val="16"/>
              </w:rPr>
            </w:pPr>
            <w:r>
              <w:rPr>
                <w:b/>
                <w:w w:val="95"/>
                <w:sz w:val="16"/>
              </w:rPr>
              <w:t>4,987</w:t>
            </w:r>
          </w:p>
        </w:tc>
        <w:tc>
          <w:tcPr>
            <w:tcW w:w="964" w:type="dxa"/>
            <w:tcBorders>
              <w:top w:val="single" w:sz="4" w:space="0" w:color="58595B"/>
              <w:bottom w:val="single" w:sz="4" w:space="0" w:color="000000"/>
            </w:tcBorders>
            <w:shd w:val="clear" w:color="auto" w:fill="FAF9F9"/>
          </w:tcPr>
          <w:p>
            <w:pPr>
              <w:pStyle w:val="TableParagraph"/>
              <w:spacing w:before="39"/>
              <w:ind w:right="111"/>
              <w:jc w:val="right"/>
              <w:rPr>
                <w:b/>
                <w:sz w:val="16"/>
              </w:rPr>
            </w:pPr>
            <w:r>
              <w:rPr>
                <w:b/>
                <w:w w:val="95"/>
                <w:sz w:val="16"/>
              </w:rPr>
              <w:t>7,289</w:t>
            </w:r>
          </w:p>
        </w:tc>
      </w:tr>
      <w:tr>
        <w:trPr>
          <w:trHeight w:val="434" w:hRule="atLeast"/>
        </w:trPr>
        <w:tc>
          <w:tcPr>
            <w:tcW w:w="2863" w:type="dxa"/>
            <w:tcBorders>
              <w:top w:val="single" w:sz="8" w:space="0" w:color="FFFFFF"/>
              <w:bottom w:val="single" w:sz="8" w:space="0" w:color="FFFFFF"/>
            </w:tcBorders>
            <w:shd w:val="clear" w:color="auto" w:fill="F4F4F4"/>
          </w:tcPr>
          <w:p>
            <w:pPr>
              <w:pStyle w:val="TableParagraph"/>
              <w:spacing w:line="200" w:lineRule="atLeast" w:before="23"/>
              <w:ind w:left="113" w:right="688"/>
              <w:rPr>
                <w:b/>
                <w:sz w:val="16"/>
              </w:rPr>
            </w:pPr>
            <w:r>
              <w:rPr>
                <w:b/>
                <w:sz w:val="16"/>
              </w:rPr>
              <w:t>Total depreciation and amortisation</w:t>
            </w:r>
          </w:p>
        </w:tc>
        <w:tc>
          <w:tcPr>
            <w:tcW w:w="964" w:type="dxa"/>
            <w:tcBorders>
              <w:top w:val="single" w:sz="4" w:space="0" w:color="000000"/>
              <w:bottom w:val="single" w:sz="24" w:space="0" w:color="FFFFFF"/>
            </w:tcBorders>
            <w:shd w:val="clear" w:color="auto" w:fill="DFE1B8"/>
          </w:tcPr>
          <w:p>
            <w:pPr>
              <w:pStyle w:val="TableParagraph"/>
              <w:spacing w:before="39"/>
              <w:ind w:right="111"/>
              <w:jc w:val="right"/>
              <w:rPr>
                <w:b/>
                <w:sz w:val="16"/>
              </w:rPr>
            </w:pPr>
            <w:r>
              <w:rPr>
                <w:b/>
                <w:w w:val="95"/>
                <w:sz w:val="16"/>
              </w:rPr>
              <w:t>71,513</w:t>
            </w:r>
          </w:p>
        </w:tc>
        <w:tc>
          <w:tcPr>
            <w:tcW w:w="964" w:type="dxa"/>
            <w:tcBorders>
              <w:top w:val="single" w:sz="4" w:space="0" w:color="000000"/>
              <w:bottom w:val="single" w:sz="24" w:space="0" w:color="FFFFFF"/>
            </w:tcBorders>
            <w:shd w:val="clear" w:color="auto" w:fill="F4F4F4"/>
          </w:tcPr>
          <w:p>
            <w:pPr>
              <w:pStyle w:val="TableParagraph"/>
              <w:spacing w:before="39"/>
              <w:ind w:right="111"/>
              <w:jc w:val="right"/>
              <w:rPr>
                <w:b/>
                <w:sz w:val="16"/>
              </w:rPr>
            </w:pPr>
            <w:r>
              <w:rPr>
                <w:b/>
                <w:w w:val="95"/>
                <w:sz w:val="16"/>
              </w:rPr>
              <w:t>79,031</w:t>
            </w:r>
          </w:p>
        </w:tc>
      </w:tr>
    </w:tbl>
    <w:p>
      <w:pPr>
        <w:spacing w:before="259"/>
        <w:ind w:left="413" w:right="0" w:firstLine="0"/>
        <w:jc w:val="left"/>
        <w:rPr>
          <w:sz w:val="32"/>
        </w:rPr>
      </w:pPr>
      <w:bookmarkStart w:name="_bookmark31" w:id="32"/>
      <w:bookmarkEnd w:id="32"/>
      <w:r>
        <w:rPr/>
      </w:r>
      <w:r>
        <w:rPr>
          <w:color w:val="6F2770"/>
          <w:sz w:val="32"/>
        </w:rPr>
        <w:t>Note 10. Finance costs</w:t>
      </w: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3827" w:type="dxa"/>
            <w:gridSpan w:val="2"/>
            <w:shd w:val="clear" w:color="auto" w:fill="783A79"/>
          </w:tcPr>
          <w:p>
            <w:pPr>
              <w:pStyle w:val="TableParagraph"/>
              <w:spacing w:before="54"/>
              <w:ind w:right="111"/>
              <w:jc w:val="right"/>
              <w:rPr>
                <w:b/>
                <w:sz w:val="16"/>
              </w:rPr>
            </w:pPr>
            <w:r>
              <w:rPr>
                <w:b/>
                <w:color w:val="FFFFFF"/>
                <w:w w:val="95"/>
                <w:sz w:val="16"/>
              </w:rPr>
              <w:t>2017</w:t>
            </w:r>
          </w:p>
          <w:p>
            <w:pPr>
              <w:pStyle w:val="TableParagraph"/>
              <w:spacing w:before="8"/>
              <w:ind w:right="111"/>
              <w:jc w:val="right"/>
              <w:rPr>
                <w:b/>
                <w:sz w:val="16"/>
              </w:rPr>
            </w:pPr>
            <w:r>
              <w:rPr>
                <w:b/>
                <w:color w:val="FFFFFF"/>
                <w:w w:val="95"/>
                <w:sz w:val="16"/>
              </w:rPr>
              <w:t>$000</w:t>
            </w:r>
          </w:p>
        </w:tc>
        <w:tc>
          <w:tcPr>
            <w:tcW w:w="964" w:type="dxa"/>
            <w:shd w:val="clear" w:color="auto" w:fill="783A79"/>
          </w:tcPr>
          <w:p>
            <w:pPr>
              <w:pStyle w:val="TableParagraph"/>
              <w:spacing w:before="54"/>
              <w:ind w:left="494"/>
              <w:rPr>
                <w:b/>
                <w:sz w:val="16"/>
              </w:rPr>
            </w:pPr>
            <w:r>
              <w:rPr>
                <w:b/>
                <w:color w:val="FFFFFF"/>
                <w:sz w:val="16"/>
              </w:rPr>
              <w:t>2016</w:t>
            </w:r>
          </w:p>
          <w:p>
            <w:pPr>
              <w:pStyle w:val="TableParagraph"/>
              <w:spacing w:before="8"/>
              <w:ind w:left="494"/>
              <w:rPr>
                <w:b/>
                <w:sz w:val="16"/>
              </w:rPr>
            </w:pPr>
            <w:r>
              <w:rPr>
                <w:b/>
                <w:color w:val="FFFFFF"/>
                <w:sz w:val="16"/>
              </w:rPr>
              <w:t>$000</w:t>
            </w:r>
          </w:p>
        </w:tc>
      </w:tr>
      <w:tr>
        <w:trPr>
          <w:trHeight w:val="239" w:hRule="atLeast"/>
        </w:trPr>
        <w:tc>
          <w:tcPr>
            <w:tcW w:w="2863" w:type="dxa"/>
            <w:shd w:val="clear" w:color="auto" w:fill="F4F4F4"/>
          </w:tcPr>
          <w:p>
            <w:pPr>
              <w:pStyle w:val="TableParagraph"/>
              <w:spacing w:line="170" w:lineRule="exact" w:before="49"/>
              <w:ind w:left="113"/>
              <w:rPr>
                <w:sz w:val="16"/>
              </w:rPr>
            </w:pPr>
            <w:r>
              <w:rPr>
                <w:sz w:val="16"/>
              </w:rPr>
              <w:t>Western Australian Treasury</w:t>
            </w:r>
          </w:p>
        </w:tc>
        <w:tc>
          <w:tcPr>
            <w:tcW w:w="964" w:type="dxa"/>
            <w:shd w:val="clear" w:color="auto" w:fill="E1E4BB"/>
          </w:tcPr>
          <w:p>
            <w:pPr>
              <w:pStyle w:val="TableParagraph"/>
              <w:spacing w:line="170" w:lineRule="exact" w:before="49"/>
              <w:ind w:right="111"/>
              <w:jc w:val="right"/>
              <w:rPr>
                <w:sz w:val="16"/>
              </w:rPr>
            </w:pPr>
            <w:r>
              <w:rPr>
                <w:w w:val="95"/>
                <w:sz w:val="16"/>
              </w:rPr>
              <w:t>1,928</w:t>
            </w:r>
          </w:p>
        </w:tc>
        <w:tc>
          <w:tcPr>
            <w:tcW w:w="964" w:type="dxa"/>
            <w:shd w:val="clear" w:color="auto" w:fill="F4F4F4"/>
          </w:tcPr>
          <w:p>
            <w:pPr>
              <w:pStyle w:val="TableParagraph"/>
              <w:spacing w:line="170" w:lineRule="exact" w:before="49"/>
              <w:ind w:right="111"/>
              <w:jc w:val="right"/>
              <w:rPr>
                <w:sz w:val="16"/>
              </w:rPr>
            </w:pPr>
            <w:r>
              <w:rPr>
                <w:w w:val="95"/>
                <w:sz w:val="16"/>
              </w:rPr>
              <w:t>2,476</w:t>
            </w:r>
          </w:p>
        </w:tc>
      </w:tr>
      <w:tr>
        <w:trPr>
          <w:trHeight w:val="235" w:hRule="atLeast"/>
        </w:trPr>
        <w:tc>
          <w:tcPr>
            <w:tcW w:w="2863" w:type="dxa"/>
            <w:tcBorders>
              <w:bottom w:val="single" w:sz="8" w:space="0" w:color="FFFFFF"/>
            </w:tcBorders>
            <w:shd w:val="clear" w:color="auto" w:fill="F4F4F4"/>
          </w:tcPr>
          <w:p>
            <w:pPr>
              <w:pStyle w:val="TableParagraph"/>
              <w:spacing w:before="10"/>
              <w:ind w:left="113"/>
              <w:rPr>
                <w:sz w:val="16"/>
              </w:rPr>
            </w:pPr>
            <w:r>
              <w:rPr>
                <w:sz w:val="16"/>
              </w:rPr>
              <w:t>Corporation - interest on borrowings</w:t>
            </w:r>
          </w:p>
        </w:tc>
        <w:tc>
          <w:tcPr>
            <w:tcW w:w="964" w:type="dxa"/>
            <w:shd w:val="clear" w:color="auto" w:fill="E1E4BB"/>
          </w:tcPr>
          <w:p>
            <w:pPr>
              <w:pStyle w:val="TableParagraph"/>
              <w:spacing w:before="0"/>
              <w:rPr>
                <w:rFonts w:ascii="Times New Roman"/>
                <w:sz w:val="16"/>
              </w:rPr>
            </w:pPr>
          </w:p>
        </w:tc>
        <w:tc>
          <w:tcPr>
            <w:tcW w:w="964" w:type="dxa"/>
            <w:tcBorders>
              <w:bottom w:val="single" w:sz="8" w:space="0" w:color="FFFFFF"/>
            </w:tcBorders>
            <w:shd w:val="clear" w:color="auto" w:fill="F4F4F4"/>
          </w:tcPr>
          <w:p>
            <w:pPr>
              <w:pStyle w:val="TableParagraph"/>
              <w:spacing w:before="0"/>
              <w:rPr>
                <w:rFonts w:ascii="Times New Roman"/>
                <w:sz w:val="16"/>
              </w:rPr>
            </w:pPr>
          </w:p>
        </w:tc>
      </w:tr>
      <w:tr>
        <w:trPr>
          <w:trHeight w:val="229" w:hRule="atLeast"/>
        </w:trPr>
        <w:tc>
          <w:tcPr>
            <w:tcW w:w="2863" w:type="dxa"/>
            <w:tcBorders>
              <w:top w:val="single" w:sz="8" w:space="0" w:color="FFFFFF"/>
            </w:tcBorders>
            <w:shd w:val="clear" w:color="auto" w:fill="FAF9F9"/>
          </w:tcPr>
          <w:p>
            <w:pPr>
              <w:pStyle w:val="TableParagraph"/>
              <w:spacing w:line="170" w:lineRule="exact" w:before="39"/>
              <w:ind w:left="113"/>
              <w:rPr>
                <w:sz w:val="16"/>
              </w:rPr>
            </w:pPr>
            <w:r>
              <w:rPr>
                <w:sz w:val="16"/>
              </w:rPr>
              <w:t>Interest on Heritage Maintenance</w:t>
            </w:r>
          </w:p>
        </w:tc>
        <w:tc>
          <w:tcPr>
            <w:tcW w:w="964" w:type="dxa"/>
            <w:shd w:val="clear" w:color="auto" w:fill="E1E4BB"/>
          </w:tcPr>
          <w:p>
            <w:pPr>
              <w:pStyle w:val="TableParagraph"/>
              <w:spacing w:line="170" w:lineRule="exact" w:before="39"/>
              <w:ind w:right="111"/>
              <w:jc w:val="right"/>
              <w:rPr>
                <w:sz w:val="16"/>
              </w:rPr>
            </w:pPr>
            <w:r>
              <w:rPr>
                <w:w w:val="95"/>
                <w:sz w:val="16"/>
              </w:rPr>
              <w:t>6,687</w:t>
            </w:r>
          </w:p>
        </w:tc>
        <w:tc>
          <w:tcPr>
            <w:tcW w:w="964" w:type="dxa"/>
            <w:tcBorders>
              <w:top w:val="single" w:sz="8" w:space="0" w:color="FFFFFF"/>
            </w:tcBorders>
            <w:shd w:val="clear" w:color="auto" w:fill="FAF9F9"/>
          </w:tcPr>
          <w:p>
            <w:pPr>
              <w:pStyle w:val="TableParagraph"/>
              <w:spacing w:line="170" w:lineRule="exact" w:before="39"/>
              <w:ind w:right="111"/>
              <w:jc w:val="right"/>
              <w:rPr>
                <w:sz w:val="16"/>
              </w:rPr>
            </w:pPr>
            <w:r>
              <w:rPr>
                <w:w w:val="95"/>
                <w:sz w:val="16"/>
              </w:rPr>
              <w:t>6,527</w:t>
            </w:r>
          </w:p>
        </w:tc>
      </w:tr>
      <w:tr>
        <w:trPr>
          <w:trHeight w:val="235" w:hRule="atLeast"/>
        </w:trPr>
        <w:tc>
          <w:tcPr>
            <w:tcW w:w="2863" w:type="dxa"/>
            <w:tcBorders>
              <w:bottom w:val="single" w:sz="8" w:space="0" w:color="FFFFFF"/>
            </w:tcBorders>
            <w:shd w:val="clear" w:color="auto" w:fill="FAF9F9"/>
          </w:tcPr>
          <w:p>
            <w:pPr>
              <w:pStyle w:val="TableParagraph"/>
              <w:spacing w:before="10"/>
              <w:ind w:left="113"/>
              <w:rPr>
                <w:sz w:val="16"/>
              </w:rPr>
            </w:pPr>
            <w:r>
              <w:rPr>
                <w:sz w:val="16"/>
              </w:rPr>
              <w:t>payments</w:t>
            </w:r>
          </w:p>
        </w:tc>
        <w:tc>
          <w:tcPr>
            <w:tcW w:w="964" w:type="dxa"/>
            <w:tcBorders>
              <w:bottom w:val="single" w:sz="4" w:space="0" w:color="000000"/>
            </w:tcBorders>
            <w:shd w:val="clear" w:color="auto" w:fill="E1E4BB"/>
          </w:tcPr>
          <w:p>
            <w:pPr>
              <w:pStyle w:val="TableParagraph"/>
              <w:spacing w:before="0"/>
              <w:rPr>
                <w:rFonts w:ascii="Times New Roman"/>
                <w:sz w:val="16"/>
              </w:rPr>
            </w:pPr>
          </w:p>
        </w:tc>
        <w:tc>
          <w:tcPr>
            <w:tcW w:w="964" w:type="dxa"/>
            <w:tcBorders>
              <w:bottom w:val="single" w:sz="4" w:space="0" w:color="000000"/>
            </w:tcBorders>
            <w:shd w:val="clear" w:color="auto" w:fill="FAF9F9"/>
          </w:tcPr>
          <w:p>
            <w:pPr>
              <w:pStyle w:val="TableParagraph"/>
              <w:spacing w:before="0"/>
              <w:rPr>
                <w:rFonts w:ascii="Times New Roman"/>
                <w:sz w:val="16"/>
              </w:rPr>
            </w:pPr>
          </w:p>
        </w:tc>
      </w:tr>
      <w:tr>
        <w:trPr>
          <w:trHeight w:val="23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line="175" w:lineRule="exact" w:before="39"/>
              <w:ind w:right="111"/>
              <w:jc w:val="right"/>
              <w:rPr>
                <w:b/>
                <w:sz w:val="16"/>
              </w:rPr>
            </w:pPr>
            <w:r>
              <w:rPr>
                <w:b/>
                <w:w w:val="95"/>
                <w:sz w:val="16"/>
              </w:rPr>
              <w:t>8,615</w:t>
            </w:r>
          </w:p>
        </w:tc>
        <w:tc>
          <w:tcPr>
            <w:tcW w:w="964" w:type="dxa"/>
            <w:tcBorders>
              <w:top w:val="single" w:sz="4" w:space="0" w:color="000000"/>
              <w:bottom w:val="single" w:sz="24" w:space="0" w:color="FFFFFF"/>
            </w:tcBorders>
            <w:shd w:val="clear" w:color="auto" w:fill="F4F4F4"/>
          </w:tcPr>
          <w:p>
            <w:pPr>
              <w:pStyle w:val="TableParagraph"/>
              <w:spacing w:line="175" w:lineRule="exact" w:before="39"/>
              <w:ind w:right="111"/>
              <w:jc w:val="right"/>
              <w:rPr>
                <w:b/>
                <w:sz w:val="16"/>
              </w:rPr>
            </w:pPr>
            <w:r>
              <w:rPr>
                <w:b/>
                <w:w w:val="95"/>
                <w:sz w:val="16"/>
              </w:rPr>
              <w:t>9,003</w:t>
            </w:r>
          </w:p>
        </w:tc>
      </w:tr>
    </w:tbl>
    <w:p>
      <w:pPr>
        <w:spacing w:before="111"/>
        <w:ind w:left="413" w:right="0" w:firstLine="0"/>
        <w:jc w:val="left"/>
        <w:rPr>
          <w:sz w:val="32"/>
        </w:rPr>
      </w:pPr>
      <w:r>
        <w:rPr/>
        <w:br w:type="column"/>
      </w:r>
      <w:bookmarkStart w:name="_bookmark32" w:id="33"/>
      <w:bookmarkEnd w:id="33"/>
      <w:r>
        <w:rPr/>
      </w:r>
      <w:r>
        <w:rPr>
          <w:color w:val="6F2770"/>
          <w:sz w:val="32"/>
        </w:rPr>
        <w:t>Note 11. Accommodation expenses</w:t>
      </w:r>
    </w:p>
    <w:p>
      <w:pPr>
        <w:pStyle w:val="BodyText"/>
        <w:spacing w:before="11"/>
        <w:rPr>
          <w:sz w:val="5"/>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2017</w:t>
              <w:tab/>
            </w:r>
            <w:r>
              <w:rPr>
                <w:b/>
                <w:color w:val="FFFFFF"/>
                <w:w w:val="95"/>
                <w:sz w:val="16"/>
              </w:rPr>
              <w:t>2016</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sz w:val="16"/>
              </w:rPr>
            </w:pPr>
            <w:r>
              <w:rPr>
                <w:sz w:val="16"/>
              </w:rPr>
              <w:t>Repairs and maintenance buildings</w:t>
            </w:r>
          </w:p>
        </w:tc>
        <w:tc>
          <w:tcPr>
            <w:tcW w:w="964" w:type="dxa"/>
            <w:vMerge w:val="restart"/>
            <w:tcBorders>
              <w:bottom w:val="single" w:sz="4" w:space="0" w:color="000000"/>
            </w:tcBorders>
            <w:shd w:val="clear" w:color="auto" w:fill="E1E4BB"/>
          </w:tcPr>
          <w:p>
            <w:pPr>
              <w:pStyle w:val="TableParagraph"/>
              <w:spacing w:before="49"/>
              <w:ind w:left="361"/>
              <w:rPr>
                <w:sz w:val="16"/>
              </w:rPr>
            </w:pPr>
            <w:r>
              <w:rPr>
                <w:sz w:val="16"/>
              </w:rPr>
              <w:t>29,130</w:t>
            </w:r>
          </w:p>
          <w:p>
            <w:pPr>
              <w:pStyle w:val="TableParagraph"/>
              <w:spacing w:before="100"/>
              <w:ind w:left="450"/>
              <w:rPr>
                <w:sz w:val="16"/>
              </w:rPr>
            </w:pPr>
            <w:r>
              <w:rPr>
                <w:sz w:val="16"/>
              </w:rPr>
              <w:t>3,011</w:t>
            </w:r>
          </w:p>
          <w:p>
            <w:pPr>
              <w:pStyle w:val="TableParagraph"/>
              <w:spacing w:before="101"/>
              <w:ind w:left="361"/>
              <w:rPr>
                <w:sz w:val="16"/>
              </w:rPr>
            </w:pPr>
            <w:r>
              <w:rPr>
                <w:sz w:val="16"/>
              </w:rPr>
              <w:t>10,095</w:t>
            </w:r>
          </w:p>
        </w:tc>
        <w:tc>
          <w:tcPr>
            <w:tcW w:w="964" w:type="dxa"/>
            <w:tcBorders>
              <w:bottom w:val="single" w:sz="8" w:space="0" w:color="FFFFFF"/>
            </w:tcBorders>
            <w:shd w:val="clear" w:color="auto" w:fill="F4F4F4"/>
          </w:tcPr>
          <w:p>
            <w:pPr>
              <w:pStyle w:val="TableParagraph"/>
              <w:spacing w:before="49"/>
              <w:ind w:right="111"/>
              <w:jc w:val="right"/>
              <w:rPr>
                <w:sz w:val="16"/>
              </w:rPr>
            </w:pPr>
            <w:r>
              <w:rPr>
                <w:w w:val="95"/>
                <w:sz w:val="16"/>
              </w:rPr>
              <w:t>25,885</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Cleaning and security</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2,890</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Lease rentals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10,119</w:t>
            </w:r>
          </w:p>
        </w:tc>
      </w:tr>
      <w:tr>
        <w:trPr>
          <w:trHeight w:val="23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E1E4BB"/>
          </w:tcPr>
          <w:p>
            <w:pPr>
              <w:pStyle w:val="TableParagraph"/>
              <w:spacing w:line="175" w:lineRule="exact" w:before="39"/>
              <w:ind w:left="361"/>
              <w:rPr>
                <w:b/>
                <w:sz w:val="16"/>
              </w:rPr>
            </w:pPr>
            <w:r>
              <w:rPr>
                <w:b/>
                <w:sz w:val="16"/>
              </w:rPr>
              <w:t>42,236</w:t>
            </w:r>
          </w:p>
        </w:tc>
        <w:tc>
          <w:tcPr>
            <w:tcW w:w="964" w:type="dxa"/>
            <w:tcBorders>
              <w:top w:val="single" w:sz="4" w:space="0" w:color="000000"/>
              <w:bottom w:val="single" w:sz="24" w:space="0" w:color="FFFFFF"/>
            </w:tcBorders>
            <w:shd w:val="clear" w:color="auto" w:fill="FAF9F9"/>
          </w:tcPr>
          <w:p>
            <w:pPr>
              <w:pStyle w:val="TableParagraph"/>
              <w:spacing w:line="175" w:lineRule="exact" w:before="39"/>
              <w:ind w:right="111"/>
              <w:jc w:val="right"/>
              <w:rPr>
                <w:b/>
                <w:sz w:val="16"/>
              </w:rPr>
            </w:pPr>
            <w:r>
              <w:rPr>
                <w:b/>
                <w:w w:val="95"/>
                <w:sz w:val="16"/>
              </w:rPr>
              <w:t>38,894</w:t>
            </w:r>
          </w:p>
        </w:tc>
      </w:tr>
    </w:tbl>
    <w:p>
      <w:pPr>
        <w:spacing w:before="252"/>
        <w:ind w:left="413" w:right="0" w:firstLine="0"/>
        <w:jc w:val="left"/>
        <w:rPr>
          <w:sz w:val="32"/>
        </w:rPr>
      </w:pPr>
      <w:bookmarkStart w:name="_bookmark33" w:id="34"/>
      <w:bookmarkEnd w:id="34"/>
      <w:r>
        <w:rPr/>
      </w:r>
      <w:r>
        <w:rPr>
          <w:color w:val="6F2770"/>
          <w:sz w:val="32"/>
        </w:rPr>
        <w:t>Note 12. Grants and subsidies</w:t>
      </w:r>
    </w:p>
    <w:p>
      <w:pPr>
        <w:pStyle w:val="BodyText"/>
        <w:spacing w:before="7"/>
        <w:rPr>
          <w:sz w:val="8"/>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2017</w:t>
              <w:tab/>
            </w:r>
            <w:r>
              <w:rPr>
                <w:b/>
                <w:color w:val="FFFFFF"/>
                <w:w w:val="95"/>
                <w:sz w:val="16"/>
              </w:rPr>
              <w:t>2016</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sz w:val="16"/>
              </w:rPr>
            </w:pPr>
            <w:r>
              <w:rPr>
                <w:sz w:val="16"/>
              </w:rPr>
              <w:t>Grants - recurrent</w:t>
            </w:r>
          </w:p>
        </w:tc>
        <w:tc>
          <w:tcPr>
            <w:tcW w:w="964" w:type="dxa"/>
            <w:vMerge w:val="restart"/>
            <w:tcBorders>
              <w:bottom w:val="single" w:sz="4" w:space="0" w:color="000000"/>
            </w:tcBorders>
            <w:shd w:val="clear" w:color="auto" w:fill="E1E4BB"/>
          </w:tcPr>
          <w:p>
            <w:pPr>
              <w:pStyle w:val="TableParagraph"/>
              <w:spacing w:before="49"/>
              <w:ind w:right="111"/>
              <w:jc w:val="right"/>
              <w:rPr>
                <w:sz w:val="16"/>
              </w:rPr>
            </w:pPr>
            <w:r>
              <w:rPr>
                <w:w w:val="95"/>
                <w:sz w:val="16"/>
              </w:rPr>
              <w:t>754</w:t>
            </w:r>
          </w:p>
          <w:p>
            <w:pPr>
              <w:pStyle w:val="TableParagraph"/>
              <w:spacing w:before="100"/>
              <w:ind w:right="111"/>
              <w:jc w:val="right"/>
              <w:rPr>
                <w:sz w:val="16"/>
              </w:rPr>
            </w:pPr>
            <w:r>
              <w:rPr>
                <w:w w:val="111"/>
                <w:sz w:val="16"/>
              </w:rPr>
              <w:t>-</w:t>
            </w:r>
          </w:p>
        </w:tc>
        <w:tc>
          <w:tcPr>
            <w:tcW w:w="964" w:type="dxa"/>
            <w:tcBorders>
              <w:bottom w:val="single" w:sz="8" w:space="0" w:color="FFFFFF"/>
            </w:tcBorders>
            <w:shd w:val="clear" w:color="auto" w:fill="F4F4F4"/>
          </w:tcPr>
          <w:p>
            <w:pPr>
              <w:pStyle w:val="TableParagraph"/>
              <w:spacing w:before="49"/>
              <w:ind w:right="111"/>
              <w:jc w:val="right"/>
              <w:rPr>
                <w:sz w:val="16"/>
              </w:rPr>
            </w:pPr>
            <w:r>
              <w:rPr>
                <w:w w:val="95"/>
                <w:sz w:val="16"/>
              </w:rPr>
              <w:t>110</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Grants - capital</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3,652</w:t>
            </w:r>
          </w:p>
        </w:tc>
      </w:tr>
      <w:tr>
        <w:trPr>
          <w:trHeight w:val="23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line="175" w:lineRule="exact" w:before="39"/>
              <w:ind w:left="583"/>
              <w:rPr>
                <w:b/>
                <w:sz w:val="16"/>
              </w:rPr>
            </w:pPr>
            <w:r>
              <w:rPr>
                <w:b/>
                <w:sz w:val="16"/>
              </w:rPr>
              <w:t>754</w:t>
            </w:r>
          </w:p>
        </w:tc>
        <w:tc>
          <w:tcPr>
            <w:tcW w:w="964" w:type="dxa"/>
            <w:tcBorders>
              <w:top w:val="single" w:sz="4" w:space="0" w:color="000000"/>
              <w:bottom w:val="single" w:sz="24" w:space="0" w:color="FFFFFF"/>
            </w:tcBorders>
            <w:shd w:val="clear" w:color="auto" w:fill="F4F4F4"/>
          </w:tcPr>
          <w:p>
            <w:pPr>
              <w:pStyle w:val="TableParagraph"/>
              <w:spacing w:line="175" w:lineRule="exact" w:before="39"/>
              <w:ind w:right="111"/>
              <w:jc w:val="right"/>
              <w:rPr>
                <w:b/>
                <w:sz w:val="16"/>
              </w:rPr>
            </w:pPr>
            <w:r>
              <w:rPr>
                <w:b/>
                <w:w w:val="95"/>
                <w:sz w:val="16"/>
              </w:rPr>
              <w:t>3,761</w:t>
            </w:r>
          </w:p>
        </w:tc>
      </w:tr>
    </w:tbl>
    <w:p>
      <w:pPr>
        <w:spacing w:before="257"/>
        <w:ind w:left="413" w:right="0" w:firstLine="0"/>
        <w:jc w:val="left"/>
        <w:rPr>
          <w:sz w:val="32"/>
        </w:rPr>
      </w:pPr>
      <w:bookmarkStart w:name="_bookmark34" w:id="35"/>
      <w:bookmarkEnd w:id="35"/>
      <w:r>
        <w:rPr/>
      </w:r>
      <w:r>
        <w:rPr>
          <w:color w:val="6F2770"/>
          <w:sz w:val="32"/>
        </w:rPr>
        <w:t>Note 13. Other expenses</w:t>
      </w:r>
    </w:p>
    <w:p>
      <w:pPr>
        <w:pStyle w:val="BodyText"/>
        <w:spacing w:before="6"/>
        <w:rPr>
          <w:sz w:val="8"/>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2017</w:t>
              <w:tab/>
            </w:r>
            <w:r>
              <w:rPr>
                <w:b/>
                <w:color w:val="FFFFFF"/>
                <w:w w:val="95"/>
                <w:sz w:val="16"/>
              </w:rPr>
              <w:t>2016</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sz w:val="16"/>
              </w:rPr>
            </w:pPr>
            <w:r>
              <w:rPr>
                <w:sz w:val="16"/>
              </w:rPr>
              <w:t>Minor equipment</w:t>
            </w:r>
          </w:p>
        </w:tc>
        <w:tc>
          <w:tcPr>
            <w:tcW w:w="964" w:type="dxa"/>
            <w:vMerge w:val="restart"/>
            <w:tcBorders>
              <w:bottom w:val="single" w:sz="4" w:space="0" w:color="58595B"/>
            </w:tcBorders>
            <w:shd w:val="clear" w:color="auto" w:fill="DFE1B8"/>
          </w:tcPr>
          <w:p>
            <w:pPr>
              <w:pStyle w:val="TableParagraph"/>
              <w:spacing w:before="49"/>
              <w:ind w:left="338" w:right="2"/>
              <w:jc w:val="center"/>
              <w:rPr>
                <w:sz w:val="16"/>
              </w:rPr>
            </w:pPr>
            <w:r>
              <w:rPr>
                <w:sz w:val="16"/>
              </w:rPr>
              <w:t>1,325</w:t>
            </w:r>
          </w:p>
          <w:p>
            <w:pPr>
              <w:pStyle w:val="TableParagraph"/>
              <w:spacing w:before="100"/>
              <w:ind w:left="548" w:right="79"/>
              <w:jc w:val="center"/>
              <w:rPr>
                <w:sz w:val="16"/>
              </w:rPr>
            </w:pPr>
            <w:r>
              <w:rPr>
                <w:sz w:val="16"/>
              </w:rPr>
              <w:t>127</w:t>
            </w:r>
          </w:p>
          <w:p>
            <w:pPr>
              <w:pStyle w:val="TableParagraph"/>
              <w:spacing w:before="101"/>
              <w:ind w:left="548" w:right="79"/>
              <w:jc w:val="center"/>
              <w:rPr>
                <w:sz w:val="16"/>
              </w:rPr>
            </w:pPr>
            <w:r>
              <w:rPr>
                <w:sz w:val="16"/>
              </w:rPr>
              <w:t>395</w:t>
            </w:r>
          </w:p>
          <w:p>
            <w:pPr>
              <w:pStyle w:val="TableParagraph"/>
              <w:spacing w:before="100"/>
              <w:ind w:left="361"/>
              <w:rPr>
                <w:sz w:val="16"/>
              </w:rPr>
            </w:pPr>
            <w:r>
              <w:rPr>
                <w:sz w:val="16"/>
              </w:rPr>
              <w:t>32,024</w:t>
            </w:r>
          </w:p>
          <w:p>
            <w:pPr>
              <w:pStyle w:val="TableParagraph"/>
              <w:spacing w:before="100"/>
              <w:ind w:left="548" w:right="79"/>
              <w:jc w:val="center"/>
              <w:rPr>
                <w:sz w:val="16"/>
              </w:rPr>
            </w:pPr>
            <w:r>
              <w:rPr>
                <w:sz w:val="16"/>
              </w:rPr>
              <w:t>150</w:t>
            </w:r>
          </w:p>
        </w:tc>
        <w:tc>
          <w:tcPr>
            <w:tcW w:w="964" w:type="dxa"/>
            <w:tcBorders>
              <w:bottom w:val="single" w:sz="8" w:space="0" w:color="FFFFFF"/>
            </w:tcBorders>
            <w:shd w:val="clear" w:color="auto" w:fill="F4F4F4"/>
          </w:tcPr>
          <w:p>
            <w:pPr>
              <w:pStyle w:val="TableParagraph"/>
              <w:spacing w:before="49"/>
              <w:ind w:right="111"/>
              <w:jc w:val="right"/>
              <w:rPr>
                <w:sz w:val="16"/>
              </w:rPr>
            </w:pPr>
            <w:r>
              <w:rPr>
                <w:w w:val="95"/>
                <w:sz w:val="16"/>
              </w:rPr>
              <w:t>878</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Employment on-costs</w:t>
            </w:r>
            <w:r>
              <w:rPr>
                <w:position w:val="6"/>
                <w:sz w:val="10"/>
              </w:rPr>
              <w:t>(a)</w:t>
            </w:r>
          </w:p>
        </w:tc>
        <w:tc>
          <w:tcPr>
            <w:tcW w:w="964" w:type="dxa"/>
            <w:vMerge/>
            <w:tcBorders>
              <w:top w:val="nil"/>
              <w:bottom w:val="single" w:sz="4" w:space="0" w:color="58595B"/>
            </w:tcBorders>
            <w:shd w:val="clear" w:color="auto" w:fill="DFE1B8"/>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80"/>
                <w:sz w:val="16"/>
              </w:rPr>
              <w:t>(4)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Audit fees</w:t>
            </w:r>
          </w:p>
        </w:tc>
        <w:tc>
          <w:tcPr>
            <w:tcW w:w="964" w:type="dxa"/>
            <w:vMerge/>
            <w:tcBorders>
              <w:top w:val="nil"/>
              <w:bottom w:val="single" w:sz="4" w:space="0" w:color="58595B"/>
            </w:tcBorders>
            <w:shd w:val="clear" w:color="auto" w:fill="DFE1B8"/>
          </w:tcPr>
          <w:p>
            <w:pPr>
              <w:rPr>
                <w:sz w:val="2"/>
                <w:szCs w:val="2"/>
              </w:rPr>
            </w:pP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378</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Revaluation decrements</w:t>
            </w:r>
          </w:p>
        </w:tc>
        <w:tc>
          <w:tcPr>
            <w:tcW w:w="964" w:type="dxa"/>
            <w:vMerge/>
            <w:tcBorders>
              <w:top w:val="nil"/>
              <w:bottom w:val="single" w:sz="4" w:space="0" w:color="58595B"/>
            </w:tcBorders>
            <w:shd w:val="clear" w:color="auto" w:fill="DFE1B8"/>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49,848</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Other</w:t>
            </w:r>
          </w:p>
        </w:tc>
        <w:tc>
          <w:tcPr>
            <w:tcW w:w="964" w:type="dxa"/>
            <w:vMerge/>
            <w:tcBorders>
              <w:top w:val="nil"/>
              <w:bottom w:val="single" w:sz="4" w:space="0" w:color="58595B"/>
            </w:tcBorders>
            <w:shd w:val="clear" w:color="auto" w:fill="DFE1B8"/>
          </w:tcPr>
          <w:p>
            <w:pPr>
              <w:rPr>
                <w:sz w:val="2"/>
                <w:szCs w:val="2"/>
              </w:rPr>
            </w:pPr>
          </w:p>
        </w:tc>
        <w:tc>
          <w:tcPr>
            <w:tcW w:w="964" w:type="dxa"/>
            <w:tcBorders>
              <w:top w:val="single" w:sz="8" w:space="0" w:color="FFFFFF"/>
              <w:bottom w:val="single" w:sz="4" w:space="0" w:color="58595B"/>
            </w:tcBorders>
            <w:shd w:val="clear" w:color="auto" w:fill="F4F4F4"/>
          </w:tcPr>
          <w:p>
            <w:pPr>
              <w:pStyle w:val="TableParagraph"/>
              <w:spacing w:before="39"/>
              <w:ind w:right="111"/>
              <w:jc w:val="right"/>
              <w:rPr>
                <w:sz w:val="16"/>
              </w:rPr>
            </w:pPr>
            <w:r>
              <w:rPr>
                <w:w w:val="95"/>
                <w:sz w:val="16"/>
              </w:rPr>
              <w:t>683</w:t>
            </w:r>
          </w:p>
        </w:tc>
      </w:tr>
      <w:tr>
        <w:trPr>
          <w:trHeight w:val="23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58595B"/>
              <w:bottom w:val="single" w:sz="24" w:space="0" w:color="FFFFFF"/>
            </w:tcBorders>
            <w:shd w:val="clear" w:color="auto" w:fill="E1E4BB"/>
          </w:tcPr>
          <w:p>
            <w:pPr>
              <w:pStyle w:val="TableParagraph"/>
              <w:spacing w:line="175" w:lineRule="exact" w:before="39"/>
              <w:ind w:left="361"/>
              <w:rPr>
                <w:b/>
                <w:sz w:val="16"/>
              </w:rPr>
            </w:pPr>
            <w:r>
              <w:rPr>
                <w:b/>
                <w:sz w:val="16"/>
              </w:rPr>
              <w:t>34,021</w:t>
            </w:r>
          </w:p>
        </w:tc>
        <w:tc>
          <w:tcPr>
            <w:tcW w:w="964" w:type="dxa"/>
            <w:tcBorders>
              <w:top w:val="single" w:sz="4" w:space="0" w:color="58595B"/>
              <w:bottom w:val="single" w:sz="24" w:space="0" w:color="FFFFFF"/>
            </w:tcBorders>
            <w:shd w:val="clear" w:color="auto" w:fill="FAF9F9"/>
          </w:tcPr>
          <w:p>
            <w:pPr>
              <w:pStyle w:val="TableParagraph"/>
              <w:spacing w:line="175" w:lineRule="exact" w:before="39"/>
              <w:ind w:right="111"/>
              <w:jc w:val="right"/>
              <w:rPr>
                <w:b/>
                <w:sz w:val="16"/>
              </w:rPr>
            </w:pPr>
            <w:r>
              <w:rPr>
                <w:b/>
                <w:w w:val="95"/>
                <w:sz w:val="16"/>
              </w:rPr>
              <w:t>51,783</w:t>
            </w:r>
          </w:p>
        </w:tc>
      </w:tr>
    </w:tbl>
    <w:p>
      <w:pPr>
        <w:pStyle w:val="ListParagraph"/>
        <w:numPr>
          <w:ilvl w:val="0"/>
          <w:numId w:val="9"/>
        </w:numPr>
        <w:tabs>
          <w:tab w:pos="568" w:val="left" w:leader="none"/>
        </w:tabs>
        <w:spacing w:line="278" w:lineRule="auto" w:before="72" w:after="0"/>
        <w:ind w:left="580" w:right="947" w:hanging="167"/>
        <w:jc w:val="left"/>
        <w:rPr>
          <w:sz w:val="12"/>
        </w:rPr>
      </w:pPr>
      <w:r>
        <w:rPr/>
        <w:pict>
          <v:group style="position:absolute;margin-left:443.622101pt;margin-top:23.873531pt;width:96.4pt;height:.550pt;mso-position-horizontal-relative:page;mso-position-vertical-relative:paragraph;z-index:16264" coordorigin="8872,477" coordsize="1928,11">
            <v:line style="position:absolute" from="8872,482" to="9836,482" stroked="true" strokeweight=".501pt" strokecolor="#000000">
              <v:stroke dashstyle="solid"/>
            </v:line>
            <v:line style="position:absolute" from="9836,482" to="10800,482" stroked="true" strokeweight=".501pt" strokecolor="#000000">
              <v:stroke dashstyle="solid"/>
            </v:line>
            <w10:wrap type="none"/>
          </v:group>
        </w:pict>
      </w:r>
      <w:r>
        <w:rPr>
          <w:sz w:val="12"/>
        </w:rPr>
        <w:t>Includes workers’ compensation insurance. The on-costs liability associated with the recognition</w:t>
      </w:r>
      <w:r>
        <w:rPr>
          <w:spacing w:val="-10"/>
          <w:sz w:val="12"/>
        </w:rPr>
        <w:t> </w:t>
      </w:r>
      <w:r>
        <w:rPr>
          <w:sz w:val="12"/>
        </w:rPr>
        <w:t>of</w:t>
      </w:r>
      <w:r>
        <w:rPr>
          <w:spacing w:val="-10"/>
          <w:sz w:val="12"/>
        </w:rPr>
        <w:t> </w:t>
      </w:r>
      <w:r>
        <w:rPr>
          <w:sz w:val="12"/>
        </w:rPr>
        <w:t>annual</w:t>
      </w:r>
      <w:r>
        <w:rPr>
          <w:spacing w:val="-9"/>
          <w:sz w:val="12"/>
        </w:rPr>
        <w:t> </w:t>
      </w:r>
      <w:r>
        <w:rPr>
          <w:sz w:val="12"/>
        </w:rPr>
        <w:t>and</w:t>
      </w:r>
      <w:r>
        <w:rPr>
          <w:spacing w:val="14"/>
          <w:sz w:val="12"/>
        </w:rPr>
        <w:t> </w:t>
      </w:r>
      <w:r>
        <w:rPr>
          <w:sz w:val="12"/>
        </w:rPr>
        <w:t>long</w:t>
      </w:r>
      <w:r>
        <w:rPr>
          <w:spacing w:val="-9"/>
          <w:sz w:val="12"/>
        </w:rPr>
        <w:t> </w:t>
      </w:r>
      <w:r>
        <w:rPr>
          <w:sz w:val="12"/>
        </w:rPr>
        <w:t>service</w:t>
      </w:r>
      <w:r>
        <w:rPr>
          <w:spacing w:val="-10"/>
          <w:sz w:val="12"/>
        </w:rPr>
        <w:t> </w:t>
      </w:r>
      <w:r>
        <w:rPr>
          <w:sz w:val="12"/>
        </w:rPr>
        <w:t>leave</w:t>
      </w:r>
      <w:r>
        <w:rPr>
          <w:spacing w:val="-9"/>
          <w:sz w:val="12"/>
        </w:rPr>
        <w:t> </w:t>
      </w:r>
      <w:r>
        <w:rPr>
          <w:sz w:val="12"/>
        </w:rPr>
        <w:t>liability</w:t>
      </w:r>
      <w:r>
        <w:rPr>
          <w:spacing w:val="-10"/>
          <w:sz w:val="12"/>
        </w:rPr>
        <w:t> </w:t>
      </w:r>
      <w:r>
        <w:rPr>
          <w:sz w:val="12"/>
        </w:rPr>
        <w:t>is</w:t>
      </w:r>
      <w:r>
        <w:rPr>
          <w:spacing w:val="-9"/>
          <w:sz w:val="12"/>
        </w:rPr>
        <w:t> </w:t>
      </w:r>
      <w:r>
        <w:rPr>
          <w:sz w:val="12"/>
        </w:rPr>
        <w:t>included</w:t>
      </w:r>
      <w:r>
        <w:rPr>
          <w:spacing w:val="-10"/>
          <w:sz w:val="12"/>
        </w:rPr>
        <w:t> </w:t>
      </w:r>
      <w:r>
        <w:rPr>
          <w:sz w:val="12"/>
        </w:rPr>
        <w:t>at</w:t>
      </w:r>
      <w:r>
        <w:rPr>
          <w:spacing w:val="-9"/>
          <w:sz w:val="12"/>
        </w:rPr>
        <w:t> </w:t>
      </w:r>
      <w:r>
        <w:rPr>
          <w:sz w:val="12"/>
        </w:rPr>
        <w:t>Note</w:t>
      </w:r>
      <w:r>
        <w:rPr>
          <w:spacing w:val="-10"/>
          <w:sz w:val="12"/>
        </w:rPr>
        <w:t> </w:t>
      </w:r>
      <w:r>
        <w:rPr>
          <w:sz w:val="12"/>
        </w:rPr>
        <w:t>30</w:t>
      </w:r>
      <w:r>
        <w:rPr>
          <w:spacing w:val="-9"/>
          <w:sz w:val="12"/>
        </w:rPr>
        <w:t> </w:t>
      </w:r>
      <w:r>
        <w:rPr>
          <w:spacing w:val="-3"/>
          <w:sz w:val="12"/>
        </w:rPr>
        <w:t>‘Provisions’. </w:t>
      </w:r>
      <w:r>
        <w:rPr>
          <w:sz w:val="12"/>
        </w:rPr>
        <w:t>Superannuation</w:t>
      </w:r>
      <w:r>
        <w:rPr>
          <w:spacing w:val="-11"/>
          <w:sz w:val="12"/>
        </w:rPr>
        <w:t> </w:t>
      </w:r>
      <w:r>
        <w:rPr>
          <w:sz w:val="12"/>
        </w:rPr>
        <w:t>contributions</w:t>
      </w:r>
      <w:r>
        <w:rPr>
          <w:spacing w:val="-11"/>
          <w:sz w:val="12"/>
        </w:rPr>
        <w:t> </w:t>
      </w:r>
      <w:r>
        <w:rPr>
          <w:sz w:val="12"/>
        </w:rPr>
        <w:t>accrued</w:t>
      </w:r>
      <w:r>
        <w:rPr>
          <w:spacing w:val="-10"/>
          <w:sz w:val="12"/>
        </w:rPr>
        <w:t> </w:t>
      </w:r>
      <w:r>
        <w:rPr>
          <w:sz w:val="12"/>
        </w:rPr>
        <w:t>as</w:t>
      </w:r>
      <w:r>
        <w:rPr>
          <w:spacing w:val="-11"/>
          <w:sz w:val="12"/>
        </w:rPr>
        <w:t> </w:t>
      </w:r>
      <w:r>
        <w:rPr>
          <w:sz w:val="12"/>
        </w:rPr>
        <w:t>part</w:t>
      </w:r>
      <w:r>
        <w:rPr>
          <w:spacing w:val="-10"/>
          <w:sz w:val="12"/>
        </w:rPr>
        <w:t> </w:t>
      </w:r>
      <w:r>
        <w:rPr>
          <w:sz w:val="12"/>
        </w:rPr>
        <w:t>of</w:t>
      </w:r>
      <w:r>
        <w:rPr>
          <w:spacing w:val="-11"/>
          <w:sz w:val="12"/>
        </w:rPr>
        <w:t> </w:t>
      </w:r>
      <w:r>
        <w:rPr>
          <w:sz w:val="12"/>
        </w:rPr>
        <w:t>the</w:t>
      </w:r>
      <w:r>
        <w:rPr>
          <w:spacing w:val="-11"/>
          <w:sz w:val="12"/>
        </w:rPr>
        <w:t> </w:t>
      </w:r>
      <w:r>
        <w:rPr>
          <w:sz w:val="12"/>
        </w:rPr>
        <w:t>provision</w:t>
      </w:r>
      <w:r>
        <w:rPr>
          <w:spacing w:val="-10"/>
          <w:sz w:val="12"/>
        </w:rPr>
        <w:t> </w:t>
      </w:r>
      <w:r>
        <w:rPr>
          <w:sz w:val="12"/>
        </w:rPr>
        <w:t>for</w:t>
      </w:r>
      <w:r>
        <w:rPr>
          <w:spacing w:val="-11"/>
          <w:sz w:val="12"/>
        </w:rPr>
        <w:t> </w:t>
      </w:r>
      <w:r>
        <w:rPr>
          <w:sz w:val="12"/>
        </w:rPr>
        <w:t>leave</w:t>
      </w:r>
      <w:r>
        <w:rPr>
          <w:spacing w:val="-10"/>
          <w:sz w:val="12"/>
        </w:rPr>
        <w:t> </w:t>
      </w:r>
      <w:r>
        <w:rPr>
          <w:sz w:val="12"/>
        </w:rPr>
        <w:t>are</w:t>
      </w:r>
      <w:r>
        <w:rPr>
          <w:spacing w:val="-11"/>
          <w:sz w:val="12"/>
        </w:rPr>
        <w:t> </w:t>
      </w:r>
      <w:r>
        <w:rPr>
          <w:sz w:val="12"/>
        </w:rPr>
        <w:t>employee benefits</w:t>
      </w:r>
      <w:r>
        <w:rPr>
          <w:spacing w:val="-3"/>
          <w:sz w:val="12"/>
        </w:rPr>
        <w:t> </w:t>
      </w:r>
      <w:r>
        <w:rPr>
          <w:sz w:val="12"/>
        </w:rPr>
        <w:t>and</w:t>
      </w:r>
      <w:r>
        <w:rPr>
          <w:spacing w:val="-3"/>
          <w:sz w:val="12"/>
        </w:rPr>
        <w:t> </w:t>
      </w:r>
      <w:r>
        <w:rPr>
          <w:sz w:val="12"/>
        </w:rPr>
        <w:t>are</w:t>
      </w:r>
      <w:r>
        <w:rPr>
          <w:spacing w:val="-3"/>
          <w:sz w:val="12"/>
        </w:rPr>
        <w:t> </w:t>
      </w:r>
      <w:r>
        <w:rPr>
          <w:sz w:val="12"/>
        </w:rPr>
        <w:t>not</w:t>
      </w:r>
      <w:r>
        <w:rPr>
          <w:spacing w:val="-2"/>
          <w:sz w:val="12"/>
        </w:rPr>
        <w:t> </w:t>
      </w:r>
      <w:r>
        <w:rPr>
          <w:sz w:val="12"/>
        </w:rPr>
        <w:t>included</w:t>
      </w:r>
      <w:r>
        <w:rPr>
          <w:spacing w:val="-3"/>
          <w:sz w:val="12"/>
        </w:rPr>
        <w:t> </w:t>
      </w:r>
      <w:r>
        <w:rPr>
          <w:sz w:val="12"/>
        </w:rPr>
        <w:t>in</w:t>
      </w:r>
      <w:r>
        <w:rPr>
          <w:spacing w:val="-3"/>
          <w:sz w:val="12"/>
        </w:rPr>
        <w:t> </w:t>
      </w:r>
      <w:r>
        <w:rPr>
          <w:sz w:val="12"/>
        </w:rPr>
        <w:t>employment</w:t>
      </w:r>
      <w:r>
        <w:rPr>
          <w:spacing w:val="-3"/>
          <w:sz w:val="12"/>
        </w:rPr>
        <w:t> </w:t>
      </w:r>
      <w:r>
        <w:rPr>
          <w:sz w:val="12"/>
        </w:rPr>
        <w:t>on-costs.</w:t>
      </w:r>
      <w:r>
        <w:rPr>
          <w:spacing w:val="-2"/>
          <w:sz w:val="12"/>
        </w:rPr>
        <w:t> </w:t>
      </w:r>
      <w:r>
        <w:rPr>
          <w:sz w:val="12"/>
        </w:rPr>
        <w:t>See</w:t>
      </w:r>
      <w:r>
        <w:rPr>
          <w:spacing w:val="-3"/>
          <w:sz w:val="12"/>
        </w:rPr>
        <w:t> </w:t>
      </w:r>
      <w:r>
        <w:rPr>
          <w:sz w:val="12"/>
        </w:rPr>
        <w:t>also</w:t>
      </w:r>
      <w:r>
        <w:rPr>
          <w:spacing w:val="-3"/>
          <w:sz w:val="12"/>
        </w:rPr>
        <w:t> </w:t>
      </w:r>
      <w:r>
        <w:rPr>
          <w:sz w:val="12"/>
        </w:rPr>
        <w:t>Note</w:t>
      </w:r>
      <w:r>
        <w:rPr>
          <w:spacing w:val="-2"/>
          <w:sz w:val="12"/>
        </w:rPr>
        <w:t> </w:t>
      </w:r>
      <w:r>
        <w:rPr>
          <w:sz w:val="12"/>
        </w:rPr>
        <w:t>7</w:t>
      </w:r>
    </w:p>
    <w:p>
      <w:pPr>
        <w:spacing w:line="138" w:lineRule="exact" w:before="0"/>
        <w:ind w:left="580" w:right="0" w:firstLine="0"/>
        <w:jc w:val="left"/>
        <w:rPr>
          <w:sz w:val="12"/>
        </w:rPr>
      </w:pPr>
      <w:r>
        <w:rPr>
          <w:sz w:val="12"/>
        </w:rPr>
        <w:t>‘Employee benefits expense’.</w:t>
      </w:r>
    </w:p>
    <w:p>
      <w:pPr>
        <w:spacing w:after="0" w:line="138" w:lineRule="exact"/>
        <w:jc w:val="left"/>
        <w:rPr>
          <w:sz w:val="12"/>
        </w:rPr>
        <w:sectPr>
          <w:type w:val="continuous"/>
          <w:pgSz w:w="16840" w:h="11910" w:orient="landscape"/>
          <w:pgMar w:top="0" w:bottom="0" w:left="0" w:right="0"/>
          <w:cols w:num="3" w:equalWidth="0">
            <w:col w:w="5556" w:space="40"/>
            <w:col w:w="5205" w:space="39"/>
            <w:col w:w="6000"/>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spacing w:after="0"/>
        <w:rPr>
          <w:sz w:val="23"/>
        </w:rPr>
        <w:sectPr>
          <w:footerReference w:type="default" r:id="rId207"/>
          <w:pgSz w:w="16840" w:h="11910" w:orient="landscape"/>
          <w:pgMar w:footer="448" w:header="0" w:top="0" w:bottom="640" w:left="0" w:right="0"/>
        </w:sectPr>
      </w:pPr>
    </w:p>
    <w:p>
      <w:pPr>
        <w:pStyle w:val="Heading1"/>
      </w:pPr>
      <w:r>
        <w:rPr/>
        <w:pict>
          <v:group style="position:absolute;margin-left:0pt;margin-top:-57.37421pt;width:481.1pt;height:42.55pt;mso-position-horizontal-relative:page;mso-position-vertical-relative:paragraph;z-index:16696"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6720"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w w:val="95"/>
        </w:rPr>
        <w:t>Notes</w:t>
      </w:r>
      <w:r>
        <w:rPr>
          <w:color w:val="6F2770"/>
          <w:spacing w:val="-52"/>
          <w:w w:val="95"/>
        </w:rPr>
        <w:t> </w:t>
      </w:r>
      <w:r>
        <w:rPr>
          <w:color w:val="6F2770"/>
          <w:spacing w:val="-17"/>
          <w:w w:val="95"/>
        </w:rPr>
        <w:t>to</w:t>
      </w:r>
      <w:r>
        <w:rPr>
          <w:color w:val="6F2770"/>
          <w:spacing w:val="-52"/>
          <w:w w:val="95"/>
        </w:rPr>
        <w:t> </w:t>
      </w:r>
      <w:r>
        <w:rPr>
          <w:color w:val="6F2770"/>
          <w:spacing w:val="-10"/>
          <w:w w:val="95"/>
        </w:rPr>
        <w:t>the</w:t>
      </w:r>
      <w:r>
        <w:rPr>
          <w:color w:val="6F2770"/>
          <w:spacing w:val="-51"/>
          <w:w w:val="95"/>
        </w:rPr>
        <w:t> </w:t>
      </w:r>
      <w:r>
        <w:rPr>
          <w:color w:val="6F2770"/>
          <w:spacing w:val="-14"/>
          <w:w w:val="95"/>
        </w:rPr>
        <w:t>Financial</w:t>
      </w:r>
      <w:r>
        <w:rPr>
          <w:color w:val="6F2770"/>
          <w:spacing w:val="-52"/>
          <w:w w:val="95"/>
        </w:rPr>
        <w:t> </w:t>
      </w:r>
      <w:r>
        <w:rPr>
          <w:color w:val="6F2770"/>
          <w:spacing w:val="-17"/>
          <w:w w:val="95"/>
        </w:rPr>
        <w:t>Statements</w:t>
      </w:r>
    </w:p>
    <w:p>
      <w:pPr>
        <w:pStyle w:val="Heading4"/>
      </w:pPr>
      <w:r>
        <w:rPr>
          <w:color w:val="A7BE39"/>
        </w:rPr>
        <w:t>For the year ended 30 June 2017</w:t>
      </w:r>
    </w:p>
    <w:p>
      <w:pPr>
        <w:pStyle w:val="Heading5"/>
        <w:tabs>
          <w:tab w:pos="6009" w:val="left" w:leader="none"/>
        </w:tabs>
        <w:spacing w:line="235" w:lineRule="auto" w:before="291"/>
        <w:ind w:left="6009" w:hanging="5245"/>
      </w:pPr>
      <w:r>
        <w:rPr/>
        <w:pict>
          <v:shape style="position:absolute;margin-left:38.266998pt;margin-top:36.16925pt;width:240.05pt;height:335.2pt;mso-position-horizontal-relative:page;mso-position-vertical-relative:paragraph;z-index:1674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74"/>
                  </w:tblGrid>
                  <w:tr>
                    <w:trPr>
                      <w:trHeight w:val="481" w:hRule="atLeast"/>
                    </w:trPr>
                    <w:tc>
                      <w:tcPr>
                        <w:tcW w:w="3827" w:type="dxa"/>
                        <w:gridSpan w:val="2"/>
                        <w:shd w:val="clear" w:color="auto" w:fill="783A79"/>
                      </w:tcPr>
                      <w:p>
                        <w:pPr>
                          <w:pStyle w:val="TableParagraph"/>
                          <w:spacing w:before="54"/>
                          <w:ind w:right="111"/>
                          <w:jc w:val="right"/>
                          <w:rPr>
                            <w:b/>
                            <w:sz w:val="16"/>
                          </w:rPr>
                        </w:pPr>
                        <w:r>
                          <w:rPr>
                            <w:b/>
                            <w:color w:val="FFFFFF"/>
                            <w:w w:val="95"/>
                            <w:sz w:val="16"/>
                          </w:rPr>
                          <w:t>2017</w:t>
                        </w:r>
                      </w:p>
                      <w:p>
                        <w:pPr>
                          <w:pStyle w:val="TableParagraph"/>
                          <w:spacing w:before="8"/>
                          <w:ind w:right="111"/>
                          <w:jc w:val="right"/>
                          <w:rPr>
                            <w:b/>
                            <w:sz w:val="16"/>
                          </w:rPr>
                        </w:pPr>
                        <w:r>
                          <w:rPr>
                            <w:b/>
                            <w:color w:val="FFFFFF"/>
                            <w:w w:val="95"/>
                            <w:sz w:val="16"/>
                          </w:rPr>
                          <w:t>$000</w:t>
                        </w:r>
                      </w:p>
                    </w:tc>
                    <w:tc>
                      <w:tcPr>
                        <w:tcW w:w="974" w:type="dxa"/>
                        <w:shd w:val="clear" w:color="auto" w:fill="783A79"/>
                      </w:tcPr>
                      <w:p>
                        <w:pPr>
                          <w:pStyle w:val="TableParagraph"/>
                          <w:spacing w:before="54"/>
                          <w:ind w:left="494"/>
                          <w:rPr>
                            <w:b/>
                            <w:sz w:val="16"/>
                          </w:rPr>
                        </w:pPr>
                        <w:r>
                          <w:rPr>
                            <w:b/>
                            <w:color w:val="FFFFFF"/>
                            <w:sz w:val="16"/>
                          </w:rPr>
                          <w:t>2016</w:t>
                        </w:r>
                      </w:p>
                      <w:p>
                        <w:pPr>
                          <w:pStyle w:val="TableParagraph"/>
                          <w:spacing w:before="8"/>
                          <w:ind w:left="494"/>
                          <w:rPr>
                            <w:b/>
                            <w:sz w:val="16"/>
                          </w:rPr>
                        </w:pPr>
                        <w:r>
                          <w:rPr>
                            <w:b/>
                            <w:color w:val="FFFFFF"/>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A7BE39"/>
                            <w:sz w:val="16"/>
                          </w:rPr>
                          <w:t>User charges and fees</w:t>
                        </w:r>
                      </w:p>
                    </w:tc>
                    <w:tc>
                      <w:tcPr>
                        <w:tcW w:w="964" w:type="dxa"/>
                        <w:shd w:val="clear" w:color="auto" w:fill="DFE1B8"/>
                      </w:tcPr>
                      <w:p>
                        <w:pPr>
                          <w:pStyle w:val="TableParagraph"/>
                          <w:spacing w:before="0"/>
                          <w:rPr>
                            <w:rFonts w:ascii="Times New Roman"/>
                            <w:sz w:val="16"/>
                          </w:rPr>
                        </w:pPr>
                      </w:p>
                    </w:tc>
                    <w:tc>
                      <w:tcPr>
                        <w:tcW w:w="974" w:type="dxa"/>
                        <w:tcBorders>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Sales</w:t>
                        </w:r>
                      </w:p>
                    </w:tc>
                    <w:tc>
                      <w:tcPr>
                        <w:tcW w:w="964" w:type="dxa"/>
                        <w:shd w:val="clear" w:color="auto" w:fill="DFE1B8"/>
                      </w:tcPr>
                      <w:p>
                        <w:pPr>
                          <w:pStyle w:val="TableParagraph"/>
                          <w:spacing w:before="39"/>
                          <w:ind w:right="111"/>
                          <w:jc w:val="right"/>
                          <w:rPr>
                            <w:sz w:val="16"/>
                          </w:rPr>
                        </w:pPr>
                        <w:r>
                          <w:rPr>
                            <w:w w:val="95"/>
                            <w:sz w:val="16"/>
                          </w:rPr>
                          <w:t>338</w:t>
                        </w:r>
                      </w:p>
                    </w:tc>
                    <w:tc>
                      <w:tcPr>
                        <w:tcW w:w="974" w:type="dxa"/>
                        <w:tcBorders>
                          <w:top w:val="single" w:sz="8" w:space="0" w:color="FFFFFF"/>
                          <w:bottom w:val="single" w:sz="8" w:space="0" w:color="FFFFFF"/>
                        </w:tcBorders>
                        <w:shd w:val="clear" w:color="auto" w:fill="FAF9F9"/>
                      </w:tcPr>
                      <w:p>
                        <w:pPr>
                          <w:pStyle w:val="TableParagraph"/>
                          <w:spacing w:before="39"/>
                          <w:ind w:right="121"/>
                          <w:jc w:val="right"/>
                          <w:rPr>
                            <w:sz w:val="16"/>
                          </w:rPr>
                        </w:pPr>
                        <w:r>
                          <w:rPr>
                            <w:w w:val="95"/>
                            <w:sz w:val="16"/>
                          </w:rPr>
                          <w:t>366</w:t>
                        </w:r>
                      </w:p>
                    </w:tc>
                  </w:tr>
                  <w:tr>
                    <w:trPr>
                      <w:trHeight w:val="229" w:hRule="atLeast"/>
                    </w:trPr>
                    <w:tc>
                      <w:tcPr>
                        <w:tcW w:w="2863" w:type="dxa"/>
                        <w:tcBorders>
                          <w:top w:val="single" w:sz="8" w:space="0" w:color="FFFFFF"/>
                        </w:tcBorders>
                        <w:shd w:val="clear" w:color="auto" w:fill="F4F4F4"/>
                      </w:tcPr>
                      <w:p>
                        <w:pPr>
                          <w:pStyle w:val="TableParagraph"/>
                          <w:spacing w:line="170" w:lineRule="exact" w:before="39"/>
                          <w:ind w:left="113"/>
                          <w:rPr>
                            <w:sz w:val="16"/>
                          </w:rPr>
                        </w:pPr>
                        <w:r>
                          <w:rPr>
                            <w:sz w:val="16"/>
                          </w:rPr>
                          <w:t>Rents for Government office</w:t>
                        </w:r>
                      </w:p>
                    </w:tc>
                    <w:tc>
                      <w:tcPr>
                        <w:tcW w:w="964" w:type="dxa"/>
                        <w:shd w:val="clear" w:color="auto" w:fill="DFE1B8"/>
                      </w:tcPr>
                      <w:p>
                        <w:pPr>
                          <w:pStyle w:val="TableParagraph"/>
                          <w:spacing w:line="170" w:lineRule="exact" w:before="39"/>
                          <w:ind w:right="111"/>
                          <w:jc w:val="right"/>
                          <w:rPr>
                            <w:sz w:val="16"/>
                          </w:rPr>
                        </w:pPr>
                        <w:r>
                          <w:rPr>
                            <w:w w:val="95"/>
                            <w:sz w:val="16"/>
                          </w:rPr>
                          <w:t>272,847</w:t>
                        </w:r>
                      </w:p>
                    </w:tc>
                    <w:tc>
                      <w:tcPr>
                        <w:tcW w:w="974" w:type="dxa"/>
                        <w:tcBorders>
                          <w:top w:val="single" w:sz="8" w:space="0" w:color="FFFFFF"/>
                        </w:tcBorders>
                        <w:shd w:val="clear" w:color="auto" w:fill="F4F4F4"/>
                      </w:tcPr>
                      <w:p>
                        <w:pPr>
                          <w:pStyle w:val="TableParagraph"/>
                          <w:spacing w:line="170" w:lineRule="exact" w:before="39"/>
                          <w:ind w:right="121"/>
                          <w:jc w:val="right"/>
                          <w:rPr>
                            <w:sz w:val="16"/>
                          </w:rPr>
                        </w:pPr>
                        <w:r>
                          <w:rPr>
                            <w:w w:val="95"/>
                            <w:sz w:val="16"/>
                          </w:rPr>
                          <w:t>259,862</w:t>
                        </w:r>
                      </w:p>
                    </w:tc>
                  </w:tr>
                  <w:tr>
                    <w:trPr>
                      <w:trHeight w:val="235" w:hRule="atLeast"/>
                    </w:trPr>
                    <w:tc>
                      <w:tcPr>
                        <w:tcW w:w="2863" w:type="dxa"/>
                        <w:tcBorders>
                          <w:bottom w:val="single" w:sz="8" w:space="0" w:color="FFFFFF"/>
                        </w:tcBorders>
                        <w:shd w:val="clear" w:color="auto" w:fill="F4F4F4"/>
                      </w:tcPr>
                      <w:p>
                        <w:pPr>
                          <w:pStyle w:val="TableParagraph"/>
                          <w:spacing w:before="10"/>
                          <w:ind w:left="113"/>
                          <w:rPr>
                            <w:sz w:val="16"/>
                          </w:rPr>
                        </w:pPr>
                        <w:r>
                          <w:rPr>
                            <w:sz w:val="16"/>
                          </w:rPr>
                          <w:t>accommodation</w:t>
                        </w:r>
                      </w:p>
                    </w:tc>
                    <w:tc>
                      <w:tcPr>
                        <w:tcW w:w="964" w:type="dxa"/>
                        <w:shd w:val="clear" w:color="auto" w:fill="DFE1B8"/>
                      </w:tcPr>
                      <w:p>
                        <w:pPr>
                          <w:pStyle w:val="TableParagraph"/>
                          <w:spacing w:before="0"/>
                          <w:rPr>
                            <w:rFonts w:ascii="Times New Roman"/>
                            <w:sz w:val="16"/>
                          </w:rPr>
                        </w:pPr>
                      </w:p>
                    </w:tc>
                    <w:tc>
                      <w:tcPr>
                        <w:tcW w:w="974" w:type="dxa"/>
                        <w:tcBorders>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Managed building works</w:t>
                        </w:r>
                        <w:r>
                          <w:rPr>
                            <w:position w:val="6"/>
                            <w:sz w:val="10"/>
                          </w:rPr>
                          <w:t>(a)</w:t>
                        </w:r>
                      </w:p>
                    </w:tc>
                    <w:tc>
                      <w:tcPr>
                        <w:tcW w:w="964" w:type="dxa"/>
                        <w:shd w:val="clear" w:color="auto" w:fill="DFE1B8"/>
                      </w:tcPr>
                      <w:p>
                        <w:pPr>
                          <w:pStyle w:val="TableParagraph"/>
                          <w:spacing w:before="39"/>
                          <w:ind w:right="111"/>
                          <w:jc w:val="right"/>
                          <w:rPr>
                            <w:sz w:val="16"/>
                          </w:rPr>
                        </w:pPr>
                        <w:r>
                          <w:rPr>
                            <w:w w:val="95"/>
                            <w:sz w:val="16"/>
                          </w:rPr>
                          <w:t>680,361</w:t>
                        </w:r>
                      </w:p>
                    </w:tc>
                    <w:tc>
                      <w:tcPr>
                        <w:tcW w:w="974" w:type="dxa"/>
                        <w:tcBorders>
                          <w:top w:val="single" w:sz="8" w:space="0" w:color="FFFFFF"/>
                          <w:bottom w:val="single" w:sz="8" w:space="0" w:color="FFFFFF"/>
                        </w:tcBorders>
                        <w:shd w:val="clear" w:color="auto" w:fill="FAF9F9"/>
                      </w:tcPr>
                      <w:p>
                        <w:pPr>
                          <w:pStyle w:val="TableParagraph"/>
                          <w:spacing w:before="39"/>
                          <w:ind w:right="121"/>
                          <w:jc w:val="right"/>
                          <w:rPr>
                            <w:sz w:val="16"/>
                          </w:rPr>
                        </w:pPr>
                        <w:r>
                          <w:rPr>
                            <w:w w:val="95"/>
                            <w:sz w:val="16"/>
                          </w:rPr>
                          <w:t>605,994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Vehicle fleet lease rental</w:t>
                        </w:r>
                      </w:p>
                    </w:tc>
                    <w:tc>
                      <w:tcPr>
                        <w:tcW w:w="964" w:type="dxa"/>
                        <w:shd w:val="clear" w:color="auto" w:fill="DFE1B8"/>
                      </w:tcPr>
                      <w:p>
                        <w:pPr>
                          <w:pStyle w:val="TableParagraph"/>
                          <w:spacing w:before="39"/>
                          <w:ind w:right="111"/>
                          <w:jc w:val="right"/>
                          <w:rPr>
                            <w:sz w:val="16"/>
                          </w:rPr>
                        </w:pPr>
                        <w:r>
                          <w:rPr>
                            <w:w w:val="95"/>
                            <w:sz w:val="16"/>
                          </w:rPr>
                          <w:t>59,638</w:t>
                        </w:r>
                      </w:p>
                    </w:tc>
                    <w:tc>
                      <w:tcPr>
                        <w:tcW w:w="974" w:type="dxa"/>
                        <w:tcBorders>
                          <w:top w:val="single" w:sz="8" w:space="0" w:color="FFFFFF"/>
                          <w:bottom w:val="single" w:sz="8" w:space="0" w:color="FFFFFF"/>
                        </w:tcBorders>
                        <w:shd w:val="clear" w:color="auto" w:fill="F4F4F4"/>
                      </w:tcPr>
                      <w:p>
                        <w:pPr>
                          <w:pStyle w:val="TableParagraph"/>
                          <w:spacing w:before="39"/>
                          <w:ind w:right="121"/>
                          <w:jc w:val="right"/>
                          <w:rPr>
                            <w:sz w:val="16"/>
                          </w:rPr>
                        </w:pPr>
                        <w:r>
                          <w:rPr>
                            <w:w w:val="95"/>
                            <w:sz w:val="16"/>
                          </w:rPr>
                          <w:t>64,657</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Other</w:t>
                        </w:r>
                      </w:p>
                    </w:tc>
                    <w:tc>
                      <w:tcPr>
                        <w:tcW w:w="964" w:type="dxa"/>
                        <w:tcBorders>
                          <w:bottom w:val="single" w:sz="4" w:space="0" w:color="000000"/>
                        </w:tcBorders>
                        <w:shd w:val="clear" w:color="auto" w:fill="DFE1B8"/>
                      </w:tcPr>
                      <w:p>
                        <w:pPr>
                          <w:pStyle w:val="TableParagraph"/>
                          <w:spacing w:before="39"/>
                          <w:ind w:right="111"/>
                          <w:jc w:val="right"/>
                          <w:rPr>
                            <w:sz w:val="16"/>
                          </w:rPr>
                        </w:pPr>
                        <w:r>
                          <w:rPr>
                            <w:w w:val="95"/>
                            <w:sz w:val="16"/>
                          </w:rPr>
                          <w:t>44,846</w:t>
                        </w:r>
                      </w:p>
                    </w:tc>
                    <w:tc>
                      <w:tcPr>
                        <w:tcW w:w="974" w:type="dxa"/>
                        <w:tcBorders>
                          <w:top w:val="single" w:sz="8" w:space="0" w:color="FFFFFF"/>
                          <w:bottom w:val="single" w:sz="4" w:space="0" w:color="000000"/>
                        </w:tcBorders>
                        <w:shd w:val="clear" w:color="auto" w:fill="FAF9F9"/>
                      </w:tcPr>
                      <w:p>
                        <w:pPr>
                          <w:pStyle w:val="TableParagraph"/>
                          <w:spacing w:before="39"/>
                          <w:ind w:right="121"/>
                          <w:jc w:val="right"/>
                          <w:rPr>
                            <w:sz w:val="16"/>
                          </w:rPr>
                        </w:pPr>
                        <w:r>
                          <w:rPr>
                            <w:w w:val="95"/>
                            <w:sz w:val="16"/>
                          </w:rPr>
                          <w:t>16,454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b/>
                            <w:sz w:val="16"/>
                          </w:rPr>
                        </w:pPr>
                        <w:r>
                          <w:rPr>
                            <w:b/>
                            <w:w w:val="95"/>
                            <w:sz w:val="16"/>
                          </w:rPr>
                          <w:t>1,058,030</w:t>
                        </w:r>
                      </w:p>
                    </w:tc>
                    <w:tc>
                      <w:tcPr>
                        <w:tcW w:w="974" w:type="dxa"/>
                        <w:tcBorders>
                          <w:top w:val="single" w:sz="4" w:space="0" w:color="000000"/>
                          <w:bottom w:val="single" w:sz="4" w:space="0" w:color="000000"/>
                        </w:tcBorders>
                        <w:shd w:val="clear" w:color="auto" w:fill="F4F4F4"/>
                      </w:tcPr>
                      <w:p>
                        <w:pPr>
                          <w:pStyle w:val="TableParagraph"/>
                          <w:spacing w:before="39"/>
                          <w:ind w:right="121"/>
                          <w:jc w:val="right"/>
                          <w:rPr>
                            <w:b/>
                            <w:sz w:val="16"/>
                          </w:rPr>
                        </w:pPr>
                        <w:r>
                          <w:rPr>
                            <w:b/>
                            <w:w w:val="95"/>
                            <w:sz w:val="16"/>
                          </w:rPr>
                          <w:t>947,333</w:t>
                        </w:r>
                      </w:p>
                    </w:tc>
                  </w:tr>
                  <w:tr>
                    <w:trPr>
                      <w:trHeight w:val="464" w:hRule="atLeast"/>
                    </w:trPr>
                    <w:tc>
                      <w:tcPr>
                        <w:tcW w:w="2863" w:type="dxa"/>
                        <w:tcBorders>
                          <w:top w:val="single" w:sz="8" w:space="0" w:color="FFFFFF"/>
                          <w:bottom w:val="single" w:sz="8" w:space="0" w:color="FFFFFF"/>
                        </w:tcBorders>
                        <w:shd w:val="clear" w:color="auto" w:fill="FAF9F9"/>
                      </w:tcPr>
                      <w:p>
                        <w:pPr>
                          <w:pStyle w:val="TableParagraph"/>
                          <w:spacing w:line="261" w:lineRule="auto" w:before="39"/>
                          <w:ind w:left="113"/>
                          <w:rPr>
                            <w:i/>
                            <w:sz w:val="16"/>
                          </w:rPr>
                        </w:pPr>
                        <w:r>
                          <w:rPr>
                            <w:i/>
                            <w:color w:val="A7BE39"/>
                            <w:sz w:val="16"/>
                          </w:rPr>
                          <w:t>Commonwealth grants and </w:t>
                        </w:r>
                        <w:r>
                          <w:rPr>
                            <w:i/>
                            <w:color w:val="A7BE39"/>
                            <w:sz w:val="16"/>
                          </w:rPr>
                          <w:t>contributions</w:t>
                        </w: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0"/>
                          <w:rPr>
                            <w:sz w:val="18"/>
                          </w:rPr>
                        </w:pPr>
                      </w:p>
                      <w:p>
                        <w:pPr>
                          <w:pStyle w:val="TableParagraph"/>
                          <w:spacing w:before="109"/>
                          <w:ind w:left="450"/>
                          <w:rPr>
                            <w:sz w:val="16"/>
                          </w:rPr>
                        </w:pPr>
                        <w:r>
                          <w:rPr>
                            <w:sz w:val="16"/>
                          </w:rPr>
                          <w:t>3,492</w:t>
                        </w:r>
                      </w:p>
                    </w:tc>
                    <w:tc>
                      <w:tcPr>
                        <w:tcW w:w="974" w:type="dxa"/>
                        <w:tcBorders>
                          <w:top w:val="single" w:sz="4" w:space="0" w:color="000000"/>
                          <w:bottom w:val="single" w:sz="8" w:space="0" w:color="FFFFFF"/>
                        </w:tcBorders>
                        <w:shd w:val="clear" w:color="auto" w:fill="FAF9F9"/>
                      </w:tcPr>
                      <w:p>
                        <w:pPr>
                          <w:pStyle w:val="TableParagraph"/>
                          <w:spacing w:before="0"/>
                          <w:rPr>
                            <w:rFonts w:ascii="Times New Roman"/>
                            <w:sz w:val="16"/>
                          </w:rPr>
                        </w:pPr>
                      </w:p>
                    </w:tc>
                  </w:tr>
                  <w:tr>
                    <w:trPr>
                      <w:trHeight w:val="464" w:hRule="atLeast"/>
                    </w:trPr>
                    <w:tc>
                      <w:tcPr>
                        <w:tcW w:w="2863" w:type="dxa"/>
                        <w:tcBorders>
                          <w:top w:val="single" w:sz="8" w:space="0" w:color="FFFFFF"/>
                          <w:bottom w:val="single" w:sz="8" w:space="0" w:color="FFFFFF"/>
                        </w:tcBorders>
                        <w:shd w:val="clear" w:color="auto" w:fill="F4F4F4"/>
                      </w:tcPr>
                      <w:p>
                        <w:pPr>
                          <w:pStyle w:val="TableParagraph"/>
                          <w:spacing w:line="261" w:lineRule="auto" w:before="39"/>
                          <w:ind w:left="113"/>
                          <w:rPr>
                            <w:sz w:val="16"/>
                          </w:rPr>
                        </w:pPr>
                        <w:r>
                          <w:rPr>
                            <w:sz w:val="16"/>
                          </w:rPr>
                          <w:t>Commonwealth grants and contributions</w:t>
                        </w:r>
                      </w:p>
                    </w:tc>
                    <w:tc>
                      <w:tcPr>
                        <w:tcW w:w="964" w:type="dxa"/>
                        <w:vMerge/>
                        <w:tcBorders>
                          <w:top w:val="nil"/>
                          <w:bottom w:val="single" w:sz="4" w:space="0" w:color="000000"/>
                        </w:tcBorders>
                        <w:shd w:val="clear" w:color="auto" w:fill="E1E4BB"/>
                      </w:tcPr>
                      <w:p>
                        <w:pPr>
                          <w:rPr>
                            <w:sz w:val="2"/>
                            <w:szCs w:val="2"/>
                          </w:rPr>
                        </w:pPr>
                      </w:p>
                    </w:tc>
                    <w:tc>
                      <w:tcPr>
                        <w:tcW w:w="974" w:type="dxa"/>
                        <w:tcBorders>
                          <w:top w:val="single" w:sz="8" w:space="0" w:color="FFFFFF"/>
                          <w:bottom w:val="single" w:sz="4" w:space="0" w:color="000000"/>
                        </w:tcBorders>
                        <w:shd w:val="clear" w:color="auto" w:fill="F4F4F4"/>
                      </w:tcPr>
                      <w:p>
                        <w:pPr>
                          <w:pStyle w:val="TableParagraph"/>
                          <w:spacing w:before="39"/>
                          <w:ind w:right="121"/>
                          <w:jc w:val="right"/>
                          <w:rPr>
                            <w:sz w:val="16"/>
                          </w:rPr>
                        </w:pPr>
                        <w:r>
                          <w:rPr>
                            <w:w w:val="95"/>
                            <w:sz w:val="16"/>
                          </w:rPr>
                          <w:t>1,684</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b/>
                            <w:sz w:val="16"/>
                          </w:rPr>
                        </w:pPr>
                        <w:r>
                          <w:rPr>
                            <w:b/>
                            <w:w w:val="95"/>
                            <w:sz w:val="16"/>
                          </w:rPr>
                          <w:t>3,492</w:t>
                        </w:r>
                      </w:p>
                    </w:tc>
                    <w:tc>
                      <w:tcPr>
                        <w:tcW w:w="974" w:type="dxa"/>
                        <w:tcBorders>
                          <w:top w:val="single" w:sz="4" w:space="0" w:color="000000"/>
                          <w:bottom w:val="single" w:sz="4" w:space="0" w:color="000000"/>
                        </w:tcBorders>
                        <w:shd w:val="clear" w:color="auto" w:fill="FAF9F9"/>
                      </w:tcPr>
                      <w:p>
                        <w:pPr>
                          <w:pStyle w:val="TableParagraph"/>
                          <w:spacing w:before="39"/>
                          <w:ind w:right="121"/>
                          <w:jc w:val="right"/>
                          <w:rPr>
                            <w:b/>
                            <w:sz w:val="16"/>
                          </w:rPr>
                        </w:pPr>
                        <w:r>
                          <w:rPr>
                            <w:b/>
                            <w:w w:val="95"/>
                            <w:sz w:val="16"/>
                          </w:rPr>
                          <w:t>1,684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A7BE39"/>
                            <w:sz w:val="16"/>
                          </w:rPr>
                          <w:t>Interest revenue</w:t>
                        </w:r>
                      </w:p>
                    </w:tc>
                    <w:tc>
                      <w:tcPr>
                        <w:tcW w:w="964" w:type="dxa"/>
                        <w:tcBorders>
                          <w:top w:val="single" w:sz="4" w:space="0" w:color="000000"/>
                        </w:tcBorders>
                        <w:shd w:val="clear" w:color="auto" w:fill="E1E4BB"/>
                      </w:tcPr>
                      <w:p>
                        <w:pPr>
                          <w:pStyle w:val="TableParagraph"/>
                          <w:spacing w:before="0"/>
                          <w:rPr>
                            <w:rFonts w:ascii="Times New Roman"/>
                            <w:sz w:val="16"/>
                          </w:rPr>
                        </w:pPr>
                      </w:p>
                    </w:tc>
                    <w:tc>
                      <w:tcPr>
                        <w:tcW w:w="97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Interest revenue</w:t>
                        </w:r>
                      </w:p>
                    </w:tc>
                    <w:tc>
                      <w:tcPr>
                        <w:tcW w:w="964" w:type="dxa"/>
                        <w:shd w:val="clear" w:color="auto" w:fill="E1E4BB"/>
                      </w:tcPr>
                      <w:p>
                        <w:pPr>
                          <w:pStyle w:val="TableParagraph"/>
                          <w:spacing w:before="39"/>
                          <w:ind w:right="111"/>
                          <w:jc w:val="right"/>
                          <w:rPr>
                            <w:sz w:val="16"/>
                          </w:rPr>
                        </w:pPr>
                        <w:r>
                          <w:rPr>
                            <w:w w:val="95"/>
                            <w:sz w:val="16"/>
                          </w:rPr>
                          <w:t>473</w:t>
                        </w:r>
                      </w:p>
                    </w:tc>
                    <w:tc>
                      <w:tcPr>
                        <w:tcW w:w="974" w:type="dxa"/>
                        <w:tcBorders>
                          <w:top w:val="single" w:sz="8" w:space="0" w:color="FFFFFF"/>
                          <w:bottom w:val="single" w:sz="8" w:space="0" w:color="FFFFFF"/>
                        </w:tcBorders>
                        <w:shd w:val="clear" w:color="auto" w:fill="FAF9F9"/>
                      </w:tcPr>
                      <w:p>
                        <w:pPr>
                          <w:pStyle w:val="TableParagraph"/>
                          <w:spacing w:before="39"/>
                          <w:ind w:right="121"/>
                          <w:jc w:val="right"/>
                          <w:rPr>
                            <w:sz w:val="16"/>
                          </w:rPr>
                        </w:pPr>
                        <w:r>
                          <w:rPr>
                            <w:w w:val="95"/>
                            <w:sz w:val="16"/>
                          </w:rPr>
                          <w:t>219</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shd w:val="clear" w:color="auto" w:fill="E1E4BB"/>
                      </w:tcPr>
                      <w:p>
                        <w:pPr>
                          <w:pStyle w:val="TableParagraph"/>
                          <w:spacing w:before="39"/>
                          <w:ind w:right="111"/>
                          <w:jc w:val="right"/>
                          <w:rPr>
                            <w:b/>
                            <w:sz w:val="16"/>
                          </w:rPr>
                        </w:pPr>
                        <w:r>
                          <w:rPr>
                            <w:b/>
                            <w:w w:val="95"/>
                            <w:sz w:val="16"/>
                          </w:rPr>
                          <w:t>473</w:t>
                        </w:r>
                      </w:p>
                    </w:tc>
                    <w:tc>
                      <w:tcPr>
                        <w:tcW w:w="974" w:type="dxa"/>
                        <w:tcBorders>
                          <w:top w:val="single" w:sz="8" w:space="0" w:color="FFFFFF"/>
                          <w:bottom w:val="single" w:sz="8" w:space="0" w:color="FFFFFF"/>
                        </w:tcBorders>
                        <w:shd w:val="clear" w:color="auto" w:fill="F4F4F4"/>
                      </w:tcPr>
                      <w:p>
                        <w:pPr>
                          <w:pStyle w:val="TableParagraph"/>
                          <w:spacing w:before="39"/>
                          <w:ind w:right="121"/>
                          <w:jc w:val="right"/>
                          <w:rPr>
                            <w:b/>
                            <w:sz w:val="16"/>
                          </w:rPr>
                        </w:pPr>
                        <w:r>
                          <w:rPr>
                            <w:b/>
                            <w:w w:val="95"/>
                            <w:sz w:val="16"/>
                          </w:rPr>
                          <w:t>219</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i/>
                            <w:sz w:val="16"/>
                          </w:rPr>
                        </w:pPr>
                        <w:r>
                          <w:rPr>
                            <w:i/>
                            <w:color w:val="A7BE39"/>
                            <w:sz w:val="16"/>
                          </w:rPr>
                          <w:t>Other revenue</w:t>
                        </w:r>
                      </w:p>
                    </w:tc>
                    <w:tc>
                      <w:tcPr>
                        <w:tcW w:w="964" w:type="dxa"/>
                        <w:shd w:val="clear" w:color="auto" w:fill="E1E4BB"/>
                      </w:tcPr>
                      <w:p>
                        <w:pPr>
                          <w:pStyle w:val="TableParagraph"/>
                          <w:spacing w:before="0"/>
                          <w:rPr>
                            <w:rFonts w:ascii="Times New Roman"/>
                            <w:sz w:val="16"/>
                          </w:rPr>
                        </w:pPr>
                      </w:p>
                    </w:tc>
                    <w:tc>
                      <w:tcPr>
                        <w:tcW w:w="974"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Recoups</w:t>
                        </w:r>
                      </w:p>
                    </w:tc>
                    <w:tc>
                      <w:tcPr>
                        <w:tcW w:w="964" w:type="dxa"/>
                        <w:shd w:val="clear" w:color="auto" w:fill="E1E4BB"/>
                      </w:tcPr>
                      <w:p>
                        <w:pPr>
                          <w:pStyle w:val="TableParagraph"/>
                          <w:spacing w:before="39"/>
                          <w:ind w:right="111"/>
                          <w:jc w:val="right"/>
                          <w:rPr>
                            <w:sz w:val="16"/>
                          </w:rPr>
                        </w:pPr>
                        <w:r>
                          <w:rPr>
                            <w:w w:val="95"/>
                            <w:sz w:val="16"/>
                          </w:rPr>
                          <w:t>2,446</w:t>
                        </w:r>
                      </w:p>
                    </w:tc>
                    <w:tc>
                      <w:tcPr>
                        <w:tcW w:w="974" w:type="dxa"/>
                        <w:tcBorders>
                          <w:top w:val="single" w:sz="8" w:space="0" w:color="FFFFFF"/>
                          <w:bottom w:val="single" w:sz="8" w:space="0" w:color="FFFFFF"/>
                        </w:tcBorders>
                        <w:shd w:val="clear" w:color="auto" w:fill="F4F4F4"/>
                      </w:tcPr>
                      <w:p>
                        <w:pPr>
                          <w:pStyle w:val="TableParagraph"/>
                          <w:spacing w:before="39"/>
                          <w:ind w:right="121"/>
                          <w:jc w:val="right"/>
                          <w:rPr>
                            <w:sz w:val="16"/>
                          </w:rPr>
                        </w:pPr>
                        <w:r>
                          <w:rPr>
                            <w:w w:val="95"/>
                            <w:sz w:val="16"/>
                          </w:rPr>
                          <w:t>5,874</w:t>
                        </w:r>
                      </w:p>
                    </w:tc>
                  </w:tr>
                  <w:tr>
                    <w:trPr>
                      <w:trHeight w:val="229" w:hRule="atLeast"/>
                    </w:trPr>
                    <w:tc>
                      <w:tcPr>
                        <w:tcW w:w="2863" w:type="dxa"/>
                        <w:tcBorders>
                          <w:top w:val="single" w:sz="8" w:space="0" w:color="FFFFFF"/>
                        </w:tcBorders>
                        <w:shd w:val="clear" w:color="auto" w:fill="FAF9F9"/>
                      </w:tcPr>
                      <w:p>
                        <w:pPr>
                          <w:pStyle w:val="TableParagraph"/>
                          <w:spacing w:line="170" w:lineRule="exact" w:before="39"/>
                          <w:ind w:left="113"/>
                          <w:rPr>
                            <w:sz w:val="16"/>
                          </w:rPr>
                        </w:pPr>
                        <w:r>
                          <w:rPr>
                            <w:sz w:val="16"/>
                          </w:rPr>
                          <w:t>Government vehicle schemes</w:t>
                        </w:r>
                      </w:p>
                    </w:tc>
                    <w:tc>
                      <w:tcPr>
                        <w:tcW w:w="964" w:type="dxa"/>
                        <w:shd w:val="clear" w:color="auto" w:fill="E1E4BB"/>
                      </w:tcPr>
                      <w:p>
                        <w:pPr>
                          <w:pStyle w:val="TableParagraph"/>
                          <w:spacing w:line="170" w:lineRule="exact" w:before="39"/>
                          <w:ind w:right="111"/>
                          <w:jc w:val="right"/>
                          <w:rPr>
                            <w:sz w:val="16"/>
                          </w:rPr>
                        </w:pPr>
                        <w:r>
                          <w:rPr>
                            <w:w w:val="95"/>
                            <w:sz w:val="16"/>
                          </w:rPr>
                          <w:t>103</w:t>
                        </w:r>
                      </w:p>
                    </w:tc>
                    <w:tc>
                      <w:tcPr>
                        <w:tcW w:w="974" w:type="dxa"/>
                        <w:tcBorders>
                          <w:top w:val="single" w:sz="8" w:space="0" w:color="FFFFFF"/>
                        </w:tcBorders>
                        <w:shd w:val="clear" w:color="auto" w:fill="FAF9F9"/>
                      </w:tcPr>
                      <w:p>
                        <w:pPr>
                          <w:pStyle w:val="TableParagraph"/>
                          <w:spacing w:line="170" w:lineRule="exact" w:before="39"/>
                          <w:ind w:right="121"/>
                          <w:jc w:val="right"/>
                          <w:rPr>
                            <w:sz w:val="16"/>
                          </w:rPr>
                        </w:pPr>
                        <w:r>
                          <w:rPr>
                            <w:w w:val="95"/>
                            <w:sz w:val="16"/>
                          </w:rPr>
                          <w:t>113</w:t>
                        </w:r>
                      </w:p>
                    </w:tc>
                  </w:tr>
                  <w:tr>
                    <w:trPr>
                      <w:trHeight w:val="235" w:hRule="atLeast"/>
                    </w:trPr>
                    <w:tc>
                      <w:tcPr>
                        <w:tcW w:w="2863" w:type="dxa"/>
                        <w:tcBorders>
                          <w:bottom w:val="single" w:sz="8" w:space="0" w:color="FFFFFF"/>
                        </w:tcBorders>
                        <w:shd w:val="clear" w:color="auto" w:fill="FAF9F9"/>
                      </w:tcPr>
                      <w:p>
                        <w:pPr>
                          <w:pStyle w:val="TableParagraph"/>
                          <w:spacing w:before="10"/>
                          <w:ind w:left="113"/>
                          <w:rPr>
                            <w:sz w:val="16"/>
                          </w:rPr>
                        </w:pPr>
                        <w:r>
                          <w:rPr>
                            <w:sz w:val="16"/>
                          </w:rPr>
                          <w:t>(GVS-SOVS)</w:t>
                        </w:r>
                      </w:p>
                    </w:tc>
                    <w:tc>
                      <w:tcPr>
                        <w:tcW w:w="964" w:type="dxa"/>
                        <w:shd w:val="clear" w:color="auto" w:fill="E1E4BB"/>
                      </w:tcPr>
                      <w:p>
                        <w:pPr>
                          <w:pStyle w:val="TableParagraph"/>
                          <w:spacing w:before="0"/>
                          <w:rPr>
                            <w:rFonts w:ascii="Times New Roman"/>
                            <w:sz w:val="16"/>
                          </w:rPr>
                        </w:pPr>
                      </w:p>
                    </w:tc>
                    <w:tc>
                      <w:tcPr>
                        <w:tcW w:w="974" w:type="dxa"/>
                        <w:tcBorders>
                          <w:bottom w:val="single" w:sz="8" w:space="0" w:color="FFFFFF"/>
                        </w:tcBorders>
                        <w:shd w:val="clear" w:color="auto" w:fill="FAF9F9"/>
                      </w:tcPr>
                      <w:p>
                        <w:pPr>
                          <w:pStyle w:val="TableParagraph"/>
                          <w:spacing w:before="0"/>
                          <w:rPr>
                            <w:rFonts w:ascii="Times New Roman"/>
                            <w:sz w:val="16"/>
                          </w:rPr>
                        </w:pPr>
                      </w:p>
                    </w:tc>
                  </w:tr>
                  <w:tr>
                    <w:trPr>
                      <w:trHeight w:val="259" w:hRule="atLeast"/>
                    </w:trPr>
                    <w:tc>
                      <w:tcPr>
                        <w:tcW w:w="2863" w:type="dxa"/>
                        <w:tcBorders>
                          <w:top w:val="single" w:sz="8" w:space="0" w:color="FFFFFF"/>
                          <w:bottom w:val="single" w:sz="12" w:space="0" w:color="FFFFFF"/>
                        </w:tcBorders>
                        <w:shd w:val="clear" w:color="auto" w:fill="F4F4F4"/>
                      </w:tcPr>
                      <w:p>
                        <w:pPr>
                          <w:pStyle w:val="TableParagraph"/>
                          <w:spacing w:before="39"/>
                          <w:ind w:left="113"/>
                          <w:rPr>
                            <w:sz w:val="16"/>
                          </w:rPr>
                        </w:pPr>
                        <w:r>
                          <w:rPr>
                            <w:sz w:val="16"/>
                          </w:rPr>
                          <w:t>Other</w:t>
                        </w:r>
                      </w:p>
                    </w:tc>
                    <w:tc>
                      <w:tcPr>
                        <w:tcW w:w="964" w:type="dxa"/>
                        <w:tcBorders>
                          <w:bottom w:val="single" w:sz="6" w:space="0" w:color="000000"/>
                        </w:tcBorders>
                        <w:shd w:val="clear" w:color="auto" w:fill="E1E4BB"/>
                      </w:tcPr>
                      <w:p>
                        <w:pPr>
                          <w:pStyle w:val="TableParagraph"/>
                          <w:spacing w:before="39"/>
                          <w:ind w:right="111"/>
                          <w:jc w:val="right"/>
                          <w:rPr>
                            <w:sz w:val="16"/>
                          </w:rPr>
                        </w:pPr>
                        <w:r>
                          <w:rPr>
                            <w:w w:val="95"/>
                            <w:sz w:val="16"/>
                          </w:rPr>
                          <w:t>8,066</w:t>
                        </w:r>
                      </w:p>
                    </w:tc>
                    <w:tc>
                      <w:tcPr>
                        <w:tcW w:w="974" w:type="dxa"/>
                        <w:tcBorders>
                          <w:top w:val="single" w:sz="8" w:space="0" w:color="FFFFFF"/>
                          <w:bottom w:val="single" w:sz="6" w:space="0" w:color="000000"/>
                        </w:tcBorders>
                        <w:shd w:val="clear" w:color="auto" w:fill="F4F4F4"/>
                      </w:tcPr>
                      <w:p>
                        <w:pPr>
                          <w:pStyle w:val="TableParagraph"/>
                          <w:spacing w:before="39"/>
                          <w:ind w:right="121"/>
                          <w:jc w:val="right"/>
                          <w:rPr>
                            <w:sz w:val="16"/>
                          </w:rPr>
                        </w:pPr>
                        <w:r>
                          <w:rPr>
                            <w:w w:val="95"/>
                            <w:sz w:val="16"/>
                          </w:rPr>
                          <w:t>2,456</w:t>
                        </w:r>
                      </w:p>
                    </w:tc>
                  </w:tr>
                  <w:tr>
                    <w:trPr>
                      <w:trHeight w:val="259" w:hRule="atLeast"/>
                    </w:trPr>
                    <w:tc>
                      <w:tcPr>
                        <w:tcW w:w="2863" w:type="dxa"/>
                        <w:tcBorders>
                          <w:top w:val="single" w:sz="12"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6" w:space="0" w:color="000000"/>
                          <w:bottom w:val="single" w:sz="4" w:space="0" w:color="000000"/>
                        </w:tcBorders>
                        <w:shd w:val="clear" w:color="auto" w:fill="E1E4BB"/>
                      </w:tcPr>
                      <w:p>
                        <w:pPr>
                          <w:pStyle w:val="TableParagraph"/>
                          <w:spacing w:before="34"/>
                          <w:ind w:right="111"/>
                          <w:jc w:val="right"/>
                          <w:rPr>
                            <w:b/>
                            <w:sz w:val="16"/>
                          </w:rPr>
                        </w:pPr>
                        <w:r>
                          <w:rPr>
                            <w:b/>
                            <w:w w:val="95"/>
                            <w:sz w:val="16"/>
                          </w:rPr>
                          <w:t>10,615</w:t>
                        </w:r>
                      </w:p>
                    </w:tc>
                    <w:tc>
                      <w:tcPr>
                        <w:tcW w:w="974" w:type="dxa"/>
                        <w:tcBorders>
                          <w:top w:val="single" w:sz="6" w:space="0" w:color="000000"/>
                          <w:bottom w:val="single" w:sz="4" w:space="0" w:color="000000"/>
                        </w:tcBorders>
                        <w:shd w:val="clear" w:color="auto" w:fill="FAF9F9"/>
                      </w:tcPr>
                      <w:p>
                        <w:pPr>
                          <w:pStyle w:val="TableParagraph"/>
                          <w:spacing w:before="34"/>
                          <w:ind w:right="121"/>
                          <w:jc w:val="right"/>
                          <w:rPr>
                            <w:b/>
                            <w:sz w:val="16"/>
                          </w:rPr>
                        </w:pPr>
                        <w:r>
                          <w:rPr>
                            <w:b/>
                            <w:w w:val="95"/>
                            <w:sz w:val="16"/>
                          </w:rPr>
                          <w:t>8,443</w:t>
                        </w:r>
                      </w:p>
                    </w:tc>
                  </w:tr>
                  <w:tr>
                    <w:trPr>
                      <w:trHeight w:val="23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line="175" w:lineRule="exact" w:before="39"/>
                          <w:ind w:right="111"/>
                          <w:jc w:val="right"/>
                          <w:rPr>
                            <w:b/>
                            <w:sz w:val="16"/>
                          </w:rPr>
                        </w:pPr>
                        <w:r>
                          <w:rPr>
                            <w:b/>
                            <w:w w:val="95"/>
                            <w:sz w:val="16"/>
                          </w:rPr>
                          <w:t>1,072,610</w:t>
                        </w:r>
                      </w:p>
                    </w:tc>
                    <w:tc>
                      <w:tcPr>
                        <w:tcW w:w="974" w:type="dxa"/>
                        <w:tcBorders>
                          <w:top w:val="single" w:sz="4" w:space="0" w:color="000000"/>
                          <w:bottom w:val="single" w:sz="24" w:space="0" w:color="FFFFFF"/>
                        </w:tcBorders>
                        <w:shd w:val="clear" w:color="auto" w:fill="F4F4F4"/>
                      </w:tcPr>
                      <w:p>
                        <w:pPr>
                          <w:pStyle w:val="TableParagraph"/>
                          <w:spacing w:line="175" w:lineRule="exact" w:before="39"/>
                          <w:ind w:right="121"/>
                          <w:jc w:val="right"/>
                          <w:rPr>
                            <w:b/>
                            <w:sz w:val="16"/>
                          </w:rPr>
                        </w:pPr>
                        <w:r>
                          <w:rPr>
                            <w:b/>
                            <w:w w:val="95"/>
                            <w:sz w:val="16"/>
                          </w:rPr>
                          <w:t>957,679</w:t>
                        </w:r>
                      </w:p>
                    </w:tc>
                  </w:tr>
                </w:tbl>
                <w:p>
                  <w:pPr>
                    <w:pStyle w:val="BodyText"/>
                  </w:pPr>
                </w:p>
              </w:txbxContent>
            </v:textbox>
            <w10:wrap type="none"/>
          </v:shape>
        </w:pict>
      </w:r>
      <w:bookmarkStart w:name="_bookmark36" w:id="36"/>
      <w:bookmarkEnd w:id="36"/>
      <w:r>
        <w:rPr/>
      </w:r>
      <w:r>
        <w:rPr>
          <w:color w:val="6F2770"/>
          <w:spacing w:val="-3"/>
        </w:rPr>
        <w:t>Note</w:t>
      </w:r>
      <w:r>
        <w:rPr>
          <w:color w:val="6F2770"/>
          <w:spacing w:val="-16"/>
        </w:rPr>
        <w:t> </w:t>
      </w:r>
      <w:r>
        <w:rPr>
          <w:color w:val="6F2770"/>
          <w:spacing w:val="-3"/>
        </w:rPr>
        <w:t>14.</w:t>
      </w:r>
      <w:r>
        <w:rPr>
          <w:color w:val="6F2770"/>
          <w:spacing w:val="-16"/>
        </w:rPr>
        <w:t> </w:t>
      </w:r>
      <w:r>
        <w:rPr>
          <w:color w:val="6F2770"/>
          <w:spacing w:val="-4"/>
        </w:rPr>
        <w:t>Income</w:t>
        <w:tab/>
      </w:r>
      <w:bookmarkStart w:name="_bookmark35" w:id="37"/>
      <w:bookmarkEnd w:id="37"/>
      <w:r>
        <w:rPr>
          <w:color w:val="6F2770"/>
        </w:rPr>
        <w:t>Note</w:t>
      </w:r>
      <w:r>
        <w:rPr>
          <w:color w:val="6F2770"/>
          <w:spacing w:val="-16"/>
        </w:rPr>
        <w:t> </w:t>
      </w:r>
      <w:r>
        <w:rPr>
          <w:color w:val="6F2770"/>
        </w:rPr>
        <w:t>15.</w:t>
      </w:r>
      <w:r>
        <w:rPr>
          <w:color w:val="6F2770"/>
          <w:spacing w:val="-16"/>
        </w:rPr>
        <w:t> </w:t>
      </w:r>
      <w:r>
        <w:rPr>
          <w:color w:val="6F2770"/>
        </w:rPr>
        <w:t>Net</w:t>
      </w:r>
      <w:r>
        <w:rPr>
          <w:color w:val="6F2770"/>
          <w:spacing w:val="-17"/>
        </w:rPr>
        <w:t> </w:t>
      </w:r>
      <w:r>
        <w:rPr>
          <w:color w:val="6F2770"/>
        </w:rPr>
        <w:t>gain</w:t>
      </w:r>
      <w:r>
        <w:rPr>
          <w:color w:val="6F2770"/>
          <w:spacing w:val="-16"/>
        </w:rPr>
        <w:t> </w:t>
      </w:r>
      <w:r>
        <w:rPr>
          <w:color w:val="6F2770"/>
        </w:rPr>
        <w:t>on</w:t>
      </w:r>
      <w:r>
        <w:rPr>
          <w:color w:val="6F2770"/>
          <w:spacing w:val="-16"/>
        </w:rPr>
        <w:t> </w:t>
      </w:r>
      <w:r>
        <w:rPr>
          <w:color w:val="6F2770"/>
        </w:rPr>
        <w:t>disposal</w:t>
      </w:r>
      <w:r>
        <w:rPr>
          <w:color w:val="6F2770"/>
          <w:spacing w:val="-17"/>
        </w:rPr>
        <w:t> </w:t>
      </w:r>
      <w:r>
        <w:rPr>
          <w:color w:val="6F2770"/>
          <w:spacing w:val="-10"/>
        </w:rPr>
        <w:t>of </w:t>
      </w:r>
      <w:r>
        <w:rPr>
          <w:color w:val="6F2770"/>
        </w:rPr>
        <w:t>non-current</w:t>
      </w:r>
      <w:r>
        <w:rPr>
          <w:color w:val="6F2770"/>
          <w:spacing w:val="-4"/>
        </w:rPr>
        <w:t> </w:t>
      </w:r>
      <w:r>
        <w:rPr>
          <w:color w:val="6F2770"/>
        </w:rPr>
        <w:t>assets</w:t>
      </w:r>
    </w:p>
    <w:p>
      <w:pPr>
        <w:pStyle w:val="BodyText"/>
        <w:rPr>
          <w:sz w:val="38"/>
        </w:rPr>
      </w:pPr>
      <w:r>
        <w:rPr/>
        <w:br w:type="column"/>
      </w:r>
      <w:r>
        <w:rPr>
          <w:sz w:val="38"/>
        </w:rPr>
      </w:r>
    </w:p>
    <w:p>
      <w:pPr>
        <w:pStyle w:val="BodyText"/>
        <w:rPr>
          <w:sz w:val="38"/>
        </w:rPr>
      </w:pPr>
    </w:p>
    <w:p>
      <w:pPr>
        <w:pStyle w:val="BodyText"/>
        <w:rPr>
          <w:sz w:val="38"/>
        </w:rPr>
      </w:pPr>
    </w:p>
    <w:p>
      <w:pPr>
        <w:pStyle w:val="BodyText"/>
        <w:spacing w:before="11"/>
        <w:rPr>
          <w:sz w:val="29"/>
        </w:rPr>
      </w:pPr>
    </w:p>
    <w:p>
      <w:pPr>
        <w:spacing w:line="235" w:lineRule="auto" w:before="0"/>
        <w:ind w:left="752" w:right="2489" w:firstLine="0"/>
        <w:jc w:val="left"/>
        <w:rPr>
          <w:sz w:val="32"/>
        </w:rPr>
      </w:pPr>
      <w:r>
        <w:rPr/>
        <w:pict>
          <v:group style="position:absolute;margin-left:763.172119pt;margin-top:-86.347549pt;width:61.1pt;height:45.2pt;mso-position-horizontal-relative:page;mso-position-vertical-relative:paragraph;z-index:16576" coordorigin="15263,-1727" coordsize="1222,904">
            <v:shape style="position:absolute;left:15424;top:-1727;width:900;height:904" coordorigin="15424,-1727" coordsize="900,904" path="m15874,-1727l15424,-1277,15424,-1274,15874,-824,16324,-1274,16324,-1277,15874,-1727xe" filled="true" fillcolor="#c4cd71" stroked="false">
              <v:path arrowok="t"/>
              <v:fill type="solid"/>
            </v:shape>
            <v:shape style="position:absolute;left:15263;top:-1437;width:161;height:322" type="#_x0000_t75" stroked="false">
              <v:imagedata r:id="rId16" o:title=""/>
            </v:shape>
            <v:shape style="position:absolute;left:16324;top:-1437;width:161;height:322" type="#_x0000_t75" stroked="false">
              <v:imagedata r:id="rId11" o:title=""/>
            </v:shape>
            <v:shape style="position:absolute;left:15263;top:-1727;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shape style="position:absolute;margin-left:562.677185pt;margin-top:37.619251pt;width:240.05pt;height:274.1pt;mso-position-horizontal-relative:page;mso-position-vertical-relative:paragraph;z-index:16768"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3827" w:type="dxa"/>
                        <w:gridSpan w:val="2"/>
                        <w:shd w:val="clear" w:color="auto" w:fill="783A79"/>
                      </w:tcPr>
                      <w:p>
                        <w:pPr>
                          <w:pStyle w:val="TableParagraph"/>
                          <w:spacing w:before="54"/>
                          <w:ind w:right="101"/>
                          <w:jc w:val="right"/>
                          <w:rPr>
                            <w:b/>
                            <w:sz w:val="16"/>
                          </w:rPr>
                        </w:pPr>
                        <w:r>
                          <w:rPr>
                            <w:b/>
                            <w:color w:val="FFFFFF"/>
                            <w:w w:val="95"/>
                            <w:sz w:val="16"/>
                          </w:rPr>
                          <w:t>2017</w:t>
                        </w:r>
                      </w:p>
                      <w:p>
                        <w:pPr>
                          <w:pStyle w:val="TableParagraph"/>
                          <w:spacing w:before="8"/>
                          <w:ind w:right="101"/>
                          <w:jc w:val="right"/>
                          <w:rPr>
                            <w:b/>
                            <w:sz w:val="16"/>
                          </w:rPr>
                        </w:pPr>
                        <w:r>
                          <w:rPr>
                            <w:b/>
                            <w:color w:val="FFFFFF"/>
                            <w:w w:val="95"/>
                            <w:sz w:val="16"/>
                          </w:rPr>
                          <w:t>$000</w:t>
                        </w:r>
                      </w:p>
                    </w:tc>
                    <w:tc>
                      <w:tcPr>
                        <w:tcW w:w="964" w:type="dxa"/>
                        <w:shd w:val="clear" w:color="auto" w:fill="783A79"/>
                      </w:tcPr>
                      <w:p>
                        <w:pPr>
                          <w:pStyle w:val="TableParagraph"/>
                          <w:spacing w:before="54"/>
                          <w:ind w:left="504"/>
                          <w:rPr>
                            <w:b/>
                            <w:sz w:val="16"/>
                          </w:rPr>
                        </w:pPr>
                        <w:r>
                          <w:rPr>
                            <w:b/>
                            <w:color w:val="FFFFFF"/>
                            <w:sz w:val="16"/>
                          </w:rPr>
                          <w:t>2016</w:t>
                        </w:r>
                      </w:p>
                      <w:p>
                        <w:pPr>
                          <w:pStyle w:val="TableParagraph"/>
                          <w:spacing w:before="8"/>
                          <w:ind w:left="504"/>
                          <w:rPr>
                            <w:b/>
                            <w:sz w:val="16"/>
                          </w:rPr>
                        </w:pPr>
                        <w:r>
                          <w:rPr>
                            <w:b/>
                            <w:color w:val="FFFFFF"/>
                            <w:sz w:val="16"/>
                          </w:rPr>
                          <w:t>$000</w:t>
                        </w:r>
                      </w:p>
                    </w:tc>
                  </w:tr>
                  <w:tr>
                    <w:trPr>
                      <w:trHeight w:val="229" w:hRule="atLeast"/>
                    </w:trPr>
                    <w:tc>
                      <w:tcPr>
                        <w:tcW w:w="2863" w:type="dxa"/>
                        <w:tcBorders>
                          <w:left w:val="single" w:sz="8" w:space="0" w:color="FFFFFF"/>
                        </w:tcBorders>
                        <w:shd w:val="clear" w:color="auto" w:fill="F4F4F4"/>
                      </w:tcPr>
                      <w:p>
                        <w:pPr>
                          <w:pStyle w:val="TableParagraph"/>
                          <w:spacing w:line="160" w:lineRule="exact" w:before="49"/>
                          <w:ind w:left="113"/>
                          <w:rPr>
                            <w:sz w:val="16"/>
                          </w:rPr>
                        </w:pPr>
                        <w:r>
                          <w:rPr>
                            <w:sz w:val="16"/>
                          </w:rPr>
                          <w:t>Appropriations received during the</w:t>
                        </w:r>
                      </w:p>
                    </w:tc>
                    <w:tc>
                      <w:tcPr>
                        <w:tcW w:w="964" w:type="dxa"/>
                        <w:shd w:val="clear" w:color="auto" w:fill="E1E4BB"/>
                      </w:tcPr>
                      <w:p>
                        <w:pPr>
                          <w:pStyle w:val="TableParagraph"/>
                          <w:spacing w:before="0"/>
                          <w:rPr>
                            <w:rFonts w:ascii="Times New Roman"/>
                            <w:sz w:val="16"/>
                          </w:rPr>
                        </w:pPr>
                      </w:p>
                    </w:tc>
                    <w:tc>
                      <w:tcPr>
                        <w:tcW w:w="964" w:type="dxa"/>
                        <w:vMerge w:val="restart"/>
                        <w:tcBorders>
                          <w:bottom w:val="single" w:sz="8" w:space="0" w:color="FFFFFF"/>
                        </w:tcBorders>
                        <w:shd w:val="clear" w:color="auto" w:fill="F4F4F4"/>
                      </w:tcPr>
                      <w:p>
                        <w:pPr>
                          <w:pStyle w:val="TableParagraph"/>
                          <w:spacing w:before="0"/>
                          <w:rPr>
                            <w:rFonts w:ascii="Times New Roman"/>
                            <w:sz w:val="16"/>
                          </w:rPr>
                        </w:pPr>
                      </w:p>
                    </w:tc>
                  </w:tr>
                  <w:tr>
                    <w:trPr>
                      <w:trHeight w:val="225" w:hRule="atLeast"/>
                    </w:trPr>
                    <w:tc>
                      <w:tcPr>
                        <w:tcW w:w="2863" w:type="dxa"/>
                        <w:tcBorders>
                          <w:left w:val="single" w:sz="8" w:space="0" w:color="FFFFFF"/>
                          <w:bottom w:val="single" w:sz="8" w:space="0" w:color="FFFFFF"/>
                        </w:tcBorders>
                        <w:shd w:val="clear" w:color="auto" w:fill="F4F4F4"/>
                      </w:tcPr>
                      <w:p>
                        <w:pPr>
                          <w:pStyle w:val="TableParagraph"/>
                          <w:spacing w:before="0"/>
                          <w:ind w:left="113"/>
                          <w:rPr>
                            <w:sz w:val="16"/>
                          </w:rPr>
                        </w:pPr>
                        <w:r>
                          <w:rPr>
                            <w:sz w:val="16"/>
                          </w:rPr>
                          <w:t>period:</w:t>
                        </w:r>
                      </w:p>
                    </w:tc>
                    <w:tc>
                      <w:tcPr>
                        <w:tcW w:w="964" w:type="dxa"/>
                        <w:shd w:val="clear" w:color="auto" w:fill="E1E4BB"/>
                      </w:tcPr>
                      <w:p>
                        <w:pPr>
                          <w:pStyle w:val="TableParagraph"/>
                          <w:spacing w:before="0"/>
                          <w:rPr>
                            <w:rFonts w:ascii="Times New Roman"/>
                            <w:sz w:val="16"/>
                          </w:rPr>
                        </w:pPr>
                      </w:p>
                    </w:tc>
                    <w:tc>
                      <w:tcPr>
                        <w:tcW w:w="964" w:type="dxa"/>
                        <w:vMerge/>
                        <w:tcBorders>
                          <w:top w:val="nil"/>
                          <w:bottom w:val="single" w:sz="8" w:space="0" w:color="FFFFFF"/>
                        </w:tcBorders>
                        <w:shd w:val="clear" w:color="auto" w:fill="F4F4F4"/>
                      </w:tcPr>
                      <w:p>
                        <w:pPr>
                          <w:rPr>
                            <w:sz w:val="2"/>
                            <w:szCs w:val="2"/>
                          </w:rPr>
                        </w:pPr>
                      </w:p>
                    </w:tc>
                  </w:tr>
                  <w:tr>
                    <w:trPr>
                      <w:trHeight w:val="264" w:hRule="atLeast"/>
                    </w:trPr>
                    <w:tc>
                      <w:tcPr>
                        <w:tcW w:w="2863" w:type="dxa"/>
                        <w:tcBorders>
                          <w:top w:val="single" w:sz="8" w:space="0" w:color="FFFFFF"/>
                          <w:left w:val="single" w:sz="8" w:space="0" w:color="FFFFFF"/>
                          <w:bottom w:val="single" w:sz="8" w:space="0" w:color="FFFFFF"/>
                        </w:tcBorders>
                        <w:shd w:val="clear" w:color="auto" w:fill="FAF9F9"/>
                      </w:tcPr>
                      <w:p>
                        <w:pPr>
                          <w:pStyle w:val="TableParagraph"/>
                          <w:spacing w:before="35"/>
                          <w:ind w:left="113"/>
                          <w:rPr>
                            <w:sz w:val="10"/>
                          </w:rPr>
                        </w:pPr>
                        <w:r>
                          <w:rPr>
                            <w:sz w:val="16"/>
                          </w:rPr>
                          <w:t>Service appropriations</w:t>
                        </w:r>
                        <w:r>
                          <w:rPr>
                            <w:position w:val="6"/>
                            <w:sz w:val="10"/>
                          </w:rPr>
                          <w:t>(a)</w:t>
                        </w:r>
                      </w:p>
                    </w:tc>
                    <w:tc>
                      <w:tcPr>
                        <w:tcW w:w="964" w:type="dxa"/>
                        <w:shd w:val="clear" w:color="auto" w:fill="E1E4BB"/>
                      </w:tcPr>
                      <w:p>
                        <w:pPr>
                          <w:pStyle w:val="TableParagraph"/>
                          <w:spacing w:before="39"/>
                          <w:ind w:right="101"/>
                          <w:jc w:val="right"/>
                          <w:rPr>
                            <w:sz w:val="16"/>
                          </w:rPr>
                        </w:pPr>
                        <w:r>
                          <w:rPr>
                            <w:w w:val="95"/>
                            <w:sz w:val="16"/>
                          </w:rPr>
                          <w:t>167,150</w:t>
                        </w:r>
                      </w:p>
                    </w:tc>
                    <w:tc>
                      <w:tcPr>
                        <w:tcW w:w="964" w:type="dxa"/>
                        <w:tcBorders>
                          <w:top w:val="single" w:sz="8" w:space="0" w:color="FFFFFF"/>
                          <w:bottom w:val="single" w:sz="8" w:space="0" w:color="FFFFFF"/>
                        </w:tcBorders>
                        <w:shd w:val="clear" w:color="auto" w:fill="FAF9F9"/>
                      </w:tcPr>
                      <w:p>
                        <w:pPr>
                          <w:pStyle w:val="TableParagraph"/>
                          <w:spacing w:before="39"/>
                          <w:ind w:right="101"/>
                          <w:jc w:val="right"/>
                          <w:rPr>
                            <w:sz w:val="16"/>
                          </w:rPr>
                        </w:pPr>
                        <w:r>
                          <w:rPr>
                            <w:w w:val="95"/>
                            <w:sz w:val="16"/>
                          </w:rPr>
                          <w:t>188,932</w:t>
                        </w:r>
                      </w:p>
                    </w:tc>
                  </w:tr>
                  <w:tr>
                    <w:trPr>
                      <w:trHeight w:val="264" w:hRule="atLeast"/>
                    </w:trPr>
                    <w:tc>
                      <w:tcPr>
                        <w:tcW w:w="2863"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shd w:val="clear" w:color="auto" w:fill="E1E4BB"/>
                      </w:tcPr>
                      <w:p>
                        <w:pPr>
                          <w:pStyle w:val="TableParagraph"/>
                          <w:spacing w:before="0"/>
                          <w:rPr>
                            <w:rFonts w:ascii="Times New Roman"/>
                            <w:sz w:val="16"/>
                          </w:rPr>
                        </w:pPr>
                      </w:p>
                    </w:tc>
                    <w:tc>
                      <w:tcPr>
                        <w:tcW w:w="964"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r>
                  <w:tr>
                    <w:trPr>
                      <w:trHeight w:val="219" w:hRule="atLeast"/>
                    </w:trPr>
                    <w:tc>
                      <w:tcPr>
                        <w:tcW w:w="2863" w:type="dxa"/>
                        <w:tcBorders>
                          <w:top w:val="single" w:sz="8" w:space="0" w:color="FFFFFF"/>
                          <w:left w:val="single" w:sz="8" w:space="0" w:color="FFFFFF"/>
                        </w:tcBorders>
                        <w:shd w:val="clear" w:color="auto" w:fill="FAF9F9"/>
                      </w:tcPr>
                      <w:p>
                        <w:pPr>
                          <w:pStyle w:val="TableParagraph"/>
                          <w:spacing w:line="160" w:lineRule="exact" w:before="39"/>
                          <w:ind w:left="113"/>
                          <w:rPr>
                            <w:sz w:val="16"/>
                          </w:rPr>
                        </w:pPr>
                        <w:r>
                          <w:rPr>
                            <w:sz w:val="16"/>
                          </w:rPr>
                          <w:t>Services received free of charge from</w:t>
                        </w:r>
                      </w:p>
                    </w:tc>
                    <w:tc>
                      <w:tcPr>
                        <w:tcW w:w="964" w:type="dxa"/>
                        <w:shd w:val="clear" w:color="auto" w:fill="E1E4BB"/>
                      </w:tcPr>
                      <w:p>
                        <w:pPr>
                          <w:pStyle w:val="TableParagraph"/>
                          <w:spacing w:before="0"/>
                          <w:rPr>
                            <w:rFonts w:ascii="Times New Roman"/>
                            <w:sz w:val="14"/>
                          </w:rPr>
                        </w:pPr>
                      </w:p>
                    </w:tc>
                    <w:tc>
                      <w:tcPr>
                        <w:tcW w:w="964" w:type="dxa"/>
                        <w:vMerge w:val="restart"/>
                        <w:tcBorders>
                          <w:top w:val="single" w:sz="8" w:space="0" w:color="FFFFFF"/>
                          <w:bottom w:val="single" w:sz="8" w:space="0" w:color="FFFFFF"/>
                        </w:tcBorders>
                        <w:shd w:val="clear" w:color="auto" w:fill="FAF9F9"/>
                      </w:tcPr>
                      <w:p>
                        <w:pPr>
                          <w:pStyle w:val="TableParagraph"/>
                          <w:spacing w:before="0"/>
                          <w:rPr>
                            <w:rFonts w:ascii="Times New Roman"/>
                            <w:sz w:val="16"/>
                          </w:rPr>
                        </w:pPr>
                      </w:p>
                    </w:tc>
                  </w:tr>
                  <w:tr>
                    <w:trPr>
                      <w:trHeight w:val="180" w:hRule="atLeast"/>
                    </w:trPr>
                    <w:tc>
                      <w:tcPr>
                        <w:tcW w:w="2863" w:type="dxa"/>
                        <w:tcBorders>
                          <w:left w:val="single" w:sz="8" w:space="0" w:color="FFFFFF"/>
                        </w:tcBorders>
                        <w:shd w:val="clear" w:color="auto" w:fill="FAF9F9"/>
                      </w:tcPr>
                      <w:p>
                        <w:pPr>
                          <w:pStyle w:val="TableParagraph"/>
                          <w:spacing w:line="160" w:lineRule="exact" w:before="0"/>
                          <w:ind w:left="113"/>
                          <w:rPr>
                            <w:sz w:val="16"/>
                          </w:rPr>
                        </w:pPr>
                        <w:r>
                          <w:rPr>
                            <w:sz w:val="16"/>
                          </w:rPr>
                          <w:t>other State Government agencies</w:t>
                        </w:r>
                      </w:p>
                    </w:tc>
                    <w:tc>
                      <w:tcPr>
                        <w:tcW w:w="964" w:type="dxa"/>
                        <w:shd w:val="clear" w:color="auto" w:fill="E1E4BB"/>
                      </w:tcPr>
                      <w:p>
                        <w:pPr>
                          <w:pStyle w:val="TableParagraph"/>
                          <w:spacing w:before="0"/>
                          <w:rPr>
                            <w:rFonts w:ascii="Times New Roman"/>
                            <w:sz w:val="12"/>
                          </w:rPr>
                        </w:pPr>
                      </w:p>
                    </w:tc>
                    <w:tc>
                      <w:tcPr>
                        <w:tcW w:w="964" w:type="dxa"/>
                        <w:vMerge/>
                        <w:tcBorders>
                          <w:top w:val="nil"/>
                          <w:bottom w:val="single" w:sz="8" w:space="0" w:color="FFFFFF"/>
                        </w:tcBorders>
                        <w:shd w:val="clear" w:color="auto" w:fill="FAF9F9"/>
                      </w:tcPr>
                      <w:p>
                        <w:pPr>
                          <w:rPr>
                            <w:sz w:val="2"/>
                            <w:szCs w:val="2"/>
                          </w:rPr>
                        </w:pPr>
                      </w:p>
                    </w:tc>
                  </w:tr>
                  <w:tr>
                    <w:trPr>
                      <w:trHeight w:val="225" w:hRule="atLeast"/>
                    </w:trPr>
                    <w:tc>
                      <w:tcPr>
                        <w:tcW w:w="2863" w:type="dxa"/>
                        <w:tcBorders>
                          <w:left w:val="single" w:sz="8" w:space="0" w:color="FFFFFF"/>
                          <w:bottom w:val="single" w:sz="8" w:space="0" w:color="FFFFFF"/>
                        </w:tcBorders>
                        <w:shd w:val="clear" w:color="auto" w:fill="FAF9F9"/>
                      </w:tcPr>
                      <w:p>
                        <w:pPr>
                          <w:pStyle w:val="TableParagraph"/>
                          <w:spacing w:before="0"/>
                          <w:ind w:left="113"/>
                          <w:rPr>
                            <w:sz w:val="16"/>
                          </w:rPr>
                        </w:pPr>
                        <w:r>
                          <w:rPr>
                            <w:sz w:val="16"/>
                          </w:rPr>
                          <w:t>during the period:</w:t>
                        </w:r>
                      </w:p>
                    </w:tc>
                    <w:tc>
                      <w:tcPr>
                        <w:tcW w:w="964" w:type="dxa"/>
                        <w:shd w:val="clear" w:color="auto" w:fill="E1E4BB"/>
                      </w:tcPr>
                      <w:p>
                        <w:pPr>
                          <w:pStyle w:val="TableParagraph"/>
                          <w:spacing w:before="0"/>
                          <w:rPr>
                            <w:rFonts w:ascii="Times New Roman"/>
                            <w:sz w:val="16"/>
                          </w:rPr>
                        </w:pPr>
                      </w:p>
                    </w:tc>
                    <w:tc>
                      <w:tcPr>
                        <w:tcW w:w="964" w:type="dxa"/>
                        <w:vMerge/>
                        <w:tcBorders>
                          <w:top w:val="nil"/>
                          <w:bottom w:val="single" w:sz="8" w:space="0" w:color="FFFFFF"/>
                        </w:tcBorders>
                        <w:shd w:val="clear" w:color="auto" w:fill="FAF9F9"/>
                      </w:tcPr>
                      <w:p>
                        <w:pPr>
                          <w:rPr>
                            <w:sz w:val="2"/>
                            <w:szCs w:val="2"/>
                          </w:rPr>
                        </w:pPr>
                      </w:p>
                    </w:tc>
                  </w:tr>
                  <w:tr>
                    <w:trPr>
                      <w:trHeight w:val="264" w:hRule="atLeast"/>
                    </w:trPr>
                    <w:tc>
                      <w:tcPr>
                        <w:tcW w:w="2863" w:type="dxa"/>
                        <w:tcBorders>
                          <w:top w:val="single" w:sz="8" w:space="0" w:color="FFFFFF"/>
                          <w:left w:val="single" w:sz="8" w:space="0" w:color="FFFFFF"/>
                          <w:bottom w:val="single" w:sz="8" w:space="0" w:color="FFFFFF"/>
                        </w:tcBorders>
                        <w:shd w:val="clear" w:color="auto" w:fill="F4F4F4"/>
                      </w:tcPr>
                      <w:p>
                        <w:pPr>
                          <w:pStyle w:val="TableParagraph"/>
                          <w:spacing w:before="39"/>
                          <w:ind w:left="113"/>
                          <w:rPr>
                            <w:sz w:val="16"/>
                          </w:rPr>
                        </w:pPr>
                        <w:r>
                          <w:rPr>
                            <w:sz w:val="16"/>
                          </w:rPr>
                          <w:t>Department of the Attorney General</w:t>
                        </w:r>
                      </w:p>
                    </w:tc>
                    <w:tc>
                      <w:tcPr>
                        <w:tcW w:w="964" w:type="dxa"/>
                        <w:shd w:val="clear" w:color="auto" w:fill="E1E4BB"/>
                      </w:tcPr>
                      <w:p>
                        <w:pPr>
                          <w:pStyle w:val="TableParagraph"/>
                          <w:spacing w:before="39"/>
                          <w:ind w:right="101"/>
                          <w:jc w:val="right"/>
                          <w:rPr>
                            <w:sz w:val="16"/>
                          </w:rPr>
                        </w:pPr>
                        <w:r>
                          <w:rPr>
                            <w:w w:val="95"/>
                            <w:sz w:val="16"/>
                          </w:rPr>
                          <w:t>1,580</w:t>
                        </w:r>
                      </w:p>
                    </w:tc>
                    <w:tc>
                      <w:tcPr>
                        <w:tcW w:w="964" w:type="dxa"/>
                        <w:tcBorders>
                          <w:top w:val="single" w:sz="8" w:space="0" w:color="FFFFFF"/>
                          <w:bottom w:val="single" w:sz="8" w:space="0" w:color="FFFFFF"/>
                        </w:tcBorders>
                        <w:shd w:val="clear" w:color="auto" w:fill="FAF9F9"/>
                      </w:tcPr>
                      <w:p>
                        <w:pPr>
                          <w:pStyle w:val="TableParagraph"/>
                          <w:spacing w:before="39"/>
                          <w:ind w:right="101"/>
                          <w:jc w:val="right"/>
                          <w:rPr>
                            <w:sz w:val="16"/>
                          </w:rPr>
                        </w:pPr>
                        <w:r>
                          <w:rPr>
                            <w:w w:val="95"/>
                            <w:sz w:val="16"/>
                          </w:rPr>
                          <w:t>2,171</w:t>
                        </w:r>
                      </w:p>
                    </w:tc>
                  </w:tr>
                  <w:tr>
                    <w:trPr>
                      <w:trHeight w:val="264" w:hRule="atLeast"/>
                    </w:trPr>
                    <w:tc>
                      <w:tcPr>
                        <w:tcW w:w="2863" w:type="dxa"/>
                        <w:tcBorders>
                          <w:top w:val="single" w:sz="8" w:space="0" w:color="FFFFFF"/>
                          <w:left w:val="single" w:sz="8" w:space="0" w:color="FFFFFF"/>
                          <w:bottom w:val="single" w:sz="8" w:space="0" w:color="FFFFFF"/>
                        </w:tcBorders>
                        <w:shd w:val="clear" w:color="auto" w:fill="FAF9F9"/>
                      </w:tcPr>
                      <w:p>
                        <w:pPr>
                          <w:pStyle w:val="TableParagraph"/>
                          <w:spacing w:before="39"/>
                          <w:ind w:left="113"/>
                          <w:rPr>
                            <w:sz w:val="16"/>
                          </w:rPr>
                        </w:pPr>
                        <w:r>
                          <w:rPr>
                            <w:sz w:val="16"/>
                          </w:rPr>
                          <w:t>Landgate</w:t>
                        </w:r>
                      </w:p>
                    </w:tc>
                    <w:tc>
                      <w:tcPr>
                        <w:tcW w:w="964" w:type="dxa"/>
                        <w:shd w:val="clear" w:color="auto" w:fill="E1E4BB"/>
                      </w:tcPr>
                      <w:p>
                        <w:pPr>
                          <w:pStyle w:val="TableParagraph"/>
                          <w:spacing w:before="39"/>
                          <w:ind w:right="101"/>
                          <w:jc w:val="right"/>
                          <w:rPr>
                            <w:sz w:val="16"/>
                          </w:rPr>
                        </w:pPr>
                        <w:r>
                          <w:rPr>
                            <w:w w:val="95"/>
                            <w:sz w:val="16"/>
                          </w:rPr>
                          <w:t>11,539</w:t>
                        </w:r>
                      </w:p>
                    </w:tc>
                    <w:tc>
                      <w:tcPr>
                        <w:tcW w:w="964" w:type="dxa"/>
                        <w:tcBorders>
                          <w:top w:val="single" w:sz="8" w:space="0" w:color="FFFFFF"/>
                          <w:bottom w:val="single" w:sz="8" w:space="0" w:color="FFFFFF"/>
                        </w:tcBorders>
                        <w:shd w:val="clear" w:color="auto" w:fill="FAF9F9"/>
                      </w:tcPr>
                      <w:p>
                        <w:pPr>
                          <w:pStyle w:val="TableParagraph"/>
                          <w:spacing w:before="39"/>
                          <w:ind w:right="101"/>
                          <w:jc w:val="right"/>
                          <w:rPr>
                            <w:sz w:val="16"/>
                          </w:rPr>
                        </w:pPr>
                        <w:r>
                          <w:rPr>
                            <w:w w:val="95"/>
                            <w:sz w:val="16"/>
                          </w:rPr>
                          <w:t>11,963</w:t>
                        </w:r>
                      </w:p>
                    </w:tc>
                  </w:tr>
                  <w:tr>
                    <w:trPr>
                      <w:trHeight w:val="264" w:hRule="atLeast"/>
                    </w:trPr>
                    <w:tc>
                      <w:tcPr>
                        <w:tcW w:w="2863" w:type="dxa"/>
                        <w:tcBorders>
                          <w:top w:val="single" w:sz="8" w:space="0" w:color="FFFFFF"/>
                          <w:left w:val="single" w:sz="8" w:space="0" w:color="FFFFFF"/>
                          <w:bottom w:val="single" w:sz="8" w:space="0" w:color="FFFFFF"/>
                        </w:tcBorders>
                        <w:shd w:val="clear" w:color="auto" w:fill="F4F4F4"/>
                      </w:tcPr>
                      <w:p>
                        <w:pPr>
                          <w:pStyle w:val="TableParagraph"/>
                          <w:spacing w:before="39"/>
                          <w:ind w:left="113"/>
                          <w:rPr>
                            <w:sz w:val="16"/>
                          </w:rPr>
                        </w:pPr>
                        <w:r>
                          <w:rPr>
                            <w:sz w:val="16"/>
                          </w:rPr>
                          <w:t>Department of Treasury</w:t>
                        </w:r>
                      </w:p>
                    </w:tc>
                    <w:tc>
                      <w:tcPr>
                        <w:tcW w:w="964" w:type="dxa"/>
                        <w:shd w:val="clear" w:color="auto" w:fill="E1E4BB"/>
                      </w:tcPr>
                      <w:p>
                        <w:pPr>
                          <w:pStyle w:val="TableParagraph"/>
                          <w:spacing w:before="39"/>
                          <w:ind w:right="101"/>
                          <w:jc w:val="right"/>
                          <w:rPr>
                            <w:sz w:val="16"/>
                          </w:rPr>
                        </w:pPr>
                        <w:r>
                          <w:rPr>
                            <w:w w:val="95"/>
                            <w:sz w:val="16"/>
                          </w:rPr>
                          <w:t>140</w:t>
                        </w:r>
                      </w:p>
                    </w:tc>
                    <w:tc>
                      <w:tcPr>
                        <w:tcW w:w="964" w:type="dxa"/>
                        <w:tcBorders>
                          <w:top w:val="single" w:sz="8" w:space="0" w:color="FFFFFF"/>
                          <w:bottom w:val="single" w:sz="8" w:space="0" w:color="FFFFFF"/>
                        </w:tcBorders>
                        <w:shd w:val="clear" w:color="auto" w:fill="F4F4F4"/>
                      </w:tcPr>
                      <w:p>
                        <w:pPr>
                          <w:pStyle w:val="TableParagraph"/>
                          <w:spacing w:before="39"/>
                          <w:ind w:right="101"/>
                          <w:jc w:val="right"/>
                          <w:rPr>
                            <w:sz w:val="16"/>
                          </w:rPr>
                        </w:pPr>
                        <w:r>
                          <w:rPr>
                            <w:w w:val="95"/>
                            <w:sz w:val="16"/>
                          </w:rPr>
                          <w:t>298</w:t>
                        </w:r>
                      </w:p>
                    </w:tc>
                  </w:tr>
                  <w:tr>
                    <w:trPr>
                      <w:trHeight w:val="229" w:hRule="atLeast"/>
                    </w:trPr>
                    <w:tc>
                      <w:tcPr>
                        <w:tcW w:w="2863" w:type="dxa"/>
                        <w:tcBorders>
                          <w:top w:val="single" w:sz="8" w:space="0" w:color="FFFFFF"/>
                          <w:left w:val="single" w:sz="8" w:space="0" w:color="FFFFFF"/>
                        </w:tcBorders>
                        <w:shd w:val="clear" w:color="auto" w:fill="FAF9F9"/>
                      </w:tcPr>
                      <w:p>
                        <w:pPr>
                          <w:pStyle w:val="TableParagraph"/>
                          <w:spacing w:line="170" w:lineRule="exact" w:before="39"/>
                          <w:ind w:left="113"/>
                          <w:rPr>
                            <w:sz w:val="16"/>
                          </w:rPr>
                        </w:pPr>
                        <w:r>
                          <w:rPr>
                            <w:sz w:val="16"/>
                          </w:rPr>
                          <w:t>Department of the Premier and</w:t>
                        </w:r>
                      </w:p>
                    </w:tc>
                    <w:tc>
                      <w:tcPr>
                        <w:tcW w:w="964" w:type="dxa"/>
                        <w:shd w:val="clear" w:color="auto" w:fill="E1E4BB"/>
                      </w:tcPr>
                      <w:p>
                        <w:pPr>
                          <w:pStyle w:val="TableParagraph"/>
                          <w:spacing w:line="170" w:lineRule="exact" w:before="39"/>
                          <w:ind w:right="101"/>
                          <w:jc w:val="right"/>
                          <w:rPr>
                            <w:sz w:val="16"/>
                          </w:rPr>
                        </w:pPr>
                        <w:r>
                          <w:rPr>
                            <w:w w:val="95"/>
                            <w:sz w:val="16"/>
                          </w:rPr>
                          <w:t>44</w:t>
                        </w:r>
                      </w:p>
                    </w:tc>
                    <w:tc>
                      <w:tcPr>
                        <w:tcW w:w="964" w:type="dxa"/>
                        <w:tcBorders>
                          <w:top w:val="single" w:sz="8" w:space="0" w:color="FFFFFF"/>
                        </w:tcBorders>
                        <w:shd w:val="clear" w:color="auto" w:fill="FAF9F9"/>
                      </w:tcPr>
                      <w:p>
                        <w:pPr>
                          <w:pStyle w:val="TableParagraph"/>
                          <w:spacing w:line="170" w:lineRule="exact" w:before="39"/>
                          <w:ind w:right="101"/>
                          <w:jc w:val="right"/>
                          <w:rPr>
                            <w:sz w:val="16"/>
                          </w:rPr>
                        </w:pPr>
                        <w:r>
                          <w:rPr>
                            <w:w w:val="95"/>
                            <w:sz w:val="16"/>
                          </w:rPr>
                          <w:t>67</w:t>
                        </w:r>
                      </w:p>
                    </w:tc>
                  </w:tr>
                  <w:tr>
                    <w:trPr>
                      <w:trHeight w:val="235" w:hRule="atLeast"/>
                    </w:trPr>
                    <w:tc>
                      <w:tcPr>
                        <w:tcW w:w="2863" w:type="dxa"/>
                        <w:tcBorders>
                          <w:left w:val="single" w:sz="8" w:space="0" w:color="FFFFFF"/>
                          <w:bottom w:val="single" w:sz="8" w:space="0" w:color="FFFFFF"/>
                        </w:tcBorders>
                        <w:shd w:val="clear" w:color="auto" w:fill="FAF9F9"/>
                      </w:tcPr>
                      <w:p>
                        <w:pPr>
                          <w:pStyle w:val="TableParagraph"/>
                          <w:spacing w:before="10"/>
                          <w:ind w:left="113"/>
                          <w:rPr>
                            <w:sz w:val="16"/>
                          </w:rPr>
                        </w:pPr>
                        <w:r>
                          <w:rPr>
                            <w:sz w:val="16"/>
                          </w:rPr>
                          <w:t>Cabinet</w:t>
                        </w:r>
                      </w:p>
                    </w:tc>
                    <w:tc>
                      <w:tcPr>
                        <w:tcW w:w="964" w:type="dxa"/>
                        <w:shd w:val="clear" w:color="auto" w:fill="E1E4BB"/>
                      </w:tcPr>
                      <w:p>
                        <w:pPr>
                          <w:pStyle w:val="TableParagraph"/>
                          <w:spacing w:before="0"/>
                          <w:rPr>
                            <w:rFonts w:ascii="Times New Roman"/>
                            <w:sz w:val="16"/>
                          </w:rPr>
                        </w:pPr>
                      </w:p>
                    </w:tc>
                    <w:tc>
                      <w:tcPr>
                        <w:tcW w:w="964" w:type="dxa"/>
                        <w:tcBorders>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left w:val="single" w:sz="8" w:space="0" w:color="FFFFFF"/>
                          <w:bottom w:val="single" w:sz="8" w:space="0" w:color="FFFFFF"/>
                        </w:tcBorders>
                        <w:shd w:val="clear" w:color="auto" w:fill="F4F4F4"/>
                      </w:tcPr>
                      <w:p>
                        <w:pPr>
                          <w:pStyle w:val="TableParagraph"/>
                          <w:spacing w:before="39"/>
                          <w:ind w:left="113"/>
                          <w:rPr>
                            <w:sz w:val="16"/>
                          </w:rPr>
                        </w:pPr>
                        <w:r>
                          <w:rPr>
                            <w:sz w:val="16"/>
                          </w:rPr>
                          <w:t>Department of Water</w:t>
                        </w:r>
                      </w:p>
                    </w:tc>
                    <w:tc>
                      <w:tcPr>
                        <w:tcW w:w="964" w:type="dxa"/>
                        <w:tcBorders>
                          <w:bottom w:val="single" w:sz="4" w:space="0" w:color="000000"/>
                        </w:tcBorders>
                        <w:shd w:val="clear" w:color="auto" w:fill="E1E4BB"/>
                      </w:tcPr>
                      <w:p>
                        <w:pPr>
                          <w:pStyle w:val="TableParagraph"/>
                          <w:spacing w:before="39"/>
                          <w:ind w:right="101"/>
                          <w:jc w:val="right"/>
                          <w:rPr>
                            <w:sz w:val="16"/>
                          </w:rPr>
                        </w:pPr>
                        <w:r>
                          <w:rPr>
                            <w:w w:val="111"/>
                            <w:sz w:val="16"/>
                          </w:rPr>
                          <w:t>-</w:t>
                        </w:r>
                      </w:p>
                    </w:tc>
                    <w:tc>
                      <w:tcPr>
                        <w:tcW w:w="964" w:type="dxa"/>
                        <w:tcBorders>
                          <w:top w:val="single" w:sz="8" w:space="0" w:color="FFFFFF"/>
                          <w:bottom w:val="single" w:sz="4" w:space="0" w:color="000000"/>
                        </w:tcBorders>
                        <w:shd w:val="clear" w:color="auto" w:fill="F4F4F4"/>
                      </w:tcPr>
                      <w:p>
                        <w:pPr>
                          <w:pStyle w:val="TableParagraph"/>
                          <w:spacing w:before="39"/>
                          <w:ind w:right="101"/>
                          <w:jc w:val="right"/>
                          <w:rPr>
                            <w:sz w:val="16"/>
                          </w:rPr>
                        </w:pPr>
                        <w:r>
                          <w:rPr>
                            <w:w w:val="95"/>
                            <w:sz w:val="16"/>
                          </w:rPr>
                          <w:t>19</w:t>
                        </w:r>
                      </w:p>
                    </w:tc>
                  </w:tr>
                  <w:tr>
                    <w:trPr>
                      <w:trHeight w:val="264" w:hRule="atLeast"/>
                    </w:trPr>
                    <w:tc>
                      <w:tcPr>
                        <w:tcW w:w="2863"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01"/>
                          <w:jc w:val="right"/>
                          <w:rPr>
                            <w:sz w:val="16"/>
                          </w:rPr>
                        </w:pPr>
                        <w:r>
                          <w:rPr>
                            <w:w w:val="95"/>
                            <w:sz w:val="16"/>
                          </w:rPr>
                          <w:t>13,303</w:t>
                        </w:r>
                      </w:p>
                    </w:tc>
                    <w:tc>
                      <w:tcPr>
                        <w:tcW w:w="964" w:type="dxa"/>
                        <w:tcBorders>
                          <w:top w:val="single" w:sz="4" w:space="0" w:color="000000"/>
                          <w:bottom w:val="single" w:sz="4" w:space="0" w:color="000000"/>
                        </w:tcBorders>
                        <w:shd w:val="clear" w:color="auto" w:fill="FAF9F9"/>
                      </w:tcPr>
                      <w:p>
                        <w:pPr>
                          <w:pStyle w:val="TableParagraph"/>
                          <w:spacing w:before="39"/>
                          <w:ind w:right="101"/>
                          <w:jc w:val="right"/>
                          <w:rPr>
                            <w:sz w:val="16"/>
                          </w:rPr>
                        </w:pPr>
                        <w:r>
                          <w:rPr>
                            <w:w w:val="95"/>
                            <w:sz w:val="16"/>
                          </w:rPr>
                          <w:t>14,518</w:t>
                        </w:r>
                      </w:p>
                    </w:tc>
                  </w:tr>
                  <w:tr>
                    <w:trPr>
                      <w:trHeight w:val="264" w:hRule="atLeast"/>
                    </w:trPr>
                    <w:tc>
                      <w:tcPr>
                        <w:tcW w:w="2863" w:type="dxa"/>
                        <w:tcBorders>
                          <w:top w:val="single" w:sz="8" w:space="0" w:color="FFFFFF"/>
                          <w:left w:val="single" w:sz="8" w:space="0" w:color="FFFFFF"/>
                          <w:bottom w:val="single" w:sz="8" w:space="0" w:color="FFFFFF"/>
                        </w:tcBorders>
                        <w:shd w:val="clear" w:color="auto" w:fill="F4F4F4"/>
                      </w:tcPr>
                      <w:p>
                        <w:pPr>
                          <w:pStyle w:val="TableParagraph"/>
                          <w:spacing w:before="39"/>
                          <w:ind w:left="113"/>
                          <w:rPr>
                            <w:sz w:val="16"/>
                          </w:rPr>
                        </w:pPr>
                        <w:r>
                          <w:rPr>
                            <w:sz w:val="16"/>
                          </w:rPr>
                          <w:t>Royalties for Regions Fund:</w:t>
                        </w: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116"/>
                          <w:ind w:left="593"/>
                          <w:rPr>
                            <w:sz w:val="16"/>
                          </w:rPr>
                        </w:pPr>
                        <w:r>
                          <w:rPr>
                            <w:sz w:val="16"/>
                          </w:rPr>
                          <w:t>125</w:t>
                        </w:r>
                      </w:p>
                    </w:tc>
                    <w:tc>
                      <w:tcPr>
                        <w:tcW w:w="96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464" w:hRule="atLeast"/>
                    </w:trPr>
                    <w:tc>
                      <w:tcPr>
                        <w:tcW w:w="2863" w:type="dxa"/>
                        <w:tcBorders>
                          <w:top w:val="single" w:sz="8" w:space="0" w:color="FFFFFF"/>
                          <w:left w:val="single" w:sz="8" w:space="0" w:color="FFFFFF"/>
                          <w:bottom w:val="single" w:sz="8" w:space="0" w:color="FFFFFF"/>
                        </w:tcBorders>
                        <w:shd w:val="clear" w:color="auto" w:fill="FAF9F9"/>
                      </w:tcPr>
                      <w:p>
                        <w:pPr>
                          <w:pStyle w:val="TableParagraph"/>
                          <w:spacing w:line="256" w:lineRule="auto" w:before="39"/>
                          <w:ind w:left="113" w:right="886"/>
                          <w:rPr>
                            <w:sz w:val="10"/>
                          </w:rPr>
                        </w:pPr>
                        <w:r>
                          <w:rPr>
                            <w:w w:val="95"/>
                            <w:sz w:val="16"/>
                          </w:rPr>
                          <w:t>Regional Infrastructure and </w:t>
                        </w:r>
                        <w:r>
                          <w:rPr>
                            <w:sz w:val="16"/>
                          </w:rPr>
                          <w:t>Headworks Account</w:t>
                        </w:r>
                        <w:r>
                          <w:rPr>
                            <w:position w:val="6"/>
                            <w:sz w:val="10"/>
                          </w:rPr>
                          <w:t>(b)</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01"/>
                          <w:jc w:val="right"/>
                          <w:rPr>
                            <w:sz w:val="16"/>
                          </w:rPr>
                        </w:pPr>
                        <w:r>
                          <w:rPr>
                            <w:w w:val="95"/>
                            <w:sz w:val="16"/>
                          </w:rPr>
                          <w:t>127</w:t>
                        </w:r>
                      </w:p>
                    </w:tc>
                  </w:tr>
                  <w:tr>
                    <w:trPr>
                      <w:trHeight w:val="264" w:hRule="atLeast"/>
                    </w:trPr>
                    <w:tc>
                      <w:tcPr>
                        <w:tcW w:w="2863"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01"/>
                          <w:jc w:val="right"/>
                          <w:rPr>
                            <w:sz w:val="16"/>
                          </w:rPr>
                        </w:pPr>
                        <w:r>
                          <w:rPr>
                            <w:w w:val="95"/>
                            <w:sz w:val="16"/>
                          </w:rPr>
                          <w:t>125</w:t>
                        </w:r>
                      </w:p>
                    </w:tc>
                    <w:tc>
                      <w:tcPr>
                        <w:tcW w:w="964" w:type="dxa"/>
                        <w:tcBorders>
                          <w:top w:val="single" w:sz="4" w:space="0" w:color="000000"/>
                          <w:bottom w:val="single" w:sz="4" w:space="0" w:color="000000"/>
                        </w:tcBorders>
                        <w:shd w:val="clear" w:color="auto" w:fill="F4F4F4"/>
                      </w:tcPr>
                      <w:p>
                        <w:pPr>
                          <w:pStyle w:val="TableParagraph"/>
                          <w:spacing w:before="39"/>
                          <w:ind w:right="101"/>
                          <w:jc w:val="right"/>
                          <w:rPr>
                            <w:sz w:val="16"/>
                          </w:rPr>
                        </w:pPr>
                        <w:r>
                          <w:rPr>
                            <w:w w:val="95"/>
                            <w:sz w:val="16"/>
                          </w:rPr>
                          <w:t>127</w:t>
                        </w:r>
                      </w:p>
                    </w:tc>
                  </w:tr>
                  <w:tr>
                    <w:trPr>
                      <w:trHeight w:val="234" w:hRule="atLeast"/>
                    </w:trPr>
                    <w:tc>
                      <w:tcPr>
                        <w:tcW w:w="2863"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E1E4BB"/>
                      </w:tcPr>
                      <w:p>
                        <w:pPr>
                          <w:pStyle w:val="TableParagraph"/>
                          <w:spacing w:line="175" w:lineRule="exact" w:before="39"/>
                          <w:ind w:right="101"/>
                          <w:jc w:val="right"/>
                          <w:rPr>
                            <w:b/>
                            <w:sz w:val="16"/>
                          </w:rPr>
                        </w:pPr>
                        <w:r>
                          <w:rPr>
                            <w:b/>
                            <w:w w:val="95"/>
                            <w:sz w:val="16"/>
                          </w:rPr>
                          <w:t>180,578</w:t>
                        </w:r>
                      </w:p>
                    </w:tc>
                    <w:tc>
                      <w:tcPr>
                        <w:tcW w:w="964" w:type="dxa"/>
                        <w:tcBorders>
                          <w:top w:val="single" w:sz="4" w:space="0" w:color="000000"/>
                          <w:bottom w:val="single" w:sz="24" w:space="0" w:color="FFFFFF"/>
                        </w:tcBorders>
                        <w:shd w:val="clear" w:color="auto" w:fill="FAF9F9"/>
                      </w:tcPr>
                      <w:p>
                        <w:pPr>
                          <w:pStyle w:val="TableParagraph"/>
                          <w:spacing w:line="175" w:lineRule="exact" w:before="39"/>
                          <w:ind w:right="101"/>
                          <w:jc w:val="right"/>
                          <w:rPr>
                            <w:b/>
                            <w:sz w:val="16"/>
                          </w:rPr>
                        </w:pPr>
                        <w:r>
                          <w:rPr>
                            <w:b/>
                            <w:w w:val="95"/>
                            <w:sz w:val="16"/>
                          </w:rPr>
                          <w:t>203,577</w:t>
                        </w:r>
                      </w:p>
                    </w:tc>
                  </w:tr>
                </w:tbl>
                <w:p>
                  <w:pPr>
                    <w:pStyle w:val="BodyText"/>
                  </w:pPr>
                </w:p>
              </w:txbxContent>
            </v:textbox>
            <w10:wrap type="none"/>
          </v:shape>
        </w:pict>
      </w:r>
      <w:bookmarkStart w:name="_bookmark37" w:id="38"/>
      <w:bookmarkEnd w:id="38"/>
      <w:r>
        <w:rPr/>
      </w:r>
      <w:r>
        <w:rPr>
          <w:color w:val="6F2770"/>
          <w:sz w:val="32"/>
        </w:rPr>
        <w:t>Note 17. Income from State Government</w:t>
      </w:r>
    </w:p>
    <w:p>
      <w:pPr>
        <w:spacing w:after="0" w:line="235" w:lineRule="auto"/>
        <w:jc w:val="left"/>
        <w:rPr>
          <w:sz w:val="32"/>
        </w:rPr>
        <w:sectPr>
          <w:type w:val="continuous"/>
          <w:pgSz w:w="16840" w:h="11910" w:orient="landscape"/>
          <w:pgMar w:top="0" w:bottom="0" w:left="0" w:right="0"/>
          <w:cols w:num="2" w:equalWidth="0">
            <w:col w:w="10462" w:space="40"/>
            <w:col w:w="6338"/>
          </w:cols>
        </w:sectPr>
      </w:pPr>
    </w:p>
    <w:p>
      <w:pPr>
        <w:pStyle w:val="BodyText"/>
        <w:spacing w:before="8"/>
        <w:rPr>
          <w:sz w:val="2"/>
        </w:rPr>
      </w:pPr>
    </w:p>
    <w:tbl>
      <w:tblPr>
        <w:tblW w:w="0" w:type="auto"/>
        <w:jc w:val="left"/>
        <w:tblInd w:w="6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2017</w:t>
              <w:tab/>
            </w:r>
            <w:r>
              <w:rPr>
                <w:b/>
                <w:color w:val="FFFFFF"/>
                <w:w w:val="95"/>
                <w:sz w:val="16"/>
              </w:rPr>
              <w:t>2016</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474" w:hRule="atLeast"/>
        </w:trPr>
        <w:tc>
          <w:tcPr>
            <w:tcW w:w="2863" w:type="dxa"/>
            <w:tcBorders>
              <w:bottom w:val="single" w:sz="8" w:space="0" w:color="FFFFFF"/>
            </w:tcBorders>
            <w:shd w:val="clear" w:color="auto" w:fill="F4F4F4"/>
          </w:tcPr>
          <w:p>
            <w:pPr>
              <w:pStyle w:val="TableParagraph"/>
              <w:spacing w:before="49"/>
              <w:ind w:left="113"/>
              <w:rPr>
                <w:b/>
                <w:sz w:val="16"/>
              </w:rPr>
            </w:pPr>
            <w:r>
              <w:rPr>
                <w:b/>
                <w:sz w:val="16"/>
              </w:rPr>
              <w:t>Gain on disposal</w:t>
            </w:r>
          </w:p>
          <w:p>
            <w:pPr>
              <w:pStyle w:val="TableParagraph"/>
              <w:spacing w:before="16"/>
              <w:ind w:left="113"/>
              <w:rPr>
                <w:b/>
                <w:sz w:val="16"/>
              </w:rPr>
            </w:pPr>
            <w:r>
              <w:rPr>
                <w:b/>
                <w:sz w:val="16"/>
              </w:rPr>
              <w:t>of non-current assets</w:t>
            </w:r>
          </w:p>
        </w:tc>
        <w:tc>
          <w:tcPr>
            <w:tcW w:w="964" w:type="dxa"/>
            <w:vMerge w:val="restart"/>
            <w:tcBorders>
              <w:bottom w:val="single" w:sz="4" w:space="0" w:color="000000"/>
            </w:tcBorders>
            <w:shd w:val="clear" w:color="auto" w:fill="E1E4BB"/>
          </w:tcPr>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5"/>
              <w:rPr>
                <w:sz w:val="16"/>
              </w:rPr>
            </w:pPr>
          </w:p>
          <w:p>
            <w:pPr>
              <w:pStyle w:val="TableParagraph"/>
              <w:spacing w:before="1"/>
              <w:ind w:left="361"/>
              <w:rPr>
                <w:sz w:val="16"/>
              </w:rPr>
            </w:pPr>
            <w:r>
              <w:rPr>
                <w:sz w:val="16"/>
              </w:rPr>
              <w:t>71,581</w:t>
            </w:r>
          </w:p>
        </w:tc>
        <w:tc>
          <w:tcPr>
            <w:tcW w:w="964" w:type="dxa"/>
            <w:tcBorders>
              <w:bottom w:val="single" w:sz="8" w:space="0" w:color="FFFFFF"/>
            </w:tcBorders>
            <w:shd w:val="clear" w:color="auto" w:fill="F4F4F4"/>
          </w:tcPr>
          <w:p>
            <w:pPr>
              <w:pStyle w:val="TableParagraph"/>
              <w:spacing w:before="0"/>
              <w:rPr>
                <w:rFonts w:ascii="Times New Roman"/>
                <w:sz w:val="16"/>
              </w:rPr>
            </w:pPr>
          </w:p>
        </w:tc>
      </w:tr>
      <w:tr>
        <w:trPr>
          <w:trHeight w:val="464" w:hRule="atLeast"/>
        </w:trPr>
        <w:tc>
          <w:tcPr>
            <w:tcW w:w="2863" w:type="dxa"/>
            <w:tcBorders>
              <w:top w:val="single" w:sz="8" w:space="0" w:color="FFFFFF"/>
              <w:bottom w:val="single" w:sz="8" w:space="0" w:color="FFFFFF"/>
            </w:tcBorders>
            <w:shd w:val="clear" w:color="auto" w:fill="FAF9F9"/>
          </w:tcPr>
          <w:p>
            <w:pPr>
              <w:pStyle w:val="TableParagraph"/>
              <w:spacing w:line="261" w:lineRule="auto" w:before="39"/>
              <w:ind w:left="113" w:right="688"/>
              <w:rPr>
                <w:i/>
                <w:sz w:val="16"/>
              </w:rPr>
            </w:pPr>
            <w:r>
              <w:rPr>
                <w:i/>
                <w:color w:val="A7BE39"/>
                <w:sz w:val="16"/>
              </w:rPr>
              <w:t>Net proceeds from disposal </w:t>
            </w:r>
            <w:r>
              <w:rPr>
                <w:i/>
                <w:color w:val="A7BE39"/>
                <w:sz w:val="16"/>
              </w:rPr>
              <w:t>of non-current assets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Motor vehicles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40,212</w:t>
            </w:r>
          </w:p>
        </w:tc>
      </w:tr>
      <w:tr>
        <w:trPr>
          <w:trHeight w:val="4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i/>
                <w:sz w:val="16"/>
              </w:rPr>
            </w:pPr>
            <w:r>
              <w:rPr>
                <w:i/>
                <w:color w:val="A7BE39"/>
                <w:sz w:val="16"/>
              </w:rPr>
              <w:t>Carrying amount</w:t>
            </w:r>
          </w:p>
          <w:p>
            <w:pPr>
              <w:pStyle w:val="TableParagraph"/>
              <w:spacing w:before="16"/>
              <w:ind w:left="113"/>
              <w:rPr>
                <w:i/>
                <w:sz w:val="16"/>
              </w:rPr>
            </w:pPr>
            <w:r>
              <w:rPr>
                <w:i/>
                <w:color w:val="A7BE39"/>
                <w:sz w:val="16"/>
              </w:rPr>
              <w:t>of non-current assets disposed</w:t>
            </w: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0"/>
              <w:rPr>
                <w:sz w:val="18"/>
              </w:rPr>
            </w:pPr>
          </w:p>
          <w:p>
            <w:pPr>
              <w:pStyle w:val="TableParagraph"/>
              <w:spacing w:before="109"/>
              <w:ind w:left="361"/>
              <w:rPr>
                <w:sz w:val="16"/>
              </w:rPr>
            </w:pPr>
            <w:r>
              <w:rPr>
                <w:sz w:val="16"/>
              </w:rPr>
              <w:t>70,950</w:t>
            </w:r>
          </w:p>
        </w:tc>
        <w:tc>
          <w:tcPr>
            <w:tcW w:w="964" w:type="dxa"/>
            <w:tcBorders>
              <w:top w:val="single" w:sz="4" w:space="0" w:color="000000"/>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Motor vehicles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39,546</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b/>
                <w:sz w:val="16"/>
              </w:rPr>
            </w:pPr>
            <w:r>
              <w:rPr>
                <w:b/>
                <w:w w:val="95"/>
                <w:sz w:val="16"/>
              </w:rPr>
              <w:t>631</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b/>
                <w:sz w:val="16"/>
              </w:rPr>
            </w:pPr>
            <w:r>
              <w:rPr>
                <w:b/>
                <w:w w:val="95"/>
                <w:sz w:val="16"/>
              </w:rPr>
              <w:t>666</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4"/>
              <w:rPr>
                <w:sz w:val="22"/>
              </w:rPr>
            </w:pPr>
          </w:p>
          <w:p>
            <w:pPr>
              <w:pStyle w:val="TableParagraph"/>
              <w:spacing w:before="0"/>
              <w:ind w:right="111"/>
              <w:jc w:val="right"/>
              <w:rPr>
                <w:sz w:val="16"/>
              </w:rPr>
            </w:pPr>
            <w:r>
              <w:rPr>
                <w:w w:val="95"/>
                <w:sz w:val="16"/>
              </w:rPr>
              <w:t>10</w:t>
            </w:r>
          </w:p>
        </w:tc>
        <w:tc>
          <w:tcPr>
            <w:tcW w:w="96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4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b/>
                <w:sz w:val="16"/>
              </w:rPr>
            </w:pPr>
            <w:r>
              <w:rPr>
                <w:b/>
                <w:sz w:val="16"/>
              </w:rPr>
              <w:t>Loss on disposal</w:t>
            </w:r>
          </w:p>
          <w:p>
            <w:pPr>
              <w:pStyle w:val="TableParagraph"/>
              <w:spacing w:before="16"/>
              <w:ind w:left="113"/>
              <w:rPr>
                <w:b/>
                <w:sz w:val="16"/>
              </w:rPr>
            </w:pPr>
            <w:r>
              <w:rPr>
                <w:b/>
                <w:sz w:val="16"/>
              </w:rPr>
              <w:t>of non-current assets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r>
      <w:tr>
        <w:trPr>
          <w:trHeight w:val="464" w:hRule="atLeast"/>
        </w:trPr>
        <w:tc>
          <w:tcPr>
            <w:tcW w:w="2863" w:type="dxa"/>
            <w:tcBorders>
              <w:top w:val="single" w:sz="8" w:space="0" w:color="FFFFFF"/>
              <w:bottom w:val="single" w:sz="8" w:space="0" w:color="FFFFFF"/>
            </w:tcBorders>
            <w:shd w:val="clear" w:color="auto" w:fill="F4F4F4"/>
          </w:tcPr>
          <w:p>
            <w:pPr>
              <w:pStyle w:val="TableParagraph"/>
              <w:spacing w:line="261" w:lineRule="auto" w:before="39"/>
              <w:ind w:left="113" w:right="506"/>
              <w:rPr>
                <w:i/>
                <w:sz w:val="16"/>
              </w:rPr>
            </w:pPr>
            <w:r>
              <w:rPr>
                <w:i/>
                <w:color w:val="A7BE39"/>
                <w:sz w:val="16"/>
              </w:rPr>
              <w:t>Carrying amount of non-current </w:t>
            </w:r>
            <w:r>
              <w:rPr>
                <w:i/>
                <w:color w:val="A7BE39"/>
                <w:sz w:val="16"/>
              </w:rPr>
              <w:t>assets disposed</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Office Equipments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9"/>
                <w:sz w:val="16"/>
              </w:rPr>
              <w:t>1</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b/>
                <w:sz w:val="16"/>
              </w:rPr>
            </w:pPr>
            <w:r>
              <w:rPr>
                <w:b/>
                <w:w w:val="95"/>
                <w:sz w:val="16"/>
              </w:rPr>
              <w:t>10</w:t>
            </w:r>
          </w:p>
        </w:tc>
        <w:tc>
          <w:tcPr>
            <w:tcW w:w="964" w:type="dxa"/>
            <w:tcBorders>
              <w:top w:val="single" w:sz="4" w:space="0" w:color="000000"/>
              <w:bottom w:val="single" w:sz="4" w:space="0" w:color="000000"/>
            </w:tcBorders>
            <w:shd w:val="clear" w:color="auto" w:fill="F4F4F4"/>
          </w:tcPr>
          <w:p>
            <w:pPr>
              <w:pStyle w:val="TableParagraph"/>
              <w:spacing w:before="39"/>
              <w:ind w:right="111"/>
              <w:jc w:val="right"/>
              <w:rPr>
                <w:b/>
                <w:sz w:val="16"/>
              </w:rPr>
            </w:pPr>
            <w:r>
              <w:rPr>
                <w:b/>
                <w:w w:val="99"/>
                <w:sz w:val="16"/>
              </w:rPr>
              <w:t>1</w:t>
            </w:r>
          </w:p>
        </w:tc>
      </w:tr>
      <w:tr>
        <w:trPr>
          <w:trHeight w:val="434" w:hRule="atLeast"/>
        </w:trPr>
        <w:tc>
          <w:tcPr>
            <w:tcW w:w="2863" w:type="dxa"/>
            <w:tcBorders>
              <w:top w:val="single" w:sz="8" w:space="0" w:color="FFFFFF"/>
              <w:bottom w:val="single" w:sz="8" w:space="0" w:color="FFFFFF"/>
            </w:tcBorders>
            <w:shd w:val="clear" w:color="auto" w:fill="FAF9F9"/>
          </w:tcPr>
          <w:p>
            <w:pPr>
              <w:pStyle w:val="TableParagraph"/>
              <w:spacing w:line="200" w:lineRule="atLeast" w:before="23"/>
              <w:ind w:left="113" w:right="1094"/>
              <w:rPr>
                <w:b/>
                <w:sz w:val="16"/>
              </w:rPr>
            </w:pPr>
            <w:r>
              <w:rPr>
                <w:b/>
                <w:sz w:val="16"/>
              </w:rPr>
              <w:t>Net gain on disposal of non-current assets</w:t>
            </w:r>
          </w:p>
        </w:tc>
        <w:tc>
          <w:tcPr>
            <w:tcW w:w="964" w:type="dxa"/>
            <w:tcBorders>
              <w:top w:val="single" w:sz="4" w:space="0" w:color="000000"/>
              <w:bottom w:val="single" w:sz="24" w:space="0" w:color="FFFFFF"/>
            </w:tcBorders>
            <w:shd w:val="clear" w:color="auto" w:fill="E1E4BB"/>
          </w:tcPr>
          <w:p>
            <w:pPr>
              <w:pStyle w:val="TableParagraph"/>
              <w:spacing w:before="39"/>
              <w:ind w:left="583"/>
              <w:rPr>
                <w:b/>
                <w:sz w:val="16"/>
              </w:rPr>
            </w:pPr>
            <w:r>
              <w:rPr>
                <w:b/>
                <w:sz w:val="16"/>
              </w:rPr>
              <w:t>621</w:t>
            </w:r>
          </w:p>
          <w:p>
            <w:pPr>
              <w:pStyle w:val="TableParagraph"/>
              <w:tabs>
                <w:tab w:pos="1927" w:val="left" w:leader="none"/>
              </w:tabs>
              <w:spacing w:line="175" w:lineRule="exact" w:before="16"/>
              <w:ind w:right="-965"/>
              <w:rPr>
                <w:b/>
                <w:sz w:val="16"/>
              </w:rPr>
            </w:pPr>
            <w:r>
              <w:rPr>
                <w:b/>
                <w:w w:val="100"/>
                <w:sz w:val="16"/>
                <w:u w:val="single"/>
              </w:rPr>
              <w:t> </w:t>
            </w:r>
            <w:r>
              <w:rPr>
                <w:b/>
                <w:sz w:val="16"/>
                <w:u w:val="single"/>
              </w:rPr>
              <w:tab/>
            </w:r>
          </w:p>
        </w:tc>
        <w:tc>
          <w:tcPr>
            <w:tcW w:w="964" w:type="dxa"/>
            <w:tcBorders>
              <w:top w:val="single" w:sz="4" w:space="0" w:color="000000"/>
              <w:bottom w:val="single" w:sz="24" w:space="0" w:color="FFFFFF"/>
            </w:tcBorders>
            <w:shd w:val="clear" w:color="auto" w:fill="FAF9F9"/>
          </w:tcPr>
          <w:p>
            <w:pPr>
              <w:pStyle w:val="TableParagraph"/>
              <w:spacing w:before="39"/>
              <w:ind w:right="111"/>
              <w:jc w:val="right"/>
              <w:rPr>
                <w:b/>
                <w:sz w:val="16"/>
              </w:rPr>
            </w:pPr>
            <w:r>
              <w:rPr>
                <w:b/>
                <w:w w:val="95"/>
                <w:sz w:val="16"/>
              </w:rPr>
              <w:t>665</w:t>
            </w:r>
          </w:p>
        </w:tc>
      </w:tr>
    </w:tbl>
    <w:p>
      <w:pPr>
        <w:pStyle w:val="BodyText"/>
        <w:spacing w:before="3"/>
        <w:rPr>
          <w:sz w:val="15"/>
        </w:rPr>
      </w:pPr>
    </w:p>
    <w:p>
      <w:pPr>
        <w:spacing w:after="0"/>
        <w:rPr>
          <w:sz w:val="15"/>
        </w:rPr>
        <w:sectPr>
          <w:type w:val="continuous"/>
          <w:pgSz w:w="16840" w:h="11910" w:orient="landscape"/>
          <w:pgMar w:top="0" w:bottom="0" w:left="0" w:right="0"/>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
        <w:rPr>
          <w:sz w:val="18"/>
        </w:rPr>
      </w:pPr>
    </w:p>
    <w:p>
      <w:pPr>
        <w:pStyle w:val="ListParagraph"/>
        <w:numPr>
          <w:ilvl w:val="1"/>
          <w:numId w:val="9"/>
        </w:numPr>
        <w:tabs>
          <w:tab w:pos="919" w:val="left" w:leader="none"/>
        </w:tabs>
        <w:spacing w:line="240" w:lineRule="auto" w:before="0" w:after="0"/>
        <w:ind w:left="918" w:right="0" w:hanging="153"/>
        <w:jc w:val="left"/>
        <w:rPr>
          <w:sz w:val="12"/>
        </w:rPr>
      </w:pPr>
      <w:r>
        <w:rPr>
          <w:sz w:val="12"/>
        </w:rPr>
        <w:t>The</w:t>
      </w:r>
      <w:r>
        <w:rPr>
          <w:spacing w:val="-7"/>
          <w:sz w:val="12"/>
        </w:rPr>
        <w:t> </w:t>
      </w:r>
      <w:r>
        <w:rPr>
          <w:sz w:val="12"/>
        </w:rPr>
        <w:t>2016</w:t>
      </w:r>
      <w:r>
        <w:rPr>
          <w:spacing w:val="-6"/>
          <w:sz w:val="12"/>
        </w:rPr>
        <w:t> </w:t>
      </w:r>
      <w:r>
        <w:rPr>
          <w:sz w:val="12"/>
        </w:rPr>
        <w:t>figure</w:t>
      </w:r>
      <w:r>
        <w:rPr>
          <w:spacing w:val="-7"/>
          <w:sz w:val="12"/>
        </w:rPr>
        <w:t> </w:t>
      </w:r>
      <w:r>
        <w:rPr>
          <w:sz w:val="12"/>
        </w:rPr>
        <w:t>is</w:t>
      </w:r>
      <w:r>
        <w:rPr>
          <w:spacing w:val="-6"/>
          <w:sz w:val="12"/>
        </w:rPr>
        <w:t> </w:t>
      </w:r>
      <w:r>
        <w:rPr>
          <w:sz w:val="12"/>
        </w:rPr>
        <w:t>reduced</w:t>
      </w:r>
      <w:r>
        <w:rPr>
          <w:spacing w:val="-7"/>
          <w:sz w:val="12"/>
        </w:rPr>
        <w:t> </w:t>
      </w:r>
      <w:r>
        <w:rPr>
          <w:sz w:val="12"/>
        </w:rPr>
        <w:t>by</w:t>
      </w:r>
      <w:r>
        <w:rPr>
          <w:spacing w:val="-6"/>
          <w:sz w:val="12"/>
        </w:rPr>
        <w:t> </w:t>
      </w:r>
      <w:r>
        <w:rPr>
          <w:sz w:val="12"/>
        </w:rPr>
        <w:t>$14,585,000</w:t>
      </w:r>
      <w:r>
        <w:rPr>
          <w:spacing w:val="-7"/>
          <w:sz w:val="12"/>
        </w:rPr>
        <w:t> </w:t>
      </w:r>
      <w:r>
        <w:rPr>
          <w:sz w:val="12"/>
        </w:rPr>
        <w:t>for</w:t>
      </w:r>
      <w:r>
        <w:rPr>
          <w:spacing w:val="-6"/>
          <w:sz w:val="12"/>
        </w:rPr>
        <w:t> </w:t>
      </w:r>
      <w:r>
        <w:rPr>
          <w:sz w:val="12"/>
        </w:rPr>
        <w:t>derecognition</w:t>
      </w:r>
      <w:r>
        <w:rPr>
          <w:spacing w:val="-6"/>
          <w:sz w:val="12"/>
        </w:rPr>
        <w:t> </w:t>
      </w:r>
      <w:r>
        <w:rPr>
          <w:sz w:val="12"/>
        </w:rPr>
        <w:t>of</w:t>
      </w:r>
      <w:r>
        <w:rPr>
          <w:spacing w:val="-7"/>
          <w:sz w:val="12"/>
        </w:rPr>
        <w:t> </w:t>
      </w:r>
      <w:r>
        <w:rPr>
          <w:sz w:val="12"/>
        </w:rPr>
        <w:t>project</w:t>
      </w:r>
      <w:r>
        <w:rPr>
          <w:spacing w:val="-6"/>
          <w:sz w:val="12"/>
        </w:rPr>
        <w:t> </w:t>
      </w:r>
      <w:r>
        <w:rPr>
          <w:sz w:val="12"/>
        </w:rPr>
        <w:t>costs</w:t>
      </w:r>
      <w:r>
        <w:rPr>
          <w:spacing w:val="-7"/>
          <w:sz w:val="12"/>
        </w:rPr>
        <w:t> </w:t>
      </w:r>
      <w:r>
        <w:rPr>
          <w:spacing w:val="-4"/>
          <w:sz w:val="12"/>
        </w:rPr>
        <w:t>recoup.</w:t>
      </w:r>
    </w:p>
    <w:p>
      <w:pPr>
        <w:pStyle w:val="Heading5"/>
        <w:ind w:left="650"/>
      </w:pPr>
      <w:r>
        <w:rPr/>
        <w:br w:type="column"/>
      </w:r>
      <w:r>
        <w:rPr>
          <w:color w:val="6F2770"/>
        </w:rPr>
        <w:t>Note 16. Other gains</w:t>
      </w:r>
    </w:p>
    <w:p>
      <w:pPr>
        <w:pStyle w:val="BodyText"/>
        <w:spacing w:line="249" w:lineRule="auto" w:before="254"/>
        <w:ind w:left="650" w:right="-7"/>
      </w:pPr>
      <w:r>
        <w:rPr/>
        <w:pict>
          <v:group style="position:absolute;margin-left:181.416397pt;margin-top:30.893969pt;width:96.9pt;height:.550pt;mso-position-horizontal-relative:page;mso-position-vertical-relative:paragraph;z-index:16528" coordorigin="3628,618" coordsize="1938,11">
            <v:line style="position:absolute" from="3628,623" to="4592,623" stroked="true" strokeweight=".501pt" strokecolor="#000000">
              <v:stroke dashstyle="solid"/>
            </v:line>
            <v:line style="position:absolute" from="4592,623" to="5566,623" stroked="true" strokeweight=".501pt" strokecolor="#000000">
              <v:stroke dashstyle="solid"/>
            </v:line>
            <w10:wrap type="none"/>
          </v:group>
        </w:pict>
      </w:r>
      <w:r>
        <w:rPr/>
        <w:t>There</w:t>
      </w:r>
      <w:r>
        <w:rPr>
          <w:spacing w:val="-23"/>
        </w:rPr>
        <w:t> </w:t>
      </w:r>
      <w:r>
        <w:rPr/>
        <w:t>were</w:t>
      </w:r>
      <w:r>
        <w:rPr>
          <w:spacing w:val="-23"/>
        </w:rPr>
        <w:t> </w:t>
      </w:r>
      <w:r>
        <w:rPr/>
        <w:t>no</w:t>
      </w:r>
      <w:r>
        <w:rPr>
          <w:spacing w:val="-23"/>
        </w:rPr>
        <w:t> </w:t>
      </w:r>
      <w:r>
        <w:rPr/>
        <w:t>gains</w:t>
      </w:r>
      <w:r>
        <w:rPr>
          <w:spacing w:val="-22"/>
        </w:rPr>
        <w:t> </w:t>
      </w:r>
      <w:r>
        <w:rPr/>
        <w:t>on</w:t>
      </w:r>
      <w:r>
        <w:rPr>
          <w:spacing w:val="-23"/>
        </w:rPr>
        <w:t> </w:t>
      </w:r>
      <w:r>
        <w:rPr/>
        <w:t>the</w:t>
      </w:r>
      <w:r>
        <w:rPr>
          <w:spacing w:val="-23"/>
        </w:rPr>
        <w:t> </w:t>
      </w:r>
      <w:r>
        <w:rPr/>
        <w:t>revaluation</w:t>
      </w:r>
      <w:r>
        <w:rPr>
          <w:spacing w:val="-22"/>
        </w:rPr>
        <w:t> </w:t>
      </w:r>
      <w:r>
        <w:rPr/>
        <w:t>of</w:t>
      </w:r>
      <w:r>
        <w:rPr>
          <w:spacing w:val="-23"/>
        </w:rPr>
        <w:t> </w:t>
      </w:r>
      <w:r>
        <w:rPr>
          <w:spacing w:val="-3"/>
        </w:rPr>
        <w:t>buildings </w:t>
      </w:r>
      <w:r>
        <w:rPr/>
        <w:t>for the</w:t>
      </w:r>
      <w:r>
        <w:rPr>
          <w:spacing w:val="-2"/>
        </w:rPr>
        <w:t> </w:t>
      </w:r>
      <w:r>
        <w:rPr>
          <w:spacing w:val="-5"/>
        </w:rPr>
        <w:t>year.</w:t>
      </w:r>
    </w:p>
    <w:p>
      <w:pPr>
        <w:pStyle w:val="BodyText"/>
        <w:rPr>
          <w:sz w:val="14"/>
        </w:rPr>
      </w:pPr>
      <w:r>
        <w:rPr/>
        <w:br w:type="column"/>
      </w:r>
      <w:r>
        <w:rPr>
          <w:sz w:val="14"/>
        </w:rPr>
      </w:r>
    </w:p>
    <w:p>
      <w:pPr>
        <w:pStyle w:val="BodyText"/>
        <w:spacing w:before="7"/>
        <w:rPr>
          <w:sz w:val="13"/>
        </w:rPr>
      </w:pPr>
    </w:p>
    <w:p>
      <w:pPr>
        <w:pStyle w:val="ListParagraph"/>
        <w:numPr>
          <w:ilvl w:val="0"/>
          <w:numId w:val="10"/>
        </w:numPr>
        <w:tabs>
          <w:tab w:pos="565" w:val="left" w:leader="none"/>
        </w:tabs>
        <w:spacing w:line="278" w:lineRule="auto" w:before="1" w:after="0"/>
        <w:ind w:left="578" w:right="911" w:hanging="167"/>
        <w:jc w:val="left"/>
        <w:rPr>
          <w:sz w:val="12"/>
        </w:rPr>
      </w:pPr>
      <w:r>
        <w:rPr>
          <w:sz w:val="12"/>
        </w:rPr>
        <w:t>Service appropriations fund the net cost of services delivered. Appropriation revenue comprises</w:t>
      </w:r>
      <w:r>
        <w:rPr>
          <w:spacing w:val="-17"/>
          <w:sz w:val="12"/>
        </w:rPr>
        <w:t> </w:t>
      </w:r>
      <w:r>
        <w:rPr>
          <w:sz w:val="12"/>
        </w:rPr>
        <w:t>a</w:t>
      </w:r>
      <w:r>
        <w:rPr>
          <w:spacing w:val="-17"/>
          <w:sz w:val="12"/>
        </w:rPr>
        <w:t> </w:t>
      </w:r>
      <w:r>
        <w:rPr>
          <w:sz w:val="12"/>
        </w:rPr>
        <w:t>cash</w:t>
      </w:r>
      <w:r>
        <w:rPr>
          <w:spacing w:val="-17"/>
          <w:sz w:val="12"/>
        </w:rPr>
        <w:t> </w:t>
      </w:r>
      <w:r>
        <w:rPr>
          <w:sz w:val="12"/>
        </w:rPr>
        <w:t>component</w:t>
      </w:r>
      <w:r>
        <w:rPr>
          <w:spacing w:val="-17"/>
          <w:sz w:val="12"/>
        </w:rPr>
        <w:t> </w:t>
      </w:r>
      <w:r>
        <w:rPr>
          <w:sz w:val="12"/>
        </w:rPr>
        <w:t>and</w:t>
      </w:r>
      <w:r>
        <w:rPr>
          <w:spacing w:val="-16"/>
          <w:sz w:val="12"/>
        </w:rPr>
        <w:t> </w:t>
      </w:r>
      <w:r>
        <w:rPr>
          <w:sz w:val="12"/>
        </w:rPr>
        <w:t>a</w:t>
      </w:r>
      <w:r>
        <w:rPr>
          <w:spacing w:val="-17"/>
          <w:sz w:val="12"/>
        </w:rPr>
        <w:t> </w:t>
      </w:r>
      <w:r>
        <w:rPr>
          <w:sz w:val="12"/>
        </w:rPr>
        <w:t>receivable</w:t>
      </w:r>
      <w:r>
        <w:rPr>
          <w:spacing w:val="-17"/>
          <w:sz w:val="12"/>
        </w:rPr>
        <w:t> </w:t>
      </w:r>
      <w:r>
        <w:rPr>
          <w:sz w:val="12"/>
        </w:rPr>
        <w:t>(asset).</w:t>
      </w:r>
      <w:r>
        <w:rPr>
          <w:spacing w:val="-17"/>
          <w:sz w:val="12"/>
        </w:rPr>
        <w:t> </w:t>
      </w:r>
      <w:r>
        <w:rPr>
          <w:sz w:val="12"/>
        </w:rPr>
        <w:t>The</w:t>
      </w:r>
      <w:r>
        <w:rPr>
          <w:spacing w:val="-16"/>
          <w:sz w:val="12"/>
        </w:rPr>
        <w:t> </w:t>
      </w:r>
      <w:r>
        <w:rPr>
          <w:sz w:val="12"/>
        </w:rPr>
        <w:t>receivable</w:t>
      </w:r>
      <w:r>
        <w:rPr>
          <w:spacing w:val="-17"/>
          <w:sz w:val="12"/>
        </w:rPr>
        <w:t> </w:t>
      </w:r>
      <w:r>
        <w:rPr>
          <w:sz w:val="12"/>
        </w:rPr>
        <w:t>(holding</w:t>
      </w:r>
      <w:r>
        <w:rPr>
          <w:spacing w:val="-17"/>
          <w:sz w:val="12"/>
        </w:rPr>
        <w:t> </w:t>
      </w:r>
      <w:r>
        <w:rPr>
          <w:sz w:val="12"/>
        </w:rPr>
        <w:t>account) comprises</w:t>
      </w:r>
      <w:r>
        <w:rPr>
          <w:spacing w:val="-11"/>
          <w:sz w:val="12"/>
        </w:rPr>
        <w:t> </w:t>
      </w:r>
      <w:r>
        <w:rPr>
          <w:sz w:val="12"/>
        </w:rPr>
        <w:t>the</w:t>
      </w:r>
      <w:r>
        <w:rPr>
          <w:spacing w:val="-10"/>
          <w:sz w:val="12"/>
        </w:rPr>
        <w:t> </w:t>
      </w:r>
      <w:r>
        <w:rPr>
          <w:sz w:val="12"/>
        </w:rPr>
        <w:t>budgeted</w:t>
      </w:r>
      <w:r>
        <w:rPr>
          <w:spacing w:val="-10"/>
          <w:sz w:val="12"/>
        </w:rPr>
        <w:t> </w:t>
      </w:r>
      <w:r>
        <w:rPr>
          <w:sz w:val="12"/>
        </w:rPr>
        <w:t>depreciation</w:t>
      </w:r>
      <w:r>
        <w:rPr>
          <w:spacing w:val="-10"/>
          <w:sz w:val="12"/>
        </w:rPr>
        <w:t> </w:t>
      </w:r>
      <w:r>
        <w:rPr>
          <w:sz w:val="12"/>
        </w:rPr>
        <w:t>expense</w:t>
      </w:r>
      <w:r>
        <w:rPr>
          <w:spacing w:val="-10"/>
          <w:sz w:val="12"/>
        </w:rPr>
        <w:t> </w:t>
      </w:r>
      <w:r>
        <w:rPr>
          <w:sz w:val="12"/>
        </w:rPr>
        <w:t>for</w:t>
      </w:r>
      <w:r>
        <w:rPr>
          <w:spacing w:val="-11"/>
          <w:sz w:val="12"/>
        </w:rPr>
        <w:t> </w:t>
      </w:r>
      <w:r>
        <w:rPr>
          <w:sz w:val="12"/>
        </w:rPr>
        <w:t>the</w:t>
      </w:r>
      <w:r>
        <w:rPr>
          <w:spacing w:val="-10"/>
          <w:sz w:val="12"/>
        </w:rPr>
        <w:t> </w:t>
      </w:r>
      <w:r>
        <w:rPr>
          <w:sz w:val="12"/>
        </w:rPr>
        <w:t>year</w:t>
      </w:r>
      <w:r>
        <w:rPr>
          <w:spacing w:val="-10"/>
          <w:sz w:val="12"/>
        </w:rPr>
        <w:t> </w:t>
      </w:r>
      <w:r>
        <w:rPr>
          <w:sz w:val="12"/>
        </w:rPr>
        <w:t>and</w:t>
      </w:r>
      <w:r>
        <w:rPr>
          <w:spacing w:val="-10"/>
          <w:sz w:val="12"/>
        </w:rPr>
        <w:t> </w:t>
      </w:r>
      <w:r>
        <w:rPr>
          <w:sz w:val="12"/>
        </w:rPr>
        <w:t>any</w:t>
      </w:r>
      <w:r>
        <w:rPr>
          <w:spacing w:val="-10"/>
          <w:sz w:val="12"/>
        </w:rPr>
        <w:t> </w:t>
      </w:r>
      <w:r>
        <w:rPr>
          <w:sz w:val="12"/>
        </w:rPr>
        <w:t>agreed</w:t>
      </w:r>
      <w:r>
        <w:rPr>
          <w:spacing w:val="-11"/>
          <w:sz w:val="12"/>
        </w:rPr>
        <w:t> </w:t>
      </w:r>
      <w:r>
        <w:rPr>
          <w:sz w:val="12"/>
        </w:rPr>
        <w:t>increase</w:t>
      </w:r>
      <w:r>
        <w:rPr>
          <w:spacing w:val="-10"/>
          <w:sz w:val="12"/>
        </w:rPr>
        <w:t> </w:t>
      </w:r>
      <w:r>
        <w:rPr>
          <w:sz w:val="12"/>
        </w:rPr>
        <w:t>in leave liabilities during the</w:t>
      </w:r>
      <w:r>
        <w:rPr>
          <w:spacing w:val="-4"/>
          <w:sz w:val="12"/>
        </w:rPr>
        <w:t> </w:t>
      </w:r>
      <w:r>
        <w:rPr>
          <w:spacing w:val="-3"/>
          <w:sz w:val="12"/>
        </w:rPr>
        <w:t>year.</w:t>
      </w:r>
    </w:p>
    <w:p>
      <w:pPr>
        <w:pStyle w:val="ListParagraph"/>
        <w:numPr>
          <w:ilvl w:val="0"/>
          <w:numId w:val="10"/>
        </w:numPr>
        <w:tabs>
          <w:tab w:pos="572" w:val="left" w:leader="none"/>
        </w:tabs>
        <w:spacing w:line="278" w:lineRule="auto" w:before="0" w:after="0"/>
        <w:ind w:left="578" w:right="1236" w:hanging="167"/>
        <w:jc w:val="left"/>
        <w:rPr>
          <w:sz w:val="12"/>
        </w:rPr>
      </w:pPr>
      <w:r>
        <w:rPr>
          <w:sz w:val="12"/>
        </w:rPr>
        <w:t>State</w:t>
      </w:r>
      <w:r>
        <w:rPr>
          <w:spacing w:val="-14"/>
          <w:sz w:val="12"/>
        </w:rPr>
        <w:t> </w:t>
      </w:r>
      <w:r>
        <w:rPr>
          <w:sz w:val="12"/>
        </w:rPr>
        <w:t>Government</w:t>
      </w:r>
      <w:r>
        <w:rPr>
          <w:spacing w:val="-13"/>
          <w:sz w:val="12"/>
        </w:rPr>
        <w:t> </w:t>
      </w:r>
      <w:r>
        <w:rPr>
          <w:sz w:val="12"/>
        </w:rPr>
        <w:t>Royalties</w:t>
      </w:r>
      <w:r>
        <w:rPr>
          <w:spacing w:val="-13"/>
          <w:sz w:val="12"/>
        </w:rPr>
        <w:t> </w:t>
      </w:r>
      <w:r>
        <w:rPr>
          <w:sz w:val="12"/>
        </w:rPr>
        <w:t>for</w:t>
      </w:r>
      <w:r>
        <w:rPr>
          <w:spacing w:val="-13"/>
          <w:sz w:val="12"/>
        </w:rPr>
        <w:t> </w:t>
      </w:r>
      <w:r>
        <w:rPr>
          <w:sz w:val="12"/>
        </w:rPr>
        <w:t>Regions</w:t>
      </w:r>
      <w:r>
        <w:rPr>
          <w:spacing w:val="-13"/>
          <w:sz w:val="12"/>
        </w:rPr>
        <w:t> </w:t>
      </w:r>
      <w:r>
        <w:rPr>
          <w:sz w:val="12"/>
        </w:rPr>
        <w:t>funds</w:t>
      </w:r>
      <w:r>
        <w:rPr>
          <w:spacing w:val="-13"/>
          <w:sz w:val="12"/>
        </w:rPr>
        <w:t> </w:t>
      </w:r>
      <w:r>
        <w:rPr>
          <w:sz w:val="12"/>
        </w:rPr>
        <w:t>are</w:t>
      </w:r>
      <w:r>
        <w:rPr>
          <w:spacing w:val="-13"/>
          <w:sz w:val="12"/>
        </w:rPr>
        <w:t> </w:t>
      </w:r>
      <w:r>
        <w:rPr>
          <w:sz w:val="12"/>
        </w:rPr>
        <w:t>used</w:t>
      </w:r>
      <w:r>
        <w:rPr>
          <w:spacing w:val="-14"/>
          <w:sz w:val="12"/>
        </w:rPr>
        <w:t> </w:t>
      </w:r>
      <w:r>
        <w:rPr>
          <w:sz w:val="12"/>
        </w:rPr>
        <w:t>to</w:t>
      </w:r>
      <w:r>
        <w:rPr>
          <w:spacing w:val="-13"/>
          <w:sz w:val="12"/>
        </w:rPr>
        <w:t> </w:t>
      </w:r>
      <w:r>
        <w:rPr>
          <w:sz w:val="12"/>
        </w:rPr>
        <w:t>fund</w:t>
      </w:r>
      <w:r>
        <w:rPr>
          <w:spacing w:val="-13"/>
          <w:sz w:val="12"/>
        </w:rPr>
        <w:t> </w:t>
      </w:r>
      <w:r>
        <w:rPr>
          <w:sz w:val="12"/>
        </w:rPr>
        <w:t>district</w:t>
      </w:r>
      <w:r>
        <w:rPr>
          <w:spacing w:val="-13"/>
          <w:sz w:val="12"/>
        </w:rPr>
        <w:t> </w:t>
      </w:r>
      <w:r>
        <w:rPr>
          <w:sz w:val="12"/>
        </w:rPr>
        <w:t>allowance payments for eligible regional public sector</w:t>
      </w:r>
      <w:r>
        <w:rPr>
          <w:spacing w:val="-13"/>
          <w:sz w:val="12"/>
        </w:rPr>
        <w:t> </w:t>
      </w:r>
      <w:r>
        <w:rPr>
          <w:sz w:val="12"/>
        </w:rPr>
        <w:t>employees.</w:t>
      </w:r>
    </w:p>
    <w:p>
      <w:pPr>
        <w:spacing w:after="0" w:line="278" w:lineRule="auto"/>
        <w:jc w:val="left"/>
        <w:rPr>
          <w:sz w:val="12"/>
        </w:rPr>
        <w:sectPr>
          <w:type w:val="continuous"/>
          <w:pgSz w:w="16840" w:h="11910" w:orient="landscape"/>
          <w:pgMar w:top="0" w:bottom="0" w:left="0" w:right="0"/>
          <w:cols w:num="3" w:equalWidth="0">
            <w:col w:w="5319" w:space="40"/>
            <w:col w:w="5444" w:space="39"/>
            <w:col w:w="5998"/>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6864"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6984"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7008"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3"/>
        <w:rPr>
          <w:sz w:val="15"/>
        </w:rPr>
      </w:pPr>
    </w:p>
    <w:p>
      <w:pPr>
        <w:spacing w:after="0"/>
        <w:rPr>
          <w:sz w:val="15"/>
        </w:rPr>
        <w:sectPr>
          <w:footerReference w:type="default" r:id="rId208"/>
          <w:pgSz w:w="16840" w:h="11910" w:orient="landscape"/>
          <w:pgMar w:footer="448" w:header="0" w:top="0" w:bottom="640" w:left="0" w:right="0"/>
        </w:sectPr>
      </w:pPr>
    </w:p>
    <w:p>
      <w:pPr>
        <w:pStyle w:val="Heading5"/>
        <w:spacing w:line="235" w:lineRule="auto" w:before="116" w:after="31"/>
        <w:ind w:right="2243"/>
      </w:pPr>
      <w:bookmarkStart w:name="_bookmark38" w:id="39"/>
      <w:bookmarkEnd w:id="39"/>
      <w:r>
        <w:rPr/>
      </w:r>
      <w:r>
        <w:rPr>
          <w:color w:val="6F2770"/>
          <w:spacing w:val="-3"/>
        </w:rPr>
        <w:t>Note 18. Cash</w:t>
      </w:r>
      <w:r>
        <w:rPr>
          <w:color w:val="6F2770"/>
          <w:spacing w:val="-66"/>
        </w:rPr>
        <w:t> </w:t>
      </w:r>
      <w:r>
        <w:rPr>
          <w:color w:val="6F2770"/>
          <w:spacing w:val="-4"/>
        </w:rPr>
        <w:t>and </w:t>
      </w:r>
      <w:r>
        <w:rPr>
          <w:color w:val="6F2770"/>
          <w:spacing w:val="-3"/>
        </w:rPr>
        <w:t>cash</w:t>
      </w:r>
      <w:r>
        <w:rPr>
          <w:color w:val="6F2770"/>
          <w:spacing w:val="-26"/>
        </w:rPr>
        <w:t> </w:t>
      </w:r>
      <w:r>
        <w:rPr>
          <w:color w:val="6F2770"/>
          <w:spacing w:val="-4"/>
        </w:rPr>
        <w:t>equivalents</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2017</w:t>
              <w:tab/>
            </w:r>
            <w:r>
              <w:rPr>
                <w:b/>
                <w:color w:val="FFFFFF"/>
                <w:w w:val="95"/>
                <w:sz w:val="16"/>
              </w:rPr>
              <w:t>2016</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A7BE39"/>
                <w:sz w:val="16"/>
              </w:rPr>
              <w:t>Current</w:t>
            </w:r>
          </w:p>
        </w:tc>
        <w:tc>
          <w:tcPr>
            <w:tcW w:w="964" w:type="dxa"/>
            <w:vMerge w:val="restart"/>
            <w:tcBorders>
              <w:bottom w:val="single" w:sz="4" w:space="0" w:color="000000"/>
            </w:tcBorders>
            <w:shd w:val="clear" w:color="auto" w:fill="E1E4BB"/>
          </w:tcPr>
          <w:p>
            <w:pPr>
              <w:pStyle w:val="TableParagraph"/>
              <w:spacing w:before="0"/>
              <w:rPr>
                <w:sz w:val="18"/>
              </w:rPr>
            </w:pPr>
          </w:p>
          <w:p>
            <w:pPr>
              <w:pStyle w:val="TableParagraph"/>
              <w:spacing w:before="126"/>
              <w:ind w:right="111"/>
              <w:jc w:val="right"/>
              <w:rPr>
                <w:sz w:val="16"/>
              </w:rPr>
            </w:pPr>
            <w:r>
              <w:rPr>
                <w:w w:val="95"/>
                <w:sz w:val="16"/>
              </w:rPr>
              <w:t>70,616</w:t>
            </w:r>
          </w:p>
          <w:p>
            <w:pPr>
              <w:pStyle w:val="TableParagraph"/>
              <w:spacing w:before="101"/>
              <w:ind w:right="111"/>
              <w:jc w:val="right"/>
              <w:rPr>
                <w:sz w:val="16"/>
              </w:rPr>
            </w:pPr>
            <w:r>
              <w:rPr>
                <w:w w:val="99"/>
                <w:sz w:val="16"/>
              </w:rPr>
              <w:t>2</w:t>
            </w:r>
          </w:p>
        </w:tc>
        <w:tc>
          <w:tcPr>
            <w:tcW w:w="964" w:type="dxa"/>
            <w:tcBorders>
              <w:bottom w:val="single" w:sz="8" w:space="0" w:color="FFFFFF"/>
            </w:tcBorders>
            <w:shd w:val="clear" w:color="auto" w:fill="F4F4F4"/>
          </w:tcPr>
          <w:p>
            <w:pPr>
              <w:pStyle w:val="TableParagraph"/>
              <w:spacing w:before="0"/>
              <w:rPr>
                <w:rFonts w:ascii="Times New Roman"/>
                <w:sz w:val="18"/>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Cash at bank</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85,245</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Cash on hand</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9"/>
                <w:sz w:val="16"/>
              </w:rPr>
              <w:t>2</w:t>
            </w:r>
          </w:p>
        </w:tc>
      </w:tr>
      <w:tr>
        <w:trPr>
          <w:trHeight w:val="24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E1E4BB"/>
          </w:tcPr>
          <w:p>
            <w:pPr>
              <w:pStyle w:val="TableParagraph"/>
              <w:spacing w:before="39"/>
              <w:ind w:left="361"/>
              <w:rPr>
                <w:b/>
                <w:sz w:val="16"/>
              </w:rPr>
            </w:pPr>
            <w:r>
              <w:rPr>
                <w:b/>
                <w:sz w:val="16"/>
              </w:rPr>
              <w:t>70,618</w:t>
            </w:r>
          </w:p>
        </w:tc>
        <w:tc>
          <w:tcPr>
            <w:tcW w:w="964" w:type="dxa"/>
            <w:tcBorders>
              <w:top w:val="single" w:sz="4" w:space="0" w:color="000000"/>
              <w:bottom w:val="single" w:sz="24" w:space="0" w:color="FFFFFF"/>
            </w:tcBorders>
            <w:shd w:val="clear" w:color="auto" w:fill="FAF9F9"/>
          </w:tcPr>
          <w:p>
            <w:pPr>
              <w:pStyle w:val="TableParagraph"/>
              <w:spacing w:before="39"/>
              <w:ind w:right="111"/>
              <w:jc w:val="right"/>
              <w:rPr>
                <w:b/>
                <w:sz w:val="16"/>
              </w:rPr>
            </w:pPr>
            <w:r>
              <w:rPr>
                <w:b/>
                <w:w w:val="95"/>
                <w:sz w:val="16"/>
              </w:rPr>
              <w:t>85,247</w:t>
            </w:r>
          </w:p>
        </w:tc>
      </w:tr>
    </w:tbl>
    <w:p>
      <w:pPr>
        <w:spacing w:line="235" w:lineRule="auto" w:before="322" w:after="31"/>
        <w:ind w:left="765" w:right="856" w:firstLine="0"/>
        <w:jc w:val="left"/>
        <w:rPr>
          <w:sz w:val="32"/>
        </w:rPr>
      </w:pPr>
      <w:bookmarkStart w:name="_bookmark39" w:id="40"/>
      <w:bookmarkEnd w:id="40"/>
      <w:r>
        <w:rPr/>
      </w:r>
      <w:r>
        <w:rPr>
          <w:color w:val="6F2770"/>
          <w:spacing w:val="-3"/>
          <w:sz w:val="32"/>
        </w:rPr>
        <w:t>Note</w:t>
      </w:r>
      <w:r>
        <w:rPr>
          <w:color w:val="6F2770"/>
          <w:spacing w:val="-26"/>
          <w:sz w:val="32"/>
        </w:rPr>
        <w:t> </w:t>
      </w:r>
      <w:r>
        <w:rPr>
          <w:color w:val="6F2770"/>
          <w:spacing w:val="-3"/>
          <w:sz w:val="32"/>
        </w:rPr>
        <w:t>19.</w:t>
      </w:r>
      <w:r>
        <w:rPr>
          <w:color w:val="6F2770"/>
          <w:spacing w:val="-26"/>
          <w:sz w:val="32"/>
        </w:rPr>
        <w:t> </w:t>
      </w:r>
      <w:r>
        <w:rPr>
          <w:color w:val="6F2770"/>
          <w:spacing w:val="-4"/>
          <w:sz w:val="32"/>
        </w:rPr>
        <w:t>Restricted</w:t>
      </w:r>
      <w:r>
        <w:rPr>
          <w:color w:val="6F2770"/>
          <w:spacing w:val="-25"/>
          <w:sz w:val="32"/>
        </w:rPr>
        <w:t> </w:t>
      </w:r>
      <w:r>
        <w:rPr>
          <w:color w:val="6F2770"/>
          <w:spacing w:val="-3"/>
          <w:sz w:val="32"/>
        </w:rPr>
        <w:t>cash</w:t>
      </w:r>
      <w:r>
        <w:rPr>
          <w:color w:val="6F2770"/>
          <w:spacing w:val="-26"/>
          <w:sz w:val="32"/>
        </w:rPr>
        <w:t> </w:t>
      </w:r>
      <w:r>
        <w:rPr>
          <w:color w:val="6F2770"/>
          <w:spacing w:val="-4"/>
          <w:sz w:val="32"/>
        </w:rPr>
        <w:t>and </w:t>
      </w:r>
      <w:r>
        <w:rPr>
          <w:color w:val="6F2770"/>
          <w:spacing w:val="-3"/>
          <w:sz w:val="32"/>
        </w:rPr>
        <w:t>cash</w:t>
      </w:r>
      <w:r>
        <w:rPr>
          <w:color w:val="6F2770"/>
          <w:spacing w:val="-12"/>
          <w:sz w:val="32"/>
        </w:rPr>
        <w:t> </w:t>
      </w:r>
      <w:r>
        <w:rPr>
          <w:color w:val="6F2770"/>
          <w:spacing w:val="-4"/>
          <w:sz w:val="32"/>
        </w:rPr>
        <w:t>equivalents</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2017</w:t>
              <w:tab/>
            </w:r>
            <w:r>
              <w:rPr>
                <w:b/>
                <w:color w:val="FFFFFF"/>
                <w:w w:val="95"/>
                <w:sz w:val="16"/>
              </w:rPr>
              <w:t>2016</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A7BE39"/>
                <w:sz w:val="16"/>
              </w:rPr>
              <w:t>Current</w:t>
            </w:r>
          </w:p>
        </w:tc>
        <w:tc>
          <w:tcPr>
            <w:tcW w:w="964" w:type="dxa"/>
            <w:vMerge w:val="restart"/>
            <w:tcBorders>
              <w:bottom w:val="single" w:sz="4" w:space="0" w:color="000000"/>
            </w:tcBorders>
            <w:shd w:val="clear" w:color="auto" w:fill="DFE1B8"/>
          </w:tcPr>
          <w:p>
            <w:pPr>
              <w:pStyle w:val="TableParagraph"/>
              <w:spacing w:before="0"/>
              <w:rPr>
                <w:sz w:val="18"/>
              </w:rPr>
            </w:pPr>
          </w:p>
          <w:p>
            <w:pPr>
              <w:pStyle w:val="TableParagraph"/>
              <w:spacing w:before="126"/>
              <w:ind w:left="583"/>
              <w:rPr>
                <w:sz w:val="16"/>
              </w:rPr>
            </w:pPr>
            <w:r>
              <w:rPr>
                <w:sz w:val="16"/>
              </w:rPr>
              <w:t>644</w:t>
            </w:r>
          </w:p>
          <w:p>
            <w:pPr>
              <w:pStyle w:val="TableParagraph"/>
              <w:spacing w:before="101"/>
              <w:ind w:left="583"/>
              <w:rPr>
                <w:sz w:val="16"/>
              </w:rPr>
            </w:pPr>
            <w:r>
              <w:rPr>
                <w:sz w:val="16"/>
              </w:rPr>
              <w:t>486</w:t>
            </w:r>
          </w:p>
          <w:p>
            <w:pPr>
              <w:pStyle w:val="TableParagraph"/>
              <w:spacing w:line="280" w:lineRule="atLeast" w:before="4"/>
              <w:ind w:left="450" w:right="93" w:firstLine="341"/>
              <w:rPr>
                <w:sz w:val="16"/>
              </w:rPr>
            </w:pPr>
            <w:r>
              <w:rPr>
                <w:w w:val="105"/>
                <w:sz w:val="16"/>
              </w:rPr>
              <w:t>- </w:t>
            </w:r>
            <w:r>
              <w:rPr>
                <w:sz w:val="16"/>
              </w:rPr>
              <w:t>2,041</w:t>
            </w:r>
          </w:p>
        </w:tc>
        <w:tc>
          <w:tcPr>
            <w:tcW w:w="964" w:type="dxa"/>
            <w:tcBorders>
              <w:bottom w:val="single" w:sz="8" w:space="0" w:color="FFFFFF"/>
            </w:tcBorders>
            <w:shd w:val="clear" w:color="auto" w:fill="F4F4F4"/>
          </w:tcPr>
          <w:p>
            <w:pPr>
              <w:pStyle w:val="TableParagraph"/>
              <w:spacing w:before="0"/>
              <w:rPr>
                <w:rFonts w:ascii="Times New Roman"/>
                <w:sz w:val="18"/>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Indian Ocean Territories Trust Fund</w:t>
            </w:r>
          </w:p>
        </w:tc>
        <w:tc>
          <w:tcPr>
            <w:tcW w:w="964" w:type="dxa"/>
            <w:vMerge/>
            <w:tcBorders>
              <w:top w:val="nil"/>
              <w:bottom w:val="single" w:sz="4" w:space="0" w:color="000000"/>
            </w:tcBorders>
            <w:shd w:val="clear" w:color="auto" w:fill="DFE1B8"/>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10</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5"/>
              <w:ind w:left="113"/>
              <w:rPr>
                <w:sz w:val="10"/>
              </w:rPr>
            </w:pPr>
            <w:r>
              <w:rPr>
                <w:sz w:val="16"/>
              </w:rPr>
              <w:t>Royalties for Regions</w:t>
            </w:r>
            <w:r>
              <w:rPr>
                <w:position w:val="6"/>
                <w:sz w:val="10"/>
              </w:rPr>
              <w:t>(a)</w:t>
            </w:r>
          </w:p>
        </w:tc>
        <w:tc>
          <w:tcPr>
            <w:tcW w:w="964" w:type="dxa"/>
            <w:vMerge/>
            <w:tcBorders>
              <w:top w:val="nil"/>
              <w:bottom w:val="single" w:sz="4" w:space="0" w:color="000000"/>
            </w:tcBorders>
            <w:shd w:val="clear" w:color="auto" w:fill="DFE1B8"/>
          </w:tcPr>
          <w:p>
            <w:pPr>
              <w:rPr>
                <w:sz w:val="2"/>
                <w:szCs w:val="2"/>
              </w:rPr>
            </w:pP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5,174</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ANZAC Interpretive Centre projects</w:t>
            </w:r>
            <w:r>
              <w:rPr>
                <w:position w:val="6"/>
                <w:sz w:val="10"/>
              </w:rPr>
              <w:t>(b)</w:t>
            </w:r>
          </w:p>
        </w:tc>
        <w:tc>
          <w:tcPr>
            <w:tcW w:w="964" w:type="dxa"/>
            <w:vMerge/>
            <w:tcBorders>
              <w:top w:val="nil"/>
              <w:bottom w:val="single" w:sz="4" w:space="0" w:color="000000"/>
            </w:tcBorders>
            <w:shd w:val="clear" w:color="auto" w:fill="DFE1B8"/>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581</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Sunset Reserve Account</w:t>
            </w:r>
          </w:p>
        </w:tc>
        <w:tc>
          <w:tcPr>
            <w:tcW w:w="964" w:type="dxa"/>
            <w:vMerge/>
            <w:tcBorders>
              <w:top w:val="nil"/>
              <w:bottom w:val="single" w:sz="4" w:space="0" w:color="000000"/>
            </w:tcBorders>
            <w:shd w:val="clear" w:color="auto" w:fill="DFE1B8"/>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7,218</w:t>
            </w:r>
          </w:p>
        </w:tc>
      </w:tr>
      <w:tr>
        <w:trPr>
          <w:trHeight w:val="241" w:hRule="atLeast"/>
        </w:trPr>
        <w:tc>
          <w:tcPr>
            <w:tcW w:w="2863" w:type="dxa"/>
            <w:tcBorders>
              <w:top w:val="single" w:sz="8" w:space="0" w:color="FFFFFF"/>
              <w:bottom w:val="single" w:sz="8" w:space="0" w:color="FFFFFF"/>
            </w:tcBorders>
            <w:shd w:val="clear" w:color="auto" w:fill="FAF9F9"/>
          </w:tcPr>
          <w:p>
            <w:pPr>
              <w:pStyle w:val="TableParagraph"/>
              <w:spacing w:line="183" w:lineRule="exact" w:before="39"/>
              <w:ind w:left="113"/>
              <w:rPr>
                <w:b/>
                <w:sz w:val="16"/>
              </w:rPr>
            </w:pPr>
            <w:r>
              <w:rPr>
                <w:b/>
                <w:sz w:val="16"/>
              </w:rPr>
              <w:t>Total current</w:t>
            </w:r>
          </w:p>
        </w:tc>
        <w:tc>
          <w:tcPr>
            <w:tcW w:w="964" w:type="dxa"/>
            <w:tcBorders>
              <w:top w:val="single" w:sz="4" w:space="0" w:color="000000"/>
              <w:bottom w:val="double" w:sz="2" w:space="0" w:color="000000"/>
            </w:tcBorders>
            <w:shd w:val="clear" w:color="auto" w:fill="E1E4BB"/>
          </w:tcPr>
          <w:p>
            <w:pPr>
              <w:pStyle w:val="TableParagraph"/>
              <w:spacing w:line="183" w:lineRule="exact" w:before="39"/>
              <w:ind w:right="111"/>
              <w:jc w:val="right"/>
              <w:rPr>
                <w:b/>
                <w:sz w:val="16"/>
              </w:rPr>
            </w:pPr>
            <w:r>
              <w:rPr>
                <w:b/>
                <w:w w:val="95"/>
                <w:sz w:val="16"/>
              </w:rPr>
              <w:t>3,171</w:t>
            </w:r>
          </w:p>
        </w:tc>
        <w:tc>
          <w:tcPr>
            <w:tcW w:w="964" w:type="dxa"/>
            <w:tcBorders>
              <w:top w:val="single" w:sz="4" w:space="0" w:color="000000"/>
              <w:bottom w:val="double" w:sz="2" w:space="0" w:color="000000"/>
            </w:tcBorders>
            <w:shd w:val="clear" w:color="auto" w:fill="FAF9F9"/>
          </w:tcPr>
          <w:p>
            <w:pPr>
              <w:pStyle w:val="TableParagraph"/>
              <w:spacing w:line="183" w:lineRule="exact" w:before="39"/>
              <w:ind w:right="111"/>
              <w:jc w:val="right"/>
              <w:rPr>
                <w:b/>
                <w:sz w:val="16"/>
              </w:rPr>
            </w:pPr>
            <w:r>
              <w:rPr>
                <w:b/>
                <w:w w:val="95"/>
                <w:sz w:val="16"/>
              </w:rPr>
              <w:t>12,983</w:t>
            </w:r>
          </w:p>
        </w:tc>
      </w:tr>
      <w:tr>
        <w:trPr>
          <w:trHeight w:val="261"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964" w:type="dxa"/>
            <w:vMerge w:val="restart"/>
            <w:tcBorders>
              <w:top w:val="double" w:sz="2" w:space="0" w:color="000000"/>
              <w:bottom w:val="single" w:sz="4" w:space="0" w:color="000000"/>
            </w:tcBorders>
            <w:shd w:val="clear" w:color="auto" w:fill="E1E4BB"/>
          </w:tcPr>
          <w:p>
            <w:pPr>
              <w:pStyle w:val="TableParagraph"/>
              <w:spacing w:before="0"/>
              <w:rPr>
                <w:sz w:val="18"/>
              </w:rPr>
            </w:pPr>
          </w:p>
          <w:p>
            <w:pPr>
              <w:pStyle w:val="TableParagraph"/>
              <w:spacing w:before="0"/>
              <w:rPr>
                <w:sz w:val="18"/>
              </w:rPr>
            </w:pPr>
          </w:p>
          <w:p>
            <w:pPr>
              <w:pStyle w:val="TableParagraph"/>
              <w:spacing w:before="7"/>
              <w:rPr>
                <w:sz w:val="16"/>
              </w:rPr>
            </w:pPr>
          </w:p>
          <w:p>
            <w:pPr>
              <w:pStyle w:val="TableParagraph"/>
              <w:spacing w:before="0"/>
              <w:ind w:left="583"/>
              <w:rPr>
                <w:sz w:val="16"/>
              </w:rPr>
            </w:pPr>
            <w:r>
              <w:rPr>
                <w:sz w:val="16"/>
              </w:rPr>
              <w:t>398</w:t>
            </w:r>
          </w:p>
        </w:tc>
        <w:tc>
          <w:tcPr>
            <w:tcW w:w="964" w:type="dxa"/>
            <w:tcBorders>
              <w:top w:val="double" w:sz="2" w:space="0" w:color="000000"/>
              <w:bottom w:val="single" w:sz="8" w:space="0" w:color="FFFFFF"/>
            </w:tcBorders>
            <w:shd w:val="clear" w:color="auto" w:fill="F4F4F4"/>
          </w:tcPr>
          <w:p>
            <w:pPr>
              <w:pStyle w:val="TableParagraph"/>
              <w:spacing w:before="0"/>
              <w:rPr>
                <w:rFonts w:ascii="Times New Roman"/>
                <w:sz w:val="18"/>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i/>
                <w:sz w:val="16"/>
              </w:rPr>
            </w:pPr>
            <w:r>
              <w:rPr>
                <w:i/>
                <w:color w:val="A7BE39"/>
                <w:sz w:val="16"/>
              </w:rPr>
              <w:t>Non-current</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5"/>
              <w:ind w:left="113"/>
              <w:rPr>
                <w:sz w:val="10"/>
              </w:rPr>
            </w:pPr>
            <w:r>
              <w:rPr>
                <w:sz w:val="16"/>
              </w:rPr>
              <w:t>Accrued salaries suspense account</w:t>
            </w:r>
            <w:r>
              <w:rPr>
                <w:position w:val="6"/>
                <w:sz w:val="10"/>
              </w:rPr>
              <w:t>(c)</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111"/>
                <w:sz w:val="16"/>
              </w:rPr>
              <w:t>-</w:t>
            </w:r>
          </w:p>
        </w:tc>
      </w:tr>
      <w:tr>
        <w:trPr>
          <w:trHeight w:val="221" w:hRule="atLeast"/>
        </w:trPr>
        <w:tc>
          <w:tcPr>
            <w:tcW w:w="2863" w:type="dxa"/>
            <w:tcBorders>
              <w:top w:val="single" w:sz="8" w:space="0" w:color="FFFFFF"/>
              <w:bottom w:val="single" w:sz="8" w:space="0" w:color="FFFFFF"/>
            </w:tcBorders>
            <w:shd w:val="clear" w:color="auto" w:fill="FAF9F9"/>
          </w:tcPr>
          <w:p>
            <w:pPr>
              <w:pStyle w:val="TableParagraph"/>
              <w:spacing w:line="163" w:lineRule="exact" w:before="39"/>
              <w:ind w:left="113"/>
              <w:rPr>
                <w:b/>
                <w:sz w:val="16"/>
              </w:rPr>
            </w:pPr>
            <w:r>
              <w:rPr>
                <w:b/>
                <w:sz w:val="16"/>
              </w:rPr>
              <w:t>Total non-current</w:t>
            </w:r>
          </w:p>
        </w:tc>
        <w:tc>
          <w:tcPr>
            <w:tcW w:w="964" w:type="dxa"/>
            <w:tcBorders>
              <w:top w:val="single" w:sz="4" w:space="0" w:color="000000"/>
              <w:bottom w:val="single" w:sz="34" w:space="0" w:color="FFFFFF"/>
            </w:tcBorders>
            <w:shd w:val="clear" w:color="auto" w:fill="E1E4BB"/>
          </w:tcPr>
          <w:p>
            <w:pPr>
              <w:pStyle w:val="TableParagraph"/>
              <w:spacing w:line="163" w:lineRule="exact" w:before="39"/>
              <w:ind w:right="111"/>
              <w:jc w:val="right"/>
              <w:rPr>
                <w:b/>
                <w:sz w:val="16"/>
              </w:rPr>
            </w:pPr>
            <w:r>
              <w:rPr>
                <w:b/>
                <w:w w:val="95"/>
                <w:sz w:val="16"/>
              </w:rPr>
              <w:t>398</w:t>
            </w:r>
          </w:p>
        </w:tc>
        <w:tc>
          <w:tcPr>
            <w:tcW w:w="964" w:type="dxa"/>
            <w:tcBorders>
              <w:top w:val="single" w:sz="4" w:space="0" w:color="000000"/>
              <w:bottom w:val="single" w:sz="34" w:space="0" w:color="FFFFFF"/>
            </w:tcBorders>
            <w:shd w:val="clear" w:color="auto" w:fill="FAF9F9"/>
          </w:tcPr>
          <w:p>
            <w:pPr>
              <w:pStyle w:val="TableParagraph"/>
              <w:spacing w:line="163" w:lineRule="exact" w:before="39"/>
              <w:ind w:right="111"/>
              <w:jc w:val="right"/>
              <w:rPr>
                <w:b/>
                <w:sz w:val="16"/>
              </w:rPr>
            </w:pPr>
            <w:r>
              <w:rPr>
                <w:b/>
                <w:w w:val="122"/>
                <w:sz w:val="16"/>
              </w:rPr>
              <w:t>-</w:t>
            </w:r>
          </w:p>
        </w:tc>
      </w:tr>
    </w:tbl>
    <w:p>
      <w:pPr>
        <w:pStyle w:val="ListParagraph"/>
        <w:numPr>
          <w:ilvl w:val="1"/>
          <w:numId w:val="10"/>
        </w:numPr>
        <w:tabs>
          <w:tab w:pos="919" w:val="left" w:leader="none"/>
        </w:tabs>
        <w:spacing w:line="278" w:lineRule="auto" w:before="124" w:after="0"/>
        <w:ind w:left="932" w:right="55" w:hanging="167"/>
        <w:jc w:val="left"/>
        <w:rPr>
          <w:sz w:val="12"/>
        </w:rPr>
      </w:pPr>
      <w:r>
        <w:rPr>
          <w:sz w:val="12"/>
        </w:rPr>
        <w:t>Unspent</w:t>
      </w:r>
      <w:r>
        <w:rPr>
          <w:spacing w:val="-16"/>
          <w:sz w:val="12"/>
        </w:rPr>
        <w:t> </w:t>
      </w:r>
      <w:r>
        <w:rPr>
          <w:sz w:val="12"/>
        </w:rPr>
        <w:t>funding</w:t>
      </w:r>
      <w:r>
        <w:rPr>
          <w:spacing w:val="-15"/>
          <w:sz w:val="12"/>
        </w:rPr>
        <w:t> </w:t>
      </w:r>
      <w:r>
        <w:rPr>
          <w:sz w:val="12"/>
        </w:rPr>
        <w:t>provided</w:t>
      </w:r>
      <w:r>
        <w:rPr>
          <w:spacing w:val="-15"/>
          <w:sz w:val="12"/>
        </w:rPr>
        <w:t> </w:t>
      </w:r>
      <w:r>
        <w:rPr>
          <w:sz w:val="12"/>
        </w:rPr>
        <w:t>from</w:t>
      </w:r>
      <w:r>
        <w:rPr>
          <w:spacing w:val="-15"/>
          <w:sz w:val="12"/>
        </w:rPr>
        <w:t> </w:t>
      </w:r>
      <w:r>
        <w:rPr>
          <w:sz w:val="12"/>
        </w:rPr>
        <w:t>Royalties</w:t>
      </w:r>
      <w:r>
        <w:rPr>
          <w:spacing w:val="-15"/>
          <w:sz w:val="12"/>
        </w:rPr>
        <w:t> </w:t>
      </w:r>
      <w:r>
        <w:rPr>
          <w:sz w:val="12"/>
        </w:rPr>
        <w:t>for</w:t>
      </w:r>
      <w:r>
        <w:rPr>
          <w:spacing w:val="-16"/>
          <w:sz w:val="12"/>
        </w:rPr>
        <w:t> </w:t>
      </w:r>
      <w:r>
        <w:rPr>
          <w:sz w:val="12"/>
        </w:rPr>
        <w:t>Regions</w:t>
      </w:r>
      <w:r>
        <w:rPr>
          <w:spacing w:val="-15"/>
          <w:sz w:val="12"/>
        </w:rPr>
        <w:t> </w:t>
      </w:r>
      <w:r>
        <w:rPr>
          <w:sz w:val="12"/>
        </w:rPr>
        <w:t>relating</w:t>
      </w:r>
      <w:r>
        <w:rPr>
          <w:spacing w:val="-15"/>
          <w:sz w:val="12"/>
        </w:rPr>
        <w:t> </w:t>
      </w:r>
      <w:r>
        <w:rPr>
          <w:sz w:val="12"/>
        </w:rPr>
        <w:t>to</w:t>
      </w:r>
      <w:r>
        <w:rPr>
          <w:spacing w:val="-15"/>
          <w:sz w:val="12"/>
        </w:rPr>
        <w:t> </w:t>
      </w:r>
      <w:r>
        <w:rPr>
          <w:sz w:val="12"/>
        </w:rPr>
        <w:t>the</w:t>
      </w:r>
      <w:r>
        <w:rPr>
          <w:spacing w:val="-15"/>
          <w:sz w:val="12"/>
        </w:rPr>
        <w:t> </w:t>
      </w:r>
      <w:r>
        <w:rPr>
          <w:sz w:val="12"/>
        </w:rPr>
        <w:t>Karratha</w:t>
      </w:r>
      <w:r>
        <w:rPr>
          <w:spacing w:val="-16"/>
          <w:sz w:val="12"/>
        </w:rPr>
        <w:t> </w:t>
      </w:r>
      <w:r>
        <w:rPr>
          <w:sz w:val="12"/>
        </w:rPr>
        <w:t>Government Office Co-Location Project (The</w:t>
      </w:r>
      <w:r>
        <w:rPr>
          <w:spacing w:val="-5"/>
          <w:sz w:val="12"/>
        </w:rPr>
        <w:t> </w:t>
      </w:r>
      <w:r>
        <w:rPr>
          <w:sz w:val="12"/>
        </w:rPr>
        <w:t>Quarter).</w:t>
      </w:r>
    </w:p>
    <w:p>
      <w:pPr>
        <w:pStyle w:val="ListParagraph"/>
        <w:numPr>
          <w:ilvl w:val="1"/>
          <w:numId w:val="10"/>
        </w:numPr>
        <w:tabs>
          <w:tab w:pos="926" w:val="left" w:leader="none"/>
        </w:tabs>
        <w:spacing w:line="138" w:lineRule="exact" w:before="0" w:after="0"/>
        <w:ind w:left="925" w:right="0" w:hanging="160"/>
        <w:jc w:val="left"/>
        <w:rPr>
          <w:sz w:val="12"/>
        </w:rPr>
      </w:pPr>
      <w:r>
        <w:rPr>
          <w:sz w:val="12"/>
        </w:rPr>
        <w:t>Commonwealth Government funded</w:t>
      </w:r>
      <w:r>
        <w:rPr>
          <w:spacing w:val="-3"/>
          <w:sz w:val="12"/>
        </w:rPr>
        <w:t> </w:t>
      </w:r>
      <w:r>
        <w:rPr>
          <w:sz w:val="12"/>
        </w:rPr>
        <w:t>Program.</w:t>
      </w:r>
    </w:p>
    <w:p>
      <w:pPr>
        <w:pStyle w:val="ListParagraph"/>
        <w:numPr>
          <w:ilvl w:val="1"/>
          <w:numId w:val="10"/>
        </w:numPr>
        <w:tabs>
          <w:tab w:pos="919" w:val="left" w:leader="none"/>
        </w:tabs>
        <w:spacing w:line="278" w:lineRule="auto" w:before="22" w:after="0"/>
        <w:ind w:left="932" w:right="0" w:hanging="167"/>
        <w:jc w:val="left"/>
        <w:rPr>
          <w:sz w:val="12"/>
        </w:rPr>
      </w:pPr>
      <w:r>
        <w:rPr>
          <w:sz w:val="12"/>
        </w:rPr>
        <w:t>Funds</w:t>
      </w:r>
      <w:r>
        <w:rPr>
          <w:spacing w:val="-7"/>
          <w:sz w:val="12"/>
        </w:rPr>
        <w:t> </w:t>
      </w:r>
      <w:r>
        <w:rPr>
          <w:sz w:val="12"/>
        </w:rPr>
        <w:t>held</w:t>
      </w:r>
      <w:r>
        <w:rPr>
          <w:spacing w:val="-6"/>
          <w:sz w:val="12"/>
        </w:rPr>
        <w:t> </w:t>
      </w:r>
      <w:r>
        <w:rPr>
          <w:sz w:val="12"/>
        </w:rPr>
        <w:t>in</w:t>
      </w:r>
      <w:r>
        <w:rPr>
          <w:spacing w:val="-7"/>
          <w:sz w:val="12"/>
        </w:rPr>
        <w:t> </w:t>
      </w:r>
      <w:r>
        <w:rPr>
          <w:sz w:val="12"/>
        </w:rPr>
        <w:t>the</w:t>
      </w:r>
      <w:r>
        <w:rPr>
          <w:spacing w:val="-6"/>
          <w:sz w:val="12"/>
        </w:rPr>
        <w:t> </w:t>
      </w:r>
      <w:r>
        <w:rPr>
          <w:sz w:val="12"/>
        </w:rPr>
        <w:t>suspense</w:t>
      </w:r>
      <w:r>
        <w:rPr>
          <w:spacing w:val="-6"/>
          <w:sz w:val="12"/>
        </w:rPr>
        <w:t> </w:t>
      </w:r>
      <w:r>
        <w:rPr>
          <w:sz w:val="12"/>
        </w:rPr>
        <w:t>account</w:t>
      </w:r>
      <w:r>
        <w:rPr>
          <w:spacing w:val="-7"/>
          <w:sz w:val="12"/>
        </w:rPr>
        <w:t> </w:t>
      </w:r>
      <w:r>
        <w:rPr>
          <w:sz w:val="12"/>
        </w:rPr>
        <w:t>for</w:t>
      </w:r>
      <w:r>
        <w:rPr>
          <w:spacing w:val="-6"/>
          <w:sz w:val="12"/>
        </w:rPr>
        <w:t> </w:t>
      </w:r>
      <w:r>
        <w:rPr>
          <w:sz w:val="12"/>
        </w:rPr>
        <w:t>the</w:t>
      </w:r>
      <w:r>
        <w:rPr>
          <w:spacing w:val="-6"/>
          <w:sz w:val="12"/>
        </w:rPr>
        <w:t> </w:t>
      </w:r>
      <w:r>
        <w:rPr>
          <w:sz w:val="12"/>
        </w:rPr>
        <w:t>purpose</w:t>
      </w:r>
      <w:r>
        <w:rPr>
          <w:spacing w:val="-7"/>
          <w:sz w:val="12"/>
        </w:rPr>
        <w:t> </w:t>
      </w:r>
      <w:r>
        <w:rPr>
          <w:sz w:val="12"/>
        </w:rPr>
        <w:t>of</w:t>
      </w:r>
      <w:r>
        <w:rPr>
          <w:spacing w:val="-6"/>
          <w:sz w:val="12"/>
        </w:rPr>
        <w:t> </w:t>
      </w:r>
      <w:r>
        <w:rPr>
          <w:sz w:val="12"/>
        </w:rPr>
        <w:t>meeting</w:t>
      </w:r>
      <w:r>
        <w:rPr>
          <w:spacing w:val="-7"/>
          <w:sz w:val="12"/>
        </w:rPr>
        <w:t> </w:t>
      </w:r>
      <w:r>
        <w:rPr>
          <w:sz w:val="12"/>
        </w:rPr>
        <w:t>the</w:t>
      </w:r>
      <w:r>
        <w:rPr>
          <w:spacing w:val="-6"/>
          <w:sz w:val="12"/>
        </w:rPr>
        <w:t> </w:t>
      </w:r>
      <w:r>
        <w:rPr>
          <w:sz w:val="12"/>
        </w:rPr>
        <w:t>27th</w:t>
      </w:r>
      <w:r>
        <w:rPr>
          <w:spacing w:val="-6"/>
          <w:sz w:val="12"/>
        </w:rPr>
        <w:t> </w:t>
      </w:r>
      <w:r>
        <w:rPr>
          <w:sz w:val="12"/>
        </w:rPr>
        <w:t>pay</w:t>
      </w:r>
      <w:r>
        <w:rPr>
          <w:spacing w:val="-7"/>
          <w:sz w:val="12"/>
        </w:rPr>
        <w:t> </w:t>
      </w:r>
      <w:r>
        <w:rPr>
          <w:sz w:val="12"/>
        </w:rPr>
        <w:t>in</w:t>
      </w:r>
      <w:r>
        <w:rPr>
          <w:spacing w:val="-6"/>
          <w:sz w:val="12"/>
        </w:rPr>
        <w:t> </w:t>
      </w:r>
      <w:r>
        <w:rPr>
          <w:sz w:val="12"/>
        </w:rPr>
        <w:t>a</w:t>
      </w:r>
      <w:r>
        <w:rPr>
          <w:spacing w:val="-6"/>
          <w:sz w:val="12"/>
        </w:rPr>
        <w:t> </w:t>
      </w:r>
      <w:r>
        <w:rPr>
          <w:spacing w:val="-4"/>
          <w:sz w:val="12"/>
        </w:rPr>
        <w:t>reporting </w:t>
      </w:r>
      <w:r>
        <w:rPr>
          <w:sz w:val="12"/>
        </w:rPr>
        <w:t>period that occurs every 11th</w:t>
      </w:r>
      <w:r>
        <w:rPr>
          <w:spacing w:val="-3"/>
          <w:sz w:val="12"/>
        </w:rPr>
        <w:t> year.</w:t>
      </w:r>
    </w:p>
    <w:p>
      <w:pPr>
        <w:pStyle w:val="Heading5"/>
        <w:tabs>
          <w:tab w:pos="5633" w:val="left" w:leader="none"/>
        </w:tabs>
        <w:spacing w:before="110"/>
        <w:ind w:left="389"/>
      </w:pPr>
      <w:r>
        <w:rPr/>
        <w:br w:type="column"/>
      </w:r>
      <w:bookmarkStart w:name="_bookmark40" w:id="41"/>
      <w:bookmarkEnd w:id="41"/>
      <w:r>
        <w:rPr/>
      </w:r>
      <w:r>
        <w:rPr>
          <w:color w:val="6F2770"/>
        </w:rPr>
        <w:t>Note</w:t>
      </w:r>
      <w:r>
        <w:rPr>
          <w:color w:val="6F2770"/>
          <w:spacing w:val="-27"/>
        </w:rPr>
        <w:t> </w:t>
      </w:r>
      <w:r>
        <w:rPr>
          <w:color w:val="6F2770"/>
        </w:rPr>
        <w:t>20.</w:t>
      </w:r>
      <w:r>
        <w:rPr>
          <w:color w:val="6F2770"/>
          <w:spacing w:val="-26"/>
        </w:rPr>
        <w:t> </w:t>
      </w:r>
      <w:r>
        <w:rPr>
          <w:color w:val="6F2770"/>
        </w:rPr>
        <w:t>Receivables</w:t>
        <w:tab/>
      </w:r>
      <w:bookmarkStart w:name="_bookmark41" w:id="42"/>
      <w:bookmarkEnd w:id="42"/>
      <w:r>
        <w:rPr>
          <w:color w:val="6F2770"/>
        </w:rPr>
        <w:t>Note</w:t>
      </w:r>
      <w:r>
        <w:rPr>
          <w:color w:val="6F2770"/>
        </w:rPr>
        <w:t> 21. Finance lease</w:t>
      </w:r>
      <w:r>
        <w:rPr>
          <w:color w:val="6F2770"/>
          <w:spacing w:val="-67"/>
        </w:rPr>
        <w:t> </w:t>
      </w:r>
      <w:r>
        <w:rPr>
          <w:color w:val="6F2770"/>
        </w:rPr>
        <w:t>receivables</w:t>
      </w:r>
    </w:p>
    <w:p>
      <w:pPr>
        <w:pStyle w:val="BodyText"/>
        <w:spacing w:line="249" w:lineRule="auto" w:before="254"/>
        <w:ind w:left="5633" w:right="1437"/>
        <w:jc w:val="both"/>
      </w:pPr>
      <w:r>
        <w:rPr/>
        <w:pict>
          <v:shape style="position:absolute;margin-left:300.471985pt;margin-top:3.529473pt;width:239.55pt;height:223.6pt;mso-position-horizontal-relative:page;mso-position-vertical-relative:paragraph;z-index:1703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3827" w:type="dxa"/>
                        <w:gridSpan w:val="2"/>
                        <w:shd w:val="clear" w:color="auto" w:fill="783A79"/>
                      </w:tcPr>
                      <w:p>
                        <w:pPr>
                          <w:pStyle w:val="TableParagraph"/>
                          <w:spacing w:before="54"/>
                          <w:ind w:right="111"/>
                          <w:jc w:val="right"/>
                          <w:rPr>
                            <w:b/>
                            <w:sz w:val="16"/>
                          </w:rPr>
                        </w:pPr>
                        <w:r>
                          <w:rPr>
                            <w:b/>
                            <w:color w:val="FFFFFF"/>
                            <w:w w:val="95"/>
                            <w:sz w:val="16"/>
                          </w:rPr>
                          <w:t>2017</w:t>
                        </w:r>
                      </w:p>
                      <w:p>
                        <w:pPr>
                          <w:pStyle w:val="TableParagraph"/>
                          <w:spacing w:before="8"/>
                          <w:ind w:right="111"/>
                          <w:jc w:val="right"/>
                          <w:rPr>
                            <w:b/>
                            <w:sz w:val="16"/>
                          </w:rPr>
                        </w:pPr>
                        <w:r>
                          <w:rPr>
                            <w:b/>
                            <w:color w:val="FFFFFF"/>
                            <w:w w:val="95"/>
                            <w:sz w:val="16"/>
                          </w:rPr>
                          <w:t>$000</w:t>
                        </w:r>
                      </w:p>
                    </w:tc>
                    <w:tc>
                      <w:tcPr>
                        <w:tcW w:w="964" w:type="dxa"/>
                        <w:shd w:val="clear" w:color="auto" w:fill="783A79"/>
                      </w:tcPr>
                      <w:p>
                        <w:pPr>
                          <w:pStyle w:val="TableParagraph"/>
                          <w:spacing w:before="54"/>
                          <w:ind w:left="494"/>
                          <w:rPr>
                            <w:b/>
                            <w:sz w:val="16"/>
                          </w:rPr>
                        </w:pPr>
                        <w:r>
                          <w:rPr>
                            <w:b/>
                            <w:color w:val="FFFFFF"/>
                            <w:sz w:val="16"/>
                          </w:rPr>
                          <w:t>2016</w:t>
                        </w:r>
                      </w:p>
                      <w:p>
                        <w:pPr>
                          <w:pStyle w:val="TableParagraph"/>
                          <w:spacing w:before="8"/>
                          <w:ind w:left="494"/>
                          <w:rPr>
                            <w:b/>
                            <w:sz w:val="16"/>
                          </w:rPr>
                        </w:pPr>
                        <w:r>
                          <w:rPr>
                            <w:b/>
                            <w:color w:val="FFFFFF"/>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A7BE39"/>
                            <w:sz w:val="16"/>
                          </w:rPr>
                          <w:t>Current</w:t>
                        </w:r>
                      </w:p>
                    </w:tc>
                    <w:tc>
                      <w:tcPr>
                        <w:tcW w:w="964" w:type="dxa"/>
                        <w:shd w:val="clear" w:color="auto" w:fill="E1E4BB"/>
                      </w:tcPr>
                      <w:p>
                        <w:pPr>
                          <w:pStyle w:val="TableParagraph"/>
                          <w:spacing w:before="0"/>
                          <w:rPr>
                            <w:rFonts w:ascii="Times New Roman"/>
                            <w:sz w:val="18"/>
                          </w:rPr>
                        </w:pPr>
                      </w:p>
                    </w:tc>
                    <w:tc>
                      <w:tcPr>
                        <w:tcW w:w="964" w:type="dxa"/>
                        <w:shd w:val="clear" w:color="auto" w:fill="FAF9F9"/>
                      </w:tcPr>
                      <w:p>
                        <w:pPr>
                          <w:pStyle w:val="TableParagraph"/>
                          <w:spacing w:before="0"/>
                          <w:rPr>
                            <w:rFonts w:ascii="Times New Roman"/>
                            <w:sz w:val="18"/>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Receivables</w:t>
                        </w:r>
                      </w:p>
                    </w:tc>
                    <w:tc>
                      <w:tcPr>
                        <w:tcW w:w="964" w:type="dxa"/>
                        <w:shd w:val="clear" w:color="auto" w:fill="E1E4BB"/>
                      </w:tcPr>
                      <w:p>
                        <w:pPr>
                          <w:pStyle w:val="TableParagraph"/>
                          <w:spacing w:before="39"/>
                          <w:ind w:right="111"/>
                          <w:jc w:val="right"/>
                          <w:rPr>
                            <w:sz w:val="16"/>
                          </w:rPr>
                        </w:pPr>
                        <w:r>
                          <w:rPr>
                            <w:w w:val="95"/>
                            <w:sz w:val="16"/>
                          </w:rPr>
                          <w:t>74,784</w:t>
                        </w:r>
                      </w:p>
                    </w:tc>
                    <w:tc>
                      <w:tcPr>
                        <w:tcW w:w="964" w:type="dxa"/>
                        <w:shd w:val="clear" w:color="auto" w:fill="FAF9F9"/>
                      </w:tcPr>
                      <w:p>
                        <w:pPr>
                          <w:pStyle w:val="TableParagraph"/>
                          <w:spacing w:before="39"/>
                          <w:ind w:right="111"/>
                          <w:jc w:val="right"/>
                          <w:rPr>
                            <w:sz w:val="16"/>
                          </w:rPr>
                        </w:pPr>
                        <w:r>
                          <w:rPr>
                            <w:w w:val="95"/>
                            <w:sz w:val="16"/>
                          </w:rPr>
                          <w:t>61,130</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Accrued revenue</w:t>
                        </w:r>
                      </w:p>
                    </w:tc>
                    <w:tc>
                      <w:tcPr>
                        <w:tcW w:w="964" w:type="dxa"/>
                        <w:shd w:val="clear" w:color="auto" w:fill="E1E4BB"/>
                      </w:tcPr>
                      <w:p>
                        <w:pPr>
                          <w:pStyle w:val="TableParagraph"/>
                          <w:spacing w:before="39"/>
                          <w:ind w:right="111"/>
                          <w:jc w:val="right"/>
                          <w:rPr>
                            <w:sz w:val="16"/>
                          </w:rPr>
                        </w:pPr>
                        <w:r>
                          <w:rPr>
                            <w:w w:val="95"/>
                            <w:sz w:val="16"/>
                          </w:rPr>
                          <w:t>6,990</w:t>
                        </w:r>
                      </w:p>
                    </w:tc>
                    <w:tc>
                      <w:tcPr>
                        <w:tcW w:w="964" w:type="dxa"/>
                        <w:shd w:val="clear" w:color="auto" w:fill="FAF9F9"/>
                      </w:tcPr>
                      <w:p>
                        <w:pPr>
                          <w:pStyle w:val="TableParagraph"/>
                          <w:spacing w:before="39"/>
                          <w:ind w:right="111"/>
                          <w:jc w:val="right"/>
                          <w:rPr>
                            <w:sz w:val="16"/>
                          </w:rPr>
                        </w:pPr>
                        <w:r>
                          <w:rPr>
                            <w:w w:val="95"/>
                            <w:sz w:val="16"/>
                          </w:rPr>
                          <w:t>12,995</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line="163" w:lineRule="exact" w:before="0"/>
                          <w:ind w:left="113"/>
                          <w:rPr>
                            <w:sz w:val="16"/>
                          </w:rPr>
                        </w:pPr>
                        <w:r>
                          <w:rPr>
                            <w:sz w:val="16"/>
                          </w:rPr>
                          <w:t>GST receivable</w:t>
                        </w:r>
                      </w:p>
                    </w:tc>
                    <w:tc>
                      <w:tcPr>
                        <w:tcW w:w="964" w:type="dxa"/>
                        <w:shd w:val="clear" w:color="auto" w:fill="E1E4BB"/>
                      </w:tcPr>
                      <w:p>
                        <w:pPr>
                          <w:pStyle w:val="TableParagraph"/>
                          <w:spacing w:before="39"/>
                          <w:ind w:right="111"/>
                          <w:jc w:val="right"/>
                          <w:rPr>
                            <w:sz w:val="16"/>
                          </w:rPr>
                        </w:pPr>
                        <w:r>
                          <w:rPr>
                            <w:w w:val="111"/>
                            <w:sz w:val="16"/>
                          </w:rPr>
                          <w:t>-</w:t>
                        </w:r>
                      </w:p>
                    </w:tc>
                    <w:tc>
                      <w:tcPr>
                        <w:tcW w:w="964" w:type="dxa"/>
                        <w:shd w:val="clear" w:color="auto" w:fill="FAF9F9"/>
                      </w:tcPr>
                      <w:p>
                        <w:pPr>
                          <w:pStyle w:val="TableParagraph"/>
                          <w:spacing w:before="39"/>
                          <w:ind w:right="111"/>
                          <w:jc w:val="right"/>
                          <w:rPr>
                            <w:sz w:val="16"/>
                          </w:rPr>
                        </w:pPr>
                        <w:r>
                          <w:rPr>
                            <w:w w:val="111"/>
                            <w:sz w:val="16"/>
                          </w:rPr>
                          <w:t>-</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Interest receivable</w:t>
                        </w:r>
                      </w:p>
                    </w:tc>
                    <w:tc>
                      <w:tcPr>
                        <w:tcW w:w="964" w:type="dxa"/>
                        <w:shd w:val="clear" w:color="auto" w:fill="E1E4BB"/>
                      </w:tcPr>
                      <w:p>
                        <w:pPr>
                          <w:pStyle w:val="TableParagraph"/>
                          <w:spacing w:before="39"/>
                          <w:ind w:right="111"/>
                          <w:jc w:val="right"/>
                          <w:rPr>
                            <w:sz w:val="16"/>
                          </w:rPr>
                        </w:pPr>
                        <w:r>
                          <w:rPr>
                            <w:w w:val="95"/>
                            <w:sz w:val="16"/>
                          </w:rPr>
                          <w:t>124</w:t>
                        </w:r>
                      </w:p>
                    </w:tc>
                    <w:tc>
                      <w:tcPr>
                        <w:tcW w:w="964" w:type="dxa"/>
                        <w:shd w:val="clear" w:color="auto" w:fill="FAF9F9"/>
                      </w:tcPr>
                      <w:p>
                        <w:pPr>
                          <w:pStyle w:val="TableParagraph"/>
                          <w:spacing w:before="39"/>
                          <w:ind w:right="111"/>
                          <w:jc w:val="right"/>
                          <w:rPr>
                            <w:sz w:val="16"/>
                          </w:rPr>
                        </w:pPr>
                        <w:r>
                          <w:rPr>
                            <w:w w:val="95"/>
                            <w:sz w:val="16"/>
                          </w:rPr>
                          <w:t>31</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Trust account</w:t>
                        </w:r>
                        <w:r>
                          <w:rPr>
                            <w:position w:val="6"/>
                            <w:sz w:val="10"/>
                          </w:rPr>
                          <w:t>(a)</w:t>
                        </w:r>
                      </w:p>
                    </w:tc>
                    <w:tc>
                      <w:tcPr>
                        <w:tcW w:w="964" w:type="dxa"/>
                        <w:tcBorders>
                          <w:bottom w:val="single" w:sz="4" w:space="0" w:color="000000"/>
                        </w:tcBorders>
                        <w:shd w:val="clear" w:color="auto" w:fill="E1E4BB"/>
                      </w:tcPr>
                      <w:p>
                        <w:pPr>
                          <w:pStyle w:val="TableParagraph"/>
                          <w:spacing w:before="39"/>
                          <w:ind w:right="111"/>
                          <w:jc w:val="right"/>
                          <w:rPr>
                            <w:sz w:val="16"/>
                          </w:rPr>
                        </w:pPr>
                        <w:r>
                          <w:rPr>
                            <w:w w:val="95"/>
                            <w:sz w:val="16"/>
                          </w:rPr>
                          <w:t>6,203</w:t>
                        </w:r>
                      </w:p>
                    </w:tc>
                    <w:tc>
                      <w:tcPr>
                        <w:tcW w:w="964" w:type="dxa"/>
                        <w:tcBorders>
                          <w:bottom w:val="single" w:sz="4" w:space="0" w:color="000000"/>
                        </w:tcBorders>
                        <w:shd w:val="clear" w:color="auto" w:fill="FAF9F9"/>
                      </w:tcPr>
                      <w:p>
                        <w:pPr>
                          <w:pStyle w:val="TableParagraph"/>
                          <w:spacing w:before="39"/>
                          <w:ind w:right="111"/>
                          <w:jc w:val="right"/>
                          <w:rPr>
                            <w:sz w:val="16"/>
                          </w:rPr>
                        </w:pPr>
                        <w:r>
                          <w:rPr>
                            <w:w w:val="95"/>
                            <w:sz w:val="16"/>
                          </w:rPr>
                          <w:t>4,253</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sz w:val="16"/>
                          </w:rPr>
                        </w:pPr>
                        <w:r>
                          <w:rPr>
                            <w:w w:val="95"/>
                            <w:sz w:val="16"/>
                          </w:rPr>
                          <w:t>88,101</w:t>
                        </w:r>
                      </w:p>
                    </w:tc>
                    <w:tc>
                      <w:tcPr>
                        <w:tcW w:w="964" w:type="dxa"/>
                        <w:tcBorders>
                          <w:top w:val="single" w:sz="4" w:space="0" w:color="000000"/>
                          <w:bottom w:val="single" w:sz="4" w:space="0" w:color="000000"/>
                        </w:tcBorders>
                        <w:shd w:val="clear" w:color="auto" w:fill="F4F4F4"/>
                      </w:tcPr>
                      <w:p>
                        <w:pPr>
                          <w:pStyle w:val="TableParagraph"/>
                          <w:spacing w:before="39"/>
                          <w:ind w:right="111"/>
                          <w:jc w:val="right"/>
                          <w:rPr>
                            <w:sz w:val="16"/>
                          </w:rPr>
                        </w:pPr>
                        <w:r>
                          <w:rPr>
                            <w:w w:val="95"/>
                            <w:sz w:val="16"/>
                          </w:rPr>
                          <w:t>78,409</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116"/>
                          <w:ind w:left="361"/>
                          <w:rPr>
                            <w:sz w:val="16"/>
                          </w:rPr>
                        </w:pPr>
                        <w:r>
                          <w:rPr>
                            <w:sz w:val="16"/>
                          </w:rPr>
                          <w:t>88,330</w:t>
                        </w:r>
                      </w:p>
                    </w:tc>
                    <w:tc>
                      <w:tcPr>
                        <w:tcW w:w="964" w:type="dxa"/>
                        <w:vMerge w:val="restart"/>
                        <w:tcBorders>
                          <w:top w:val="single" w:sz="4" w:space="0" w:color="000000"/>
                          <w:bottom w:val="single" w:sz="4" w:space="0" w:color="000000"/>
                        </w:tcBorders>
                        <w:shd w:val="clear" w:color="auto" w:fill="FAF9F9"/>
                      </w:tcPr>
                      <w:p>
                        <w:pPr>
                          <w:pStyle w:val="TableParagraph"/>
                          <w:spacing w:before="0"/>
                          <w:rPr>
                            <w:sz w:val="18"/>
                          </w:rPr>
                        </w:pPr>
                      </w:p>
                      <w:p>
                        <w:pPr>
                          <w:pStyle w:val="TableParagraph"/>
                          <w:spacing w:before="116"/>
                          <w:ind w:left="271"/>
                          <w:rPr>
                            <w:sz w:val="16"/>
                          </w:rPr>
                        </w:pPr>
                        <w:r>
                          <w:rPr>
                            <w:sz w:val="16"/>
                          </w:rPr>
                          <w:t>216,301</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5"/>
                          <w:ind w:left="113"/>
                          <w:rPr>
                            <w:sz w:val="10"/>
                          </w:rPr>
                        </w:pPr>
                        <w:r>
                          <w:rPr>
                            <w:sz w:val="16"/>
                          </w:rPr>
                          <w:t>Underbillings</w:t>
                        </w:r>
                        <w:r>
                          <w:rPr>
                            <w:position w:val="6"/>
                            <w:sz w:val="10"/>
                          </w:rPr>
                          <w:t>(b)</w:t>
                        </w:r>
                      </w:p>
                    </w:tc>
                    <w:tc>
                      <w:tcPr>
                        <w:tcW w:w="964" w:type="dxa"/>
                        <w:vMerge/>
                        <w:tcBorders>
                          <w:top w:val="nil"/>
                          <w:bottom w:val="single" w:sz="4" w:space="0" w:color="000000"/>
                        </w:tcBorders>
                        <w:shd w:val="clear" w:color="auto" w:fill="E1E4BB"/>
                      </w:tcPr>
                      <w:p>
                        <w:pPr>
                          <w:rPr>
                            <w:sz w:val="2"/>
                            <w:szCs w:val="2"/>
                          </w:rPr>
                        </w:pPr>
                      </w:p>
                    </w:tc>
                    <w:tc>
                      <w:tcPr>
                        <w:tcW w:w="964" w:type="dxa"/>
                        <w:vMerge/>
                        <w:tcBorders>
                          <w:top w:val="nil"/>
                          <w:bottom w:val="single" w:sz="4" w:space="0" w:color="000000"/>
                        </w:tcBorders>
                        <w:shd w:val="clear" w:color="auto" w:fill="FAF9F9"/>
                      </w:tcPr>
                      <w:p>
                        <w:pPr>
                          <w:rPr>
                            <w:sz w:val="2"/>
                            <w:szCs w:val="2"/>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b/>
                            <w:sz w:val="16"/>
                          </w:rPr>
                        </w:pPr>
                        <w:r>
                          <w:rPr>
                            <w:b/>
                            <w:sz w:val="16"/>
                          </w:rPr>
                          <w:t>Total current</w:t>
                        </w: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b/>
                            <w:sz w:val="16"/>
                          </w:rPr>
                        </w:pPr>
                        <w:r>
                          <w:rPr>
                            <w:b/>
                            <w:w w:val="95"/>
                            <w:sz w:val="16"/>
                          </w:rPr>
                          <w:t>176,431</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b/>
                            <w:sz w:val="16"/>
                          </w:rPr>
                        </w:pPr>
                        <w:r>
                          <w:rPr>
                            <w:b/>
                            <w:w w:val="95"/>
                            <w:sz w:val="16"/>
                          </w:rPr>
                          <w:t>294,710</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0"/>
                          <w:rPr>
                            <w:sz w:val="18"/>
                          </w:rPr>
                        </w:pPr>
                      </w:p>
                      <w:p>
                        <w:pPr>
                          <w:pStyle w:val="TableParagraph"/>
                          <w:spacing w:before="9"/>
                          <w:rPr>
                            <w:sz w:val="16"/>
                          </w:rPr>
                        </w:pPr>
                      </w:p>
                      <w:p>
                        <w:pPr>
                          <w:pStyle w:val="TableParagraph"/>
                          <w:spacing w:before="1"/>
                          <w:ind w:left="450"/>
                          <w:rPr>
                            <w:sz w:val="16"/>
                          </w:rPr>
                        </w:pPr>
                        <w:r>
                          <w:rPr>
                            <w:sz w:val="16"/>
                          </w:rPr>
                          <w:t>1,948</w:t>
                        </w:r>
                      </w:p>
                    </w:tc>
                    <w:tc>
                      <w:tcPr>
                        <w:tcW w:w="964" w:type="dxa"/>
                        <w:vMerge w:val="restart"/>
                        <w:tcBorders>
                          <w:top w:val="single" w:sz="4" w:space="0" w:color="000000"/>
                          <w:bottom w:val="single" w:sz="4" w:space="0" w:color="000000"/>
                        </w:tcBorders>
                        <w:shd w:val="clear" w:color="auto" w:fill="FAF9F9"/>
                      </w:tcPr>
                      <w:p>
                        <w:pPr>
                          <w:pStyle w:val="TableParagraph"/>
                          <w:spacing w:before="0"/>
                          <w:rPr>
                            <w:sz w:val="18"/>
                          </w:rPr>
                        </w:pPr>
                      </w:p>
                      <w:p>
                        <w:pPr>
                          <w:pStyle w:val="TableParagraph"/>
                          <w:spacing w:before="0"/>
                          <w:rPr>
                            <w:sz w:val="18"/>
                          </w:rPr>
                        </w:pPr>
                      </w:p>
                      <w:p>
                        <w:pPr>
                          <w:pStyle w:val="TableParagraph"/>
                          <w:spacing w:before="9"/>
                          <w:rPr>
                            <w:sz w:val="16"/>
                          </w:rPr>
                        </w:pPr>
                      </w:p>
                      <w:p>
                        <w:pPr>
                          <w:pStyle w:val="TableParagraph"/>
                          <w:spacing w:before="1"/>
                          <w:ind w:right="111"/>
                          <w:jc w:val="right"/>
                          <w:rPr>
                            <w:sz w:val="16"/>
                          </w:rPr>
                        </w:pPr>
                        <w:r>
                          <w:rPr>
                            <w:w w:val="111"/>
                            <w:sz w:val="16"/>
                          </w:rPr>
                          <w:t>-</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i/>
                            <w:sz w:val="16"/>
                          </w:rPr>
                        </w:pPr>
                        <w:r>
                          <w:rPr>
                            <w:i/>
                            <w:color w:val="A7BE39"/>
                            <w:sz w:val="16"/>
                          </w:rPr>
                          <w:t>Non-current</w:t>
                        </w:r>
                      </w:p>
                    </w:tc>
                    <w:tc>
                      <w:tcPr>
                        <w:tcW w:w="964" w:type="dxa"/>
                        <w:vMerge/>
                        <w:tcBorders>
                          <w:top w:val="nil"/>
                          <w:bottom w:val="single" w:sz="4" w:space="0" w:color="000000"/>
                        </w:tcBorders>
                        <w:shd w:val="clear" w:color="auto" w:fill="E1E4BB"/>
                      </w:tcPr>
                      <w:p>
                        <w:pPr>
                          <w:rPr>
                            <w:sz w:val="2"/>
                            <w:szCs w:val="2"/>
                          </w:rPr>
                        </w:pPr>
                      </w:p>
                    </w:tc>
                    <w:tc>
                      <w:tcPr>
                        <w:tcW w:w="964" w:type="dxa"/>
                        <w:vMerge/>
                        <w:tcBorders>
                          <w:top w:val="nil"/>
                          <w:bottom w:val="single" w:sz="4" w:space="0" w:color="000000"/>
                        </w:tcBorders>
                        <w:shd w:val="clear" w:color="auto" w:fill="FAF9F9"/>
                      </w:tcPr>
                      <w:p>
                        <w:pPr>
                          <w:rPr>
                            <w:sz w:val="2"/>
                            <w:szCs w:val="2"/>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Receivables</w:t>
                        </w:r>
                      </w:p>
                    </w:tc>
                    <w:tc>
                      <w:tcPr>
                        <w:tcW w:w="964" w:type="dxa"/>
                        <w:vMerge/>
                        <w:tcBorders>
                          <w:top w:val="nil"/>
                          <w:bottom w:val="single" w:sz="4" w:space="0" w:color="000000"/>
                        </w:tcBorders>
                        <w:shd w:val="clear" w:color="auto" w:fill="E1E4BB"/>
                      </w:tcPr>
                      <w:p>
                        <w:pPr>
                          <w:rPr>
                            <w:sz w:val="2"/>
                            <w:szCs w:val="2"/>
                          </w:rPr>
                        </w:pPr>
                      </w:p>
                    </w:tc>
                    <w:tc>
                      <w:tcPr>
                        <w:tcW w:w="964" w:type="dxa"/>
                        <w:vMerge/>
                        <w:tcBorders>
                          <w:top w:val="nil"/>
                          <w:bottom w:val="single" w:sz="4" w:space="0" w:color="000000"/>
                        </w:tcBorders>
                        <w:shd w:val="clear" w:color="auto" w:fill="FAF9F9"/>
                      </w:tcPr>
                      <w:p>
                        <w:pPr>
                          <w:rPr>
                            <w:sz w:val="2"/>
                            <w:szCs w:val="2"/>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b/>
                            <w:sz w:val="16"/>
                          </w:rPr>
                        </w:pPr>
                        <w:r>
                          <w:rPr>
                            <w:b/>
                            <w:sz w:val="16"/>
                          </w:rPr>
                          <w:t>Total non-current</w:t>
                        </w: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b/>
                            <w:sz w:val="16"/>
                          </w:rPr>
                        </w:pPr>
                        <w:r>
                          <w:rPr>
                            <w:b/>
                            <w:w w:val="95"/>
                            <w:sz w:val="16"/>
                          </w:rPr>
                          <w:t>1,948</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b/>
                            <w:sz w:val="16"/>
                          </w:rPr>
                        </w:pPr>
                        <w:r>
                          <w:rPr>
                            <w:b/>
                            <w:w w:val="122"/>
                            <w:sz w:val="16"/>
                          </w:rPr>
                          <w:t>-</w:t>
                        </w:r>
                      </w:p>
                    </w:tc>
                  </w:tr>
                </w:tbl>
                <w:p>
                  <w:pPr>
                    <w:pStyle w:val="BodyText"/>
                  </w:pPr>
                </w:p>
              </w:txbxContent>
            </v:textbox>
            <w10:wrap type="none"/>
          </v:shape>
        </w:pict>
      </w:r>
      <w:r>
        <w:rPr/>
        <w:t>The</w:t>
      </w:r>
      <w:r>
        <w:rPr>
          <w:spacing w:val="-29"/>
        </w:rPr>
        <w:t> </w:t>
      </w:r>
      <w:r>
        <w:rPr/>
        <w:t>Department</w:t>
      </w:r>
      <w:r>
        <w:rPr>
          <w:spacing w:val="-29"/>
        </w:rPr>
        <w:t> </w:t>
      </w:r>
      <w:r>
        <w:rPr/>
        <w:t>leases</w:t>
      </w:r>
      <w:r>
        <w:rPr>
          <w:spacing w:val="-29"/>
        </w:rPr>
        <w:t> </w:t>
      </w:r>
      <w:r>
        <w:rPr/>
        <w:t>vehicles</w:t>
      </w:r>
      <w:r>
        <w:rPr>
          <w:spacing w:val="-29"/>
        </w:rPr>
        <w:t> </w:t>
      </w:r>
      <w:r>
        <w:rPr/>
        <w:t>to</w:t>
      </w:r>
      <w:r>
        <w:rPr>
          <w:spacing w:val="-29"/>
        </w:rPr>
        <w:t> </w:t>
      </w:r>
      <w:r>
        <w:rPr/>
        <w:t>Western Australian</w:t>
      </w:r>
      <w:r>
        <w:rPr>
          <w:spacing w:val="-27"/>
        </w:rPr>
        <w:t> </w:t>
      </w:r>
      <w:r>
        <w:rPr/>
        <w:t>State</w:t>
      </w:r>
      <w:r>
        <w:rPr>
          <w:spacing w:val="-27"/>
        </w:rPr>
        <w:t> </w:t>
      </w:r>
      <w:r>
        <w:rPr/>
        <w:t>Government</w:t>
      </w:r>
      <w:r>
        <w:rPr>
          <w:spacing w:val="-26"/>
        </w:rPr>
        <w:t> </w:t>
      </w:r>
      <w:r>
        <w:rPr/>
        <w:t>agencies</w:t>
      </w:r>
      <w:r>
        <w:rPr>
          <w:spacing w:val="-27"/>
        </w:rPr>
        <w:t> </w:t>
      </w:r>
      <w:r>
        <w:rPr/>
        <w:t>and entities.</w:t>
      </w:r>
      <w:r>
        <w:rPr>
          <w:spacing w:val="-32"/>
        </w:rPr>
        <w:t> </w:t>
      </w:r>
      <w:r>
        <w:rPr/>
        <w:t>The</w:t>
      </w:r>
      <w:r>
        <w:rPr>
          <w:spacing w:val="-32"/>
        </w:rPr>
        <w:t> </w:t>
      </w:r>
      <w:r>
        <w:rPr/>
        <w:t>majority</w:t>
      </w:r>
      <w:r>
        <w:rPr>
          <w:spacing w:val="-31"/>
        </w:rPr>
        <w:t> </w:t>
      </w:r>
      <w:r>
        <w:rPr/>
        <w:t>of</w:t>
      </w:r>
      <w:r>
        <w:rPr>
          <w:spacing w:val="-32"/>
        </w:rPr>
        <w:t> </w:t>
      </w:r>
      <w:r>
        <w:rPr/>
        <w:t>leases</w:t>
      </w:r>
      <w:r>
        <w:rPr>
          <w:spacing w:val="-31"/>
        </w:rPr>
        <w:t> </w:t>
      </w:r>
      <w:r>
        <w:rPr/>
        <w:t>are</w:t>
      </w:r>
      <w:r>
        <w:rPr>
          <w:spacing w:val="-32"/>
        </w:rPr>
        <w:t> </w:t>
      </w:r>
      <w:r>
        <w:rPr/>
        <w:t>operating leases,</w:t>
      </w:r>
      <w:r>
        <w:rPr>
          <w:spacing w:val="-14"/>
        </w:rPr>
        <w:t> </w:t>
      </w:r>
      <w:r>
        <w:rPr/>
        <w:t>the</w:t>
      </w:r>
      <w:r>
        <w:rPr>
          <w:spacing w:val="-13"/>
        </w:rPr>
        <w:t> </w:t>
      </w:r>
      <w:r>
        <w:rPr/>
        <w:t>balance</w:t>
      </w:r>
      <w:r>
        <w:rPr>
          <w:spacing w:val="-13"/>
        </w:rPr>
        <w:t> </w:t>
      </w:r>
      <w:r>
        <w:rPr/>
        <w:t>are</w:t>
      </w:r>
      <w:r>
        <w:rPr>
          <w:spacing w:val="-13"/>
        </w:rPr>
        <w:t> </w:t>
      </w:r>
      <w:r>
        <w:rPr/>
        <w:t>finance</w:t>
      </w:r>
      <w:r>
        <w:rPr>
          <w:spacing w:val="-13"/>
        </w:rPr>
        <w:t> </w:t>
      </w:r>
      <w:r>
        <w:rPr/>
        <w:t>leases.</w:t>
      </w:r>
    </w:p>
    <w:p>
      <w:pPr>
        <w:pStyle w:val="BodyText"/>
        <w:spacing w:before="3"/>
        <w:rPr>
          <w:sz w:val="23"/>
        </w:rPr>
      </w:pPr>
    </w:p>
    <w:p>
      <w:pPr>
        <w:pStyle w:val="Heading6"/>
        <w:ind w:left="5633"/>
      </w:pPr>
      <w:r>
        <w:rPr/>
        <w:t>Finance lease receivables</w:t>
      </w:r>
    </w:p>
    <w:p>
      <w:pPr>
        <w:pStyle w:val="BodyText"/>
        <w:spacing w:line="249" w:lineRule="auto" w:before="11"/>
        <w:ind w:left="5633" w:right="874"/>
      </w:pPr>
      <w:r>
        <w:rPr/>
        <w:t>At</w:t>
      </w:r>
      <w:r>
        <w:rPr>
          <w:spacing w:val="-20"/>
        </w:rPr>
        <w:t> </w:t>
      </w:r>
      <w:r>
        <w:rPr/>
        <w:t>balance</w:t>
      </w:r>
      <w:r>
        <w:rPr>
          <w:spacing w:val="-19"/>
        </w:rPr>
        <w:t> </w:t>
      </w:r>
      <w:r>
        <w:rPr/>
        <w:t>date,</w:t>
      </w:r>
      <w:r>
        <w:rPr>
          <w:spacing w:val="-19"/>
        </w:rPr>
        <w:t> </w:t>
      </w:r>
      <w:r>
        <w:rPr/>
        <w:t>the</w:t>
      </w:r>
      <w:r>
        <w:rPr>
          <w:spacing w:val="-20"/>
        </w:rPr>
        <w:t> </w:t>
      </w:r>
      <w:r>
        <w:rPr/>
        <w:t>term</w:t>
      </w:r>
      <w:r>
        <w:rPr>
          <w:spacing w:val="-19"/>
        </w:rPr>
        <w:t> </w:t>
      </w:r>
      <w:r>
        <w:rPr/>
        <w:t>of</w:t>
      </w:r>
      <w:r>
        <w:rPr>
          <w:spacing w:val="-19"/>
        </w:rPr>
        <w:t> </w:t>
      </w:r>
      <w:r>
        <w:rPr/>
        <w:t>existing</w:t>
      </w:r>
      <w:r>
        <w:rPr>
          <w:spacing w:val="-20"/>
        </w:rPr>
        <w:t> </w:t>
      </w:r>
      <w:r>
        <w:rPr/>
        <w:t>finance</w:t>
      </w:r>
      <w:r>
        <w:rPr>
          <w:spacing w:val="-19"/>
        </w:rPr>
        <w:t> </w:t>
      </w:r>
      <w:r>
        <w:rPr>
          <w:spacing w:val="-4"/>
        </w:rPr>
        <w:t>lease </w:t>
      </w:r>
      <w:r>
        <w:rPr/>
        <w:t>contracts</w:t>
      </w:r>
      <w:r>
        <w:rPr>
          <w:spacing w:val="-11"/>
        </w:rPr>
        <w:t> </w:t>
      </w:r>
      <w:r>
        <w:rPr/>
        <w:t>varies</w:t>
      </w:r>
      <w:r>
        <w:rPr>
          <w:spacing w:val="-10"/>
        </w:rPr>
        <w:t> </w:t>
      </w:r>
      <w:r>
        <w:rPr/>
        <w:t>between</w:t>
      </w:r>
      <w:r>
        <w:rPr>
          <w:spacing w:val="-10"/>
        </w:rPr>
        <w:t> </w:t>
      </w:r>
      <w:r>
        <w:rPr/>
        <w:t>four</w:t>
      </w:r>
      <w:r>
        <w:rPr>
          <w:spacing w:val="-11"/>
        </w:rPr>
        <w:t> </w:t>
      </w:r>
      <w:r>
        <w:rPr/>
        <w:t>and</w:t>
      </w:r>
      <w:r>
        <w:rPr>
          <w:spacing w:val="-10"/>
        </w:rPr>
        <w:t> </w:t>
      </w:r>
      <w:r>
        <w:rPr/>
        <w:t>five</w:t>
      </w:r>
      <w:r>
        <w:rPr>
          <w:spacing w:val="-10"/>
        </w:rPr>
        <w:t> </w:t>
      </w:r>
      <w:r>
        <w:rPr/>
        <w:t>years.</w:t>
      </w:r>
    </w:p>
    <w:p>
      <w:pPr>
        <w:pStyle w:val="BodyText"/>
        <w:spacing w:line="249" w:lineRule="auto" w:before="2"/>
        <w:ind w:left="5633" w:right="828"/>
      </w:pPr>
      <w:r>
        <w:rPr/>
        <w:pict>
          <v:shape style="position:absolute;margin-left:562.677002pt;margin-top:92.512268pt;width:239.55pt;height:169.9pt;mso-position-horizontal-relative:page;mso-position-vertical-relative:paragraph;z-index:1705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2017</w:t>
                          <w:tab/>
                        </w:r>
                        <w:r>
                          <w:rPr>
                            <w:b/>
                            <w:color w:val="FFFFFF"/>
                            <w:w w:val="95"/>
                            <w:sz w:val="16"/>
                          </w:rPr>
                          <w:t>2016</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474" w:hRule="atLeast"/>
                    </w:trPr>
                    <w:tc>
                      <w:tcPr>
                        <w:tcW w:w="2863" w:type="dxa"/>
                        <w:tcBorders>
                          <w:bottom w:val="single" w:sz="8" w:space="0" w:color="FFFFFF"/>
                        </w:tcBorders>
                        <w:shd w:val="clear" w:color="auto" w:fill="F4F4F4"/>
                      </w:tcPr>
                      <w:p>
                        <w:pPr>
                          <w:pStyle w:val="TableParagraph"/>
                          <w:spacing w:line="261" w:lineRule="auto" w:before="49"/>
                          <w:ind w:left="113" w:right="439"/>
                          <w:rPr>
                            <w:sz w:val="16"/>
                          </w:rPr>
                        </w:pPr>
                        <w:r>
                          <w:rPr>
                            <w:sz w:val="16"/>
                          </w:rPr>
                          <w:t>Gross</w:t>
                        </w:r>
                        <w:r>
                          <w:rPr>
                            <w:spacing w:val="-23"/>
                            <w:sz w:val="16"/>
                          </w:rPr>
                          <w:t> </w:t>
                        </w:r>
                        <w:r>
                          <w:rPr>
                            <w:sz w:val="16"/>
                          </w:rPr>
                          <w:t>investment</w:t>
                        </w:r>
                        <w:r>
                          <w:rPr>
                            <w:spacing w:val="-23"/>
                            <w:sz w:val="16"/>
                          </w:rPr>
                          <w:t> </w:t>
                        </w:r>
                        <w:r>
                          <w:rPr>
                            <w:sz w:val="16"/>
                          </w:rPr>
                          <w:t>in</w:t>
                        </w:r>
                        <w:r>
                          <w:rPr>
                            <w:spacing w:val="-23"/>
                            <w:sz w:val="16"/>
                          </w:rPr>
                          <w:t> </w:t>
                        </w:r>
                        <w:r>
                          <w:rPr>
                            <w:sz w:val="16"/>
                          </w:rPr>
                          <w:t>finance</w:t>
                        </w:r>
                        <w:r>
                          <w:rPr>
                            <w:spacing w:val="-22"/>
                            <w:sz w:val="16"/>
                          </w:rPr>
                          <w:t> </w:t>
                        </w:r>
                        <w:r>
                          <w:rPr>
                            <w:spacing w:val="-4"/>
                            <w:sz w:val="16"/>
                          </w:rPr>
                          <w:t>lease </w:t>
                        </w:r>
                        <w:r>
                          <w:rPr>
                            <w:sz w:val="16"/>
                          </w:rPr>
                          <w:t>contracts</w:t>
                        </w:r>
                      </w:p>
                    </w:tc>
                    <w:tc>
                      <w:tcPr>
                        <w:tcW w:w="964" w:type="dxa"/>
                        <w:vMerge w:val="restart"/>
                        <w:tcBorders>
                          <w:bottom w:val="single" w:sz="4" w:space="0" w:color="000000"/>
                        </w:tcBorders>
                        <w:shd w:val="clear" w:color="auto" w:fill="DFE1B8"/>
                      </w:tcPr>
                      <w:p>
                        <w:pPr>
                          <w:pStyle w:val="TableParagraph"/>
                          <w:spacing w:before="49"/>
                          <w:ind w:left="338" w:right="2"/>
                          <w:jc w:val="center"/>
                          <w:rPr>
                            <w:sz w:val="16"/>
                          </w:rPr>
                        </w:pPr>
                        <w:r>
                          <w:rPr>
                            <w:sz w:val="16"/>
                          </w:rPr>
                          <w:t>1,154</w:t>
                        </w:r>
                      </w:p>
                      <w:p>
                        <w:pPr>
                          <w:pStyle w:val="TableParagraph"/>
                          <w:spacing w:before="1"/>
                          <w:rPr>
                            <w:sz w:val="26"/>
                          </w:rPr>
                        </w:pPr>
                      </w:p>
                      <w:p>
                        <w:pPr>
                          <w:pStyle w:val="TableParagraph"/>
                          <w:spacing w:before="0"/>
                          <w:ind w:left="560" w:right="79"/>
                          <w:jc w:val="center"/>
                          <w:rPr>
                            <w:sz w:val="16"/>
                          </w:rPr>
                        </w:pPr>
                        <w:r>
                          <w:rPr>
                            <w:sz w:val="16"/>
                          </w:rPr>
                          <w:t>(63)</w:t>
                        </w:r>
                      </w:p>
                    </w:tc>
                    <w:tc>
                      <w:tcPr>
                        <w:tcW w:w="964" w:type="dxa"/>
                        <w:vMerge w:val="restart"/>
                        <w:tcBorders>
                          <w:bottom w:val="single" w:sz="4" w:space="0" w:color="000000"/>
                        </w:tcBorders>
                        <w:shd w:val="clear" w:color="auto" w:fill="F4F4F4"/>
                      </w:tcPr>
                      <w:p>
                        <w:pPr>
                          <w:pStyle w:val="TableParagraph"/>
                          <w:spacing w:before="49"/>
                          <w:ind w:left="449"/>
                          <w:rPr>
                            <w:sz w:val="16"/>
                          </w:rPr>
                        </w:pPr>
                        <w:r>
                          <w:rPr>
                            <w:sz w:val="16"/>
                          </w:rPr>
                          <w:t>1,938</w:t>
                        </w:r>
                      </w:p>
                      <w:p>
                        <w:pPr>
                          <w:pStyle w:val="TableParagraph"/>
                          <w:spacing w:before="1"/>
                          <w:rPr>
                            <w:sz w:val="26"/>
                          </w:rPr>
                        </w:pPr>
                      </w:p>
                      <w:p>
                        <w:pPr>
                          <w:pStyle w:val="TableParagraph"/>
                          <w:spacing w:before="0"/>
                          <w:ind w:left="506"/>
                          <w:rPr>
                            <w:sz w:val="16"/>
                          </w:rPr>
                        </w:pPr>
                        <w:r>
                          <w:rPr>
                            <w:sz w:val="16"/>
                          </w:rPr>
                          <w:t>(141)</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Less: Unearned finance income</w:t>
                        </w:r>
                      </w:p>
                    </w:tc>
                    <w:tc>
                      <w:tcPr>
                        <w:tcW w:w="964" w:type="dxa"/>
                        <w:vMerge/>
                        <w:tcBorders>
                          <w:top w:val="nil"/>
                          <w:bottom w:val="single" w:sz="4" w:space="0" w:color="000000"/>
                        </w:tcBorders>
                        <w:shd w:val="clear" w:color="auto" w:fill="DFE1B8"/>
                      </w:tcPr>
                      <w:p>
                        <w:pPr>
                          <w:rPr>
                            <w:sz w:val="2"/>
                            <w:szCs w:val="2"/>
                          </w:rPr>
                        </w:pPr>
                      </w:p>
                    </w:tc>
                    <w:tc>
                      <w:tcPr>
                        <w:tcW w:w="964" w:type="dxa"/>
                        <w:vMerge/>
                        <w:tcBorders>
                          <w:top w:val="nil"/>
                          <w:bottom w:val="single" w:sz="4" w:space="0" w:color="000000"/>
                        </w:tcBorders>
                        <w:shd w:val="clear" w:color="auto" w:fill="F4F4F4"/>
                      </w:tcPr>
                      <w:p>
                        <w:pPr>
                          <w:rPr>
                            <w:sz w:val="2"/>
                            <w:szCs w:val="2"/>
                          </w:rPr>
                        </w:pPr>
                      </w:p>
                    </w:tc>
                  </w:tr>
                  <w:tr>
                    <w:trPr>
                      <w:trHeight w:val="464" w:hRule="atLeast"/>
                    </w:trPr>
                    <w:tc>
                      <w:tcPr>
                        <w:tcW w:w="2863" w:type="dxa"/>
                        <w:tcBorders>
                          <w:top w:val="single" w:sz="8" w:space="0" w:color="FFFFFF"/>
                          <w:bottom w:val="single" w:sz="8" w:space="0" w:color="FFFFFF"/>
                        </w:tcBorders>
                        <w:shd w:val="clear" w:color="auto" w:fill="F4F4F4"/>
                      </w:tcPr>
                      <w:p>
                        <w:pPr>
                          <w:pStyle w:val="TableParagraph"/>
                          <w:spacing w:line="261" w:lineRule="auto" w:before="39"/>
                          <w:ind w:left="113" w:right="526"/>
                          <w:rPr>
                            <w:sz w:val="16"/>
                          </w:rPr>
                        </w:pPr>
                        <w:r>
                          <w:rPr>
                            <w:sz w:val="16"/>
                          </w:rPr>
                          <w:t>Net investment in finance </w:t>
                        </w:r>
                        <w:r>
                          <w:rPr>
                            <w:spacing w:val="-4"/>
                            <w:sz w:val="16"/>
                          </w:rPr>
                          <w:t>lease </w:t>
                        </w:r>
                        <w:r>
                          <w:rPr>
                            <w:sz w:val="16"/>
                          </w:rPr>
                          <w:t>contracts</w:t>
                        </w: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sz w:val="16"/>
                          </w:rPr>
                        </w:pPr>
                        <w:r>
                          <w:rPr>
                            <w:w w:val="95"/>
                            <w:sz w:val="16"/>
                          </w:rPr>
                          <w:t>1,091</w:t>
                        </w:r>
                      </w:p>
                    </w:tc>
                    <w:tc>
                      <w:tcPr>
                        <w:tcW w:w="964" w:type="dxa"/>
                        <w:tcBorders>
                          <w:top w:val="single" w:sz="4" w:space="0" w:color="000000"/>
                          <w:bottom w:val="single" w:sz="4" w:space="0" w:color="000000"/>
                        </w:tcBorders>
                        <w:shd w:val="clear" w:color="auto" w:fill="F4F4F4"/>
                      </w:tcPr>
                      <w:p>
                        <w:pPr>
                          <w:pStyle w:val="TableParagraph"/>
                          <w:spacing w:before="39"/>
                          <w:ind w:right="111"/>
                          <w:jc w:val="right"/>
                          <w:rPr>
                            <w:sz w:val="16"/>
                          </w:rPr>
                        </w:pPr>
                        <w:r>
                          <w:rPr>
                            <w:w w:val="95"/>
                            <w:sz w:val="16"/>
                          </w:rPr>
                          <w:t>1,797</w:t>
                        </w:r>
                      </w:p>
                    </w:tc>
                  </w:tr>
                  <w:tr>
                    <w:trPr>
                      <w:trHeight w:val="464" w:hRule="atLeast"/>
                    </w:trPr>
                    <w:tc>
                      <w:tcPr>
                        <w:tcW w:w="2863" w:type="dxa"/>
                        <w:tcBorders>
                          <w:top w:val="single" w:sz="8" w:space="0" w:color="FFFFFF"/>
                          <w:bottom w:val="single" w:sz="8" w:space="0" w:color="FFFFFF"/>
                        </w:tcBorders>
                        <w:shd w:val="clear" w:color="auto" w:fill="FAF9F9"/>
                      </w:tcPr>
                      <w:p>
                        <w:pPr>
                          <w:pStyle w:val="TableParagraph"/>
                          <w:spacing w:line="261" w:lineRule="auto" w:before="39"/>
                          <w:ind w:left="113" w:right="121"/>
                          <w:rPr>
                            <w:sz w:val="16"/>
                          </w:rPr>
                        </w:pPr>
                        <w:r>
                          <w:rPr>
                            <w:sz w:val="16"/>
                          </w:rPr>
                          <w:t>Less:</w:t>
                        </w:r>
                        <w:r>
                          <w:rPr>
                            <w:spacing w:val="-26"/>
                            <w:sz w:val="16"/>
                          </w:rPr>
                          <w:t> </w:t>
                        </w:r>
                        <w:r>
                          <w:rPr>
                            <w:sz w:val="16"/>
                          </w:rPr>
                          <w:t>Unguaranteed</w:t>
                        </w:r>
                        <w:r>
                          <w:rPr>
                            <w:spacing w:val="-26"/>
                            <w:sz w:val="16"/>
                          </w:rPr>
                          <w:t> </w:t>
                        </w:r>
                        <w:r>
                          <w:rPr>
                            <w:sz w:val="16"/>
                          </w:rPr>
                          <w:t>residual</w:t>
                        </w:r>
                        <w:r>
                          <w:rPr>
                            <w:spacing w:val="-26"/>
                            <w:sz w:val="16"/>
                          </w:rPr>
                          <w:t> </w:t>
                        </w:r>
                        <w:r>
                          <w:rPr>
                            <w:sz w:val="16"/>
                          </w:rPr>
                          <w:t>values</w:t>
                        </w:r>
                        <w:r>
                          <w:rPr>
                            <w:spacing w:val="-26"/>
                            <w:sz w:val="16"/>
                          </w:rPr>
                          <w:t> </w:t>
                        </w:r>
                        <w:r>
                          <w:rPr>
                            <w:spacing w:val="-9"/>
                            <w:sz w:val="16"/>
                          </w:rPr>
                          <w:t>of </w:t>
                        </w:r>
                        <w:r>
                          <w:rPr>
                            <w:sz w:val="16"/>
                          </w:rPr>
                          <w:t>the</w:t>
                        </w:r>
                        <w:r>
                          <w:rPr>
                            <w:spacing w:val="-16"/>
                            <w:sz w:val="16"/>
                          </w:rPr>
                          <w:t> </w:t>
                        </w:r>
                        <w:r>
                          <w:rPr>
                            <w:sz w:val="16"/>
                          </w:rPr>
                          <w:t>finance</w:t>
                        </w:r>
                        <w:r>
                          <w:rPr>
                            <w:spacing w:val="-15"/>
                            <w:sz w:val="16"/>
                          </w:rPr>
                          <w:t> </w:t>
                        </w:r>
                        <w:r>
                          <w:rPr>
                            <w:sz w:val="16"/>
                          </w:rPr>
                          <w:t>leases</w:t>
                        </w:r>
                        <w:r>
                          <w:rPr>
                            <w:spacing w:val="-15"/>
                            <w:sz w:val="16"/>
                          </w:rPr>
                          <w:t> </w:t>
                        </w:r>
                        <w:r>
                          <w:rPr>
                            <w:sz w:val="16"/>
                          </w:rPr>
                          <w:t>at</w:t>
                        </w:r>
                        <w:r>
                          <w:rPr>
                            <w:spacing w:val="-15"/>
                            <w:sz w:val="16"/>
                          </w:rPr>
                          <w:t> </w:t>
                        </w:r>
                        <w:r>
                          <w:rPr>
                            <w:sz w:val="16"/>
                          </w:rPr>
                          <w:t>the</w:t>
                        </w:r>
                        <w:r>
                          <w:rPr>
                            <w:spacing w:val="-15"/>
                            <w:sz w:val="16"/>
                          </w:rPr>
                          <w:t> </w:t>
                        </w:r>
                        <w:r>
                          <w:rPr>
                            <w:sz w:val="16"/>
                          </w:rPr>
                          <w:t>balance</w:t>
                        </w:r>
                        <w:r>
                          <w:rPr>
                            <w:spacing w:val="-15"/>
                            <w:sz w:val="16"/>
                          </w:rPr>
                          <w:t> </w:t>
                        </w:r>
                        <w:r>
                          <w:rPr>
                            <w:sz w:val="16"/>
                          </w:rPr>
                          <w:t>date</w:t>
                        </w: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sz w:val="16"/>
                          </w:rPr>
                        </w:pPr>
                        <w:r>
                          <w:rPr>
                            <w:w w:val="111"/>
                            <w:sz w:val="16"/>
                          </w:rPr>
                          <w:t>-</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sz w:val="16"/>
                          </w:rPr>
                        </w:pPr>
                        <w:r>
                          <w:rPr>
                            <w:w w:val="111"/>
                            <w:sz w:val="16"/>
                          </w:rPr>
                          <w:t>-</w:t>
                        </w:r>
                      </w:p>
                    </w:tc>
                  </w:tr>
                  <w:tr>
                    <w:trPr>
                      <w:trHeight w:val="464" w:hRule="atLeast"/>
                    </w:trPr>
                    <w:tc>
                      <w:tcPr>
                        <w:tcW w:w="2863" w:type="dxa"/>
                        <w:tcBorders>
                          <w:top w:val="single" w:sz="8" w:space="0" w:color="FFFFFF"/>
                          <w:bottom w:val="single" w:sz="8" w:space="0" w:color="FFFFFF"/>
                        </w:tcBorders>
                        <w:shd w:val="clear" w:color="auto" w:fill="F4F4F4"/>
                      </w:tcPr>
                      <w:p>
                        <w:pPr>
                          <w:pStyle w:val="TableParagraph"/>
                          <w:spacing w:line="261" w:lineRule="auto" w:before="39"/>
                          <w:ind w:left="113" w:right="180"/>
                          <w:rPr>
                            <w:sz w:val="16"/>
                          </w:rPr>
                        </w:pPr>
                        <w:r>
                          <w:rPr>
                            <w:sz w:val="16"/>
                          </w:rPr>
                          <w:t>Present value of the future </w:t>
                        </w:r>
                        <w:r>
                          <w:rPr>
                            <w:spacing w:val="-3"/>
                            <w:sz w:val="16"/>
                          </w:rPr>
                          <w:t>minimum </w:t>
                        </w:r>
                        <w:r>
                          <w:rPr>
                            <w:sz w:val="16"/>
                          </w:rPr>
                          <w:t>lease payment receivables</w:t>
                        </w: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b/>
                            <w:sz w:val="16"/>
                          </w:rPr>
                        </w:pPr>
                        <w:r>
                          <w:rPr>
                            <w:b/>
                            <w:w w:val="95"/>
                            <w:sz w:val="16"/>
                          </w:rPr>
                          <w:t>1,091</w:t>
                        </w:r>
                      </w:p>
                    </w:tc>
                    <w:tc>
                      <w:tcPr>
                        <w:tcW w:w="964" w:type="dxa"/>
                        <w:tcBorders>
                          <w:top w:val="single" w:sz="4" w:space="0" w:color="000000"/>
                          <w:bottom w:val="single" w:sz="4" w:space="0" w:color="000000"/>
                        </w:tcBorders>
                        <w:shd w:val="clear" w:color="auto" w:fill="F4F4F4"/>
                      </w:tcPr>
                      <w:p>
                        <w:pPr>
                          <w:pStyle w:val="TableParagraph"/>
                          <w:spacing w:before="39"/>
                          <w:ind w:right="111"/>
                          <w:jc w:val="right"/>
                          <w:rPr>
                            <w:b/>
                            <w:sz w:val="16"/>
                          </w:rPr>
                        </w:pPr>
                        <w:r>
                          <w:rPr>
                            <w:b/>
                            <w:w w:val="95"/>
                            <w:sz w:val="16"/>
                          </w:rPr>
                          <w:t>1,797</w:t>
                        </w:r>
                      </w:p>
                    </w:tc>
                  </w:tr>
                  <w:tr>
                    <w:trPr>
                      <w:trHeight w:val="664" w:hRule="atLeast"/>
                    </w:trPr>
                    <w:tc>
                      <w:tcPr>
                        <w:tcW w:w="2863" w:type="dxa"/>
                        <w:tcBorders>
                          <w:top w:val="single" w:sz="8" w:space="0" w:color="FFFFFF"/>
                          <w:bottom w:val="single" w:sz="8" w:space="0" w:color="FFFFFF"/>
                        </w:tcBorders>
                        <w:shd w:val="clear" w:color="auto" w:fill="FAF9F9"/>
                      </w:tcPr>
                      <w:p>
                        <w:pPr>
                          <w:pStyle w:val="TableParagraph"/>
                          <w:spacing w:line="261" w:lineRule="auto" w:before="39"/>
                          <w:ind w:left="113" w:right="154"/>
                          <w:rPr>
                            <w:sz w:val="16"/>
                          </w:rPr>
                        </w:pPr>
                        <w:r>
                          <w:rPr>
                            <w:sz w:val="16"/>
                          </w:rPr>
                          <w:t>Accumulated allowances for unallocated minimum lease </w:t>
                        </w:r>
                        <w:r>
                          <w:rPr>
                            <w:spacing w:val="-3"/>
                            <w:sz w:val="16"/>
                          </w:rPr>
                          <w:t>payment </w:t>
                        </w:r>
                        <w:r>
                          <w:rPr>
                            <w:sz w:val="16"/>
                          </w:rPr>
                          <w:t>receivables</w:t>
                        </w:r>
                      </w:p>
                    </w:tc>
                    <w:tc>
                      <w:tcPr>
                        <w:tcW w:w="964" w:type="dxa"/>
                        <w:tcBorders>
                          <w:top w:val="single" w:sz="4" w:space="0" w:color="000000"/>
                        </w:tcBorders>
                        <w:shd w:val="clear" w:color="auto" w:fill="E1E4BB"/>
                      </w:tcPr>
                      <w:p>
                        <w:pPr>
                          <w:pStyle w:val="TableParagraph"/>
                          <w:spacing w:before="39"/>
                          <w:ind w:right="111"/>
                          <w:jc w:val="right"/>
                          <w:rPr>
                            <w:sz w:val="16"/>
                          </w:rPr>
                        </w:pPr>
                        <w:r>
                          <w:rPr>
                            <w:w w:val="111"/>
                            <w:sz w:val="16"/>
                          </w:rPr>
                          <w:t>-</w:t>
                        </w:r>
                      </w:p>
                    </w:tc>
                    <w:tc>
                      <w:tcPr>
                        <w:tcW w:w="964" w:type="dxa"/>
                        <w:tcBorders>
                          <w:top w:val="single" w:sz="4" w:space="0" w:color="000000"/>
                        </w:tcBorders>
                        <w:shd w:val="clear" w:color="auto" w:fill="FAF9F9"/>
                      </w:tcPr>
                      <w:p>
                        <w:pPr>
                          <w:pStyle w:val="TableParagraph"/>
                          <w:spacing w:before="39"/>
                          <w:ind w:right="111"/>
                          <w:jc w:val="right"/>
                          <w:rPr>
                            <w:sz w:val="16"/>
                          </w:rPr>
                        </w:pPr>
                        <w:r>
                          <w:rPr>
                            <w:w w:val="111"/>
                            <w:sz w:val="16"/>
                          </w:rPr>
                          <w:t>-</w:t>
                        </w:r>
                      </w:p>
                    </w:tc>
                  </w:tr>
                </w:tbl>
                <w:p>
                  <w:pPr>
                    <w:pStyle w:val="BodyText"/>
                  </w:pPr>
                </w:p>
              </w:txbxContent>
            </v:textbox>
            <w10:wrap type="none"/>
          </v:shape>
        </w:pict>
      </w:r>
      <w:r>
        <w:rPr/>
        <w:t>A contract is subject to a fixed market rate of interest</w:t>
      </w:r>
      <w:r>
        <w:rPr>
          <w:spacing w:val="-15"/>
        </w:rPr>
        <w:t> </w:t>
      </w:r>
      <w:r>
        <w:rPr/>
        <w:t>set</w:t>
      </w:r>
      <w:r>
        <w:rPr>
          <w:spacing w:val="-15"/>
        </w:rPr>
        <w:t> </w:t>
      </w:r>
      <w:r>
        <w:rPr/>
        <w:t>at</w:t>
      </w:r>
      <w:r>
        <w:rPr>
          <w:spacing w:val="-14"/>
        </w:rPr>
        <w:t> </w:t>
      </w:r>
      <w:r>
        <w:rPr/>
        <w:t>the</w:t>
      </w:r>
      <w:r>
        <w:rPr>
          <w:spacing w:val="-15"/>
        </w:rPr>
        <w:t> </w:t>
      </w:r>
      <w:r>
        <w:rPr/>
        <w:t>time</w:t>
      </w:r>
      <w:r>
        <w:rPr>
          <w:spacing w:val="-15"/>
        </w:rPr>
        <w:t> </w:t>
      </w:r>
      <w:r>
        <w:rPr/>
        <w:t>the</w:t>
      </w:r>
      <w:r>
        <w:rPr>
          <w:spacing w:val="-14"/>
        </w:rPr>
        <w:t> </w:t>
      </w:r>
      <w:r>
        <w:rPr/>
        <w:t>contract</w:t>
      </w:r>
      <w:r>
        <w:rPr>
          <w:spacing w:val="-15"/>
        </w:rPr>
        <w:t> </w:t>
      </w:r>
      <w:r>
        <w:rPr/>
        <w:t>is</w:t>
      </w:r>
      <w:r>
        <w:rPr>
          <w:spacing w:val="-14"/>
        </w:rPr>
        <w:t> </w:t>
      </w:r>
      <w:r>
        <w:rPr/>
        <w:t>established. All contracts contain a renewal option and are secured</w:t>
      </w:r>
      <w:r>
        <w:rPr>
          <w:spacing w:val="-34"/>
        </w:rPr>
        <w:t> </w:t>
      </w:r>
      <w:r>
        <w:rPr/>
        <w:t>by</w:t>
      </w:r>
      <w:r>
        <w:rPr>
          <w:spacing w:val="-34"/>
        </w:rPr>
        <w:t> </w:t>
      </w:r>
      <w:r>
        <w:rPr/>
        <w:t>the</w:t>
      </w:r>
      <w:r>
        <w:rPr>
          <w:spacing w:val="-33"/>
        </w:rPr>
        <w:t> </w:t>
      </w:r>
      <w:r>
        <w:rPr/>
        <w:t>underlying</w:t>
      </w:r>
      <w:r>
        <w:rPr>
          <w:spacing w:val="-34"/>
        </w:rPr>
        <w:t> </w:t>
      </w:r>
      <w:r>
        <w:rPr/>
        <w:t>vehicle.</w:t>
      </w:r>
      <w:r>
        <w:rPr>
          <w:spacing w:val="-33"/>
        </w:rPr>
        <w:t> </w:t>
      </w:r>
      <w:r>
        <w:rPr/>
        <w:t>Residual</w:t>
      </w:r>
      <w:r>
        <w:rPr>
          <w:spacing w:val="-34"/>
        </w:rPr>
        <w:t> </w:t>
      </w:r>
      <w:r>
        <w:rPr/>
        <w:t>values are</w:t>
      </w:r>
      <w:r>
        <w:rPr>
          <w:spacing w:val="-25"/>
        </w:rPr>
        <w:t> </w:t>
      </w:r>
      <w:r>
        <w:rPr/>
        <w:t>guaranteed</w:t>
      </w:r>
      <w:r>
        <w:rPr>
          <w:spacing w:val="-25"/>
        </w:rPr>
        <w:t> </w:t>
      </w:r>
      <w:r>
        <w:rPr/>
        <w:t>by</w:t>
      </w:r>
      <w:r>
        <w:rPr>
          <w:spacing w:val="-25"/>
        </w:rPr>
        <w:t> </w:t>
      </w:r>
      <w:r>
        <w:rPr/>
        <w:t>the</w:t>
      </w:r>
      <w:r>
        <w:rPr>
          <w:spacing w:val="-25"/>
        </w:rPr>
        <w:t> </w:t>
      </w:r>
      <w:r>
        <w:rPr/>
        <w:t>relevant</w:t>
      </w:r>
      <w:r>
        <w:rPr>
          <w:spacing w:val="-25"/>
        </w:rPr>
        <w:t> </w:t>
      </w:r>
      <w:r>
        <w:rPr/>
        <w:t>contracting</w:t>
      </w:r>
      <w:r>
        <w:rPr>
          <w:spacing w:val="-25"/>
        </w:rPr>
        <w:t> </w:t>
      </w:r>
      <w:r>
        <w:rPr>
          <w:spacing w:val="-3"/>
        </w:rPr>
        <w:t>agency </w:t>
      </w:r>
      <w:r>
        <w:rPr/>
        <w:t>or the</w:t>
      </w:r>
      <w:r>
        <w:rPr>
          <w:spacing w:val="-2"/>
        </w:rPr>
        <w:t> </w:t>
      </w:r>
      <w:r>
        <w:rPr>
          <w:spacing w:val="-3"/>
        </w:rPr>
        <w:t>entity.</w:t>
      </w:r>
    </w:p>
    <w:p>
      <w:pPr>
        <w:pStyle w:val="BodyText"/>
        <w:rPr>
          <w:sz w:val="26"/>
        </w:rPr>
      </w:pPr>
    </w:p>
    <w:p>
      <w:pPr>
        <w:pStyle w:val="BodyText"/>
        <w:spacing w:before="6"/>
        <w:rPr>
          <w:sz w:val="36"/>
        </w:rPr>
      </w:pPr>
    </w:p>
    <w:p>
      <w:pPr>
        <w:pStyle w:val="ListParagraph"/>
        <w:numPr>
          <w:ilvl w:val="0"/>
          <w:numId w:val="11"/>
        </w:numPr>
        <w:tabs>
          <w:tab w:pos="544" w:val="left" w:leader="none"/>
        </w:tabs>
        <w:spacing w:line="240" w:lineRule="auto" w:before="0" w:after="0"/>
        <w:ind w:left="543" w:right="0" w:hanging="154"/>
        <w:jc w:val="left"/>
        <w:rPr>
          <w:sz w:val="12"/>
        </w:rPr>
      </w:pPr>
      <w:r>
        <w:rPr>
          <w:sz w:val="12"/>
        </w:rPr>
        <w:t>Relates to funds held in trust by the Department’s corporate property</w:t>
      </w:r>
      <w:r>
        <w:rPr>
          <w:spacing w:val="-6"/>
          <w:sz w:val="12"/>
        </w:rPr>
        <w:t> </w:t>
      </w:r>
      <w:r>
        <w:rPr>
          <w:sz w:val="12"/>
        </w:rPr>
        <w:t>manager</w:t>
      </w:r>
    </w:p>
    <w:p>
      <w:pPr>
        <w:spacing w:line="278" w:lineRule="auto" w:before="22"/>
        <w:ind w:left="523" w:right="6399" w:firstLine="0"/>
        <w:jc w:val="left"/>
        <w:rPr>
          <w:sz w:val="12"/>
        </w:rPr>
      </w:pPr>
      <w:r>
        <w:rPr>
          <w:sz w:val="12"/>
        </w:rPr>
        <w:t>for</w:t>
      </w:r>
      <w:r>
        <w:rPr>
          <w:spacing w:val="-15"/>
          <w:sz w:val="12"/>
        </w:rPr>
        <w:t> </w:t>
      </w:r>
      <w:r>
        <w:rPr>
          <w:sz w:val="12"/>
        </w:rPr>
        <w:t>management</w:t>
      </w:r>
      <w:r>
        <w:rPr>
          <w:spacing w:val="-15"/>
          <w:sz w:val="12"/>
        </w:rPr>
        <w:t> </w:t>
      </w:r>
      <w:r>
        <w:rPr>
          <w:sz w:val="12"/>
        </w:rPr>
        <w:t>of</w:t>
      </w:r>
      <w:r>
        <w:rPr>
          <w:spacing w:val="-15"/>
          <w:sz w:val="12"/>
        </w:rPr>
        <w:t> </w:t>
      </w:r>
      <w:r>
        <w:rPr>
          <w:sz w:val="12"/>
        </w:rPr>
        <w:t>rental</w:t>
      </w:r>
      <w:r>
        <w:rPr>
          <w:spacing w:val="-15"/>
          <w:sz w:val="12"/>
        </w:rPr>
        <w:t> </w:t>
      </w:r>
      <w:r>
        <w:rPr>
          <w:sz w:val="12"/>
        </w:rPr>
        <w:t>services</w:t>
      </w:r>
      <w:r>
        <w:rPr>
          <w:spacing w:val="-15"/>
          <w:sz w:val="12"/>
        </w:rPr>
        <w:t> </w:t>
      </w:r>
      <w:r>
        <w:rPr>
          <w:sz w:val="12"/>
        </w:rPr>
        <w:t>and</w:t>
      </w:r>
      <w:r>
        <w:rPr>
          <w:spacing w:val="-15"/>
          <w:sz w:val="12"/>
        </w:rPr>
        <w:t> </w:t>
      </w:r>
      <w:r>
        <w:rPr>
          <w:sz w:val="12"/>
        </w:rPr>
        <w:t>incidental</w:t>
      </w:r>
      <w:r>
        <w:rPr>
          <w:spacing w:val="-15"/>
          <w:sz w:val="12"/>
        </w:rPr>
        <w:t> </w:t>
      </w:r>
      <w:r>
        <w:rPr>
          <w:sz w:val="12"/>
        </w:rPr>
        <w:t>costs</w:t>
      </w:r>
      <w:r>
        <w:rPr>
          <w:spacing w:val="-15"/>
          <w:sz w:val="12"/>
        </w:rPr>
        <w:t> </w:t>
      </w:r>
      <w:r>
        <w:rPr>
          <w:sz w:val="12"/>
        </w:rPr>
        <w:t>relating</w:t>
      </w:r>
      <w:r>
        <w:rPr>
          <w:spacing w:val="-15"/>
          <w:sz w:val="12"/>
        </w:rPr>
        <w:t> </w:t>
      </w:r>
      <w:r>
        <w:rPr>
          <w:sz w:val="12"/>
        </w:rPr>
        <w:t>to</w:t>
      </w:r>
      <w:r>
        <w:rPr>
          <w:spacing w:val="-15"/>
          <w:sz w:val="12"/>
        </w:rPr>
        <w:t> </w:t>
      </w:r>
      <w:r>
        <w:rPr>
          <w:sz w:val="12"/>
        </w:rPr>
        <w:t>Western</w:t>
      </w:r>
      <w:r>
        <w:rPr>
          <w:spacing w:val="-15"/>
          <w:sz w:val="12"/>
        </w:rPr>
        <w:t> </w:t>
      </w:r>
      <w:r>
        <w:rPr>
          <w:sz w:val="12"/>
        </w:rPr>
        <w:t>Australia Government’s</w:t>
      </w:r>
      <w:r>
        <w:rPr>
          <w:spacing w:val="-5"/>
          <w:sz w:val="12"/>
        </w:rPr>
        <w:t> </w:t>
      </w:r>
      <w:r>
        <w:rPr>
          <w:sz w:val="12"/>
        </w:rPr>
        <w:t>occupation</w:t>
      </w:r>
      <w:r>
        <w:rPr>
          <w:spacing w:val="-5"/>
          <w:sz w:val="12"/>
        </w:rPr>
        <w:t> </w:t>
      </w:r>
      <w:r>
        <w:rPr>
          <w:sz w:val="12"/>
        </w:rPr>
        <w:t>of</w:t>
      </w:r>
      <w:r>
        <w:rPr>
          <w:spacing w:val="-5"/>
          <w:sz w:val="12"/>
        </w:rPr>
        <w:t> </w:t>
      </w:r>
      <w:r>
        <w:rPr>
          <w:sz w:val="12"/>
        </w:rPr>
        <w:t>Gordon</w:t>
      </w:r>
      <w:r>
        <w:rPr>
          <w:spacing w:val="-5"/>
          <w:sz w:val="12"/>
        </w:rPr>
        <w:t> </w:t>
      </w:r>
      <w:r>
        <w:rPr>
          <w:sz w:val="12"/>
        </w:rPr>
        <w:t>Stephenson</w:t>
      </w:r>
      <w:r>
        <w:rPr>
          <w:spacing w:val="-4"/>
          <w:sz w:val="12"/>
        </w:rPr>
        <w:t> </w:t>
      </w:r>
      <w:r>
        <w:rPr>
          <w:sz w:val="12"/>
        </w:rPr>
        <w:t>House.</w:t>
      </w:r>
      <w:r>
        <w:rPr>
          <w:spacing w:val="-5"/>
          <w:sz w:val="12"/>
        </w:rPr>
        <w:t> </w:t>
      </w:r>
      <w:r>
        <w:rPr>
          <w:sz w:val="12"/>
        </w:rPr>
        <w:t>Includes</w:t>
      </w:r>
      <w:r>
        <w:rPr>
          <w:spacing w:val="-5"/>
          <w:sz w:val="12"/>
        </w:rPr>
        <w:t> </w:t>
      </w:r>
      <w:r>
        <w:rPr>
          <w:sz w:val="12"/>
        </w:rPr>
        <w:t>$33,816</w:t>
      </w:r>
    </w:p>
    <w:p>
      <w:pPr>
        <w:spacing w:line="278" w:lineRule="auto" w:before="0"/>
        <w:ind w:left="523" w:right="6402" w:firstLine="0"/>
        <w:jc w:val="left"/>
        <w:rPr>
          <w:sz w:val="12"/>
        </w:rPr>
      </w:pPr>
      <w:r>
        <w:rPr>
          <w:sz w:val="12"/>
        </w:rPr>
        <w:t>(2016:</w:t>
      </w:r>
      <w:r>
        <w:rPr>
          <w:spacing w:val="-13"/>
          <w:sz w:val="12"/>
        </w:rPr>
        <w:t> </w:t>
      </w:r>
      <w:r>
        <w:rPr>
          <w:sz w:val="12"/>
        </w:rPr>
        <w:t>$38,522)</w:t>
      </w:r>
      <w:r>
        <w:rPr>
          <w:spacing w:val="-12"/>
          <w:sz w:val="12"/>
        </w:rPr>
        <w:t> </w:t>
      </w:r>
      <w:r>
        <w:rPr>
          <w:sz w:val="12"/>
        </w:rPr>
        <w:t>for</w:t>
      </w:r>
      <w:r>
        <w:rPr>
          <w:spacing w:val="-12"/>
          <w:sz w:val="12"/>
        </w:rPr>
        <w:t> </w:t>
      </w:r>
      <w:r>
        <w:rPr>
          <w:sz w:val="12"/>
        </w:rPr>
        <w:t>Sunset</w:t>
      </w:r>
      <w:r>
        <w:rPr>
          <w:spacing w:val="-13"/>
          <w:sz w:val="12"/>
        </w:rPr>
        <w:t> </w:t>
      </w:r>
      <w:r>
        <w:rPr>
          <w:sz w:val="12"/>
        </w:rPr>
        <w:t>Reserve</w:t>
      </w:r>
      <w:r>
        <w:rPr>
          <w:spacing w:val="-12"/>
          <w:sz w:val="12"/>
        </w:rPr>
        <w:t> </w:t>
      </w:r>
      <w:r>
        <w:rPr>
          <w:sz w:val="12"/>
        </w:rPr>
        <w:t>Project</w:t>
      </w:r>
      <w:r>
        <w:rPr>
          <w:spacing w:val="-12"/>
          <w:sz w:val="12"/>
        </w:rPr>
        <w:t> </w:t>
      </w:r>
      <w:r>
        <w:rPr>
          <w:sz w:val="12"/>
        </w:rPr>
        <w:t>Special</w:t>
      </w:r>
      <w:r>
        <w:rPr>
          <w:spacing w:val="-12"/>
          <w:sz w:val="12"/>
        </w:rPr>
        <w:t> </w:t>
      </w:r>
      <w:r>
        <w:rPr>
          <w:sz w:val="12"/>
        </w:rPr>
        <w:t>Purpose</w:t>
      </w:r>
      <w:r>
        <w:rPr>
          <w:spacing w:val="-13"/>
          <w:sz w:val="12"/>
        </w:rPr>
        <w:t> </w:t>
      </w:r>
      <w:r>
        <w:rPr>
          <w:sz w:val="12"/>
        </w:rPr>
        <w:t>Account,</w:t>
      </w:r>
      <w:r>
        <w:rPr>
          <w:spacing w:val="-12"/>
          <w:sz w:val="12"/>
        </w:rPr>
        <w:t> </w:t>
      </w:r>
      <w:r>
        <w:rPr>
          <w:sz w:val="12"/>
        </w:rPr>
        <w:t>managed</w:t>
      </w:r>
      <w:r>
        <w:rPr>
          <w:spacing w:val="-12"/>
          <w:sz w:val="12"/>
        </w:rPr>
        <w:t> </w:t>
      </w:r>
      <w:r>
        <w:rPr>
          <w:spacing w:val="-9"/>
          <w:sz w:val="12"/>
        </w:rPr>
        <w:t>by </w:t>
      </w:r>
      <w:r>
        <w:rPr>
          <w:sz w:val="12"/>
        </w:rPr>
        <w:t>Jones Lang</w:t>
      </w:r>
      <w:r>
        <w:rPr>
          <w:spacing w:val="-1"/>
          <w:sz w:val="12"/>
        </w:rPr>
        <w:t> </w:t>
      </w:r>
      <w:r>
        <w:rPr>
          <w:sz w:val="12"/>
        </w:rPr>
        <w:t>Lasalle.</w:t>
      </w:r>
    </w:p>
    <w:p>
      <w:pPr>
        <w:pStyle w:val="ListParagraph"/>
        <w:numPr>
          <w:ilvl w:val="0"/>
          <w:numId w:val="11"/>
        </w:numPr>
        <w:tabs>
          <w:tab w:pos="550" w:val="left" w:leader="none"/>
        </w:tabs>
        <w:spacing w:line="138" w:lineRule="exact" w:before="0" w:after="0"/>
        <w:ind w:left="549" w:right="0" w:hanging="160"/>
        <w:jc w:val="left"/>
        <w:rPr>
          <w:sz w:val="12"/>
        </w:rPr>
      </w:pPr>
      <w:r>
        <w:rPr>
          <w:sz w:val="12"/>
        </w:rPr>
        <w:t>Contract costs incurred but not yet billed to clients. The 2016 figure is reduced</w:t>
      </w:r>
      <w:r>
        <w:rPr>
          <w:spacing w:val="-7"/>
          <w:sz w:val="12"/>
        </w:rPr>
        <w:t> </w:t>
      </w:r>
      <w:r>
        <w:rPr>
          <w:sz w:val="12"/>
        </w:rPr>
        <w:t>by</w:t>
      </w:r>
    </w:p>
    <w:p>
      <w:pPr>
        <w:spacing w:before="22"/>
        <w:ind w:left="556" w:right="0" w:firstLine="0"/>
        <w:jc w:val="left"/>
        <w:rPr>
          <w:sz w:val="12"/>
        </w:rPr>
      </w:pPr>
      <w:r>
        <w:rPr>
          <w:sz w:val="12"/>
        </w:rPr>
        <w:t>$14,326,000 for derecognition of project costs recoup.</w:t>
      </w:r>
    </w:p>
    <w:p>
      <w:pPr>
        <w:pStyle w:val="BodyText"/>
        <w:spacing w:before="8"/>
        <w:rPr>
          <w:sz w:val="16"/>
        </w:rPr>
      </w:pPr>
    </w:p>
    <w:p>
      <w:pPr>
        <w:pStyle w:val="BodyText"/>
        <w:spacing w:line="249" w:lineRule="auto" w:before="1"/>
        <w:ind w:left="389" w:right="6252"/>
      </w:pPr>
      <w:r>
        <w:rPr/>
        <w:t>The</w:t>
      </w:r>
      <w:r>
        <w:rPr>
          <w:spacing w:val="-18"/>
        </w:rPr>
        <w:t> </w:t>
      </w:r>
      <w:r>
        <w:rPr/>
        <w:t>Department</w:t>
      </w:r>
      <w:r>
        <w:rPr>
          <w:spacing w:val="-17"/>
        </w:rPr>
        <w:t> </w:t>
      </w:r>
      <w:r>
        <w:rPr/>
        <w:t>does</w:t>
      </w:r>
      <w:r>
        <w:rPr>
          <w:spacing w:val="-17"/>
        </w:rPr>
        <w:t> </w:t>
      </w:r>
      <w:r>
        <w:rPr/>
        <w:t>not</w:t>
      </w:r>
      <w:r>
        <w:rPr>
          <w:spacing w:val="-17"/>
        </w:rPr>
        <w:t> </w:t>
      </w:r>
      <w:r>
        <w:rPr/>
        <w:t>hold</w:t>
      </w:r>
      <w:r>
        <w:rPr>
          <w:spacing w:val="-17"/>
        </w:rPr>
        <w:t> </w:t>
      </w:r>
      <w:r>
        <w:rPr/>
        <w:t>any</w:t>
      </w:r>
      <w:r>
        <w:rPr>
          <w:spacing w:val="-18"/>
        </w:rPr>
        <w:t> </w:t>
      </w:r>
      <w:r>
        <w:rPr/>
        <w:t>collateral</w:t>
      </w:r>
      <w:r>
        <w:rPr>
          <w:spacing w:val="-17"/>
        </w:rPr>
        <w:t> </w:t>
      </w:r>
      <w:r>
        <w:rPr/>
        <w:t>as security</w:t>
      </w:r>
      <w:r>
        <w:rPr>
          <w:spacing w:val="-22"/>
        </w:rPr>
        <w:t> </w:t>
      </w:r>
      <w:r>
        <w:rPr/>
        <w:t>or</w:t>
      </w:r>
      <w:r>
        <w:rPr>
          <w:spacing w:val="-22"/>
        </w:rPr>
        <w:t> </w:t>
      </w:r>
      <w:r>
        <w:rPr/>
        <w:t>other</w:t>
      </w:r>
      <w:r>
        <w:rPr>
          <w:spacing w:val="-22"/>
        </w:rPr>
        <w:t> </w:t>
      </w:r>
      <w:r>
        <w:rPr/>
        <w:t>credit</w:t>
      </w:r>
      <w:r>
        <w:rPr>
          <w:spacing w:val="-21"/>
        </w:rPr>
        <w:t> </w:t>
      </w:r>
      <w:r>
        <w:rPr/>
        <w:t>enhancements</w:t>
      </w:r>
      <w:r>
        <w:rPr>
          <w:spacing w:val="-22"/>
        </w:rPr>
        <w:t> </w:t>
      </w:r>
      <w:r>
        <w:rPr/>
        <w:t>relating</w:t>
      </w:r>
      <w:r>
        <w:rPr>
          <w:spacing w:val="-22"/>
        </w:rPr>
        <w:t> </w:t>
      </w:r>
      <w:r>
        <w:rPr>
          <w:spacing w:val="-9"/>
        </w:rPr>
        <w:t>to </w:t>
      </w:r>
      <w:r>
        <w:rPr/>
        <w:t>receivables.</w:t>
      </w:r>
    </w:p>
    <w:p>
      <w:pPr>
        <w:spacing w:after="0" w:line="249" w:lineRule="auto"/>
        <w:sectPr>
          <w:type w:val="continuous"/>
          <w:pgSz w:w="16840" w:h="11910" w:orient="landscape"/>
          <w:pgMar w:top="0" w:bottom="0" w:left="0" w:right="0"/>
          <w:cols w:num="2" w:equalWidth="0">
            <w:col w:w="5580" w:space="40"/>
            <w:col w:w="11220"/>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7152"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b/>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7272"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b/>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7296" type="#_x0000_t202" filled="true" fillcolor="#b6c247" stroked="false">
            <v:textbox inset="0,0,0,0">
              <w:txbxContent>
                <w:p>
                  <w:pPr>
                    <w:pStyle w:val="BodyText"/>
                    <w:spacing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rPr>
          <w:sz w:val="15"/>
        </w:rPr>
      </w:pPr>
    </w:p>
    <w:p>
      <w:pPr>
        <w:spacing w:after="0"/>
        <w:rPr>
          <w:sz w:val="15"/>
        </w:rPr>
        <w:sectPr>
          <w:footerReference w:type="default" r:id="rId209"/>
          <w:pgSz w:w="16840" w:h="11910" w:orient="landscape"/>
          <w:pgMar w:footer="0" w:header="0" w:top="0" w:bottom="280" w:left="0" w:right="0"/>
        </w:sectPr>
      </w:pPr>
    </w:p>
    <w:p>
      <w:pPr>
        <w:pStyle w:val="BodyText"/>
        <w:spacing w:line="249" w:lineRule="auto" w:before="107"/>
        <w:ind w:left="765" w:right="206"/>
      </w:pPr>
      <w:r>
        <w:rPr/>
        <w:t>As at balance date, the gross investment and present</w:t>
      </w:r>
      <w:r>
        <w:rPr>
          <w:spacing w:val="-28"/>
        </w:rPr>
        <w:t> </w:t>
      </w:r>
      <w:r>
        <w:rPr/>
        <w:t>value</w:t>
      </w:r>
      <w:r>
        <w:rPr>
          <w:spacing w:val="-27"/>
        </w:rPr>
        <w:t> </w:t>
      </w:r>
      <w:r>
        <w:rPr/>
        <w:t>of</w:t>
      </w:r>
      <w:r>
        <w:rPr>
          <w:spacing w:val="-28"/>
        </w:rPr>
        <w:t> </w:t>
      </w:r>
      <w:r>
        <w:rPr/>
        <w:t>receivables</w:t>
      </w:r>
      <w:r>
        <w:rPr>
          <w:spacing w:val="-27"/>
        </w:rPr>
        <w:t> </w:t>
      </w:r>
      <w:r>
        <w:rPr/>
        <w:t>relating</w:t>
      </w:r>
      <w:r>
        <w:rPr>
          <w:spacing w:val="-28"/>
        </w:rPr>
        <w:t> </w:t>
      </w:r>
      <w:r>
        <w:rPr/>
        <w:t>to</w:t>
      </w:r>
      <w:r>
        <w:rPr>
          <w:spacing w:val="-27"/>
        </w:rPr>
        <w:t> </w:t>
      </w:r>
      <w:r>
        <w:rPr/>
        <w:t>the</w:t>
      </w:r>
      <w:r>
        <w:rPr>
          <w:spacing w:val="-28"/>
        </w:rPr>
        <w:t> </w:t>
      </w:r>
      <w:r>
        <w:rPr/>
        <w:t>future minimum</w:t>
      </w:r>
      <w:r>
        <w:rPr>
          <w:spacing w:val="-33"/>
        </w:rPr>
        <w:t> </w:t>
      </w:r>
      <w:r>
        <w:rPr/>
        <w:t>lease</w:t>
      </w:r>
      <w:r>
        <w:rPr>
          <w:spacing w:val="-32"/>
        </w:rPr>
        <w:t> </w:t>
      </w:r>
      <w:r>
        <w:rPr/>
        <w:t>payments</w:t>
      </w:r>
      <w:r>
        <w:rPr>
          <w:spacing w:val="-32"/>
        </w:rPr>
        <w:t> </w:t>
      </w:r>
      <w:r>
        <w:rPr/>
        <w:t>under</w:t>
      </w:r>
      <w:r>
        <w:rPr>
          <w:spacing w:val="-32"/>
        </w:rPr>
        <w:t> </w:t>
      </w:r>
      <w:r>
        <w:rPr>
          <w:spacing w:val="-2"/>
        </w:rPr>
        <w:t>non-cancellable </w:t>
      </w:r>
      <w:r>
        <w:rPr/>
        <w:t>finance</w:t>
      </w:r>
      <w:r>
        <w:rPr>
          <w:spacing w:val="-25"/>
        </w:rPr>
        <w:t> </w:t>
      </w:r>
      <w:r>
        <w:rPr/>
        <w:t>lease</w:t>
      </w:r>
      <w:r>
        <w:rPr>
          <w:spacing w:val="-24"/>
        </w:rPr>
        <w:t> </w:t>
      </w:r>
      <w:r>
        <w:rPr/>
        <w:t>arrangements</w:t>
      </w:r>
      <w:r>
        <w:rPr>
          <w:spacing w:val="-25"/>
        </w:rPr>
        <w:t> </w:t>
      </w:r>
      <w:r>
        <w:rPr/>
        <w:t>were</w:t>
      </w:r>
      <w:r>
        <w:rPr>
          <w:spacing w:val="-24"/>
        </w:rPr>
        <w:t> </w:t>
      </w:r>
      <w:r>
        <w:rPr/>
        <w:t>distributed</w:t>
      </w:r>
      <w:r>
        <w:rPr>
          <w:spacing w:val="-24"/>
        </w:rPr>
        <w:t> </w:t>
      </w:r>
      <w:r>
        <w:rPr/>
        <w:t>as follows:</w:t>
      </w:r>
    </w:p>
    <w:p>
      <w:pPr>
        <w:pStyle w:val="BodyText"/>
        <w:spacing w:before="10"/>
        <w:rPr>
          <w:sz w:val="21"/>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2017</w:t>
              <w:tab/>
            </w:r>
            <w:r>
              <w:rPr>
                <w:b/>
                <w:color w:val="FFFFFF"/>
                <w:w w:val="95"/>
                <w:sz w:val="16"/>
              </w:rPr>
              <w:t>2016</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A7BE39"/>
                <w:sz w:val="16"/>
              </w:rPr>
              <w:t>Current</w:t>
            </w:r>
          </w:p>
        </w:tc>
        <w:tc>
          <w:tcPr>
            <w:tcW w:w="964" w:type="dxa"/>
            <w:tcBorders>
              <w:bottom w:val="single" w:sz="4" w:space="0" w:color="000000"/>
            </w:tcBorders>
            <w:shd w:val="clear" w:color="auto" w:fill="DFE1B8"/>
          </w:tcPr>
          <w:p>
            <w:pPr>
              <w:pStyle w:val="TableParagraph"/>
              <w:spacing w:before="0"/>
              <w:rPr>
                <w:rFonts w:ascii="Times New Roman"/>
                <w:sz w:val="16"/>
              </w:rPr>
            </w:pPr>
          </w:p>
        </w:tc>
        <w:tc>
          <w:tcPr>
            <w:tcW w:w="964" w:type="dxa"/>
            <w:tcBorders>
              <w:bottom w:val="single" w:sz="4" w:space="0" w:color="000000"/>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Not later than 1 year</w:t>
            </w: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sz w:val="16"/>
              </w:rPr>
            </w:pPr>
            <w:r>
              <w:rPr>
                <w:w w:val="95"/>
                <w:sz w:val="16"/>
              </w:rPr>
              <w:t>494</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sz w:val="16"/>
              </w:rPr>
            </w:pPr>
            <w:r>
              <w:rPr>
                <w:w w:val="95"/>
                <w:sz w:val="16"/>
              </w:rPr>
              <w:t>583</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A7BE39"/>
                <w:sz w:val="16"/>
              </w:rPr>
              <w:t>Non-current</w:t>
            </w: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116"/>
              <w:ind w:right="111"/>
              <w:jc w:val="right"/>
              <w:rPr>
                <w:sz w:val="16"/>
              </w:rPr>
            </w:pPr>
            <w:r>
              <w:rPr>
                <w:w w:val="95"/>
                <w:sz w:val="16"/>
              </w:rPr>
              <w:t>597</w:t>
            </w:r>
          </w:p>
          <w:p>
            <w:pPr>
              <w:pStyle w:val="TableParagraph"/>
              <w:spacing w:before="1"/>
              <w:rPr>
                <w:sz w:val="26"/>
              </w:rPr>
            </w:pPr>
          </w:p>
          <w:p>
            <w:pPr>
              <w:pStyle w:val="TableParagraph"/>
              <w:spacing w:before="1"/>
              <w:ind w:right="111"/>
              <w:jc w:val="right"/>
              <w:rPr>
                <w:sz w:val="16"/>
              </w:rPr>
            </w:pPr>
            <w:r>
              <w:rPr>
                <w:w w:val="111"/>
                <w:sz w:val="16"/>
              </w:rPr>
              <w:t>-</w:t>
            </w:r>
          </w:p>
        </w:tc>
        <w:tc>
          <w:tcPr>
            <w:tcW w:w="96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464" w:hRule="atLeast"/>
        </w:trPr>
        <w:tc>
          <w:tcPr>
            <w:tcW w:w="2863" w:type="dxa"/>
            <w:tcBorders>
              <w:top w:val="single" w:sz="8" w:space="0" w:color="FFFFFF"/>
              <w:bottom w:val="single" w:sz="8" w:space="0" w:color="FFFFFF"/>
            </w:tcBorders>
            <w:shd w:val="clear" w:color="auto" w:fill="FAF9F9"/>
          </w:tcPr>
          <w:p>
            <w:pPr>
              <w:pStyle w:val="TableParagraph"/>
              <w:spacing w:line="261" w:lineRule="auto" w:before="39"/>
              <w:ind w:left="113" w:right="250"/>
              <w:rPr>
                <w:sz w:val="16"/>
              </w:rPr>
            </w:pPr>
            <w:r>
              <w:rPr>
                <w:sz w:val="16"/>
              </w:rPr>
              <w:t>Later than 1 year and not later </w:t>
            </w:r>
            <w:r>
              <w:rPr>
                <w:spacing w:val="-5"/>
                <w:sz w:val="16"/>
              </w:rPr>
              <w:t>than </w:t>
            </w:r>
            <w:r>
              <w:rPr>
                <w:sz w:val="16"/>
              </w:rPr>
              <w:t>5 years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1,214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Later than 5 years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111"/>
                <w:sz w:val="16"/>
              </w:rPr>
              <w:t>-</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sz w:val="16"/>
              </w:rPr>
            </w:pPr>
            <w:r>
              <w:rPr>
                <w:w w:val="95"/>
                <w:sz w:val="16"/>
              </w:rPr>
              <w:t>597</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sz w:val="16"/>
              </w:rPr>
            </w:pPr>
            <w:r>
              <w:rPr>
                <w:w w:val="95"/>
                <w:sz w:val="16"/>
              </w:rPr>
              <w:t>1,214</w:t>
            </w:r>
          </w:p>
        </w:tc>
      </w:tr>
      <w:tr>
        <w:trPr>
          <w:trHeight w:val="23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line="175" w:lineRule="exact" w:before="39"/>
              <w:ind w:right="111"/>
              <w:jc w:val="right"/>
              <w:rPr>
                <w:b/>
                <w:sz w:val="16"/>
              </w:rPr>
            </w:pPr>
            <w:r>
              <w:rPr>
                <w:b/>
                <w:w w:val="95"/>
                <w:sz w:val="16"/>
              </w:rPr>
              <w:t>1,091</w:t>
            </w:r>
          </w:p>
        </w:tc>
        <w:tc>
          <w:tcPr>
            <w:tcW w:w="964" w:type="dxa"/>
            <w:tcBorders>
              <w:top w:val="single" w:sz="4" w:space="0" w:color="000000"/>
              <w:bottom w:val="single" w:sz="24" w:space="0" w:color="FFFFFF"/>
            </w:tcBorders>
            <w:shd w:val="clear" w:color="auto" w:fill="F4F4F4"/>
          </w:tcPr>
          <w:p>
            <w:pPr>
              <w:pStyle w:val="TableParagraph"/>
              <w:spacing w:line="175" w:lineRule="exact" w:before="39"/>
              <w:ind w:right="111"/>
              <w:jc w:val="right"/>
              <w:rPr>
                <w:b/>
                <w:sz w:val="16"/>
              </w:rPr>
            </w:pPr>
            <w:r>
              <w:rPr>
                <w:b/>
                <w:w w:val="95"/>
                <w:sz w:val="16"/>
              </w:rPr>
              <w:t>1,797</w:t>
            </w:r>
          </w:p>
        </w:tc>
      </w:tr>
    </w:tbl>
    <w:p>
      <w:pPr>
        <w:pStyle w:val="BodyText"/>
        <w:spacing w:before="9"/>
        <w:rPr>
          <w:sz w:val="28"/>
        </w:rPr>
      </w:pPr>
    </w:p>
    <w:p>
      <w:pPr>
        <w:pStyle w:val="Heading5"/>
        <w:spacing w:line="235" w:lineRule="auto" w:before="0" w:after="32"/>
        <w:ind w:right="341"/>
      </w:pPr>
      <w:bookmarkStart w:name="_bookmark42" w:id="43"/>
      <w:bookmarkEnd w:id="43"/>
      <w:r>
        <w:rPr/>
      </w:r>
      <w:r>
        <w:rPr>
          <w:color w:val="6F2770"/>
        </w:rPr>
        <w:t>Note</w:t>
      </w:r>
      <w:r>
        <w:rPr>
          <w:color w:val="6F2770"/>
          <w:spacing w:val="-31"/>
        </w:rPr>
        <w:t> </w:t>
      </w:r>
      <w:r>
        <w:rPr>
          <w:color w:val="6F2770"/>
        </w:rPr>
        <w:t>22.</w:t>
      </w:r>
      <w:r>
        <w:rPr>
          <w:color w:val="6F2770"/>
          <w:spacing w:val="-31"/>
        </w:rPr>
        <w:t> </w:t>
      </w:r>
      <w:r>
        <w:rPr>
          <w:color w:val="6F2770"/>
        </w:rPr>
        <w:t>Amounts</w:t>
      </w:r>
      <w:r>
        <w:rPr>
          <w:color w:val="6F2770"/>
          <w:spacing w:val="-31"/>
        </w:rPr>
        <w:t> </w:t>
      </w:r>
      <w:r>
        <w:rPr>
          <w:color w:val="6F2770"/>
        </w:rPr>
        <w:t>receivable</w:t>
      </w:r>
      <w:r>
        <w:rPr>
          <w:color w:val="6F2770"/>
          <w:spacing w:val="-31"/>
        </w:rPr>
        <w:t> </w:t>
      </w:r>
      <w:r>
        <w:rPr>
          <w:color w:val="6F2770"/>
          <w:spacing w:val="-6"/>
        </w:rPr>
        <w:t>for </w:t>
      </w:r>
      <w:r>
        <w:rPr>
          <w:color w:val="6F2770"/>
        </w:rPr>
        <w:t>services (Holding</w:t>
      </w:r>
      <w:r>
        <w:rPr>
          <w:color w:val="6F2770"/>
          <w:spacing w:val="-29"/>
        </w:rPr>
        <w:t> </w:t>
      </w:r>
      <w:r>
        <w:rPr>
          <w:color w:val="6F2770"/>
        </w:rPr>
        <w:t>Account)</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2017</w:t>
              <w:tab/>
            </w:r>
            <w:r>
              <w:rPr>
                <w:b/>
                <w:color w:val="FFFFFF"/>
                <w:w w:val="95"/>
                <w:sz w:val="16"/>
              </w:rPr>
              <w:t>2016</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sz w:val="16"/>
              </w:rPr>
            </w:pPr>
            <w:r>
              <w:rPr>
                <w:sz w:val="16"/>
              </w:rPr>
              <w:t>Current</w:t>
            </w:r>
          </w:p>
        </w:tc>
        <w:tc>
          <w:tcPr>
            <w:tcW w:w="964" w:type="dxa"/>
            <w:vMerge w:val="restart"/>
            <w:tcBorders>
              <w:bottom w:val="single" w:sz="4" w:space="0" w:color="000000"/>
            </w:tcBorders>
            <w:shd w:val="clear" w:color="auto" w:fill="E1E4BB"/>
          </w:tcPr>
          <w:p>
            <w:pPr>
              <w:pStyle w:val="TableParagraph"/>
              <w:spacing w:before="49"/>
              <w:ind w:left="338" w:right="2"/>
              <w:jc w:val="center"/>
              <w:rPr>
                <w:sz w:val="16"/>
              </w:rPr>
            </w:pPr>
            <w:r>
              <w:rPr>
                <w:sz w:val="16"/>
              </w:rPr>
              <w:t>2,250</w:t>
            </w:r>
          </w:p>
          <w:p>
            <w:pPr>
              <w:pStyle w:val="TableParagraph"/>
              <w:spacing w:before="100"/>
              <w:ind w:left="237" w:right="79"/>
              <w:jc w:val="center"/>
              <w:rPr>
                <w:sz w:val="16"/>
              </w:rPr>
            </w:pPr>
            <w:r>
              <w:rPr>
                <w:sz w:val="16"/>
              </w:rPr>
              <w:t>461,896</w:t>
            </w:r>
          </w:p>
        </w:tc>
        <w:tc>
          <w:tcPr>
            <w:tcW w:w="964" w:type="dxa"/>
            <w:tcBorders>
              <w:bottom w:val="single" w:sz="8" w:space="0" w:color="FFFFFF"/>
            </w:tcBorders>
            <w:shd w:val="clear" w:color="auto" w:fill="F4F4F4"/>
          </w:tcPr>
          <w:p>
            <w:pPr>
              <w:pStyle w:val="TableParagraph"/>
              <w:spacing w:before="49"/>
              <w:ind w:right="111"/>
              <w:jc w:val="right"/>
              <w:rPr>
                <w:sz w:val="16"/>
              </w:rPr>
            </w:pPr>
            <w:r>
              <w:rPr>
                <w:w w:val="95"/>
                <w:sz w:val="16"/>
              </w:rPr>
              <w:t>1,531</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Non-current</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410,183</w:t>
            </w:r>
          </w:p>
        </w:tc>
      </w:tr>
      <w:tr>
        <w:trPr>
          <w:trHeight w:val="23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line="175" w:lineRule="exact" w:before="39"/>
              <w:ind w:left="272"/>
              <w:rPr>
                <w:b/>
                <w:sz w:val="16"/>
              </w:rPr>
            </w:pPr>
            <w:r>
              <w:rPr>
                <w:b/>
                <w:sz w:val="16"/>
              </w:rPr>
              <w:t>464,146</w:t>
            </w:r>
          </w:p>
        </w:tc>
        <w:tc>
          <w:tcPr>
            <w:tcW w:w="964" w:type="dxa"/>
            <w:tcBorders>
              <w:top w:val="single" w:sz="4" w:space="0" w:color="000000"/>
              <w:bottom w:val="single" w:sz="24" w:space="0" w:color="FFFFFF"/>
            </w:tcBorders>
            <w:shd w:val="clear" w:color="auto" w:fill="F4F4F4"/>
          </w:tcPr>
          <w:p>
            <w:pPr>
              <w:pStyle w:val="TableParagraph"/>
              <w:spacing w:line="175" w:lineRule="exact" w:before="39"/>
              <w:ind w:right="111"/>
              <w:jc w:val="right"/>
              <w:rPr>
                <w:b/>
                <w:sz w:val="16"/>
              </w:rPr>
            </w:pPr>
            <w:r>
              <w:rPr>
                <w:b/>
                <w:w w:val="95"/>
                <w:sz w:val="16"/>
              </w:rPr>
              <w:t>411,714</w:t>
            </w:r>
          </w:p>
        </w:tc>
      </w:tr>
    </w:tbl>
    <w:p>
      <w:pPr>
        <w:pStyle w:val="BodyText"/>
        <w:spacing w:line="249" w:lineRule="auto" w:before="224"/>
        <w:ind w:left="765" w:right="77"/>
      </w:pPr>
      <w:r>
        <w:rPr/>
        <w:t>Represents the non-cash component of service appropriations.</w:t>
      </w:r>
      <w:r>
        <w:rPr>
          <w:spacing w:val="-15"/>
        </w:rPr>
        <w:t> </w:t>
      </w:r>
      <w:r>
        <w:rPr/>
        <w:t>It</w:t>
      </w:r>
      <w:r>
        <w:rPr>
          <w:spacing w:val="-15"/>
        </w:rPr>
        <w:t> </w:t>
      </w:r>
      <w:r>
        <w:rPr/>
        <w:t>is</w:t>
      </w:r>
      <w:r>
        <w:rPr>
          <w:spacing w:val="-14"/>
        </w:rPr>
        <w:t> </w:t>
      </w:r>
      <w:r>
        <w:rPr/>
        <w:t>restricted</w:t>
      </w:r>
      <w:r>
        <w:rPr>
          <w:spacing w:val="-15"/>
        </w:rPr>
        <w:t> </w:t>
      </w:r>
      <w:r>
        <w:rPr/>
        <w:t>in</w:t>
      </w:r>
      <w:r>
        <w:rPr>
          <w:spacing w:val="-14"/>
        </w:rPr>
        <w:t> </w:t>
      </w:r>
      <w:r>
        <w:rPr/>
        <w:t>that</w:t>
      </w:r>
      <w:r>
        <w:rPr>
          <w:spacing w:val="-15"/>
        </w:rPr>
        <w:t> </w:t>
      </w:r>
      <w:r>
        <w:rPr/>
        <w:t>it</w:t>
      </w:r>
      <w:r>
        <w:rPr>
          <w:spacing w:val="-14"/>
        </w:rPr>
        <w:t> </w:t>
      </w:r>
      <w:r>
        <w:rPr/>
        <w:t>can</w:t>
      </w:r>
      <w:r>
        <w:rPr>
          <w:spacing w:val="-15"/>
        </w:rPr>
        <w:t> </w:t>
      </w:r>
      <w:r>
        <w:rPr/>
        <w:t>only</w:t>
      </w:r>
      <w:r>
        <w:rPr>
          <w:spacing w:val="-14"/>
        </w:rPr>
        <w:t> </w:t>
      </w:r>
      <w:r>
        <w:rPr>
          <w:spacing w:val="-9"/>
        </w:rPr>
        <w:t>be </w:t>
      </w:r>
      <w:r>
        <w:rPr/>
        <w:t>used for asset replacement or payment of leave </w:t>
      </w:r>
      <w:r>
        <w:rPr>
          <w:spacing w:val="-3"/>
        </w:rPr>
        <w:t>liability.</w:t>
      </w:r>
    </w:p>
    <w:p>
      <w:pPr>
        <w:pStyle w:val="Heading5"/>
        <w:spacing w:before="113"/>
        <w:ind w:left="413"/>
      </w:pPr>
      <w:r>
        <w:rPr/>
        <w:br w:type="column"/>
      </w:r>
      <w:bookmarkStart w:name="_bookmark43" w:id="44"/>
      <w:bookmarkEnd w:id="44"/>
      <w:r>
        <w:rPr/>
      </w:r>
      <w:r>
        <w:rPr>
          <w:color w:val="6F2770"/>
        </w:rPr>
        <w:t>Note 23. Other assets</w:t>
      </w:r>
    </w:p>
    <w:p>
      <w:pPr>
        <w:pStyle w:val="BodyText"/>
        <w:spacing w:before="1"/>
        <w:rPr>
          <w:sz w:val="6"/>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2017</w:t>
              <w:tab/>
            </w:r>
            <w:r>
              <w:rPr>
                <w:b/>
                <w:color w:val="FFFFFF"/>
                <w:w w:val="95"/>
                <w:sz w:val="16"/>
              </w:rPr>
              <w:t>2016</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A7BE39"/>
                <w:sz w:val="16"/>
              </w:rPr>
              <w:t>Current</w:t>
            </w:r>
          </w:p>
        </w:tc>
        <w:tc>
          <w:tcPr>
            <w:tcW w:w="964" w:type="dxa"/>
            <w:vMerge w:val="restart"/>
            <w:tcBorders>
              <w:bottom w:val="single" w:sz="4" w:space="0" w:color="000000"/>
            </w:tcBorders>
            <w:shd w:val="clear" w:color="auto" w:fill="E1E4BB"/>
          </w:tcPr>
          <w:p>
            <w:pPr>
              <w:pStyle w:val="TableParagraph"/>
              <w:spacing w:before="0"/>
              <w:rPr>
                <w:sz w:val="18"/>
              </w:rPr>
            </w:pPr>
          </w:p>
          <w:p>
            <w:pPr>
              <w:pStyle w:val="TableParagraph"/>
              <w:spacing w:before="126"/>
              <w:ind w:left="361"/>
              <w:rPr>
                <w:sz w:val="16"/>
              </w:rPr>
            </w:pPr>
            <w:r>
              <w:rPr>
                <w:sz w:val="16"/>
              </w:rPr>
              <w:t>24,606</w:t>
            </w:r>
          </w:p>
          <w:p>
            <w:pPr>
              <w:pStyle w:val="TableParagraph"/>
              <w:spacing w:before="101"/>
              <w:ind w:left="450"/>
              <w:rPr>
                <w:sz w:val="16"/>
              </w:rPr>
            </w:pPr>
            <w:r>
              <w:rPr>
                <w:sz w:val="16"/>
              </w:rPr>
              <w:t>4,648</w:t>
            </w:r>
          </w:p>
        </w:tc>
        <w:tc>
          <w:tcPr>
            <w:tcW w:w="964" w:type="dxa"/>
            <w:tcBorders>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Prepayments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25,245</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Other</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3,607</w:t>
            </w:r>
          </w:p>
        </w:tc>
      </w:tr>
      <w:tr>
        <w:trPr>
          <w:trHeight w:val="241" w:hRule="atLeast"/>
        </w:trPr>
        <w:tc>
          <w:tcPr>
            <w:tcW w:w="2863" w:type="dxa"/>
            <w:tcBorders>
              <w:top w:val="single" w:sz="8" w:space="0" w:color="FFFFFF"/>
              <w:bottom w:val="single" w:sz="8" w:space="0" w:color="FFFFFF"/>
            </w:tcBorders>
            <w:shd w:val="clear" w:color="auto" w:fill="FAF9F9"/>
          </w:tcPr>
          <w:p>
            <w:pPr>
              <w:pStyle w:val="TableParagraph"/>
              <w:spacing w:line="183" w:lineRule="exact" w:before="39"/>
              <w:ind w:left="113"/>
              <w:rPr>
                <w:b/>
                <w:sz w:val="16"/>
              </w:rPr>
            </w:pPr>
            <w:r>
              <w:rPr>
                <w:b/>
                <w:sz w:val="16"/>
              </w:rPr>
              <w:t>Total current</w:t>
            </w:r>
          </w:p>
        </w:tc>
        <w:tc>
          <w:tcPr>
            <w:tcW w:w="964" w:type="dxa"/>
            <w:tcBorders>
              <w:top w:val="single" w:sz="4" w:space="0" w:color="000000"/>
              <w:bottom w:val="double" w:sz="2" w:space="0" w:color="000000"/>
            </w:tcBorders>
            <w:shd w:val="clear" w:color="auto" w:fill="E1E4BB"/>
          </w:tcPr>
          <w:p>
            <w:pPr>
              <w:pStyle w:val="TableParagraph"/>
              <w:spacing w:line="183" w:lineRule="exact" w:before="39"/>
              <w:ind w:right="111"/>
              <w:jc w:val="right"/>
              <w:rPr>
                <w:b/>
                <w:sz w:val="16"/>
              </w:rPr>
            </w:pPr>
            <w:r>
              <w:rPr>
                <w:b/>
                <w:w w:val="95"/>
                <w:sz w:val="16"/>
              </w:rPr>
              <w:t>29,254</w:t>
            </w:r>
          </w:p>
        </w:tc>
        <w:tc>
          <w:tcPr>
            <w:tcW w:w="964" w:type="dxa"/>
            <w:tcBorders>
              <w:top w:val="single" w:sz="4" w:space="0" w:color="000000"/>
              <w:bottom w:val="double" w:sz="2" w:space="0" w:color="000000"/>
            </w:tcBorders>
            <w:shd w:val="clear" w:color="auto" w:fill="FAF9F9"/>
          </w:tcPr>
          <w:p>
            <w:pPr>
              <w:pStyle w:val="TableParagraph"/>
              <w:spacing w:line="183" w:lineRule="exact" w:before="39"/>
              <w:ind w:right="111"/>
              <w:jc w:val="right"/>
              <w:rPr>
                <w:b/>
                <w:sz w:val="16"/>
              </w:rPr>
            </w:pPr>
            <w:r>
              <w:rPr>
                <w:b/>
                <w:w w:val="95"/>
                <w:sz w:val="16"/>
              </w:rPr>
              <w:t>28,852</w:t>
            </w:r>
          </w:p>
        </w:tc>
      </w:tr>
      <w:tr>
        <w:trPr>
          <w:trHeight w:val="261" w:hRule="atLeast"/>
        </w:trPr>
        <w:tc>
          <w:tcPr>
            <w:tcW w:w="2863" w:type="dxa"/>
            <w:tcBorders>
              <w:top w:val="single" w:sz="8" w:space="0" w:color="FFFFFF"/>
              <w:bottom w:val="single" w:sz="8" w:space="0" w:color="FFFFFF"/>
            </w:tcBorders>
            <w:shd w:val="clear" w:color="auto" w:fill="F4F4F4"/>
          </w:tcPr>
          <w:p>
            <w:pPr>
              <w:pStyle w:val="TableParagraph"/>
              <w:spacing w:before="36"/>
              <w:ind w:left="113"/>
              <w:rPr>
                <w:i/>
                <w:sz w:val="16"/>
              </w:rPr>
            </w:pPr>
            <w:r>
              <w:rPr>
                <w:i/>
                <w:color w:val="A7BE39"/>
                <w:sz w:val="16"/>
              </w:rPr>
              <w:t>Non-current</w:t>
            </w:r>
          </w:p>
        </w:tc>
        <w:tc>
          <w:tcPr>
            <w:tcW w:w="964" w:type="dxa"/>
            <w:vMerge w:val="restart"/>
            <w:tcBorders>
              <w:top w:val="double" w:sz="2" w:space="0" w:color="000000"/>
              <w:bottom w:val="single" w:sz="4" w:space="0" w:color="000000"/>
            </w:tcBorders>
            <w:shd w:val="clear" w:color="auto" w:fill="E1E4BB"/>
          </w:tcPr>
          <w:p>
            <w:pPr>
              <w:pStyle w:val="TableParagraph"/>
              <w:spacing w:before="0"/>
              <w:rPr>
                <w:sz w:val="18"/>
              </w:rPr>
            </w:pPr>
          </w:p>
          <w:p>
            <w:pPr>
              <w:pStyle w:val="TableParagraph"/>
              <w:spacing w:before="114"/>
              <w:ind w:left="548" w:right="79"/>
              <w:jc w:val="center"/>
              <w:rPr>
                <w:sz w:val="16"/>
              </w:rPr>
            </w:pPr>
            <w:r>
              <w:rPr>
                <w:sz w:val="16"/>
              </w:rPr>
              <w:t>373</w:t>
            </w:r>
          </w:p>
          <w:p>
            <w:pPr>
              <w:pStyle w:val="TableParagraph"/>
              <w:spacing w:before="100"/>
              <w:ind w:left="338" w:right="2"/>
              <w:jc w:val="center"/>
              <w:rPr>
                <w:sz w:val="16"/>
              </w:rPr>
            </w:pPr>
            <w:r>
              <w:rPr>
                <w:sz w:val="16"/>
              </w:rPr>
              <w:t>6,067</w:t>
            </w:r>
          </w:p>
        </w:tc>
        <w:tc>
          <w:tcPr>
            <w:tcW w:w="964" w:type="dxa"/>
            <w:tcBorders>
              <w:top w:val="double" w:sz="2" w:space="0" w:color="000000"/>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Prepayments</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517</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Other</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1,612</w:t>
            </w:r>
          </w:p>
        </w:tc>
      </w:tr>
      <w:tr>
        <w:trPr>
          <w:trHeight w:val="234" w:hRule="atLeast"/>
        </w:trPr>
        <w:tc>
          <w:tcPr>
            <w:tcW w:w="2863" w:type="dxa"/>
            <w:tcBorders>
              <w:top w:val="single" w:sz="8" w:space="0" w:color="FFFFFF"/>
              <w:bottom w:val="single" w:sz="8" w:space="0" w:color="FFFFFF"/>
            </w:tcBorders>
            <w:shd w:val="clear" w:color="auto" w:fill="FAF9F9"/>
          </w:tcPr>
          <w:p>
            <w:pPr>
              <w:pStyle w:val="TableParagraph"/>
              <w:spacing w:line="175" w:lineRule="exact" w:before="39"/>
              <w:ind w:left="113"/>
              <w:rPr>
                <w:b/>
                <w:sz w:val="16"/>
              </w:rPr>
            </w:pPr>
            <w:r>
              <w:rPr>
                <w:b/>
                <w:sz w:val="16"/>
              </w:rPr>
              <w:t>Total non-current</w:t>
            </w:r>
          </w:p>
        </w:tc>
        <w:tc>
          <w:tcPr>
            <w:tcW w:w="964" w:type="dxa"/>
            <w:tcBorders>
              <w:top w:val="single" w:sz="4" w:space="0" w:color="000000"/>
              <w:bottom w:val="single" w:sz="24" w:space="0" w:color="FFFFFF"/>
            </w:tcBorders>
            <w:shd w:val="clear" w:color="auto" w:fill="E1E4BB"/>
          </w:tcPr>
          <w:p>
            <w:pPr>
              <w:pStyle w:val="TableParagraph"/>
              <w:spacing w:line="175" w:lineRule="exact" w:before="39"/>
              <w:ind w:right="111"/>
              <w:jc w:val="right"/>
              <w:rPr>
                <w:b/>
                <w:sz w:val="16"/>
              </w:rPr>
            </w:pPr>
            <w:r>
              <w:rPr>
                <w:b/>
                <w:w w:val="95"/>
                <w:sz w:val="16"/>
              </w:rPr>
              <w:t>6,440</w:t>
            </w:r>
          </w:p>
        </w:tc>
        <w:tc>
          <w:tcPr>
            <w:tcW w:w="964" w:type="dxa"/>
            <w:tcBorders>
              <w:top w:val="single" w:sz="4" w:space="0" w:color="000000"/>
              <w:bottom w:val="single" w:sz="24" w:space="0" w:color="FFFFFF"/>
            </w:tcBorders>
            <w:shd w:val="clear" w:color="auto" w:fill="FAF9F9"/>
          </w:tcPr>
          <w:p>
            <w:pPr>
              <w:pStyle w:val="TableParagraph"/>
              <w:spacing w:line="175" w:lineRule="exact" w:before="39"/>
              <w:ind w:right="111"/>
              <w:jc w:val="right"/>
              <w:rPr>
                <w:b/>
                <w:sz w:val="16"/>
              </w:rPr>
            </w:pPr>
            <w:r>
              <w:rPr>
                <w:b/>
                <w:w w:val="95"/>
                <w:sz w:val="16"/>
              </w:rPr>
              <w:t>2,129</w:t>
            </w:r>
          </w:p>
        </w:tc>
      </w:tr>
    </w:tbl>
    <w:p>
      <w:pPr>
        <w:spacing w:line="235" w:lineRule="auto" w:before="320"/>
        <w:ind w:left="413" w:right="1426" w:firstLine="0"/>
        <w:jc w:val="left"/>
        <w:rPr>
          <w:sz w:val="32"/>
        </w:rPr>
      </w:pPr>
      <w:bookmarkStart w:name="_bookmark44" w:id="45"/>
      <w:bookmarkEnd w:id="45"/>
      <w:r>
        <w:rPr/>
      </w:r>
      <w:r>
        <w:rPr>
          <w:color w:val="6F2770"/>
          <w:sz w:val="32"/>
        </w:rPr>
        <w:t>Note 24. </w:t>
      </w:r>
      <w:r>
        <w:rPr>
          <w:color w:val="6F2770"/>
          <w:spacing w:val="-4"/>
          <w:sz w:val="32"/>
        </w:rPr>
        <w:t>Property,</w:t>
      </w:r>
      <w:r>
        <w:rPr>
          <w:color w:val="6F2770"/>
          <w:spacing w:val="-59"/>
          <w:sz w:val="32"/>
        </w:rPr>
        <w:t> </w:t>
      </w:r>
      <w:r>
        <w:rPr>
          <w:color w:val="6F2770"/>
          <w:spacing w:val="-3"/>
          <w:sz w:val="32"/>
        </w:rPr>
        <w:t>plant, </w:t>
      </w:r>
      <w:r>
        <w:rPr>
          <w:color w:val="6F2770"/>
          <w:sz w:val="32"/>
        </w:rPr>
        <w:t>equipment and</w:t>
      </w:r>
      <w:r>
        <w:rPr>
          <w:color w:val="6F2770"/>
          <w:spacing w:val="-66"/>
          <w:sz w:val="32"/>
        </w:rPr>
        <w:t> </w:t>
      </w:r>
      <w:r>
        <w:rPr>
          <w:color w:val="6F2770"/>
          <w:sz w:val="32"/>
        </w:rPr>
        <w:t>vehicles</w:t>
      </w:r>
    </w:p>
    <w:p>
      <w:pPr>
        <w:pStyle w:val="BodyText"/>
        <w:spacing w:before="5"/>
        <w:rPr>
          <w:sz w:val="4"/>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74"/>
      </w:tblGrid>
      <w:tr>
        <w:trPr>
          <w:trHeight w:val="481" w:hRule="atLeast"/>
        </w:trPr>
        <w:tc>
          <w:tcPr>
            <w:tcW w:w="4801" w:type="dxa"/>
            <w:gridSpan w:val="3"/>
            <w:shd w:val="clear" w:color="auto" w:fill="783A79"/>
          </w:tcPr>
          <w:p>
            <w:pPr>
              <w:pStyle w:val="TableParagraph"/>
              <w:tabs>
                <w:tab w:pos="963" w:val="left" w:leader="none"/>
              </w:tabs>
              <w:spacing w:before="54"/>
              <w:ind w:right="121"/>
              <w:jc w:val="right"/>
              <w:rPr>
                <w:b/>
                <w:sz w:val="16"/>
              </w:rPr>
            </w:pPr>
            <w:r>
              <w:rPr>
                <w:b/>
                <w:color w:val="FFFFFF"/>
                <w:sz w:val="16"/>
              </w:rPr>
              <w:t>2017</w:t>
              <w:tab/>
            </w:r>
            <w:r>
              <w:rPr>
                <w:b/>
                <w:color w:val="FFFFFF"/>
                <w:w w:val="95"/>
                <w:sz w:val="16"/>
              </w:rPr>
              <w:t>2016</w:t>
            </w:r>
          </w:p>
          <w:p>
            <w:pPr>
              <w:pStyle w:val="TableParagraph"/>
              <w:tabs>
                <w:tab w:pos="963" w:val="left" w:leader="none"/>
              </w:tabs>
              <w:spacing w:before="8"/>
              <w:ind w:right="12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A7BE39"/>
                <w:sz w:val="16"/>
              </w:rPr>
              <w:t>Land</w:t>
            </w:r>
          </w:p>
        </w:tc>
        <w:tc>
          <w:tcPr>
            <w:tcW w:w="964" w:type="dxa"/>
            <w:vMerge w:val="restart"/>
            <w:tcBorders>
              <w:bottom w:val="single" w:sz="4" w:space="0" w:color="000000"/>
            </w:tcBorders>
            <w:shd w:val="clear" w:color="auto" w:fill="E1E4BB"/>
          </w:tcPr>
          <w:p>
            <w:pPr>
              <w:pStyle w:val="TableParagraph"/>
              <w:spacing w:before="0"/>
              <w:rPr>
                <w:sz w:val="18"/>
              </w:rPr>
            </w:pPr>
          </w:p>
          <w:p>
            <w:pPr>
              <w:pStyle w:val="TableParagraph"/>
              <w:spacing w:before="126"/>
              <w:ind w:left="272"/>
              <w:rPr>
                <w:sz w:val="16"/>
              </w:rPr>
            </w:pPr>
            <w:r>
              <w:rPr>
                <w:sz w:val="16"/>
              </w:rPr>
              <w:t>140,410</w:t>
            </w:r>
          </w:p>
        </w:tc>
        <w:tc>
          <w:tcPr>
            <w:tcW w:w="974" w:type="dxa"/>
            <w:tcBorders>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At fair value</w:t>
            </w:r>
            <w:r>
              <w:rPr>
                <w:position w:val="6"/>
                <w:sz w:val="10"/>
              </w:rPr>
              <w:t>(a)</w:t>
            </w:r>
          </w:p>
        </w:tc>
        <w:tc>
          <w:tcPr>
            <w:tcW w:w="964" w:type="dxa"/>
            <w:vMerge/>
            <w:tcBorders>
              <w:top w:val="nil"/>
              <w:bottom w:val="single" w:sz="4" w:space="0" w:color="000000"/>
            </w:tcBorders>
            <w:shd w:val="clear" w:color="auto" w:fill="E1E4BB"/>
          </w:tcPr>
          <w:p>
            <w:pPr>
              <w:rPr>
                <w:sz w:val="2"/>
                <w:szCs w:val="2"/>
              </w:rPr>
            </w:pPr>
          </w:p>
        </w:tc>
        <w:tc>
          <w:tcPr>
            <w:tcW w:w="974" w:type="dxa"/>
            <w:tcBorders>
              <w:top w:val="single" w:sz="8" w:space="0" w:color="FFFFFF"/>
              <w:bottom w:val="single" w:sz="4" w:space="0" w:color="000000"/>
            </w:tcBorders>
            <w:shd w:val="clear" w:color="auto" w:fill="FAF9F9"/>
          </w:tcPr>
          <w:p>
            <w:pPr>
              <w:pStyle w:val="TableParagraph"/>
              <w:spacing w:before="39"/>
              <w:ind w:right="121"/>
              <w:jc w:val="right"/>
              <w:rPr>
                <w:sz w:val="16"/>
              </w:rPr>
            </w:pPr>
            <w:r>
              <w:rPr>
                <w:w w:val="95"/>
                <w:sz w:val="16"/>
              </w:rPr>
              <w:t>151,512</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sz w:val="16"/>
              </w:rPr>
            </w:pPr>
            <w:r>
              <w:rPr>
                <w:w w:val="95"/>
                <w:sz w:val="16"/>
              </w:rPr>
              <w:t>140,410</w:t>
            </w:r>
          </w:p>
        </w:tc>
        <w:tc>
          <w:tcPr>
            <w:tcW w:w="974" w:type="dxa"/>
            <w:tcBorders>
              <w:top w:val="single" w:sz="4" w:space="0" w:color="000000"/>
              <w:bottom w:val="single" w:sz="4" w:space="0" w:color="000000"/>
            </w:tcBorders>
            <w:shd w:val="clear" w:color="auto" w:fill="F4F4F4"/>
          </w:tcPr>
          <w:p>
            <w:pPr>
              <w:pStyle w:val="TableParagraph"/>
              <w:spacing w:before="39"/>
              <w:ind w:right="121"/>
              <w:jc w:val="right"/>
              <w:rPr>
                <w:sz w:val="16"/>
              </w:rPr>
            </w:pPr>
            <w:r>
              <w:rPr>
                <w:w w:val="95"/>
                <w:sz w:val="16"/>
              </w:rPr>
              <w:t>151,512</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i/>
                <w:sz w:val="16"/>
              </w:rPr>
            </w:pPr>
            <w:r>
              <w:rPr>
                <w:i/>
                <w:color w:val="A7BE39"/>
                <w:sz w:val="16"/>
              </w:rPr>
              <w:t>Buildings</w:t>
            </w:r>
          </w:p>
        </w:tc>
        <w:tc>
          <w:tcPr>
            <w:tcW w:w="964" w:type="dxa"/>
            <w:vMerge w:val="restart"/>
            <w:tcBorders>
              <w:top w:val="single" w:sz="4" w:space="0" w:color="000000"/>
              <w:bottom w:val="single" w:sz="4" w:space="0" w:color="000000"/>
            </w:tcBorders>
            <w:shd w:val="clear" w:color="auto" w:fill="DFE1B8"/>
          </w:tcPr>
          <w:p>
            <w:pPr>
              <w:pStyle w:val="TableParagraph"/>
              <w:spacing w:before="0"/>
              <w:rPr>
                <w:sz w:val="18"/>
              </w:rPr>
            </w:pPr>
          </w:p>
          <w:p>
            <w:pPr>
              <w:pStyle w:val="TableParagraph"/>
              <w:spacing w:before="116"/>
              <w:ind w:left="237" w:right="79"/>
              <w:jc w:val="center"/>
              <w:rPr>
                <w:sz w:val="16"/>
              </w:rPr>
            </w:pPr>
            <w:r>
              <w:rPr>
                <w:sz w:val="16"/>
              </w:rPr>
              <w:t>141,624</w:t>
            </w:r>
          </w:p>
          <w:p>
            <w:pPr>
              <w:pStyle w:val="TableParagraph"/>
              <w:spacing w:before="101"/>
              <w:ind w:left="338" w:right="79"/>
              <w:jc w:val="center"/>
              <w:rPr>
                <w:sz w:val="16"/>
              </w:rPr>
            </w:pPr>
            <w:r>
              <w:rPr>
                <w:sz w:val="16"/>
              </w:rPr>
              <w:t>(3,552)</w:t>
            </w:r>
          </w:p>
        </w:tc>
        <w:tc>
          <w:tcPr>
            <w:tcW w:w="974" w:type="dxa"/>
            <w:tcBorders>
              <w:top w:val="single" w:sz="4" w:space="0" w:color="000000"/>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5"/>
              <w:ind w:left="113"/>
              <w:rPr>
                <w:sz w:val="10"/>
              </w:rPr>
            </w:pPr>
            <w:r>
              <w:rPr>
                <w:sz w:val="16"/>
              </w:rPr>
              <w:t>At fair value</w:t>
            </w:r>
            <w:r>
              <w:rPr>
                <w:position w:val="6"/>
                <w:sz w:val="10"/>
              </w:rPr>
              <w:t>(a)</w:t>
            </w:r>
          </w:p>
        </w:tc>
        <w:tc>
          <w:tcPr>
            <w:tcW w:w="964" w:type="dxa"/>
            <w:vMerge/>
            <w:tcBorders>
              <w:top w:val="nil"/>
              <w:bottom w:val="single" w:sz="4" w:space="0" w:color="000000"/>
            </w:tcBorders>
            <w:shd w:val="clear" w:color="auto" w:fill="DFE1B8"/>
          </w:tcPr>
          <w:p>
            <w:pPr>
              <w:rPr>
                <w:sz w:val="2"/>
                <w:szCs w:val="2"/>
              </w:rPr>
            </w:pPr>
          </w:p>
        </w:tc>
        <w:tc>
          <w:tcPr>
            <w:tcW w:w="974" w:type="dxa"/>
            <w:tcBorders>
              <w:top w:val="single" w:sz="8" w:space="0" w:color="FFFFFF"/>
              <w:bottom w:val="single" w:sz="8" w:space="0" w:color="FFFFFF"/>
            </w:tcBorders>
            <w:shd w:val="clear" w:color="auto" w:fill="FAF9F9"/>
          </w:tcPr>
          <w:p>
            <w:pPr>
              <w:pStyle w:val="TableParagraph"/>
              <w:spacing w:before="39"/>
              <w:ind w:right="121"/>
              <w:jc w:val="right"/>
              <w:rPr>
                <w:sz w:val="16"/>
              </w:rPr>
            </w:pPr>
            <w:r>
              <w:rPr>
                <w:w w:val="95"/>
                <w:sz w:val="16"/>
              </w:rPr>
              <w:t>166,391</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Accumulated depreciation</w:t>
            </w:r>
          </w:p>
        </w:tc>
        <w:tc>
          <w:tcPr>
            <w:tcW w:w="964" w:type="dxa"/>
            <w:vMerge/>
            <w:tcBorders>
              <w:top w:val="nil"/>
              <w:bottom w:val="single" w:sz="4" w:space="0" w:color="000000"/>
            </w:tcBorders>
            <w:shd w:val="clear" w:color="auto" w:fill="DFE1B8"/>
          </w:tcPr>
          <w:p>
            <w:pPr>
              <w:rPr>
                <w:sz w:val="2"/>
                <w:szCs w:val="2"/>
              </w:rPr>
            </w:pPr>
          </w:p>
        </w:tc>
        <w:tc>
          <w:tcPr>
            <w:tcW w:w="974" w:type="dxa"/>
            <w:tcBorders>
              <w:top w:val="single" w:sz="8" w:space="0" w:color="FFFFFF"/>
              <w:bottom w:val="single" w:sz="4" w:space="0" w:color="000000"/>
            </w:tcBorders>
            <w:shd w:val="clear" w:color="auto" w:fill="FAF9F9"/>
          </w:tcPr>
          <w:p>
            <w:pPr>
              <w:pStyle w:val="TableParagraph"/>
              <w:spacing w:before="39"/>
              <w:ind w:right="121"/>
              <w:jc w:val="right"/>
              <w:rPr>
                <w:sz w:val="16"/>
              </w:rPr>
            </w:pPr>
            <w:r>
              <w:rPr>
                <w:w w:val="90"/>
                <w:sz w:val="16"/>
              </w:rPr>
              <w:t>(3,649)</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sz w:val="16"/>
              </w:rPr>
            </w:pPr>
            <w:r>
              <w:rPr>
                <w:w w:val="95"/>
                <w:sz w:val="16"/>
              </w:rPr>
              <w:t>138,072</w:t>
            </w:r>
          </w:p>
        </w:tc>
        <w:tc>
          <w:tcPr>
            <w:tcW w:w="974" w:type="dxa"/>
            <w:tcBorders>
              <w:top w:val="single" w:sz="4" w:space="0" w:color="000000"/>
              <w:bottom w:val="single" w:sz="4" w:space="0" w:color="000000"/>
            </w:tcBorders>
            <w:shd w:val="clear" w:color="auto" w:fill="F4F4F4"/>
          </w:tcPr>
          <w:p>
            <w:pPr>
              <w:pStyle w:val="TableParagraph"/>
              <w:spacing w:before="39"/>
              <w:ind w:right="121"/>
              <w:jc w:val="right"/>
              <w:rPr>
                <w:sz w:val="16"/>
              </w:rPr>
            </w:pPr>
            <w:r>
              <w:rPr>
                <w:w w:val="95"/>
                <w:sz w:val="16"/>
              </w:rPr>
              <w:t>162,742</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i/>
                <w:sz w:val="16"/>
              </w:rPr>
            </w:pPr>
            <w:r>
              <w:rPr>
                <w:i/>
                <w:color w:val="A7BE39"/>
                <w:sz w:val="16"/>
              </w:rPr>
              <w:t>Leasehold improvements</w:t>
            </w:r>
          </w:p>
        </w:tc>
        <w:tc>
          <w:tcPr>
            <w:tcW w:w="964" w:type="dxa"/>
            <w:vMerge w:val="restart"/>
            <w:tcBorders>
              <w:top w:val="single" w:sz="4" w:space="0" w:color="000000"/>
              <w:bottom w:val="single" w:sz="4" w:space="0" w:color="000000"/>
            </w:tcBorders>
            <w:shd w:val="clear" w:color="auto" w:fill="DFE1B8"/>
          </w:tcPr>
          <w:p>
            <w:pPr>
              <w:pStyle w:val="TableParagraph"/>
              <w:spacing w:before="0"/>
              <w:rPr>
                <w:sz w:val="18"/>
              </w:rPr>
            </w:pPr>
          </w:p>
          <w:p>
            <w:pPr>
              <w:pStyle w:val="TableParagraph"/>
              <w:spacing w:before="116"/>
              <w:ind w:left="272"/>
              <w:rPr>
                <w:sz w:val="16"/>
              </w:rPr>
            </w:pPr>
            <w:r>
              <w:rPr>
                <w:sz w:val="16"/>
              </w:rPr>
              <w:t>107,102</w:t>
            </w:r>
          </w:p>
          <w:p>
            <w:pPr>
              <w:pStyle w:val="TableParagraph"/>
              <w:spacing w:before="101"/>
              <w:ind w:left="283"/>
              <w:rPr>
                <w:sz w:val="16"/>
              </w:rPr>
            </w:pPr>
            <w:r>
              <w:rPr>
                <w:sz w:val="16"/>
              </w:rPr>
              <w:t>(29,320)</w:t>
            </w:r>
          </w:p>
        </w:tc>
        <w:tc>
          <w:tcPr>
            <w:tcW w:w="974" w:type="dxa"/>
            <w:tcBorders>
              <w:top w:val="single" w:sz="4" w:space="0" w:color="000000"/>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At cost</w:t>
            </w:r>
          </w:p>
        </w:tc>
        <w:tc>
          <w:tcPr>
            <w:tcW w:w="964" w:type="dxa"/>
            <w:vMerge/>
            <w:tcBorders>
              <w:top w:val="nil"/>
              <w:bottom w:val="single" w:sz="4" w:space="0" w:color="000000"/>
            </w:tcBorders>
            <w:shd w:val="clear" w:color="auto" w:fill="DFE1B8"/>
          </w:tcPr>
          <w:p>
            <w:pPr>
              <w:rPr>
                <w:sz w:val="2"/>
                <w:szCs w:val="2"/>
              </w:rPr>
            </w:pPr>
          </w:p>
        </w:tc>
        <w:tc>
          <w:tcPr>
            <w:tcW w:w="974" w:type="dxa"/>
            <w:tcBorders>
              <w:top w:val="single" w:sz="8" w:space="0" w:color="FFFFFF"/>
              <w:bottom w:val="single" w:sz="8" w:space="0" w:color="FFFFFF"/>
            </w:tcBorders>
            <w:shd w:val="clear" w:color="auto" w:fill="F4F4F4"/>
          </w:tcPr>
          <w:p>
            <w:pPr>
              <w:pStyle w:val="TableParagraph"/>
              <w:spacing w:before="39"/>
              <w:ind w:right="121"/>
              <w:jc w:val="right"/>
              <w:rPr>
                <w:sz w:val="16"/>
              </w:rPr>
            </w:pPr>
            <w:r>
              <w:rPr>
                <w:w w:val="95"/>
                <w:sz w:val="16"/>
              </w:rPr>
              <w:t>47,367</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Accumulated depreciation</w:t>
            </w:r>
          </w:p>
        </w:tc>
        <w:tc>
          <w:tcPr>
            <w:tcW w:w="964" w:type="dxa"/>
            <w:vMerge/>
            <w:tcBorders>
              <w:top w:val="nil"/>
              <w:bottom w:val="single" w:sz="4" w:space="0" w:color="000000"/>
            </w:tcBorders>
            <w:shd w:val="clear" w:color="auto" w:fill="DFE1B8"/>
          </w:tcPr>
          <w:p>
            <w:pPr>
              <w:rPr>
                <w:sz w:val="2"/>
                <w:szCs w:val="2"/>
              </w:rPr>
            </w:pPr>
          </w:p>
        </w:tc>
        <w:tc>
          <w:tcPr>
            <w:tcW w:w="974" w:type="dxa"/>
            <w:tcBorders>
              <w:top w:val="single" w:sz="8" w:space="0" w:color="FFFFFF"/>
              <w:bottom w:val="single" w:sz="4" w:space="0" w:color="000000"/>
            </w:tcBorders>
            <w:shd w:val="clear" w:color="auto" w:fill="FAF9F9"/>
          </w:tcPr>
          <w:p>
            <w:pPr>
              <w:pStyle w:val="TableParagraph"/>
              <w:spacing w:before="39"/>
              <w:ind w:right="121"/>
              <w:jc w:val="right"/>
              <w:rPr>
                <w:sz w:val="16"/>
              </w:rPr>
            </w:pPr>
            <w:r>
              <w:rPr>
                <w:w w:val="95"/>
                <w:sz w:val="16"/>
              </w:rPr>
              <w:t>(21,583)</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sz w:val="16"/>
              </w:rPr>
            </w:pPr>
            <w:r>
              <w:rPr>
                <w:w w:val="95"/>
                <w:sz w:val="16"/>
              </w:rPr>
              <w:t>77,782</w:t>
            </w:r>
          </w:p>
        </w:tc>
        <w:tc>
          <w:tcPr>
            <w:tcW w:w="974" w:type="dxa"/>
            <w:tcBorders>
              <w:top w:val="single" w:sz="4" w:space="0" w:color="000000"/>
              <w:bottom w:val="single" w:sz="4" w:space="0" w:color="000000"/>
            </w:tcBorders>
            <w:shd w:val="clear" w:color="auto" w:fill="F4F4F4"/>
          </w:tcPr>
          <w:p>
            <w:pPr>
              <w:pStyle w:val="TableParagraph"/>
              <w:spacing w:before="39"/>
              <w:ind w:right="121"/>
              <w:jc w:val="right"/>
              <w:rPr>
                <w:sz w:val="16"/>
              </w:rPr>
            </w:pPr>
            <w:r>
              <w:rPr>
                <w:w w:val="95"/>
                <w:sz w:val="16"/>
              </w:rPr>
              <w:t>25,784</w:t>
            </w:r>
          </w:p>
        </w:tc>
      </w:tr>
    </w:tbl>
    <w:p>
      <w:pPr>
        <w:pStyle w:val="BodyText"/>
        <w:spacing w:before="6" w:after="1"/>
        <w:rPr>
          <w:sz w:val="13"/>
        </w:rPr>
      </w:pPr>
      <w:r>
        <w:rPr/>
        <w:br w:type="column"/>
      </w:r>
      <w:r>
        <w:rPr>
          <w:sz w:val="13"/>
        </w:rPr>
      </w:r>
    </w:p>
    <w:tbl>
      <w:tblPr>
        <w:tblW w:w="0" w:type="auto"/>
        <w:jc w:val="left"/>
        <w:tblInd w:w="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3"/>
        <w:gridCol w:w="964"/>
        <w:gridCol w:w="964"/>
      </w:tblGrid>
      <w:tr>
        <w:trPr>
          <w:trHeight w:val="481" w:hRule="atLeast"/>
        </w:trPr>
        <w:tc>
          <w:tcPr>
            <w:tcW w:w="4791" w:type="dxa"/>
            <w:gridSpan w:val="3"/>
            <w:shd w:val="clear" w:color="auto" w:fill="783A79"/>
          </w:tcPr>
          <w:p>
            <w:pPr>
              <w:pStyle w:val="TableParagraph"/>
              <w:tabs>
                <w:tab w:pos="963" w:val="left" w:leader="none"/>
              </w:tabs>
              <w:spacing w:before="54"/>
              <w:ind w:right="111"/>
              <w:jc w:val="right"/>
              <w:rPr>
                <w:b/>
                <w:sz w:val="16"/>
              </w:rPr>
            </w:pPr>
            <w:r>
              <w:rPr>
                <w:b/>
                <w:color w:val="FFFFFF"/>
                <w:sz w:val="16"/>
              </w:rPr>
              <w:t>2017</w:t>
              <w:tab/>
            </w:r>
            <w:r>
              <w:rPr>
                <w:b/>
                <w:color w:val="FFFFFF"/>
                <w:w w:val="95"/>
                <w:sz w:val="16"/>
              </w:rPr>
              <w:t>2016</w:t>
            </w:r>
          </w:p>
          <w:p>
            <w:pPr>
              <w:pStyle w:val="TableParagraph"/>
              <w:tabs>
                <w:tab w:pos="963" w:val="left" w:leader="none"/>
              </w:tabs>
              <w:spacing w:before="8"/>
              <w:ind w:right="111"/>
              <w:jc w:val="right"/>
              <w:rPr>
                <w:b/>
                <w:sz w:val="16"/>
              </w:rPr>
            </w:pPr>
            <w:r>
              <w:rPr>
                <w:b/>
                <w:color w:val="FFFFFF"/>
                <w:sz w:val="16"/>
              </w:rPr>
              <w:t>$000</w:t>
              <w:tab/>
            </w:r>
            <w:r>
              <w:rPr>
                <w:b/>
                <w:color w:val="FFFFFF"/>
                <w:w w:val="95"/>
                <w:sz w:val="16"/>
              </w:rPr>
              <w:t>$000</w:t>
            </w:r>
          </w:p>
        </w:tc>
      </w:tr>
      <w:tr>
        <w:trPr>
          <w:trHeight w:val="274" w:hRule="atLeast"/>
        </w:trPr>
        <w:tc>
          <w:tcPr>
            <w:tcW w:w="2863" w:type="dxa"/>
            <w:tcBorders>
              <w:bottom w:val="single" w:sz="8" w:space="0" w:color="FFFFFF"/>
            </w:tcBorders>
            <w:shd w:val="clear" w:color="auto" w:fill="F4F4F4"/>
          </w:tcPr>
          <w:p>
            <w:pPr>
              <w:pStyle w:val="TableParagraph"/>
              <w:spacing w:before="49"/>
              <w:ind w:left="113"/>
              <w:rPr>
                <w:i/>
                <w:sz w:val="16"/>
              </w:rPr>
            </w:pPr>
            <w:r>
              <w:rPr>
                <w:i/>
                <w:color w:val="A7BE39"/>
                <w:sz w:val="16"/>
              </w:rPr>
              <w:t>Office equipment</w:t>
            </w:r>
          </w:p>
        </w:tc>
        <w:tc>
          <w:tcPr>
            <w:tcW w:w="964" w:type="dxa"/>
            <w:vMerge w:val="restart"/>
            <w:tcBorders>
              <w:bottom w:val="single" w:sz="4" w:space="0" w:color="000000"/>
            </w:tcBorders>
            <w:shd w:val="clear" w:color="auto" w:fill="E1E4BB"/>
          </w:tcPr>
          <w:p>
            <w:pPr>
              <w:pStyle w:val="TableParagraph"/>
              <w:spacing w:before="0"/>
              <w:rPr>
                <w:sz w:val="18"/>
              </w:rPr>
            </w:pPr>
          </w:p>
          <w:p>
            <w:pPr>
              <w:pStyle w:val="TableParagraph"/>
              <w:spacing w:before="126"/>
              <w:ind w:left="583"/>
              <w:rPr>
                <w:sz w:val="16"/>
              </w:rPr>
            </w:pPr>
            <w:r>
              <w:rPr>
                <w:sz w:val="16"/>
              </w:rPr>
              <w:t>338</w:t>
            </w:r>
          </w:p>
          <w:p>
            <w:pPr>
              <w:pStyle w:val="TableParagraph"/>
              <w:spacing w:before="101"/>
              <w:ind w:left="506"/>
              <w:rPr>
                <w:sz w:val="16"/>
              </w:rPr>
            </w:pPr>
            <w:r>
              <w:rPr>
                <w:sz w:val="16"/>
              </w:rPr>
              <w:t>(167)</w:t>
            </w:r>
          </w:p>
        </w:tc>
        <w:tc>
          <w:tcPr>
            <w:tcW w:w="964" w:type="dxa"/>
            <w:tcBorders>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At cost</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293</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Accumulated depreciation</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0"/>
                <w:sz w:val="16"/>
              </w:rPr>
              <w:t>(169)</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sz w:val="16"/>
              </w:rPr>
            </w:pPr>
            <w:r>
              <w:rPr>
                <w:w w:val="95"/>
                <w:sz w:val="16"/>
              </w:rPr>
              <w:t>171</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sz w:val="16"/>
              </w:rPr>
            </w:pPr>
            <w:r>
              <w:rPr>
                <w:w w:val="95"/>
                <w:sz w:val="16"/>
              </w:rPr>
              <w:t>124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A7BE39"/>
                <w:sz w:val="16"/>
              </w:rPr>
              <w:t>Computer equipment</w:t>
            </w: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116"/>
              <w:ind w:left="450"/>
              <w:rPr>
                <w:sz w:val="16"/>
              </w:rPr>
            </w:pPr>
            <w:r>
              <w:rPr>
                <w:sz w:val="16"/>
              </w:rPr>
              <w:t>5,838</w:t>
            </w:r>
          </w:p>
          <w:p>
            <w:pPr>
              <w:pStyle w:val="TableParagraph"/>
              <w:spacing w:before="101"/>
              <w:ind w:left="372"/>
              <w:rPr>
                <w:sz w:val="16"/>
              </w:rPr>
            </w:pPr>
            <w:r>
              <w:rPr>
                <w:sz w:val="16"/>
              </w:rPr>
              <w:t>(5,086)</w:t>
            </w:r>
          </w:p>
        </w:tc>
        <w:tc>
          <w:tcPr>
            <w:tcW w:w="964" w:type="dxa"/>
            <w:tcBorders>
              <w:top w:val="single" w:sz="4" w:space="0" w:color="000000"/>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At cost</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5,895</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Accumulated depreciation</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0"/>
                <w:sz w:val="16"/>
              </w:rPr>
              <w:t>(4,615)</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sz w:val="16"/>
              </w:rPr>
            </w:pPr>
            <w:r>
              <w:rPr>
                <w:w w:val="95"/>
                <w:sz w:val="16"/>
              </w:rPr>
              <w:t>752</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sz w:val="16"/>
              </w:rPr>
            </w:pPr>
            <w:r>
              <w:rPr>
                <w:w w:val="95"/>
                <w:sz w:val="16"/>
              </w:rPr>
              <w:t>1,280</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A7BE39"/>
                <w:sz w:val="16"/>
              </w:rPr>
              <w:t>Office fitout</w:t>
            </w: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116"/>
              <w:ind w:left="272"/>
              <w:rPr>
                <w:sz w:val="16"/>
              </w:rPr>
            </w:pPr>
            <w:r>
              <w:rPr>
                <w:sz w:val="16"/>
              </w:rPr>
              <w:t>182,671</w:t>
            </w:r>
          </w:p>
          <w:p>
            <w:pPr>
              <w:pStyle w:val="TableParagraph"/>
              <w:spacing w:before="101"/>
              <w:ind w:left="283"/>
              <w:rPr>
                <w:sz w:val="16"/>
              </w:rPr>
            </w:pPr>
            <w:r>
              <w:rPr>
                <w:sz w:val="16"/>
              </w:rPr>
              <w:t>(67,730)</w:t>
            </w:r>
          </w:p>
        </w:tc>
        <w:tc>
          <w:tcPr>
            <w:tcW w:w="96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At cost</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115,918</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Accumulated depreciation</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(55,190)</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sz w:val="16"/>
              </w:rPr>
            </w:pPr>
            <w:r>
              <w:rPr>
                <w:w w:val="95"/>
                <w:sz w:val="16"/>
              </w:rPr>
              <w:t>114,941</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sz w:val="16"/>
              </w:rPr>
            </w:pPr>
            <w:r>
              <w:rPr>
                <w:w w:val="95"/>
                <w:sz w:val="16"/>
              </w:rPr>
              <w:t>60,728</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A7BE39"/>
                <w:sz w:val="16"/>
              </w:rPr>
              <w:t>Motor vehicles</w:t>
            </w: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116"/>
              <w:ind w:left="272"/>
              <w:rPr>
                <w:sz w:val="16"/>
              </w:rPr>
            </w:pPr>
            <w:r>
              <w:rPr>
                <w:sz w:val="16"/>
              </w:rPr>
              <w:t>343,094</w:t>
            </w:r>
          </w:p>
          <w:p>
            <w:pPr>
              <w:pStyle w:val="TableParagraph"/>
              <w:spacing w:before="101"/>
              <w:ind w:left="195"/>
              <w:rPr>
                <w:sz w:val="16"/>
              </w:rPr>
            </w:pPr>
            <w:r>
              <w:rPr>
                <w:sz w:val="16"/>
              </w:rPr>
              <w:t>(109,736)</w:t>
            </w:r>
          </w:p>
        </w:tc>
        <w:tc>
          <w:tcPr>
            <w:tcW w:w="96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At cost</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8" w:space="0" w:color="FFFFFF"/>
            </w:tcBorders>
            <w:shd w:val="clear" w:color="auto" w:fill="FAF9F9"/>
          </w:tcPr>
          <w:p>
            <w:pPr>
              <w:pStyle w:val="TableParagraph"/>
              <w:spacing w:before="39"/>
              <w:ind w:right="111"/>
              <w:jc w:val="right"/>
              <w:rPr>
                <w:sz w:val="16"/>
              </w:rPr>
            </w:pPr>
            <w:r>
              <w:rPr>
                <w:w w:val="95"/>
                <w:sz w:val="16"/>
              </w:rPr>
              <w:t>394,969</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Accumulated depreciation</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4F4F4"/>
          </w:tcPr>
          <w:p>
            <w:pPr>
              <w:pStyle w:val="TableParagraph"/>
              <w:spacing w:before="39"/>
              <w:ind w:right="111"/>
              <w:jc w:val="right"/>
              <w:rPr>
                <w:sz w:val="16"/>
              </w:rPr>
            </w:pPr>
            <w:r>
              <w:rPr>
                <w:w w:val="95"/>
                <w:sz w:val="16"/>
              </w:rPr>
              <w:t>(133,365)</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E1E4BB"/>
          </w:tcPr>
          <w:p>
            <w:pPr>
              <w:pStyle w:val="TableParagraph"/>
              <w:spacing w:before="39"/>
              <w:ind w:right="111"/>
              <w:jc w:val="right"/>
              <w:rPr>
                <w:sz w:val="16"/>
              </w:rPr>
            </w:pPr>
            <w:r>
              <w:rPr>
                <w:w w:val="95"/>
                <w:sz w:val="16"/>
              </w:rPr>
              <w:t>233,358</w:t>
            </w:r>
          </w:p>
        </w:tc>
        <w:tc>
          <w:tcPr>
            <w:tcW w:w="964" w:type="dxa"/>
            <w:tcBorders>
              <w:top w:val="single" w:sz="4" w:space="0" w:color="000000"/>
              <w:bottom w:val="single" w:sz="4" w:space="0" w:color="000000"/>
            </w:tcBorders>
            <w:shd w:val="clear" w:color="auto" w:fill="FAF9F9"/>
          </w:tcPr>
          <w:p>
            <w:pPr>
              <w:pStyle w:val="TableParagraph"/>
              <w:spacing w:before="39"/>
              <w:ind w:right="111"/>
              <w:jc w:val="right"/>
              <w:rPr>
                <w:sz w:val="16"/>
              </w:rPr>
            </w:pPr>
            <w:r>
              <w:rPr>
                <w:w w:val="95"/>
                <w:sz w:val="16"/>
              </w:rPr>
              <w:t>261,604</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i/>
                <w:sz w:val="16"/>
              </w:rPr>
            </w:pPr>
            <w:r>
              <w:rPr>
                <w:i/>
                <w:color w:val="A7BE39"/>
                <w:sz w:val="16"/>
              </w:rPr>
              <w:t>Works in progress</w:t>
            </w:r>
          </w:p>
        </w:tc>
        <w:tc>
          <w:tcPr>
            <w:tcW w:w="964" w:type="dxa"/>
            <w:vMerge w:val="restart"/>
            <w:tcBorders>
              <w:top w:val="single" w:sz="4" w:space="0" w:color="000000"/>
              <w:bottom w:val="single" w:sz="4" w:space="0" w:color="000000"/>
            </w:tcBorders>
            <w:shd w:val="clear" w:color="auto" w:fill="E1E4BB"/>
          </w:tcPr>
          <w:p>
            <w:pPr>
              <w:pStyle w:val="TableParagraph"/>
              <w:spacing w:before="0"/>
              <w:rPr>
                <w:sz w:val="18"/>
              </w:rPr>
            </w:pPr>
          </w:p>
          <w:p>
            <w:pPr>
              <w:pStyle w:val="TableParagraph"/>
              <w:spacing w:before="116"/>
              <w:ind w:left="361"/>
              <w:rPr>
                <w:sz w:val="16"/>
              </w:rPr>
            </w:pPr>
            <w:r>
              <w:rPr>
                <w:sz w:val="16"/>
              </w:rPr>
              <w:t>14,888</w:t>
            </w:r>
          </w:p>
        </w:tc>
        <w:tc>
          <w:tcPr>
            <w:tcW w:w="964" w:type="dxa"/>
            <w:tcBorders>
              <w:top w:val="single" w:sz="4" w:space="0" w:color="000000"/>
              <w:bottom w:val="single" w:sz="8" w:space="0" w:color="FFFFFF"/>
            </w:tcBorders>
            <w:shd w:val="clear" w:color="auto" w:fill="F4F4F4"/>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5"/>
              <w:ind w:left="113"/>
              <w:rPr>
                <w:sz w:val="10"/>
              </w:rPr>
            </w:pPr>
            <w:r>
              <w:rPr>
                <w:sz w:val="16"/>
              </w:rPr>
              <w:t>At cost</w:t>
            </w:r>
            <w:r>
              <w:rPr>
                <w:position w:val="6"/>
                <w:sz w:val="10"/>
              </w:rPr>
              <w:t>(b)</w:t>
            </w:r>
          </w:p>
        </w:tc>
        <w:tc>
          <w:tcPr>
            <w:tcW w:w="964" w:type="dxa"/>
            <w:vMerge/>
            <w:tcBorders>
              <w:top w:val="nil"/>
              <w:bottom w:val="single" w:sz="4" w:space="0" w:color="000000"/>
            </w:tcBorders>
            <w:shd w:val="clear" w:color="auto" w:fill="E1E4BB"/>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104,963</w:t>
            </w: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4" w:space="0" w:color="000000"/>
            </w:tcBorders>
            <w:shd w:val="clear" w:color="auto" w:fill="DFE1B8"/>
          </w:tcPr>
          <w:p>
            <w:pPr>
              <w:pStyle w:val="TableParagraph"/>
              <w:spacing w:before="39"/>
              <w:ind w:right="111"/>
              <w:jc w:val="right"/>
              <w:rPr>
                <w:sz w:val="16"/>
              </w:rPr>
            </w:pPr>
            <w:r>
              <w:rPr>
                <w:w w:val="95"/>
                <w:sz w:val="16"/>
              </w:rPr>
              <w:t>14,888</w:t>
            </w:r>
          </w:p>
        </w:tc>
        <w:tc>
          <w:tcPr>
            <w:tcW w:w="964" w:type="dxa"/>
            <w:tcBorders>
              <w:top w:val="single" w:sz="4" w:space="0" w:color="000000"/>
              <w:bottom w:val="single" w:sz="4" w:space="0" w:color="000000"/>
            </w:tcBorders>
            <w:shd w:val="clear" w:color="auto" w:fill="F4F4F4"/>
          </w:tcPr>
          <w:p>
            <w:pPr>
              <w:pStyle w:val="TableParagraph"/>
              <w:spacing w:before="39"/>
              <w:ind w:right="111"/>
              <w:jc w:val="right"/>
              <w:rPr>
                <w:sz w:val="16"/>
              </w:rPr>
            </w:pPr>
            <w:r>
              <w:rPr>
                <w:w w:val="95"/>
                <w:sz w:val="16"/>
              </w:rPr>
              <w:t>104,963</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b/>
                <w:sz w:val="16"/>
              </w:rPr>
            </w:pPr>
            <w:r>
              <w:rPr>
                <w:b/>
                <w:sz w:val="16"/>
              </w:rPr>
              <w:t>Total</w:t>
            </w:r>
          </w:p>
        </w:tc>
        <w:tc>
          <w:tcPr>
            <w:tcW w:w="964" w:type="dxa"/>
            <w:vMerge w:val="restart"/>
            <w:tcBorders>
              <w:top w:val="single" w:sz="4" w:space="0" w:color="000000"/>
              <w:bottom w:val="single" w:sz="4" w:space="0" w:color="000000"/>
            </w:tcBorders>
            <w:shd w:val="clear" w:color="auto" w:fill="DFE1B8"/>
          </w:tcPr>
          <w:p>
            <w:pPr>
              <w:pStyle w:val="TableParagraph"/>
              <w:spacing w:before="0"/>
              <w:rPr>
                <w:sz w:val="18"/>
              </w:rPr>
            </w:pPr>
          </w:p>
          <w:p>
            <w:pPr>
              <w:pStyle w:val="TableParagraph"/>
              <w:spacing w:before="116"/>
              <w:ind w:left="272"/>
              <w:rPr>
                <w:sz w:val="16"/>
              </w:rPr>
            </w:pPr>
            <w:r>
              <w:rPr>
                <w:sz w:val="16"/>
              </w:rPr>
              <w:t>935,965</w:t>
            </w:r>
          </w:p>
          <w:p>
            <w:pPr>
              <w:pStyle w:val="TableParagraph"/>
              <w:spacing w:before="101"/>
              <w:ind w:left="195"/>
              <w:rPr>
                <w:sz w:val="16"/>
              </w:rPr>
            </w:pPr>
            <w:r>
              <w:rPr>
                <w:sz w:val="16"/>
              </w:rPr>
              <w:t>(215,591)</w:t>
            </w:r>
          </w:p>
        </w:tc>
        <w:tc>
          <w:tcPr>
            <w:tcW w:w="964" w:type="dxa"/>
            <w:tcBorders>
              <w:top w:val="single" w:sz="4" w:space="0" w:color="000000"/>
              <w:bottom w:val="single" w:sz="8" w:space="0" w:color="FFFFFF"/>
            </w:tcBorders>
            <w:shd w:val="clear" w:color="auto" w:fill="FAF9F9"/>
          </w:tcPr>
          <w:p>
            <w:pPr>
              <w:pStyle w:val="TableParagraph"/>
              <w:spacing w:before="0"/>
              <w:rPr>
                <w:rFonts w:ascii="Times New Roman"/>
                <w:sz w:val="16"/>
              </w:rPr>
            </w:pPr>
          </w:p>
        </w:tc>
      </w:tr>
      <w:tr>
        <w:trPr>
          <w:trHeight w:val="264" w:hRule="atLeast"/>
        </w:trPr>
        <w:tc>
          <w:tcPr>
            <w:tcW w:w="2863" w:type="dxa"/>
            <w:tcBorders>
              <w:top w:val="single" w:sz="8" w:space="0" w:color="FFFFFF"/>
              <w:bottom w:val="single" w:sz="8" w:space="0" w:color="FFFFFF"/>
            </w:tcBorders>
            <w:shd w:val="clear" w:color="auto" w:fill="F4F4F4"/>
          </w:tcPr>
          <w:p>
            <w:pPr>
              <w:pStyle w:val="TableParagraph"/>
              <w:spacing w:before="39"/>
              <w:ind w:left="113"/>
              <w:rPr>
                <w:sz w:val="16"/>
              </w:rPr>
            </w:pPr>
            <w:r>
              <w:rPr>
                <w:sz w:val="16"/>
              </w:rPr>
              <w:t>At fair value/cost</w:t>
            </w:r>
          </w:p>
        </w:tc>
        <w:tc>
          <w:tcPr>
            <w:tcW w:w="964" w:type="dxa"/>
            <w:vMerge/>
            <w:tcBorders>
              <w:top w:val="nil"/>
              <w:bottom w:val="single" w:sz="4" w:space="0" w:color="000000"/>
            </w:tcBorders>
            <w:shd w:val="clear" w:color="auto" w:fill="DFE1B8"/>
          </w:tcPr>
          <w:p>
            <w:pPr>
              <w:rPr>
                <w:sz w:val="2"/>
                <w:szCs w:val="2"/>
              </w:rPr>
            </w:pPr>
          </w:p>
        </w:tc>
        <w:tc>
          <w:tcPr>
            <w:tcW w:w="964" w:type="dxa"/>
            <w:tcBorders>
              <w:top w:val="single" w:sz="8" w:space="0" w:color="FFFFFF"/>
              <w:bottom w:val="single" w:sz="8" w:space="0" w:color="FFFFFF"/>
            </w:tcBorders>
            <w:shd w:val="clear" w:color="auto" w:fill="F4F4F4"/>
          </w:tcPr>
          <w:p>
            <w:pPr>
              <w:pStyle w:val="TableParagraph"/>
              <w:spacing w:before="39"/>
              <w:ind w:right="111"/>
              <w:jc w:val="right"/>
              <w:rPr>
                <w:sz w:val="16"/>
              </w:rPr>
            </w:pPr>
            <w:r>
              <w:rPr>
                <w:w w:val="95"/>
                <w:sz w:val="16"/>
              </w:rPr>
              <w:t>987,308</w:t>
            </w:r>
          </w:p>
        </w:tc>
      </w:tr>
      <w:tr>
        <w:trPr>
          <w:trHeight w:val="264" w:hRule="atLeast"/>
        </w:trPr>
        <w:tc>
          <w:tcPr>
            <w:tcW w:w="2863" w:type="dxa"/>
            <w:tcBorders>
              <w:top w:val="single" w:sz="8" w:space="0" w:color="FFFFFF"/>
              <w:bottom w:val="single" w:sz="8" w:space="0" w:color="FFFFFF"/>
            </w:tcBorders>
            <w:shd w:val="clear" w:color="auto" w:fill="FAF9F9"/>
          </w:tcPr>
          <w:p>
            <w:pPr>
              <w:pStyle w:val="TableParagraph"/>
              <w:spacing w:before="39"/>
              <w:ind w:left="113"/>
              <w:rPr>
                <w:sz w:val="16"/>
              </w:rPr>
            </w:pPr>
            <w:r>
              <w:rPr>
                <w:sz w:val="16"/>
              </w:rPr>
              <w:t>Accumulated depreciation</w:t>
            </w:r>
          </w:p>
        </w:tc>
        <w:tc>
          <w:tcPr>
            <w:tcW w:w="964" w:type="dxa"/>
            <w:vMerge/>
            <w:tcBorders>
              <w:top w:val="nil"/>
              <w:bottom w:val="single" w:sz="4" w:space="0" w:color="000000"/>
            </w:tcBorders>
            <w:shd w:val="clear" w:color="auto" w:fill="DFE1B8"/>
          </w:tcPr>
          <w:p>
            <w:pPr>
              <w:rPr>
                <w:sz w:val="2"/>
                <w:szCs w:val="2"/>
              </w:rPr>
            </w:pPr>
          </w:p>
        </w:tc>
        <w:tc>
          <w:tcPr>
            <w:tcW w:w="964" w:type="dxa"/>
            <w:tcBorders>
              <w:top w:val="single" w:sz="8" w:space="0" w:color="FFFFFF"/>
              <w:bottom w:val="single" w:sz="4" w:space="0" w:color="000000"/>
            </w:tcBorders>
            <w:shd w:val="clear" w:color="auto" w:fill="FAF9F9"/>
          </w:tcPr>
          <w:p>
            <w:pPr>
              <w:pStyle w:val="TableParagraph"/>
              <w:spacing w:before="39"/>
              <w:ind w:right="111"/>
              <w:jc w:val="right"/>
              <w:rPr>
                <w:sz w:val="16"/>
              </w:rPr>
            </w:pPr>
            <w:r>
              <w:rPr>
                <w:w w:val="95"/>
                <w:sz w:val="16"/>
              </w:rPr>
              <w:t>(218,571)</w:t>
            </w:r>
          </w:p>
        </w:tc>
      </w:tr>
      <w:tr>
        <w:trPr>
          <w:trHeight w:val="234" w:hRule="atLeast"/>
        </w:trPr>
        <w:tc>
          <w:tcPr>
            <w:tcW w:w="2863" w:type="dxa"/>
            <w:tcBorders>
              <w:top w:val="single" w:sz="8" w:space="0" w:color="FFFFFF"/>
              <w:bottom w:val="single" w:sz="8" w:space="0" w:color="FFFFFF"/>
            </w:tcBorders>
            <w:shd w:val="clear" w:color="auto" w:fill="F4F4F4"/>
          </w:tcPr>
          <w:p>
            <w:pPr>
              <w:pStyle w:val="TableParagraph"/>
              <w:spacing w:before="0"/>
              <w:rPr>
                <w:rFonts w:ascii="Times New Roman"/>
                <w:sz w:val="16"/>
              </w:rPr>
            </w:pPr>
          </w:p>
        </w:tc>
        <w:tc>
          <w:tcPr>
            <w:tcW w:w="964" w:type="dxa"/>
            <w:tcBorders>
              <w:top w:val="single" w:sz="4" w:space="0" w:color="000000"/>
              <w:bottom w:val="single" w:sz="24" w:space="0" w:color="FFFFFF"/>
            </w:tcBorders>
            <w:shd w:val="clear" w:color="auto" w:fill="DFE1B8"/>
          </w:tcPr>
          <w:p>
            <w:pPr>
              <w:pStyle w:val="TableParagraph"/>
              <w:spacing w:line="175" w:lineRule="exact" w:before="39"/>
              <w:ind w:right="111"/>
              <w:jc w:val="right"/>
              <w:rPr>
                <w:b/>
                <w:sz w:val="16"/>
              </w:rPr>
            </w:pPr>
            <w:r>
              <w:rPr>
                <w:b/>
                <w:w w:val="95"/>
                <w:sz w:val="16"/>
              </w:rPr>
              <w:t>720,374</w:t>
            </w:r>
          </w:p>
        </w:tc>
        <w:tc>
          <w:tcPr>
            <w:tcW w:w="964" w:type="dxa"/>
            <w:tcBorders>
              <w:top w:val="single" w:sz="4" w:space="0" w:color="000000"/>
              <w:bottom w:val="single" w:sz="24" w:space="0" w:color="FFFFFF"/>
            </w:tcBorders>
            <w:shd w:val="clear" w:color="auto" w:fill="F4F4F4"/>
          </w:tcPr>
          <w:p>
            <w:pPr>
              <w:pStyle w:val="TableParagraph"/>
              <w:spacing w:line="175" w:lineRule="exact" w:before="39"/>
              <w:ind w:right="111"/>
              <w:jc w:val="right"/>
              <w:rPr>
                <w:b/>
                <w:sz w:val="16"/>
              </w:rPr>
            </w:pPr>
            <w:r>
              <w:rPr>
                <w:b/>
                <w:w w:val="95"/>
                <w:sz w:val="16"/>
              </w:rPr>
              <w:t>768,737</w:t>
            </w:r>
          </w:p>
        </w:tc>
      </w:tr>
    </w:tbl>
    <w:p>
      <w:pPr>
        <w:pStyle w:val="ListParagraph"/>
        <w:numPr>
          <w:ilvl w:val="0"/>
          <w:numId w:val="12"/>
        </w:numPr>
        <w:tabs>
          <w:tab w:pos="526" w:val="left" w:leader="none"/>
        </w:tabs>
        <w:spacing w:line="249" w:lineRule="auto" w:before="94" w:after="0"/>
        <w:ind w:left="508" w:right="902" w:hanging="105"/>
        <w:jc w:val="left"/>
        <w:rPr>
          <w:sz w:val="10"/>
        </w:rPr>
      </w:pPr>
      <w:r>
        <w:rPr>
          <w:sz w:val="10"/>
        </w:rPr>
        <w:t>Land</w:t>
      </w:r>
      <w:r>
        <w:rPr>
          <w:spacing w:val="-15"/>
          <w:sz w:val="10"/>
        </w:rPr>
        <w:t> </w:t>
      </w:r>
      <w:r>
        <w:rPr>
          <w:sz w:val="10"/>
        </w:rPr>
        <w:t>and</w:t>
      </w:r>
      <w:r>
        <w:rPr>
          <w:spacing w:val="-14"/>
          <w:sz w:val="10"/>
        </w:rPr>
        <w:t> </w:t>
      </w:r>
      <w:r>
        <w:rPr>
          <w:sz w:val="10"/>
        </w:rPr>
        <w:t>buildings</w:t>
      </w:r>
      <w:r>
        <w:rPr>
          <w:spacing w:val="-14"/>
          <w:sz w:val="10"/>
        </w:rPr>
        <w:t> </w:t>
      </w:r>
      <w:r>
        <w:rPr>
          <w:sz w:val="10"/>
        </w:rPr>
        <w:t>were</w:t>
      </w:r>
      <w:r>
        <w:rPr>
          <w:spacing w:val="-15"/>
          <w:sz w:val="10"/>
        </w:rPr>
        <w:t> </w:t>
      </w:r>
      <w:r>
        <w:rPr>
          <w:sz w:val="10"/>
        </w:rPr>
        <w:t>revalued</w:t>
      </w:r>
      <w:r>
        <w:rPr>
          <w:spacing w:val="-14"/>
          <w:sz w:val="10"/>
        </w:rPr>
        <w:t> </w:t>
      </w:r>
      <w:r>
        <w:rPr>
          <w:sz w:val="10"/>
        </w:rPr>
        <w:t>as</w:t>
      </w:r>
      <w:r>
        <w:rPr>
          <w:spacing w:val="-14"/>
          <w:sz w:val="10"/>
        </w:rPr>
        <w:t> </w:t>
      </w:r>
      <w:r>
        <w:rPr>
          <w:sz w:val="10"/>
        </w:rPr>
        <w:t>at</w:t>
      </w:r>
      <w:r>
        <w:rPr>
          <w:spacing w:val="-14"/>
          <w:sz w:val="10"/>
        </w:rPr>
        <w:t> </w:t>
      </w:r>
      <w:r>
        <w:rPr>
          <w:sz w:val="10"/>
        </w:rPr>
        <w:t>1</w:t>
      </w:r>
      <w:r>
        <w:rPr>
          <w:spacing w:val="-15"/>
          <w:sz w:val="10"/>
        </w:rPr>
        <w:t> </w:t>
      </w:r>
      <w:r>
        <w:rPr>
          <w:sz w:val="10"/>
        </w:rPr>
        <w:t>July</w:t>
      </w:r>
      <w:r>
        <w:rPr>
          <w:spacing w:val="-14"/>
          <w:sz w:val="10"/>
        </w:rPr>
        <w:t> </w:t>
      </w:r>
      <w:r>
        <w:rPr>
          <w:sz w:val="10"/>
        </w:rPr>
        <w:t>2016</w:t>
      </w:r>
      <w:r>
        <w:rPr>
          <w:spacing w:val="-14"/>
          <w:sz w:val="10"/>
        </w:rPr>
        <w:t> </w:t>
      </w:r>
      <w:r>
        <w:rPr>
          <w:sz w:val="10"/>
        </w:rPr>
        <w:t>by</w:t>
      </w:r>
      <w:r>
        <w:rPr>
          <w:spacing w:val="-15"/>
          <w:sz w:val="10"/>
        </w:rPr>
        <w:t> </w:t>
      </w:r>
      <w:r>
        <w:rPr>
          <w:sz w:val="10"/>
        </w:rPr>
        <w:t>the</w:t>
      </w:r>
      <w:r>
        <w:rPr>
          <w:spacing w:val="-14"/>
          <w:sz w:val="10"/>
        </w:rPr>
        <w:t> </w:t>
      </w:r>
      <w:r>
        <w:rPr>
          <w:sz w:val="10"/>
        </w:rPr>
        <w:t>Western</w:t>
      </w:r>
      <w:r>
        <w:rPr>
          <w:spacing w:val="-14"/>
          <w:sz w:val="10"/>
        </w:rPr>
        <w:t> </w:t>
      </w:r>
      <w:r>
        <w:rPr>
          <w:sz w:val="10"/>
        </w:rPr>
        <w:t>Australian</w:t>
      </w:r>
      <w:r>
        <w:rPr>
          <w:spacing w:val="-14"/>
          <w:sz w:val="10"/>
        </w:rPr>
        <w:t> </w:t>
      </w:r>
      <w:r>
        <w:rPr>
          <w:sz w:val="10"/>
        </w:rPr>
        <w:t>Land</w:t>
      </w:r>
      <w:r>
        <w:rPr>
          <w:spacing w:val="-15"/>
          <w:sz w:val="10"/>
        </w:rPr>
        <w:t> </w:t>
      </w:r>
      <w:r>
        <w:rPr>
          <w:sz w:val="10"/>
        </w:rPr>
        <w:t>Information</w:t>
      </w:r>
      <w:r>
        <w:rPr>
          <w:spacing w:val="-14"/>
          <w:sz w:val="10"/>
        </w:rPr>
        <w:t> </w:t>
      </w:r>
      <w:r>
        <w:rPr>
          <w:sz w:val="10"/>
        </w:rPr>
        <w:t>Authority </w:t>
      </w:r>
      <w:r>
        <w:rPr>
          <w:spacing w:val="-3"/>
          <w:sz w:val="10"/>
        </w:rPr>
        <w:t>(Valuation</w:t>
      </w:r>
      <w:r>
        <w:rPr>
          <w:spacing w:val="-17"/>
          <w:sz w:val="10"/>
        </w:rPr>
        <w:t> </w:t>
      </w:r>
      <w:r>
        <w:rPr>
          <w:sz w:val="10"/>
        </w:rPr>
        <w:t>Services).</w:t>
      </w:r>
      <w:r>
        <w:rPr>
          <w:spacing w:val="-17"/>
          <w:sz w:val="10"/>
        </w:rPr>
        <w:t> </w:t>
      </w:r>
      <w:r>
        <w:rPr>
          <w:sz w:val="10"/>
        </w:rPr>
        <w:t>The</w:t>
      </w:r>
      <w:r>
        <w:rPr>
          <w:spacing w:val="-17"/>
          <w:sz w:val="10"/>
        </w:rPr>
        <w:t> </w:t>
      </w:r>
      <w:r>
        <w:rPr>
          <w:sz w:val="10"/>
        </w:rPr>
        <w:t>valuations</w:t>
      </w:r>
      <w:r>
        <w:rPr>
          <w:spacing w:val="-16"/>
          <w:sz w:val="10"/>
        </w:rPr>
        <w:t> </w:t>
      </w:r>
      <w:r>
        <w:rPr>
          <w:sz w:val="10"/>
        </w:rPr>
        <w:t>were</w:t>
      </w:r>
      <w:r>
        <w:rPr>
          <w:spacing w:val="-17"/>
          <w:sz w:val="10"/>
        </w:rPr>
        <w:t> </w:t>
      </w:r>
      <w:r>
        <w:rPr>
          <w:sz w:val="10"/>
        </w:rPr>
        <w:t>performed</w:t>
      </w:r>
      <w:r>
        <w:rPr>
          <w:spacing w:val="-17"/>
          <w:sz w:val="10"/>
        </w:rPr>
        <w:t> </w:t>
      </w:r>
      <w:r>
        <w:rPr>
          <w:sz w:val="10"/>
        </w:rPr>
        <w:t>during</w:t>
      </w:r>
      <w:r>
        <w:rPr>
          <w:spacing w:val="-16"/>
          <w:sz w:val="10"/>
        </w:rPr>
        <w:t> </w:t>
      </w:r>
      <w:r>
        <w:rPr>
          <w:sz w:val="10"/>
        </w:rPr>
        <w:t>the</w:t>
      </w:r>
      <w:r>
        <w:rPr>
          <w:spacing w:val="-17"/>
          <w:sz w:val="10"/>
        </w:rPr>
        <w:t> </w:t>
      </w:r>
      <w:r>
        <w:rPr>
          <w:sz w:val="10"/>
        </w:rPr>
        <w:t>year</w:t>
      </w:r>
      <w:r>
        <w:rPr>
          <w:spacing w:val="-17"/>
          <w:sz w:val="10"/>
        </w:rPr>
        <w:t> </w:t>
      </w:r>
      <w:r>
        <w:rPr>
          <w:sz w:val="10"/>
        </w:rPr>
        <w:t>ended</w:t>
      </w:r>
      <w:r>
        <w:rPr>
          <w:spacing w:val="-16"/>
          <w:sz w:val="10"/>
        </w:rPr>
        <w:t> </w:t>
      </w:r>
      <w:r>
        <w:rPr>
          <w:sz w:val="10"/>
        </w:rPr>
        <w:t>30</w:t>
      </w:r>
      <w:r>
        <w:rPr>
          <w:spacing w:val="-17"/>
          <w:sz w:val="10"/>
        </w:rPr>
        <w:t> </w:t>
      </w:r>
      <w:r>
        <w:rPr>
          <w:sz w:val="10"/>
        </w:rPr>
        <w:t>June</w:t>
      </w:r>
      <w:r>
        <w:rPr>
          <w:spacing w:val="-17"/>
          <w:sz w:val="10"/>
        </w:rPr>
        <w:t> </w:t>
      </w:r>
      <w:r>
        <w:rPr>
          <w:sz w:val="10"/>
        </w:rPr>
        <w:t>2017</w:t>
      </w:r>
      <w:r>
        <w:rPr>
          <w:spacing w:val="-17"/>
          <w:sz w:val="10"/>
        </w:rPr>
        <w:t> </w:t>
      </w:r>
      <w:r>
        <w:rPr>
          <w:sz w:val="10"/>
        </w:rPr>
        <w:t>and</w:t>
      </w:r>
      <w:r>
        <w:rPr>
          <w:spacing w:val="-16"/>
          <w:sz w:val="10"/>
        </w:rPr>
        <w:t> </w:t>
      </w:r>
      <w:r>
        <w:rPr>
          <w:sz w:val="10"/>
        </w:rPr>
        <w:t>recognised</w:t>
      </w:r>
      <w:r>
        <w:rPr>
          <w:spacing w:val="-17"/>
          <w:sz w:val="10"/>
        </w:rPr>
        <w:t> </w:t>
      </w:r>
      <w:r>
        <w:rPr>
          <w:sz w:val="10"/>
        </w:rPr>
        <w:t>at 30</w:t>
      </w:r>
      <w:r>
        <w:rPr>
          <w:spacing w:val="-19"/>
          <w:sz w:val="10"/>
        </w:rPr>
        <w:t> </w:t>
      </w:r>
      <w:r>
        <w:rPr>
          <w:sz w:val="10"/>
        </w:rPr>
        <w:t>June</w:t>
      </w:r>
      <w:r>
        <w:rPr>
          <w:spacing w:val="-19"/>
          <w:sz w:val="10"/>
        </w:rPr>
        <w:t> </w:t>
      </w:r>
      <w:r>
        <w:rPr>
          <w:sz w:val="10"/>
        </w:rPr>
        <w:t>2017.</w:t>
      </w:r>
      <w:r>
        <w:rPr>
          <w:spacing w:val="-19"/>
          <w:sz w:val="10"/>
        </w:rPr>
        <w:t> </w:t>
      </w:r>
      <w:r>
        <w:rPr>
          <w:sz w:val="10"/>
        </w:rPr>
        <w:t>In</w:t>
      </w:r>
      <w:r>
        <w:rPr>
          <w:spacing w:val="-18"/>
          <w:sz w:val="10"/>
        </w:rPr>
        <w:t> </w:t>
      </w:r>
      <w:r>
        <w:rPr>
          <w:sz w:val="10"/>
        </w:rPr>
        <w:t>undertaking</w:t>
      </w:r>
      <w:r>
        <w:rPr>
          <w:spacing w:val="-19"/>
          <w:sz w:val="10"/>
        </w:rPr>
        <w:t> </w:t>
      </w:r>
      <w:r>
        <w:rPr>
          <w:sz w:val="10"/>
        </w:rPr>
        <w:t>the</w:t>
      </w:r>
      <w:r>
        <w:rPr>
          <w:spacing w:val="-19"/>
          <w:sz w:val="10"/>
        </w:rPr>
        <w:t> </w:t>
      </w:r>
      <w:r>
        <w:rPr>
          <w:sz w:val="10"/>
        </w:rPr>
        <w:t>revaluation,</w:t>
      </w:r>
      <w:r>
        <w:rPr>
          <w:spacing w:val="-18"/>
          <w:sz w:val="10"/>
        </w:rPr>
        <w:t> </w:t>
      </w:r>
      <w:r>
        <w:rPr>
          <w:sz w:val="10"/>
        </w:rPr>
        <w:t>fair</w:t>
      </w:r>
      <w:r>
        <w:rPr>
          <w:spacing w:val="-19"/>
          <w:sz w:val="10"/>
        </w:rPr>
        <w:t> </w:t>
      </w:r>
      <w:r>
        <w:rPr>
          <w:sz w:val="10"/>
        </w:rPr>
        <w:t>value</w:t>
      </w:r>
      <w:r>
        <w:rPr>
          <w:spacing w:val="-19"/>
          <w:sz w:val="10"/>
        </w:rPr>
        <w:t> </w:t>
      </w:r>
      <w:r>
        <w:rPr>
          <w:sz w:val="10"/>
        </w:rPr>
        <w:t>was</w:t>
      </w:r>
      <w:r>
        <w:rPr>
          <w:spacing w:val="-19"/>
          <w:sz w:val="10"/>
        </w:rPr>
        <w:t> </w:t>
      </w:r>
      <w:r>
        <w:rPr>
          <w:sz w:val="10"/>
        </w:rPr>
        <w:t>determined</w:t>
      </w:r>
      <w:r>
        <w:rPr>
          <w:spacing w:val="-18"/>
          <w:sz w:val="10"/>
        </w:rPr>
        <w:t> </w:t>
      </w:r>
      <w:r>
        <w:rPr>
          <w:sz w:val="10"/>
        </w:rPr>
        <w:t>by</w:t>
      </w:r>
      <w:r>
        <w:rPr>
          <w:spacing w:val="-19"/>
          <w:sz w:val="10"/>
        </w:rPr>
        <w:t> </w:t>
      </w:r>
      <w:r>
        <w:rPr>
          <w:spacing w:val="-3"/>
          <w:sz w:val="10"/>
        </w:rPr>
        <w:t>reference</w:t>
      </w:r>
      <w:r>
        <w:rPr>
          <w:spacing w:val="-19"/>
          <w:sz w:val="10"/>
        </w:rPr>
        <w:t> </w:t>
      </w:r>
      <w:r>
        <w:rPr>
          <w:sz w:val="10"/>
        </w:rPr>
        <w:t>to</w:t>
      </w:r>
      <w:r>
        <w:rPr>
          <w:spacing w:val="-18"/>
          <w:sz w:val="10"/>
        </w:rPr>
        <w:t> </w:t>
      </w:r>
      <w:r>
        <w:rPr>
          <w:sz w:val="10"/>
        </w:rPr>
        <w:t>market</w:t>
      </w:r>
      <w:r>
        <w:rPr>
          <w:spacing w:val="-19"/>
          <w:sz w:val="10"/>
        </w:rPr>
        <w:t> </w:t>
      </w:r>
      <w:r>
        <w:rPr>
          <w:sz w:val="10"/>
        </w:rPr>
        <w:t>values</w:t>
      </w:r>
      <w:r>
        <w:rPr>
          <w:spacing w:val="-19"/>
          <w:sz w:val="10"/>
        </w:rPr>
        <w:t> </w:t>
      </w:r>
      <w:r>
        <w:rPr>
          <w:sz w:val="10"/>
        </w:rPr>
        <w:t>for</w:t>
      </w:r>
      <w:r>
        <w:rPr>
          <w:spacing w:val="-19"/>
          <w:sz w:val="10"/>
        </w:rPr>
        <w:t> </w:t>
      </w:r>
      <w:r>
        <w:rPr>
          <w:sz w:val="10"/>
        </w:rPr>
        <w:t>land:</w:t>
      </w:r>
    </w:p>
    <w:p>
      <w:pPr>
        <w:spacing w:line="249" w:lineRule="auto" w:before="1"/>
        <w:ind w:left="508" w:right="786" w:firstLine="0"/>
        <w:jc w:val="left"/>
        <w:rPr>
          <w:sz w:val="10"/>
        </w:rPr>
      </w:pPr>
      <w:r>
        <w:rPr>
          <w:w w:val="95"/>
          <w:sz w:val="10"/>
        </w:rPr>
        <w:t>$59,076,000 (2016: $59,595,000) and buildings: $94,147,000 (2016: $107,440,000). For the </w:t>
      </w:r>
      <w:r>
        <w:rPr>
          <w:spacing w:val="-2"/>
          <w:w w:val="95"/>
          <w:sz w:val="10"/>
        </w:rPr>
        <w:t>remaining </w:t>
      </w:r>
      <w:r>
        <w:rPr>
          <w:w w:val="95"/>
          <w:sz w:val="10"/>
        </w:rPr>
        <w:t>balance, </w:t>
      </w:r>
      <w:r>
        <w:rPr>
          <w:sz w:val="10"/>
        </w:rPr>
        <w:t>fair</w:t>
      </w:r>
      <w:r>
        <w:rPr>
          <w:spacing w:val="-15"/>
          <w:sz w:val="10"/>
        </w:rPr>
        <w:t> </w:t>
      </w:r>
      <w:r>
        <w:rPr>
          <w:sz w:val="10"/>
        </w:rPr>
        <w:t>value</w:t>
      </w:r>
      <w:r>
        <w:rPr>
          <w:spacing w:val="-15"/>
          <w:sz w:val="10"/>
        </w:rPr>
        <w:t> </w:t>
      </w:r>
      <w:r>
        <w:rPr>
          <w:sz w:val="10"/>
        </w:rPr>
        <w:t>of</w:t>
      </w:r>
      <w:r>
        <w:rPr>
          <w:spacing w:val="-14"/>
          <w:sz w:val="10"/>
        </w:rPr>
        <w:t> </w:t>
      </w:r>
      <w:r>
        <w:rPr>
          <w:sz w:val="10"/>
        </w:rPr>
        <w:t>buildings</w:t>
      </w:r>
      <w:r>
        <w:rPr>
          <w:spacing w:val="-15"/>
          <w:sz w:val="10"/>
        </w:rPr>
        <w:t> </w:t>
      </w:r>
      <w:r>
        <w:rPr>
          <w:sz w:val="10"/>
        </w:rPr>
        <w:t>was</w:t>
      </w:r>
      <w:r>
        <w:rPr>
          <w:spacing w:val="-14"/>
          <w:sz w:val="10"/>
        </w:rPr>
        <w:t> </w:t>
      </w:r>
      <w:r>
        <w:rPr>
          <w:sz w:val="10"/>
        </w:rPr>
        <w:t>determined</w:t>
      </w:r>
      <w:r>
        <w:rPr>
          <w:spacing w:val="-15"/>
          <w:sz w:val="10"/>
        </w:rPr>
        <w:t> </w:t>
      </w:r>
      <w:r>
        <w:rPr>
          <w:sz w:val="10"/>
        </w:rPr>
        <w:t>on</w:t>
      </w:r>
      <w:r>
        <w:rPr>
          <w:spacing w:val="-14"/>
          <w:sz w:val="10"/>
        </w:rPr>
        <w:t> </w:t>
      </w:r>
      <w:r>
        <w:rPr>
          <w:sz w:val="10"/>
        </w:rPr>
        <w:t>the</w:t>
      </w:r>
      <w:r>
        <w:rPr>
          <w:spacing w:val="-15"/>
          <w:sz w:val="10"/>
        </w:rPr>
        <w:t> </w:t>
      </w:r>
      <w:r>
        <w:rPr>
          <w:sz w:val="10"/>
        </w:rPr>
        <w:t>basis</w:t>
      </w:r>
      <w:r>
        <w:rPr>
          <w:spacing w:val="-14"/>
          <w:sz w:val="10"/>
        </w:rPr>
        <w:t> </w:t>
      </w:r>
      <w:r>
        <w:rPr>
          <w:sz w:val="10"/>
        </w:rPr>
        <w:t>of</w:t>
      </w:r>
      <w:r>
        <w:rPr>
          <w:spacing w:val="-15"/>
          <w:sz w:val="10"/>
        </w:rPr>
        <w:t> </w:t>
      </w:r>
      <w:r>
        <w:rPr>
          <w:sz w:val="10"/>
        </w:rPr>
        <w:t>depreciated</w:t>
      </w:r>
      <w:r>
        <w:rPr>
          <w:spacing w:val="-14"/>
          <w:sz w:val="10"/>
        </w:rPr>
        <w:t> </w:t>
      </w:r>
      <w:r>
        <w:rPr>
          <w:sz w:val="10"/>
        </w:rPr>
        <w:t>replacement</w:t>
      </w:r>
      <w:r>
        <w:rPr>
          <w:spacing w:val="-15"/>
          <w:sz w:val="10"/>
        </w:rPr>
        <w:t> </w:t>
      </w:r>
      <w:r>
        <w:rPr>
          <w:sz w:val="10"/>
        </w:rPr>
        <w:t>cost</w:t>
      </w:r>
      <w:r>
        <w:rPr>
          <w:spacing w:val="-14"/>
          <w:sz w:val="10"/>
        </w:rPr>
        <w:t> </w:t>
      </w:r>
      <w:r>
        <w:rPr>
          <w:sz w:val="10"/>
        </w:rPr>
        <w:t>and</w:t>
      </w:r>
      <w:r>
        <w:rPr>
          <w:spacing w:val="-15"/>
          <w:sz w:val="10"/>
        </w:rPr>
        <w:t> </w:t>
      </w:r>
      <w:r>
        <w:rPr>
          <w:sz w:val="10"/>
        </w:rPr>
        <w:t>fair</w:t>
      </w:r>
      <w:r>
        <w:rPr>
          <w:spacing w:val="-14"/>
          <w:sz w:val="10"/>
        </w:rPr>
        <w:t> </w:t>
      </w:r>
      <w:r>
        <w:rPr>
          <w:sz w:val="10"/>
        </w:rPr>
        <w:t>value</w:t>
      </w:r>
      <w:r>
        <w:rPr>
          <w:spacing w:val="-15"/>
          <w:sz w:val="10"/>
        </w:rPr>
        <w:t> </w:t>
      </w:r>
      <w:r>
        <w:rPr>
          <w:sz w:val="10"/>
        </w:rPr>
        <w:t>of</w:t>
      </w:r>
      <w:r>
        <w:rPr>
          <w:spacing w:val="-15"/>
          <w:sz w:val="10"/>
        </w:rPr>
        <w:t> </w:t>
      </w:r>
      <w:r>
        <w:rPr>
          <w:sz w:val="10"/>
        </w:rPr>
        <w:t>land</w:t>
      </w:r>
      <w:r>
        <w:rPr>
          <w:spacing w:val="-14"/>
          <w:sz w:val="10"/>
        </w:rPr>
        <w:t> </w:t>
      </w:r>
      <w:r>
        <w:rPr>
          <w:spacing w:val="-2"/>
          <w:sz w:val="10"/>
        </w:rPr>
        <w:t>was </w:t>
      </w:r>
      <w:r>
        <w:rPr>
          <w:sz w:val="10"/>
        </w:rPr>
        <w:t>determined</w:t>
      </w:r>
      <w:r>
        <w:rPr>
          <w:spacing w:val="-15"/>
          <w:sz w:val="10"/>
        </w:rPr>
        <w:t> </w:t>
      </w:r>
      <w:r>
        <w:rPr>
          <w:sz w:val="10"/>
        </w:rPr>
        <w:t>on</w:t>
      </w:r>
      <w:r>
        <w:rPr>
          <w:spacing w:val="-14"/>
          <w:sz w:val="10"/>
        </w:rPr>
        <w:t> </w:t>
      </w:r>
      <w:r>
        <w:rPr>
          <w:sz w:val="10"/>
        </w:rPr>
        <w:t>the</w:t>
      </w:r>
      <w:r>
        <w:rPr>
          <w:spacing w:val="-14"/>
          <w:sz w:val="10"/>
        </w:rPr>
        <w:t> </w:t>
      </w:r>
      <w:r>
        <w:rPr>
          <w:sz w:val="10"/>
        </w:rPr>
        <w:t>basis</w:t>
      </w:r>
      <w:r>
        <w:rPr>
          <w:spacing w:val="-14"/>
          <w:sz w:val="10"/>
        </w:rPr>
        <w:t> </w:t>
      </w:r>
      <w:r>
        <w:rPr>
          <w:sz w:val="10"/>
        </w:rPr>
        <w:t>of</w:t>
      </w:r>
      <w:r>
        <w:rPr>
          <w:spacing w:val="-14"/>
          <w:sz w:val="10"/>
        </w:rPr>
        <w:t> </w:t>
      </w:r>
      <w:r>
        <w:rPr>
          <w:sz w:val="10"/>
        </w:rPr>
        <w:t>comparison</w:t>
      </w:r>
      <w:r>
        <w:rPr>
          <w:spacing w:val="-15"/>
          <w:sz w:val="10"/>
        </w:rPr>
        <w:t> </w:t>
      </w:r>
      <w:r>
        <w:rPr>
          <w:sz w:val="10"/>
        </w:rPr>
        <w:t>with</w:t>
      </w:r>
      <w:r>
        <w:rPr>
          <w:spacing w:val="-14"/>
          <w:sz w:val="10"/>
        </w:rPr>
        <w:t> </w:t>
      </w:r>
      <w:r>
        <w:rPr>
          <w:sz w:val="10"/>
        </w:rPr>
        <w:t>market</w:t>
      </w:r>
      <w:r>
        <w:rPr>
          <w:spacing w:val="-14"/>
          <w:sz w:val="10"/>
        </w:rPr>
        <w:t> </w:t>
      </w:r>
      <w:r>
        <w:rPr>
          <w:sz w:val="10"/>
        </w:rPr>
        <w:t>evidence</w:t>
      </w:r>
      <w:r>
        <w:rPr>
          <w:spacing w:val="-14"/>
          <w:sz w:val="10"/>
        </w:rPr>
        <w:t> </w:t>
      </w:r>
      <w:r>
        <w:rPr>
          <w:sz w:val="10"/>
        </w:rPr>
        <w:t>for</w:t>
      </w:r>
      <w:r>
        <w:rPr>
          <w:spacing w:val="-14"/>
          <w:sz w:val="10"/>
        </w:rPr>
        <w:t> </w:t>
      </w:r>
      <w:r>
        <w:rPr>
          <w:sz w:val="10"/>
        </w:rPr>
        <w:t>land</w:t>
      </w:r>
      <w:r>
        <w:rPr>
          <w:spacing w:val="-14"/>
          <w:sz w:val="10"/>
        </w:rPr>
        <w:t> </w:t>
      </w:r>
      <w:r>
        <w:rPr>
          <w:sz w:val="10"/>
        </w:rPr>
        <w:t>with</w:t>
      </w:r>
      <w:r>
        <w:rPr>
          <w:spacing w:val="-15"/>
          <w:sz w:val="10"/>
        </w:rPr>
        <w:t> </w:t>
      </w:r>
      <w:r>
        <w:rPr>
          <w:sz w:val="10"/>
        </w:rPr>
        <w:t>low</w:t>
      </w:r>
      <w:r>
        <w:rPr>
          <w:spacing w:val="-14"/>
          <w:sz w:val="10"/>
        </w:rPr>
        <w:t> </w:t>
      </w:r>
      <w:r>
        <w:rPr>
          <w:sz w:val="10"/>
        </w:rPr>
        <w:t>level</w:t>
      </w:r>
      <w:r>
        <w:rPr>
          <w:spacing w:val="-14"/>
          <w:sz w:val="10"/>
        </w:rPr>
        <w:t> </w:t>
      </w:r>
      <w:r>
        <w:rPr>
          <w:sz w:val="10"/>
        </w:rPr>
        <w:t>utility</w:t>
      </w:r>
      <w:r>
        <w:rPr>
          <w:spacing w:val="-14"/>
          <w:sz w:val="10"/>
        </w:rPr>
        <w:t> </w:t>
      </w:r>
      <w:r>
        <w:rPr>
          <w:sz w:val="10"/>
        </w:rPr>
        <w:t>(high</w:t>
      </w:r>
      <w:r>
        <w:rPr>
          <w:spacing w:val="-14"/>
          <w:sz w:val="10"/>
        </w:rPr>
        <w:t> </w:t>
      </w:r>
      <w:r>
        <w:rPr>
          <w:sz w:val="10"/>
        </w:rPr>
        <w:t>restricted</w:t>
      </w:r>
      <w:r>
        <w:rPr>
          <w:spacing w:val="-14"/>
          <w:sz w:val="10"/>
        </w:rPr>
        <w:t> </w:t>
      </w:r>
      <w:r>
        <w:rPr>
          <w:spacing w:val="-2"/>
          <w:sz w:val="10"/>
        </w:rPr>
        <w:t>use </w:t>
      </w:r>
      <w:r>
        <w:rPr>
          <w:sz w:val="10"/>
        </w:rPr>
        <w:t>land).</w:t>
      </w:r>
      <w:r>
        <w:rPr>
          <w:spacing w:val="-9"/>
          <w:sz w:val="10"/>
        </w:rPr>
        <w:t> </w:t>
      </w:r>
      <w:r>
        <w:rPr>
          <w:sz w:val="10"/>
        </w:rPr>
        <w:t>Information</w:t>
      </w:r>
      <w:r>
        <w:rPr>
          <w:spacing w:val="-8"/>
          <w:sz w:val="10"/>
        </w:rPr>
        <w:t> </w:t>
      </w:r>
      <w:r>
        <w:rPr>
          <w:sz w:val="10"/>
        </w:rPr>
        <w:t>on</w:t>
      </w:r>
      <w:r>
        <w:rPr>
          <w:spacing w:val="-8"/>
          <w:sz w:val="10"/>
        </w:rPr>
        <w:t> </w:t>
      </w:r>
      <w:r>
        <w:rPr>
          <w:sz w:val="10"/>
        </w:rPr>
        <w:t>fair</w:t>
      </w:r>
      <w:r>
        <w:rPr>
          <w:spacing w:val="-9"/>
          <w:sz w:val="10"/>
        </w:rPr>
        <w:t> </w:t>
      </w:r>
      <w:r>
        <w:rPr>
          <w:sz w:val="10"/>
        </w:rPr>
        <w:t>value</w:t>
      </w:r>
      <w:r>
        <w:rPr>
          <w:spacing w:val="-8"/>
          <w:sz w:val="10"/>
        </w:rPr>
        <w:t> </w:t>
      </w:r>
      <w:r>
        <w:rPr>
          <w:sz w:val="10"/>
        </w:rPr>
        <w:t>measurement</w:t>
      </w:r>
      <w:r>
        <w:rPr>
          <w:spacing w:val="-8"/>
          <w:sz w:val="10"/>
        </w:rPr>
        <w:t> </w:t>
      </w:r>
      <w:r>
        <w:rPr>
          <w:sz w:val="10"/>
        </w:rPr>
        <w:t>is</w:t>
      </w:r>
      <w:r>
        <w:rPr>
          <w:spacing w:val="-9"/>
          <w:sz w:val="10"/>
        </w:rPr>
        <w:t> </w:t>
      </w:r>
      <w:r>
        <w:rPr>
          <w:sz w:val="10"/>
        </w:rPr>
        <w:t>provided</w:t>
      </w:r>
      <w:r>
        <w:rPr>
          <w:spacing w:val="-8"/>
          <w:sz w:val="10"/>
        </w:rPr>
        <w:t> </w:t>
      </w:r>
      <w:r>
        <w:rPr>
          <w:sz w:val="10"/>
        </w:rPr>
        <w:t>in</w:t>
      </w:r>
      <w:r>
        <w:rPr>
          <w:spacing w:val="-8"/>
          <w:sz w:val="10"/>
        </w:rPr>
        <w:t> </w:t>
      </w:r>
      <w:r>
        <w:rPr>
          <w:sz w:val="10"/>
        </w:rPr>
        <w:t>Note</w:t>
      </w:r>
      <w:r>
        <w:rPr>
          <w:spacing w:val="-9"/>
          <w:sz w:val="10"/>
        </w:rPr>
        <w:t> </w:t>
      </w:r>
      <w:r>
        <w:rPr>
          <w:sz w:val="10"/>
        </w:rPr>
        <w:t>25</w:t>
      </w:r>
      <w:r>
        <w:rPr>
          <w:spacing w:val="-8"/>
          <w:sz w:val="10"/>
        </w:rPr>
        <w:t> </w:t>
      </w:r>
      <w:r>
        <w:rPr>
          <w:sz w:val="10"/>
        </w:rPr>
        <w:t>‘Fair</w:t>
      </w:r>
      <w:r>
        <w:rPr>
          <w:spacing w:val="-8"/>
          <w:sz w:val="10"/>
        </w:rPr>
        <w:t> </w:t>
      </w:r>
      <w:r>
        <w:rPr>
          <w:sz w:val="10"/>
        </w:rPr>
        <w:t>value</w:t>
      </w:r>
      <w:r>
        <w:rPr>
          <w:spacing w:val="-9"/>
          <w:sz w:val="10"/>
        </w:rPr>
        <w:t> </w:t>
      </w:r>
      <w:r>
        <w:rPr>
          <w:spacing w:val="-3"/>
          <w:sz w:val="10"/>
        </w:rPr>
        <w:t>measurement’.</w:t>
      </w:r>
    </w:p>
    <w:p>
      <w:pPr>
        <w:pStyle w:val="ListParagraph"/>
        <w:numPr>
          <w:ilvl w:val="0"/>
          <w:numId w:val="12"/>
        </w:numPr>
        <w:tabs>
          <w:tab w:pos="531" w:val="left" w:leader="none"/>
        </w:tabs>
        <w:spacing w:line="240" w:lineRule="auto" w:before="1" w:after="0"/>
        <w:ind w:left="530" w:right="0" w:hanging="127"/>
        <w:jc w:val="left"/>
        <w:rPr>
          <w:sz w:val="10"/>
        </w:rPr>
      </w:pPr>
      <w:r>
        <w:rPr>
          <w:sz w:val="10"/>
        </w:rPr>
        <w:t>The</w:t>
      </w:r>
      <w:r>
        <w:rPr>
          <w:spacing w:val="-7"/>
          <w:sz w:val="10"/>
        </w:rPr>
        <w:t> </w:t>
      </w:r>
      <w:r>
        <w:rPr>
          <w:sz w:val="10"/>
        </w:rPr>
        <w:t>2016</w:t>
      </w:r>
      <w:r>
        <w:rPr>
          <w:spacing w:val="-6"/>
          <w:sz w:val="10"/>
        </w:rPr>
        <w:t> </w:t>
      </w:r>
      <w:r>
        <w:rPr>
          <w:sz w:val="10"/>
        </w:rPr>
        <w:t>figure</w:t>
      </w:r>
      <w:r>
        <w:rPr>
          <w:spacing w:val="-6"/>
          <w:sz w:val="10"/>
        </w:rPr>
        <w:t> </w:t>
      </w:r>
      <w:r>
        <w:rPr>
          <w:sz w:val="10"/>
        </w:rPr>
        <w:t>is</w:t>
      </w:r>
      <w:r>
        <w:rPr>
          <w:spacing w:val="-7"/>
          <w:sz w:val="10"/>
        </w:rPr>
        <w:t> </w:t>
      </w:r>
      <w:r>
        <w:rPr>
          <w:sz w:val="10"/>
        </w:rPr>
        <w:t>increased</w:t>
      </w:r>
      <w:r>
        <w:rPr>
          <w:spacing w:val="-6"/>
          <w:sz w:val="10"/>
        </w:rPr>
        <w:t> </w:t>
      </w:r>
      <w:r>
        <w:rPr>
          <w:sz w:val="10"/>
        </w:rPr>
        <w:t>by</w:t>
      </w:r>
      <w:r>
        <w:rPr>
          <w:spacing w:val="-6"/>
          <w:sz w:val="10"/>
        </w:rPr>
        <w:t> </w:t>
      </w:r>
      <w:r>
        <w:rPr>
          <w:sz w:val="10"/>
        </w:rPr>
        <w:t>$14,903,000</w:t>
      </w:r>
      <w:r>
        <w:rPr>
          <w:spacing w:val="-7"/>
          <w:sz w:val="10"/>
        </w:rPr>
        <w:t> </w:t>
      </w:r>
      <w:r>
        <w:rPr>
          <w:sz w:val="10"/>
        </w:rPr>
        <w:t>for</w:t>
      </w:r>
      <w:r>
        <w:rPr>
          <w:spacing w:val="-6"/>
          <w:sz w:val="10"/>
        </w:rPr>
        <w:t> </w:t>
      </w:r>
      <w:r>
        <w:rPr>
          <w:sz w:val="10"/>
        </w:rPr>
        <w:t>capitalisation</w:t>
      </w:r>
      <w:r>
        <w:rPr>
          <w:spacing w:val="-6"/>
          <w:sz w:val="10"/>
        </w:rPr>
        <w:t> </w:t>
      </w:r>
      <w:r>
        <w:rPr>
          <w:sz w:val="10"/>
        </w:rPr>
        <w:t>of</w:t>
      </w:r>
      <w:r>
        <w:rPr>
          <w:spacing w:val="-6"/>
          <w:sz w:val="10"/>
        </w:rPr>
        <w:t> </w:t>
      </w:r>
      <w:r>
        <w:rPr>
          <w:sz w:val="10"/>
        </w:rPr>
        <w:t>construction</w:t>
      </w:r>
      <w:r>
        <w:rPr>
          <w:spacing w:val="-7"/>
          <w:sz w:val="10"/>
        </w:rPr>
        <w:t> </w:t>
      </w:r>
      <w:r>
        <w:rPr>
          <w:sz w:val="10"/>
        </w:rPr>
        <w:t>projects</w:t>
      </w:r>
      <w:r>
        <w:rPr>
          <w:spacing w:val="-6"/>
          <w:sz w:val="10"/>
        </w:rPr>
        <w:t> </w:t>
      </w:r>
      <w:r>
        <w:rPr>
          <w:sz w:val="10"/>
        </w:rPr>
        <w:t>in</w:t>
      </w:r>
      <w:r>
        <w:rPr>
          <w:spacing w:val="-6"/>
          <w:sz w:val="10"/>
        </w:rPr>
        <w:t> </w:t>
      </w:r>
      <w:r>
        <w:rPr>
          <w:spacing w:val="-3"/>
          <w:sz w:val="10"/>
        </w:rPr>
        <w:t>progress.</w:t>
      </w:r>
    </w:p>
    <w:p>
      <w:pPr>
        <w:spacing w:after="0" w:line="240" w:lineRule="auto"/>
        <w:jc w:val="left"/>
        <w:rPr>
          <w:sz w:val="10"/>
        </w:rPr>
        <w:sectPr>
          <w:type w:val="continuous"/>
          <w:pgSz w:w="16840" w:h="11910" w:orient="landscape"/>
          <w:pgMar w:top="0" w:bottom="0" w:left="0" w:right="0"/>
          <w:cols w:num="3" w:equalWidth="0">
            <w:col w:w="5556" w:space="40"/>
            <w:col w:w="5215" w:space="39"/>
            <w:col w:w="5990"/>
          </w:cols>
        </w:sectPr>
      </w:pPr>
    </w:p>
    <w:p>
      <w:pPr>
        <w:pStyle w:val="BodyText"/>
        <w:spacing w:before="10"/>
        <w:rPr>
          <w:sz w:val="19"/>
        </w:rPr>
      </w:pPr>
    </w:p>
    <w:p>
      <w:pPr>
        <w:tabs>
          <w:tab w:pos="12166" w:val="left" w:leader="none"/>
          <w:tab w:pos="12373" w:val="left" w:leader="none"/>
          <w:tab w:pos="15894" w:val="left" w:leader="none"/>
        </w:tabs>
        <w:spacing w:before="106"/>
        <w:ind w:left="765" w:right="0" w:firstLine="0"/>
        <w:jc w:val="left"/>
        <w:rPr>
          <w:b/>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3"/>
          <w:sz w:val="16"/>
        </w:rPr>
        <w:t> </w:t>
      </w:r>
      <w:r>
        <w:rPr>
          <w:color w:val="939598"/>
          <w:sz w:val="16"/>
        </w:rPr>
        <w:t>of</w:t>
      </w:r>
      <w:r>
        <w:rPr>
          <w:color w:val="939598"/>
          <w:spacing w:val="-13"/>
          <w:sz w:val="16"/>
        </w:rPr>
        <w:t> </w:t>
      </w:r>
      <w:r>
        <w:rPr>
          <w:color w:val="939598"/>
          <w:sz w:val="16"/>
        </w:rPr>
        <w:t>Finance</w:t>
      </w:r>
      <w:r>
        <w:rPr>
          <w:color w:val="939598"/>
          <w:spacing w:val="-12"/>
          <w:sz w:val="16"/>
        </w:rPr>
        <w:t> </w:t>
      </w:r>
      <w:r>
        <w:rPr>
          <w:color w:val="939598"/>
          <w:sz w:val="16"/>
        </w:rPr>
        <w:t>Annual</w:t>
      </w:r>
      <w:r>
        <w:rPr>
          <w:color w:val="939598"/>
          <w:spacing w:val="-13"/>
          <w:sz w:val="16"/>
        </w:rPr>
        <w:t> </w:t>
      </w:r>
      <w:r>
        <w:rPr>
          <w:color w:val="939598"/>
          <w:sz w:val="16"/>
        </w:rPr>
        <w:t>Report</w:t>
      </w:r>
      <w:r>
        <w:rPr>
          <w:color w:val="939598"/>
          <w:spacing w:val="-13"/>
          <w:sz w:val="16"/>
        </w:rPr>
        <w:t> </w:t>
      </w:r>
      <w:r>
        <w:rPr>
          <w:color w:val="939598"/>
          <w:sz w:val="16"/>
        </w:rPr>
        <w:t>2016-17</w:t>
        <w:tab/>
      </w:r>
      <w:r>
        <w:rPr>
          <w:b/>
          <w:color w:val="6F2770"/>
          <w:sz w:val="16"/>
        </w:rPr>
        <w:t>57</w:t>
      </w:r>
    </w:p>
    <w:p>
      <w:pPr>
        <w:spacing w:after="0"/>
        <w:jc w:val="left"/>
        <w:rPr>
          <w:sz w:val="16"/>
        </w:rPr>
        <w:sectPr>
          <w:type w:val="continuous"/>
          <w:pgSz w:w="16840" w:h="11910" w:orient="landscape"/>
          <w:pgMar w:top="0" w:bottom="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b/>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rPr>
          <w:b/>
        </w:rPr>
      </w:pPr>
    </w:p>
    <w:p>
      <w:pPr>
        <w:pStyle w:val="Heading1"/>
        <w:spacing w:before="93"/>
      </w:pPr>
      <w:r>
        <w:rPr/>
        <w:pict>
          <v:group style="position:absolute;margin-left:763.172119pt;margin-top:-3.544212pt;width:61.1pt;height:45.2pt;mso-position-horizontal-relative:page;mso-position-vertical-relative:paragraph;z-index:17464"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422;top:379;width:2;height:4" coordorigin="15423,379" coordsize="2,4" path="m15424,379l15423,381,15424,382,15424,379xe" filled="true" fillcolor="#b9c369" stroked="false">
              <v:path arrowok="t"/>
              <v:fill type="solid"/>
            </v:shape>
            <v:shape style="position:absolute;left:16324;top:379;width:2;height:4" coordorigin="16324,379" coordsize="2,4" path="m16324,379l16324,382,16326,381,16324,379xe" filled="true" fillcolor="#bec29e"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17512" coordorigin="0,-1146" coordsize="2406,851">
            <v:rect style="position:absolute;left:0;top:-1147;width:2406;height:851" filled="true" fillcolor="#aebd37" stroked="false">
              <v:fill type="solid"/>
            </v:rect>
            <v:shape style="position:absolute;left:0;top:-1147;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17608"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spacing w:before="29"/>
      </w:pPr>
      <w:r>
        <w:rPr>
          <w:color w:val="A7BE39"/>
        </w:rPr>
        <w:t>For the year ended 30 June 2017</w:t>
      </w:r>
    </w:p>
    <w:p>
      <w:pPr>
        <w:pStyle w:val="BodyText"/>
        <w:spacing w:before="1"/>
        <w:rPr>
          <w:sz w:val="15"/>
        </w:rPr>
      </w:pPr>
    </w:p>
    <w:p>
      <w:pPr>
        <w:pStyle w:val="BodyText"/>
        <w:spacing w:line="249" w:lineRule="auto" w:before="106"/>
        <w:ind w:left="765" w:right="2320"/>
      </w:pPr>
      <w:r>
        <w:rPr/>
        <w:t>Reconciliations</w:t>
      </w:r>
      <w:r>
        <w:rPr>
          <w:spacing w:val="-17"/>
        </w:rPr>
        <w:t> </w:t>
      </w:r>
      <w:r>
        <w:rPr/>
        <w:t>of</w:t>
      </w:r>
      <w:r>
        <w:rPr>
          <w:spacing w:val="-16"/>
        </w:rPr>
        <w:t> </w:t>
      </w:r>
      <w:r>
        <w:rPr/>
        <w:t>the</w:t>
      </w:r>
      <w:r>
        <w:rPr>
          <w:spacing w:val="-16"/>
        </w:rPr>
        <w:t> </w:t>
      </w:r>
      <w:r>
        <w:rPr/>
        <w:t>carrying</w:t>
      </w:r>
      <w:r>
        <w:rPr>
          <w:spacing w:val="-16"/>
        </w:rPr>
        <w:t> </w:t>
      </w:r>
      <w:r>
        <w:rPr/>
        <w:t>amounts</w:t>
      </w:r>
      <w:r>
        <w:rPr>
          <w:spacing w:val="-16"/>
        </w:rPr>
        <w:t> </w:t>
      </w:r>
      <w:r>
        <w:rPr/>
        <w:t>of</w:t>
      </w:r>
      <w:r>
        <w:rPr>
          <w:spacing w:val="-16"/>
        </w:rPr>
        <w:t> </w:t>
      </w:r>
      <w:r>
        <w:rPr>
          <w:spacing w:val="-3"/>
        </w:rPr>
        <w:t>property,</w:t>
      </w:r>
      <w:r>
        <w:rPr>
          <w:spacing w:val="-16"/>
        </w:rPr>
        <w:t> </w:t>
      </w:r>
      <w:r>
        <w:rPr/>
        <w:t>plant</w:t>
      </w:r>
      <w:r>
        <w:rPr>
          <w:spacing w:val="-16"/>
        </w:rPr>
        <w:t> </w:t>
      </w:r>
      <w:r>
        <w:rPr/>
        <w:t>and</w:t>
      </w:r>
      <w:r>
        <w:rPr>
          <w:spacing w:val="-16"/>
        </w:rPr>
        <w:t> </w:t>
      </w:r>
      <w:r>
        <w:rPr/>
        <w:t>equipment</w:t>
      </w:r>
      <w:r>
        <w:rPr>
          <w:spacing w:val="-17"/>
        </w:rPr>
        <w:t> </w:t>
      </w:r>
      <w:r>
        <w:rPr/>
        <w:t>and</w:t>
      </w:r>
      <w:r>
        <w:rPr>
          <w:spacing w:val="-16"/>
        </w:rPr>
        <w:t> </w:t>
      </w:r>
      <w:r>
        <w:rPr/>
        <w:t>vehicles</w:t>
      </w:r>
      <w:r>
        <w:rPr>
          <w:spacing w:val="-16"/>
        </w:rPr>
        <w:t> </w:t>
      </w:r>
      <w:r>
        <w:rPr/>
        <w:t>at</w:t>
      </w:r>
      <w:r>
        <w:rPr>
          <w:spacing w:val="-16"/>
        </w:rPr>
        <w:t> </w:t>
      </w:r>
      <w:r>
        <w:rPr/>
        <w:t>the</w:t>
      </w:r>
      <w:r>
        <w:rPr>
          <w:spacing w:val="-16"/>
        </w:rPr>
        <w:t> </w:t>
      </w:r>
      <w:r>
        <w:rPr/>
        <w:t>beginning</w:t>
      </w:r>
      <w:r>
        <w:rPr>
          <w:spacing w:val="-16"/>
        </w:rPr>
        <w:t> </w:t>
      </w:r>
      <w:r>
        <w:rPr/>
        <w:t>and</w:t>
      </w:r>
      <w:r>
        <w:rPr>
          <w:spacing w:val="-16"/>
        </w:rPr>
        <w:t> </w:t>
      </w:r>
      <w:r>
        <w:rPr/>
        <w:t>end</w:t>
      </w:r>
      <w:r>
        <w:rPr>
          <w:spacing w:val="-16"/>
        </w:rPr>
        <w:t> </w:t>
      </w:r>
      <w:r>
        <w:rPr/>
        <w:t>of</w:t>
      </w:r>
      <w:r>
        <w:rPr>
          <w:spacing w:val="-16"/>
        </w:rPr>
        <w:t> </w:t>
      </w:r>
      <w:r>
        <w:rPr/>
        <w:t>the</w:t>
      </w:r>
      <w:r>
        <w:rPr>
          <w:spacing w:val="-17"/>
        </w:rPr>
        <w:t> </w:t>
      </w:r>
      <w:r>
        <w:rPr/>
        <w:t>reporting</w:t>
      </w:r>
      <w:r>
        <w:rPr>
          <w:spacing w:val="-16"/>
        </w:rPr>
        <w:t> </w:t>
      </w:r>
      <w:r>
        <w:rPr/>
        <w:t>period</w:t>
      </w:r>
      <w:r>
        <w:rPr>
          <w:spacing w:val="-16"/>
        </w:rPr>
        <w:t> </w:t>
      </w:r>
      <w:r>
        <w:rPr/>
        <w:t>are</w:t>
      </w:r>
      <w:r>
        <w:rPr>
          <w:spacing w:val="-16"/>
        </w:rPr>
        <w:t> </w:t>
      </w:r>
      <w:r>
        <w:rPr/>
        <w:t>set</w:t>
      </w:r>
      <w:r>
        <w:rPr>
          <w:spacing w:val="-16"/>
        </w:rPr>
        <w:t> </w:t>
      </w:r>
      <w:r>
        <w:rPr>
          <w:spacing w:val="-6"/>
        </w:rPr>
        <w:t>out </w:t>
      </w:r>
      <w:r>
        <w:rPr/>
        <w:t>in the table</w:t>
      </w:r>
      <w:r>
        <w:rPr>
          <w:spacing w:val="-1"/>
        </w:rPr>
        <w:t> </w:t>
      </w:r>
      <w:r>
        <w:rPr>
          <w:spacing w:val="-3"/>
        </w:rPr>
        <w:t>below.</w:t>
      </w:r>
    </w:p>
    <w:p>
      <w:pPr>
        <w:pStyle w:val="BodyText"/>
        <w:spacing w:before="9"/>
        <w:rPr>
          <w:sz w:val="21"/>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7"/>
        <w:gridCol w:w="1219"/>
        <w:gridCol w:w="1219"/>
        <w:gridCol w:w="1531"/>
        <w:gridCol w:w="1219"/>
        <w:gridCol w:w="1219"/>
        <w:gridCol w:w="1219"/>
        <w:gridCol w:w="1219"/>
        <w:gridCol w:w="1219"/>
        <w:gridCol w:w="1219"/>
      </w:tblGrid>
      <w:tr>
        <w:trPr>
          <w:trHeight w:val="761" w:hRule="atLeast"/>
        </w:trPr>
        <w:tc>
          <w:tcPr>
            <w:tcW w:w="3997" w:type="dxa"/>
            <w:shd w:val="clear" w:color="auto" w:fill="783A79"/>
          </w:tcPr>
          <w:p>
            <w:pPr>
              <w:pStyle w:val="TableParagraph"/>
              <w:spacing w:before="42"/>
              <w:ind w:left="113"/>
              <w:rPr>
                <w:b/>
                <w:sz w:val="19"/>
              </w:rPr>
            </w:pPr>
            <w:r>
              <w:rPr>
                <w:b/>
                <w:color w:val="FFFFFF"/>
                <w:sz w:val="19"/>
              </w:rPr>
              <w:t>2017</w:t>
            </w:r>
          </w:p>
        </w:tc>
        <w:tc>
          <w:tcPr>
            <w:tcW w:w="1219" w:type="dxa"/>
            <w:shd w:val="clear" w:color="auto" w:fill="783A79"/>
          </w:tcPr>
          <w:p>
            <w:pPr>
              <w:pStyle w:val="TableParagraph"/>
              <w:spacing w:before="42"/>
              <w:ind w:left="654"/>
              <w:rPr>
                <w:b/>
                <w:sz w:val="19"/>
              </w:rPr>
            </w:pPr>
            <w:r>
              <w:rPr>
                <w:b/>
                <w:color w:val="FFFFFF"/>
                <w:sz w:val="19"/>
              </w:rPr>
              <w:t>Land</w:t>
            </w:r>
          </w:p>
          <w:p>
            <w:pPr>
              <w:pStyle w:val="TableParagraph"/>
              <w:spacing w:before="8"/>
              <w:rPr>
                <w:sz w:val="20"/>
              </w:rPr>
            </w:pPr>
          </w:p>
          <w:p>
            <w:pPr>
              <w:pStyle w:val="TableParagraph"/>
              <w:spacing w:before="0"/>
              <w:ind w:left="682"/>
              <w:rPr>
                <w:b/>
                <w:sz w:val="19"/>
              </w:rPr>
            </w:pPr>
            <w:r>
              <w:rPr>
                <w:b/>
                <w:color w:val="FFFFFF"/>
                <w:sz w:val="19"/>
              </w:rPr>
              <w:t>$000</w:t>
            </w:r>
          </w:p>
        </w:tc>
        <w:tc>
          <w:tcPr>
            <w:tcW w:w="1219" w:type="dxa"/>
            <w:shd w:val="clear" w:color="auto" w:fill="783A79"/>
          </w:tcPr>
          <w:p>
            <w:pPr>
              <w:pStyle w:val="TableParagraph"/>
              <w:spacing w:before="42"/>
              <w:ind w:left="264"/>
              <w:rPr>
                <w:b/>
                <w:sz w:val="19"/>
              </w:rPr>
            </w:pPr>
            <w:r>
              <w:rPr>
                <w:b/>
                <w:color w:val="FFFFFF"/>
                <w:sz w:val="19"/>
              </w:rPr>
              <w:t>Buildings</w:t>
            </w:r>
          </w:p>
          <w:p>
            <w:pPr>
              <w:pStyle w:val="TableParagraph"/>
              <w:spacing w:before="8"/>
              <w:rPr>
                <w:sz w:val="20"/>
              </w:rPr>
            </w:pPr>
          </w:p>
          <w:p>
            <w:pPr>
              <w:pStyle w:val="TableParagraph"/>
              <w:spacing w:before="0"/>
              <w:ind w:left="682"/>
              <w:rPr>
                <w:b/>
                <w:sz w:val="19"/>
              </w:rPr>
            </w:pPr>
            <w:r>
              <w:rPr>
                <w:b/>
                <w:color w:val="FFFFFF"/>
                <w:sz w:val="19"/>
              </w:rPr>
              <w:t>$000</w:t>
            </w:r>
          </w:p>
        </w:tc>
        <w:tc>
          <w:tcPr>
            <w:tcW w:w="1531" w:type="dxa"/>
            <w:shd w:val="clear" w:color="auto" w:fill="783A79"/>
          </w:tcPr>
          <w:p>
            <w:pPr>
              <w:pStyle w:val="TableParagraph"/>
              <w:spacing w:line="249" w:lineRule="auto" w:before="42"/>
              <w:ind w:left="115" w:right="109" w:firstLine="365"/>
              <w:rPr>
                <w:b/>
                <w:sz w:val="19"/>
              </w:rPr>
            </w:pPr>
            <w:r>
              <w:rPr>
                <w:b/>
                <w:color w:val="FFFFFF"/>
                <w:w w:val="95"/>
                <w:sz w:val="19"/>
              </w:rPr>
              <w:t>Leasehold </w:t>
            </w:r>
            <w:r>
              <w:rPr>
                <w:b/>
                <w:color w:val="FFFFFF"/>
                <w:spacing w:val="-1"/>
                <w:sz w:val="19"/>
              </w:rPr>
              <w:t>Improvements</w:t>
            </w:r>
          </w:p>
          <w:p>
            <w:pPr>
              <w:pStyle w:val="TableParagraph"/>
              <w:spacing w:before="2"/>
              <w:ind w:left="994"/>
              <w:rPr>
                <w:b/>
                <w:sz w:val="19"/>
              </w:rPr>
            </w:pPr>
            <w:r>
              <w:rPr>
                <w:b/>
                <w:color w:val="FFFFFF"/>
                <w:sz w:val="19"/>
              </w:rPr>
              <w:t>$000</w:t>
            </w:r>
          </w:p>
        </w:tc>
        <w:tc>
          <w:tcPr>
            <w:tcW w:w="1219" w:type="dxa"/>
            <w:shd w:val="clear" w:color="auto" w:fill="783A79"/>
          </w:tcPr>
          <w:p>
            <w:pPr>
              <w:pStyle w:val="TableParagraph"/>
              <w:spacing w:line="249" w:lineRule="auto" w:before="42"/>
              <w:ind w:left="127" w:right="104" w:firstLine="435"/>
              <w:rPr>
                <w:b/>
                <w:sz w:val="19"/>
              </w:rPr>
            </w:pPr>
            <w:r>
              <w:rPr>
                <w:b/>
                <w:color w:val="FFFFFF"/>
                <w:spacing w:val="-1"/>
                <w:sz w:val="19"/>
              </w:rPr>
              <w:t>Office </w:t>
            </w:r>
            <w:r>
              <w:rPr>
                <w:b/>
                <w:color w:val="FFFFFF"/>
                <w:w w:val="95"/>
                <w:sz w:val="19"/>
              </w:rPr>
              <w:t>Equipment</w:t>
            </w:r>
          </w:p>
          <w:p>
            <w:pPr>
              <w:pStyle w:val="TableParagraph"/>
              <w:spacing w:before="2"/>
              <w:ind w:left="682"/>
              <w:rPr>
                <w:b/>
                <w:sz w:val="19"/>
              </w:rPr>
            </w:pPr>
            <w:r>
              <w:rPr>
                <w:b/>
                <w:color w:val="FFFFFF"/>
                <w:sz w:val="19"/>
              </w:rPr>
              <w:t>$000</w:t>
            </w:r>
          </w:p>
        </w:tc>
        <w:tc>
          <w:tcPr>
            <w:tcW w:w="1219" w:type="dxa"/>
            <w:shd w:val="clear" w:color="auto" w:fill="783A79"/>
          </w:tcPr>
          <w:p>
            <w:pPr>
              <w:pStyle w:val="TableParagraph"/>
              <w:spacing w:line="249" w:lineRule="auto" w:before="42"/>
              <w:ind w:left="126" w:right="105" w:firstLine="70"/>
              <w:rPr>
                <w:b/>
                <w:sz w:val="19"/>
              </w:rPr>
            </w:pPr>
            <w:r>
              <w:rPr>
                <w:b/>
                <w:color w:val="FFFFFF"/>
                <w:sz w:val="19"/>
              </w:rPr>
              <w:t>Computer </w:t>
            </w:r>
            <w:r>
              <w:rPr>
                <w:b/>
                <w:color w:val="FFFFFF"/>
                <w:w w:val="95"/>
                <w:sz w:val="19"/>
              </w:rPr>
              <w:t>Equipment</w:t>
            </w:r>
          </w:p>
          <w:p>
            <w:pPr>
              <w:pStyle w:val="TableParagraph"/>
              <w:spacing w:before="2"/>
              <w:ind w:left="682"/>
              <w:rPr>
                <w:b/>
                <w:sz w:val="19"/>
              </w:rPr>
            </w:pPr>
            <w:r>
              <w:rPr>
                <w:b/>
                <w:color w:val="FFFFFF"/>
                <w:sz w:val="19"/>
              </w:rPr>
              <w:t>$000</w:t>
            </w:r>
          </w:p>
        </w:tc>
        <w:tc>
          <w:tcPr>
            <w:tcW w:w="1219" w:type="dxa"/>
            <w:shd w:val="clear" w:color="auto" w:fill="783A79"/>
          </w:tcPr>
          <w:p>
            <w:pPr>
              <w:pStyle w:val="TableParagraph"/>
              <w:spacing w:line="249" w:lineRule="auto" w:before="42"/>
              <w:ind w:left="499" w:right="49"/>
              <w:jc w:val="center"/>
              <w:rPr>
                <w:b/>
                <w:sz w:val="19"/>
              </w:rPr>
            </w:pPr>
            <w:r>
              <w:rPr>
                <w:b/>
                <w:color w:val="FFFFFF"/>
                <w:spacing w:val="-1"/>
                <w:sz w:val="19"/>
              </w:rPr>
              <w:t>Office </w:t>
            </w:r>
            <w:r>
              <w:rPr>
                <w:b/>
                <w:color w:val="FFFFFF"/>
                <w:sz w:val="19"/>
              </w:rPr>
              <w:t>fitout</w:t>
            </w:r>
          </w:p>
          <w:p>
            <w:pPr>
              <w:pStyle w:val="TableParagraph"/>
              <w:spacing w:before="2"/>
              <w:ind w:left="610" w:right="43"/>
              <w:jc w:val="center"/>
              <w:rPr>
                <w:b/>
                <w:sz w:val="19"/>
              </w:rPr>
            </w:pPr>
            <w:r>
              <w:rPr>
                <w:b/>
                <w:color w:val="FFFFFF"/>
                <w:sz w:val="19"/>
              </w:rPr>
              <w:t>$000</w:t>
            </w:r>
          </w:p>
        </w:tc>
        <w:tc>
          <w:tcPr>
            <w:tcW w:w="1219" w:type="dxa"/>
            <w:shd w:val="clear" w:color="auto" w:fill="783A79"/>
          </w:tcPr>
          <w:p>
            <w:pPr>
              <w:pStyle w:val="TableParagraph"/>
              <w:spacing w:line="249" w:lineRule="auto" w:before="42"/>
              <w:ind w:left="365" w:firstLine="193"/>
              <w:rPr>
                <w:b/>
                <w:sz w:val="19"/>
              </w:rPr>
            </w:pPr>
            <w:r>
              <w:rPr>
                <w:b/>
                <w:color w:val="FFFFFF"/>
                <w:sz w:val="19"/>
              </w:rPr>
              <w:t>Motor </w:t>
            </w:r>
            <w:r>
              <w:rPr>
                <w:b/>
                <w:color w:val="FFFFFF"/>
                <w:w w:val="95"/>
                <w:sz w:val="19"/>
              </w:rPr>
              <w:t>vehicles</w:t>
            </w:r>
          </w:p>
          <w:p>
            <w:pPr>
              <w:pStyle w:val="TableParagraph"/>
              <w:spacing w:before="2"/>
              <w:ind w:left="681"/>
              <w:rPr>
                <w:b/>
                <w:sz w:val="19"/>
              </w:rPr>
            </w:pPr>
            <w:r>
              <w:rPr>
                <w:b/>
                <w:color w:val="FFFFFF"/>
                <w:sz w:val="19"/>
              </w:rPr>
              <w:t>$000</w:t>
            </w:r>
          </w:p>
        </w:tc>
        <w:tc>
          <w:tcPr>
            <w:tcW w:w="1219" w:type="dxa"/>
            <w:shd w:val="clear" w:color="auto" w:fill="783A79"/>
          </w:tcPr>
          <w:p>
            <w:pPr>
              <w:pStyle w:val="TableParagraph"/>
              <w:spacing w:line="249" w:lineRule="auto" w:before="42"/>
              <w:ind w:left="301" w:right="101" w:firstLine="116"/>
              <w:rPr>
                <w:b/>
                <w:sz w:val="19"/>
              </w:rPr>
            </w:pPr>
            <w:r>
              <w:rPr>
                <w:b/>
                <w:color w:val="FFFFFF"/>
                <w:sz w:val="19"/>
              </w:rPr>
              <w:t>Work </w:t>
            </w:r>
            <w:r>
              <w:rPr>
                <w:b/>
                <w:color w:val="FFFFFF"/>
                <w:spacing w:val="-8"/>
                <w:sz w:val="19"/>
              </w:rPr>
              <w:t>in </w:t>
            </w:r>
            <w:r>
              <w:rPr>
                <w:b/>
                <w:color w:val="FFFFFF"/>
                <w:spacing w:val="-1"/>
                <w:w w:val="95"/>
                <w:sz w:val="19"/>
              </w:rPr>
              <w:t>progress</w:t>
            </w:r>
          </w:p>
          <w:p>
            <w:pPr>
              <w:pStyle w:val="TableParagraph"/>
              <w:spacing w:before="2"/>
              <w:ind w:left="681"/>
              <w:rPr>
                <w:b/>
                <w:sz w:val="19"/>
              </w:rPr>
            </w:pPr>
            <w:r>
              <w:rPr>
                <w:b/>
                <w:color w:val="FFFFFF"/>
                <w:sz w:val="19"/>
              </w:rPr>
              <w:t>$000</w:t>
            </w:r>
          </w:p>
        </w:tc>
        <w:tc>
          <w:tcPr>
            <w:tcW w:w="1219" w:type="dxa"/>
            <w:shd w:val="clear" w:color="auto" w:fill="783A79"/>
          </w:tcPr>
          <w:p>
            <w:pPr>
              <w:pStyle w:val="TableParagraph"/>
              <w:spacing w:before="42"/>
              <w:ind w:left="667"/>
              <w:rPr>
                <w:b/>
                <w:sz w:val="19"/>
              </w:rPr>
            </w:pPr>
            <w:r>
              <w:rPr>
                <w:b/>
                <w:color w:val="FFFFFF"/>
                <w:spacing w:val="-5"/>
                <w:sz w:val="19"/>
              </w:rPr>
              <w:t>Total</w:t>
            </w:r>
          </w:p>
          <w:p>
            <w:pPr>
              <w:pStyle w:val="TableParagraph"/>
              <w:spacing w:before="8"/>
              <w:rPr>
                <w:sz w:val="20"/>
              </w:rPr>
            </w:pPr>
          </w:p>
          <w:p>
            <w:pPr>
              <w:pStyle w:val="TableParagraph"/>
              <w:spacing w:before="0"/>
              <w:ind w:left="681"/>
              <w:rPr>
                <w:b/>
                <w:sz w:val="19"/>
              </w:rPr>
            </w:pPr>
            <w:r>
              <w:rPr>
                <w:b/>
                <w:color w:val="FFFFFF"/>
                <w:sz w:val="19"/>
              </w:rPr>
              <w:t>$000</w:t>
            </w:r>
          </w:p>
        </w:tc>
      </w:tr>
      <w:tr>
        <w:trPr>
          <w:trHeight w:val="307" w:hRule="atLeast"/>
        </w:trPr>
        <w:tc>
          <w:tcPr>
            <w:tcW w:w="3997" w:type="dxa"/>
            <w:shd w:val="clear" w:color="auto" w:fill="FFFFFF"/>
          </w:tcPr>
          <w:p>
            <w:pPr>
              <w:pStyle w:val="TableParagraph"/>
              <w:spacing w:before="42"/>
              <w:ind w:left="113"/>
              <w:rPr>
                <w:sz w:val="19"/>
              </w:rPr>
            </w:pPr>
            <w:r>
              <w:rPr>
                <w:sz w:val="19"/>
              </w:rPr>
              <w:t>Carrying amount at start of period</w:t>
            </w:r>
          </w:p>
        </w:tc>
        <w:tc>
          <w:tcPr>
            <w:tcW w:w="1219" w:type="dxa"/>
            <w:shd w:val="clear" w:color="auto" w:fill="FFFFFF"/>
          </w:tcPr>
          <w:p>
            <w:pPr>
              <w:pStyle w:val="TableParagraph"/>
              <w:spacing w:before="42"/>
              <w:ind w:right="111"/>
              <w:jc w:val="right"/>
              <w:rPr>
                <w:sz w:val="19"/>
              </w:rPr>
            </w:pPr>
            <w:r>
              <w:rPr>
                <w:w w:val="95"/>
                <w:sz w:val="19"/>
              </w:rPr>
              <w:t>151,512</w:t>
            </w:r>
          </w:p>
        </w:tc>
        <w:tc>
          <w:tcPr>
            <w:tcW w:w="1219" w:type="dxa"/>
            <w:shd w:val="clear" w:color="auto" w:fill="FFFFFF"/>
          </w:tcPr>
          <w:p>
            <w:pPr>
              <w:pStyle w:val="TableParagraph"/>
              <w:spacing w:before="42"/>
              <w:ind w:right="112"/>
              <w:jc w:val="right"/>
              <w:rPr>
                <w:sz w:val="19"/>
              </w:rPr>
            </w:pPr>
            <w:r>
              <w:rPr>
                <w:w w:val="95"/>
                <w:sz w:val="19"/>
              </w:rPr>
              <w:t>162,742</w:t>
            </w:r>
          </w:p>
        </w:tc>
        <w:tc>
          <w:tcPr>
            <w:tcW w:w="1531" w:type="dxa"/>
            <w:shd w:val="clear" w:color="auto" w:fill="FFFFFF"/>
          </w:tcPr>
          <w:p>
            <w:pPr>
              <w:pStyle w:val="TableParagraph"/>
              <w:spacing w:before="42"/>
              <w:ind w:right="112"/>
              <w:jc w:val="right"/>
              <w:rPr>
                <w:sz w:val="19"/>
              </w:rPr>
            </w:pPr>
            <w:r>
              <w:rPr>
                <w:w w:val="95"/>
                <w:sz w:val="19"/>
              </w:rPr>
              <w:t>25,784</w:t>
            </w:r>
          </w:p>
        </w:tc>
        <w:tc>
          <w:tcPr>
            <w:tcW w:w="1219" w:type="dxa"/>
            <w:shd w:val="clear" w:color="auto" w:fill="FFFFFF"/>
          </w:tcPr>
          <w:p>
            <w:pPr>
              <w:pStyle w:val="TableParagraph"/>
              <w:spacing w:before="42"/>
              <w:ind w:right="112"/>
              <w:jc w:val="right"/>
              <w:rPr>
                <w:sz w:val="19"/>
              </w:rPr>
            </w:pPr>
            <w:r>
              <w:rPr>
                <w:w w:val="95"/>
                <w:sz w:val="19"/>
              </w:rPr>
              <w:t>124</w:t>
            </w:r>
          </w:p>
        </w:tc>
        <w:tc>
          <w:tcPr>
            <w:tcW w:w="1219" w:type="dxa"/>
            <w:shd w:val="clear" w:color="auto" w:fill="FFFFFF"/>
          </w:tcPr>
          <w:p>
            <w:pPr>
              <w:pStyle w:val="TableParagraph"/>
              <w:spacing w:before="42"/>
              <w:ind w:right="112"/>
              <w:jc w:val="right"/>
              <w:rPr>
                <w:sz w:val="19"/>
              </w:rPr>
            </w:pPr>
            <w:r>
              <w:rPr>
                <w:w w:val="95"/>
                <w:sz w:val="19"/>
              </w:rPr>
              <w:t>1,280</w:t>
            </w:r>
          </w:p>
        </w:tc>
        <w:tc>
          <w:tcPr>
            <w:tcW w:w="1219" w:type="dxa"/>
            <w:shd w:val="clear" w:color="auto" w:fill="FFFFFF"/>
          </w:tcPr>
          <w:p>
            <w:pPr>
              <w:pStyle w:val="TableParagraph"/>
              <w:spacing w:before="42"/>
              <w:ind w:right="112"/>
              <w:jc w:val="right"/>
              <w:rPr>
                <w:sz w:val="19"/>
              </w:rPr>
            </w:pPr>
            <w:r>
              <w:rPr>
                <w:w w:val="95"/>
                <w:sz w:val="19"/>
              </w:rPr>
              <w:t>60,728</w:t>
            </w:r>
          </w:p>
        </w:tc>
        <w:tc>
          <w:tcPr>
            <w:tcW w:w="1219" w:type="dxa"/>
            <w:shd w:val="clear" w:color="auto" w:fill="FFFFFF"/>
          </w:tcPr>
          <w:p>
            <w:pPr>
              <w:pStyle w:val="TableParagraph"/>
              <w:spacing w:before="42"/>
              <w:ind w:right="113"/>
              <w:jc w:val="right"/>
              <w:rPr>
                <w:sz w:val="19"/>
              </w:rPr>
            </w:pPr>
            <w:r>
              <w:rPr>
                <w:w w:val="95"/>
                <w:sz w:val="19"/>
              </w:rPr>
              <w:t>261,604</w:t>
            </w:r>
          </w:p>
        </w:tc>
        <w:tc>
          <w:tcPr>
            <w:tcW w:w="1219" w:type="dxa"/>
            <w:shd w:val="clear" w:color="auto" w:fill="FFFFFF"/>
          </w:tcPr>
          <w:p>
            <w:pPr>
              <w:pStyle w:val="TableParagraph"/>
              <w:spacing w:before="42"/>
              <w:ind w:right="113"/>
              <w:jc w:val="right"/>
              <w:rPr>
                <w:sz w:val="19"/>
              </w:rPr>
            </w:pPr>
            <w:r>
              <w:rPr>
                <w:w w:val="95"/>
                <w:sz w:val="19"/>
              </w:rPr>
              <w:t>104,963</w:t>
            </w:r>
          </w:p>
        </w:tc>
        <w:tc>
          <w:tcPr>
            <w:tcW w:w="1219" w:type="dxa"/>
            <w:vMerge w:val="restart"/>
            <w:tcBorders>
              <w:bottom w:val="single" w:sz="4" w:space="0" w:color="000000"/>
            </w:tcBorders>
            <w:shd w:val="clear" w:color="auto" w:fill="E1E4BB"/>
          </w:tcPr>
          <w:p>
            <w:pPr>
              <w:pStyle w:val="TableParagraph"/>
              <w:spacing w:before="42"/>
              <w:ind w:left="416"/>
              <w:rPr>
                <w:b/>
                <w:sz w:val="19"/>
              </w:rPr>
            </w:pPr>
            <w:r>
              <w:rPr>
                <w:b/>
                <w:sz w:val="19"/>
              </w:rPr>
              <w:t>768,737</w:t>
            </w:r>
          </w:p>
          <w:p>
            <w:pPr>
              <w:pStyle w:val="TableParagraph"/>
              <w:spacing w:before="109"/>
              <w:ind w:left="416"/>
              <w:rPr>
                <w:b/>
                <w:sz w:val="19"/>
              </w:rPr>
            </w:pPr>
            <w:r>
              <w:rPr>
                <w:b/>
                <w:sz w:val="19"/>
              </w:rPr>
              <w:t>121,191</w:t>
            </w:r>
          </w:p>
          <w:p>
            <w:pPr>
              <w:pStyle w:val="TableParagraph"/>
              <w:spacing w:before="87"/>
              <w:ind w:left="780"/>
              <w:rPr>
                <w:b/>
                <w:sz w:val="19"/>
              </w:rPr>
            </w:pPr>
            <w:r>
              <w:rPr>
                <w:b/>
                <w:sz w:val="19"/>
              </w:rPr>
              <w:t>(44)</w:t>
            </w:r>
          </w:p>
          <w:p>
            <w:pPr>
              <w:pStyle w:val="TableParagraph"/>
              <w:spacing w:before="87"/>
              <w:ind w:left="410"/>
              <w:rPr>
                <w:b/>
                <w:sz w:val="19"/>
              </w:rPr>
            </w:pPr>
            <w:r>
              <w:rPr>
                <w:b/>
                <w:sz w:val="19"/>
              </w:rPr>
              <w:t>(70,960)</w:t>
            </w:r>
          </w:p>
          <w:p>
            <w:pPr>
              <w:pStyle w:val="TableParagraph"/>
              <w:spacing w:before="88"/>
              <w:ind w:left="409"/>
              <w:rPr>
                <w:b/>
                <w:sz w:val="19"/>
              </w:rPr>
            </w:pPr>
            <w:r>
              <w:rPr>
                <w:b/>
                <w:sz w:val="19"/>
              </w:rPr>
              <w:t>(32,024)</w:t>
            </w:r>
          </w:p>
          <w:p>
            <w:pPr>
              <w:pStyle w:val="TableParagraph"/>
              <w:spacing w:before="87"/>
              <w:ind w:left="409"/>
              <w:rPr>
                <w:b/>
                <w:sz w:val="19"/>
              </w:rPr>
            </w:pPr>
            <w:r>
              <w:rPr>
                <w:b/>
                <w:sz w:val="19"/>
              </w:rPr>
              <w:t>(66,526)</w:t>
            </w:r>
          </w:p>
        </w:tc>
      </w:tr>
      <w:tr>
        <w:trPr>
          <w:trHeight w:val="310" w:hRule="atLeast"/>
        </w:trPr>
        <w:tc>
          <w:tcPr>
            <w:tcW w:w="3997" w:type="dxa"/>
            <w:shd w:val="clear" w:color="auto" w:fill="FFFFFF"/>
          </w:tcPr>
          <w:p>
            <w:pPr>
              <w:pStyle w:val="TableParagraph"/>
              <w:spacing w:before="52"/>
              <w:ind w:left="112"/>
              <w:rPr>
                <w:sz w:val="19"/>
              </w:rPr>
            </w:pPr>
            <w:r>
              <w:rPr>
                <w:sz w:val="19"/>
              </w:rPr>
              <w:t>Additions</w:t>
            </w:r>
          </w:p>
        </w:tc>
        <w:tc>
          <w:tcPr>
            <w:tcW w:w="1219" w:type="dxa"/>
            <w:shd w:val="clear" w:color="auto" w:fill="FFFFFF"/>
          </w:tcPr>
          <w:p>
            <w:pPr>
              <w:pStyle w:val="TableParagraph"/>
              <w:spacing w:before="52"/>
              <w:ind w:right="112"/>
              <w:jc w:val="right"/>
              <w:rPr>
                <w:sz w:val="19"/>
              </w:rPr>
            </w:pPr>
            <w:r>
              <w:rPr>
                <w:w w:val="111"/>
                <w:sz w:val="19"/>
              </w:rPr>
              <w:t>-</w:t>
            </w:r>
          </w:p>
        </w:tc>
        <w:tc>
          <w:tcPr>
            <w:tcW w:w="1219" w:type="dxa"/>
            <w:shd w:val="clear" w:color="auto" w:fill="FFFFFF"/>
          </w:tcPr>
          <w:p>
            <w:pPr>
              <w:pStyle w:val="TableParagraph"/>
              <w:spacing w:before="52"/>
              <w:ind w:right="112"/>
              <w:jc w:val="right"/>
              <w:rPr>
                <w:sz w:val="19"/>
              </w:rPr>
            </w:pPr>
            <w:r>
              <w:rPr>
                <w:w w:val="111"/>
                <w:sz w:val="19"/>
              </w:rPr>
              <w:t>-</w:t>
            </w:r>
          </w:p>
        </w:tc>
        <w:tc>
          <w:tcPr>
            <w:tcW w:w="1531" w:type="dxa"/>
            <w:shd w:val="clear" w:color="auto" w:fill="FFFFFF"/>
          </w:tcPr>
          <w:p>
            <w:pPr>
              <w:pStyle w:val="TableParagraph"/>
              <w:spacing w:before="52"/>
              <w:ind w:right="112"/>
              <w:jc w:val="right"/>
              <w:rPr>
                <w:sz w:val="19"/>
              </w:rPr>
            </w:pPr>
            <w:r>
              <w:rPr>
                <w:w w:val="111"/>
                <w:sz w:val="19"/>
              </w:rPr>
              <w:t>-</w:t>
            </w:r>
          </w:p>
        </w:tc>
        <w:tc>
          <w:tcPr>
            <w:tcW w:w="1219" w:type="dxa"/>
            <w:shd w:val="clear" w:color="auto" w:fill="FFFFFF"/>
          </w:tcPr>
          <w:p>
            <w:pPr>
              <w:pStyle w:val="TableParagraph"/>
              <w:spacing w:before="52"/>
              <w:ind w:right="113"/>
              <w:jc w:val="right"/>
              <w:rPr>
                <w:sz w:val="19"/>
              </w:rPr>
            </w:pPr>
            <w:r>
              <w:rPr>
                <w:w w:val="111"/>
                <w:sz w:val="19"/>
              </w:rPr>
              <w:t>-</w:t>
            </w:r>
          </w:p>
        </w:tc>
        <w:tc>
          <w:tcPr>
            <w:tcW w:w="1219" w:type="dxa"/>
            <w:shd w:val="clear" w:color="auto" w:fill="FFFFFF"/>
          </w:tcPr>
          <w:p>
            <w:pPr>
              <w:pStyle w:val="TableParagraph"/>
              <w:spacing w:before="52"/>
              <w:ind w:right="113"/>
              <w:jc w:val="right"/>
              <w:rPr>
                <w:sz w:val="19"/>
              </w:rPr>
            </w:pPr>
            <w:r>
              <w:rPr>
                <w:w w:val="95"/>
                <w:sz w:val="19"/>
              </w:rPr>
              <w:t>80</w:t>
            </w:r>
          </w:p>
        </w:tc>
        <w:tc>
          <w:tcPr>
            <w:tcW w:w="1219" w:type="dxa"/>
            <w:shd w:val="clear" w:color="auto" w:fill="FFFFFF"/>
          </w:tcPr>
          <w:p>
            <w:pPr>
              <w:pStyle w:val="TableParagraph"/>
              <w:spacing w:before="52"/>
              <w:ind w:right="113"/>
              <w:jc w:val="right"/>
              <w:rPr>
                <w:sz w:val="19"/>
              </w:rPr>
            </w:pPr>
            <w:r>
              <w:rPr>
                <w:w w:val="111"/>
                <w:sz w:val="19"/>
              </w:rPr>
              <w:t>-</w:t>
            </w:r>
          </w:p>
        </w:tc>
        <w:tc>
          <w:tcPr>
            <w:tcW w:w="1219" w:type="dxa"/>
            <w:shd w:val="clear" w:color="auto" w:fill="FFFFFF"/>
          </w:tcPr>
          <w:p>
            <w:pPr>
              <w:pStyle w:val="TableParagraph"/>
              <w:spacing w:before="52"/>
              <w:ind w:right="113"/>
              <w:jc w:val="right"/>
              <w:rPr>
                <w:sz w:val="19"/>
              </w:rPr>
            </w:pPr>
            <w:r>
              <w:rPr>
                <w:w w:val="95"/>
                <w:sz w:val="19"/>
              </w:rPr>
              <w:t>84,370</w:t>
            </w:r>
          </w:p>
        </w:tc>
        <w:tc>
          <w:tcPr>
            <w:tcW w:w="1219" w:type="dxa"/>
            <w:shd w:val="clear" w:color="auto" w:fill="FFFFFF"/>
          </w:tcPr>
          <w:p>
            <w:pPr>
              <w:pStyle w:val="TableParagraph"/>
              <w:spacing w:before="52"/>
              <w:ind w:right="113"/>
              <w:jc w:val="right"/>
              <w:rPr>
                <w:sz w:val="19"/>
              </w:rPr>
            </w:pPr>
            <w:r>
              <w:rPr>
                <w:w w:val="95"/>
                <w:sz w:val="19"/>
              </w:rPr>
              <w:t>36,741</w:t>
            </w:r>
          </w:p>
        </w:tc>
        <w:tc>
          <w:tcPr>
            <w:tcW w:w="1219" w:type="dxa"/>
            <w:vMerge/>
            <w:tcBorders>
              <w:top w:val="nil"/>
              <w:bottom w:val="single" w:sz="4" w:space="0" w:color="000000"/>
            </w:tcBorders>
            <w:shd w:val="clear" w:color="auto" w:fill="E1E4BB"/>
          </w:tcPr>
          <w:p>
            <w:pPr>
              <w:rPr>
                <w:sz w:val="2"/>
                <w:szCs w:val="2"/>
              </w:rPr>
            </w:pPr>
          </w:p>
        </w:tc>
      </w:tr>
      <w:tr>
        <w:trPr>
          <w:trHeight w:val="601" w:hRule="atLeast"/>
        </w:trPr>
        <w:tc>
          <w:tcPr>
            <w:tcW w:w="3997" w:type="dxa"/>
            <w:shd w:val="clear" w:color="auto" w:fill="FFFFFF"/>
          </w:tcPr>
          <w:p>
            <w:pPr>
              <w:pStyle w:val="TableParagraph"/>
              <w:spacing w:before="37"/>
              <w:ind w:left="112"/>
              <w:rPr>
                <w:sz w:val="10"/>
              </w:rPr>
            </w:pPr>
            <w:r>
              <w:rPr>
                <w:sz w:val="19"/>
              </w:rPr>
              <w:t>Transfers</w:t>
            </w:r>
            <w:r>
              <w:rPr>
                <w:position w:val="6"/>
                <w:sz w:val="10"/>
              </w:rPr>
              <w:t>(a)</w:t>
            </w:r>
          </w:p>
          <w:p>
            <w:pPr>
              <w:pStyle w:val="TableParagraph"/>
              <w:spacing w:before="87"/>
              <w:ind w:left="112"/>
              <w:rPr>
                <w:sz w:val="19"/>
              </w:rPr>
            </w:pPr>
            <w:r>
              <w:rPr>
                <w:sz w:val="19"/>
              </w:rPr>
              <w:t>Other disposals</w:t>
            </w:r>
          </w:p>
        </w:tc>
        <w:tc>
          <w:tcPr>
            <w:tcW w:w="1219" w:type="dxa"/>
            <w:shd w:val="clear" w:color="auto" w:fill="FFFFFF"/>
          </w:tcPr>
          <w:p>
            <w:pPr>
              <w:pStyle w:val="TableParagraph"/>
              <w:spacing w:before="37"/>
              <w:ind w:right="111"/>
              <w:jc w:val="right"/>
              <w:rPr>
                <w:sz w:val="19"/>
              </w:rPr>
            </w:pPr>
            <w:r>
              <w:rPr>
                <w:w w:val="111"/>
                <w:sz w:val="19"/>
              </w:rPr>
              <w:t>-</w:t>
            </w:r>
          </w:p>
          <w:p>
            <w:pPr>
              <w:pStyle w:val="TableParagraph"/>
              <w:spacing w:before="87"/>
              <w:ind w:right="112"/>
              <w:jc w:val="right"/>
              <w:rPr>
                <w:sz w:val="19"/>
              </w:rPr>
            </w:pPr>
            <w:r>
              <w:rPr>
                <w:w w:val="111"/>
                <w:sz w:val="19"/>
              </w:rPr>
              <w:t>-</w:t>
            </w:r>
          </w:p>
        </w:tc>
        <w:tc>
          <w:tcPr>
            <w:tcW w:w="1219" w:type="dxa"/>
            <w:shd w:val="clear" w:color="auto" w:fill="FFFFFF"/>
          </w:tcPr>
          <w:p>
            <w:pPr>
              <w:pStyle w:val="TableParagraph"/>
              <w:spacing w:before="37"/>
              <w:ind w:right="111"/>
              <w:jc w:val="right"/>
              <w:rPr>
                <w:sz w:val="19"/>
              </w:rPr>
            </w:pPr>
            <w:r>
              <w:rPr>
                <w:w w:val="111"/>
                <w:sz w:val="19"/>
              </w:rPr>
              <w:t>-</w:t>
            </w:r>
          </w:p>
          <w:p>
            <w:pPr>
              <w:pStyle w:val="TableParagraph"/>
              <w:spacing w:before="87"/>
              <w:ind w:right="112"/>
              <w:jc w:val="right"/>
              <w:rPr>
                <w:sz w:val="19"/>
              </w:rPr>
            </w:pPr>
            <w:r>
              <w:rPr>
                <w:w w:val="111"/>
                <w:sz w:val="19"/>
              </w:rPr>
              <w:t>-</w:t>
            </w:r>
          </w:p>
        </w:tc>
        <w:tc>
          <w:tcPr>
            <w:tcW w:w="1531" w:type="dxa"/>
            <w:shd w:val="clear" w:color="auto" w:fill="FFFFFF"/>
          </w:tcPr>
          <w:p>
            <w:pPr>
              <w:pStyle w:val="TableParagraph"/>
              <w:spacing w:before="37"/>
              <w:ind w:right="112"/>
              <w:jc w:val="right"/>
              <w:rPr>
                <w:sz w:val="19"/>
              </w:rPr>
            </w:pPr>
            <w:r>
              <w:rPr>
                <w:w w:val="95"/>
                <w:sz w:val="19"/>
              </w:rPr>
              <w:t>60,064</w:t>
            </w:r>
          </w:p>
          <w:p>
            <w:pPr>
              <w:pStyle w:val="TableParagraph"/>
              <w:spacing w:before="87"/>
              <w:ind w:right="112"/>
              <w:jc w:val="right"/>
              <w:rPr>
                <w:sz w:val="19"/>
              </w:rPr>
            </w:pPr>
            <w:r>
              <w:rPr>
                <w:w w:val="111"/>
                <w:sz w:val="19"/>
              </w:rPr>
              <w:t>-</w:t>
            </w:r>
          </w:p>
        </w:tc>
        <w:tc>
          <w:tcPr>
            <w:tcW w:w="1219" w:type="dxa"/>
            <w:shd w:val="clear" w:color="auto" w:fill="FFFFFF"/>
          </w:tcPr>
          <w:p>
            <w:pPr>
              <w:pStyle w:val="TableParagraph"/>
              <w:spacing w:before="37"/>
              <w:ind w:left="787"/>
              <w:rPr>
                <w:sz w:val="19"/>
              </w:rPr>
            </w:pPr>
            <w:r>
              <w:rPr>
                <w:sz w:val="19"/>
              </w:rPr>
              <w:t>111</w:t>
            </w:r>
          </w:p>
          <w:p>
            <w:pPr>
              <w:pStyle w:val="TableParagraph"/>
              <w:spacing w:before="87"/>
              <w:ind w:left="801"/>
              <w:rPr>
                <w:sz w:val="19"/>
              </w:rPr>
            </w:pPr>
            <w:r>
              <w:rPr>
                <w:sz w:val="19"/>
              </w:rPr>
              <w:t>(10)</w:t>
            </w:r>
          </w:p>
        </w:tc>
        <w:tc>
          <w:tcPr>
            <w:tcW w:w="1219" w:type="dxa"/>
            <w:shd w:val="clear" w:color="auto" w:fill="FFFFFF"/>
          </w:tcPr>
          <w:p>
            <w:pPr>
              <w:pStyle w:val="TableParagraph"/>
              <w:spacing w:before="37"/>
              <w:ind w:right="112"/>
              <w:jc w:val="right"/>
              <w:rPr>
                <w:sz w:val="19"/>
              </w:rPr>
            </w:pPr>
            <w:r>
              <w:rPr>
                <w:w w:val="90"/>
                <w:sz w:val="19"/>
              </w:rPr>
              <w:t>(111)</w:t>
            </w:r>
          </w:p>
          <w:p>
            <w:pPr>
              <w:pStyle w:val="TableParagraph"/>
              <w:spacing w:before="87"/>
              <w:ind w:right="112"/>
              <w:jc w:val="right"/>
              <w:rPr>
                <w:sz w:val="19"/>
              </w:rPr>
            </w:pPr>
            <w:r>
              <w:rPr>
                <w:w w:val="111"/>
                <w:sz w:val="19"/>
              </w:rPr>
              <w:t>-</w:t>
            </w:r>
          </w:p>
        </w:tc>
        <w:tc>
          <w:tcPr>
            <w:tcW w:w="1219" w:type="dxa"/>
            <w:shd w:val="clear" w:color="auto" w:fill="FFFFFF"/>
          </w:tcPr>
          <w:p>
            <w:pPr>
              <w:pStyle w:val="TableParagraph"/>
              <w:spacing w:before="37"/>
              <w:ind w:right="112"/>
              <w:jc w:val="right"/>
              <w:rPr>
                <w:sz w:val="19"/>
              </w:rPr>
            </w:pPr>
            <w:r>
              <w:rPr>
                <w:w w:val="95"/>
                <w:sz w:val="19"/>
              </w:rPr>
              <w:t>66,753</w:t>
            </w:r>
          </w:p>
          <w:p>
            <w:pPr>
              <w:pStyle w:val="TableParagraph"/>
              <w:spacing w:before="87"/>
              <w:ind w:right="112"/>
              <w:jc w:val="right"/>
              <w:rPr>
                <w:sz w:val="19"/>
              </w:rPr>
            </w:pPr>
            <w:r>
              <w:rPr>
                <w:w w:val="111"/>
                <w:sz w:val="19"/>
              </w:rPr>
              <w:t>-</w:t>
            </w:r>
          </w:p>
        </w:tc>
        <w:tc>
          <w:tcPr>
            <w:tcW w:w="1219" w:type="dxa"/>
            <w:shd w:val="clear" w:color="auto" w:fill="FFFFFF"/>
          </w:tcPr>
          <w:p>
            <w:pPr>
              <w:pStyle w:val="TableParagraph"/>
              <w:spacing w:before="37"/>
              <w:ind w:left="801"/>
              <w:rPr>
                <w:sz w:val="19"/>
              </w:rPr>
            </w:pPr>
            <w:r>
              <w:rPr>
                <w:sz w:val="19"/>
              </w:rPr>
              <w:t>(44)</w:t>
            </w:r>
          </w:p>
          <w:p>
            <w:pPr>
              <w:pStyle w:val="TableParagraph"/>
              <w:spacing w:before="87"/>
              <w:ind w:left="431"/>
              <w:rPr>
                <w:sz w:val="19"/>
              </w:rPr>
            </w:pPr>
            <w:r>
              <w:rPr>
                <w:sz w:val="19"/>
              </w:rPr>
              <w:t>(70,950)</w:t>
            </w:r>
          </w:p>
        </w:tc>
        <w:tc>
          <w:tcPr>
            <w:tcW w:w="1219" w:type="dxa"/>
            <w:shd w:val="clear" w:color="auto" w:fill="FFFFFF"/>
          </w:tcPr>
          <w:p>
            <w:pPr>
              <w:pStyle w:val="TableParagraph"/>
              <w:spacing w:before="37"/>
              <w:ind w:right="112"/>
              <w:jc w:val="right"/>
              <w:rPr>
                <w:sz w:val="19"/>
              </w:rPr>
            </w:pPr>
            <w:r>
              <w:rPr>
                <w:w w:val="95"/>
                <w:sz w:val="19"/>
              </w:rPr>
              <w:t>(126,816)</w:t>
            </w:r>
          </w:p>
          <w:p>
            <w:pPr>
              <w:pStyle w:val="TableParagraph"/>
              <w:spacing w:before="87"/>
              <w:ind w:right="113"/>
              <w:jc w:val="right"/>
              <w:rPr>
                <w:sz w:val="19"/>
              </w:rPr>
            </w:pPr>
            <w:r>
              <w:rPr>
                <w:w w:val="111"/>
                <w:sz w:val="19"/>
              </w:rPr>
              <w:t>-</w:t>
            </w:r>
          </w:p>
        </w:tc>
        <w:tc>
          <w:tcPr>
            <w:tcW w:w="1219" w:type="dxa"/>
            <w:vMerge/>
            <w:tcBorders>
              <w:top w:val="nil"/>
              <w:bottom w:val="single" w:sz="4" w:space="0" w:color="000000"/>
            </w:tcBorders>
            <w:shd w:val="clear" w:color="auto" w:fill="E1E4BB"/>
          </w:tcPr>
          <w:p>
            <w:pPr>
              <w:rPr>
                <w:sz w:val="2"/>
                <w:szCs w:val="2"/>
              </w:rPr>
            </w:pPr>
          </w:p>
        </w:tc>
      </w:tr>
      <w:tr>
        <w:trPr>
          <w:trHeight w:val="596" w:hRule="atLeast"/>
        </w:trPr>
        <w:tc>
          <w:tcPr>
            <w:tcW w:w="3997" w:type="dxa"/>
            <w:shd w:val="clear" w:color="auto" w:fill="FFFFFF"/>
          </w:tcPr>
          <w:p>
            <w:pPr>
              <w:pStyle w:val="TableParagraph"/>
              <w:spacing w:before="37"/>
              <w:ind w:left="112"/>
              <w:rPr>
                <w:sz w:val="19"/>
              </w:rPr>
            </w:pPr>
            <w:r>
              <w:rPr>
                <w:sz w:val="19"/>
              </w:rPr>
              <w:t>Revaluations</w:t>
            </w:r>
          </w:p>
          <w:p>
            <w:pPr>
              <w:pStyle w:val="TableParagraph"/>
              <w:spacing w:before="87"/>
              <w:ind w:left="112"/>
              <w:rPr>
                <w:sz w:val="19"/>
              </w:rPr>
            </w:pPr>
            <w:r>
              <w:rPr>
                <w:sz w:val="19"/>
              </w:rPr>
              <w:t>Depreciation</w:t>
            </w:r>
          </w:p>
        </w:tc>
        <w:tc>
          <w:tcPr>
            <w:tcW w:w="1219" w:type="dxa"/>
            <w:tcBorders>
              <w:bottom w:val="single" w:sz="4" w:space="0" w:color="000000"/>
            </w:tcBorders>
            <w:shd w:val="clear" w:color="auto" w:fill="FFFFFF"/>
          </w:tcPr>
          <w:p>
            <w:pPr>
              <w:pStyle w:val="TableParagraph"/>
              <w:spacing w:before="37"/>
              <w:ind w:right="112"/>
              <w:jc w:val="right"/>
              <w:rPr>
                <w:sz w:val="19"/>
              </w:rPr>
            </w:pPr>
            <w:r>
              <w:rPr>
                <w:w w:val="95"/>
                <w:sz w:val="19"/>
              </w:rPr>
              <w:t>(11,102)</w:t>
            </w:r>
          </w:p>
        </w:tc>
        <w:tc>
          <w:tcPr>
            <w:tcW w:w="1219" w:type="dxa"/>
            <w:tcBorders>
              <w:bottom w:val="single" w:sz="4" w:space="0" w:color="000000"/>
            </w:tcBorders>
            <w:shd w:val="clear" w:color="auto" w:fill="FFFFFF"/>
          </w:tcPr>
          <w:p>
            <w:pPr>
              <w:pStyle w:val="TableParagraph"/>
              <w:spacing w:before="37"/>
              <w:ind w:left="394" w:right="77"/>
              <w:jc w:val="center"/>
              <w:rPr>
                <w:sz w:val="19"/>
              </w:rPr>
            </w:pPr>
            <w:r>
              <w:rPr>
                <w:sz w:val="19"/>
              </w:rPr>
              <w:t>(20,922)</w:t>
            </w:r>
          </w:p>
          <w:p>
            <w:pPr>
              <w:pStyle w:val="TableParagraph"/>
              <w:spacing w:before="87"/>
              <w:ind w:left="499" w:right="77"/>
              <w:jc w:val="center"/>
              <w:rPr>
                <w:sz w:val="19"/>
              </w:rPr>
            </w:pPr>
            <w:r>
              <w:rPr>
                <w:sz w:val="19"/>
              </w:rPr>
              <w:t>(3,747)</w:t>
            </w:r>
          </w:p>
        </w:tc>
        <w:tc>
          <w:tcPr>
            <w:tcW w:w="1531" w:type="dxa"/>
            <w:tcBorders>
              <w:bottom w:val="single" w:sz="4" w:space="0" w:color="000000"/>
            </w:tcBorders>
            <w:shd w:val="clear" w:color="auto" w:fill="FFFFFF"/>
          </w:tcPr>
          <w:p>
            <w:pPr>
              <w:pStyle w:val="TableParagraph"/>
              <w:spacing w:before="37"/>
              <w:ind w:right="112"/>
              <w:jc w:val="right"/>
              <w:rPr>
                <w:sz w:val="19"/>
              </w:rPr>
            </w:pPr>
            <w:r>
              <w:rPr>
                <w:w w:val="111"/>
                <w:sz w:val="19"/>
              </w:rPr>
              <w:t>-</w:t>
            </w:r>
          </w:p>
          <w:p>
            <w:pPr>
              <w:pStyle w:val="TableParagraph"/>
              <w:spacing w:before="87"/>
              <w:ind w:right="113"/>
              <w:jc w:val="right"/>
              <w:rPr>
                <w:sz w:val="19"/>
              </w:rPr>
            </w:pPr>
            <w:r>
              <w:rPr>
                <w:w w:val="90"/>
                <w:sz w:val="19"/>
              </w:rPr>
              <w:t>(8,066)</w:t>
            </w:r>
          </w:p>
        </w:tc>
        <w:tc>
          <w:tcPr>
            <w:tcW w:w="1219" w:type="dxa"/>
            <w:tcBorders>
              <w:bottom w:val="single" w:sz="4" w:space="0" w:color="000000"/>
            </w:tcBorders>
            <w:shd w:val="clear" w:color="auto" w:fill="FFFFFF"/>
          </w:tcPr>
          <w:p>
            <w:pPr>
              <w:pStyle w:val="TableParagraph"/>
              <w:spacing w:before="37"/>
              <w:ind w:right="113"/>
              <w:jc w:val="right"/>
              <w:rPr>
                <w:sz w:val="19"/>
              </w:rPr>
            </w:pPr>
            <w:r>
              <w:rPr>
                <w:w w:val="111"/>
                <w:sz w:val="19"/>
              </w:rPr>
              <w:t>-</w:t>
            </w:r>
          </w:p>
          <w:p>
            <w:pPr>
              <w:pStyle w:val="TableParagraph"/>
              <w:spacing w:before="87"/>
              <w:ind w:right="113"/>
              <w:jc w:val="right"/>
              <w:rPr>
                <w:sz w:val="19"/>
              </w:rPr>
            </w:pPr>
            <w:r>
              <w:rPr>
                <w:w w:val="90"/>
                <w:sz w:val="19"/>
              </w:rPr>
              <w:t>(54)</w:t>
            </w:r>
          </w:p>
        </w:tc>
        <w:tc>
          <w:tcPr>
            <w:tcW w:w="1219" w:type="dxa"/>
            <w:tcBorders>
              <w:bottom w:val="single" w:sz="4" w:space="0" w:color="000000"/>
            </w:tcBorders>
            <w:shd w:val="clear" w:color="auto" w:fill="FFFFFF"/>
          </w:tcPr>
          <w:p>
            <w:pPr>
              <w:pStyle w:val="TableParagraph"/>
              <w:spacing w:before="37"/>
              <w:ind w:right="113"/>
              <w:jc w:val="right"/>
              <w:rPr>
                <w:sz w:val="19"/>
              </w:rPr>
            </w:pPr>
            <w:r>
              <w:rPr>
                <w:w w:val="111"/>
                <w:sz w:val="19"/>
              </w:rPr>
              <w:t>-</w:t>
            </w:r>
          </w:p>
          <w:p>
            <w:pPr>
              <w:pStyle w:val="TableParagraph"/>
              <w:spacing w:before="87"/>
              <w:ind w:right="113"/>
              <w:jc w:val="right"/>
              <w:rPr>
                <w:sz w:val="19"/>
              </w:rPr>
            </w:pPr>
            <w:r>
              <w:rPr>
                <w:w w:val="90"/>
                <w:sz w:val="19"/>
              </w:rPr>
              <w:t>(497)</w:t>
            </w:r>
          </w:p>
        </w:tc>
        <w:tc>
          <w:tcPr>
            <w:tcW w:w="1219" w:type="dxa"/>
            <w:tcBorders>
              <w:bottom w:val="single" w:sz="4" w:space="0" w:color="000000"/>
            </w:tcBorders>
            <w:shd w:val="clear" w:color="auto" w:fill="FFFFFF"/>
          </w:tcPr>
          <w:p>
            <w:pPr>
              <w:pStyle w:val="TableParagraph"/>
              <w:spacing w:before="37"/>
              <w:ind w:right="113"/>
              <w:jc w:val="right"/>
              <w:rPr>
                <w:sz w:val="19"/>
              </w:rPr>
            </w:pPr>
            <w:r>
              <w:rPr>
                <w:w w:val="111"/>
                <w:sz w:val="19"/>
              </w:rPr>
              <w:t>-</w:t>
            </w:r>
          </w:p>
          <w:p>
            <w:pPr>
              <w:pStyle w:val="TableParagraph"/>
              <w:spacing w:before="87"/>
              <w:ind w:right="113"/>
              <w:jc w:val="right"/>
              <w:rPr>
                <w:sz w:val="19"/>
              </w:rPr>
            </w:pPr>
            <w:r>
              <w:rPr>
                <w:w w:val="95"/>
                <w:sz w:val="19"/>
              </w:rPr>
              <w:t>(12,540)</w:t>
            </w:r>
          </w:p>
        </w:tc>
        <w:tc>
          <w:tcPr>
            <w:tcW w:w="1219" w:type="dxa"/>
            <w:tcBorders>
              <w:bottom w:val="single" w:sz="4" w:space="0" w:color="000000"/>
            </w:tcBorders>
            <w:shd w:val="clear" w:color="auto" w:fill="FFFFFF"/>
          </w:tcPr>
          <w:p>
            <w:pPr>
              <w:pStyle w:val="TableParagraph"/>
              <w:spacing w:before="37"/>
              <w:ind w:right="113"/>
              <w:jc w:val="right"/>
              <w:rPr>
                <w:sz w:val="19"/>
              </w:rPr>
            </w:pPr>
            <w:r>
              <w:rPr>
                <w:w w:val="111"/>
                <w:sz w:val="19"/>
              </w:rPr>
              <w:t>-</w:t>
            </w:r>
          </w:p>
          <w:p>
            <w:pPr>
              <w:pStyle w:val="TableParagraph"/>
              <w:spacing w:before="87"/>
              <w:ind w:right="113"/>
              <w:jc w:val="right"/>
              <w:rPr>
                <w:sz w:val="19"/>
              </w:rPr>
            </w:pPr>
            <w:r>
              <w:rPr>
                <w:w w:val="95"/>
                <w:sz w:val="19"/>
              </w:rPr>
              <w:t>(41,622)</w:t>
            </w:r>
          </w:p>
        </w:tc>
        <w:tc>
          <w:tcPr>
            <w:tcW w:w="1219" w:type="dxa"/>
            <w:tcBorders>
              <w:bottom w:val="single" w:sz="4" w:space="0" w:color="000000"/>
            </w:tcBorders>
            <w:shd w:val="clear" w:color="auto" w:fill="FFFFFF"/>
          </w:tcPr>
          <w:p>
            <w:pPr>
              <w:pStyle w:val="TableParagraph"/>
              <w:spacing w:before="37"/>
              <w:ind w:right="113"/>
              <w:jc w:val="right"/>
              <w:rPr>
                <w:sz w:val="19"/>
              </w:rPr>
            </w:pPr>
            <w:r>
              <w:rPr>
                <w:w w:val="111"/>
                <w:sz w:val="19"/>
              </w:rPr>
              <w:t>-</w:t>
            </w:r>
          </w:p>
        </w:tc>
        <w:tc>
          <w:tcPr>
            <w:tcW w:w="1219" w:type="dxa"/>
            <w:vMerge/>
            <w:tcBorders>
              <w:top w:val="nil"/>
              <w:bottom w:val="single" w:sz="4" w:space="0" w:color="000000"/>
            </w:tcBorders>
            <w:shd w:val="clear" w:color="auto" w:fill="E1E4BB"/>
          </w:tcPr>
          <w:p>
            <w:pPr>
              <w:rPr>
                <w:sz w:val="2"/>
                <w:szCs w:val="2"/>
              </w:rPr>
            </w:pPr>
          </w:p>
        </w:tc>
      </w:tr>
      <w:tr>
        <w:trPr>
          <w:trHeight w:val="265" w:hRule="atLeast"/>
        </w:trPr>
        <w:tc>
          <w:tcPr>
            <w:tcW w:w="3997" w:type="dxa"/>
            <w:tcBorders>
              <w:top w:val="single" w:sz="8" w:space="0" w:color="FFFFFF"/>
              <w:right w:val="single" w:sz="8" w:space="0" w:color="FFFFFF"/>
            </w:tcBorders>
            <w:shd w:val="clear" w:color="auto" w:fill="F4F4F4"/>
          </w:tcPr>
          <w:p>
            <w:pPr>
              <w:pStyle w:val="TableParagraph"/>
              <w:spacing w:line="213" w:lineRule="exact"/>
              <w:ind w:left="112"/>
              <w:rPr>
                <w:b/>
                <w:sz w:val="19"/>
              </w:rPr>
            </w:pPr>
            <w:r>
              <w:rPr>
                <w:b/>
                <w:sz w:val="19"/>
              </w:rPr>
              <w:t>Carrying amount at end of period</w:t>
            </w:r>
          </w:p>
        </w:tc>
        <w:tc>
          <w:tcPr>
            <w:tcW w:w="1219"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spacing w:line="213" w:lineRule="exact"/>
              <w:ind w:right="102"/>
              <w:jc w:val="right"/>
              <w:rPr>
                <w:b/>
                <w:sz w:val="19"/>
              </w:rPr>
            </w:pPr>
            <w:r>
              <w:rPr>
                <w:b/>
                <w:w w:val="95"/>
                <w:sz w:val="19"/>
              </w:rPr>
              <w:t>140,410</w:t>
            </w:r>
          </w:p>
        </w:tc>
        <w:tc>
          <w:tcPr>
            <w:tcW w:w="1219"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spacing w:line="213" w:lineRule="exact"/>
              <w:ind w:right="103"/>
              <w:jc w:val="right"/>
              <w:rPr>
                <w:b/>
                <w:sz w:val="19"/>
              </w:rPr>
            </w:pPr>
            <w:r>
              <w:rPr>
                <w:b/>
                <w:w w:val="95"/>
                <w:sz w:val="19"/>
              </w:rPr>
              <w:t>138,072</w:t>
            </w:r>
          </w:p>
        </w:tc>
        <w:tc>
          <w:tcPr>
            <w:tcW w:w="1531"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spacing w:line="213" w:lineRule="exact"/>
              <w:ind w:right="103"/>
              <w:jc w:val="right"/>
              <w:rPr>
                <w:b/>
                <w:sz w:val="19"/>
              </w:rPr>
            </w:pPr>
            <w:r>
              <w:rPr>
                <w:b/>
                <w:w w:val="95"/>
                <w:sz w:val="19"/>
              </w:rPr>
              <w:t>77,782</w:t>
            </w:r>
          </w:p>
        </w:tc>
        <w:tc>
          <w:tcPr>
            <w:tcW w:w="1219"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spacing w:line="213" w:lineRule="exact"/>
              <w:ind w:right="103"/>
              <w:jc w:val="right"/>
              <w:rPr>
                <w:b/>
                <w:sz w:val="19"/>
              </w:rPr>
            </w:pPr>
            <w:r>
              <w:rPr>
                <w:b/>
                <w:w w:val="95"/>
                <w:sz w:val="19"/>
              </w:rPr>
              <w:t>171</w:t>
            </w:r>
          </w:p>
        </w:tc>
        <w:tc>
          <w:tcPr>
            <w:tcW w:w="1219"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spacing w:line="213" w:lineRule="exact"/>
              <w:ind w:right="103"/>
              <w:jc w:val="right"/>
              <w:rPr>
                <w:b/>
                <w:sz w:val="19"/>
              </w:rPr>
            </w:pPr>
            <w:r>
              <w:rPr>
                <w:b/>
                <w:w w:val="95"/>
                <w:sz w:val="19"/>
              </w:rPr>
              <w:t>752</w:t>
            </w:r>
          </w:p>
        </w:tc>
        <w:tc>
          <w:tcPr>
            <w:tcW w:w="1219"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spacing w:line="213" w:lineRule="exact"/>
              <w:ind w:right="103"/>
              <w:jc w:val="right"/>
              <w:rPr>
                <w:b/>
                <w:sz w:val="19"/>
              </w:rPr>
            </w:pPr>
            <w:r>
              <w:rPr>
                <w:b/>
                <w:w w:val="95"/>
                <w:sz w:val="19"/>
              </w:rPr>
              <w:t>114,941</w:t>
            </w:r>
          </w:p>
        </w:tc>
        <w:tc>
          <w:tcPr>
            <w:tcW w:w="1219"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spacing w:line="213" w:lineRule="exact"/>
              <w:ind w:right="104"/>
              <w:jc w:val="right"/>
              <w:rPr>
                <w:b/>
                <w:sz w:val="19"/>
              </w:rPr>
            </w:pPr>
            <w:r>
              <w:rPr>
                <w:b/>
                <w:w w:val="95"/>
                <w:sz w:val="19"/>
              </w:rPr>
              <w:t>233,358</w:t>
            </w:r>
          </w:p>
        </w:tc>
        <w:tc>
          <w:tcPr>
            <w:tcW w:w="1219" w:type="dxa"/>
            <w:tcBorders>
              <w:top w:val="single" w:sz="4" w:space="0" w:color="000000"/>
              <w:left w:val="single" w:sz="8" w:space="0" w:color="FFFFFF"/>
              <w:bottom w:val="single" w:sz="24" w:space="0" w:color="FFFFFF"/>
            </w:tcBorders>
            <w:shd w:val="clear" w:color="auto" w:fill="F4F4F4"/>
          </w:tcPr>
          <w:p>
            <w:pPr>
              <w:pStyle w:val="TableParagraph"/>
              <w:spacing w:line="213" w:lineRule="exact"/>
              <w:ind w:right="114"/>
              <w:jc w:val="right"/>
              <w:rPr>
                <w:b/>
                <w:sz w:val="19"/>
              </w:rPr>
            </w:pPr>
            <w:r>
              <w:rPr>
                <w:b/>
                <w:w w:val="95"/>
                <w:sz w:val="19"/>
              </w:rPr>
              <w:t>14,888</w:t>
            </w:r>
          </w:p>
        </w:tc>
        <w:tc>
          <w:tcPr>
            <w:tcW w:w="1219" w:type="dxa"/>
            <w:tcBorders>
              <w:top w:val="single" w:sz="4" w:space="0" w:color="000000"/>
              <w:bottom w:val="single" w:sz="24" w:space="0" w:color="FFFFFF"/>
            </w:tcBorders>
            <w:shd w:val="clear" w:color="auto" w:fill="DFE1B8"/>
          </w:tcPr>
          <w:p>
            <w:pPr>
              <w:pStyle w:val="TableParagraph"/>
              <w:spacing w:line="213" w:lineRule="exact"/>
              <w:ind w:left="415"/>
              <w:rPr>
                <w:b/>
                <w:sz w:val="19"/>
              </w:rPr>
            </w:pPr>
            <w:r>
              <w:rPr>
                <w:b/>
                <w:sz w:val="19"/>
              </w:rPr>
              <w:t>720,374</w:t>
            </w:r>
          </w:p>
        </w:tc>
      </w:tr>
    </w:tbl>
    <w:p>
      <w:pPr>
        <w:pStyle w:val="BodyText"/>
        <w:spacing w:before="11"/>
        <w:rPr>
          <w:sz w:val="23"/>
        </w:rPr>
      </w:pPr>
    </w:p>
    <w:tbl>
      <w:tblPr>
        <w:tblW w:w="0" w:type="auto"/>
        <w:jc w:val="left"/>
        <w:tblInd w:w="7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997"/>
        <w:gridCol w:w="1219"/>
        <w:gridCol w:w="1219"/>
        <w:gridCol w:w="1531"/>
        <w:gridCol w:w="1219"/>
        <w:gridCol w:w="1219"/>
        <w:gridCol w:w="1219"/>
        <w:gridCol w:w="1219"/>
        <w:gridCol w:w="1219"/>
        <w:gridCol w:w="1219"/>
      </w:tblGrid>
      <w:tr>
        <w:trPr>
          <w:trHeight w:val="305" w:hRule="atLeast"/>
        </w:trPr>
        <w:tc>
          <w:tcPr>
            <w:tcW w:w="3997" w:type="dxa"/>
            <w:tcBorders>
              <w:top w:val="nil"/>
              <w:left w:val="nil"/>
              <w:bottom w:val="nil"/>
              <w:right w:val="nil"/>
            </w:tcBorders>
            <w:shd w:val="clear" w:color="auto" w:fill="783A79"/>
          </w:tcPr>
          <w:p>
            <w:pPr>
              <w:pStyle w:val="TableParagraph"/>
              <w:spacing w:before="42"/>
              <w:ind w:left="111"/>
              <w:rPr>
                <w:b/>
                <w:sz w:val="19"/>
              </w:rPr>
            </w:pPr>
            <w:r>
              <w:rPr>
                <w:b/>
                <w:color w:val="FFFFFF"/>
                <w:sz w:val="19"/>
              </w:rPr>
              <w:t>2016</w:t>
            </w:r>
          </w:p>
        </w:tc>
        <w:tc>
          <w:tcPr>
            <w:tcW w:w="1219" w:type="dxa"/>
            <w:tcBorders>
              <w:top w:val="nil"/>
              <w:left w:val="nil"/>
              <w:bottom w:val="nil"/>
              <w:right w:val="nil"/>
            </w:tcBorders>
            <w:shd w:val="clear" w:color="auto" w:fill="783A79"/>
          </w:tcPr>
          <w:p>
            <w:pPr>
              <w:pStyle w:val="TableParagraph"/>
              <w:spacing w:before="42"/>
              <w:ind w:right="113"/>
              <w:jc w:val="right"/>
              <w:rPr>
                <w:b/>
                <w:sz w:val="19"/>
              </w:rPr>
            </w:pPr>
            <w:r>
              <w:rPr>
                <w:b/>
                <w:color w:val="FFFFFF"/>
                <w:w w:val="95"/>
                <w:sz w:val="19"/>
              </w:rPr>
              <w:t>$000</w:t>
            </w:r>
          </w:p>
        </w:tc>
        <w:tc>
          <w:tcPr>
            <w:tcW w:w="1219" w:type="dxa"/>
            <w:tcBorders>
              <w:top w:val="nil"/>
              <w:left w:val="nil"/>
              <w:bottom w:val="nil"/>
              <w:right w:val="nil"/>
            </w:tcBorders>
            <w:shd w:val="clear" w:color="auto" w:fill="783A79"/>
          </w:tcPr>
          <w:p>
            <w:pPr>
              <w:pStyle w:val="TableParagraph"/>
              <w:spacing w:before="42"/>
              <w:ind w:right="113"/>
              <w:jc w:val="right"/>
              <w:rPr>
                <w:b/>
                <w:sz w:val="19"/>
              </w:rPr>
            </w:pPr>
            <w:r>
              <w:rPr>
                <w:b/>
                <w:color w:val="FFFFFF"/>
                <w:w w:val="95"/>
                <w:sz w:val="19"/>
              </w:rPr>
              <w:t>$000</w:t>
            </w:r>
          </w:p>
        </w:tc>
        <w:tc>
          <w:tcPr>
            <w:tcW w:w="1531" w:type="dxa"/>
            <w:tcBorders>
              <w:top w:val="nil"/>
              <w:left w:val="nil"/>
              <w:bottom w:val="nil"/>
              <w:right w:val="nil"/>
            </w:tcBorders>
            <w:shd w:val="clear" w:color="auto" w:fill="783A79"/>
          </w:tcPr>
          <w:p>
            <w:pPr>
              <w:pStyle w:val="TableParagraph"/>
              <w:spacing w:before="42"/>
              <w:ind w:right="113"/>
              <w:jc w:val="right"/>
              <w:rPr>
                <w:b/>
                <w:sz w:val="19"/>
              </w:rPr>
            </w:pPr>
            <w:r>
              <w:rPr>
                <w:b/>
                <w:color w:val="FFFFFF"/>
                <w:w w:val="95"/>
                <w:sz w:val="19"/>
              </w:rPr>
              <w:t>$000</w:t>
            </w:r>
          </w:p>
        </w:tc>
        <w:tc>
          <w:tcPr>
            <w:tcW w:w="1219" w:type="dxa"/>
            <w:tcBorders>
              <w:top w:val="nil"/>
              <w:left w:val="nil"/>
              <w:bottom w:val="nil"/>
              <w:right w:val="nil"/>
            </w:tcBorders>
            <w:shd w:val="clear" w:color="auto" w:fill="783A79"/>
          </w:tcPr>
          <w:p>
            <w:pPr>
              <w:pStyle w:val="TableParagraph"/>
              <w:spacing w:before="42"/>
              <w:ind w:right="114"/>
              <w:jc w:val="right"/>
              <w:rPr>
                <w:b/>
                <w:sz w:val="19"/>
              </w:rPr>
            </w:pPr>
            <w:r>
              <w:rPr>
                <w:b/>
                <w:color w:val="FFFFFF"/>
                <w:w w:val="95"/>
                <w:sz w:val="19"/>
              </w:rPr>
              <w:t>$000</w:t>
            </w:r>
          </w:p>
        </w:tc>
        <w:tc>
          <w:tcPr>
            <w:tcW w:w="1219" w:type="dxa"/>
            <w:tcBorders>
              <w:top w:val="nil"/>
              <w:left w:val="nil"/>
              <w:bottom w:val="nil"/>
              <w:right w:val="nil"/>
            </w:tcBorders>
            <w:shd w:val="clear" w:color="auto" w:fill="783A79"/>
          </w:tcPr>
          <w:p>
            <w:pPr>
              <w:pStyle w:val="TableParagraph"/>
              <w:spacing w:before="42"/>
              <w:ind w:right="114"/>
              <w:jc w:val="right"/>
              <w:rPr>
                <w:b/>
                <w:sz w:val="19"/>
              </w:rPr>
            </w:pPr>
            <w:r>
              <w:rPr>
                <w:b/>
                <w:color w:val="FFFFFF"/>
                <w:w w:val="95"/>
                <w:sz w:val="19"/>
              </w:rPr>
              <w:t>$000</w:t>
            </w:r>
          </w:p>
        </w:tc>
        <w:tc>
          <w:tcPr>
            <w:tcW w:w="1219" w:type="dxa"/>
            <w:tcBorders>
              <w:top w:val="nil"/>
              <w:left w:val="nil"/>
              <w:bottom w:val="nil"/>
              <w:right w:val="nil"/>
            </w:tcBorders>
            <w:shd w:val="clear" w:color="auto" w:fill="783A79"/>
          </w:tcPr>
          <w:p>
            <w:pPr>
              <w:pStyle w:val="TableParagraph"/>
              <w:spacing w:before="42"/>
              <w:ind w:right="114"/>
              <w:jc w:val="right"/>
              <w:rPr>
                <w:b/>
                <w:sz w:val="19"/>
              </w:rPr>
            </w:pPr>
            <w:r>
              <w:rPr>
                <w:b/>
                <w:color w:val="FFFFFF"/>
                <w:w w:val="95"/>
                <w:sz w:val="19"/>
              </w:rPr>
              <w:t>$000</w:t>
            </w:r>
          </w:p>
        </w:tc>
        <w:tc>
          <w:tcPr>
            <w:tcW w:w="1219" w:type="dxa"/>
            <w:tcBorders>
              <w:top w:val="nil"/>
              <w:left w:val="nil"/>
              <w:bottom w:val="nil"/>
              <w:right w:val="nil"/>
            </w:tcBorders>
            <w:shd w:val="clear" w:color="auto" w:fill="783A79"/>
          </w:tcPr>
          <w:p>
            <w:pPr>
              <w:pStyle w:val="TableParagraph"/>
              <w:spacing w:before="42"/>
              <w:ind w:right="114"/>
              <w:jc w:val="right"/>
              <w:rPr>
                <w:b/>
                <w:sz w:val="19"/>
              </w:rPr>
            </w:pPr>
            <w:r>
              <w:rPr>
                <w:b/>
                <w:color w:val="FFFFFF"/>
                <w:w w:val="95"/>
                <w:sz w:val="19"/>
              </w:rPr>
              <w:t>$000</w:t>
            </w:r>
          </w:p>
        </w:tc>
        <w:tc>
          <w:tcPr>
            <w:tcW w:w="2438" w:type="dxa"/>
            <w:gridSpan w:val="2"/>
            <w:tcBorders>
              <w:top w:val="nil"/>
              <w:left w:val="nil"/>
              <w:bottom w:val="nil"/>
              <w:right w:val="nil"/>
            </w:tcBorders>
            <w:shd w:val="clear" w:color="auto" w:fill="783A79"/>
          </w:tcPr>
          <w:p>
            <w:pPr>
              <w:pStyle w:val="TableParagraph"/>
              <w:spacing w:before="42"/>
              <w:ind w:left="679"/>
              <w:rPr>
                <w:b/>
                <w:sz w:val="19"/>
              </w:rPr>
            </w:pPr>
            <w:r>
              <w:rPr>
                <w:b/>
                <w:color w:val="FFFFFF"/>
                <w:sz w:val="19"/>
              </w:rPr>
              <w:t>$000</w:t>
            </w:r>
          </w:p>
        </w:tc>
      </w:tr>
      <w:tr>
        <w:trPr>
          <w:trHeight w:val="301" w:hRule="atLeast"/>
        </w:trPr>
        <w:tc>
          <w:tcPr>
            <w:tcW w:w="3997" w:type="dxa"/>
            <w:tcBorders>
              <w:top w:val="nil"/>
              <w:left w:val="nil"/>
              <w:bottom w:val="nil"/>
            </w:tcBorders>
            <w:shd w:val="clear" w:color="auto" w:fill="FAF9F9"/>
          </w:tcPr>
          <w:p>
            <w:pPr>
              <w:pStyle w:val="TableParagraph"/>
              <w:spacing w:before="42"/>
              <w:ind w:left="111"/>
              <w:rPr>
                <w:sz w:val="19"/>
              </w:rPr>
            </w:pPr>
            <w:r>
              <w:rPr>
                <w:sz w:val="19"/>
              </w:rPr>
              <w:t>Carrying amount at start of period</w:t>
            </w:r>
          </w:p>
        </w:tc>
        <w:tc>
          <w:tcPr>
            <w:tcW w:w="1219" w:type="dxa"/>
            <w:tcBorders>
              <w:top w:val="nil"/>
              <w:bottom w:val="nil"/>
            </w:tcBorders>
            <w:shd w:val="clear" w:color="auto" w:fill="FAF9F9"/>
          </w:tcPr>
          <w:p>
            <w:pPr>
              <w:pStyle w:val="TableParagraph"/>
              <w:spacing w:before="42"/>
              <w:ind w:right="103"/>
              <w:jc w:val="right"/>
              <w:rPr>
                <w:sz w:val="19"/>
              </w:rPr>
            </w:pPr>
            <w:r>
              <w:rPr>
                <w:w w:val="95"/>
                <w:sz w:val="19"/>
              </w:rPr>
              <w:t>174,665</w:t>
            </w:r>
          </w:p>
        </w:tc>
        <w:tc>
          <w:tcPr>
            <w:tcW w:w="1219" w:type="dxa"/>
            <w:tcBorders>
              <w:top w:val="nil"/>
              <w:bottom w:val="nil"/>
            </w:tcBorders>
            <w:shd w:val="clear" w:color="auto" w:fill="FAF9F9"/>
          </w:tcPr>
          <w:p>
            <w:pPr>
              <w:pStyle w:val="TableParagraph"/>
              <w:spacing w:before="42"/>
              <w:ind w:right="103"/>
              <w:jc w:val="right"/>
              <w:rPr>
                <w:sz w:val="19"/>
              </w:rPr>
            </w:pPr>
            <w:r>
              <w:rPr>
                <w:w w:val="95"/>
                <w:sz w:val="19"/>
              </w:rPr>
              <w:t>242,798</w:t>
            </w:r>
          </w:p>
        </w:tc>
        <w:tc>
          <w:tcPr>
            <w:tcW w:w="1531" w:type="dxa"/>
            <w:tcBorders>
              <w:top w:val="nil"/>
              <w:bottom w:val="nil"/>
            </w:tcBorders>
            <w:shd w:val="clear" w:color="auto" w:fill="FAF9F9"/>
          </w:tcPr>
          <w:p>
            <w:pPr>
              <w:pStyle w:val="TableParagraph"/>
              <w:spacing w:before="42"/>
              <w:ind w:right="104"/>
              <w:jc w:val="right"/>
              <w:rPr>
                <w:sz w:val="19"/>
              </w:rPr>
            </w:pPr>
            <w:r>
              <w:rPr>
                <w:w w:val="95"/>
                <w:sz w:val="19"/>
              </w:rPr>
              <w:t>27,593</w:t>
            </w:r>
          </w:p>
        </w:tc>
        <w:tc>
          <w:tcPr>
            <w:tcW w:w="1219" w:type="dxa"/>
            <w:tcBorders>
              <w:top w:val="nil"/>
              <w:bottom w:val="nil"/>
            </w:tcBorders>
            <w:shd w:val="clear" w:color="auto" w:fill="FAF9F9"/>
          </w:tcPr>
          <w:p>
            <w:pPr>
              <w:pStyle w:val="TableParagraph"/>
              <w:spacing w:before="42"/>
              <w:ind w:right="104"/>
              <w:jc w:val="right"/>
              <w:rPr>
                <w:sz w:val="19"/>
              </w:rPr>
            </w:pPr>
            <w:r>
              <w:rPr>
                <w:w w:val="95"/>
                <w:sz w:val="19"/>
              </w:rPr>
              <w:t>129</w:t>
            </w:r>
          </w:p>
        </w:tc>
        <w:tc>
          <w:tcPr>
            <w:tcW w:w="1219" w:type="dxa"/>
            <w:tcBorders>
              <w:top w:val="nil"/>
              <w:bottom w:val="nil"/>
            </w:tcBorders>
            <w:shd w:val="clear" w:color="auto" w:fill="FAF9F9"/>
          </w:tcPr>
          <w:p>
            <w:pPr>
              <w:pStyle w:val="TableParagraph"/>
              <w:spacing w:before="42"/>
              <w:ind w:right="104"/>
              <w:jc w:val="right"/>
              <w:rPr>
                <w:sz w:val="19"/>
              </w:rPr>
            </w:pPr>
            <w:r>
              <w:rPr>
                <w:w w:val="95"/>
                <w:sz w:val="19"/>
              </w:rPr>
              <w:t>1,384</w:t>
            </w:r>
          </w:p>
        </w:tc>
        <w:tc>
          <w:tcPr>
            <w:tcW w:w="1219" w:type="dxa"/>
            <w:tcBorders>
              <w:top w:val="nil"/>
              <w:bottom w:val="nil"/>
            </w:tcBorders>
            <w:shd w:val="clear" w:color="auto" w:fill="FAF9F9"/>
          </w:tcPr>
          <w:p>
            <w:pPr>
              <w:pStyle w:val="TableParagraph"/>
              <w:spacing w:before="42"/>
              <w:ind w:right="104"/>
              <w:jc w:val="right"/>
              <w:rPr>
                <w:sz w:val="19"/>
              </w:rPr>
            </w:pPr>
            <w:r>
              <w:rPr>
                <w:w w:val="95"/>
                <w:sz w:val="19"/>
              </w:rPr>
              <w:t>74,764</w:t>
            </w:r>
          </w:p>
        </w:tc>
        <w:tc>
          <w:tcPr>
            <w:tcW w:w="1219" w:type="dxa"/>
            <w:tcBorders>
              <w:top w:val="nil"/>
              <w:bottom w:val="nil"/>
            </w:tcBorders>
            <w:shd w:val="clear" w:color="auto" w:fill="FAF9F9"/>
          </w:tcPr>
          <w:p>
            <w:pPr>
              <w:pStyle w:val="TableParagraph"/>
              <w:spacing w:before="42"/>
              <w:ind w:right="104"/>
              <w:jc w:val="right"/>
              <w:rPr>
                <w:sz w:val="19"/>
              </w:rPr>
            </w:pPr>
            <w:r>
              <w:rPr>
                <w:w w:val="95"/>
                <w:sz w:val="19"/>
              </w:rPr>
              <w:t>258,114</w:t>
            </w:r>
          </w:p>
        </w:tc>
        <w:tc>
          <w:tcPr>
            <w:tcW w:w="1219" w:type="dxa"/>
            <w:tcBorders>
              <w:top w:val="nil"/>
              <w:bottom w:val="nil"/>
              <w:right w:val="nil"/>
            </w:tcBorders>
            <w:shd w:val="clear" w:color="auto" w:fill="FAF9F9"/>
          </w:tcPr>
          <w:p>
            <w:pPr>
              <w:pStyle w:val="TableParagraph"/>
              <w:spacing w:before="42"/>
              <w:ind w:right="116"/>
              <w:jc w:val="right"/>
              <w:rPr>
                <w:sz w:val="19"/>
              </w:rPr>
            </w:pPr>
            <w:r>
              <w:rPr>
                <w:w w:val="95"/>
                <w:sz w:val="19"/>
              </w:rPr>
              <w:t>25,254</w:t>
            </w:r>
          </w:p>
        </w:tc>
        <w:tc>
          <w:tcPr>
            <w:tcW w:w="1219" w:type="dxa"/>
            <w:tcBorders>
              <w:top w:val="nil"/>
              <w:left w:val="nil"/>
              <w:bottom w:val="nil"/>
              <w:right w:val="nil"/>
            </w:tcBorders>
            <w:shd w:val="clear" w:color="auto" w:fill="E1E4BB"/>
          </w:tcPr>
          <w:p>
            <w:pPr>
              <w:pStyle w:val="TableParagraph"/>
              <w:spacing w:before="42"/>
              <w:ind w:right="115"/>
              <w:jc w:val="right"/>
              <w:rPr>
                <w:b/>
                <w:sz w:val="19"/>
              </w:rPr>
            </w:pPr>
            <w:r>
              <w:rPr>
                <w:b/>
                <w:w w:val="95"/>
                <w:sz w:val="19"/>
              </w:rPr>
              <w:t>804,702</w:t>
            </w:r>
          </w:p>
        </w:tc>
      </w:tr>
      <w:tr>
        <w:trPr>
          <w:trHeight w:val="300" w:hRule="atLeast"/>
        </w:trPr>
        <w:tc>
          <w:tcPr>
            <w:tcW w:w="3997" w:type="dxa"/>
            <w:tcBorders>
              <w:top w:val="nil"/>
              <w:left w:val="nil"/>
            </w:tcBorders>
            <w:shd w:val="clear" w:color="auto" w:fill="FAF9F9"/>
          </w:tcPr>
          <w:p>
            <w:pPr>
              <w:pStyle w:val="TableParagraph"/>
              <w:spacing w:before="46"/>
              <w:ind w:left="110"/>
              <w:rPr>
                <w:sz w:val="19"/>
              </w:rPr>
            </w:pPr>
            <w:r>
              <w:rPr>
                <w:sz w:val="19"/>
              </w:rPr>
              <w:t>Additions</w:t>
            </w:r>
          </w:p>
        </w:tc>
        <w:tc>
          <w:tcPr>
            <w:tcW w:w="1219" w:type="dxa"/>
            <w:tcBorders>
              <w:top w:val="nil"/>
            </w:tcBorders>
            <w:shd w:val="clear" w:color="auto" w:fill="FAF9F9"/>
          </w:tcPr>
          <w:p>
            <w:pPr>
              <w:pStyle w:val="TableParagraph"/>
              <w:spacing w:before="46"/>
              <w:ind w:right="104"/>
              <w:jc w:val="right"/>
              <w:rPr>
                <w:sz w:val="19"/>
              </w:rPr>
            </w:pPr>
            <w:r>
              <w:rPr>
                <w:w w:val="111"/>
                <w:sz w:val="19"/>
              </w:rPr>
              <w:t>-</w:t>
            </w:r>
          </w:p>
        </w:tc>
        <w:tc>
          <w:tcPr>
            <w:tcW w:w="1219" w:type="dxa"/>
            <w:tcBorders>
              <w:top w:val="nil"/>
            </w:tcBorders>
            <w:shd w:val="clear" w:color="auto" w:fill="FAF9F9"/>
          </w:tcPr>
          <w:p>
            <w:pPr>
              <w:pStyle w:val="TableParagraph"/>
              <w:spacing w:before="46"/>
              <w:ind w:right="104"/>
              <w:jc w:val="right"/>
              <w:rPr>
                <w:sz w:val="19"/>
              </w:rPr>
            </w:pPr>
            <w:r>
              <w:rPr>
                <w:w w:val="111"/>
                <w:sz w:val="19"/>
              </w:rPr>
              <w:t>-</w:t>
            </w:r>
          </w:p>
        </w:tc>
        <w:tc>
          <w:tcPr>
            <w:tcW w:w="1531" w:type="dxa"/>
            <w:tcBorders>
              <w:top w:val="nil"/>
            </w:tcBorders>
            <w:shd w:val="clear" w:color="auto" w:fill="FAF9F9"/>
          </w:tcPr>
          <w:p>
            <w:pPr>
              <w:pStyle w:val="TableParagraph"/>
              <w:spacing w:before="46"/>
              <w:ind w:right="104"/>
              <w:jc w:val="right"/>
              <w:rPr>
                <w:sz w:val="19"/>
              </w:rPr>
            </w:pPr>
            <w:r>
              <w:rPr>
                <w:w w:val="111"/>
                <w:sz w:val="19"/>
              </w:rPr>
              <w:t>-</w:t>
            </w:r>
          </w:p>
        </w:tc>
        <w:tc>
          <w:tcPr>
            <w:tcW w:w="1219" w:type="dxa"/>
            <w:tcBorders>
              <w:top w:val="nil"/>
            </w:tcBorders>
            <w:shd w:val="clear" w:color="auto" w:fill="FAF9F9"/>
          </w:tcPr>
          <w:p>
            <w:pPr>
              <w:pStyle w:val="TableParagraph"/>
              <w:spacing w:before="46"/>
              <w:ind w:right="104"/>
              <w:jc w:val="right"/>
              <w:rPr>
                <w:sz w:val="19"/>
              </w:rPr>
            </w:pPr>
            <w:r>
              <w:rPr>
                <w:w w:val="95"/>
                <w:sz w:val="19"/>
              </w:rPr>
              <w:t>48</w:t>
            </w:r>
          </w:p>
        </w:tc>
        <w:tc>
          <w:tcPr>
            <w:tcW w:w="1219" w:type="dxa"/>
            <w:tcBorders>
              <w:top w:val="nil"/>
            </w:tcBorders>
            <w:shd w:val="clear" w:color="auto" w:fill="FAF9F9"/>
          </w:tcPr>
          <w:p>
            <w:pPr>
              <w:pStyle w:val="TableParagraph"/>
              <w:spacing w:before="46"/>
              <w:ind w:right="104"/>
              <w:jc w:val="right"/>
              <w:rPr>
                <w:sz w:val="19"/>
              </w:rPr>
            </w:pPr>
            <w:r>
              <w:rPr>
                <w:w w:val="95"/>
                <w:sz w:val="19"/>
              </w:rPr>
              <w:t>626</w:t>
            </w:r>
          </w:p>
        </w:tc>
        <w:tc>
          <w:tcPr>
            <w:tcW w:w="1219" w:type="dxa"/>
            <w:tcBorders>
              <w:top w:val="nil"/>
            </w:tcBorders>
            <w:shd w:val="clear" w:color="auto" w:fill="FAF9F9"/>
          </w:tcPr>
          <w:p>
            <w:pPr>
              <w:pStyle w:val="TableParagraph"/>
              <w:spacing w:before="46"/>
              <w:ind w:right="105"/>
              <w:jc w:val="right"/>
              <w:rPr>
                <w:sz w:val="19"/>
              </w:rPr>
            </w:pPr>
            <w:r>
              <w:rPr>
                <w:w w:val="111"/>
                <w:sz w:val="19"/>
              </w:rPr>
              <w:t>-</w:t>
            </w:r>
          </w:p>
        </w:tc>
        <w:tc>
          <w:tcPr>
            <w:tcW w:w="1219" w:type="dxa"/>
            <w:tcBorders>
              <w:top w:val="nil"/>
            </w:tcBorders>
            <w:shd w:val="clear" w:color="auto" w:fill="FAF9F9"/>
          </w:tcPr>
          <w:p>
            <w:pPr>
              <w:pStyle w:val="TableParagraph"/>
              <w:spacing w:before="46"/>
              <w:ind w:right="105"/>
              <w:jc w:val="right"/>
              <w:rPr>
                <w:sz w:val="19"/>
              </w:rPr>
            </w:pPr>
            <w:r>
              <w:rPr>
                <w:w w:val="95"/>
                <w:sz w:val="19"/>
              </w:rPr>
              <w:t>88,959</w:t>
            </w:r>
          </w:p>
        </w:tc>
        <w:tc>
          <w:tcPr>
            <w:tcW w:w="1219" w:type="dxa"/>
            <w:tcBorders>
              <w:top w:val="nil"/>
              <w:right w:val="nil"/>
            </w:tcBorders>
            <w:shd w:val="clear" w:color="auto" w:fill="FAF9F9"/>
          </w:tcPr>
          <w:p>
            <w:pPr>
              <w:pStyle w:val="TableParagraph"/>
              <w:spacing w:before="46"/>
              <w:ind w:right="115"/>
              <w:jc w:val="right"/>
              <w:rPr>
                <w:sz w:val="19"/>
              </w:rPr>
            </w:pPr>
            <w:r>
              <w:rPr>
                <w:w w:val="95"/>
                <w:sz w:val="19"/>
              </w:rPr>
              <w:t>107,406</w:t>
            </w:r>
          </w:p>
        </w:tc>
        <w:tc>
          <w:tcPr>
            <w:tcW w:w="1219" w:type="dxa"/>
            <w:tcBorders>
              <w:top w:val="nil"/>
              <w:left w:val="nil"/>
              <w:bottom w:val="nil"/>
              <w:right w:val="nil"/>
            </w:tcBorders>
            <w:shd w:val="clear" w:color="auto" w:fill="E1E4BB"/>
          </w:tcPr>
          <w:p>
            <w:pPr>
              <w:pStyle w:val="TableParagraph"/>
              <w:spacing w:before="46"/>
              <w:ind w:right="115"/>
              <w:jc w:val="right"/>
              <w:rPr>
                <w:b/>
                <w:sz w:val="19"/>
              </w:rPr>
            </w:pPr>
            <w:r>
              <w:rPr>
                <w:b/>
                <w:w w:val="95"/>
                <w:sz w:val="19"/>
              </w:rPr>
              <w:t>197,038</w:t>
            </w:r>
          </w:p>
        </w:tc>
      </w:tr>
      <w:tr>
        <w:trPr>
          <w:trHeight w:val="291" w:hRule="atLeast"/>
        </w:trPr>
        <w:tc>
          <w:tcPr>
            <w:tcW w:w="3997" w:type="dxa"/>
            <w:tcBorders>
              <w:left w:val="nil"/>
              <w:bottom w:val="nil"/>
            </w:tcBorders>
            <w:shd w:val="clear" w:color="auto" w:fill="FAF9F9"/>
          </w:tcPr>
          <w:p>
            <w:pPr>
              <w:pStyle w:val="TableParagraph"/>
              <w:ind w:left="110"/>
              <w:rPr>
                <w:sz w:val="10"/>
              </w:rPr>
            </w:pPr>
            <w:r>
              <w:rPr>
                <w:sz w:val="19"/>
              </w:rPr>
              <w:t>Transfers</w:t>
            </w:r>
            <w:r>
              <w:rPr>
                <w:position w:val="6"/>
                <w:sz w:val="10"/>
              </w:rPr>
              <w:t>(b)</w:t>
            </w:r>
          </w:p>
        </w:tc>
        <w:tc>
          <w:tcPr>
            <w:tcW w:w="1219" w:type="dxa"/>
            <w:tcBorders>
              <w:bottom w:val="nil"/>
            </w:tcBorders>
            <w:shd w:val="clear" w:color="auto" w:fill="FAF9F9"/>
          </w:tcPr>
          <w:p>
            <w:pPr>
              <w:pStyle w:val="TableParagraph"/>
              <w:ind w:right="101"/>
              <w:jc w:val="right"/>
              <w:rPr>
                <w:sz w:val="19"/>
              </w:rPr>
            </w:pPr>
            <w:r>
              <w:rPr>
                <w:w w:val="90"/>
                <w:sz w:val="19"/>
              </w:rPr>
              <w:t>(265)</w:t>
            </w:r>
          </w:p>
        </w:tc>
        <w:tc>
          <w:tcPr>
            <w:tcW w:w="1219" w:type="dxa"/>
            <w:tcBorders>
              <w:bottom w:val="nil"/>
            </w:tcBorders>
            <w:shd w:val="clear" w:color="auto" w:fill="FAF9F9"/>
          </w:tcPr>
          <w:p>
            <w:pPr>
              <w:pStyle w:val="TableParagraph"/>
              <w:ind w:right="101"/>
              <w:jc w:val="right"/>
              <w:rPr>
                <w:sz w:val="19"/>
              </w:rPr>
            </w:pPr>
            <w:r>
              <w:rPr>
                <w:w w:val="95"/>
                <w:sz w:val="19"/>
              </w:rPr>
              <w:t>(29,302)</w:t>
            </w:r>
          </w:p>
        </w:tc>
        <w:tc>
          <w:tcPr>
            <w:tcW w:w="1531" w:type="dxa"/>
            <w:tcBorders>
              <w:bottom w:val="nil"/>
            </w:tcBorders>
            <w:shd w:val="clear" w:color="auto" w:fill="FAF9F9"/>
          </w:tcPr>
          <w:p>
            <w:pPr>
              <w:pStyle w:val="TableParagraph"/>
              <w:ind w:right="102"/>
              <w:jc w:val="right"/>
              <w:rPr>
                <w:sz w:val="19"/>
              </w:rPr>
            </w:pPr>
            <w:r>
              <w:rPr>
                <w:w w:val="95"/>
                <w:sz w:val="19"/>
              </w:rPr>
              <w:t>4,248</w:t>
            </w:r>
          </w:p>
        </w:tc>
        <w:tc>
          <w:tcPr>
            <w:tcW w:w="1219" w:type="dxa"/>
            <w:tcBorders>
              <w:bottom w:val="nil"/>
            </w:tcBorders>
            <w:shd w:val="clear" w:color="auto" w:fill="FAF9F9"/>
          </w:tcPr>
          <w:p>
            <w:pPr>
              <w:pStyle w:val="TableParagraph"/>
              <w:ind w:right="102"/>
              <w:jc w:val="right"/>
              <w:rPr>
                <w:sz w:val="19"/>
              </w:rPr>
            </w:pPr>
            <w:r>
              <w:rPr>
                <w:w w:val="85"/>
                <w:sz w:val="19"/>
              </w:rPr>
              <w:t>(5)</w:t>
            </w:r>
          </w:p>
        </w:tc>
        <w:tc>
          <w:tcPr>
            <w:tcW w:w="1219" w:type="dxa"/>
            <w:tcBorders>
              <w:bottom w:val="nil"/>
            </w:tcBorders>
            <w:shd w:val="clear" w:color="auto" w:fill="FAF9F9"/>
          </w:tcPr>
          <w:p>
            <w:pPr>
              <w:pStyle w:val="TableParagraph"/>
              <w:ind w:right="102"/>
              <w:jc w:val="right"/>
              <w:rPr>
                <w:sz w:val="19"/>
              </w:rPr>
            </w:pPr>
            <w:r>
              <w:rPr>
                <w:w w:val="111"/>
                <w:sz w:val="19"/>
              </w:rPr>
              <w:t>-</w:t>
            </w:r>
          </w:p>
        </w:tc>
        <w:tc>
          <w:tcPr>
            <w:tcW w:w="1219" w:type="dxa"/>
            <w:tcBorders>
              <w:bottom w:val="nil"/>
            </w:tcBorders>
            <w:shd w:val="clear" w:color="auto" w:fill="FAF9F9"/>
          </w:tcPr>
          <w:p>
            <w:pPr>
              <w:pStyle w:val="TableParagraph"/>
              <w:ind w:right="102"/>
              <w:jc w:val="right"/>
              <w:rPr>
                <w:sz w:val="19"/>
              </w:rPr>
            </w:pPr>
            <w:r>
              <w:rPr>
                <w:w w:val="95"/>
                <w:sz w:val="19"/>
              </w:rPr>
              <w:t>82</w:t>
            </w:r>
          </w:p>
        </w:tc>
        <w:tc>
          <w:tcPr>
            <w:tcW w:w="1219" w:type="dxa"/>
            <w:tcBorders>
              <w:bottom w:val="nil"/>
            </w:tcBorders>
            <w:shd w:val="clear" w:color="auto" w:fill="FAF9F9"/>
          </w:tcPr>
          <w:p>
            <w:pPr>
              <w:pStyle w:val="TableParagraph"/>
              <w:ind w:right="102"/>
              <w:jc w:val="right"/>
              <w:rPr>
                <w:sz w:val="19"/>
              </w:rPr>
            </w:pPr>
            <w:r>
              <w:rPr>
                <w:w w:val="90"/>
                <w:sz w:val="19"/>
              </w:rPr>
              <w:t>(261)</w:t>
            </w:r>
          </w:p>
        </w:tc>
        <w:tc>
          <w:tcPr>
            <w:tcW w:w="1219" w:type="dxa"/>
            <w:tcBorders>
              <w:bottom w:val="nil"/>
              <w:right w:val="nil"/>
            </w:tcBorders>
            <w:shd w:val="clear" w:color="auto" w:fill="FAF9F9"/>
          </w:tcPr>
          <w:p>
            <w:pPr>
              <w:pStyle w:val="TableParagraph"/>
              <w:ind w:right="112"/>
              <w:jc w:val="right"/>
              <w:rPr>
                <w:sz w:val="19"/>
              </w:rPr>
            </w:pPr>
            <w:r>
              <w:rPr>
                <w:w w:val="95"/>
                <w:sz w:val="19"/>
              </w:rPr>
              <w:t>(27,697)</w:t>
            </w:r>
          </w:p>
        </w:tc>
        <w:tc>
          <w:tcPr>
            <w:tcW w:w="1219" w:type="dxa"/>
            <w:tcBorders>
              <w:top w:val="nil"/>
              <w:left w:val="nil"/>
              <w:bottom w:val="nil"/>
              <w:right w:val="nil"/>
            </w:tcBorders>
            <w:shd w:val="clear" w:color="auto" w:fill="E1E4BB"/>
          </w:tcPr>
          <w:p>
            <w:pPr>
              <w:pStyle w:val="TableParagraph"/>
              <w:ind w:right="113"/>
              <w:jc w:val="right"/>
              <w:rPr>
                <w:b/>
                <w:sz w:val="19"/>
              </w:rPr>
            </w:pPr>
            <w:r>
              <w:rPr>
                <w:b/>
                <w:w w:val="95"/>
                <w:sz w:val="19"/>
              </w:rPr>
              <w:t>(53,201)</w:t>
            </w:r>
          </w:p>
        </w:tc>
      </w:tr>
      <w:tr>
        <w:trPr>
          <w:trHeight w:val="299" w:hRule="atLeast"/>
        </w:trPr>
        <w:tc>
          <w:tcPr>
            <w:tcW w:w="3997" w:type="dxa"/>
            <w:tcBorders>
              <w:top w:val="nil"/>
              <w:left w:val="nil"/>
            </w:tcBorders>
            <w:shd w:val="clear" w:color="auto" w:fill="FAF9F9"/>
          </w:tcPr>
          <w:p>
            <w:pPr>
              <w:pStyle w:val="TableParagraph"/>
              <w:spacing w:before="46"/>
              <w:ind w:left="112"/>
              <w:rPr>
                <w:sz w:val="19"/>
              </w:rPr>
            </w:pPr>
            <w:r>
              <w:rPr>
                <w:sz w:val="19"/>
              </w:rPr>
              <w:t>Other disposals</w:t>
            </w:r>
          </w:p>
        </w:tc>
        <w:tc>
          <w:tcPr>
            <w:tcW w:w="1219" w:type="dxa"/>
            <w:tcBorders>
              <w:top w:val="nil"/>
            </w:tcBorders>
            <w:shd w:val="clear" w:color="auto" w:fill="FAF9F9"/>
          </w:tcPr>
          <w:p>
            <w:pPr>
              <w:pStyle w:val="TableParagraph"/>
              <w:spacing w:before="46"/>
              <w:ind w:right="102"/>
              <w:jc w:val="right"/>
              <w:rPr>
                <w:sz w:val="19"/>
              </w:rPr>
            </w:pPr>
            <w:r>
              <w:rPr>
                <w:w w:val="111"/>
                <w:sz w:val="19"/>
              </w:rPr>
              <w:t>-</w:t>
            </w:r>
          </w:p>
        </w:tc>
        <w:tc>
          <w:tcPr>
            <w:tcW w:w="1219" w:type="dxa"/>
            <w:tcBorders>
              <w:top w:val="nil"/>
            </w:tcBorders>
            <w:shd w:val="clear" w:color="auto" w:fill="FAF9F9"/>
          </w:tcPr>
          <w:p>
            <w:pPr>
              <w:pStyle w:val="TableParagraph"/>
              <w:spacing w:before="46"/>
              <w:ind w:right="102"/>
              <w:jc w:val="right"/>
              <w:rPr>
                <w:sz w:val="19"/>
              </w:rPr>
            </w:pPr>
            <w:r>
              <w:rPr>
                <w:w w:val="111"/>
                <w:sz w:val="19"/>
              </w:rPr>
              <w:t>-</w:t>
            </w:r>
          </w:p>
        </w:tc>
        <w:tc>
          <w:tcPr>
            <w:tcW w:w="1531" w:type="dxa"/>
            <w:tcBorders>
              <w:top w:val="nil"/>
            </w:tcBorders>
            <w:shd w:val="clear" w:color="auto" w:fill="FAF9F9"/>
          </w:tcPr>
          <w:p>
            <w:pPr>
              <w:pStyle w:val="TableParagraph"/>
              <w:spacing w:before="46"/>
              <w:ind w:right="102"/>
              <w:jc w:val="right"/>
              <w:rPr>
                <w:sz w:val="19"/>
              </w:rPr>
            </w:pPr>
            <w:r>
              <w:rPr>
                <w:w w:val="111"/>
                <w:sz w:val="19"/>
              </w:rPr>
              <w:t>-</w:t>
            </w:r>
          </w:p>
        </w:tc>
        <w:tc>
          <w:tcPr>
            <w:tcW w:w="1219" w:type="dxa"/>
            <w:tcBorders>
              <w:top w:val="nil"/>
            </w:tcBorders>
            <w:shd w:val="clear" w:color="auto" w:fill="FAF9F9"/>
          </w:tcPr>
          <w:p>
            <w:pPr>
              <w:pStyle w:val="TableParagraph"/>
              <w:spacing w:before="46"/>
              <w:ind w:right="102"/>
              <w:jc w:val="right"/>
              <w:rPr>
                <w:sz w:val="19"/>
              </w:rPr>
            </w:pPr>
            <w:r>
              <w:rPr>
                <w:w w:val="85"/>
                <w:sz w:val="19"/>
              </w:rPr>
              <w:t>(1)</w:t>
            </w:r>
          </w:p>
        </w:tc>
        <w:tc>
          <w:tcPr>
            <w:tcW w:w="1219" w:type="dxa"/>
            <w:tcBorders>
              <w:top w:val="nil"/>
            </w:tcBorders>
            <w:shd w:val="clear" w:color="auto" w:fill="FAF9F9"/>
          </w:tcPr>
          <w:p>
            <w:pPr>
              <w:pStyle w:val="TableParagraph"/>
              <w:spacing w:before="46"/>
              <w:ind w:right="102"/>
              <w:jc w:val="right"/>
              <w:rPr>
                <w:sz w:val="19"/>
              </w:rPr>
            </w:pPr>
            <w:r>
              <w:rPr>
                <w:w w:val="111"/>
                <w:sz w:val="19"/>
              </w:rPr>
              <w:t>-</w:t>
            </w:r>
          </w:p>
        </w:tc>
        <w:tc>
          <w:tcPr>
            <w:tcW w:w="1219" w:type="dxa"/>
            <w:tcBorders>
              <w:top w:val="nil"/>
            </w:tcBorders>
            <w:shd w:val="clear" w:color="auto" w:fill="FAF9F9"/>
          </w:tcPr>
          <w:p>
            <w:pPr>
              <w:pStyle w:val="TableParagraph"/>
              <w:spacing w:before="46"/>
              <w:ind w:right="102"/>
              <w:jc w:val="right"/>
              <w:rPr>
                <w:sz w:val="19"/>
              </w:rPr>
            </w:pPr>
            <w:r>
              <w:rPr>
                <w:w w:val="111"/>
                <w:sz w:val="19"/>
              </w:rPr>
              <w:t>-</w:t>
            </w:r>
          </w:p>
        </w:tc>
        <w:tc>
          <w:tcPr>
            <w:tcW w:w="1219" w:type="dxa"/>
            <w:tcBorders>
              <w:top w:val="nil"/>
            </w:tcBorders>
            <w:shd w:val="clear" w:color="auto" w:fill="FAF9F9"/>
          </w:tcPr>
          <w:p>
            <w:pPr>
              <w:pStyle w:val="TableParagraph"/>
              <w:spacing w:before="46"/>
              <w:ind w:right="103"/>
              <w:jc w:val="right"/>
              <w:rPr>
                <w:sz w:val="19"/>
              </w:rPr>
            </w:pPr>
            <w:r>
              <w:rPr>
                <w:w w:val="95"/>
                <w:sz w:val="19"/>
              </w:rPr>
              <w:t>(39,546)</w:t>
            </w:r>
          </w:p>
        </w:tc>
        <w:tc>
          <w:tcPr>
            <w:tcW w:w="1219" w:type="dxa"/>
            <w:tcBorders>
              <w:top w:val="nil"/>
              <w:right w:val="nil"/>
            </w:tcBorders>
            <w:shd w:val="clear" w:color="auto" w:fill="FAF9F9"/>
          </w:tcPr>
          <w:p>
            <w:pPr>
              <w:pStyle w:val="TableParagraph"/>
              <w:spacing w:before="46"/>
              <w:ind w:right="113"/>
              <w:jc w:val="right"/>
              <w:rPr>
                <w:sz w:val="19"/>
              </w:rPr>
            </w:pPr>
            <w:r>
              <w:rPr>
                <w:w w:val="111"/>
                <w:sz w:val="19"/>
              </w:rPr>
              <w:t>-</w:t>
            </w:r>
          </w:p>
        </w:tc>
        <w:tc>
          <w:tcPr>
            <w:tcW w:w="1219" w:type="dxa"/>
            <w:tcBorders>
              <w:top w:val="nil"/>
              <w:left w:val="nil"/>
              <w:bottom w:val="nil"/>
              <w:right w:val="nil"/>
            </w:tcBorders>
            <w:shd w:val="clear" w:color="auto" w:fill="E1E4BB"/>
          </w:tcPr>
          <w:p>
            <w:pPr>
              <w:pStyle w:val="TableParagraph"/>
              <w:spacing w:before="46"/>
              <w:ind w:right="113"/>
              <w:jc w:val="right"/>
              <w:rPr>
                <w:b/>
                <w:sz w:val="19"/>
              </w:rPr>
            </w:pPr>
            <w:r>
              <w:rPr>
                <w:b/>
                <w:w w:val="95"/>
                <w:sz w:val="19"/>
              </w:rPr>
              <w:t>(39,548)</w:t>
            </w:r>
          </w:p>
        </w:tc>
      </w:tr>
      <w:tr>
        <w:trPr>
          <w:trHeight w:val="295" w:hRule="atLeast"/>
        </w:trPr>
        <w:tc>
          <w:tcPr>
            <w:tcW w:w="3997" w:type="dxa"/>
            <w:tcBorders>
              <w:left w:val="nil"/>
              <w:bottom w:val="nil"/>
            </w:tcBorders>
            <w:shd w:val="clear" w:color="auto" w:fill="F4F4F4"/>
          </w:tcPr>
          <w:p>
            <w:pPr>
              <w:pStyle w:val="TableParagraph"/>
              <w:ind w:left="112"/>
              <w:rPr>
                <w:sz w:val="19"/>
              </w:rPr>
            </w:pPr>
            <w:r>
              <w:rPr>
                <w:sz w:val="19"/>
              </w:rPr>
              <w:t>Revaluations</w:t>
            </w:r>
          </w:p>
        </w:tc>
        <w:tc>
          <w:tcPr>
            <w:tcW w:w="1219" w:type="dxa"/>
            <w:tcBorders>
              <w:bottom w:val="nil"/>
            </w:tcBorders>
            <w:shd w:val="clear" w:color="auto" w:fill="F4F4F4"/>
          </w:tcPr>
          <w:p>
            <w:pPr>
              <w:pStyle w:val="TableParagraph"/>
              <w:ind w:right="102"/>
              <w:jc w:val="right"/>
              <w:rPr>
                <w:sz w:val="19"/>
              </w:rPr>
            </w:pPr>
            <w:r>
              <w:rPr>
                <w:w w:val="95"/>
                <w:sz w:val="19"/>
              </w:rPr>
              <w:t>(22,888)</w:t>
            </w:r>
          </w:p>
        </w:tc>
        <w:tc>
          <w:tcPr>
            <w:tcW w:w="1219" w:type="dxa"/>
            <w:tcBorders>
              <w:bottom w:val="nil"/>
            </w:tcBorders>
            <w:shd w:val="clear" w:color="auto" w:fill="F4F4F4"/>
          </w:tcPr>
          <w:p>
            <w:pPr>
              <w:pStyle w:val="TableParagraph"/>
              <w:ind w:right="102"/>
              <w:jc w:val="right"/>
              <w:rPr>
                <w:sz w:val="19"/>
              </w:rPr>
            </w:pPr>
            <w:r>
              <w:rPr>
                <w:w w:val="95"/>
                <w:sz w:val="19"/>
              </w:rPr>
              <w:t>(45,625)</w:t>
            </w:r>
          </w:p>
        </w:tc>
        <w:tc>
          <w:tcPr>
            <w:tcW w:w="1531" w:type="dxa"/>
            <w:tcBorders>
              <w:bottom w:val="nil"/>
            </w:tcBorders>
            <w:shd w:val="clear" w:color="auto" w:fill="F4F4F4"/>
          </w:tcPr>
          <w:p>
            <w:pPr>
              <w:pStyle w:val="TableParagraph"/>
              <w:ind w:right="102"/>
              <w:jc w:val="right"/>
              <w:rPr>
                <w:sz w:val="19"/>
              </w:rPr>
            </w:pPr>
            <w:r>
              <w:rPr>
                <w:w w:val="111"/>
                <w:sz w:val="19"/>
              </w:rPr>
              <w:t>-</w:t>
            </w:r>
          </w:p>
        </w:tc>
        <w:tc>
          <w:tcPr>
            <w:tcW w:w="1219" w:type="dxa"/>
            <w:tcBorders>
              <w:bottom w:val="nil"/>
            </w:tcBorders>
            <w:shd w:val="clear" w:color="auto" w:fill="F4F4F4"/>
          </w:tcPr>
          <w:p>
            <w:pPr>
              <w:pStyle w:val="TableParagraph"/>
              <w:ind w:right="103"/>
              <w:jc w:val="right"/>
              <w:rPr>
                <w:sz w:val="19"/>
              </w:rPr>
            </w:pPr>
            <w:r>
              <w:rPr>
                <w:w w:val="111"/>
                <w:sz w:val="19"/>
              </w:rPr>
              <w:t>-</w:t>
            </w:r>
          </w:p>
        </w:tc>
        <w:tc>
          <w:tcPr>
            <w:tcW w:w="1219" w:type="dxa"/>
            <w:tcBorders>
              <w:bottom w:val="nil"/>
            </w:tcBorders>
            <w:shd w:val="clear" w:color="auto" w:fill="F4F4F4"/>
          </w:tcPr>
          <w:p>
            <w:pPr>
              <w:pStyle w:val="TableParagraph"/>
              <w:ind w:right="103"/>
              <w:jc w:val="right"/>
              <w:rPr>
                <w:sz w:val="19"/>
              </w:rPr>
            </w:pPr>
            <w:r>
              <w:rPr>
                <w:w w:val="111"/>
                <w:sz w:val="19"/>
              </w:rPr>
              <w:t>-</w:t>
            </w:r>
          </w:p>
        </w:tc>
        <w:tc>
          <w:tcPr>
            <w:tcW w:w="1219" w:type="dxa"/>
            <w:tcBorders>
              <w:bottom w:val="nil"/>
            </w:tcBorders>
            <w:shd w:val="clear" w:color="auto" w:fill="F4F4F4"/>
          </w:tcPr>
          <w:p>
            <w:pPr>
              <w:pStyle w:val="TableParagraph"/>
              <w:ind w:right="103"/>
              <w:jc w:val="right"/>
              <w:rPr>
                <w:sz w:val="19"/>
              </w:rPr>
            </w:pPr>
            <w:r>
              <w:rPr>
                <w:w w:val="111"/>
                <w:sz w:val="19"/>
              </w:rPr>
              <w:t>-</w:t>
            </w:r>
          </w:p>
        </w:tc>
        <w:tc>
          <w:tcPr>
            <w:tcW w:w="1219" w:type="dxa"/>
            <w:tcBorders>
              <w:bottom w:val="nil"/>
            </w:tcBorders>
            <w:shd w:val="clear" w:color="auto" w:fill="F4F4F4"/>
          </w:tcPr>
          <w:p>
            <w:pPr>
              <w:pStyle w:val="TableParagraph"/>
              <w:ind w:right="103"/>
              <w:jc w:val="right"/>
              <w:rPr>
                <w:sz w:val="19"/>
              </w:rPr>
            </w:pPr>
            <w:r>
              <w:rPr>
                <w:w w:val="111"/>
                <w:sz w:val="19"/>
              </w:rPr>
              <w:t>-</w:t>
            </w:r>
          </w:p>
        </w:tc>
        <w:tc>
          <w:tcPr>
            <w:tcW w:w="1219" w:type="dxa"/>
            <w:tcBorders>
              <w:bottom w:val="nil"/>
              <w:right w:val="nil"/>
            </w:tcBorders>
            <w:shd w:val="clear" w:color="auto" w:fill="F4F4F4"/>
          </w:tcPr>
          <w:p>
            <w:pPr>
              <w:pStyle w:val="TableParagraph"/>
              <w:ind w:right="113"/>
              <w:jc w:val="right"/>
              <w:rPr>
                <w:sz w:val="19"/>
              </w:rPr>
            </w:pPr>
            <w:r>
              <w:rPr>
                <w:w w:val="111"/>
                <w:sz w:val="19"/>
              </w:rPr>
              <w:t>-</w:t>
            </w:r>
          </w:p>
        </w:tc>
        <w:tc>
          <w:tcPr>
            <w:tcW w:w="1219" w:type="dxa"/>
            <w:tcBorders>
              <w:top w:val="nil"/>
              <w:left w:val="nil"/>
              <w:bottom w:val="nil"/>
              <w:right w:val="nil"/>
            </w:tcBorders>
            <w:shd w:val="clear" w:color="auto" w:fill="E1E4BB"/>
          </w:tcPr>
          <w:p>
            <w:pPr>
              <w:pStyle w:val="TableParagraph"/>
              <w:ind w:right="113"/>
              <w:jc w:val="right"/>
              <w:rPr>
                <w:b/>
                <w:sz w:val="19"/>
              </w:rPr>
            </w:pPr>
            <w:r>
              <w:rPr>
                <w:b/>
                <w:w w:val="95"/>
                <w:sz w:val="19"/>
              </w:rPr>
              <w:t>(68,513)</w:t>
            </w:r>
          </w:p>
        </w:tc>
      </w:tr>
      <w:tr>
        <w:trPr>
          <w:trHeight w:val="295" w:hRule="atLeast"/>
        </w:trPr>
        <w:tc>
          <w:tcPr>
            <w:tcW w:w="3997" w:type="dxa"/>
            <w:tcBorders>
              <w:top w:val="nil"/>
              <w:left w:val="nil"/>
            </w:tcBorders>
            <w:shd w:val="clear" w:color="auto" w:fill="FAF9F9"/>
          </w:tcPr>
          <w:p>
            <w:pPr>
              <w:pStyle w:val="TableParagraph"/>
              <w:spacing w:before="42"/>
              <w:ind w:left="112"/>
              <w:rPr>
                <w:sz w:val="19"/>
              </w:rPr>
            </w:pPr>
            <w:r>
              <w:rPr>
                <w:sz w:val="19"/>
              </w:rPr>
              <w:t>Depreciation</w:t>
            </w:r>
          </w:p>
        </w:tc>
        <w:tc>
          <w:tcPr>
            <w:tcW w:w="1219" w:type="dxa"/>
            <w:tcBorders>
              <w:top w:val="nil"/>
              <w:bottom w:val="single" w:sz="4" w:space="0" w:color="000000"/>
            </w:tcBorders>
            <w:shd w:val="clear" w:color="auto" w:fill="FAF9F9"/>
          </w:tcPr>
          <w:p>
            <w:pPr>
              <w:pStyle w:val="TableParagraph"/>
              <w:spacing w:before="42"/>
              <w:ind w:right="102"/>
              <w:jc w:val="right"/>
              <w:rPr>
                <w:sz w:val="19"/>
              </w:rPr>
            </w:pPr>
            <w:r>
              <w:rPr>
                <w:w w:val="111"/>
                <w:sz w:val="19"/>
              </w:rPr>
              <w:t>-</w:t>
            </w:r>
          </w:p>
        </w:tc>
        <w:tc>
          <w:tcPr>
            <w:tcW w:w="1219" w:type="dxa"/>
            <w:tcBorders>
              <w:top w:val="nil"/>
              <w:bottom w:val="single" w:sz="4" w:space="0" w:color="000000"/>
            </w:tcBorders>
            <w:shd w:val="clear" w:color="auto" w:fill="FAF9F9"/>
          </w:tcPr>
          <w:p>
            <w:pPr>
              <w:pStyle w:val="TableParagraph"/>
              <w:spacing w:before="42"/>
              <w:ind w:right="102"/>
              <w:jc w:val="right"/>
              <w:rPr>
                <w:sz w:val="19"/>
              </w:rPr>
            </w:pPr>
            <w:r>
              <w:rPr>
                <w:w w:val="90"/>
                <w:sz w:val="19"/>
              </w:rPr>
              <w:t>(5,129)</w:t>
            </w:r>
          </w:p>
        </w:tc>
        <w:tc>
          <w:tcPr>
            <w:tcW w:w="1531" w:type="dxa"/>
            <w:tcBorders>
              <w:top w:val="nil"/>
              <w:bottom w:val="single" w:sz="4" w:space="0" w:color="000000"/>
            </w:tcBorders>
            <w:shd w:val="clear" w:color="auto" w:fill="FAF9F9"/>
          </w:tcPr>
          <w:p>
            <w:pPr>
              <w:pStyle w:val="TableParagraph"/>
              <w:spacing w:before="42"/>
              <w:ind w:right="103"/>
              <w:jc w:val="right"/>
              <w:rPr>
                <w:sz w:val="19"/>
              </w:rPr>
            </w:pPr>
            <w:r>
              <w:rPr>
                <w:w w:val="90"/>
                <w:sz w:val="19"/>
              </w:rPr>
              <w:t>(6,057)</w:t>
            </w:r>
          </w:p>
        </w:tc>
        <w:tc>
          <w:tcPr>
            <w:tcW w:w="1219" w:type="dxa"/>
            <w:tcBorders>
              <w:top w:val="nil"/>
              <w:bottom w:val="single" w:sz="4" w:space="0" w:color="000000"/>
            </w:tcBorders>
            <w:shd w:val="clear" w:color="auto" w:fill="FAF9F9"/>
          </w:tcPr>
          <w:p>
            <w:pPr>
              <w:pStyle w:val="TableParagraph"/>
              <w:spacing w:before="42"/>
              <w:ind w:right="103"/>
              <w:jc w:val="right"/>
              <w:rPr>
                <w:sz w:val="19"/>
              </w:rPr>
            </w:pPr>
            <w:r>
              <w:rPr>
                <w:w w:val="90"/>
                <w:sz w:val="19"/>
              </w:rPr>
              <w:t>(47)</w:t>
            </w:r>
          </w:p>
        </w:tc>
        <w:tc>
          <w:tcPr>
            <w:tcW w:w="1219" w:type="dxa"/>
            <w:tcBorders>
              <w:top w:val="nil"/>
              <w:bottom w:val="single" w:sz="4" w:space="0" w:color="000000"/>
            </w:tcBorders>
            <w:shd w:val="clear" w:color="auto" w:fill="FAF9F9"/>
          </w:tcPr>
          <w:p>
            <w:pPr>
              <w:pStyle w:val="TableParagraph"/>
              <w:spacing w:before="42"/>
              <w:ind w:right="103"/>
              <w:jc w:val="right"/>
              <w:rPr>
                <w:sz w:val="19"/>
              </w:rPr>
            </w:pPr>
            <w:r>
              <w:rPr>
                <w:w w:val="90"/>
                <w:sz w:val="19"/>
              </w:rPr>
              <w:t>(728)</w:t>
            </w:r>
          </w:p>
        </w:tc>
        <w:tc>
          <w:tcPr>
            <w:tcW w:w="1219" w:type="dxa"/>
            <w:tcBorders>
              <w:top w:val="nil"/>
              <w:bottom w:val="single" w:sz="4" w:space="0" w:color="000000"/>
            </w:tcBorders>
            <w:shd w:val="clear" w:color="auto" w:fill="FAF9F9"/>
          </w:tcPr>
          <w:p>
            <w:pPr>
              <w:pStyle w:val="TableParagraph"/>
              <w:spacing w:before="42"/>
              <w:ind w:right="103"/>
              <w:jc w:val="right"/>
              <w:rPr>
                <w:sz w:val="19"/>
              </w:rPr>
            </w:pPr>
            <w:r>
              <w:rPr>
                <w:w w:val="95"/>
                <w:sz w:val="19"/>
              </w:rPr>
              <w:t>(14,118)</w:t>
            </w:r>
          </w:p>
        </w:tc>
        <w:tc>
          <w:tcPr>
            <w:tcW w:w="1219" w:type="dxa"/>
            <w:tcBorders>
              <w:top w:val="nil"/>
              <w:bottom w:val="single" w:sz="4" w:space="0" w:color="000000"/>
            </w:tcBorders>
            <w:shd w:val="clear" w:color="auto" w:fill="FAF9F9"/>
          </w:tcPr>
          <w:p>
            <w:pPr>
              <w:pStyle w:val="TableParagraph"/>
              <w:spacing w:before="42"/>
              <w:ind w:right="103"/>
              <w:jc w:val="right"/>
              <w:rPr>
                <w:sz w:val="19"/>
              </w:rPr>
            </w:pPr>
            <w:r>
              <w:rPr>
                <w:w w:val="95"/>
                <w:sz w:val="19"/>
              </w:rPr>
              <w:t>(45,662)</w:t>
            </w:r>
          </w:p>
        </w:tc>
        <w:tc>
          <w:tcPr>
            <w:tcW w:w="1219" w:type="dxa"/>
            <w:tcBorders>
              <w:top w:val="nil"/>
              <w:bottom w:val="single" w:sz="4" w:space="0" w:color="000000"/>
              <w:right w:val="nil"/>
            </w:tcBorders>
            <w:shd w:val="clear" w:color="auto" w:fill="FAF9F9"/>
          </w:tcPr>
          <w:p>
            <w:pPr>
              <w:pStyle w:val="TableParagraph"/>
              <w:spacing w:before="42"/>
              <w:ind w:right="114"/>
              <w:jc w:val="right"/>
              <w:rPr>
                <w:sz w:val="19"/>
              </w:rPr>
            </w:pPr>
            <w:r>
              <w:rPr>
                <w:w w:val="111"/>
                <w:sz w:val="19"/>
              </w:rPr>
              <w:t>-</w:t>
            </w:r>
          </w:p>
        </w:tc>
        <w:tc>
          <w:tcPr>
            <w:tcW w:w="1219" w:type="dxa"/>
            <w:tcBorders>
              <w:top w:val="nil"/>
              <w:left w:val="nil"/>
              <w:bottom w:val="single" w:sz="4" w:space="0" w:color="000000"/>
              <w:right w:val="nil"/>
            </w:tcBorders>
            <w:shd w:val="clear" w:color="auto" w:fill="E1E4BB"/>
          </w:tcPr>
          <w:p>
            <w:pPr>
              <w:pStyle w:val="TableParagraph"/>
              <w:spacing w:before="42"/>
              <w:ind w:right="114"/>
              <w:jc w:val="right"/>
              <w:rPr>
                <w:b/>
                <w:sz w:val="19"/>
              </w:rPr>
            </w:pPr>
            <w:r>
              <w:rPr>
                <w:b/>
                <w:w w:val="95"/>
                <w:sz w:val="19"/>
              </w:rPr>
              <w:t>(71,740)</w:t>
            </w:r>
          </w:p>
        </w:tc>
      </w:tr>
      <w:tr>
        <w:trPr>
          <w:trHeight w:val="253" w:hRule="atLeast"/>
        </w:trPr>
        <w:tc>
          <w:tcPr>
            <w:tcW w:w="3997" w:type="dxa"/>
            <w:tcBorders>
              <w:left w:val="nil"/>
            </w:tcBorders>
            <w:shd w:val="clear" w:color="auto" w:fill="F4F4F4"/>
          </w:tcPr>
          <w:p>
            <w:pPr>
              <w:pStyle w:val="TableParagraph"/>
              <w:spacing w:line="201" w:lineRule="exact"/>
              <w:ind w:left="111"/>
              <w:rPr>
                <w:b/>
                <w:sz w:val="19"/>
              </w:rPr>
            </w:pPr>
            <w:r>
              <w:rPr>
                <w:b/>
                <w:sz w:val="19"/>
              </w:rPr>
              <w:t>Carrying amount at end of period</w:t>
            </w:r>
          </w:p>
        </w:tc>
        <w:tc>
          <w:tcPr>
            <w:tcW w:w="1219" w:type="dxa"/>
            <w:tcBorders>
              <w:top w:val="single" w:sz="4" w:space="0" w:color="000000"/>
              <w:bottom w:val="single" w:sz="34" w:space="0" w:color="FFFFFF"/>
            </w:tcBorders>
            <w:shd w:val="clear" w:color="auto" w:fill="F4F4F4"/>
          </w:tcPr>
          <w:p>
            <w:pPr>
              <w:pStyle w:val="TableParagraph"/>
              <w:spacing w:line="201" w:lineRule="exact"/>
              <w:ind w:right="103"/>
              <w:jc w:val="right"/>
              <w:rPr>
                <w:b/>
                <w:sz w:val="19"/>
              </w:rPr>
            </w:pPr>
            <w:r>
              <w:rPr>
                <w:b/>
                <w:w w:val="95"/>
                <w:sz w:val="19"/>
              </w:rPr>
              <w:t>151,512</w:t>
            </w:r>
          </w:p>
        </w:tc>
        <w:tc>
          <w:tcPr>
            <w:tcW w:w="1219" w:type="dxa"/>
            <w:tcBorders>
              <w:top w:val="single" w:sz="4" w:space="0" w:color="000000"/>
              <w:bottom w:val="single" w:sz="34" w:space="0" w:color="FFFFFF"/>
            </w:tcBorders>
            <w:shd w:val="clear" w:color="auto" w:fill="F4F4F4"/>
          </w:tcPr>
          <w:p>
            <w:pPr>
              <w:pStyle w:val="TableParagraph"/>
              <w:spacing w:line="201" w:lineRule="exact"/>
              <w:ind w:right="103"/>
              <w:jc w:val="right"/>
              <w:rPr>
                <w:b/>
                <w:sz w:val="19"/>
              </w:rPr>
            </w:pPr>
            <w:r>
              <w:rPr>
                <w:b/>
                <w:w w:val="95"/>
                <w:sz w:val="19"/>
              </w:rPr>
              <w:t>162,742</w:t>
            </w:r>
          </w:p>
        </w:tc>
        <w:tc>
          <w:tcPr>
            <w:tcW w:w="1531" w:type="dxa"/>
            <w:tcBorders>
              <w:top w:val="single" w:sz="4" w:space="0" w:color="000000"/>
              <w:bottom w:val="single" w:sz="34" w:space="0" w:color="FFFFFF"/>
            </w:tcBorders>
            <w:shd w:val="clear" w:color="auto" w:fill="F4F4F4"/>
          </w:tcPr>
          <w:p>
            <w:pPr>
              <w:pStyle w:val="TableParagraph"/>
              <w:spacing w:line="201" w:lineRule="exact"/>
              <w:ind w:right="103"/>
              <w:jc w:val="right"/>
              <w:rPr>
                <w:b/>
                <w:sz w:val="19"/>
              </w:rPr>
            </w:pPr>
            <w:r>
              <w:rPr>
                <w:b/>
                <w:w w:val="95"/>
                <w:sz w:val="19"/>
              </w:rPr>
              <w:t>25,784</w:t>
            </w:r>
          </w:p>
        </w:tc>
        <w:tc>
          <w:tcPr>
            <w:tcW w:w="1219" w:type="dxa"/>
            <w:tcBorders>
              <w:top w:val="single" w:sz="4" w:space="0" w:color="000000"/>
              <w:bottom w:val="single" w:sz="34" w:space="0" w:color="FFFFFF"/>
            </w:tcBorders>
            <w:shd w:val="clear" w:color="auto" w:fill="F4F4F4"/>
          </w:tcPr>
          <w:p>
            <w:pPr>
              <w:pStyle w:val="TableParagraph"/>
              <w:spacing w:line="201" w:lineRule="exact"/>
              <w:ind w:right="103"/>
              <w:jc w:val="right"/>
              <w:rPr>
                <w:b/>
                <w:sz w:val="19"/>
              </w:rPr>
            </w:pPr>
            <w:r>
              <w:rPr>
                <w:b/>
                <w:w w:val="95"/>
                <w:sz w:val="19"/>
              </w:rPr>
              <w:t>124</w:t>
            </w:r>
          </w:p>
        </w:tc>
        <w:tc>
          <w:tcPr>
            <w:tcW w:w="1219" w:type="dxa"/>
            <w:tcBorders>
              <w:top w:val="single" w:sz="4" w:space="0" w:color="000000"/>
              <w:bottom w:val="single" w:sz="34" w:space="0" w:color="FFFFFF"/>
            </w:tcBorders>
            <w:shd w:val="clear" w:color="auto" w:fill="F4F4F4"/>
          </w:tcPr>
          <w:p>
            <w:pPr>
              <w:pStyle w:val="TableParagraph"/>
              <w:spacing w:line="201" w:lineRule="exact"/>
              <w:ind w:right="103"/>
              <w:jc w:val="right"/>
              <w:rPr>
                <w:b/>
                <w:sz w:val="19"/>
              </w:rPr>
            </w:pPr>
            <w:r>
              <w:rPr>
                <w:b/>
                <w:w w:val="95"/>
                <w:sz w:val="19"/>
              </w:rPr>
              <w:t>1,280</w:t>
            </w:r>
          </w:p>
        </w:tc>
        <w:tc>
          <w:tcPr>
            <w:tcW w:w="1219" w:type="dxa"/>
            <w:tcBorders>
              <w:top w:val="single" w:sz="4" w:space="0" w:color="000000"/>
              <w:bottom w:val="single" w:sz="34" w:space="0" w:color="FFFFFF"/>
            </w:tcBorders>
            <w:shd w:val="clear" w:color="auto" w:fill="F4F4F4"/>
          </w:tcPr>
          <w:p>
            <w:pPr>
              <w:pStyle w:val="TableParagraph"/>
              <w:spacing w:line="201" w:lineRule="exact"/>
              <w:ind w:right="104"/>
              <w:jc w:val="right"/>
              <w:rPr>
                <w:b/>
                <w:sz w:val="19"/>
              </w:rPr>
            </w:pPr>
            <w:r>
              <w:rPr>
                <w:b/>
                <w:w w:val="95"/>
                <w:sz w:val="19"/>
              </w:rPr>
              <w:t>60,728</w:t>
            </w:r>
          </w:p>
        </w:tc>
        <w:tc>
          <w:tcPr>
            <w:tcW w:w="1219" w:type="dxa"/>
            <w:tcBorders>
              <w:top w:val="single" w:sz="4" w:space="0" w:color="000000"/>
              <w:bottom w:val="single" w:sz="34" w:space="0" w:color="FFFFFF"/>
            </w:tcBorders>
            <w:shd w:val="clear" w:color="auto" w:fill="F4F4F4"/>
          </w:tcPr>
          <w:p>
            <w:pPr>
              <w:pStyle w:val="TableParagraph"/>
              <w:spacing w:line="201" w:lineRule="exact"/>
              <w:ind w:right="104"/>
              <w:jc w:val="right"/>
              <w:rPr>
                <w:b/>
                <w:sz w:val="19"/>
              </w:rPr>
            </w:pPr>
            <w:r>
              <w:rPr>
                <w:b/>
                <w:w w:val="95"/>
                <w:sz w:val="19"/>
              </w:rPr>
              <w:t>261,604</w:t>
            </w:r>
          </w:p>
        </w:tc>
        <w:tc>
          <w:tcPr>
            <w:tcW w:w="1219" w:type="dxa"/>
            <w:tcBorders>
              <w:top w:val="single" w:sz="4" w:space="0" w:color="000000"/>
              <w:bottom w:val="single" w:sz="24" w:space="0" w:color="FFFFFF"/>
              <w:right w:val="nil"/>
            </w:tcBorders>
            <w:shd w:val="clear" w:color="auto" w:fill="F4F4F4"/>
          </w:tcPr>
          <w:p>
            <w:pPr>
              <w:pStyle w:val="TableParagraph"/>
              <w:spacing w:line="201" w:lineRule="exact"/>
              <w:ind w:right="114"/>
              <w:jc w:val="right"/>
              <w:rPr>
                <w:b/>
                <w:sz w:val="19"/>
              </w:rPr>
            </w:pPr>
            <w:r>
              <w:rPr>
                <w:b/>
                <w:w w:val="95"/>
                <w:sz w:val="19"/>
              </w:rPr>
              <w:t>104,963</w:t>
            </w:r>
          </w:p>
        </w:tc>
        <w:tc>
          <w:tcPr>
            <w:tcW w:w="1219" w:type="dxa"/>
            <w:tcBorders>
              <w:top w:val="single" w:sz="4" w:space="0" w:color="000000"/>
              <w:left w:val="nil"/>
              <w:bottom w:val="single" w:sz="24" w:space="0" w:color="FFFFFF"/>
              <w:right w:val="nil"/>
            </w:tcBorders>
            <w:shd w:val="clear" w:color="auto" w:fill="DFE1B8"/>
          </w:tcPr>
          <w:p>
            <w:pPr>
              <w:pStyle w:val="TableParagraph"/>
              <w:spacing w:line="201" w:lineRule="exact"/>
              <w:ind w:right="114"/>
              <w:jc w:val="right"/>
              <w:rPr>
                <w:b/>
                <w:sz w:val="19"/>
              </w:rPr>
            </w:pPr>
            <w:r>
              <w:rPr>
                <w:b/>
                <w:w w:val="95"/>
                <w:sz w:val="19"/>
              </w:rPr>
              <w:t>768,737</w:t>
            </w:r>
          </w:p>
        </w:tc>
      </w:tr>
    </w:tbl>
    <w:p>
      <w:pPr>
        <w:pStyle w:val="BodyText"/>
        <w:spacing w:line="20" w:lineRule="exact"/>
        <w:ind w:left="13601"/>
        <w:rPr>
          <w:sz w:val="2"/>
        </w:rPr>
      </w:pPr>
      <w:r>
        <w:rPr>
          <w:sz w:val="2"/>
        </w:rPr>
        <w:pict>
          <v:group style="width:121.9pt;height:.550pt;mso-position-horizontal-relative:char;mso-position-vertical-relative:line" coordorigin="0,0" coordsize="2438,11">
            <v:line style="position:absolute" from="0,5" to="1219,5" stroked="true" strokeweight=".501pt" strokecolor="#000000">
              <v:stroke dashstyle="solid"/>
            </v:line>
            <v:line style="position:absolute" from="1219,5" to="2438,5" stroked="true" strokeweight=".501pt" strokecolor="#000000">
              <v:stroke dashstyle="solid"/>
            </v:line>
          </v:group>
        </w:pict>
      </w:r>
      <w:r>
        <w:rPr>
          <w:sz w:val="2"/>
        </w:rPr>
      </w:r>
    </w:p>
    <w:p>
      <w:pPr>
        <w:pStyle w:val="BodyText"/>
        <w:spacing w:before="7"/>
        <w:rPr>
          <w:sz w:val="20"/>
        </w:rPr>
      </w:pPr>
    </w:p>
    <w:p>
      <w:pPr>
        <w:pStyle w:val="ListParagraph"/>
        <w:numPr>
          <w:ilvl w:val="1"/>
          <w:numId w:val="12"/>
        </w:numPr>
        <w:tabs>
          <w:tab w:pos="958" w:val="left" w:leader="none"/>
        </w:tabs>
        <w:spacing w:line="240" w:lineRule="auto" w:before="0" w:after="0"/>
        <w:ind w:left="957" w:right="0" w:hanging="192"/>
        <w:jc w:val="left"/>
        <w:rPr>
          <w:sz w:val="15"/>
        </w:rPr>
      </w:pPr>
      <w:r>
        <w:rPr>
          <w:sz w:val="15"/>
        </w:rPr>
        <w:t>Work</w:t>
      </w:r>
      <w:r>
        <w:rPr>
          <w:spacing w:val="-6"/>
          <w:sz w:val="15"/>
        </w:rPr>
        <w:t> </w:t>
      </w:r>
      <w:r>
        <w:rPr>
          <w:sz w:val="15"/>
        </w:rPr>
        <w:t>in</w:t>
      </w:r>
      <w:r>
        <w:rPr>
          <w:spacing w:val="-5"/>
          <w:sz w:val="15"/>
        </w:rPr>
        <w:t> </w:t>
      </w:r>
      <w:r>
        <w:rPr>
          <w:sz w:val="15"/>
        </w:rPr>
        <w:t>progress</w:t>
      </w:r>
      <w:r>
        <w:rPr>
          <w:spacing w:val="-6"/>
          <w:sz w:val="15"/>
        </w:rPr>
        <w:t> </w:t>
      </w:r>
      <w:r>
        <w:rPr>
          <w:sz w:val="15"/>
        </w:rPr>
        <w:t>was</w:t>
      </w:r>
      <w:r>
        <w:rPr>
          <w:spacing w:val="-5"/>
          <w:sz w:val="15"/>
        </w:rPr>
        <w:t> </w:t>
      </w:r>
      <w:r>
        <w:rPr>
          <w:sz w:val="15"/>
        </w:rPr>
        <w:t>transferred</w:t>
      </w:r>
      <w:r>
        <w:rPr>
          <w:spacing w:val="-5"/>
          <w:sz w:val="15"/>
        </w:rPr>
        <w:t> </w:t>
      </w:r>
      <w:r>
        <w:rPr>
          <w:sz w:val="15"/>
        </w:rPr>
        <w:t>to</w:t>
      </w:r>
      <w:r>
        <w:rPr>
          <w:spacing w:val="-6"/>
          <w:sz w:val="15"/>
        </w:rPr>
        <w:t> </w:t>
      </w:r>
      <w:r>
        <w:rPr>
          <w:sz w:val="15"/>
        </w:rPr>
        <w:t>Leasehold</w:t>
      </w:r>
      <w:r>
        <w:rPr>
          <w:spacing w:val="-5"/>
          <w:sz w:val="15"/>
        </w:rPr>
        <w:t> </w:t>
      </w:r>
      <w:r>
        <w:rPr>
          <w:sz w:val="15"/>
        </w:rPr>
        <w:t>Improvements</w:t>
      </w:r>
      <w:r>
        <w:rPr>
          <w:spacing w:val="-5"/>
          <w:sz w:val="15"/>
        </w:rPr>
        <w:t> </w:t>
      </w:r>
      <w:r>
        <w:rPr>
          <w:sz w:val="15"/>
        </w:rPr>
        <w:t>for</w:t>
      </w:r>
      <w:r>
        <w:rPr>
          <w:spacing w:val="-6"/>
          <w:sz w:val="15"/>
        </w:rPr>
        <w:t> </w:t>
      </w:r>
      <w:r>
        <w:rPr>
          <w:sz w:val="15"/>
        </w:rPr>
        <w:t>$60,063,525</w:t>
      </w:r>
      <w:r>
        <w:rPr>
          <w:spacing w:val="-5"/>
          <w:sz w:val="15"/>
        </w:rPr>
        <w:t> </w:t>
      </w:r>
      <w:r>
        <w:rPr>
          <w:sz w:val="15"/>
        </w:rPr>
        <w:t>and</w:t>
      </w:r>
      <w:r>
        <w:rPr>
          <w:spacing w:val="-5"/>
          <w:sz w:val="15"/>
        </w:rPr>
        <w:t> </w:t>
      </w:r>
      <w:r>
        <w:rPr>
          <w:sz w:val="15"/>
        </w:rPr>
        <w:t>to</w:t>
      </w:r>
      <w:r>
        <w:rPr>
          <w:spacing w:val="-6"/>
          <w:sz w:val="15"/>
        </w:rPr>
        <w:t> </w:t>
      </w:r>
      <w:r>
        <w:rPr>
          <w:sz w:val="15"/>
        </w:rPr>
        <w:t>office</w:t>
      </w:r>
      <w:r>
        <w:rPr>
          <w:spacing w:val="-5"/>
          <w:sz w:val="15"/>
        </w:rPr>
        <w:t> </w:t>
      </w:r>
      <w:r>
        <w:rPr>
          <w:sz w:val="15"/>
        </w:rPr>
        <w:t>fitout</w:t>
      </w:r>
      <w:r>
        <w:rPr>
          <w:spacing w:val="-5"/>
          <w:sz w:val="15"/>
        </w:rPr>
        <w:t> </w:t>
      </w:r>
      <w:r>
        <w:rPr>
          <w:sz w:val="15"/>
        </w:rPr>
        <w:t>for</w:t>
      </w:r>
      <w:r>
        <w:rPr>
          <w:spacing w:val="-6"/>
          <w:sz w:val="15"/>
        </w:rPr>
        <w:t> </w:t>
      </w:r>
      <w:r>
        <w:rPr>
          <w:sz w:val="15"/>
        </w:rPr>
        <w:t>$66,751,752.</w:t>
      </w:r>
      <w:r>
        <w:rPr>
          <w:spacing w:val="-5"/>
          <w:sz w:val="15"/>
        </w:rPr>
        <w:t> </w:t>
      </w:r>
      <w:r>
        <w:rPr>
          <w:sz w:val="15"/>
        </w:rPr>
        <w:t>During</w:t>
      </w:r>
      <w:r>
        <w:rPr>
          <w:spacing w:val="-5"/>
          <w:sz w:val="15"/>
        </w:rPr>
        <w:t> </w:t>
      </w:r>
      <w:r>
        <w:rPr>
          <w:sz w:val="15"/>
        </w:rPr>
        <w:t>the</w:t>
      </w:r>
      <w:r>
        <w:rPr>
          <w:spacing w:val="-6"/>
          <w:sz w:val="15"/>
        </w:rPr>
        <w:t> </w:t>
      </w:r>
      <w:r>
        <w:rPr>
          <w:sz w:val="15"/>
        </w:rPr>
        <w:t>year</w:t>
      </w:r>
      <w:r>
        <w:rPr>
          <w:spacing w:val="-5"/>
          <w:sz w:val="15"/>
        </w:rPr>
        <w:t> </w:t>
      </w:r>
      <w:r>
        <w:rPr>
          <w:sz w:val="15"/>
        </w:rPr>
        <w:t>one</w:t>
      </w:r>
      <w:r>
        <w:rPr>
          <w:spacing w:val="-5"/>
          <w:sz w:val="15"/>
        </w:rPr>
        <w:t> </w:t>
      </w:r>
      <w:r>
        <w:rPr>
          <w:sz w:val="15"/>
        </w:rPr>
        <w:t>vehicle</w:t>
      </w:r>
      <w:r>
        <w:rPr>
          <w:spacing w:val="-6"/>
          <w:sz w:val="15"/>
        </w:rPr>
        <w:t> </w:t>
      </w:r>
      <w:r>
        <w:rPr>
          <w:sz w:val="15"/>
        </w:rPr>
        <w:t>was</w:t>
      </w:r>
      <w:r>
        <w:rPr>
          <w:spacing w:val="-5"/>
          <w:sz w:val="15"/>
        </w:rPr>
        <w:t> </w:t>
      </w:r>
      <w:r>
        <w:rPr>
          <w:sz w:val="15"/>
        </w:rPr>
        <w:t>transferred</w:t>
      </w:r>
      <w:r>
        <w:rPr>
          <w:spacing w:val="-5"/>
          <w:sz w:val="15"/>
        </w:rPr>
        <w:t> </w:t>
      </w:r>
      <w:r>
        <w:rPr>
          <w:sz w:val="15"/>
        </w:rPr>
        <w:t>to</w:t>
      </w:r>
      <w:r>
        <w:rPr>
          <w:spacing w:val="-6"/>
          <w:sz w:val="15"/>
        </w:rPr>
        <w:t> </w:t>
      </w:r>
      <w:r>
        <w:rPr>
          <w:sz w:val="15"/>
        </w:rPr>
        <w:t>a</w:t>
      </w:r>
      <w:r>
        <w:rPr>
          <w:spacing w:val="-5"/>
          <w:sz w:val="15"/>
        </w:rPr>
        <w:t> </w:t>
      </w:r>
      <w:r>
        <w:rPr>
          <w:sz w:val="15"/>
        </w:rPr>
        <w:t>finance</w:t>
      </w:r>
      <w:r>
        <w:rPr>
          <w:spacing w:val="-5"/>
          <w:sz w:val="15"/>
        </w:rPr>
        <w:t> </w:t>
      </w:r>
      <w:r>
        <w:rPr>
          <w:sz w:val="15"/>
        </w:rPr>
        <w:t>lease</w:t>
      </w:r>
      <w:r>
        <w:rPr>
          <w:spacing w:val="-6"/>
          <w:sz w:val="15"/>
        </w:rPr>
        <w:t> </w:t>
      </w:r>
      <w:r>
        <w:rPr>
          <w:sz w:val="15"/>
        </w:rPr>
        <w:t>for</w:t>
      </w:r>
      <w:r>
        <w:rPr>
          <w:spacing w:val="-5"/>
          <w:sz w:val="15"/>
        </w:rPr>
        <w:t> </w:t>
      </w:r>
      <w:r>
        <w:rPr>
          <w:sz w:val="15"/>
        </w:rPr>
        <w:t>Department</w:t>
      </w:r>
      <w:r>
        <w:rPr>
          <w:spacing w:val="-5"/>
          <w:sz w:val="15"/>
        </w:rPr>
        <w:t> </w:t>
      </w:r>
      <w:r>
        <w:rPr>
          <w:sz w:val="15"/>
        </w:rPr>
        <w:t>of</w:t>
      </w:r>
      <w:r>
        <w:rPr>
          <w:spacing w:val="-6"/>
          <w:sz w:val="15"/>
        </w:rPr>
        <w:t> </w:t>
      </w:r>
      <w:r>
        <w:rPr>
          <w:sz w:val="15"/>
        </w:rPr>
        <w:t>Education</w:t>
      </w:r>
      <w:r>
        <w:rPr>
          <w:spacing w:val="-5"/>
          <w:sz w:val="15"/>
        </w:rPr>
        <w:t> </w:t>
      </w:r>
      <w:r>
        <w:rPr>
          <w:sz w:val="15"/>
        </w:rPr>
        <w:t>($44,000).</w:t>
      </w:r>
    </w:p>
    <w:p>
      <w:pPr>
        <w:pStyle w:val="ListParagraph"/>
        <w:numPr>
          <w:ilvl w:val="1"/>
          <w:numId w:val="12"/>
        </w:numPr>
        <w:tabs>
          <w:tab w:pos="966" w:val="left" w:leader="none"/>
        </w:tabs>
        <w:spacing w:line="240" w:lineRule="auto" w:before="27" w:after="0"/>
        <w:ind w:left="965" w:right="0" w:hanging="200"/>
        <w:jc w:val="left"/>
        <w:rPr>
          <w:sz w:val="15"/>
        </w:rPr>
      </w:pPr>
      <w:r>
        <w:rPr>
          <w:sz w:val="15"/>
        </w:rPr>
        <w:t>Fremantle</w:t>
      </w:r>
      <w:r>
        <w:rPr>
          <w:spacing w:val="-7"/>
          <w:sz w:val="15"/>
        </w:rPr>
        <w:t> </w:t>
      </w:r>
      <w:r>
        <w:rPr>
          <w:sz w:val="15"/>
        </w:rPr>
        <w:t>Prison</w:t>
      </w:r>
      <w:r>
        <w:rPr>
          <w:spacing w:val="-7"/>
          <w:sz w:val="15"/>
        </w:rPr>
        <w:t> </w:t>
      </w:r>
      <w:r>
        <w:rPr>
          <w:sz w:val="15"/>
        </w:rPr>
        <w:t>land</w:t>
      </w:r>
      <w:r>
        <w:rPr>
          <w:spacing w:val="-7"/>
          <w:sz w:val="15"/>
        </w:rPr>
        <w:t> </w:t>
      </w:r>
      <w:r>
        <w:rPr>
          <w:sz w:val="15"/>
        </w:rPr>
        <w:t>and</w:t>
      </w:r>
      <w:r>
        <w:rPr>
          <w:spacing w:val="-6"/>
          <w:sz w:val="15"/>
        </w:rPr>
        <w:t> </w:t>
      </w:r>
      <w:r>
        <w:rPr>
          <w:sz w:val="15"/>
        </w:rPr>
        <w:t>buildings</w:t>
      </w:r>
      <w:r>
        <w:rPr>
          <w:spacing w:val="-7"/>
          <w:sz w:val="15"/>
        </w:rPr>
        <w:t> </w:t>
      </w:r>
      <w:r>
        <w:rPr>
          <w:sz w:val="15"/>
        </w:rPr>
        <w:t>were</w:t>
      </w:r>
      <w:r>
        <w:rPr>
          <w:spacing w:val="-7"/>
          <w:sz w:val="15"/>
        </w:rPr>
        <w:t> </w:t>
      </w:r>
      <w:r>
        <w:rPr>
          <w:sz w:val="15"/>
        </w:rPr>
        <w:t>transferred</w:t>
      </w:r>
      <w:r>
        <w:rPr>
          <w:spacing w:val="-7"/>
          <w:sz w:val="15"/>
        </w:rPr>
        <w:t> </w:t>
      </w:r>
      <w:r>
        <w:rPr>
          <w:sz w:val="15"/>
        </w:rPr>
        <w:t>to</w:t>
      </w:r>
      <w:r>
        <w:rPr>
          <w:spacing w:val="-6"/>
          <w:sz w:val="15"/>
        </w:rPr>
        <w:t> </w:t>
      </w:r>
      <w:r>
        <w:rPr>
          <w:sz w:val="15"/>
        </w:rPr>
        <w:t>the</w:t>
      </w:r>
      <w:r>
        <w:rPr>
          <w:spacing w:val="-7"/>
          <w:sz w:val="15"/>
        </w:rPr>
        <w:t> </w:t>
      </w:r>
      <w:r>
        <w:rPr>
          <w:sz w:val="15"/>
        </w:rPr>
        <w:t>State</w:t>
      </w:r>
      <w:r>
        <w:rPr>
          <w:spacing w:val="-7"/>
          <w:sz w:val="15"/>
        </w:rPr>
        <w:t> </w:t>
      </w:r>
      <w:r>
        <w:rPr>
          <w:sz w:val="15"/>
        </w:rPr>
        <w:t>Heritage</w:t>
      </w:r>
      <w:r>
        <w:rPr>
          <w:spacing w:val="-7"/>
          <w:sz w:val="15"/>
        </w:rPr>
        <w:t> </w:t>
      </w:r>
      <w:r>
        <w:rPr>
          <w:sz w:val="15"/>
        </w:rPr>
        <w:t>Office</w:t>
      </w:r>
      <w:r>
        <w:rPr>
          <w:spacing w:val="-6"/>
          <w:sz w:val="15"/>
        </w:rPr>
        <w:t> </w:t>
      </w:r>
      <w:r>
        <w:rPr>
          <w:sz w:val="15"/>
        </w:rPr>
        <w:t>for</w:t>
      </w:r>
      <w:r>
        <w:rPr>
          <w:spacing w:val="-7"/>
          <w:sz w:val="15"/>
        </w:rPr>
        <w:t> </w:t>
      </w:r>
      <w:r>
        <w:rPr>
          <w:sz w:val="15"/>
        </w:rPr>
        <w:t>$265,000</w:t>
      </w:r>
      <w:r>
        <w:rPr>
          <w:spacing w:val="-7"/>
          <w:sz w:val="15"/>
        </w:rPr>
        <w:t> </w:t>
      </w:r>
      <w:r>
        <w:rPr>
          <w:sz w:val="15"/>
        </w:rPr>
        <w:t>and</w:t>
      </w:r>
      <w:r>
        <w:rPr>
          <w:spacing w:val="-7"/>
          <w:sz w:val="15"/>
        </w:rPr>
        <w:t> </w:t>
      </w:r>
      <w:r>
        <w:rPr>
          <w:sz w:val="15"/>
        </w:rPr>
        <w:t>$29,301,600</w:t>
      </w:r>
      <w:r>
        <w:rPr>
          <w:spacing w:val="-6"/>
          <w:sz w:val="15"/>
        </w:rPr>
        <w:t> </w:t>
      </w:r>
      <w:r>
        <w:rPr>
          <w:sz w:val="15"/>
        </w:rPr>
        <w:t>respectively.</w:t>
      </w:r>
      <w:r>
        <w:rPr>
          <w:spacing w:val="-7"/>
          <w:sz w:val="15"/>
        </w:rPr>
        <w:t> </w:t>
      </w:r>
      <w:r>
        <w:rPr>
          <w:sz w:val="15"/>
        </w:rPr>
        <w:t>Work</w:t>
      </w:r>
      <w:r>
        <w:rPr>
          <w:spacing w:val="-7"/>
          <w:sz w:val="15"/>
        </w:rPr>
        <w:t> </w:t>
      </w:r>
      <w:r>
        <w:rPr>
          <w:sz w:val="15"/>
        </w:rPr>
        <w:t>in</w:t>
      </w:r>
      <w:r>
        <w:rPr>
          <w:spacing w:val="-7"/>
          <w:sz w:val="15"/>
        </w:rPr>
        <w:t> </w:t>
      </w:r>
      <w:r>
        <w:rPr>
          <w:sz w:val="15"/>
        </w:rPr>
        <w:t>progress</w:t>
      </w:r>
      <w:r>
        <w:rPr>
          <w:spacing w:val="-6"/>
          <w:sz w:val="15"/>
        </w:rPr>
        <w:t> </w:t>
      </w:r>
      <w:r>
        <w:rPr>
          <w:sz w:val="15"/>
        </w:rPr>
        <w:t>was</w:t>
      </w:r>
      <w:r>
        <w:rPr>
          <w:spacing w:val="-7"/>
          <w:sz w:val="15"/>
        </w:rPr>
        <w:t> </w:t>
      </w:r>
      <w:r>
        <w:rPr>
          <w:sz w:val="15"/>
        </w:rPr>
        <w:t>transferred</w:t>
      </w:r>
      <w:r>
        <w:rPr>
          <w:spacing w:val="-7"/>
          <w:sz w:val="15"/>
        </w:rPr>
        <w:t> </w:t>
      </w:r>
      <w:r>
        <w:rPr>
          <w:sz w:val="15"/>
        </w:rPr>
        <w:t>to</w:t>
      </w:r>
      <w:r>
        <w:rPr>
          <w:spacing w:val="-7"/>
          <w:sz w:val="15"/>
        </w:rPr>
        <w:t> </w:t>
      </w:r>
      <w:r>
        <w:rPr>
          <w:sz w:val="15"/>
        </w:rPr>
        <w:t>Leasehold</w:t>
      </w:r>
      <w:r>
        <w:rPr>
          <w:spacing w:val="-6"/>
          <w:sz w:val="15"/>
        </w:rPr>
        <w:t> </w:t>
      </w:r>
      <w:r>
        <w:rPr>
          <w:sz w:val="15"/>
        </w:rPr>
        <w:t>Improvements</w:t>
      </w:r>
      <w:r>
        <w:rPr>
          <w:spacing w:val="-7"/>
          <w:sz w:val="15"/>
        </w:rPr>
        <w:t> </w:t>
      </w:r>
      <w:r>
        <w:rPr>
          <w:sz w:val="15"/>
        </w:rPr>
        <w:t>for</w:t>
      </w:r>
      <w:r>
        <w:rPr>
          <w:spacing w:val="-7"/>
          <w:sz w:val="15"/>
        </w:rPr>
        <w:t> </w:t>
      </w:r>
      <w:r>
        <w:rPr>
          <w:sz w:val="15"/>
        </w:rPr>
        <w:t>$4,247,783</w:t>
      </w:r>
      <w:r>
        <w:rPr>
          <w:spacing w:val="-7"/>
          <w:sz w:val="15"/>
        </w:rPr>
        <w:t> </w:t>
      </w:r>
      <w:r>
        <w:rPr>
          <w:sz w:val="15"/>
        </w:rPr>
        <w:t>and</w:t>
      </w:r>
      <w:r>
        <w:rPr>
          <w:spacing w:val="-6"/>
          <w:sz w:val="15"/>
        </w:rPr>
        <w:t> </w:t>
      </w:r>
      <w:r>
        <w:rPr>
          <w:sz w:val="15"/>
        </w:rPr>
        <w:t>to</w:t>
      </w:r>
      <w:r>
        <w:rPr>
          <w:spacing w:val="-7"/>
          <w:sz w:val="15"/>
        </w:rPr>
        <w:t> </w:t>
      </w:r>
      <w:r>
        <w:rPr>
          <w:sz w:val="15"/>
        </w:rPr>
        <w:t>office</w:t>
      </w:r>
      <w:r>
        <w:rPr>
          <w:spacing w:val="-7"/>
          <w:sz w:val="15"/>
        </w:rPr>
        <w:t> </w:t>
      </w:r>
      <w:r>
        <w:rPr>
          <w:sz w:val="15"/>
        </w:rPr>
        <w:t>fitout</w:t>
      </w:r>
      <w:r>
        <w:rPr>
          <w:spacing w:val="-7"/>
          <w:sz w:val="15"/>
        </w:rPr>
        <w:t> </w:t>
      </w:r>
      <w:r>
        <w:rPr>
          <w:sz w:val="15"/>
        </w:rPr>
        <w:t>for</w:t>
      </w:r>
    </w:p>
    <w:p>
      <w:pPr>
        <w:spacing w:line="278" w:lineRule="auto" w:before="28"/>
        <w:ind w:left="973" w:right="989" w:firstLine="0"/>
        <w:jc w:val="left"/>
        <w:rPr>
          <w:sz w:val="15"/>
        </w:rPr>
      </w:pPr>
      <w:r>
        <w:rPr>
          <w:sz w:val="15"/>
        </w:rPr>
        <w:t>$23,449,221.</w:t>
      </w:r>
      <w:r>
        <w:rPr>
          <w:spacing w:val="-15"/>
          <w:sz w:val="15"/>
        </w:rPr>
        <w:t> </w:t>
      </w:r>
      <w:r>
        <w:rPr>
          <w:sz w:val="15"/>
        </w:rPr>
        <w:t>Four</w:t>
      </w:r>
      <w:r>
        <w:rPr>
          <w:spacing w:val="-14"/>
          <w:sz w:val="15"/>
        </w:rPr>
        <w:t> </w:t>
      </w:r>
      <w:r>
        <w:rPr>
          <w:sz w:val="15"/>
        </w:rPr>
        <w:t>office</w:t>
      </w:r>
      <w:r>
        <w:rPr>
          <w:spacing w:val="-14"/>
          <w:sz w:val="15"/>
        </w:rPr>
        <w:t> </w:t>
      </w:r>
      <w:r>
        <w:rPr>
          <w:sz w:val="15"/>
        </w:rPr>
        <w:t>fitout</w:t>
      </w:r>
      <w:r>
        <w:rPr>
          <w:spacing w:val="-14"/>
          <w:sz w:val="15"/>
        </w:rPr>
        <w:t> </w:t>
      </w:r>
      <w:r>
        <w:rPr>
          <w:sz w:val="15"/>
        </w:rPr>
        <w:t>were</w:t>
      </w:r>
      <w:r>
        <w:rPr>
          <w:spacing w:val="-15"/>
          <w:sz w:val="15"/>
        </w:rPr>
        <w:t> </w:t>
      </w:r>
      <w:r>
        <w:rPr>
          <w:sz w:val="15"/>
        </w:rPr>
        <w:t>transferred</w:t>
      </w:r>
      <w:r>
        <w:rPr>
          <w:spacing w:val="-14"/>
          <w:sz w:val="15"/>
        </w:rPr>
        <w:t> </w:t>
      </w:r>
      <w:r>
        <w:rPr>
          <w:sz w:val="15"/>
        </w:rPr>
        <w:t>to</w:t>
      </w:r>
      <w:r>
        <w:rPr>
          <w:spacing w:val="-14"/>
          <w:sz w:val="15"/>
        </w:rPr>
        <w:t> </w:t>
      </w:r>
      <w:r>
        <w:rPr>
          <w:sz w:val="15"/>
        </w:rPr>
        <w:t>Western</w:t>
      </w:r>
      <w:r>
        <w:rPr>
          <w:spacing w:val="-14"/>
          <w:sz w:val="15"/>
        </w:rPr>
        <w:t> </w:t>
      </w:r>
      <w:r>
        <w:rPr>
          <w:sz w:val="15"/>
        </w:rPr>
        <w:t>Australia</w:t>
      </w:r>
      <w:r>
        <w:rPr>
          <w:spacing w:val="-14"/>
          <w:sz w:val="15"/>
        </w:rPr>
        <w:t> </w:t>
      </w:r>
      <w:r>
        <w:rPr>
          <w:sz w:val="15"/>
        </w:rPr>
        <w:t>Police</w:t>
      </w:r>
      <w:r>
        <w:rPr>
          <w:spacing w:val="-15"/>
          <w:sz w:val="15"/>
        </w:rPr>
        <w:t> </w:t>
      </w:r>
      <w:r>
        <w:rPr>
          <w:sz w:val="15"/>
        </w:rPr>
        <w:t>for</w:t>
      </w:r>
      <w:r>
        <w:rPr>
          <w:spacing w:val="-14"/>
          <w:sz w:val="15"/>
        </w:rPr>
        <w:t> </w:t>
      </w:r>
      <w:r>
        <w:rPr>
          <w:sz w:val="15"/>
        </w:rPr>
        <w:t>$1,312,215.</w:t>
      </w:r>
      <w:r>
        <w:rPr>
          <w:spacing w:val="-14"/>
          <w:sz w:val="15"/>
        </w:rPr>
        <w:t> </w:t>
      </w:r>
      <w:r>
        <w:rPr>
          <w:sz w:val="15"/>
        </w:rPr>
        <w:t>One</w:t>
      </w:r>
      <w:r>
        <w:rPr>
          <w:spacing w:val="-14"/>
          <w:sz w:val="15"/>
        </w:rPr>
        <w:t> </w:t>
      </w:r>
      <w:r>
        <w:rPr>
          <w:sz w:val="15"/>
        </w:rPr>
        <w:t>office</w:t>
      </w:r>
      <w:r>
        <w:rPr>
          <w:spacing w:val="-14"/>
          <w:sz w:val="15"/>
        </w:rPr>
        <w:t> </w:t>
      </w:r>
      <w:r>
        <w:rPr>
          <w:sz w:val="15"/>
        </w:rPr>
        <w:t>fitout</w:t>
      </w:r>
      <w:r>
        <w:rPr>
          <w:spacing w:val="-15"/>
          <w:sz w:val="15"/>
        </w:rPr>
        <w:t> </w:t>
      </w:r>
      <w:r>
        <w:rPr>
          <w:sz w:val="15"/>
        </w:rPr>
        <w:t>was</w:t>
      </w:r>
      <w:r>
        <w:rPr>
          <w:spacing w:val="-14"/>
          <w:sz w:val="15"/>
        </w:rPr>
        <w:t> </w:t>
      </w:r>
      <w:r>
        <w:rPr>
          <w:sz w:val="15"/>
        </w:rPr>
        <w:t>transferred</w:t>
      </w:r>
      <w:r>
        <w:rPr>
          <w:spacing w:val="-14"/>
          <w:sz w:val="15"/>
        </w:rPr>
        <w:t> </w:t>
      </w:r>
      <w:r>
        <w:rPr>
          <w:sz w:val="15"/>
        </w:rPr>
        <w:t>to</w:t>
      </w:r>
      <w:r>
        <w:rPr>
          <w:spacing w:val="-14"/>
          <w:sz w:val="15"/>
        </w:rPr>
        <w:t> </w:t>
      </w:r>
      <w:r>
        <w:rPr>
          <w:sz w:val="15"/>
        </w:rPr>
        <w:t>Department</w:t>
      </w:r>
      <w:r>
        <w:rPr>
          <w:spacing w:val="-14"/>
          <w:sz w:val="15"/>
        </w:rPr>
        <w:t> </w:t>
      </w:r>
      <w:r>
        <w:rPr>
          <w:sz w:val="15"/>
        </w:rPr>
        <w:t>of</w:t>
      </w:r>
      <w:r>
        <w:rPr>
          <w:spacing w:val="-15"/>
          <w:sz w:val="15"/>
        </w:rPr>
        <w:t> </w:t>
      </w:r>
      <w:r>
        <w:rPr>
          <w:sz w:val="15"/>
        </w:rPr>
        <w:t>Attorney</w:t>
      </w:r>
      <w:r>
        <w:rPr>
          <w:spacing w:val="-14"/>
          <w:sz w:val="15"/>
        </w:rPr>
        <w:t> </w:t>
      </w:r>
      <w:r>
        <w:rPr>
          <w:sz w:val="15"/>
        </w:rPr>
        <w:t>General</w:t>
      </w:r>
      <w:r>
        <w:rPr>
          <w:spacing w:val="-14"/>
          <w:sz w:val="15"/>
        </w:rPr>
        <w:t> </w:t>
      </w:r>
      <w:r>
        <w:rPr>
          <w:sz w:val="15"/>
        </w:rPr>
        <w:t>for</w:t>
      </w:r>
      <w:r>
        <w:rPr>
          <w:spacing w:val="-14"/>
          <w:sz w:val="15"/>
        </w:rPr>
        <w:t> </w:t>
      </w:r>
      <w:r>
        <w:rPr>
          <w:sz w:val="15"/>
        </w:rPr>
        <w:t>$21,917,221.</w:t>
      </w:r>
      <w:r>
        <w:rPr>
          <w:spacing w:val="-14"/>
          <w:sz w:val="15"/>
        </w:rPr>
        <w:t> </w:t>
      </w:r>
      <w:r>
        <w:rPr>
          <w:sz w:val="15"/>
        </w:rPr>
        <w:t>During</w:t>
      </w:r>
      <w:r>
        <w:rPr>
          <w:spacing w:val="-15"/>
          <w:sz w:val="15"/>
        </w:rPr>
        <w:t> </w:t>
      </w:r>
      <w:r>
        <w:rPr>
          <w:sz w:val="15"/>
        </w:rPr>
        <w:t>the</w:t>
      </w:r>
      <w:r>
        <w:rPr>
          <w:spacing w:val="-14"/>
          <w:sz w:val="15"/>
        </w:rPr>
        <w:t> </w:t>
      </w:r>
      <w:r>
        <w:rPr>
          <w:sz w:val="15"/>
        </w:rPr>
        <w:t>financial</w:t>
      </w:r>
      <w:r>
        <w:rPr>
          <w:spacing w:val="-14"/>
          <w:sz w:val="15"/>
        </w:rPr>
        <w:t> </w:t>
      </w:r>
      <w:r>
        <w:rPr>
          <w:sz w:val="15"/>
        </w:rPr>
        <w:t>year</w:t>
      </w:r>
      <w:r>
        <w:rPr>
          <w:spacing w:val="-14"/>
          <w:sz w:val="15"/>
        </w:rPr>
        <w:t> </w:t>
      </w:r>
      <w:r>
        <w:rPr>
          <w:sz w:val="15"/>
        </w:rPr>
        <w:t>7</w:t>
      </w:r>
      <w:r>
        <w:rPr>
          <w:spacing w:val="-14"/>
          <w:sz w:val="15"/>
        </w:rPr>
        <w:t> </w:t>
      </w:r>
      <w:r>
        <w:rPr>
          <w:sz w:val="15"/>
        </w:rPr>
        <w:t>vehicles</w:t>
      </w:r>
      <w:r>
        <w:rPr>
          <w:spacing w:val="-15"/>
          <w:sz w:val="15"/>
        </w:rPr>
        <w:t> </w:t>
      </w:r>
      <w:r>
        <w:rPr>
          <w:sz w:val="15"/>
        </w:rPr>
        <w:t>were</w:t>
      </w:r>
      <w:r>
        <w:rPr>
          <w:spacing w:val="-14"/>
          <w:sz w:val="15"/>
        </w:rPr>
        <w:t> </w:t>
      </w:r>
      <w:r>
        <w:rPr>
          <w:sz w:val="15"/>
        </w:rPr>
        <w:t>transferred</w:t>
      </w:r>
      <w:r>
        <w:rPr>
          <w:spacing w:val="-14"/>
          <w:sz w:val="15"/>
        </w:rPr>
        <w:t> </w:t>
      </w:r>
      <w:r>
        <w:rPr>
          <w:spacing w:val="-6"/>
          <w:sz w:val="15"/>
        </w:rPr>
        <w:t>to </w:t>
      </w:r>
      <w:r>
        <w:rPr>
          <w:sz w:val="15"/>
        </w:rPr>
        <w:t>finance</w:t>
      </w:r>
      <w:r>
        <w:rPr>
          <w:spacing w:val="-6"/>
          <w:sz w:val="15"/>
        </w:rPr>
        <w:t> </w:t>
      </w:r>
      <w:r>
        <w:rPr>
          <w:sz w:val="15"/>
        </w:rPr>
        <w:t>leases;</w:t>
      </w:r>
      <w:r>
        <w:rPr>
          <w:spacing w:val="-6"/>
          <w:sz w:val="15"/>
        </w:rPr>
        <w:t> </w:t>
      </w:r>
      <w:r>
        <w:rPr>
          <w:sz w:val="15"/>
        </w:rPr>
        <w:t>made</w:t>
      </w:r>
      <w:r>
        <w:rPr>
          <w:spacing w:val="-6"/>
          <w:sz w:val="15"/>
        </w:rPr>
        <w:t> </w:t>
      </w:r>
      <w:r>
        <w:rPr>
          <w:sz w:val="15"/>
        </w:rPr>
        <w:t>up</w:t>
      </w:r>
      <w:r>
        <w:rPr>
          <w:spacing w:val="-5"/>
          <w:sz w:val="15"/>
        </w:rPr>
        <w:t> </w:t>
      </w:r>
      <w:r>
        <w:rPr>
          <w:sz w:val="15"/>
        </w:rPr>
        <w:t>of</w:t>
      </w:r>
      <w:r>
        <w:rPr>
          <w:spacing w:val="-6"/>
          <w:sz w:val="15"/>
        </w:rPr>
        <w:t> </w:t>
      </w:r>
      <w:r>
        <w:rPr>
          <w:sz w:val="15"/>
        </w:rPr>
        <w:t>four</w:t>
      </w:r>
      <w:r>
        <w:rPr>
          <w:spacing w:val="-6"/>
          <w:sz w:val="15"/>
        </w:rPr>
        <w:t> </w:t>
      </w:r>
      <w:r>
        <w:rPr>
          <w:sz w:val="15"/>
        </w:rPr>
        <w:t>vehicles</w:t>
      </w:r>
      <w:r>
        <w:rPr>
          <w:spacing w:val="-6"/>
          <w:sz w:val="15"/>
        </w:rPr>
        <w:t> </w:t>
      </w:r>
      <w:r>
        <w:rPr>
          <w:sz w:val="15"/>
        </w:rPr>
        <w:t>for</w:t>
      </w:r>
      <w:r>
        <w:rPr>
          <w:spacing w:val="-5"/>
          <w:sz w:val="15"/>
        </w:rPr>
        <w:t> </w:t>
      </w:r>
      <w:r>
        <w:rPr>
          <w:sz w:val="15"/>
        </w:rPr>
        <w:t>Water</w:t>
      </w:r>
      <w:r>
        <w:rPr>
          <w:spacing w:val="-6"/>
          <w:sz w:val="15"/>
        </w:rPr>
        <w:t> </w:t>
      </w:r>
      <w:r>
        <w:rPr>
          <w:sz w:val="15"/>
        </w:rPr>
        <w:t>Corporation</w:t>
      </w:r>
      <w:r>
        <w:rPr>
          <w:spacing w:val="-6"/>
          <w:sz w:val="15"/>
        </w:rPr>
        <w:t> </w:t>
      </w:r>
      <w:r>
        <w:rPr>
          <w:sz w:val="15"/>
        </w:rPr>
        <w:t>($140,000),</w:t>
      </w:r>
      <w:r>
        <w:rPr>
          <w:spacing w:val="-6"/>
          <w:sz w:val="15"/>
        </w:rPr>
        <w:t> </w:t>
      </w:r>
      <w:r>
        <w:rPr>
          <w:sz w:val="15"/>
        </w:rPr>
        <w:t>two</w:t>
      </w:r>
      <w:r>
        <w:rPr>
          <w:spacing w:val="-5"/>
          <w:sz w:val="15"/>
        </w:rPr>
        <w:t> </w:t>
      </w:r>
      <w:r>
        <w:rPr>
          <w:sz w:val="15"/>
        </w:rPr>
        <w:t>vehicles</w:t>
      </w:r>
      <w:r>
        <w:rPr>
          <w:spacing w:val="-6"/>
          <w:sz w:val="15"/>
        </w:rPr>
        <w:t> </w:t>
      </w:r>
      <w:r>
        <w:rPr>
          <w:sz w:val="15"/>
        </w:rPr>
        <w:t>for</w:t>
      </w:r>
      <w:r>
        <w:rPr>
          <w:spacing w:val="-6"/>
          <w:sz w:val="15"/>
        </w:rPr>
        <w:t> </w:t>
      </w:r>
      <w:r>
        <w:rPr>
          <w:sz w:val="15"/>
        </w:rPr>
        <w:t>the</w:t>
      </w:r>
      <w:r>
        <w:rPr>
          <w:spacing w:val="-5"/>
          <w:sz w:val="15"/>
        </w:rPr>
        <w:t> </w:t>
      </w:r>
      <w:r>
        <w:rPr>
          <w:sz w:val="15"/>
        </w:rPr>
        <w:t>Department</w:t>
      </w:r>
      <w:r>
        <w:rPr>
          <w:spacing w:val="-6"/>
          <w:sz w:val="15"/>
        </w:rPr>
        <w:t> </w:t>
      </w:r>
      <w:r>
        <w:rPr>
          <w:sz w:val="15"/>
        </w:rPr>
        <w:t>of</w:t>
      </w:r>
      <w:r>
        <w:rPr>
          <w:spacing w:val="-6"/>
          <w:sz w:val="15"/>
        </w:rPr>
        <w:t> </w:t>
      </w:r>
      <w:r>
        <w:rPr>
          <w:sz w:val="15"/>
        </w:rPr>
        <w:t>Education</w:t>
      </w:r>
      <w:r>
        <w:rPr>
          <w:spacing w:val="-6"/>
          <w:sz w:val="15"/>
        </w:rPr>
        <w:t> </w:t>
      </w:r>
      <w:r>
        <w:rPr>
          <w:sz w:val="15"/>
        </w:rPr>
        <w:t>($84,000)</w:t>
      </w:r>
      <w:r>
        <w:rPr>
          <w:spacing w:val="-5"/>
          <w:sz w:val="15"/>
        </w:rPr>
        <w:t> </w:t>
      </w:r>
      <w:r>
        <w:rPr>
          <w:sz w:val="15"/>
        </w:rPr>
        <w:t>and</w:t>
      </w:r>
      <w:r>
        <w:rPr>
          <w:spacing w:val="-6"/>
          <w:sz w:val="15"/>
        </w:rPr>
        <w:t> </w:t>
      </w:r>
      <w:r>
        <w:rPr>
          <w:sz w:val="15"/>
        </w:rPr>
        <w:t>one</w:t>
      </w:r>
      <w:r>
        <w:rPr>
          <w:spacing w:val="-6"/>
          <w:sz w:val="15"/>
        </w:rPr>
        <w:t> </w:t>
      </w:r>
      <w:r>
        <w:rPr>
          <w:sz w:val="15"/>
        </w:rPr>
        <w:t>vehicle</w:t>
      </w:r>
      <w:r>
        <w:rPr>
          <w:spacing w:val="-6"/>
          <w:sz w:val="15"/>
        </w:rPr>
        <w:t> </w:t>
      </w:r>
      <w:r>
        <w:rPr>
          <w:sz w:val="15"/>
        </w:rPr>
        <w:t>for</w:t>
      </w:r>
      <w:r>
        <w:rPr>
          <w:spacing w:val="-5"/>
          <w:sz w:val="15"/>
        </w:rPr>
        <w:t> </w:t>
      </w:r>
      <w:r>
        <w:rPr>
          <w:sz w:val="15"/>
        </w:rPr>
        <w:t>the</w:t>
      </w:r>
      <w:r>
        <w:rPr>
          <w:spacing w:val="-6"/>
          <w:sz w:val="15"/>
        </w:rPr>
        <w:t> </w:t>
      </w:r>
      <w:r>
        <w:rPr>
          <w:sz w:val="15"/>
        </w:rPr>
        <w:t>Department</w:t>
      </w:r>
      <w:r>
        <w:rPr>
          <w:spacing w:val="-6"/>
          <w:sz w:val="15"/>
        </w:rPr>
        <w:t> </w:t>
      </w:r>
      <w:r>
        <w:rPr>
          <w:sz w:val="15"/>
        </w:rPr>
        <w:t>of</w:t>
      </w:r>
      <w:r>
        <w:rPr>
          <w:spacing w:val="-6"/>
          <w:sz w:val="15"/>
        </w:rPr>
        <w:t> </w:t>
      </w:r>
      <w:r>
        <w:rPr>
          <w:sz w:val="15"/>
        </w:rPr>
        <w:t>Agriculture</w:t>
      </w:r>
      <w:r>
        <w:rPr>
          <w:spacing w:val="-5"/>
          <w:sz w:val="15"/>
        </w:rPr>
        <w:t> </w:t>
      </w:r>
      <w:r>
        <w:rPr>
          <w:sz w:val="15"/>
        </w:rPr>
        <w:t>and</w:t>
      </w:r>
      <w:r>
        <w:rPr>
          <w:spacing w:val="-6"/>
          <w:sz w:val="15"/>
        </w:rPr>
        <w:t> </w:t>
      </w:r>
      <w:r>
        <w:rPr>
          <w:sz w:val="15"/>
        </w:rPr>
        <w:t>Food</w:t>
      </w:r>
      <w:r>
        <w:rPr>
          <w:spacing w:val="-6"/>
          <w:sz w:val="15"/>
        </w:rPr>
        <w:t> </w:t>
      </w:r>
      <w:r>
        <w:rPr>
          <w:sz w:val="15"/>
        </w:rPr>
        <w:t>($37,000).</w:t>
      </w:r>
    </w:p>
    <w:p>
      <w:pPr>
        <w:spacing w:after="0" w:line="278" w:lineRule="auto"/>
        <w:jc w:val="left"/>
        <w:rPr>
          <w:sz w:val="15"/>
        </w:rPr>
        <w:sectPr>
          <w:footerReference w:type="default" r:id="rId210"/>
          <w:pgSz w:w="16840" w:h="11910" w:orient="landscape"/>
          <w:pgMar w:footer="448" w:header="0" w:top="0" w:bottom="64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pPr>
    </w:p>
    <w:p>
      <w:pPr>
        <w:pStyle w:val="Heading1"/>
        <w:spacing w:before="93"/>
      </w:pPr>
      <w:r>
        <w:rPr/>
        <w:pict>
          <v:group style="position:absolute;margin-left:763.172119pt;margin-top:-3.544212pt;width:61.1pt;height:45.2pt;mso-position-horizontal-relative:page;mso-position-vertical-relative:paragraph;z-index:17800"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17848" coordorigin="0,-1146" coordsize="2406,851">
            <v:rect style="position:absolute;left:0;top:-1147;width:2406;height:851" filled="true" fillcolor="#aebd37" stroked="false">
              <v:fill type="solid"/>
            </v:rect>
            <v:line style="position:absolute" from="0,-1146" to="0,-296" stroked="true" strokeweight="0pt" strokecolor="#aebd37">
              <v:stroke dashstyle="solid"/>
            </v:line>
            <v:shape style="position:absolute;left:0;top:-1147;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17944"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spacing w:before="29"/>
      </w:pPr>
      <w:r>
        <w:rPr>
          <w:color w:val="A7BE39"/>
        </w:rPr>
        <w:t>For the year ended 30 June 2017</w:t>
      </w:r>
    </w:p>
    <w:p>
      <w:pPr>
        <w:tabs>
          <w:tab w:pos="8631" w:val="left" w:leader="none"/>
        </w:tabs>
        <w:spacing w:before="254"/>
        <w:ind w:left="765" w:right="0" w:firstLine="0"/>
        <w:jc w:val="left"/>
        <w:rPr>
          <w:b/>
          <w:sz w:val="22"/>
        </w:rPr>
      </w:pPr>
      <w:r>
        <w:rPr/>
        <w:pict>
          <v:group style="position:absolute;margin-left:38.7677pt;margin-top:84.682014pt;width:313.25pt;height:46.95pt;mso-position-horizontal-relative:page;mso-position-vertical-relative:paragraph;z-index:17752" coordorigin="775,1694" coordsize="6265,939">
            <v:rect style="position:absolute;left:775;top:1693;width:2863;height:328" filled="true" fillcolor="#f4f4f4" stroked="false">
              <v:fill type="solid"/>
            </v:rect>
            <v:line style="position:absolute" from="3638,1694" to="3638,2021" stroked="true" strokeweight=".001pt" strokecolor="#f4f4f4">
              <v:stroke dashstyle="solid"/>
            </v:line>
            <v:shape style="position:absolute;left:775;top:1693;width:6265;height:939" coordorigin="775,1694" coordsize="6265,939" path="m3638,2327l775,2327,775,2632,3638,2632,3638,2327m7040,1694l5906,1694,4772,1694,3638,1694,3638,2021,4772,2021,5906,2021,7040,2021,7040,1694e" filled="true" fillcolor="#f4f4f4" stroked="false">
              <v:path arrowok="t"/>
              <v:fill type="solid"/>
            </v:shape>
            <v:line style="position:absolute" from="3638,2327" to="3638,2632" stroked="true" strokeweight=".001pt" strokecolor="#f4f4f4">
              <v:stroke dashstyle="solid"/>
            </v:line>
            <v:shape style="position:absolute;left:3638;top:2326;width:3402;height:306" coordorigin="3638,2327" coordsize="3402,306" path="m7040,2327l5906,2327,4772,2327,3638,2327,3638,2632,4772,2632,5906,2632,7040,2632,7040,2327e" filled="true" fillcolor="#f4f4f4" stroked="false">
              <v:path arrowok="t"/>
              <v:fill type="solid"/>
            </v:shape>
            <v:rect style="position:absolute;left:775;top:2020;width:2863;height:306" filled="true" fillcolor="#faf9f9" stroked="false">
              <v:fill type="solid"/>
            </v:rect>
            <v:line style="position:absolute" from="3638,2021" to="3638,2327" stroked="true" strokeweight=".001pt" strokecolor="#faf9f9">
              <v:stroke dashstyle="solid"/>
            </v:line>
            <v:shape style="position:absolute;left:3638;top:2020;width:3402;height:306" coordorigin="3638,2021" coordsize="3402,306" path="m7040,2021l5906,2021,4772,2021,3638,2021,3638,2327,4772,2327,5906,2327,7040,2327,7040,2021e" filled="true" fillcolor="#faf9f9" stroked="false">
              <v:path arrowok="t"/>
              <v:fill type="solid"/>
            </v:shape>
            <v:shape style="position:absolute;left:775;top:2010;width:6265;height:326" coordorigin="775,2011" coordsize="6265,326" path="m3628,2317l775,2317,775,2337,3628,2337,3628,2317m3628,2011l775,2011,775,2031,3628,2031,3628,2011m4762,2011l3648,2011,3648,2031,4762,2031,4762,2011m5896,2011l4782,2011,4782,2031,5896,2031,5896,2011m7040,2011l5916,2011,5916,2031,7040,2031,7040,2011e" filled="true" fillcolor="#ffffff" stroked="false">
              <v:path arrowok="t"/>
              <v:fill type="solid"/>
            </v:shape>
            <v:line style="position:absolute" from="3638,2021" to="3638,1699" stroked="true" strokeweight="1pt" strokecolor="#ffffff">
              <v:stroke dashstyle="solid"/>
            </v:line>
            <v:line style="position:absolute" from="4772,2021" to="4772,1699" stroked="true" strokeweight="1pt" strokecolor="#ffffff">
              <v:stroke dashstyle="solid"/>
            </v:line>
            <v:line style="position:absolute" from="5906,2021" to="5906,1699" stroked="true" strokeweight="1pt" strokecolor="#ffffff">
              <v:stroke dashstyle="solid"/>
            </v:line>
            <v:line style="position:absolute" from="3638,2327" to="3638,2021" stroked="true" strokeweight="1pt" strokecolor="#ffffff">
              <v:stroke dashstyle="solid"/>
            </v:line>
            <v:line style="position:absolute" from="4772,2322" to="4772,2021" stroked="true" strokeweight="1pt" strokecolor="#ffffff">
              <v:stroke dashstyle="solid"/>
            </v:line>
            <v:line style="position:absolute" from="5906,2322" to="5906,2021" stroked="true" strokeweight="1pt" strokecolor="#ffffff">
              <v:stroke dashstyle="solid"/>
            </v:line>
            <v:line style="position:absolute" from="3638,2632" to="3638,2327" stroked="true" strokeweight="1pt" strokecolor="#ffffff">
              <v:stroke dashstyle="solid"/>
            </v:line>
            <v:line style="position:absolute" from="4772,2602" to="4772,2332" stroked="true" strokeweight="1pt" strokecolor="#ffffff">
              <v:stroke dashstyle="solid"/>
            </v:line>
            <v:line style="position:absolute" from="5906,2602" to="5906,2332" stroked="true" strokeweight="1pt" strokecolor="#ffffff">
              <v:stroke dashstyle="solid"/>
            </v:line>
            <w10:wrap type="none"/>
          </v:group>
        </w:pict>
      </w:r>
      <w:r>
        <w:rPr/>
        <w:pict>
          <v:shape style="position:absolute;margin-left:38.767849pt;margin-top:35.195019pt;width:369.95pt;height:96.7pt;mso-position-horizontal-relative:page;mso-position-vertical-relative:paragraph;z-index:1796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3"/>
                    <w:gridCol w:w="1234"/>
                    <w:gridCol w:w="1134"/>
                    <w:gridCol w:w="1023"/>
                    <w:gridCol w:w="1134"/>
                  </w:tblGrid>
                  <w:tr>
                    <w:trPr>
                      <w:trHeight w:val="989" w:hRule="atLeast"/>
                    </w:trPr>
                    <w:tc>
                      <w:tcPr>
                        <w:tcW w:w="4107" w:type="dxa"/>
                        <w:gridSpan w:val="2"/>
                        <w:shd w:val="clear" w:color="auto" w:fill="783A79"/>
                      </w:tcPr>
                      <w:p>
                        <w:pPr>
                          <w:pStyle w:val="TableParagraph"/>
                          <w:tabs>
                            <w:tab w:pos="3246" w:val="left" w:leader="none"/>
                          </w:tabs>
                          <w:spacing w:line="249" w:lineRule="auto" w:before="42"/>
                          <w:ind w:left="113" w:right="221"/>
                          <w:rPr>
                            <w:b/>
                            <w:sz w:val="19"/>
                          </w:rPr>
                        </w:pPr>
                        <w:r>
                          <w:rPr>
                            <w:b/>
                            <w:color w:val="FFFFFF"/>
                            <w:sz w:val="19"/>
                          </w:rPr>
                          <w:t>Assets</w:t>
                        </w:r>
                        <w:r>
                          <w:rPr>
                            <w:b/>
                            <w:color w:val="FFFFFF"/>
                            <w:spacing w:val="-3"/>
                            <w:sz w:val="19"/>
                          </w:rPr>
                          <w:t> </w:t>
                        </w:r>
                        <w:r>
                          <w:rPr>
                            <w:b/>
                            <w:color w:val="FFFFFF"/>
                            <w:sz w:val="19"/>
                          </w:rPr>
                          <w:t>measured</w:t>
                          <w:tab/>
                          <w:t>Level </w:t>
                        </w:r>
                        <w:r>
                          <w:rPr>
                            <w:b/>
                            <w:color w:val="FFFFFF"/>
                            <w:spacing w:val="-18"/>
                            <w:sz w:val="19"/>
                          </w:rPr>
                          <w:t>1 </w:t>
                        </w:r>
                        <w:r>
                          <w:rPr>
                            <w:b/>
                            <w:color w:val="FFFFFF"/>
                            <w:sz w:val="19"/>
                          </w:rPr>
                          <w:t>at fair</w:t>
                        </w:r>
                        <w:r>
                          <w:rPr>
                            <w:b/>
                            <w:color w:val="FFFFFF"/>
                            <w:spacing w:val="-1"/>
                            <w:sz w:val="19"/>
                          </w:rPr>
                          <w:t> </w:t>
                        </w:r>
                        <w:r>
                          <w:rPr>
                            <w:b/>
                            <w:color w:val="FFFFFF"/>
                            <w:sz w:val="19"/>
                          </w:rPr>
                          <w:t>value:</w:t>
                        </w:r>
                      </w:p>
                      <w:p>
                        <w:pPr>
                          <w:pStyle w:val="TableParagraph"/>
                          <w:spacing w:before="0"/>
                          <w:rPr>
                            <w:sz w:val="20"/>
                          </w:rPr>
                        </w:pPr>
                      </w:p>
                      <w:p>
                        <w:pPr>
                          <w:pStyle w:val="TableParagraph"/>
                          <w:tabs>
                            <w:tab w:pos="3460" w:val="left" w:leader="none"/>
                          </w:tabs>
                          <w:spacing w:before="0"/>
                          <w:ind w:left="113"/>
                          <w:rPr>
                            <w:b/>
                            <w:sz w:val="19"/>
                          </w:rPr>
                        </w:pPr>
                        <w:r>
                          <w:rPr>
                            <w:b/>
                            <w:color w:val="FFFFFF"/>
                            <w:sz w:val="19"/>
                          </w:rPr>
                          <w:t>2017</w:t>
                          <w:tab/>
                          <w:t>$000</w:t>
                        </w:r>
                      </w:p>
                    </w:tc>
                    <w:tc>
                      <w:tcPr>
                        <w:tcW w:w="1134" w:type="dxa"/>
                        <w:shd w:val="clear" w:color="auto" w:fill="783A79"/>
                      </w:tcPr>
                      <w:p>
                        <w:pPr>
                          <w:pStyle w:val="TableParagraph"/>
                          <w:spacing w:before="42"/>
                          <w:ind w:left="273"/>
                          <w:rPr>
                            <w:b/>
                            <w:sz w:val="19"/>
                          </w:rPr>
                        </w:pPr>
                        <w:r>
                          <w:rPr>
                            <w:b/>
                            <w:color w:val="FFFFFF"/>
                            <w:sz w:val="19"/>
                          </w:rPr>
                          <w:t>Level</w:t>
                        </w:r>
                        <w:r>
                          <w:rPr>
                            <w:b/>
                            <w:color w:val="FFFFFF"/>
                            <w:spacing w:val="-8"/>
                            <w:sz w:val="19"/>
                          </w:rPr>
                          <w:t> </w:t>
                        </w:r>
                        <w:r>
                          <w:rPr>
                            <w:b/>
                            <w:color w:val="FFFFFF"/>
                            <w:sz w:val="19"/>
                          </w:rPr>
                          <w:t>2</w:t>
                        </w:r>
                      </w:p>
                      <w:p>
                        <w:pPr>
                          <w:pStyle w:val="TableParagraph"/>
                          <w:spacing w:before="0"/>
                          <w:rPr>
                            <w:sz w:val="22"/>
                          </w:rPr>
                        </w:pPr>
                      </w:p>
                      <w:p>
                        <w:pPr>
                          <w:pStyle w:val="TableParagraph"/>
                          <w:spacing w:before="6"/>
                          <w:rPr>
                            <w:sz w:val="18"/>
                          </w:rPr>
                        </w:pPr>
                      </w:p>
                      <w:p>
                        <w:pPr>
                          <w:pStyle w:val="TableParagraph"/>
                          <w:spacing w:before="0"/>
                          <w:ind w:left="487"/>
                          <w:rPr>
                            <w:b/>
                            <w:sz w:val="19"/>
                          </w:rPr>
                        </w:pPr>
                        <w:r>
                          <w:rPr>
                            <w:b/>
                            <w:color w:val="FFFFFF"/>
                            <w:sz w:val="19"/>
                          </w:rPr>
                          <w:t>$000</w:t>
                        </w:r>
                      </w:p>
                    </w:tc>
                    <w:tc>
                      <w:tcPr>
                        <w:tcW w:w="1023" w:type="dxa"/>
                        <w:shd w:val="clear" w:color="auto" w:fill="783A79"/>
                      </w:tcPr>
                      <w:p>
                        <w:pPr>
                          <w:pStyle w:val="TableParagraph"/>
                          <w:spacing w:before="42"/>
                          <w:ind w:left="273"/>
                          <w:rPr>
                            <w:b/>
                            <w:sz w:val="19"/>
                          </w:rPr>
                        </w:pPr>
                        <w:r>
                          <w:rPr>
                            <w:b/>
                            <w:color w:val="FFFFFF"/>
                            <w:sz w:val="19"/>
                          </w:rPr>
                          <w:t>Level</w:t>
                        </w:r>
                        <w:r>
                          <w:rPr>
                            <w:b/>
                            <w:color w:val="FFFFFF"/>
                            <w:spacing w:val="-8"/>
                            <w:sz w:val="19"/>
                          </w:rPr>
                          <w:t> </w:t>
                        </w:r>
                        <w:r>
                          <w:rPr>
                            <w:b/>
                            <w:color w:val="FFFFFF"/>
                            <w:sz w:val="19"/>
                          </w:rPr>
                          <w:t>3</w:t>
                        </w:r>
                      </w:p>
                      <w:p>
                        <w:pPr>
                          <w:pStyle w:val="TableParagraph"/>
                          <w:spacing w:before="0"/>
                          <w:rPr>
                            <w:sz w:val="22"/>
                          </w:rPr>
                        </w:pPr>
                      </w:p>
                      <w:p>
                        <w:pPr>
                          <w:pStyle w:val="TableParagraph"/>
                          <w:spacing w:before="6"/>
                          <w:rPr>
                            <w:sz w:val="18"/>
                          </w:rPr>
                        </w:pPr>
                      </w:p>
                      <w:p>
                        <w:pPr>
                          <w:pStyle w:val="TableParagraph"/>
                          <w:spacing w:before="0"/>
                          <w:ind w:left="487"/>
                          <w:rPr>
                            <w:b/>
                            <w:sz w:val="19"/>
                          </w:rPr>
                        </w:pPr>
                        <w:r>
                          <w:rPr>
                            <w:b/>
                            <w:color w:val="FFFFFF"/>
                            <w:sz w:val="19"/>
                          </w:rPr>
                          <w:t>$000</w:t>
                        </w:r>
                      </w:p>
                    </w:tc>
                    <w:tc>
                      <w:tcPr>
                        <w:tcW w:w="1134" w:type="dxa"/>
                        <w:shd w:val="clear" w:color="auto" w:fill="783A79"/>
                      </w:tcPr>
                      <w:p>
                        <w:pPr>
                          <w:pStyle w:val="TableParagraph"/>
                          <w:spacing w:line="249" w:lineRule="auto" w:before="42"/>
                          <w:ind w:left="201" w:right="110" w:hanging="57"/>
                          <w:jc w:val="right"/>
                          <w:rPr>
                            <w:b/>
                            <w:sz w:val="19"/>
                          </w:rPr>
                        </w:pPr>
                        <w:r>
                          <w:rPr>
                            <w:b/>
                            <w:color w:val="FFFFFF"/>
                            <w:sz w:val="19"/>
                          </w:rPr>
                          <w:t>Fair</w:t>
                        </w:r>
                        <w:r>
                          <w:rPr>
                            <w:b/>
                            <w:color w:val="FFFFFF"/>
                            <w:spacing w:val="-8"/>
                            <w:sz w:val="19"/>
                          </w:rPr>
                          <w:t> </w:t>
                        </w:r>
                        <w:r>
                          <w:rPr>
                            <w:b/>
                            <w:color w:val="FFFFFF"/>
                            <w:spacing w:val="-4"/>
                            <w:sz w:val="19"/>
                          </w:rPr>
                          <w:t>value</w:t>
                        </w:r>
                        <w:r>
                          <w:rPr>
                            <w:b/>
                            <w:color w:val="FFFFFF"/>
                            <w:w w:val="98"/>
                            <w:sz w:val="19"/>
                          </w:rPr>
                          <w:t> </w:t>
                        </w:r>
                        <w:r>
                          <w:rPr>
                            <w:b/>
                            <w:color w:val="FFFFFF"/>
                            <w:sz w:val="19"/>
                          </w:rPr>
                          <w:t>At</w:t>
                        </w:r>
                        <w:r>
                          <w:rPr>
                            <w:b/>
                            <w:color w:val="FFFFFF"/>
                            <w:spacing w:val="-2"/>
                            <w:sz w:val="19"/>
                          </w:rPr>
                          <w:t> </w:t>
                        </w:r>
                        <w:r>
                          <w:rPr>
                            <w:b/>
                            <w:color w:val="FFFFFF"/>
                            <w:sz w:val="19"/>
                          </w:rPr>
                          <w:t>end</w:t>
                        </w:r>
                        <w:r>
                          <w:rPr>
                            <w:b/>
                            <w:color w:val="FFFFFF"/>
                            <w:spacing w:val="-1"/>
                            <w:sz w:val="19"/>
                          </w:rPr>
                          <w:t> </w:t>
                        </w:r>
                        <w:r>
                          <w:rPr>
                            <w:b/>
                            <w:color w:val="FFFFFF"/>
                            <w:spacing w:val="-9"/>
                            <w:sz w:val="19"/>
                          </w:rPr>
                          <w:t>of</w:t>
                        </w:r>
                        <w:r>
                          <w:rPr>
                            <w:b/>
                            <w:color w:val="FFFFFF"/>
                            <w:w w:val="100"/>
                            <w:sz w:val="19"/>
                          </w:rPr>
                          <w:t> </w:t>
                        </w:r>
                        <w:r>
                          <w:rPr>
                            <w:b/>
                            <w:color w:val="FFFFFF"/>
                            <w:w w:val="95"/>
                            <w:sz w:val="19"/>
                          </w:rPr>
                          <w:t>period</w:t>
                        </w:r>
                      </w:p>
                      <w:p>
                        <w:pPr>
                          <w:pStyle w:val="TableParagraph"/>
                          <w:spacing w:before="3"/>
                          <w:ind w:right="110"/>
                          <w:jc w:val="right"/>
                          <w:rPr>
                            <w:b/>
                            <w:sz w:val="19"/>
                          </w:rPr>
                        </w:pPr>
                        <w:r>
                          <w:rPr>
                            <w:b/>
                            <w:color w:val="FFFFFF"/>
                            <w:w w:val="95"/>
                            <w:sz w:val="19"/>
                          </w:rPr>
                          <w:t>$000</w:t>
                        </w:r>
                      </w:p>
                    </w:tc>
                  </w:tr>
                  <w:tr>
                    <w:trPr>
                      <w:trHeight w:val="317" w:hRule="atLeast"/>
                    </w:trPr>
                    <w:tc>
                      <w:tcPr>
                        <w:tcW w:w="4107" w:type="dxa"/>
                        <w:gridSpan w:val="2"/>
                      </w:tcPr>
                      <w:p>
                        <w:pPr>
                          <w:pStyle w:val="TableParagraph"/>
                          <w:tabs>
                            <w:tab w:pos="3813" w:val="left" w:leader="none"/>
                          </w:tabs>
                          <w:spacing w:before="42"/>
                          <w:ind w:left="113"/>
                          <w:rPr>
                            <w:sz w:val="19"/>
                          </w:rPr>
                        </w:pPr>
                        <w:r>
                          <w:rPr>
                            <w:position w:val="-5"/>
                            <w:sz w:val="19"/>
                          </w:rPr>
                          <w:t>Land</w:t>
                        </w:r>
                        <w:r>
                          <w:rPr>
                            <w:sz w:val="10"/>
                          </w:rPr>
                          <w:t>(Note</w:t>
                        </w:r>
                        <w:r>
                          <w:rPr>
                            <w:spacing w:val="-7"/>
                            <w:sz w:val="10"/>
                          </w:rPr>
                          <w:t> </w:t>
                        </w:r>
                        <w:r>
                          <w:rPr>
                            <w:sz w:val="10"/>
                          </w:rPr>
                          <w:t>24)</w:t>
                          <w:tab/>
                        </w:r>
                        <w:r>
                          <w:rPr>
                            <w:position w:val="-5"/>
                            <w:sz w:val="19"/>
                          </w:rPr>
                          <w:t>-</w:t>
                        </w:r>
                      </w:p>
                    </w:tc>
                    <w:tc>
                      <w:tcPr>
                        <w:tcW w:w="1134" w:type="dxa"/>
                      </w:tcPr>
                      <w:p>
                        <w:pPr>
                          <w:pStyle w:val="TableParagraph"/>
                          <w:spacing w:before="42"/>
                          <w:ind w:left="198" w:right="93"/>
                          <w:jc w:val="center"/>
                          <w:rPr>
                            <w:sz w:val="19"/>
                          </w:rPr>
                        </w:pPr>
                        <w:r>
                          <w:rPr>
                            <w:sz w:val="19"/>
                          </w:rPr>
                          <w:t>59,076</w:t>
                        </w:r>
                      </w:p>
                    </w:tc>
                    <w:tc>
                      <w:tcPr>
                        <w:tcW w:w="1023" w:type="dxa"/>
                      </w:tcPr>
                      <w:p>
                        <w:pPr>
                          <w:pStyle w:val="TableParagraph"/>
                          <w:spacing w:before="42"/>
                          <w:ind w:right="110"/>
                          <w:jc w:val="right"/>
                          <w:rPr>
                            <w:sz w:val="19"/>
                          </w:rPr>
                        </w:pPr>
                        <w:r>
                          <w:rPr>
                            <w:w w:val="95"/>
                            <w:sz w:val="19"/>
                          </w:rPr>
                          <w:t>81,334</w:t>
                        </w:r>
                      </w:p>
                    </w:tc>
                    <w:tc>
                      <w:tcPr>
                        <w:tcW w:w="1134" w:type="dxa"/>
                        <w:shd w:val="clear" w:color="auto" w:fill="E1E4BB"/>
                      </w:tcPr>
                      <w:p>
                        <w:pPr>
                          <w:pStyle w:val="TableParagraph"/>
                          <w:spacing w:before="42"/>
                          <w:ind w:right="110"/>
                          <w:jc w:val="right"/>
                          <w:rPr>
                            <w:sz w:val="19"/>
                          </w:rPr>
                        </w:pPr>
                        <w:r>
                          <w:rPr>
                            <w:w w:val="95"/>
                            <w:sz w:val="19"/>
                          </w:rPr>
                          <w:t>140,410</w:t>
                        </w:r>
                      </w:p>
                    </w:tc>
                  </w:tr>
                  <w:tr>
                    <w:trPr>
                      <w:trHeight w:val="310" w:hRule="atLeast"/>
                    </w:trPr>
                    <w:tc>
                      <w:tcPr>
                        <w:tcW w:w="2873" w:type="dxa"/>
                      </w:tcPr>
                      <w:p>
                        <w:pPr>
                          <w:pStyle w:val="TableParagraph"/>
                          <w:spacing w:before="52"/>
                          <w:ind w:left="113"/>
                          <w:rPr>
                            <w:sz w:val="10"/>
                          </w:rPr>
                        </w:pPr>
                        <w:r>
                          <w:rPr>
                            <w:sz w:val="19"/>
                          </w:rPr>
                          <w:t>Buildings</w:t>
                        </w:r>
                        <w:r>
                          <w:rPr>
                            <w:position w:val="6"/>
                            <w:sz w:val="10"/>
                          </w:rPr>
                          <w:t>(Note 24)</w:t>
                        </w:r>
                      </w:p>
                    </w:tc>
                    <w:tc>
                      <w:tcPr>
                        <w:tcW w:w="1234" w:type="dxa"/>
                        <w:tcBorders>
                          <w:bottom w:val="single" w:sz="4" w:space="0" w:color="000000"/>
                        </w:tcBorders>
                      </w:tcPr>
                      <w:p>
                        <w:pPr>
                          <w:pStyle w:val="TableParagraph"/>
                          <w:spacing w:before="52"/>
                          <w:ind w:right="221"/>
                          <w:jc w:val="right"/>
                          <w:rPr>
                            <w:sz w:val="19"/>
                          </w:rPr>
                        </w:pPr>
                        <w:r>
                          <w:rPr>
                            <w:w w:val="111"/>
                            <w:sz w:val="19"/>
                          </w:rPr>
                          <w:t>-</w:t>
                        </w:r>
                      </w:p>
                    </w:tc>
                    <w:tc>
                      <w:tcPr>
                        <w:tcW w:w="1134" w:type="dxa"/>
                        <w:tcBorders>
                          <w:bottom w:val="single" w:sz="4" w:space="0" w:color="000000"/>
                        </w:tcBorders>
                      </w:tcPr>
                      <w:p>
                        <w:pPr>
                          <w:pStyle w:val="TableParagraph"/>
                          <w:spacing w:before="52"/>
                          <w:ind w:left="198" w:right="93"/>
                          <w:jc w:val="center"/>
                          <w:rPr>
                            <w:sz w:val="19"/>
                          </w:rPr>
                        </w:pPr>
                        <w:r>
                          <w:rPr>
                            <w:sz w:val="19"/>
                          </w:rPr>
                          <w:t>94,147</w:t>
                        </w:r>
                      </w:p>
                    </w:tc>
                    <w:tc>
                      <w:tcPr>
                        <w:tcW w:w="1023" w:type="dxa"/>
                        <w:tcBorders>
                          <w:bottom w:val="single" w:sz="4" w:space="0" w:color="000000"/>
                        </w:tcBorders>
                      </w:tcPr>
                      <w:p>
                        <w:pPr>
                          <w:pStyle w:val="TableParagraph"/>
                          <w:spacing w:before="52"/>
                          <w:ind w:right="110"/>
                          <w:jc w:val="right"/>
                          <w:rPr>
                            <w:sz w:val="19"/>
                          </w:rPr>
                        </w:pPr>
                        <w:r>
                          <w:rPr>
                            <w:w w:val="95"/>
                            <w:sz w:val="19"/>
                          </w:rPr>
                          <w:t>43,925</w:t>
                        </w:r>
                      </w:p>
                    </w:tc>
                    <w:tc>
                      <w:tcPr>
                        <w:tcW w:w="1134" w:type="dxa"/>
                        <w:tcBorders>
                          <w:bottom w:val="single" w:sz="4" w:space="0" w:color="000000"/>
                        </w:tcBorders>
                        <w:shd w:val="clear" w:color="auto" w:fill="E1E4BB"/>
                      </w:tcPr>
                      <w:p>
                        <w:pPr>
                          <w:pStyle w:val="TableParagraph"/>
                          <w:spacing w:before="52"/>
                          <w:ind w:right="110"/>
                          <w:jc w:val="right"/>
                          <w:rPr>
                            <w:sz w:val="19"/>
                          </w:rPr>
                        </w:pPr>
                        <w:r>
                          <w:rPr>
                            <w:w w:val="95"/>
                            <w:sz w:val="19"/>
                          </w:rPr>
                          <w:t>138,072</w:t>
                        </w:r>
                      </w:p>
                    </w:tc>
                  </w:tr>
                  <w:tr>
                    <w:trPr>
                      <w:trHeight w:val="278" w:hRule="atLeast"/>
                    </w:trPr>
                    <w:tc>
                      <w:tcPr>
                        <w:tcW w:w="2873" w:type="dxa"/>
                      </w:tcPr>
                      <w:p>
                        <w:pPr>
                          <w:pStyle w:val="TableParagraph"/>
                          <w:spacing w:before="0"/>
                          <w:rPr>
                            <w:rFonts w:ascii="Times New Roman"/>
                            <w:sz w:val="20"/>
                          </w:rPr>
                        </w:pPr>
                      </w:p>
                    </w:tc>
                    <w:tc>
                      <w:tcPr>
                        <w:tcW w:w="1234" w:type="dxa"/>
                        <w:tcBorders>
                          <w:top w:val="single" w:sz="4" w:space="0" w:color="000000"/>
                          <w:bottom w:val="double" w:sz="2" w:space="0" w:color="000000"/>
                        </w:tcBorders>
                      </w:tcPr>
                      <w:p>
                        <w:pPr>
                          <w:pStyle w:val="TableParagraph"/>
                          <w:spacing w:before="37"/>
                          <w:ind w:right="221"/>
                          <w:jc w:val="right"/>
                          <w:rPr>
                            <w:b/>
                            <w:sz w:val="19"/>
                          </w:rPr>
                        </w:pPr>
                        <w:r>
                          <w:rPr>
                            <w:b/>
                            <w:w w:val="122"/>
                            <w:sz w:val="19"/>
                          </w:rPr>
                          <w:t>-</w:t>
                        </w:r>
                      </w:p>
                    </w:tc>
                    <w:tc>
                      <w:tcPr>
                        <w:tcW w:w="1134" w:type="dxa"/>
                        <w:tcBorders>
                          <w:top w:val="single" w:sz="4" w:space="0" w:color="000000"/>
                          <w:bottom w:val="double" w:sz="2" w:space="0" w:color="000000"/>
                        </w:tcBorders>
                      </w:tcPr>
                      <w:p>
                        <w:pPr>
                          <w:pStyle w:val="TableParagraph"/>
                          <w:spacing w:before="37"/>
                          <w:ind w:left="93" w:right="93"/>
                          <w:jc w:val="center"/>
                          <w:rPr>
                            <w:b/>
                            <w:sz w:val="19"/>
                          </w:rPr>
                        </w:pPr>
                        <w:r>
                          <w:rPr>
                            <w:b/>
                            <w:sz w:val="19"/>
                          </w:rPr>
                          <w:t>153,223</w:t>
                        </w:r>
                      </w:p>
                    </w:tc>
                    <w:tc>
                      <w:tcPr>
                        <w:tcW w:w="1023" w:type="dxa"/>
                        <w:tcBorders>
                          <w:top w:val="single" w:sz="4" w:space="0" w:color="000000"/>
                          <w:bottom w:val="double" w:sz="2" w:space="0" w:color="000000"/>
                        </w:tcBorders>
                      </w:tcPr>
                      <w:p>
                        <w:pPr>
                          <w:pStyle w:val="TableParagraph"/>
                          <w:spacing w:before="37"/>
                          <w:ind w:right="110"/>
                          <w:jc w:val="right"/>
                          <w:rPr>
                            <w:b/>
                            <w:sz w:val="19"/>
                          </w:rPr>
                        </w:pPr>
                        <w:r>
                          <w:rPr>
                            <w:b/>
                            <w:w w:val="95"/>
                            <w:sz w:val="19"/>
                          </w:rPr>
                          <w:t>125,259</w:t>
                        </w:r>
                      </w:p>
                    </w:tc>
                    <w:tc>
                      <w:tcPr>
                        <w:tcW w:w="1134" w:type="dxa"/>
                        <w:tcBorders>
                          <w:top w:val="single" w:sz="4" w:space="0" w:color="000000"/>
                          <w:bottom w:val="double" w:sz="2" w:space="0" w:color="000000"/>
                        </w:tcBorders>
                        <w:shd w:val="clear" w:color="auto" w:fill="DFE1B8"/>
                      </w:tcPr>
                      <w:p>
                        <w:pPr>
                          <w:pStyle w:val="TableParagraph"/>
                          <w:spacing w:before="37"/>
                          <w:ind w:right="110"/>
                          <w:jc w:val="right"/>
                          <w:rPr>
                            <w:b/>
                            <w:sz w:val="19"/>
                          </w:rPr>
                        </w:pPr>
                        <w:r>
                          <w:rPr>
                            <w:b/>
                            <w:w w:val="95"/>
                            <w:sz w:val="19"/>
                          </w:rPr>
                          <w:t>278,482</w:t>
                        </w:r>
                      </w:p>
                    </w:tc>
                  </w:tr>
                </w:tbl>
                <w:p>
                  <w:pPr>
                    <w:pStyle w:val="BodyText"/>
                  </w:pPr>
                </w:p>
              </w:txbxContent>
            </v:textbox>
            <w10:wrap type="none"/>
          </v:shape>
        </w:pict>
      </w:r>
      <w:r>
        <w:rPr/>
        <w:pict>
          <v:shape style="position:absolute;margin-left:431.574799pt;margin-top:35.194817pt;width:369.95pt;height:162.6pt;mso-position-horizontal-relative:page;mso-position-vertical-relative:paragraph;z-index:1799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5131" w:type="dxa"/>
                        <w:shd w:val="clear" w:color="auto" w:fill="783A79"/>
                      </w:tcPr>
                      <w:p>
                        <w:pPr>
                          <w:pStyle w:val="TableParagraph"/>
                          <w:spacing w:before="47"/>
                          <w:ind w:left="113"/>
                          <w:rPr>
                            <w:b/>
                            <w:sz w:val="19"/>
                          </w:rPr>
                        </w:pPr>
                        <w:r>
                          <w:rPr>
                            <w:b/>
                            <w:color w:val="FFFFFF"/>
                            <w:sz w:val="19"/>
                          </w:rPr>
                          <w:t>2017</w:t>
                        </w:r>
                      </w:p>
                    </w:tc>
                    <w:tc>
                      <w:tcPr>
                        <w:tcW w:w="1134" w:type="dxa"/>
                        <w:shd w:val="clear" w:color="auto" w:fill="783A79"/>
                      </w:tcPr>
                      <w:p>
                        <w:pPr>
                          <w:pStyle w:val="TableParagraph"/>
                          <w:spacing w:before="47"/>
                          <w:ind w:left="569"/>
                          <w:rPr>
                            <w:b/>
                            <w:sz w:val="19"/>
                          </w:rPr>
                        </w:pPr>
                        <w:r>
                          <w:rPr>
                            <w:b/>
                            <w:color w:val="FFFFFF"/>
                            <w:sz w:val="19"/>
                          </w:rPr>
                          <w:t>Land</w:t>
                        </w:r>
                      </w:p>
                      <w:p>
                        <w:pPr>
                          <w:pStyle w:val="TableParagraph"/>
                          <w:spacing w:before="10"/>
                          <w:ind w:left="597"/>
                          <w:rPr>
                            <w:b/>
                            <w:sz w:val="19"/>
                          </w:rPr>
                        </w:pPr>
                        <w:r>
                          <w:rPr>
                            <w:b/>
                            <w:color w:val="FFFFFF"/>
                            <w:sz w:val="19"/>
                          </w:rPr>
                          <w:t>$000</w:t>
                        </w:r>
                      </w:p>
                    </w:tc>
                    <w:tc>
                      <w:tcPr>
                        <w:tcW w:w="1134" w:type="dxa"/>
                        <w:shd w:val="clear" w:color="auto" w:fill="783A79"/>
                      </w:tcPr>
                      <w:p>
                        <w:pPr>
                          <w:pStyle w:val="TableParagraph"/>
                          <w:spacing w:before="47"/>
                          <w:ind w:left="179"/>
                          <w:rPr>
                            <w:b/>
                            <w:sz w:val="19"/>
                          </w:rPr>
                        </w:pPr>
                        <w:r>
                          <w:rPr>
                            <w:b/>
                            <w:color w:val="FFFFFF"/>
                            <w:sz w:val="19"/>
                          </w:rPr>
                          <w:t>Buildings</w:t>
                        </w:r>
                      </w:p>
                      <w:p>
                        <w:pPr>
                          <w:pStyle w:val="TableParagraph"/>
                          <w:spacing w:before="10"/>
                          <w:ind w:left="597"/>
                          <w:rPr>
                            <w:b/>
                            <w:sz w:val="19"/>
                          </w:rPr>
                        </w:pPr>
                        <w:r>
                          <w:rPr>
                            <w:b/>
                            <w:color w:val="FFFFFF"/>
                            <w:sz w:val="19"/>
                          </w:rPr>
                          <w:t>$000</w:t>
                        </w:r>
                      </w:p>
                    </w:tc>
                  </w:tr>
                  <w:tr>
                    <w:trPr>
                      <w:trHeight w:val="312" w:hRule="atLeast"/>
                    </w:trPr>
                    <w:tc>
                      <w:tcPr>
                        <w:tcW w:w="5131" w:type="dxa"/>
                        <w:tcBorders>
                          <w:right w:val="single" w:sz="8" w:space="0" w:color="FFFFFF"/>
                        </w:tcBorders>
                        <w:shd w:val="clear" w:color="auto" w:fill="F4F4F4"/>
                      </w:tcPr>
                      <w:p>
                        <w:pPr>
                          <w:pStyle w:val="TableParagraph"/>
                          <w:spacing w:before="37"/>
                          <w:ind w:left="113"/>
                          <w:rPr>
                            <w:sz w:val="19"/>
                          </w:rPr>
                        </w:pPr>
                        <w:r>
                          <w:rPr>
                            <w:sz w:val="19"/>
                          </w:rPr>
                          <w:t>Fair value at start of period</w:t>
                        </w:r>
                      </w:p>
                    </w:tc>
                    <w:tc>
                      <w:tcPr>
                        <w:tcW w:w="1134" w:type="dxa"/>
                        <w:tcBorders>
                          <w:left w:val="single" w:sz="8" w:space="0" w:color="FFFFFF"/>
                          <w:right w:val="single" w:sz="8" w:space="0" w:color="FFFFFF"/>
                        </w:tcBorders>
                        <w:shd w:val="clear" w:color="auto" w:fill="F4F4F4"/>
                      </w:tcPr>
                      <w:p>
                        <w:pPr>
                          <w:pStyle w:val="TableParagraph"/>
                          <w:spacing w:before="37"/>
                          <w:ind w:right="101"/>
                          <w:jc w:val="right"/>
                          <w:rPr>
                            <w:sz w:val="19"/>
                          </w:rPr>
                        </w:pPr>
                        <w:r>
                          <w:rPr>
                            <w:w w:val="95"/>
                            <w:sz w:val="19"/>
                          </w:rPr>
                          <w:t>91,917</w:t>
                        </w:r>
                      </w:p>
                    </w:tc>
                    <w:tc>
                      <w:tcPr>
                        <w:tcW w:w="1134" w:type="dxa"/>
                        <w:tcBorders>
                          <w:left w:val="single" w:sz="8" w:space="0" w:color="FFFFFF"/>
                        </w:tcBorders>
                        <w:shd w:val="clear" w:color="auto" w:fill="F4F4F4"/>
                      </w:tcPr>
                      <w:p>
                        <w:pPr>
                          <w:pStyle w:val="TableParagraph"/>
                          <w:spacing w:before="37"/>
                          <w:ind w:right="111"/>
                          <w:jc w:val="right"/>
                          <w:rPr>
                            <w:sz w:val="19"/>
                          </w:rPr>
                        </w:pPr>
                        <w:r>
                          <w:rPr>
                            <w:w w:val="95"/>
                            <w:sz w:val="19"/>
                          </w:rPr>
                          <w:t>55,301</w:t>
                        </w:r>
                      </w:p>
                    </w:tc>
                  </w:tr>
                  <w:tr>
                    <w:trPr>
                      <w:trHeight w:val="347" w:hRule="atLeast"/>
                    </w:trPr>
                    <w:tc>
                      <w:tcPr>
                        <w:tcW w:w="5131" w:type="dxa"/>
                        <w:shd w:val="clear" w:color="auto" w:fill="FAF9F9"/>
                      </w:tcPr>
                      <w:p>
                        <w:pPr>
                          <w:pStyle w:val="TableParagraph"/>
                          <w:spacing w:before="52"/>
                          <w:ind w:left="113"/>
                          <w:rPr>
                            <w:sz w:val="19"/>
                          </w:rPr>
                        </w:pPr>
                        <w:r>
                          <w:rPr>
                            <w:sz w:val="19"/>
                          </w:rPr>
                          <w:t>Additions</w:t>
                        </w:r>
                      </w:p>
                    </w:tc>
                    <w:tc>
                      <w:tcPr>
                        <w:tcW w:w="1134" w:type="dxa"/>
                        <w:shd w:val="clear" w:color="auto" w:fill="FAF9F9"/>
                      </w:tcPr>
                      <w:p>
                        <w:pPr>
                          <w:pStyle w:val="TableParagraph"/>
                          <w:spacing w:before="52"/>
                          <w:ind w:right="111"/>
                          <w:jc w:val="right"/>
                          <w:rPr>
                            <w:sz w:val="19"/>
                          </w:rPr>
                        </w:pPr>
                        <w:r>
                          <w:rPr>
                            <w:w w:val="111"/>
                            <w:sz w:val="19"/>
                          </w:rPr>
                          <w:t>-</w:t>
                        </w:r>
                      </w:p>
                    </w:tc>
                    <w:tc>
                      <w:tcPr>
                        <w:tcW w:w="1134" w:type="dxa"/>
                        <w:shd w:val="clear" w:color="auto" w:fill="FAF9F9"/>
                      </w:tcPr>
                      <w:p>
                        <w:pPr>
                          <w:pStyle w:val="TableParagraph"/>
                          <w:spacing w:before="52"/>
                          <w:ind w:right="111"/>
                          <w:jc w:val="right"/>
                          <w:rPr>
                            <w:sz w:val="19"/>
                          </w:rPr>
                        </w:pPr>
                        <w:r>
                          <w:rPr>
                            <w:w w:val="111"/>
                            <w:sz w:val="19"/>
                          </w:rPr>
                          <w:t>-</w:t>
                        </w:r>
                      </w:p>
                    </w:tc>
                  </w:tr>
                  <w:tr>
                    <w:trPr>
                      <w:trHeight w:val="307" w:hRule="atLeast"/>
                    </w:trPr>
                    <w:tc>
                      <w:tcPr>
                        <w:tcW w:w="5131" w:type="dxa"/>
                        <w:tcBorders>
                          <w:bottom w:val="single" w:sz="8" w:space="0" w:color="FFFFFF"/>
                          <w:right w:val="single" w:sz="8" w:space="0" w:color="FFFFFF"/>
                        </w:tcBorders>
                        <w:shd w:val="clear" w:color="auto" w:fill="F4F4F4"/>
                      </w:tcPr>
                      <w:p>
                        <w:pPr>
                          <w:pStyle w:val="TableParagraph"/>
                          <w:ind w:left="113"/>
                          <w:rPr>
                            <w:sz w:val="19"/>
                          </w:rPr>
                        </w:pPr>
                        <w:r>
                          <w:rPr>
                            <w:sz w:val="19"/>
                          </w:rPr>
                          <w:t>Transfers</w:t>
                        </w:r>
                      </w:p>
                    </w:tc>
                    <w:tc>
                      <w:tcPr>
                        <w:tcW w:w="1134" w:type="dxa"/>
                        <w:tcBorders>
                          <w:left w:val="single" w:sz="8" w:space="0" w:color="FFFFFF"/>
                          <w:bottom w:val="single" w:sz="8" w:space="0" w:color="FFFFFF"/>
                          <w:right w:val="single" w:sz="8" w:space="0" w:color="FFFFFF"/>
                        </w:tcBorders>
                        <w:shd w:val="clear" w:color="auto" w:fill="F4F4F4"/>
                      </w:tcPr>
                      <w:p>
                        <w:pPr>
                          <w:pStyle w:val="TableParagraph"/>
                          <w:ind w:right="101"/>
                          <w:jc w:val="right"/>
                          <w:rPr>
                            <w:sz w:val="19"/>
                          </w:rPr>
                        </w:pPr>
                        <w:r>
                          <w:rPr>
                            <w:w w:val="111"/>
                            <w:sz w:val="19"/>
                          </w:rPr>
                          <w:t>-</w:t>
                        </w:r>
                      </w:p>
                    </w:tc>
                    <w:tc>
                      <w:tcPr>
                        <w:tcW w:w="1134" w:type="dxa"/>
                        <w:tcBorders>
                          <w:left w:val="single" w:sz="8" w:space="0" w:color="FFFFFF"/>
                          <w:bottom w:val="single" w:sz="8" w:space="0" w:color="FFFFFF"/>
                        </w:tcBorders>
                        <w:shd w:val="clear" w:color="auto" w:fill="F4F4F4"/>
                      </w:tcPr>
                      <w:p>
                        <w:pPr>
                          <w:pStyle w:val="TableParagraph"/>
                          <w:ind w:right="111"/>
                          <w:jc w:val="right"/>
                          <w:rPr>
                            <w:sz w:val="19"/>
                          </w:rPr>
                        </w:pPr>
                        <w:r>
                          <w:rPr>
                            <w:w w:val="111"/>
                            <w:sz w:val="19"/>
                          </w:rPr>
                          <w:t>-</w:t>
                        </w:r>
                      </w:p>
                    </w:tc>
                  </w:tr>
                  <w:tr>
                    <w:trPr>
                      <w:trHeight w:val="513" w:hRule="atLeast"/>
                    </w:trPr>
                    <w:tc>
                      <w:tcPr>
                        <w:tcW w:w="5131" w:type="dxa"/>
                        <w:tcBorders>
                          <w:top w:val="single" w:sz="8" w:space="0" w:color="FFFFFF"/>
                          <w:bottom w:val="single" w:sz="8" w:space="0" w:color="FFFFFF"/>
                        </w:tcBorders>
                        <w:shd w:val="clear" w:color="auto" w:fill="FAF9F9"/>
                      </w:tcPr>
                      <w:p>
                        <w:pPr>
                          <w:pStyle w:val="TableParagraph"/>
                          <w:spacing w:line="249" w:lineRule="auto"/>
                          <w:ind w:left="113" w:right="471"/>
                          <w:rPr>
                            <w:sz w:val="19"/>
                          </w:rPr>
                        </w:pPr>
                        <w:r>
                          <w:rPr>
                            <w:w w:val="95"/>
                            <w:sz w:val="19"/>
                          </w:rPr>
                          <w:t>Revaluation increments/(decrements) recognised in </w:t>
                        </w:r>
                        <w:r>
                          <w:rPr>
                            <w:sz w:val="19"/>
                          </w:rPr>
                          <w:t>Profit or Loss</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(10,583)</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(10,699)</w:t>
                        </w:r>
                      </w:p>
                    </w:tc>
                  </w:tr>
                  <w:tr>
                    <w:trPr>
                      <w:trHeight w:val="513" w:hRule="atLeast"/>
                    </w:trPr>
                    <w:tc>
                      <w:tcPr>
                        <w:tcW w:w="5131" w:type="dxa"/>
                        <w:tcBorders>
                          <w:top w:val="single" w:sz="8" w:space="0" w:color="FFFFFF"/>
                          <w:bottom w:val="single" w:sz="8" w:space="0" w:color="FFFFFF"/>
                          <w:right w:val="single" w:sz="8" w:space="0" w:color="FFFFFF"/>
                        </w:tcBorders>
                        <w:shd w:val="clear" w:color="auto" w:fill="F4F4F4"/>
                      </w:tcPr>
                      <w:p>
                        <w:pPr>
                          <w:pStyle w:val="TableParagraph"/>
                          <w:spacing w:line="249" w:lineRule="auto"/>
                          <w:ind w:left="113" w:right="429"/>
                          <w:rPr>
                            <w:sz w:val="19"/>
                          </w:rPr>
                        </w:pPr>
                        <w:r>
                          <w:rPr>
                            <w:w w:val="95"/>
                            <w:sz w:val="19"/>
                          </w:rPr>
                          <w:t>Revaluation increments/(decrements) recognised in </w:t>
                        </w:r>
                        <w:r>
                          <w:rPr>
                            <w:sz w:val="19"/>
                          </w:rPr>
                          <w:t>Other Comprehensive Income</w:t>
                        </w:r>
                      </w:p>
                    </w:tc>
                    <w:tc>
                      <w:tcPr>
                        <w:tcW w:w="1134"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101"/>
                          <w:jc w:val="right"/>
                          <w:rPr>
                            <w:sz w:val="19"/>
                          </w:rPr>
                        </w:pPr>
                        <w:r>
                          <w:rPr>
                            <w:w w:val="111"/>
                            <w:sz w:val="19"/>
                          </w:rPr>
                          <w:t>-</w:t>
                        </w:r>
                      </w:p>
                    </w:tc>
                    <w:tc>
                      <w:tcPr>
                        <w:tcW w:w="1134" w:type="dxa"/>
                        <w:tcBorders>
                          <w:top w:val="single" w:sz="8" w:space="0" w:color="FFFFFF"/>
                          <w:left w:val="single" w:sz="8" w:space="0" w:color="FFFFFF"/>
                          <w:bottom w:val="single" w:sz="8" w:space="0" w:color="FFFFFF"/>
                        </w:tcBorders>
                        <w:shd w:val="clear" w:color="auto" w:fill="F4F4F4"/>
                      </w:tcPr>
                      <w:p>
                        <w:pPr>
                          <w:pStyle w:val="TableParagraph"/>
                          <w:ind w:right="111"/>
                          <w:jc w:val="right"/>
                          <w:rPr>
                            <w:sz w:val="19"/>
                          </w:rPr>
                        </w:pPr>
                        <w:r>
                          <w:rPr>
                            <w:w w:val="111"/>
                            <w:sz w:val="19"/>
                          </w:rPr>
                          <w:t>-</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Depreciation expense</w:t>
                        </w: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111"/>
                            <w:sz w:val="19"/>
                          </w:rPr>
                          <w:t>-</w:t>
                        </w: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0"/>
                            <w:sz w:val="19"/>
                          </w:rPr>
                          <w:t>(677)</w:t>
                        </w:r>
                      </w:p>
                    </w:tc>
                  </w:tr>
                  <w:tr>
                    <w:trPr>
                      <w:trHeight w:val="294" w:hRule="atLeast"/>
                    </w:trPr>
                    <w:tc>
                      <w:tcPr>
                        <w:tcW w:w="5131" w:type="dxa"/>
                        <w:tcBorders>
                          <w:top w:val="single" w:sz="8" w:space="0" w:color="FFFFFF"/>
                          <w:bottom w:val="single" w:sz="8" w:space="0" w:color="FFFFFF"/>
                          <w:right w:val="single" w:sz="8" w:space="0" w:color="FFFFFF"/>
                        </w:tcBorders>
                        <w:shd w:val="clear" w:color="auto" w:fill="F4F4F4"/>
                      </w:tcPr>
                      <w:p>
                        <w:pPr>
                          <w:pStyle w:val="TableParagraph"/>
                          <w:ind w:left="113"/>
                          <w:rPr>
                            <w:b/>
                            <w:sz w:val="19"/>
                          </w:rPr>
                        </w:pPr>
                        <w:r>
                          <w:rPr>
                            <w:b/>
                            <w:sz w:val="19"/>
                          </w:rPr>
                          <w:t>Fair value at end of period</w:t>
                        </w:r>
                      </w:p>
                    </w:tc>
                    <w:tc>
                      <w:tcPr>
                        <w:tcW w:w="1134" w:type="dxa"/>
                        <w:tcBorders>
                          <w:top w:val="single" w:sz="4" w:space="0" w:color="000000"/>
                          <w:left w:val="single" w:sz="8" w:space="0" w:color="FFFFFF"/>
                          <w:bottom w:val="double" w:sz="2" w:space="0" w:color="000000"/>
                          <w:right w:val="single" w:sz="8" w:space="0" w:color="FFFFFF"/>
                        </w:tcBorders>
                        <w:shd w:val="clear" w:color="auto" w:fill="F4F4F4"/>
                      </w:tcPr>
                      <w:p>
                        <w:pPr>
                          <w:pStyle w:val="TableParagraph"/>
                          <w:ind w:right="101"/>
                          <w:jc w:val="right"/>
                          <w:rPr>
                            <w:b/>
                            <w:sz w:val="19"/>
                          </w:rPr>
                        </w:pPr>
                        <w:r>
                          <w:rPr>
                            <w:b/>
                            <w:w w:val="95"/>
                            <w:sz w:val="19"/>
                          </w:rPr>
                          <w:t>81,334</w:t>
                        </w:r>
                      </w:p>
                    </w:tc>
                    <w:tc>
                      <w:tcPr>
                        <w:tcW w:w="1134" w:type="dxa"/>
                        <w:tcBorders>
                          <w:top w:val="single" w:sz="4" w:space="0" w:color="000000"/>
                          <w:left w:val="single" w:sz="8" w:space="0" w:color="FFFFFF"/>
                          <w:bottom w:val="double" w:sz="2" w:space="0" w:color="000000"/>
                        </w:tcBorders>
                        <w:shd w:val="clear" w:color="auto" w:fill="F4F4F4"/>
                      </w:tcPr>
                      <w:p>
                        <w:pPr>
                          <w:pStyle w:val="TableParagraph"/>
                          <w:ind w:right="111"/>
                          <w:jc w:val="right"/>
                          <w:rPr>
                            <w:b/>
                            <w:sz w:val="19"/>
                          </w:rPr>
                        </w:pPr>
                        <w:r>
                          <w:rPr>
                            <w:b/>
                            <w:w w:val="95"/>
                            <w:sz w:val="19"/>
                          </w:rPr>
                          <w:t>43,925</w:t>
                        </w:r>
                      </w:p>
                    </w:tc>
                  </w:tr>
                </w:tbl>
                <w:p>
                  <w:pPr>
                    <w:pStyle w:val="BodyText"/>
                  </w:pPr>
                </w:p>
              </w:txbxContent>
            </v:textbox>
            <w10:wrap type="none"/>
          </v:shape>
        </w:pict>
      </w:r>
      <w:r>
        <w:rPr>
          <w:color w:val="6F2770"/>
          <w:position w:val="3"/>
          <w:sz w:val="32"/>
        </w:rPr>
        <w:t>Note</w:t>
      </w:r>
      <w:r>
        <w:rPr>
          <w:color w:val="6F2770"/>
          <w:spacing w:val="-33"/>
          <w:position w:val="3"/>
          <w:sz w:val="32"/>
        </w:rPr>
        <w:t> </w:t>
      </w:r>
      <w:r>
        <w:rPr>
          <w:color w:val="6F2770"/>
          <w:position w:val="3"/>
          <w:sz w:val="32"/>
        </w:rPr>
        <w:t>25.</w:t>
      </w:r>
      <w:r>
        <w:rPr>
          <w:color w:val="6F2770"/>
          <w:spacing w:val="-32"/>
          <w:position w:val="3"/>
          <w:sz w:val="32"/>
        </w:rPr>
        <w:t> </w:t>
      </w:r>
      <w:r>
        <w:rPr>
          <w:color w:val="6F2770"/>
          <w:position w:val="3"/>
          <w:sz w:val="32"/>
        </w:rPr>
        <w:t>Fair</w:t>
      </w:r>
      <w:r>
        <w:rPr>
          <w:color w:val="6F2770"/>
          <w:spacing w:val="-32"/>
          <w:position w:val="3"/>
          <w:sz w:val="32"/>
        </w:rPr>
        <w:t> </w:t>
      </w:r>
      <w:r>
        <w:rPr>
          <w:color w:val="6F2770"/>
          <w:position w:val="3"/>
          <w:sz w:val="32"/>
        </w:rPr>
        <w:t>value</w:t>
      </w:r>
      <w:r>
        <w:rPr>
          <w:color w:val="6F2770"/>
          <w:spacing w:val="-32"/>
          <w:position w:val="3"/>
          <w:sz w:val="32"/>
        </w:rPr>
        <w:t> </w:t>
      </w:r>
      <w:r>
        <w:rPr>
          <w:color w:val="6F2770"/>
          <w:position w:val="3"/>
          <w:sz w:val="32"/>
        </w:rPr>
        <w:t>measurements</w:t>
        <w:tab/>
      </w:r>
      <w:r>
        <w:rPr>
          <w:b/>
          <w:sz w:val="22"/>
        </w:rPr>
        <w:t>Fair</w:t>
      </w:r>
      <w:r>
        <w:rPr>
          <w:b/>
          <w:spacing w:val="-11"/>
          <w:sz w:val="22"/>
        </w:rPr>
        <w:t> </w:t>
      </w:r>
      <w:r>
        <w:rPr>
          <w:b/>
          <w:sz w:val="22"/>
        </w:rPr>
        <w:t>value</w:t>
      </w:r>
      <w:r>
        <w:rPr>
          <w:b/>
          <w:spacing w:val="-11"/>
          <w:sz w:val="22"/>
        </w:rPr>
        <w:t> </w:t>
      </w:r>
      <w:r>
        <w:rPr>
          <w:b/>
          <w:spacing w:val="-3"/>
          <w:sz w:val="22"/>
        </w:rPr>
        <w:t>measurements</w:t>
      </w:r>
      <w:r>
        <w:rPr>
          <w:b/>
          <w:spacing w:val="-11"/>
          <w:sz w:val="22"/>
        </w:rPr>
        <w:t> </w:t>
      </w:r>
      <w:r>
        <w:rPr>
          <w:b/>
          <w:sz w:val="22"/>
        </w:rPr>
        <w:t>using</w:t>
      </w:r>
      <w:r>
        <w:rPr>
          <w:b/>
          <w:spacing w:val="-11"/>
          <w:sz w:val="22"/>
        </w:rPr>
        <w:t> </w:t>
      </w:r>
      <w:r>
        <w:rPr>
          <w:b/>
          <w:sz w:val="22"/>
        </w:rPr>
        <w:t>significant</w:t>
      </w:r>
      <w:r>
        <w:rPr>
          <w:b/>
          <w:spacing w:val="-11"/>
          <w:sz w:val="22"/>
        </w:rPr>
        <w:t> </w:t>
      </w:r>
      <w:r>
        <w:rPr>
          <w:b/>
          <w:sz w:val="22"/>
        </w:rPr>
        <w:t>unobservable</w:t>
      </w:r>
      <w:r>
        <w:rPr>
          <w:b/>
          <w:spacing w:val="-11"/>
          <w:sz w:val="22"/>
        </w:rPr>
        <w:t> </w:t>
      </w:r>
      <w:r>
        <w:rPr>
          <w:b/>
          <w:sz w:val="22"/>
        </w:rPr>
        <w:t>inputs</w:t>
      </w:r>
      <w:r>
        <w:rPr>
          <w:b/>
          <w:spacing w:val="-11"/>
          <w:sz w:val="22"/>
        </w:rPr>
        <w:t> </w:t>
      </w:r>
      <w:r>
        <w:rPr>
          <w:b/>
          <w:sz w:val="22"/>
        </w:rPr>
        <w:t>(Level</w:t>
      </w:r>
      <w:r>
        <w:rPr>
          <w:b/>
          <w:spacing w:val="-11"/>
          <w:sz w:val="22"/>
        </w:rPr>
        <w:t> </w:t>
      </w:r>
      <w:r>
        <w:rPr>
          <w:b/>
          <w:sz w:val="22"/>
        </w:rPr>
        <w:t>3)</w:t>
      </w:r>
    </w:p>
    <w:p>
      <w:pPr>
        <w:pStyle w:val="BodyText"/>
        <w:rPr>
          <w:b/>
          <w:sz w:val="38"/>
        </w:rPr>
      </w:pPr>
    </w:p>
    <w:p>
      <w:pPr>
        <w:pStyle w:val="BodyText"/>
        <w:rPr>
          <w:b/>
          <w:sz w:val="38"/>
        </w:rPr>
      </w:pPr>
    </w:p>
    <w:p>
      <w:pPr>
        <w:pStyle w:val="BodyText"/>
        <w:rPr>
          <w:b/>
          <w:sz w:val="38"/>
        </w:rPr>
      </w:pPr>
    </w:p>
    <w:p>
      <w:pPr>
        <w:pStyle w:val="BodyText"/>
        <w:rPr>
          <w:b/>
          <w:sz w:val="38"/>
        </w:rPr>
      </w:pPr>
    </w:p>
    <w:p>
      <w:pPr>
        <w:pStyle w:val="BodyText"/>
        <w:rPr>
          <w:b/>
          <w:sz w:val="38"/>
        </w:rPr>
      </w:pPr>
    </w:p>
    <w:p>
      <w:pPr>
        <w:pStyle w:val="BodyText"/>
        <w:rPr>
          <w:b/>
          <w:sz w:val="38"/>
        </w:rPr>
      </w:pPr>
    </w:p>
    <w:p>
      <w:pPr>
        <w:pStyle w:val="BodyText"/>
        <w:rPr>
          <w:b/>
          <w:sz w:val="38"/>
        </w:rPr>
      </w:pPr>
    </w:p>
    <w:p>
      <w:pPr>
        <w:pStyle w:val="BodyText"/>
        <w:rPr>
          <w:b/>
          <w:sz w:val="38"/>
        </w:rPr>
      </w:pPr>
    </w:p>
    <w:p>
      <w:pPr>
        <w:pStyle w:val="BodyText"/>
        <w:rPr>
          <w:b/>
          <w:sz w:val="31"/>
        </w:rPr>
      </w:pPr>
    </w:p>
    <w:p>
      <w:pPr>
        <w:pStyle w:val="BodyText"/>
        <w:spacing w:line="249" w:lineRule="auto" w:before="1"/>
        <w:ind w:left="765" w:right="9276"/>
      </w:pPr>
      <w:r>
        <w:rPr/>
        <w:pict>
          <v:shape style="position:absolute;margin-left:38.7677pt;margin-top:-77.457626pt;width:369.95pt;height:62.9pt;mso-position-horizontal-relative:page;mso-position-vertical-relative:paragraph;z-index:18016"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863"/>
                    <w:gridCol w:w="1134"/>
                    <w:gridCol w:w="1134"/>
                    <w:gridCol w:w="1134"/>
                    <w:gridCol w:w="1134"/>
                  </w:tblGrid>
                  <w:tr>
                    <w:trPr>
                      <w:trHeight w:val="310" w:hRule="atLeast"/>
                    </w:trPr>
                    <w:tc>
                      <w:tcPr>
                        <w:tcW w:w="7399" w:type="dxa"/>
                        <w:gridSpan w:val="5"/>
                        <w:tcBorders>
                          <w:top w:val="nil"/>
                          <w:left w:val="nil"/>
                          <w:bottom w:val="nil"/>
                          <w:right w:val="nil"/>
                        </w:tcBorders>
                        <w:shd w:val="clear" w:color="auto" w:fill="783A79"/>
                      </w:tcPr>
                      <w:p>
                        <w:pPr>
                          <w:pStyle w:val="TableParagraph"/>
                          <w:tabs>
                            <w:tab w:pos="3461" w:val="left" w:leader="none"/>
                            <w:tab w:pos="4595" w:val="left" w:leader="none"/>
                            <w:tab w:pos="5729" w:val="left" w:leader="none"/>
                            <w:tab w:pos="6862" w:val="left" w:leader="none"/>
                          </w:tabs>
                          <w:spacing w:before="47"/>
                          <w:ind w:left="113"/>
                          <w:rPr>
                            <w:b/>
                            <w:sz w:val="19"/>
                          </w:rPr>
                        </w:pPr>
                        <w:r>
                          <w:rPr>
                            <w:b/>
                            <w:color w:val="FFFFFF"/>
                            <w:sz w:val="19"/>
                          </w:rPr>
                          <w:t>2016</w:t>
                          <w:tab/>
                          <w:t>$000</w:t>
                          <w:tab/>
                          <w:t>$000</w:t>
                          <w:tab/>
                          <w:t>$000</w:t>
                          <w:tab/>
                          <w:t>$000</w:t>
                        </w:r>
                      </w:p>
                    </w:tc>
                  </w:tr>
                  <w:tr>
                    <w:trPr>
                      <w:trHeight w:val="601" w:hRule="atLeast"/>
                    </w:trPr>
                    <w:tc>
                      <w:tcPr>
                        <w:tcW w:w="2863" w:type="dxa"/>
                        <w:tcBorders>
                          <w:top w:val="nil"/>
                          <w:left w:val="nil"/>
                        </w:tcBorders>
                        <w:shd w:val="clear" w:color="auto" w:fill="FAF9F9"/>
                      </w:tcPr>
                      <w:p>
                        <w:pPr>
                          <w:pStyle w:val="TableParagraph"/>
                          <w:spacing w:before="42"/>
                          <w:ind w:left="113"/>
                          <w:rPr>
                            <w:sz w:val="10"/>
                          </w:rPr>
                        </w:pPr>
                        <w:r>
                          <w:rPr>
                            <w:position w:val="-5"/>
                            <w:sz w:val="19"/>
                          </w:rPr>
                          <w:t>Land</w:t>
                        </w:r>
                        <w:r>
                          <w:rPr>
                            <w:sz w:val="10"/>
                          </w:rPr>
                          <w:t>(Note 24)</w:t>
                        </w:r>
                      </w:p>
                      <w:p>
                        <w:pPr>
                          <w:pStyle w:val="TableParagraph"/>
                          <w:spacing w:before="87"/>
                          <w:ind w:left="113"/>
                          <w:rPr>
                            <w:sz w:val="10"/>
                          </w:rPr>
                        </w:pPr>
                        <w:r>
                          <w:rPr>
                            <w:sz w:val="19"/>
                          </w:rPr>
                          <w:t>Buildings</w:t>
                        </w:r>
                        <w:r>
                          <w:rPr>
                            <w:position w:val="6"/>
                            <w:sz w:val="10"/>
                          </w:rPr>
                          <w:t>(Note 24)</w:t>
                        </w:r>
                      </w:p>
                    </w:tc>
                    <w:tc>
                      <w:tcPr>
                        <w:tcW w:w="1134" w:type="dxa"/>
                        <w:tcBorders>
                          <w:top w:val="nil"/>
                          <w:bottom w:val="single" w:sz="4" w:space="0" w:color="000000"/>
                        </w:tcBorders>
                        <w:shd w:val="clear" w:color="auto" w:fill="FAF9F9"/>
                      </w:tcPr>
                      <w:p>
                        <w:pPr>
                          <w:pStyle w:val="TableParagraph"/>
                          <w:spacing w:before="42"/>
                          <w:ind w:right="101"/>
                          <w:jc w:val="right"/>
                          <w:rPr>
                            <w:sz w:val="19"/>
                          </w:rPr>
                        </w:pPr>
                        <w:r>
                          <w:rPr>
                            <w:w w:val="111"/>
                            <w:sz w:val="19"/>
                          </w:rPr>
                          <w:t>-</w:t>
                        </w:r>
                      </w:p>
                      <w:p>
                        <w:pPr>
                          <w:pStyle w:val="TableParagraph"/>
                          <w:spacing w:before="87"/>
                          <w:ind w:right="101"/>
                          <w:jc w:val="right"/>
                          <w:rPr>
                            <w:sz w:val="19"/>
                          </w:rPr>
                        </w:pPr>
                        <w:r>
                          <w:rPr>
                            <w:w w:val="111"/>
                            <w:sz w:val="19"/>
                          </w:rPr>
                          <w:t>-</w:t>
                        </w:r>
                      </w:p>
                    </w:tc>
                    <w:tc>
                      <w:tcPr>
                        <w:tcW w:w="1134" w:type="dxa"/>
                        <w:tcBorders>
                          <w:top w:val="nil"/>
                          <w:bottom w:val="single" w:sz="4" w:space="0" w:color="000000"/>
                        </w:tcBorders>
                        <w:shd w:val="clear" w:color="auto" w:fill="FAF9F9"/>
                      </w:tcPr>
                      <w:p>
                        <w:pPr>
                          <w:pStyle w:val="TableParagraph"/>
                          <w:spacing w:before="42"/>
                          <w:ind w:left="408" w:right="83"/>
                          <w:jc w:val="center"/>
                          <w:rPr>
                            <w:sz w:val="19"/>
                          </w:rPr>
                        </w:pPr>
                        <w:r>
                          <w:rPr>
                            <w:sz w:val="19"/>
                          </w:rPr>
                          <w:t>59,595</w:t>
                        </w:r>
                      </w:p>
                      <w:p>
                        <w:pPr>
                          <w:pStyle w:val="TableParagraph"/>
                          <w:spacing w:before="87"/>
                          <w:ind w:left="303" w:right="83"/>
                          <w:jc w:val="center"/>
                          <w:rPr>
                            <w:sz w:val="19"/>
                          </w:rPr>
                        </w:pPr>
                        <w:r>
                          <w:rPr>
                            <w:sz w:val="19"/>
                          </w:rPr>
                          <w:t>107,441</w:t>
                        </w:r>
                      </w:p>
                    </w:tc>
                    <w:tc>
                      <w:tcPr>
                        <w:tcW w:w="1134" w:type="dxa"/>
                        <w:tcBorders>
                          <w:top w:val="nil"/>
                          <w:bottom w:val="single" w:sz="4" w:space="0" w:color="000000"/>
                          <w:right w:val="nil"/>
                        </w:tcBorders>
                        <w:shd w:val="clear" w:color="auto" w:fill="FAF9F9"/>
                      </w:tcPr>
                      <w:p>
                        <w:pPr>
                          <w:pStyle w:val="TableParagraph"/>
                          <w:spacing w:before="42"/>
                          <w:ind w:left="429"/>
                          <w:rPr>
                            <w:sz w:val="19"/>
                          </w:rPr>
                        </w:pPr>
                        <w:r>
                          <w:rPr>
                            <w:sz w:val="19"/>
                          </w:rPr>
                          <w:t>91,917</w:t>
                        </w:r>
                      </w:p>
                      <w:p>
                        <w:pPr>
                          <w:pStyle w:val="TableParagraph"/>
                          <w:spacing w:before="87"/>
                          <w:ind w:left="429"/>
                          <w:rPr>
                            <w:sz w:val="19"/>
                          </w:rPr>
                        </w:pPr>
                        <w:r>
                          <w:rPr>
                            <w:sz w:val="19"/>
                          </w:rPr>
                          <w:t>55,301</w:t>
                        </w:r>
                      </w:p>
                    </w:tc>
                    <w:tc>
                      <w:tcPr>
                        <w:tcW w:w="1134" w:type="dxa"/>
                        <w:tcBorders>
                          <w:top w:val="nil"/>
                          <w:left w:val="nil"/>
                          <w:bottom w:val="single" w:sz="4" w:space="0" w:color="000000"/>
                          <w:right w:val="nil"/>
                        </w:tcBorders>
                        <w:shd w:val="clear" w:color="auto" w:fill="E1E4BB"/>
                      </w:tcPr>
                      <w:p>
                        <w:pPr>
                          <w:pStyle w:val="TableParagraph"/>
                          <w:spacing w:before="42"/>
                          <w:ind w:left="333"/>
                          <w:rPr>
                            <w:sz w:val="19"/>
                          </w:rPr>
                        </w:pPr>
                        <w:r>
                          <w:rPr>
                            <w:sz w:val="19"/>
                          </w:rPr>
                          <w:t>151,512</w:t>
                        </w:r>
                      </w:p>
                      <w:p>
                        <w:pPr>
                          <w:pStyle w:val="TableParagraph"/>
                          <w:spacing w:before="87"/>
                          <w:ind w:left="333"/>
                          <w:rPr>
                            <w:sz w:val="19"/>
                          </w:rPr>
                        </w:pPr>
                        <w:r>
                          <w:rPr>
                            <w:sz w:val="19"/>
                          </w:rPr>
                          <w:t>162,742</w:t>
                        </w:r>
                      </w:p>
                    </w:tc>
                  </w:tr>
                  <w:tr>
                    <w:trPr>
                      <w:trHeight w:val="265" w:hRule="atLeast"/>
                    </w:trPr>
                    <w:tc>
                      <w:tcPr>
                        <w:tcW w:w="2863" w:type="dxa"/>
                        <w:tcBorders>
                          <w:left w:val="nil"/>
                        </w:tcBorders>
                        <w:shd w:val="clear" w:color="auto" w:fill="F4F4F4"/>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F4F4F4"/>
                      </w:tcPr>
                      <w:p>
                        <w:pPr>
                          <w:pStyle w:val="TableParagraph"/>
                          <w:spacing w:line="213" w:lineRule="exact"/>
                          <w:ind w:right="101"/>
                          <w:jc w:val="right"/>
                          <w:rPr>
                            <w:b/>
                            <w:sz w:val="19"/>
                          </w:rPr>
                        </w:pPr>
                        <w:r>
                          <w:rPr>
                            <w:b/>
                            <w:w w:val="122"/>
                            <w:sz w:val="19"/>
                          </w:rPr>
                          <w:t>-</w:t>
                        </w:r>
                      </w:p>
                    </w:tc>
                    <w:tc>
                      <w:tcPr>
                        <w:tcW w:w="1134" w:type="dxa"/>
                        <w:tcBorders>
                          <w:top w:val="single" w:sz="4" w:space="0" w:color="000000"/>
                          <w:bottom w:val="single" w:sz="24" w:space="0" w:color="FFFFFF"/>
                        </w:tcBorders>
                        <w:shd w:val="clear" w:color="auto" w:fill="F4F4F4"/>
                      </w:tcPr>
                      <w:p>
                        <w:pPr>
                          <w:pStyle w:val="TableParagraph"/>
                          <w:spacing w:line="213" w:lineRule="exact"/>
                          <w:ind w:left="323"/>
                          <w:rPr>
                            <w:b/>
                            <w:sz w:val="19"/>
                          </w:rPr>
                        </w:pPr>
                        <w:r>
                          <w:rPr>
                            <w:b/>
                            <w:sz w:val="19"/>
                          </w:rPr>
                          <w:t>167,036</w:t>
                        </w:r>
                      </w:p>
                    </w:tc>
                    <w:tc>
                      <w:tcPr>
                        <w:tcW w:w="1134" w:type="dxa"/>
                        <w:tcBorders>
                          <w:top w:val="single" w:sz="4" w:space="0" w:color="000000"/>
                          <w:bottom w:val="single" w:sz="24" w:space="0" w:color="FFFFFF"/>
                          <w:right w:val="nil"/>
                        </w:tcBorders>
                        <w:shd w:val="clear" w:color="auto" w:fill="F4F4F4"/>
                      </w:tcPr>
                      <w:p>
                        <w:pPr>
                          <w:pStyle w:val="TableParagraph"/>
                          <w:spacing w:line="213" w:lineRule="exact"/>
                          <w:ind w:left="323"/>
                          <w:rPr>
                            <w:b/>
                            <w:sz w:val="19"/>
                          </w:rPr>
                        </w:pPr>
                        <w:r>
                          <w:rPr>
                            <w:b/>
                            <w:sz w:val="19"/>
                          </w:rPr>
                          <w:t>147,218</w:t>
                        </w:r>
                      </w:p>
                    </w:tc>
                    <w:tc>
                      <w:tcPr>
                        <w:tcW w:w="1134" w:type="dxa"/>
                        <w:tcBorders>
                          <w:top w:val="single" w:sz="4" w:space="0" w:color="000000"/>
                          <w:left w:val="nil"/>
                          <w:bottom w:val="single" w:sz="24" w:space="0" w:color="FFFFFF"/>
                          <w:right w:val="nil"/>
                        </w:tcBorders>
                        <w:shd w:val="clear" w:color="auto" w:fill="DFE1B8"/>
                      </w:tcPr>
                      <w:p>
                        <w:pPr>
                          <w:pStyle w:val="TableParagraph"/>
                          <w:spacing w:line="213" w:lineRule="exact"/>
                          <w:ind w:left="333"/>
                          <w:rPr>
                            <w:b/>
                            <w:sz w:val="19"/>
                          </w:rPr>
                        </w:pPr>
                        <w:r>
                          <w:rPr>
                            <w:b/>
                            <w:sz w:val="19"/>
                          </w:rPr>
                          <w:t>314,254</w:t>
                        </w:r>
                      </w:p>
                    </w:tc>
                  </w:tr>
                </w:tbl>
                <w:p>
                  <w:pPr>
                    <w:pStyle w:val="BodyText"/>
                  </w:pPr>
                </w:p>
              </w:txbxContent>
            </v:textbox>
            <w10:wrap type="none"/>
          </v:shape>
        </w:pict>
      </w:r>
      <w:r>
        <w:rPr/>
        <w:pict>
          <v:shape style="position:absolute;margin-left:431.574799pt;margin-top:-10.705424pt;width:369.95pt;height:163.6pt;mso-position-horizontal-relative:page;mso-position-vertical-relative:paragraph;z-index:18040" type="#_x0000_t202"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tcBorders>
                          <w:top w:val="nil"/>
                          <w:left w:val="nil"/>
                          <w:bottom w:val="nil"/>
                          <w:right w:val="nil"/>
                        </w:tcBorders>
                        <w:shd w:val="clear" w:color="auto" w:fill="783A79"/>
                      </w:tcPr>
                      <w:p>
                        <w:pPr>
                          <w:pStyle w:val="TableParagraph"/>
                          <w:tabs>
                            <w:tab w:pos="5587" w:val="left" w:leader="none"/>
                            <w:tab w:pos="6331" w:val="left" w:leader="none"/>
                          </w:tabs>
                          <w:spacing w:before="47"/>
                          <w:ind w:right="111"/>
                          <w:jc w:val="right"/>
                          <w:rPr>
                            <w:b/>
                            <w:sz w:val="19"/>
                          </w:rPr>
                        </w:pPr>
                        <w:r>
                          <w:rPr>
                            <w:b/>
                            <w:color w:val="FFFFFF"/>
                            <w:sz w:val="19"/>
                          </w:rPr>
                          <w:t>2016</w:t>
                          <w:tab/>
                          <w:t>Land</w:t>
                          <w:tab/>
                        </w:r>
                        <w:r>
                          <w:rPr>
                            <w:b/>
                            <w:color w:val="FFFFFF"/>
                            <w:spacing w:val="-1"/>
                            <w:w w:val="95"/>
                            <w:sz w:val="19"/>
                          </w:rPr>
                          <w:t>Buildings</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302" w:hRule="atLeast"/>
                    </w:trPr>
                    <w:tc>
                      <w:tcPr>
                        <w:tcW w:w="5131" w:type="dxa"/>
                        <w:vMerge w:val="restart"/>
                        <w:tcBorders>
                          <w:top w:val="nil"/>
                          <w:left w:val="nil"/>
                        </w:tcBorders>
                        <w:shd w:val="clear" w:color="auto" w:fill="FAF9F9"/>
                      </w:tcPr>
                      <w:p>
                        <w:pPr>
                          <w:pStyle w:val="TableParagraph"/>
                          <w:spacing w:before="37"/>
                          <w:ind w:left="113"/>
                          <w:rPr>
                            <w:sz w:val="19"/>
                          </w:rPr>
                        </w:pPr>
                        <w:r>
                          <w:rPr>
                            <w:sz w:val="19"/>
                          </w:rPr>
                          <w:t>Fair value at start of period</w:t>
                        </w:r>
                      </w:p>
                      <w:p>
                        <w:pPr>
                          <w:pStyle w:val="TableParagraph"/>
                          <w:spacing w:before="109"/>
                          <w:ind w:left="113"/>
                          <w:rPr>
                            <w:sz w:val="19"/>
                          </w:rPr>
                        </w:pPr>
                        <w:r>
                          <w:rPr>
                            <w:sz w:val="19"/>
                          </w:rPr>
                          <w:t>Additions</w:t>
                        </w:r>
                      </w:p>
                    </w:tc>
                    <w:tc>
                      <w:tcPr>
                        <w:tcW w:w="1134" w:type="dxa"/>
                        <w:tcBorders>
                          <w:top w:val="nil"/>
                          <w:bottom w:val="nil"/>
                        </w:tcBorders>
                        <w:shd w:val="clear" w:color="auto" w:fill="F4F4F4"/>
                      </w:tcPr>
                      <w:p>
                        <w:pPr>
                          <w:pStyle w:val="TableParagraph"/>
                          <w:spacing w:before="37"/>
                          <w:ind w:right="101"/>
                          <w:jc w:val="right"/>
                          <w:rPr>
                            <w:sz w:val="19"/>
                          </w:rPr>
                        </w:pPr>
                        <w:r>
                          <w:rPr>
                            <w:w w:val="95"/>
                            <w:sz w:val="19"/>
                          </w:rPr>
                          <w:t>111,825</w:t>
                        </w:r>
                      </w:p>
                    </w:tc>
                    <w:tc>
                      <w:tcPr>
                        <w:tcW w:w="1134" w:type="dxa"/>
                        <w:tcBorders>
                          <w:top w:val="nil"/>
                          <w:bottom w:val="nil"/>
                          <w:right w:val="nil"/>
                        </w:tcBorders>
                        <w:shd w:val="clear" w:color="auto" w:fill="F4F4F4"/>
                      </w:tcPr>
                      <w:p>
                        <w:pPr>
                          <w:pStyle w:val="TableParagraph"/>
                          <w:spacing w:before="37"/>
                          <w:ind w:right="111"/>
                          <w:jc w:val="right"/>
                          <w:rPr>
                            <w:sz w:val="19"/>
                          </w:rPr>
                        </w:pPr>
                        <w:r>
                          <w:rPr>
                            <w:w w:val="95"/>
                            <w:sz w:val="19"/>
                          </w:rPr>
                          <w:t>81,087</w:t>
                        </w:r>
                      </w:p>
                    </w:tc>
                  </w:tr>
                  <w:tr>
                    <w:trPr>
                      <w:trHeight w:val="317" w:hRule="atLeast"/>
                    </w:trPr>
                    <w:tc>
                      <w:tcPr>
                        <w:tcW w:w="5131" w:type="dxa"/>
                        <w:vMerge/>
                        <w:tcBorders>
                          <w:top w:val="nil"/>
                          <w:left w:val="nil"/>
                        </w:tcBorders>
                        <w:shd w:val="clear" w:color="auto" w:fill="FAF9F9"/>
                      </w:tcPr>
                      <w:p>
                        <w:pPr>
                          <w:rPr>
                            <w:sz w:val="2"/>
                            <w:szCs w:val="2"/>
                          </w:rPr>
                        </w:pPr>
                      </w:p>
                    </w:tc>
                    <w:tc>
                      <w:tcPr>
                        <w:tcW w:w="2268" w:type="dxa"/>
                        <w:gridSpan w:val="2"/>
                        <w:tcBorders>
                          <w:top w:val="nil"/>
                          <w:right w:val="nil"/>
                        </w:tcBorders>
                        <w:shd w:val="clear" w:color="auto" w:fill="FAF9F9"/>
                      </w:tcPr>
                      <w:p>
                        <w:pPr>
                          <w:pStyle w:val="TableParagraph"/>
                          <w:tabs>
                            <w:tab w:pos="2073" w:val="left" w:leader="none"/>
                          </w:tabs>
                          <w:spacing w:before="42"/>
                          <w:ind w:left="939"/>
                          <w:rPr>
                            <w:sz w:val="19"/>
                          </w:rPr>
                        </w:pPr>
                        <w:r>
                          <w:rPr>
                            <w:w w:val="110"/>
                            <w:sz w:val="19"/>
                          </w:rPr>
                          <w:t>-</w:t>
                          <w:tab/>
                          <w:t>-</w:t>
                        </w:r>
                      </w:p>
                    </w:tc>
                  </w:tr>
                  <w:tr>
                    <w:trPr>
                      <w:trHeight w:val="307" w:hRule="atLeast"/>
                    </w:trPr>
                    <w:tc>
                      <w:tcPr>
                        <w:tcW w:w="5131" w:type="dxa"/>
                        <w:vMerge w:val="restart"/>
                        <w:tcBorders>
                          <w:left w:val="nil"/>
                        </w:tcBorders>
                        <w:shd w:val="clear" w:color="auto" w:fill="FAF9F9"/>
                      </w:tcPr>
                      <w:p>
                        <w:pPr>
                          <w:pStyle w:val="TableParagraph"/>
                          <w:ind w:left="113"/>
                          <w:rPr>
                            <w:sz w:val="10"/>
                          </w:rPr>
                        </w:pPr>
                        <w:r>
                          <w:rPr>
                            <w:sz w:val="19"/>
                          </w:rPr>
                          <w:t>Transfers</w:t>
                        </w:r>
                        <w:r>
                          <w:rPr>
                            <w:position w:val="6"/>
                            <w:sz w:val="10"/>
                          </w:rPr>
                          <w:t>(a)</w:t>
                        </w:r>
                      </w:p>
                      <w:p>
                        <w:pPr>
                          <w:pStyle w:val="TableParagraph"/>
                          <w:spacing w:line="249" w:lineRule="auto" w:before="109"/>
                          <w:ind w:left="113" w:right="947"/>
                          <w:rPr>
                            <w:sz w:val="19"/>
                          </w:rPr>
                        </w:pPr>
                        <w:r>
                          <w:rPr>
                            <w:w w:val="95"/>
                            <w:sz w:val="19"/>
                          </w:rPr>
                          <w:t>Revaluation increments/(decrements) recognised </w:t>
                        </w:r>
                        <w:r>
                          <w:rPr>
                            <w:sz w:val="19"/>
                          </w:rPr>
                          <w:t>in Profit or Loss</w:t>
                        </w:r>
                      </w:p>
                    </w:tc>
                    <w:tc>
                      <w:tcPr>
                        <w:tcW w:w="1134" w:type="dxa"/>
                        <w:shd w:val="clear" w:color="auto" w:fill="F4F4F4"/>
                      </w:tcPr>
                      <w:p>
                        <w:pPr>
                          <w:pStyle w:val="TableParagraph"/>
                          <w:ind w:right="101"/>
                          <w:jc w:val="right"/>
                          <w:rPr>
                            <w:sz w:val="19"/>
                          </w:rPr>
                        </w:pPr>
                        <w:r>
                          <w:rPr>
                            <w:w w:val="90"/>
                            <w:sz w:val="19"/>
                          </w:rPr>
                          <w:t>(265)</w:t>
                        </w:r>
                      </w:p>
                    </w:tc>
                    <w:tc>
                      <w:tcPr>
                        <w:tcW w:w="1134" w:type="dxa"/>
                        <w:tcBorders>
                          <w:right w:val="nil"/>
                        </w:tcBorders>
                        <w:shd w:val="clear" w:color="auto" w:fill="F4F4F4"/>
                      </w:tcPr>
                      <w:p>
                        <w:pPr>
                          <w:pStyle w:val="TableParagraph"/>
                          <w:ind w:right="111"/>
                          <w:jc w:val="right"/>
                          <w:rPr>
                            <w:sz w:val="19"/>
                          </w:rPr>
                        </w:pPr>
                        <w:r>
                          <w:rPr>
                            <w:w w:val="95"/>
                            <w:sz w:val="19"/>
                          </w:rPr>
                          <w:t>(29,302)</w:t>
                        </w:r>
                      </w:p>
                    </w:tc>
                  </w:tr>
                  <w:tr>
                    <w:trPr>
                      <w:trHeight w:val="513" w:hRule="atLeast"/>
                    </w:trPr>
                    <w:tc>
                      <w:tcPr>
                        <w:tcW w:w="5131" w:type="dxa"/>
                        <w:vMerge/>
                        <w:tcBorders>
                          <w:top w:val="nil"/>
                          <w:left w:val="nil"/>
                        </w:tcBorders>
                        <w:shd w:val="clear" w:color="auto" w:fill="FAF9F9"/>
                      </w:tcPr>
                      <w:p>
                        <w:pPr>
                          <w:rPr>
                            <w:sz w:val="2"/>
                            <w:szCs w:val="2"/>
                          </w:rPr>
                        </w:pPr>
                      </w:p>
                    </w:tc>
                    <w:tc>
                      <w:tcPr>
                        <w:tcW w:w="2268" w:type="dxa"/>
                        <w:gridSpan w:val="2"/>
                        <w:tcBorders>
                          <w:right w:val="nil"/>
                        </w:tcBorders>
                        <w:shd w:val="clear" w:color="auto" w:fill="FAF9F9"/>
                      </w:tcPr>
                      <w:p>
                        <w:pPr>
                          <w:pStyle w:val="TableParagraph"/>
                          <w:tabs>
                            <w:tab w:pos="2073" w:val="left" w:leader="none"/>
                          </w:tabs>
                          <w:ind w:left="443"/>
                          <w:rPr>
                            <w:sz w:val="19"/>
                          </w:rPr>
                        </w:pPr>
                        <w:r>
                          <w:rPr>
                            <w:w w:val="105"/>
                            <w:sz w:val="19"/>
                          </w:rPr>
                          <w:t>(2,566)</w:t>
                          <w:tab/>
                          <w:t>-</w:t>
                        </w:r>
                      </w:p>
                    </w:tc>
                  </w:tr>
                  <w:tr>
                    <w:trPr>
                      <w:trHeight w:val="513" w:hRule="atLeast"/>
                    </w:trPr>
                    <w:tc>
                      <w:tcPr>
                        <w:tcW w:w="5131" w:type="dxa"/>
                        <w:vMerge w:val="restart"/>
                        <w:tcBorders>
                          <w:left w:val="nil"/>
                        </w:tcBorders>
                        <w:shd w:val="clear" w:color="auto" w:fill="F4F4F4"/>
                      </w:tcPr>
                      <w:p>
                        <w:pPr>
                          <w:pStyle w:val="TableParagraph"/>
                          <w:spacing w:line="249" w:lineRule="auto"/>
                          <w:ind w:left="113" w:right="947"/>
                          <w:rPr>
                            <w:sz w:val="19"/>
                          </w:rPr>
                        </w:pPr>
                        <w:r>
                          <w:rPr>
                            <w:w w:val="95"/>
                            <w:sz w:val="19"/>
                          </w:rPr>
                          <w:t>Revaluation increments/(decrements) recognised </w:t>
                        </w:r>
                        <w:r>
                          <w:rPr>
                            <w:sz w:val="19"/>
                          </w:rPr>
                          <w:t>in Other Comprehensive Income</w:t>
                        </w:r>
                      </w:p>
                      <w:p>
                        <w:pPr>
                          <w:pStyle w:val="TableParagraph"/>
                          <w:spacing w:before="79"/>
                          <w:ind w:left="113"/>
                          <w:rPr>
                            <w:sz w:val="19"/>
                          </w:rPr>
                        </w:pPr>
                        <w:r>
                          <w:rPr>
                            <w:sz w:val="19"/>
                          </w:rPr>
                          <w:t>Depreciation expense</w:t>
                        </w:r>
                      </w:p>
                    </w:tc>
                    <w:tc>
                      <w:tcPr>
                        <w:tcW w:w="1134" w:type="dxa"/>
                        <w:shd w:val="clear" w:color="auto" w:fill="F4F4F4"/>
                      </w:tcPr>
                      <w:p>
                        <w:pPr>
                          <w:pStyle w:val="TableParagraph"/>
                          <w:ind w:right="101"/>
                          <w:jc w:val="right"/>
                          <w:rPr>
                            <w:sz w:val="19"/>
                          </w:rPr>
                        </w:pPr>
                        <w:r>
                          <w:rPr>
                            <w:w w:val="95"/>
                            <w:sz w:val="19"/>
                          </w:rPr>
                          <w:t>(17,077)</w:t>
                        </w:r>
                      </w:p>
                    </w:tc>
                    <w:tc>
                      <w:tcPr>
                        <w:tcW w:w="1134" w:type="dxa"/>
                        <w:tcBorders>
                          <w:right w:val="nil"/>
                        </w:tcBorders>
                        <w:shd w:val="clear" w:color="auto" w:fill="F4F4F4"/>
                      </w:tcPr>
                      <w:p>
                        <w:pPr>
                          <w:pStyle w:val="TableParagraph"/>
                          <w:ind w:right="111"/>
                          <w:jc w:val="right"/>
                          <w:rPr>
                            <w:sz w:val="19"/>
                          </w:rPr>
                        </w:pPr>
                        <w:r>
                          <w:rPr>
                            <w:w w:val="95"/>
                            <w:sz w:val="19"/>
                          </w:rPr>
                          <w:t>4,153</w:t>
                        </w:r>
                      </w:p>
                    </w:tc>
                  </w:tr>
                  <w:tr>
                    <w:trPr>
                      <w:trHeight w:val="307" w:hRule="atLeast"/>
                    </w:trPr>
                    <w:tc>
                      <w:tcPr>
                        <w:tcW w:w="5131" w:type="dxa"/>
                        <w:vMerge/>
                        <w:tcBorders>
                          <w:top w:val="nil"/>
                          <w:left w:val="nil"/>
                        </w:tcBorders>
                        <w:shd w:val="clear" w:color="auto" w:fill="F4F4F4"/>
                      </w:tcPr>
                      <w:p>
                        <w:pPr>
                          <w:rPr>
                            <w:sz w:val="2"/>
                            <w:szCs w:val="2"/>
                          </w:rPr>
                        </w:pPr>
                      </w:p>
                    </w:tc>
                    <w:tc>
                      <w:tcPr>
                        <w:tcW w:w="2268" w:type="dxa"/>
                        <w:gridSpan w:val="2"/>
                        <w:tcBorders>
                          <w:bottom w:val="single" w:sz="4" w:space="0" w:color="000000"/>
                          <w:right w:val="nil"/>
                        </w:tcBorders>
                        <w:shd w:val="clear" w:color="auto" w:fill="FAF9F9"/>
                      </w:tcPr>
                      <w:p>
                        <w:pPr>
                          <w:pStyle w:val="TableParagraph"/>
                          <w:tabs>
                            <w:tab w:pos="1735" w:val="left" w:leader="none"/>
                          </w:tabs>
                          <w:ind w:left="939"/>
                          <w:rPr>
                            <w:sz w:val="19"/>
                          </w:rPr>
                        </w:pPr>
                        <w:r>
                          <w:rPr>
                            <w:sz w:val="19"/>
                          </w:rPr>
                          <w:t>-</w:t>
                          <w:tab/>
                          <w:t>(637)</w:t>
                        </w:r>
                      </w:p>
                    </w:tc>
                  </w:tr>
                  <w:tr>
                    <w:trPr>
                      <w:trHeight w:val="287" w:hRule="atLeast"/>
                    </w:trPr>
                    <w:tc>
                      <w:tcPr>
                        <w:tcW w:w="5131" w:type="dxa"/>
                        <w:tcBorders>
                          <w:left w:val="nil"/>
                        </w:tcBorders>
                        <w:shd w:val="clear" w:color="auto" w:fill="F4F4F4"/>
                      </w:tcPr>
                      <w:p>
                        <w:pPr>
                          <w:pStyle w:val="TableParagraph"/>
                          <w:ind w:left="113"/>
                          <w:rPr>
                            <w:b/>
                            <w:sz w:val="19"/>
                          </w:rPr>
                        </w:pPr>
                        <w:r>
                          <w:rPr>
                            <w:b/>
                            <w:sz w:val="19"/>
                          </w:rPr>
                          <w:t>Fair value at end of period</w:t>
                        </w:r>
                      </w:p>
                    </w:tc>
                    <w:tc>
                      <w:tcPr>
                        <w:tcW w:w="1134" w:type="dxa"/>
                        <w:tcBorders>
                          <w:top w:val="single" w:sz="4" w:space="0" w:color="000000"/>
                          <w:bottom w:val="single" w:sz="24" w:space="0" w:color="FFFFFF"/>
                        </w:tcBorders>
                        <w:shd w:val="clear" w:color="auto" w:fill="F4F4F4"/>
                      </w:tcPr>
                      <w:p>
                        <w:pPr>
                          <w:pStyle w:val="TableParagraph"/>
                          <w:ind w:right="101"/>
                          <w:jc w:val="right"/>
                          <w:rPr>
                            <w:b/>
                            <w:sz w:val="19"/>
                          </w:rPr>
                        </w:pPr>
                        <w:r>
                          <w:rPr>
                            <w:b/>
                            <w:w w:val="95"/>
                            <w:sz w:val="19"/>
                          </w:rPr>
                          <w:t>91,917</w:t>
                        </w:r>
                      </w:p>
                    </w:tc>
                    <w:tc>
                      <w:tcPr>
                        <w:tcW w:w="1134" w:type="dxa"/>
                        <w:tcBorders>
                          <w:top w:val="single" w:sz="4" w:space="0" w:color="000000"/>
                          <w:bottom w:val="single" w:sz="24" w:space="0" w:color="FFFFFF"/>
                          <w:right w:val="nil"/>
                        </w:tcBorders>
                        <w:shd w:val="clear" w:color="auto" w:fill="F4F4F4"/>
                      </w:tcPr>
                      <w:p>
                        <w:pPr>
                          <w:pStyle w:val="TableParagraph"/>
                          <w:ind w:right="111"/>
                          <w:jc w:val="right"/>
                          <w:rPr>
                            <w:b/>
                            <w:sz w:val="19"/>
                          </w:rPr>
                        </w:pPr>
                        <w:r>
                          <w:rPr>
                            <w:b/>
                            <w:w w:val="95"/>
                            <w:sz w:val="19"/>
                          </w:rPr>
                          <w:t>55,301</w:t>
                        </w:r>
                      </w:p>
                    </w:tc>
                  </w:tr>
                </w:tbl>
                <w:p>
                  <w:pPr>
                    <w:pStyle w:val="BodyText"/>
                  </w:pPr>
                </w:p>
              </w:txbxContent>
            </v:textbox>
            <w10:wrap type="none"/>
          </v:shape>
        </w:pict>
      </w:r>
      <w:r>
        <w:rPr/>
        <w:t>There</w:t>
      </w:r>
      <w:r>
        <w:rPr>
          <w:spacing w:val="-17"/>
        </w:rPr>
        <w:t> </w:t>
      </w:r>
      <w:r>
        <w:rPr/>
        <w:t>were</w:t>
      </w:r>
      <w:r>
        <w:rPr>
          <w:spacing w:val="-16"/>
        </w:rPr>
        <w:t> </w:t>
      </w:r>
      <w:r>
        <w:rPr/>
        <w:t>no</w:t>
      </w:r>
      <w:r>
        <w:rPr>
          <w:spacing w:val="-16"/>
        </w:rPr>
        <w:t> </w:t>
      </w:r>
      <w:r>
        <w:rPr/>
        <w:t>transfers</w:t>
      </w:r>
      <w:r>
        <w:rPr>
          <w:spacing w:val="-16"/>
        </w:rPr>
        <w:t> </w:t>
      </w:r>
      <w:r>
        <w:rPr/>
        <w:t>between</w:t>
      </w:r>
      <w:r>
        <w:rPr>
          <w:spacing w:val="-17"/>
        </w:rPr>
        <w:t> </w:t>
      </w:r>
      <w:r>
        <w:rPr/>
        <w:t>Levels</w:t>
      </w:r>
      <w:r>
        <w:rPr>
          <w:spacing w:val="-16"/>
        </w:rPr>
        <w:t> </w:t>
      </w:r>
      <w:r>
        <w:rPr/>
        <w:t>1,</w:t>
      </w:r>
      <w:r>
        <w:rPr>
          <w:spacing w:val="-16"/>
        </w:rPr>
        <w:t> </w:t>
      </w:r>
      <w:r>
        <w:rPr/>
        <w:t>2</w:t>
      </w:r>
      <w:r>
        <w:rPr>
          <w:spacing w:val="-16"/>
        </w:rPr>
        <w:t> </w:t>
      </w:r>
      <w:r>
        <w:rPr/>
        <w:t>or</w:t>
      </w:r>
      <w:r>
        <w:rPr>
          <w:spacing w:val="-16"/>
        </w:rPr>
        <w:t> </w:t>
      </w:r>
      <w:r>
        <w:rPr/>
        <w:t>3</w:t>
      </w:r>
      <w:r>
        <w:rPr>
          <w:spacing w:val="-17"/>
        </w:rPr>
        <w:t> </w:t>
      </w:r>
      <w:r>
        <w:rPr/>
        <w:t>during</w:t>
      </w:r>
      <w:r>
        <w:rPr>
          <w:spacing w:val="-16"/>
        </w:rPr>
        <w:t> </w:t>
      </w:r>
      <w:r>
        <w:rPr/>
        <w:t>the</w:t>
      </w:r>
      <w:r>
        <w:rPr>
          <w:spacing w:val="-16"/>
        </w:rPr>
        <w:t> </w:t>
      </w:r>
      <w:r>
        <w:rPr/>
        <w:t>current</w:t>
      </w:r>
      <w:r>
        <w:rPr>
          <w:spacing w:val="-16"/>
        </w:rPr>
        <w:t> </w:t>
      </w:r>
      <w:r>
        <w:rPr>
          <w:spacing w:val="-6"/>
        </w:rPr>
        <w:t>and </w:t>
      </w:r>
      <w:r>
        <w:rPr/>
        <w:t>previous</w:t>
      </w:r>
      <w:r>
        <w:rPr>
          <w:spacing w:val="-1"/>
        </w:rPr>
        <w:t> </w:t>
      </w:r>
      <w:r>
        <w:rPr/>
        <w:t>periods.</w:t>
      </w:r>
    </w:p>
    <w:p>
      <w:pPr>
        <w:pStyle w:val="BodyText"/>
        <w:spacing w:before="1"/>
        <w:rPr>
          <w:sz w:val="23"/>
        </w:rPr>
      </w:pPr>
    </w:p>
    <w:p>
      <w:pPr>
        <w:pStyle w:val="Heading6"/>
      </w:pPr>
      <w:r>
        <w:rPr/>
        <w:t>Valuation techniques to derive Level 2 fair values</w:t>
      </w:r>
    </w:p>
    <w:p>
      <w:pPr>
        <w:pStyle w:val="BodyText"/>
        <w:spacing w:line="249" w:lineRule="auto" w:before="11"/>
        <w:ind w:left="765" w:right="8665"/>
      </w:pPr>
      <w:r>
        <w:rPr/>
        <w:t>Level</w:t>
      </w:r>
      <w:r>
        <w:rPr>
          <w:spacing w:val="-27"/>
        </w:rPr>
        <w:t> </w:t>
      </w:r>
      <w:r>
        <w:rPr/>
        <w:t>2</w:t>
      </w:r>
      <w:r>
        <w:rPr>
          <w:spacing w:val="-27"/>
        </w:rPr>
        <w:t> </w:t>
      </w:r>
      <w:r>
        <w:rPr/>
        <w:t>fair</w:t>
      </w:r>
      <w:r>
        <w:rPr>
          <w:spacing w:val="-27"/>
        </w:rPr>
        <w:t> </w:t>
      </w:r>
      <w:r>
        <w:rPr/>
        <w:t>values</w:t>
      </w:r>
      <w:r>
        <w:rPr>
          <w:spacing w:val="-27"/>
        </w:rPr>
        <w:t> </w:t>
      </w:r>
      <w:r>
        <w:rPr/>
        <w:t>land</w:t>
      </w:r>
      <w:r>
        <w:rPr>
          <w:spacing w:val="-27"/>
        </w:rPr>
        <w:t> </w:t>
      </w:r>
      <w:r>
        <w:rPr/>
        <w:t>and</w:t>
      </w:r>
      <w:r>
        <w:rPr>
          <w:spacing w:val="-26"/>
        </w:rPr>
        <w:t> </w:t>
      </w:r>
      <w:r>
        <w:rPr/>
        <w:t>buildings</w:t>
      </w:r>
      <w:r>
        <w:rPr>
          <w:spacing w:val="-27"/>
        </w:rPr>
        <w:t> </w:t>
      </w:r>
      <w:r>
        <w:rPr/>
        <w:t>(office</w:t>
      </w:r>
      <w:r>
        <w:rPr>
          <w:spacing w:val="-27"/>
        </w:rPr>
        <w:t> </w:t>
      </w:r>
      <w:r>
        <w:rPr/>
        <w:t>accommodation)</w:t>
      </w:r>
      <w:r>
        <w:rPr>
          <w:spacing w:val="-27"/>
        </w:rPr>
        <w:t> </w:t>
      </w:r>
      <w:r>
        <w:rPr/>
        <w:t>are</w:t>
      </w:r>
      <w:r>
        <w:rPr>
          <w:spacing w:val="-27"/>
        </w:rPr>
        <w:t> </w:t>
      </w:r>
      <w:r>
        <w:rPr/>
        <w:t>derived</w:t>
      </w:r>
      <w:r>
        <w:rPr>
          <w:spacing w:val="-26"/>
        </w:rPr>
        <w:t> </w:t>
      </w:r>
      <w:r>
        <w:rPr>
          <w:spacing w:val="-4"/>
        </w:rPr>
        <w:t>using </w:t>
      </w:r>
      <w:r>
        <w:rPr/>
        <w:t>the</w:t>
      </w:r>
      <w:r>
        <w:rPr>
          <w:spacing w:val="-18"/>
        </w:rPr>
        <w:t> </w:t>
      </w:r>
      <w:r>
        <w:rPr/>
        <w:t>market</w:t>
      </w:r>
      <w:r>
        <w:rPr>
          <w:spacing w:val="-18"/>
        </w:rPr>
        <w:t> </w:t>
      </w:r>
      <w:r>
        <w:rPr/>
        <w:t>approach.</w:t>
      </w:r>
      <w:r>
        <w:rPr>
          <w:spacing w:val="-18"/>
        </w:rPr>
        <w:t> </w:t>
      </w:r>
      <w:r>
        <w:rPr/>
        <w:t>Market</w:t>
      </w:r>
      <w:r>
        <w:rPr>
          <w:spacing w:val="-18"/>
        </w:rPr>
        <w:t> </w:t>
      </w:r>
      <w:r>
        <w:rPr/>
        <w:t>evidence</w:t>
      </w:r>
      <w:r>
        <w:rPr>
          <w:spacing w:val="-17"/>
        </w:rPr>
        <w:t> </w:t>
      </w:r>
      <w:r>
        <w:rPr/>
        <w:t>of</w:t>
      </w:r>
      <w:r>
        <w:rPr>
          <w:spacing w:val="-18"/>
        </w:rPr>
        <w:t> </w:t>
      </w:r>
      <w:r>
        <w:rPr/>
        <w:t>sales</w:t>
      </w:r>
      <w:r>
        <w:rPr>
          <w:spacing w:val="-18"/>
        </w:rPr>
        <w:t> </w:t>
      </w:r>
      <w:r>
        <w:rPr/>
        <w:t>prices</w:t>
      </w:r>
      <w:r>
        <w:rPr>
          <w:spacing w:val="-18"/>
        </w:rPr>
        <w:t> </w:t>
      </w:r>
      <w:r>
        <w:rPr/>
        <w:t>of</w:t>
      </w:r>
      <w:r>
        <w:rPr>
          <w:spacing w:val="-17"/>
        </w:rPr>
        <w:t> </w:t>
      </w:r>
      <w:r>
        <w:rPr/>
        <w:t>comparable</w:t>
      </w:r>
      <w:r>
        <w:rPr>
          <w:spacing w:val="-18"/>
        </w:rPr>
        <w:t> </w:t>
      </w:r>
      <w:r>
        <w:rPr/>
        <w:t>land</w:t>
      </w:r>
      <w:r>
        <w:rPr>
          <w:spacing w:val="-18"/>
        </w:rPr>
        <w:t> </w:t>
      </w:r>
      <w:r>
        <w:rPr/>
        <w:t>and buildings</w:t>
      </w:r>
      <w:r>
        <w:rPr>
          <w:spacing w:val="-21"/>
        </w:rPr>
        <w:t> </w:t>
      </w:r>
      <w:r>
        <w:rPr/>
        <w:t>(office</w:t>
      </w:r>
      <w:r>
        <w:rPr>
          <w:spacing w:val="-20"/>
        </w:rPr>
        <w:t> </w:t>
      </w:r>
      <w:r>
        <w:rPr/>
        <w:t>accommodation)</w:t>
      </w:r>
      <w:r>
        <w:rPr>
          <w:spacing w:val="-20"/>
        </w:rPr>
        <w:t> </w:t>
      </w:r>
      <w:r>
        <w:rPr/>
        <w:t>in</w:t>
      </w:r>
      <w:r>
        <w:rPr>
          <w:spacing w:val="-20"/>
        </w:rPr>
        <w:t> </w:t>
      </w:r>
      <w:r>
        <w:rPr/>
        <w:t>close</w:t>
      </w:r>
      <w:r>
        <w:rPr>
          <w:spacing w:val="-20"/>
        </w:rPr>
        <w:t> </w:t>
      </w:r>
      <w:r>
        <w:rPr/>
        <w:t>proximity</w:t>
      </w:r>
      <w:r>
        <w:rPr>
          <w:spacing w:val="-20"/>
        </w:rPr>
        <w:t> </w:t>
      </w:r>
      <w:r>
        <w:rPr/>
        <w:t>is</w:t>
      </w:r>
      <w:r>
        <w:rPr>
          <w:spacing w:val="-21"/>
        </w:rPr>
        <w:t> </w:t>
      </w:r>
      <w:r>
        <w:rPr/>
        <w:t>used</w:t>
      </w:r>
      <w:r>
        <w:rPr>
          <w:spacing w:val="-20"/>
        </w:rPr>
        <w:t> </w:t>
      </w:r>
      <w:r>
        <w:rPr/>
        <w:t>to</w:t>
      </w:r>
      <w:r>
        <w:rPr>
          <w:spacing w:val="-20"/>
        </w:rPr>
        <w:t> </w:t>
      </w:r>
      <w:r>
        <w:rPr/>
        <w:t>determine</w:t>
      </w:r>
      <w:r>
        <w:rPr>
          <w:spacing w:val="-20"/>
        </w:rPr>
        <w:t> </w:t>
      </w:r>
      <w:r>
        <w:rPr/>
        <w:t>price per square</w:t>
      </w:r>
      <w:r>
        <w:rPr>
          <w:spacing w:val="-2"/>
        </w:rPr>
        <w:t> </w:t>
      </w:r>
      <w:r>
        <w:rPr/>
        <w:t>metre.</w:t>
      </w:r>
    </w:p>
    <w:p>
      <w:pPr>
        <w:pStyle w:val="BodyText"/>
        <w:rPr>
          <w:sz w:val="14"/>
        </w:rPr>
      </w:pPr>
    </w:p>
    <w:p>
      <w:pPr>
        <w:spacing w:after="0"/>
        <w:rPr>
          <w:sz w:val="14"/>
        </w:rPr>
        <w:sectPr>
          <w:footerReference w:type="default" r:id="rId211"/>
          <w:pgSz w:w="16840" w:h="11910" w:orient="landscape"/>
          <w:pgMar w:footer="448" w:header="0" w:top="0" w:bottom="640" w:left="0" w:right="0"/>
        </w:sectPr>
      </w:pPr>
    </w:p>
    <w:p>
      <w:pPr>
        <w:pStyle w:val="BodyText"/>
        <w:spacing w:line="249" w:lineRule="auto" w:before="107"/>
        <w:ind w:left="765" w:right="-7"/>
      </w:pPr>
      <w:r>
        <w:rPr/>
        <w:t>Non-current assets held for sale have been written down to fair value less costs</w:t>
      </w:r>
      <w:r>
        <w:rPr>
          <w:spacing w:val="-22"/>
        </w:rPr>
        <w:t> </w:t>
      </w:r>
      <w:r>
        <w:rPr/>
        <w:t>to</w:t>
      </w:r>
      <w:r>
        <w:rPr>
          <w:spacing w:val="-21"/>
        </w:rPr>
        <w:t> </w:t>
      </w:r>
      <w:r>
        <w:rPr/>
        <w:t>sell.</w:t>
      </w:r>
      <w:r>
        <w:rPr>
          <w:spacing w:val="-21"/>
        </w:rPr>
        <w:t> </w:t>
      </w:r>
      <w:r>
        <w:rPr/>
        <w:t>Fair</w:t>
      </w:r>
      <w:r>
        <w:rPr>
          <w:spacing w:val="-21"/>
        </w:rPr>
        <w:t> </w:t>
      </w:r>
      <w:r>
        <w:rPr/>
        <w:t>value</w:t>
      </w:r>
      <w:r>
        <w:rPr>
          <w:spacing w:val="-22"/>
        </w:rPr>
        <w:t> </w:t>
      </w:r>
      <w:r>
        <w:rPr/>
        <w:t>has</w:t>
      </w:r>
      <w:r>
        <w:rPr>
          <w:spacing w:val="-21"/>
        </w:rPr>
        <w:t> </w:t>
      </w:r>
      <w:r>
        <w:rPr/>
        <w:t>been</w:t>
      </w:r>
      <w:r>
        <w:rPr>
          <w:spacing w:val="-21"/>
        </w:rPr>
        <w:t> </w:t>
      </w:r>
      <w:r>
        <w:rPr/>
        <w:t>determined</w:t>
      </w:r>
      <w:r>
        <w:rPr>
          <w:spacing w:val="-21"/>
        </w:rPr>
        <w:t> </w:t>
      </w:r>
      <w:r>
        <w:rPr/>
        <w:t>by</w:t>
      </w:r>
      <w:r>
        <w:rPr>
          <w:spacing w:val="-22"/>
        </w:rPr>
        <w:t> </w:t>
      </w:r>
      <w:r>
        <w:rPr/>
        <w:t>reference</w:t>
      </w:r>
      <w:r>
        <w:rPr>
          <w:spacing w:val="-21"/>
        </w:rPr>
        <w:t> </w:t>
      </w:r>
      <w:r>
        <w:rPr/>
        <w:t>to</w:t>
      </w:r>
      <w:r>
        <w:rPr>
          <w:spacing w:val="-21"/>
        </w:rPr>
        <w:t> </w:t>
      </w:r>
      <w:r>
        <w:rPr/>
        <w:t>market</w:t>
      </w:r>
      <w:r>
        <w:rPr>
          <w:spacing w:val="-21"/>
        </w:rPr>
        <w:t> </w:t>
      </w:r>
      <w:r>
        <w:rPr>
          <w:spacing w:val="-3"/>
        </w:rPr>
        <w:t>evidence </w:t>
      </w:r>
      <w:r>
        <w:rPr/>
        <w:t>of sales prices of comparable</w:t>
      </w:r>
      <w:r>
        <w:rPr>
          <w:spacing w:val="-8"/>
        </w:rPr>
        <w:t> </w:t>
      </w:r>
      <w:r>
        <w:rPr/>
        <w:t>assets.</w:t>
      </w:r>
    </w:p>
    <w:p>
      <w:pPr>
        <w:pStyle w:val="BodyText"/>
        <w:rPr>
          <w:sz w:val="20"/>
        </w:rPr>
      </w:pPr>
      <w:r>
        <w:rPr/>
        <w:br w:type="column"/>
      </w:r>
      <w:r>
        <w:rPr>
          <w:sz w:val="20"/>
        </w:rPr>
      </w:r>
    </w:p>
    <w:p>
      <w:pPr>
        <w:pStyle w:val="BodyText"/>
        <w:rPr>
          <w:sz w:val="20"/>
        </w:rPr>
      </w:pPr>
    </w:p>
    <w:p>
      <w:pPr>
        <w:pStyle w:val="BodyText"/>
        <w:spacing w:before="2"/>
        <w:rPr>
          <w:sz w:val="24"/>
        </w:rPr>
      </w:pPr>
      <w:r>
        <w:rPr/>
        <w:pict>
          <v:group style="position:absolute;margin-left:688.110229pt;margin-top:15.886175pt;width:113.4pt;height:.550pt;mso-position-horizontal-relative:page;mso-position-vertical-relative:paragraph;z-index:15680;mso-wrap-distance-left:0;mso-wrap-distance-right:0" coordorigin="13762,318" coordsize="2268,11">
            <v:line style="position:absolute" from="13762,323" to="14896,323" stroked="true" strokeweight=".501pt" strokecolor="#000000">
              <v:stroke dashstyle="solid"/>
            </v:line>
            <v:line style="position:absolute" from="14896,323" to="16030,323" stroked="true" strokeweight=".501pt" strokecolor="#000000">
              <v:stroke dashstyle="solid"/>
            </v:line>
            <w10:wrap type="topAndBottom"/>
          </v:group>
        </w:pict>
      </w:r>
    </w:p>
    <w:p>
      <w:pPr>
        <w:pStyle w:val="ListParagraph"/>
        <w:numPr>
          <w:ilvl w:val="0"/>
          <w:numId w:val="13"/>
        </w:numPr>
        <w:tabs>
          <w:tab w:pos="757" w:val="left" w:leader="none"/>
        </w:tabs>
        <w:spacing w:line="249" w:lineRule="auto" w:before="119" w:after="0"/>
        <w:ind w:left="773" w:right="1070" w:hanging="250"/>
        <w:jc w:val="left"/>
        <w:rPr>
          <w:sz w:val="15"/>
        </w:rPr>
      </w:pPr>
      <w:r>
        <w:rPr>
          <w:sz w:val="15"/>
        </w:rPr>
        <w:t>Fremantle</w:t>
      </w:r>
      <w:r>
        <w:rPr>
          <w:spacing w:val="-16"/>
          <w:sz w:val="15"/>
        </w:rPr>
        <w:t> </w:t>
      </w:r>
      <w:r>
        <w:rPr>
          <w:sz w:val="15"/>
        </w:rPr>
        <w:t>Prison</w:t>
      </w:r>
      <w:r>
        <w:rPr>
          <w:spacing w:val="-15"/>
          <w:sz w:val="15"/>
        </w:rPr>
        <w:t> </w:t>
      </w:r>
      <w:r>
        <w:rPr>
          <w:sz w:val="15"/>
        </w:rPr>
        <w:t>land</w:t>
      </w:r>
      <w:r>
        <w:rPr>
          <w:spacing w:val="-15"/>
          <w:sz w:val="15"/>
        </w:rPr>
        <w:t> </w:t>
      </w:r>
      <w:r>
        <w:rPr>
          <w:sz w:val="15"/>
        </w:rPr>
        <w:t>and</w:t>
      </w:r>
      <w:r>
        <w:rPr>
          <w:spacing w:val="-15"/>
          <w:sz w:val="15"/>
        </w:rPr>
        <w:t> </w:t>
      </w:r>
      <w:r>
        <w:rPr>
          <w:sz w:val="15"/>
        </w:rPr>
        <w:t>building</w:t>
      </w:r>
      <w:r>
        <w:rPr>
          <w:spacing w:val="-16"/>
          <w:sz w:val="15"/>
        </w:rPr>
        <w:t> </w:t>
      </w:r>
      <w:r>
        <w:rPr>
          <w:sz w:val="15"/>
        </w:rPr>
        <w:t>were</w:t>
      </w:r>
      <w:r>
        <w:rPr>
          <w:spacing w:val="-15"/>
          <w:sz w:val="15"/>
        </w:rPr>
        <w:t> </w:t>
      </w:r>
      <w:r>
        <w:rPr>
          <w:sz w:val="15"/>
        </w:rPr>
        <w:t>transferred</w:t>
      </w:r>
      <w:r>
        <w:rPr>
          <w:spacing w:val="-15"/>
          <w:sz w:val="15"/>
        </w:rPr>
        <w:t> </w:t>
      </w:r>
      <w:r>
        <w:rPr>
          <w:sz w:val="15"/>
        </w:rPr>
        <w:t>to</w:t>
      </w:r>
      <w:r>
        <w:rPr>
          <w:spacing w:val="-15"/>
          <w:sz w:val="15"/>
        </w:rPr>
        <w:t> </w:t>
      </w:r>
      <w:r>
        <w:rPr>
          <w:sz w:val="15"/>
        </w:rPr>
        <w:t>State</w:t>
      </w:r>
      <w:r>
        <w:rPr>
          <w:spacing w:val="-15"/>
          <w:sz w:val="15"/>
        </w:rPr>
        <w:t> </w:t>
      </w:r>
      <w:r>
        <w:rPr>
          <w:sz w:val="15"/>
        </w:rPr>
        <w:t>Heritage</w:t>
      </w:r>
      <w:r>
        <w:rPr>
          <w:spacing w:val="-16"/>
          <w:sz w:val="15"/>
        </w:rPr>
        <w:t> </w:t>
      </w:r>
      <w:r>
        <w:rPr>
          <w:sz w:val="15"/>
        </w:rPr>
        <w:t>Office</w:t>
      </w:r>
      <w:r>
        <w:rPr>
          <w:spacing w:val="-15"/>
          <w:sz w:val="15"/>
        </w:rPr>
        <w:t> </w:t>
      </w:r>
      <w:r>
        <w:rPr>
          <w:sz w:val="15"/>
        </w:rPr>
        <w:t>for</w:t>
      </w:r>
      <w:r>
        <w:rPr>
          <w:spacing w:val="-15"/>
          <w:sz w:val="15"/>
        </w:rPr>
        <w:t> </w:t>
      </w:r>
      <w:r>
        <w:rPr>
          <w:sz w:val="15"/>
        </w:rPr>
        <w:t>$265,000</w:t>
      </w:r>
      <w:r>
        <w:rPr>
          <w:spacing w:val="-15"/>
          <w:sz w:val="15"/>
        </w:rPr>
        <w:t> </w:t>
      </w:r>
      <w:r>
        <w:rPr>
          <w:sz w:val="15"/>
        </w:rPr>
        <w:t>and</w:t>
      </w:r>
      <w:r>
        <w:rPr>
          <w:spacing w:val="-15"/>
          <w:sz w:val="15"/>
        </w:rPr>
        <w:t> </w:t>
      </w:r>
      <w:r>
        <w:rPr>
          <w:sz w:val="15"/>
        </w:rPr>
        <w:t>$29,301,600 respectively.</w:t>
      </w:r>
    </w:p>
    <w:p>
      <w:pPr>
        <w:spacing w:after="0" w:line="249" w:lineRule="auto"/>
        <w:jc w:val="left"/>
        <w:rPr>
          <w:sz w:val="15"/>
        </w:rPr>
        <w:sectPr>
          <w:type w:val="continuous"/>
          <w:pgSz w:w="16840" w:h="11910" w:orient="landscape"/>
          <w:pgMar w:top="0" w:bottom="0" w:left="0" w:right="0"/>
          <w:cols w:num="2" w:equalWidth="0">
            <w:col w:w="8069" w:space="40"/>
            <w:col w:w="8731"/>
          </w:cols>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pPr>
    </w:p>
    <w:p>
      <w:pPr>
        <w:pStyle w:val="Heading1"/>
        <w:spacing w:before="93"/>
      </w:pPr>
      <w:r>
        <w:rPr/>
        <w:pict>
          <v:group style="position:absolute;margin-left:763.172119pt;margin-top:-3.544212pt;width:61.1pt;height:45.2pt;mso-position-horizontal-relative:page;mso-position-vertical-relative:paragraph;z-index:18184"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422;top:379;width:2;height:4" coordorigin="15423,379" coordsize="2,4" path="m15424,379l15423,381,15424,382,15424,379xe" filled="true" fillcolor="#b9c369" stroked="false">
              <v:path arrowok="t"/>
              <v:fill type="solid"/>
            </v:shape>
            <v:shape style="position:absolute;left:16324;top:379;width:2;height:4" coordorigin="16324,379" coordsize="2,4" path="m16324,379l16324,382,16326,381,16324,379xe" filled="true" fillcolor="#bec29e"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18232" coordorigin="0,-1146" coordsize="2406,851">
            <v:rect style="position:absolute;left:0;top:-1147;width:2406;height:851" filled="true" fillcolor="#aebd37" stroked="false">
              <v:fill type="solid"/>
            </v:rect>
            <v:shape style="position:absolute;left:0;top:-1147;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18328"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spacing w:before="29"/>
      </w:pPr>
      <w:r>
        <w:rPr>
          <w:color w:val="A7BE39"/>
        </w:rPr>
        <w:t>For the year ended 30 June 2017</w:t>
      </w:r>
    </w:p>
    <w:p>
      <w:pPr>
        <w:pStyle w:val="BodyText"/>
        <w:spacing w:before="11"/>
        <w:rPr>
          <w:sz w:val="14"/>
        </w:rPr>
      </w:pPr>
    </w:p>
    <w:p>
      <w:pPr>
        <w:spacing w:after="0"/>
        <w:rPr>
          <w:sz w:val="14"/>
        </w:rPr>
        <w:sectPr>
          <w:footerReference w:type="default" r:id="rId212"/>
          <w:pgSz w:w="16840" w:h="11910" w:orient="landscape"/>
          <w:pgMar w:footer="448" w:header="0" w:top="0" w:bottom="640" w:left="0" w:right="0"/>
        </w:sectPr>
      </w:pPr>
    </w:p>
    <w:p>
      <w:pPr>
        <w:pStyle w:val="Heading6"/>
        <w:spacing w:before="108"/>
      </w:pPr>
      <w:r>
        <w:rPr/>
        <w:t>Valuation processes</w:t>
      </w:r>
    </w:p>
    <w:p>
      <w:pPr>
        <w:pStyle w:val="BodyText"/>
        <w:spacing w:before="11"/>
        <w:ind w:left="765"/>
      </w:pPr>
      <w:r>
        <w:rPr/>
        <w:t>There were no changes in valuation techniques during the period.</w:t>
      </w:r>
    </w:p>
    <w:p>
      <w:pPr>
        <w:pStyle w:val="BodyText"/>
        <w:spacing w:before="10"/>
        <w:rPr>
          <w:sz w:val="23"/>
        </w:rPr>
      </w:pPr>
    </w:p>
    <w:p>
      <w:pPr>
        <w:pStyle w:val="BodyText"/>
        <w:spacing w:line="249" w:lineRule="auto"/>
        <w:ind w:left="765" w:right="271"/>
      </w:pPr>
      <w:r>
        <w:rPr>
          <w:spacing w:val="-3"/>
        </w:rPr>
        <w:t>Transfers </w:t>
      </w:r>
      <w:r>
        <w:rPr/>
        <w:t>in and out of a fair value level are recognised on the date of the event or change in circumstances that caused the </w:t>
      </w:r>
      <w:r>
        <w:rPr>
          <w:spacing w:val="-3"/>
        </w:rPr>
        <w:t>transfer. Transfers </w:t>
      </w:r>
      <w:r>
        <w:rPr/>
        <w:t>are generally limited to assets newly classified as non-current assets held for sale</w:t>
      </w:r>
      <w:r>
        <w:rPr>
          <w:spacing w:val="-24"/>
        </w:rPr>
        <w:t> </w:t>
      </w:r>
      <w:r>
        <w:rPr/>
        <w:t>as</w:t>
      </w:r>
      <w:r>
        <w:rPr>
          <w:spacing w:val="-24"/>
        </w:rPr>
        <w:t> </w:t>
      </w:r>
      <w:r>
        <w:rPr>
          <w:spacing w:val="-5"/>
        </w:rPr>
        <w:t>Treasurer’s</w:t>
      </w:r>
      <w:r>
        <w:rPr>
          <w:spacing w:val="-24"/>
        </w:rPr>
        <w:t> </w:t>
      </w:r>
      <w:r>
        <w:rPr/>
        <w:t>Instructions</w:t>
      </w:r>
      <w:r>
        <w:rPr>
          <w:spacing w:val="-24"/>
        </w:rPr>
        <w:t> </w:t>
      </w:r>
      <w:r>
        <w:rPr/>
        <w:t>require</w:t>
      </w:r>
      <w:r>
        <w:rPr>
          <w:spacing w:val="-24"/>
        </w:rPr>
        <w:t> </w:t>
      </w:r>
      <w:r>
        <w:rPr/>
        <w:t>valuations</w:t>
      </w:r>
      <w:r>
        <w:rPr>
          <w:spacing w:val="-24"/>
        </w:rPr>
        <w:t> </w:t>
      </w:r>
      <w:r>
        <w:rPr/>
        <w:t>of</w:t>
      </w:r>
      <w:r>
        <w:rPr>
          <w:spacing w:val="-24"/>
        </w:rPr>
        <w:t> </w:t>
      </w:r>
      <w:r>
        <w:rPr/>
        <w:t>land</w:t>
      </w:r>
      <w:r>
        <w:rPr>
          <w:spacing w:val="-24"/>
        </w:rPr>
        <w:t> </w:t>
      </w:r>
      <w:r>
        <w:rPr/>
        <w:t>and</w:t>
      </w:r>
      <w:r>
        <w:rPr>
          <w:spacing w:val="-23"/>
        </w:rPr>
        <w:t> </w:t>
      </w:r>
      <w:r>
        <w:rPr/>
        <w:t>buildings</w:t>
      </w:r>
      <w:r>
        <w:rPr>
          <w:spacing w:val="-24"/>
        </w:rPr>
        <w:t> </w:t>
      </w:r>
      <w:r>
        <w:rPr/>
        <w:t>to</w:t>
      </w:r>
      <w:r>
        <w:rPr>
          <w:spacing w:val="-24"/>
        </w:rPr>
        <w:t> </w:t>
      </w:r>
      <w:r>
        <w:rPr>
          <w:spacing w:val="-8"/>
        </w:rPr>
        <w:t>be </w:t>
      </w:r>
      <w:r>
        <w:rPr/>
        <w:t>categorised</w:t>
      </w:r>
      <w:r>
        <w:rPr>
          <w:spacing w:val="-26"/>
        </w:rPr>
        <w:t> </w:t>
      </w:r>
      <w:r>
        <w:rPr/>
        <w:t>within</w:t>
      </w:r>
      <w:r>
        <w:rPr>
          <w:spacing w:val="-25"/>
        </w:rPr>
        <w:t> </w:t>
      </w:r>
      <w:r>
        <w:rPr/>
        <w:t>Level</w:t>
      </w:r>
      <w:r>
        <w:rPr>
          <w:spacing w:val="-25"/>
        </w:rPr>
        <w:t> </w:t>
      </w:r>
      <w:r>
        <w:rPr/>
        <w:t>3</w:t>
      </w:r>
      <w:r>
        <w:rPr>
          <w:spacing w:val="-26"/>
        </w:rPr>
        <w:t> </w:t>
      </w:r>
      <w:r>
        <w:rPr/>
        <w:t>where</w:t>
      </w:r>
      <w:r>
        <w:rPr>
          <w:spacing w:val="-25"/>
        </w:rPr>
        <w:t> </w:t>
      </w:r>
      <w:r>
        <w:rPr/>
        <w:t>the</w:t>
      </w:r>
      <w:r>
        <w:rPr>
          <w:spacing w:val="-25"/>
        </w:rPr>
        <w:t> </w:t>
      </w:r>
      <w:r>
        <w:rPr/>
        <w:t>valuations</w:t>
      </w:r>
      <w:r>
        <w:rPr>
          <w:spacing w:val="-26"/>
        </w:rPr>
        <w:t> </w:t>
      </w:r>
      <w:r>
        <w:rPr/>
        <w:t>will</w:t>
      </w:r>
      <w:r>
        <w:rPr>
          <w:spacing w:val="-25"/>
        </w:rPr>
        <w:t> </w:t>
      </w:r>
      <w:r>
        <w:rPr/>
        <w:t>utilise</w:t>
      </w:r>
      <w:r>
        <w:rPr>
          <w:spacing w:val="-25"/>
        </w:rPr>
        <w:t> </w:t>
      </w:r>
      <w:r>
        <w:rPr/>
        <w:t>significant</w:t>
      </w:r>
      <w:r>
        <w:rPr>
          <w:spacing w:val="-26"/>
        </w:rPr>
        <w:t> </w:t>
      </w:r>
      <w:r>
        <w:rPr/>
        <w:t>Level</w:t>
      </w:r>
      <w:r>
        <w:rPr>
          <w:spacing w:val="-25"/>
        </w:rPr>
        <w:t> </w:t>
      </w:r>
      <w:r>
        <w:rPr/>
        <w:t>3 inputs on a recurring</w:t>
      </w:r>
      <w:r>
        <w:rPr>
          <w:spacing w:val="-5"/>
        </w:rPr>
        <w:t> </w:t>
      </w:r>
      <w:r>
        <w:rPr/>
        <w:t>basis.</w:t>
      </w:r>
    </w:p>
    <w:p>
      <w:pPr>
        <w:pStyle w:val="BodyText"/>
        <w:spacing w:before="5"/>
        <w:rPr>
          <w:sz w:val="23"/>
        </w:rPr>
      </w:pPr>
    </w:p>
    <w:p>
      <w:pPr>
        <w:spacing w:before="0"/>
        <w:ind w:left="765" w:right="0" w:firstLine="0"/>
        <w:jc w:val="left"/>
        <w:rPr>
          <w:i/>
          <w:sz w:val="22"/>
        </w:rPr>
      </w:pPr>
      <w:r>
        <w:rPr>
          <w:i/>
          <w:color w:val="6F2770"/>
          <w:sz w:val="22"/>
        </w:rPr>
        <w:t>Land (Level 3 fair values)</w:t>
      </w:r>
    </w:p>
    <w:p>
      <w:pPr>
        <w:pStyle w:val="BodyText"/>
        <w:spacing w:line="249" w:lineRule="auto" w:before="11"/>
        <w:ind w:left="765" w:right="137"/>
      </w:pPr>
      <w:r>
        <w:rPr/>
        <w:t>Fair value for restricted use land is based on comparison with market evidence</w:t>
      </w:r>
      <w:r>
        <w:rPr>
          <w:spacing w:val="-22"/>
        </w:rPr>
        <w:t> </w:t>
      </w:r>
      <w:r>
        <w:rPr/>
        <w:t>for</w:t>
      </w:r>
      <w:r>
        <w:rPr>
          <w:spacing w:val="-21"/>
        </w:rPr>
        <w:t> </w:t>
      </w:r>
      <w:r>
        <w:rPr/>
        <w:t>land</w:t>
      </w:r>
      <w:r>
        <w:rPr>
          <w:spacing w:val="-22"/>
        </w:rPr>
        <w:t> </w:t>
      </w:r>
      <w:r>
        <w:rPr/>
        <w:t>with</w:t>
      </w:r>
      <w:r>
        <w:rPr>
          <w:spacing w:val="-21"/>
        </w:rPr>
        <w:t> </w:t>
      </w:r>
      <w:r>
        <w:rPr/>
        <w:t>low</w:t>
      </w:r>
      <w:r>
        <w:rPr>
          <w:spacing w:val="-21"/>
        </w:rPr>
        <w:t> </w:t>
      </w:r>
      <w:r>
        <w:rPr/>
        <w:t>level</w:t>
      </w:r>
      <w:r>
        <w:rPr>
          <w:spacing w:val="-22"/>
        </w:rPr>
        <w:t> </w:t>
      </w:r>
      <w:r>
        <w:rPr/>
        <w:t>utility</w:t>
      </w:r>
      <w:r>
        <w:rPr>
          <w:spacing w:val="-21"/>
        </w:rPr>
        <w:t> </w:t>
      </w:r>
      <w:r>
        <w:rPr/>
        <w:t>(high</w:t>
      </w:r>
      <w:r>
        <w:rPr>
          <w:spacing w:val="-22"/>
        </w:rPr>
        <w:t> </w:t>
      </w:r>
      <w:r>
        <w:rPr/>
        <w:t>restricted</w:t>
      </w:r>
      <w:r>
        <w:rPr>
          <w:spacing w:val="-21"/>
        </w:rPr>
        <w:t> </w:t>
      </w:r>
      <w:r>
        <w:rPr/>
        <w:t>use</w:t>
      </w:r>
      <w:r>
        <w:rPr>
          <w:spacing w:val="-21"/>
        </w:rPr>
        <w:t> </w:t>
      </w:r>
      <w:r>
        <w:rPr/>
        <w:t>land).</w:t>
      </w:r>
      <w:r>
        <w:rPr>
          <w:spacing w:val="-22"/>
        </w:rPr>
        <w:t> </w:t>
      </w:r>
      <w:r>
        <w:rPr/>
        <w:t>The</w:t>
      </w:r>
      <w:r>
        <w:rPr>
          <w:spacing w:val="-21"/>
        </w:rPr>
        <w:t> </w:t>
      </w:r>
      <w:r>
        <w:rPr/>
        <w:t>relevant comparators</w:t>
      </w:r>
      <w:r>
        <w:rPr>
          <w:spacing w:val="-22"/>
        </w:rPr>
        <w:t> </w:t>
      </w:r>
      <w:r>
        <w:rPr/>
        <w:t>of</w:t>
      </w:r>
      <w:r>
        <w:rPr>
          <w:spacing w:val="-22"/>
        </w:rPr>
        <w:t> </w:t>
      </w:r>
      <w:r>
        <w:rPr/>
        <w:t>land</w:t>
      </w:r>
      <w:r>
        <w:rPr>
          <w:spacing w:val="-21"/>
        </w:rPr>
        <w:t> </w:t>
      </w:r>
      <w:r>
        <w:rPr/>
        <w:t>with</w:t>
      </w:r>
      <w:r>
        <w:rPr>
          <w:spacing w:val="-22"/>
        </w:rPr>
        <w:t> </w:t>
      </w:r>
      <w:r>
        <w:rPr/>
        <w:t>low</w:t>
      </w:r>
      <w:r>
        <w:rPr>
          <w:spacing w:val="-22"/>
        </w:rPr>
        <w:t> </w:t>
      </w:r>
      <w:r>
        <w:rPr/>
        <w:t>level</w:t>
      </w:r>
      <w:r>
        <w:rPr>
          <w:spacing w:val="-21"/>
        </w:rPr>
        <w:t> </w:t>
      </w:r>
      <w:r>
        <w:rPr/>
        <w:t>utility</w:t>
      </w:r>
      <w:r>
        <w:rPr>
          <w:spacing w:val="-22"/>
        </w:rPr>
        <w:t> </w:t>
      </w:r>
      <w:r>
        <w:rPr/>
        <w:t>is</w:t>
      </w:r>
      <w:r>
        <w:rPr>
          <w:spacing w:val="-22"/>
        </w:rPr>
        <w:t> </w:t>
      </w:r>
      <w:r>
        <w:rPr/>
        <w:t>selected</w:t>
      </w:r>
      <w:r>
        <w:rPr>
          <w:spacing w:val="-21"/>
        </w:rPr>
        <w:t> </w:t>
      </w:r>
      <w:r>
        <w:rPr/>
        <w:t>by</w:t>
      </w:r>
      <w:r>
        <w:rPr>
          <w:spacing w:val="-22"/>
        </w:rPr>
        <w:t> </w:t>
      </w:r>
      <w:r>
        <w:rPr/>
        <w:t>the</w:t>
      </w:r>
      <w:r>
        <w:rPr>
          <w:spacing w:val="-22"/>
        </w:rPr>
        <w:t> </w:t>
      </w:r>
      <w:r>
        <w:rPr/>
        <w:t>Western</w:t>
      </w:r>
      <w:r>
        <w:rPr>
          <w:spacing w:val="-21"/>
        </w:rPr>
        <w:t> </w:t>
      </w:r>
      <w:r>
        <w:rPr/>
        <w:t>Australian </w:t>
      </w:r>
      <w:r>
        <w:rPr>
          <w:w w:val="95"/>
        </w:rPr>
        <w:t>Land Information Authority (Valuation Services) and represents the application </w:t>
      </w:r>
      <w:r>
        <w:rPr/>
        <w:t>of a significant Level 3 input in this valuation methodology. The fair value measurement</w:t>
      </w:r>
      <w:r>
        <w:rPr>
          <w:spacing w:val="-21"/>
        </w:rPr>
        <w:t> </w:t>
      </w:r>
      <w:r>
        <w:rPr/>
        <w:t>is</w:t>
      </w:r>
      <w:r>
        <w:rPr>
          <w:spacing w:val="-20"/>
        </w:rPr>
        <w:t> </w:t>
      </w:r>
      <w:r>
        <w:rPr/>
        <w:t>sensitive</w:t>
      </w:r>
      <w:r>
        <w:rPr>
          <w:spacing w:val="-20"/>
        </w:rPr>
        <w:t> </w:t>
      </w:r>
      <w:r>
        <w:rPr/>
        <w:t>to</w:t>
      </w:r>
      <w:r>
        <w:rPr>
          <w:spacing w:val="-21"/>
        </w:rPr>
        <w:t> </w:t>
      </w:r>
      <w:r>
        <w:rPr/>
        <w:t>values</w:t>
      </w:r>
      <w:r>
        <w:rPr>
          <w:spacing w:val="-20"/>
        </w:rPr>
        <w:t> </w:t>
      </w:r>
      <w:r>
        <w:rPr/>
        <w:t>of</w:t>
      </w:r>
      <w:r>
        <w:rPr>
          <w:spacing w:val="-20"/>
        </w:rPr>
        <w:t> </w:t>
      </w:r>
      <w:r>
        <w:rPr/>
        <w:t>comparator</w:t>
      </w:r>
      <w:r>
        <w:rPr>
          <w:spacing w:val="-20"/>
        </w:rPr>
        <w:t> </w:t>
      </w:r>
      <w:r>
        <w:rPr/>
        <w:t>land,</w:t>
      </w:r>
      <w:r>
        <w:rPr>
          <w:spacing w:val="-21"/>
        </w:rPr>
        <w:t> </w:t>
      </w:r>
      <w:r>
        <w:rPr/>
        <w:t>with</w:t>
      </w:r>
      <w:r>
        <w:rPr>
          <w:spacing w:val="-20"/>
        </w:rPr>
        <w:t> </w:t>
      </w:r>
      <w:r>
        <w:rPr/>
        <w:t>higher</w:t>
      </w:r>
      <w:r>
        <w:rPr>
          <w:spacing w:val="-20"/>
        </w:rPr>
        <w:t> </w:t>
      </w:r>
      <w:r>
        <w:rPr/>
        <w:t>values</w:t>
      </w:r>
      <w:r>
        <w:rPr>
          <w:spacing w:val="-20"/>
        </w:rPr>
        <w:t> </w:t>
      </w:r>
      <w:r>
        <w:rPr/>
        <w:t>of comparator</w:t>
      </w:r>
      <w:r>
        <w:rPr>
          <w:spacing w:val="-10"/>
        </w:rPr>
        <w:t> </w:t>
      </w:r>
      <w:r>
        <w:rPr/>
        <w:t>land</w:t>
      </w:r>
      <w:r>
        <w:rPr>
          <w:spacing w:val="-9"/>
        </w:rPr>
        <w:t> </w:t>
      </w:r>
      <w:r>
        <w:rPr/>
        <w:t>correlating</w:t>
      </w:r>
      <w:r>
        <w:rPr>
          <w:spacing w:val="-10"/>
        </w:rPr>
        <w:t> </w:t>
      </w:r>
      <w:r>
        <w:rPr/>
        <w:t>with</w:t>
      </w:r>
      <w:r>
        <w:rPr>
          <w:spacing w:val="-9"/>
        </w:rPr>
        <w:t> </w:t>
      </w:r>
      <w:r>
        <w:rPr/>
        <w:t>higher</w:t>
      </w:r>
      <w:r>
        <w:rPr>
          <w:spacing w:val="-9"/>
        </w:rPr>
        <w:t> </w:t>
      </w:r>
      <w:r>
        <w:rPr/>
        <w:t>estimated</w:t>
      </w:r>
      <w:r>
        <w:rPr>
          <w:spacing w:val="-10"/>
        </w:rPr>
        <w:t> </w:t>
      </w:r>
      <w:r>
        <w:rPr/>
        <w:t>fair</w:t>
      </w:r>
      <w:r>
        <w:rPr>
          <w:spacing w:val="-9"/>
        </w:rPr>
        <w:t> </w:t>
      </w:r>
      <w:r>
        <w:rPr/>
        <w:t>values</w:t>
      </w:r>
      <w:r>
        <w:rPr>
          <w:spacing w:val="-9"/>
        </w:rPr>
        <w:t> </w:t>
      </w:r>
      <w:r>
        <w:rPr/>
        <w:t>of</w:t>
      </w:r>
      <w:r>
        <w:rPr>
          <w:spacing w:val="-10"/>
        </w:rPr>
        <w:t> </w:t>
      </w:r>
      <w:r>
        <w:rPr/>
        <w:t>land.</w:t>
      </w:r>
    </w:p>
    <w:p>
      <w:pPr>
        <w:pStyle w:val="BodyText"/>
        <w:spacing w:before="6"/>
        <w:rPr>
          <w:sz w:val="23"/>
        </w:rPr>
      </w:pPr>
    </w:p>
    <w:p>
      <w:pPr>
        <w:spacing w:before="0"/>
        <w:ind w:left="765" w:right="0" w:firstLine="0"/>
        <w:jc w:val="left"/>
        <w:rPr>
          <w:i/>
          <w:sz w:val="22"/>
        </w:rPr>
      </w:pPr>
      <w:r>
        <w:rPr>
          <w:i/>
          <w:color w:val="6F2770"/>
          <w:sz w:val="22"/>
        </w:rPr>
        <w:t>Buildings (Level 3 fair values)</w:t>
      </w:r>
    </w:p>
    <w:p>
      <w:pPr>
        <w:pStyle w:val="BodyText"/>
        <w:spacing w:line="249" w:lineRule="auto" w:before="11"/>
        <w:ind w:left="765" w:right="-4"/>
      </w:pPr>
      <w:r>
        <w:rPr/>
        <w:t>Fair</w:t>
      </w:r>
      <w:r>
        <w:rPr>
          <w:spacing w:val="-20"/>
        </w:rPr>
        <w:t> </w:t>
      </w:r>
      <w:r>
        <w:rPr/>
        <w:t>value</w:t>
      </w:r>
      <w:r>
        <w:rPr>
          <w:spacing w:val="-20"/>
        </w:rPr>
        <w:t> </w:t>
      </w:r>
      <w:r>
        <w:rPr/>
        <w:t>for</w:t>
      </w:r>
      <w:r>
        <w:rPr>
          <w:spacing w:val="-20"/>
        </w:rPr>
        <w:t> </w:t>
      </w:r>
      <w:r>
        <w:rPr/>
        <w:t>existing</w:t>
      </w:r>
      <w:r>
        <w:rPr>
          <w:spacing w:val="-20"/>
        </w:rPr>
        <w:t> </w:t>
      </w:r>
      <w:r>
        <w:rPr/>
        <w:t>use</w:t>
      </w:r>
      <w:r>
        <w:rPr>
          <w:spacing w:val="-20"/>
        </w:rPr>
        <w:t> </w:t>
      </w:r>
      <w:r>
        <w:rPr/>
        <w:t>specialised</w:t>
      </w:r>
      <w:r>
        <w:rPr>
          <w:spacing w:val="-20"/>
        </w:rPr>
        <w:t> </w:t>
      </w:r>
      <w:r>
        <w:rPr/>
        <w:t>buildings</w:t>
      </w:r>
      <w:r>
        <w:rPr>
          <w:spacing w:val="-20"/>
        </w:rPr>
        <w:t> </w:t>
      </w:r>
      <w:r>
        <w:rPr/>
        <w:t>is</w:t>
      </w:r>
      <w:r>
        <w:rPr>
          <w:spacing w:val="-20"/>
        </w:rPr>
        <w:t> </w:t>
      </w:r>
      <w:r>
        <w:rPr/>
        <w:t>determined</w:t>
      </w:r>
      <w:r>
        <w:rPr>
          <w:spacing w:val="-20"/>
        </w:rPr>
        <w:t> </w:t>
      </w:r>
      <w:r>
        <w:rPr/>
        <w:t>by</w:t>
      </w:r>
      <w:r>
        <w:rPr>
          <w:spacing w:val="-20"/>
        </w:rPr>
        <w:t> </w:t>
      </w:r>
      <w:r>
        <w:rPr/>
        <w:t>reference</w:t>
      </w:r>
      <w:r>
        <w:rPr>
          <w:spacing w:val="-20"/>
        </w:rPr>
        <w:t> </w:t>
      </w:r>
      <w:r>
        <w:rPr/>
        <w:t>to the</w:t>
      </w:r>
      <w:r>
        <w:rPr>
          <w:spacing w:val="-15"/>
        </w:rPr>
        <w:t> </w:t>
      </w:r>
      <w:r>
        <w:rPr/>
        <w:t>cost</w:t>
      </w:r>
      <w:r>
        <w:rPr>
          <w:spacing w:val="-14"/>
        </w:rPr>
        <w:t> </w:t>
      </w:r>
      <w:r>
        <w:rPr/>
        <w:t>of</w:t>
      </w:r>
      <w:r>
        <w:rPr>
          <w:spacing w:val="-14"/>
        </w:rPr>
        <w:t> </w:t>
      </w:r>
      <w:r>
        <w:rPr/>
        <w:t>replacing</w:t>
      </w:r>
      <w:r>
        <w:rPr>
          <w:spacing w:val="-14"/>
        </w:rPr>
        <w:t> </w:t>
      </w:r>
      <w:r>
        <w:rPr/>
        <w:t>the</w:t>
      </w:r>
      <w:r>
        <w:rPr>
          <w:spacing w:val="-15"/>
        </w:rPr>
        <w:t> </w:t>
      </w:r>
      <w:r>
        <w:rPr/>
        <w:t>remaining</w:t>
      </w:r>
      <w:r>
        <w:rPr>
          <w:spacing w:val="-14"/>
        </w:rPr>
        <w:t> </w:t>
      </w:r>
      <w:r>
        <w:rPr/>
        <w:t>future</w:t>
      </w:r>
      <w:r>
        <w:rPr>
          <w:spacing w:val="-14"/>
        </w:rPr>
        <w:t> </w:t>
      </w:r>
      <w:r>
        <w:rPr/>
        <w:t>economic</w:t>
      </w:r>
      <w:r>
        <w:rPr>
          <w:spacing w:val="-14"/>
        </w:rPr>
        <w:t> </w:t>
      </w:r>
      <w:r>
        <w:rPr/>
        <w:t>benefits</w:t>
      </w:r>
      <w:r>
        <w:rPr>
          <w:spacing w:val="-15"/>
        </w:rPr>
        <w:t> </w:t>
      </w:r>
      <w:r>
        <w:rPr/>
        <w:t>embodied</w:t>
      </w:r>
      <w:r>
        <w:rPr>
          <w:spacing w:val="-14"/>
        </w:rPr>
        <w:t> </w:t>
      </w:r>
      <w:r>
        <w:rPr/>
        <w:t>in</w:t>
      </w:r>
      <w:r>
        <w:rPr>
          <w:spacing w:val="-14"/>
        </w:rPr>
        <w:t> </w:t>
      </w:r>
      <w:r>
        <w:rPr/>
        <w:t>the asset,</w:t>
      </w:r>
      <w:r>
        <w:rPr>
          <w:spacing w:val="-20"/>
        </w:rPr>
        <w:t> </w:t>
      </w:r>
      <w:r>
        <w:rPr/>
        <w:t>that</w:t>
      </w:r>
      <w:r>
        <w:rPr>
          <w:spacing w:val="-20"/>
        </w:rPr>
        <w:t> </w:t>
      </w:r>
      <w:r>
        <w:rPr/>
        <w:t>is</w:t>
      </w:r>
      <w:r>
        <w:rPr>
          <w:spacing w:val="-20"/>
        </w:rPr>
        <w:t> </w:t>
      </w:r>
      <w:r>
        <w:rPr/>
        <w:t>the</w:t>
      </w:r>
      <w:r>
        <w:rPr>
          <w:spacing w:val="-19"/>
        </w:rPr>
        <w:t> </w:t>
      </w:r>
      <w:r>
        <w:rPr/>
        <w:t>depreciated</w:t>
      </w:r>
      <w:r>
        <w:rPr>
          <w:spacing w:val="-20"/>
        </w:rPr>
        <w:t> </w:t>
      </w:r>
      <w:r>
        <w:rPr/>
        <w:t>replacement</w:t>
      </w:r>
      <w:r>
        <w:rPr>
          <w:spacing w:val="-20"/>
        </w:rPr>
        <w:t> </w:t>
      </w:r>
      <w:r>
        <w:rPr/>
        <w:t>cost.</w:t>
      </w:r>
      <w:r>
        <w:rPr>
          <w:spacing w:val="-20"/>
        </w:rPr>
        <w:t> </w:t>
      </w:r>
      <w:r>
        <w:rPr/>
        <w:t>Depreciated</w:t>
      </w:r>
      <w:r>
        <w:rPr>
          <w:spacing w:val="-19"/>
        </w:rPr>
        <w:t> </w:t>
      </w:r>
      <w:r>
        <w:rPr/>
        <w:t>replacement</w:t>
      </w:r>
      <w:r>
        <w:rPr>
          <w:spacing w:val="-20"/>
        </w:rPr>
        <w:t> </w:t>
      </w:r>
      <w:r>
        <w:rPr/>
        <w:t>cost is the current replacement cost of an asset less accumulated depreciation calculated</w:t>
      </w:r>
      <w:r>
        <w:rPr>
          <w:spacing w:val="-15"/>
        </w:rPr>
        <w:t> </w:t>
      </w:r>
      <w:r>
        <w:rPr/>
        <w:t>on</w:t>
      </w:r>
      <w:r>
        <w:rPr>
          <w:spacing w:val="-15"/>
        </w:rPr>
        <w:t> </w:t>
      </w:r>
      <w:r>
        <w:rPr/>
        <w:t>the</w:t>
      </w:r>
      <w:r>
        <w:rPr>
          <w:spacing w:val="-14"/>
        </w:rPr>
        <w:t> </w:t>
      </w:r>
      <w:r>
        <w:rPr/>
        <w:t>basis</w:t>
      </w:r>
      <w:r>
        <w:rPr>
          <w:spacing w:val="-15"/>
        </w:rPr>
        <w:t> </w:t>
      </w:r>
      <w:r>
        <w:rPr/>
        <w:t>of</w:t>
      </w:r>
      <w:r>
        <w:rPr>
          <w:spacing w:val="-14"/>
        </w:rPr>
        <w:t> </w:t>
      </w:r>
      <w:r>
        <w:rPr/>
        <w:t>such</w:t>
      </w:r>
      <w:r>
        <w:rPr>
          <w:spacing w:val="-15"/>
        </w:rPr>
        <w:t> </w:t>
      </w:r>
      <w:r>
        <w:rPr/>
        <w:t>cost</w:t>
      </w:r>
      <w:r>
        <w:rPr>
          <w:spacing w:val="-14"/>
        </w:rPr>
        <w:t> </w:t>
      </w:r>
      <w:r>
        <w:rPr/>
        <w:t>to</w:t>
      </w:r>
      <w:r>
        <w:rPr>
          <w:spacing w:val="-15"/>
        </w:rPr>
        <w:t> </w:t>
      </w:r>
      <w:r>
        <w:rPr/>
        <w:t>reflect</w:t>
      </w:r>
      <w:r>
        <w:rPr>
          <w:spacing w:val="-14"/>
        </w:rPr>
        <w:t> </w:t>
      </w:r>
      <w:r>
        <w:rPr/>
        <w:t>the</w:t>
      </w:r>
      <w:r>
        <w:rPr>
          <w:spacing w:val="-15"/>
        </w:rPr>
        <w:t> </w:t>
      </w:r>
      <w:r>
        <w:rPr/>
        <w:t>already</w:t>
      </w:r>
      <w:r>
        <w:rPr>
          <w:spacing w:val="-14"/>
        </w:rPr>
        <w:t> </w:t>
      </w:r>
      <w:r>
        <w:rPr/>
        <w:t>consumed</w:t>
      </w:r>
      <w:r>
        <w:rPr>
          <w:spacing w:val="-15"/>
        </w:rPr>
        <w:t> </w:t>
      </w:r>
      <w:r>
        <w:rPr/>
        <w:t>or</w:t>
      </w:r>
      <w:r>
        <w:rPr>
          <w:spacing w:val="-15"/>
        </w:rPr>
        <w:t> </w:t>
      </w:r>
      <w:r>
        <w:rPr>
          <w:spacing w:val="-4"/>
        </w:rPr>
        <w:t>expired </w:t>
      </w:r>
      <w:r>
        <w:rPr/>
        <w:t>economic</w:t>
      </w:r>
      <w:r>
        <w:rPr>
          <w:spacing w:val="-22"/>
        </w:rPr>
        <w:t> </w:t>
      </w:r>
      <w:r>
        <w:rPr/>
        <w:t>benefit,</w:t>
      </w:r>
      <w:r>
        <w:rPr>
          <w:spacing w:val="-21"/>
        </w:rPr>
        <w:t> </w:t>
      </w:r>
      <w:r>
        <w:rPr/>
        <w:t>or</w:t>
      </w:r>
      <w:r>
        <w:rPr>
          <w:spacing w:val="-22"/>
        </w:rPr>
        <w:t> </w:t>
      </w:r>
      <w:r>
        <w:rPr/>
        <w:t>obsolescence,</w:t>
      </w:r>
      <w:r>
        <w:rPr>
          <w:spacing w:val="-21"/>
        </w:rPr>
        <w:t> </w:t>
      </w:r>
      <w:r>
        <w:rPr/>
        <w:t>and</w:t>
      </w:r>
      <w:r>
        <w:rPr>
          <w:spacing w:val="-22"/>
        </w:rPr>
        <w:t> </w:t>
      </w:r>
      <w:r>
        <w:rPr/>
        <w:t>optimisation</w:t>
      </w:r>
      <w:r>
        <w:rPr>
          <w:spacing w:val="-21"/>
        </w:rPr>
        <w:t> </w:t>
      </w:r>
      <w:r>
        <w:rPr/>
        <w:t>(where</w:t>
      </w:r>
      <w:r>
        <w:rPr>
          <w:spacing w:val="-22"/>
        </w:rPr>
        <w:t> </w:t>
      </w:r>
      <w:r>
        <w:rPr/>
        <w:t>applicable)</w:t>
      </w:r>
      <w:r>
        <w:rPr>
          <w:spacing w:val="-21"/>
        </w:rPr>
        <w:t> </w:t>
      </w:r>
      <w:r>
        <w:rPr/>
        <w:t>of</w:t>
      </w:r>
      <w:r>
        <w:rPr>
          <w:spacing w:val="-22"/>
        </w:rPr>
        <w:t> </w:t>
      </w:r>
      <w:r>
        <w:rPr/>
        <w:t>the asset. Current replacement cost is generally determined by reference to the market</w:t>
      </w:r>
      <w:r>
        <w:rPr>
          <w:spacing w:val="-19"/>
        </w:rPr>
        <w:t> </w:t>
      </w:r>
      <w:r>
        <w:rPr/>
        <w:t>observable</w:t>
      </w:r>
      <w:r>
        <w:rPr>
          <w:spacing w:val="-18"/>
        </w:rPr>
        <w:t> </w:t>
      </w:r>
      <w:r>
        <w:rPr/>
        <w:t>replacement</w:t>
      </w:r>
      <w:r>
        <w:rPr>
          <w:spacing w:val="-19"/>
        </w:rPr>
        <w:t> </w:t>
      </w:r>
      <w:r>
        <w:rPr/>
        <w:t>cost</w:t>
      </w:r>
      <w:r>
        <w:rPr>
          <w:spacing w:val="-18"/>
        </w:rPr>
        <w:t> </w:t>
      </w:r>
      <w:r>
        <w:rPr/>
        <w:t>of</w:t>
      </w:r>
      <w:r>
        <w:rPr>
          <w:spacing w:val="-18"/>
        </w:rPr>
        <w:t> </w:t>
      </w:r>
      <w:r>
        <w:rPr/>
        <w:t>a</w:t>
      </w:r>
      <w:r>
        <w:rPr>
          <w:spacing w:val="-19"/>
        </w:rPr>
        <w:t> </w:t>
      </w:r>
      <w:r>
        <w:rPr/>
        <w:t>substitute</w:t>
      </w:r>
      <w:r>
        <w:rPr>
          <w:spacing w:val="-18"/>
        </w:rPr>
        <w:t> </w:t>
      </w:r>
      <w:r>
        <w:rPr/>
        <w:t>asset</w:t>
      </w:r>
      <w:r>
        <w:rPr>
          <w:spacing w:val="-18"/>
        </w:rPr>
        <w:t> </w:t>
      </w:r>
      <w:r>
        <w:rPr/>
        <w:t>of</w:t>
      </w:r>
      <w:r>
        <w:rPr>
          <w:spacing w:val="-19"/>
        </w:rPr>
        <w:t> </w:t>
      </w:r>
      <w:r>
        <w:rPr/>
        <w:t>comparable</w:t>
      </w:r>
      <w:r>
        <w:rPr>
          <w:spacing w:val="-18"/>
        </w:rPr>
        <w:t> </w:t>
      </w:r>
      <w:r>
        <w:rPr/>
        <w:t>utility and the gross project size</w:t>
      </w:r>
      <w:r>
        <w:rPr>
          <w:spacing w:val="-10"/>
        </w:rPr>
        <w:t> </w:t>
      </w:r>
      <w:r>
        <w:rPr/>
        <w:t>specifications.</w:t>
      </w:r>
    </w:p>
    <w:p>
      <w:pPr>
        <w:pStyle w:val="BodyText"/>
        <w:spacing w:line="249" w:lineRule="auto" w:before="108"/>
        <w:ind w:left="385" w:right="912"/>
      </w:pPr>
      <w:r>
        <w:rPr/>
        <w:br w:type="column"/>
      </w:r>
      <w:r>
        <w:rPr/>
        <w:t>Valuation</w:t>
      </w:r>
      <w:r>
        <w:rPr>
          <w:spacing w:val="-25"/>
        </w:rPr>
        <w:t> </w:t>
      </w:r>
      <w:r>
        <w:rPr/>
        <w:t>using</w:t>
      </w:r>
      <w:r>
        <w:rPr>
          <w:spacing w:val="-25"/>
        </w:rPr>
        <w:t> </w:t>
      </w:r>
      <w:r>
        <w:rPr/>
        <w:t>depreciation</w:t>
      </w:r>
      <w:r>
        <w:rPr>
          <w:spacing w:val="-24"/>
        </w:rPr>
        <w:t> </w:t>
      </w:r>
      <w:r>
        <w:rPr/>
        <w:t>replacement</w:t>
      </w:r>
      <w:r>
        <w:rPr>
          <w:spacing w:val="-25"/>
        </w:rPr>
        <w:t> </w:t>
      </w:r>
      <w:r>
        <w:rPr/>
        <w:t>cost</w:t>
      </w:r>
      <w:r>
        <w:rPr>
          <w:spacing w:val="-25"/>
        </w:rPr>
        <w:t> </w:t>
      </w:r>
      <w:r>
        <w:rPr/>
        <w:t>utilises</w:t>
      </w:r>
      <w:r>
        <w:rPr>
          <w:spacing w:val="-24"/>
        </w:rPr>
        <w:t> </w:t>
      </w:r>
      <w:r>
        <w:rPr/>
        <w:t>the</w:t>
      </w:r>
      <w:r>
        <w:rPr>
          <w:spacing w:val="-25"/>
        </w:rPr>
        <w:t> </w:t>
      </w:r>
      <w:r>
        <w:rPr/>
        <w:t>significant</w:t>
      </w:r>
      <w:r>
        <w:rPr>
          <w:spacing w:val="-24"/>
        </w:rPr>
        <w:t> </w:t>
      </w:r>
      <w:r>
        <w:rPr/>
        <w:t>Level</w:t>
      </w:r>
      <w:r>
        <w:rPr>
          <w:spacing w:val="-25"/>
        </w:rPr>
        <w:t> </w:t>
      </w:r>
      <w:r>
        <w:rPr/>
        <w:t>3 input,</w:t>
      </w:r>
      <w:r>
        <w:rPr>
          <w:spacing w:val="-20"/>
        </w:rPr>
        <w:t> </w:t>
      </w:r>
      <w:r>
        <w:rPr/>
        <w:t>consumed</w:t>
      </w:r>
      <w:r>
        <w:rPr>
          <w:spacing w:val="-20"/>
        </w:rPr>
        <w:t> </w:t>
      </w:r>
      <w:r>
        <w:rPr/>
        <w:t>economic</w:t>
      </w:r>
      <w:r>
        <w:rPr>
          <w:spacing w:val="-20"/>
        </w:rPr>
        <w:t> </w:t>
      </w:r>
      <w:r>
        <w:rPr/>
        <w:t>benefit/obsolescence</w:t>
      </w:r>
      <w:r>
        <w:rPr>
          <w:spacing w:val="-20"/>
        </w:rPr>
        <w:t> </w:t>
      </w:r>
      <w:r>
        <w:rPr/>
        <w:t>of</w:t>
      </w:r>
      <w:r>
        <w:rPr>
          <w:spacing w:val="-20"/>
        </w:rPr>
        <w:t> </w:t>
      </w:r>
      <w:r>
        <w:rPr/>
        <w:t>asset</w:t>
      </w:r>
      <w:r>
        <w:rPr>
          <w:spacing w:val="-20"/>
        </w:rPr>
        <w:t> </w:t>
      </w:r>
      <w:r>
        <w:rPr/>
        <w:t>which</w:t>
      </w:r>
      <w:r>
        <w:rPr>
          <w:spacing w:val="-20"/>
        </w:rPr>
        <w:t> </w:t>
      </w:r>
      <w:r>
        <w:rPr/>
        <w:t>is</w:t>
      </w:r>
      <w:r>
        <w:rPr>
          <w:spacing w:val="-20"/>
        </w:rPr>
        <w:t> </w:t>
      </w:r>
      <w:r>
        <w:rPr/>
        <w:t>estimated by</w:t>
      </w:r>
      <w:r>
        <w:rPr>
          <w:spacing w:val="-24"/>
        </w:rPr>
        <w:t> </w:t>
      </w:r>
      <w:r>
        <w:rPr/>
        <w:t>the</w:t>
      </w:r>
      <w:r>
        <w:rPr>
          <w:spacing w:val="-24"/>
        </w:rPr>
        <w:t> </w:t>
      </w:r>
      <w:r>
        <w:rPr/>
        <w:t>Western</w:t>
      </w:r>
      <w:r>
        <w:rPr>
          <w:spacing w:val="-24"/>
        </w:rPr>
        <w:t> </w:t>
      </w:r>
      <w:r>
        <w:rPr/>
        <w:t>Australian</w:t>
      </w:r>
      <w:r>
        <w:rPr>
          <w:spacing w:val="-23"/>
        </w:rPr>
        <w:t> </w:t>
      </w:r>
      <w:r>
        <w:rPr/>
        <w:t>Land</w:t>
      </w:r>
      <w:r>
        <w:rPr>
          <w:spacing w:val="-24"/>
        </w:rPr>
        <w:t> </w:t>
      </w:r>
      <w:r>
        <w:rPr/>
        <w:t>Information</w:t>
      </w:r>
      <w:r>
        <w:rPr>
          <w:spacing w:val="-24"/>
        </w:rPr>
        <w:t> </w:t>
      </w:r>
      <w:r>
        <w:rPr/>
        <w:t>Authority</w:t>
      </w:r>
      <w:r>
        <w:rPr>
          <w:spacing w:val="-23"/>
        </w:rPr>
        <w:t> </w:t>
      </w:r>
      <w:r>
        <w:rPr/>
        <w:t>(Valuation</w:t>
      </w:r>
      <w:r>
        <w:rPr>
          <w:spacing w:val="-24"/>
        </w:rPr>
        <w:t> </w:t>
      </w:r>
      <w:r>
        <w:rPr/>
        <w:t>Services).</w:t>
      </w:r>
    </w:p>
    <w:p>
      <w:pPr>
        <w:pStyle w:val="BodyText"/>
        <w:spacing w:line="249" w:lineRule="auto" w:before="3"/>
        <w:ind w:left="385" w:right="1438"/>
      </w:pPr>
      <w:r>
        <w:rPr/>
        <w:t>The</w:t>
      </w:r>
      <w:r>
        <w:rPr>
          <w:spacing w:val="-23"/>
        </w:rPr>
        <w:t> </w:t>
      </w:r>
      <w:r>
        <w:rPr/>
        <w:t>fair</w:t>
      </w:r>
      <w:r>
        <w:rPr>
          <w:spacing w:val="-22"/>
        </w:rPr>
        <w:t> </w:t>
      </w:r>
      <w:r>
        <w:rPr/>
        <w:t>value</w:t>
      </w:r>
      <w:r>
        <w:rPr>
          <w:spacing w:val="-22"/>
        </w:rPr>
        <w:t> </w:t>
      </w:r>
      <w:r>
        <w:rPr/>
        <w:t>measurement</w:t>
      </w:r>
      <w:r>
        <w:rPr>
          <w:spacing w:val="-22"/>
        </w:rPr>
        <w:t> </w:t>
      </w:r>
      <w:r>
        <w:rPr/>
        <w:t>is</w:t>
      </w:r>
      <w:r>
        <w:rPr>
          <w:spacing w:val="-22"/>
        </w:rPr>
        <w:t> </w:t>
      </w:r>
      <w:r>
        <w:rPr/>
        <w:t>sensitive</w:t>
      </w:r>
      <w:r>
        <w:rPr>
          <w:spacing w:val="-22"/>
        </w:rPr>
        <w:t> </w:t>
      </w:r>
      <w:r>
        <w:rPr/>
        <w:t>to</w:t>
      </w:r>
      <w:r>
        <w:rPr>
          <w:spacing w:val="-22"/>
        </w:rPr>
        <w:t> </w:t>
      </w:r>
      <w:r>
        <w:rPr/>
        <w:t>the</w:t>
      </w:r>
      <w:r>
        <w:rPr>
          <w:spacing w:val="-22"/>
        </w:rPr>
        <w:t> </w:t>
      </w:r>
      <w:r>
        <w:rPr/>
        <w:t>estimate</w:t>
      </w:r>
      <w:r>
        <w:rPr>
          <w:spacing w:val="-22"/>
        </w:rPr>
        <w:t> </w:t>
      </w:r>
      <w:r>
        <w:rPr/>
        <w:t>of</w:t>
      </w:r>
      <w:r>
        <w:rPr>
          <w:spacing w:val="-22"/>
        </w:rPr>
        <w:t> </w:t>
      </w:r>
      <w:r>
        <w:rPr>
          <w:spacing w:val="-2"/>
        </w:rPr>
        <w:t>consumption/ </w:t>
      </w:r>
      <w:r>
        <w:rPr/>
        <w:t>obsolescence,</w:t>
      </w:r>
      <w:r>
        <w:rPr>
          <w:spacing w:val="-20"/>
        </w:rPr>
        <w:t> </w:t>
      </w:r>
      <w:r>
        <w:rPr/>
        <w:t>with</w:t>
      </w:r>
      <w:r>
        <w:rPr>
          <w:spacing w:val="-19"/>
        </w:rPr>
        <w:t> </w:t>
      </w:r>
      <w:r>
        <w:rPr/>
        <w:t>higher</w:t>
      </w:r>
      <w:r>
        <w:rPr>
          <w:spacing w:val="-20"/>
        </w:rPr>
        <w:t> </w:t>
      </w:r>
      <w:r>
        <w:rPr/>
        <w:t>values</w:t>
      </w:r>
      <w:r>
        <w:rPr>
          <w:spacing w:val="-19"/>
        </w:rPr>
        <w:t> </w:t>
      </w:r>
      <w:r>
        <w:rPr/>
        <w:t>of</w:t>
      </w:r>
      <w:r>
        <w:rPr>
          <w:spacing w:val="-19"/>
        </w:rPr>
        <w:t> </w:t>
      </w:r>
      <w:r>
        <w:rPr/>
        <w:t>the</w:t>
      </w:r>
      <w:r>
        <w:rPr>
          <w:spacing w:val="-20"/>
        </w:rPr>
        <w:t> </w:t>
      </w:r>
      <w:r>
        <w:rPr/>
        <w:t>estimate</w:t>
      </w:r>
      <w:r>
        <w:rPr>
          <w:spacing w:val="-19"/>
        </w:rPr>
        <w:t> </w:t>
      </w:r>
      <w:r>
        <w:rPr/>
        <w:t>correlating</w:t>
      </w:r>
      <w:r>
        <w:rPr>
          <w:spacing w:val="-20"/>
        </w:rPr>
        <w:t> </w:t>
      </w:r>
      <w:r>
        <w:rPr/>
        <w:t>with</w:t>
      </w:r>
      <w:r>
        <w:rPr>
          <w:spacing w:val="-19"/>
        </w:rPr>
        <w:t> </w:t>
      </w:r>
      <w:r>
        <w:rPr/>
        <w:t>lower estimated fair values of buildings and</w:t>
      </w:r>
      <w:r>
        <w:rPr>
          <w:spacing w:val="-30"/>
        </w:rPr>
        <w:t> </w:t>
      </w:r>
      <w:r>
        <w:rPr/>
        <w:t>infrastructure.</w:t>
      </w:r>
    </w:p>
    <w:p>
      <w:pPr>
        <w:pStyle w:val="BodyText"/>
        <w:spacing w:before="2"/>
        <w:rPr>
          <w:sz w:val="23"/>
        </w:rPr>
      </w:pPr>
    </w:p>
    <w:p>
      <w:pPr>
        <w:pStyle w:val="Heading6"/>
        <w:spacing w:line="249" w:lineRule="auto"/>
        <w:ind w:left="385" w:right="706"/>
      </w:pPr>
      <w:r>
        <w:rPr/>
        <w:t>Information about significant unobservable inputs (Level 3) in fair value measurements</w:t>
      </w:r>
    </w:p>
    <w:p>
      <w:pPr>
        <w:pStyle w:val="BodyText"/>
        <w:spacing w:before="7"/>
        <w:rPr>
          <w:b/>
          <w:sz w:val="2"/>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8"/>
        <w:gridCol w:w="1488"/>
        <w:gridCol w:w="1488"/>
        <w:gridCol w:w="1488"/>
        <w:gridCol w:w="1488"/>
      </w:tblGrid>
      <w:tr>
        <w:trPr>
          <w:trHeight w:val="766" w:hRule="atLeast"/>
        </w:trPr>
        <w:tc>
          <w:tcPr>
            <w:tcW w:w="1488" w:type="dxa"/>
            <w:shd w:val="clear" w:color="auto" w:fill="783A79"/>
          </w:tcPr>
          <w:p>
            <w:pPr>
              <w:pStyle w:val="TableParagraph"/>
              <w:spacing w:before="47"/>
              <w:ind w:left="113"/>
              <w:rPr>
                <w:b/>
                <w:sz w:val="19"/>
              </w:rPr>
            </w:pPr>
            <w:r>
              <w:rPr>
                <w:b/>
                <w:color w:val="FFFFFF"/>
                <w:sz w:val="19"/>
              </w:rPr>
              <w:t>Description</w:t>
            </w:r>
          </w:p>
        </w:tc>
        <w:tc>
          <w:tcPr>
            <w:tcW w:w="1488" w:type="dxa"/>
            <w:shd w:val="clear" w:color="auto" w:fill="783A79"/>
          </w:tcPr>
          <w:p>
            <w:pPr>
              <w:pStyle w:val="TableParagraph"/>
              <w:spacing w:line="249" w:lineRule="auto" w:before="47"/>
              <w:ind w:left="113" w:right="487"/>
              <w:rPr>
                <w:b/>
                <w:sz w:val="19"/>
              </w:rPr>
            </w:pPr>
            <w:r>
              <w:rPr>
                <w:b/>
                <w:color w:val="FFFFFF"/>
                <w:sz w:val="19"/>
              </w:rPr>
              <w:t>Fair </w:t>
            </w:r>
            <w:r>
              <w:rPr>
                <w:b/>
                <w:color w:val="FFFFFF"/>
                <w:spacing w:val="-4"/>
                <w:sz w:val="19"/>
              </w:rPr>
              <w:t>value </w:t>
            </w:r>
            <w:r>
              <w:rPr>
                <w:b/>
                <w:color w:val="FFFFFF"/>
                <w:sz w:val="19"/>
              </w:rPr>
              <w:t>2017</w:t>
            </w:r>
          </w:p>
          <w:p>
            <w:pPr>
              <w:pStyle w:val="TableParagraph"/>
              <w:spacing w:before="2"/>
              <w:ind w:left="113"/>
              <w:rPr>
                <w:b/>
                <w:sz w:val="19"/>
              </w:rPr>
            </w:pPr>
            <w:r>
              <w:rPr>
                <w:b/>
                <w:color w:val="FFFFFF"/>
                <w:sz w:val="19"/>
              </w:rPr>
              <w:t>$000</w:t>
            </w:r>
          </w:p>
        </w:tc>
        <w:tc>
          <w:tcPr>
            <w:tcW w:w="1488" w:type="dxa"/>
            <w:shd w:val="clear" w:color="auto" w:fill="783A79"/>
          </w:tcPr>
          <w:p>
            <w:pPr>
              <w:pStyle w:val="TableParagraph"/>
              <w:spacing w:line="249" w:lineRule="auto" w:before="47"/>
              <w:ind w:left="113" w:right="487"/>
              <w:rPr>
                <w:b/>
                <w:sz w:val="19"/>
              </w:rPr>
            </w:pPr>
            <w:r>
              <w:rPr>
                <w:b/>
                <w:color w:val="FFFFFF"/>
                <w:sz w:val="19"/>
              </w:rPr>
              <w:t>Fair </w:t>
            </w:r>
            <w:r>
              <w:rPr>
                <w:b/>
                <w:color w:val="FFFFFF"/>
                <w:spacing w:val="-4"/>
                <w:sz w:val="19"/>
              </w:rPr>
              <w:t>value </w:t>
            </w:r>
            <w:r>
              <w:rPr>
                <w:b/>
                <w:color w:val="FFFFFF"/>
                <w:sz w:val="19"/>
              </w:rPr>
              <w:t>2016</w:t>
            </w:r>
          </w:p>
          <w:p>
            <w:pPr>
              <w:pStyle w:val="TableParagraph"/>
              <w:spacing w:before="2"/>
              <w:ind w:left="113"/>
              <w:rPr>
                <w:b/>
                <w:sz w:val="19"/>
              </w:rPr>
            </w:pPr>
            <w:r>
              <w:rPr>
                <w:b/>
                <w:color w:val="FFFFFF"/>
                <w:sz w:val="19"/>
              </w:rPr>
              <w:t>$000</w:t>
            </w:r>
          </w:p>
        </w:tc>
        <w:tc>
          <w:tcPr>
            <w:tcW w:w="1488" w:type="dxa"/>
            <w:shd w:val="clear" w:color="auto" w:fill="783A79"/>
          </w:tcPr>
          <w:p>
            <w:pPr>
              <w:pStyle w:val="TableParagraph"/>
              <w:spacing w:line="249" w:lineRule="auto" w:before="47"/>
              <w:ind w:left="114"/>
              <w:rPr>
                <w:b/>
                <w:sz w:val="19"/>
              </w:rPr>
            </w:pPr>
            <w:r>
              <w:rPr>
                <w:b/>
                <w:color w:val="FFFFFF"/>
                <w:sz w:val="19"/>
              </w:rPr>
              <w:t>Valuation </w:t>
            </w:r>
            <w:r>
              <w:rPr>
                <w:b/>
                <w:color w:val="FFFFFF"/>
                <w:w w:val="95"/>
                <w:sz w:val="19"/>
              </w:rPr>
              <w:t>technique(s)</w:t>
            </w:r>
          </w:p>
        </w:tc>
        <w:tc>
          <w:tcPr>
            <w:tcW w:w="1488" w:type="dxa"/>
            <w:shd w:val="clear" w:color="auto" w:fill="783A79"/>
          </w:tcPr>
          <w:p>
            <w:pPr>
              <w:pStyle w:val="TableParagraph"/>
              <w:spacing w:line="249" w:lineRule="auto" w:before="47"/>
              <w:ind w:left="114"/>
              <w:rPr>
                <w:b/>
                <w:sz w:val="19"/>
              </w:rPr>
            </w:pPr>
            <w:r>
              <w:rPr>
                <w:b/>
                <w:color w:val="FFFFFF"/>
                <w:w w:val="95"/>
                <w:sz w:val="19"/>
              </w:rPr>
              <w:t>Unobservable </w:t>
            </w:r>
            <w:r>
              <w:rPr>
                <w:b/>
                <w:color w:val="FFFFFF"/>
                <w:sz w:val="19"/>
              </w:rPr>
              <w:t>inputs</w:t>
            </w:r>
          </w:p>
        </w:tc>
      </w:tr>
      <w:tr>
        <w:trPr>
          <w:trHeight w:val="263" w:hRule="atLeast"/>
        </w:trPr>
        <w:tc>
          <w:tcPr>
            <w:tcW w:w="1488" w:type="dxa"/>
            <w:tcBorders>
              <w:right w:val="single" w:sz="8" w:space="0" w:color="FFFFFF"/>
            </w:tcBorders>
            <w:shd w:val="clear" w:color="auto" w:fill="FAF9F9"/>
          </w:tcPr>
          <w:p>
            <w:pPr>
              <w:pStyle w:val="TableParagraph"/>
              <w:spacing w:line="201" w:lineRule="exact" w:before="42"/>
              <w:ind w:left="113"/>
              <w:rPr>
                <w:sz w:val="19"/>
              </w:rPr>
            </w:pPr>
            <w:r>
              <w:rPr>
                <w:sz w:val="19"/>
              </w:rPr>
              <w:t>Land</w:t>
            </w:r>
          </w:p>
        </w:tc>
        <w:tc>
          <w:tcPr>
            <w:tcW w:w="1488" w:type="dxa"/>
            <w:tcBorders>
              <w:left w:val="single" w:sz="8" w:space="0" w:color="FFFFFF"/>
              <w:right w:val="single" w:sz="8" w:space="0" w:color="FFFFFF"/>
            </w:tcBorders>
            <w:shd w:val="clear" w:color="auto" w:fill="FAF9F9"/>
          </w:tcPr>
          <w:p>
            <w:pPr>
              <w:pStyle w:val="TableParagraph"/>
              <w:spacing w:line="201" w:lineRule="exact" w:before="42"/>
              <w:ind w:left="104"/>
              <w:rPr>
                <w:sz w:val="19"/>
              </w:rPr>
            </w:pPr>
            <w:r>
              <w:rPr>
                <w:sz w:val="19"/>
              </w:rPr>
              <w:t>($81,334)</w:t>
            </w:r>
          </w:p>
        </w:tc>
        <w:tc>
          <w:tcPr>
            <w:tcW w:w="1488" w:type="dxa"/>
            <w:tcBorders>
              <w:left w:val="single" w:sz="8" w:space="0" w:color="FFFFFF"/>
              <w:right w:val="single" w:sz="8" w:space="0" w:color="FFFFFF"/>
            </w:tcBorders>
            <w:shd w:val="clear" w:color="auto" w:fill="FAF9F9"/>
          </w:tcPr>
          <w:p>
            <w:pPr>
              <w:pStyle w:val="TableParagraph"/>
              <w:spacing w:line="201" w:lineRule="exact" w:before="42"/>
              <w:ind w:left="104"/>
              <w:rPr>
                <w:sz w:val="19"/>
              </w:rPr>
            </w:pPr>
            <w:r>
              <w:rPr>
                <w:sz w:val="19"/>
              </w:rPr>
              <w:t>($91,917)</w:t>
            </w:r>
          </w:p>
        </w:tc>
        <w:tc>
          <w:tcPr>
            <w:tcW w:w="1488" w:type="dxa"/>
            <w:tcBorders>
              <w:left w:val="single" w:sz="8" w:space="0" w:color="FFFFFF"/>
              <w:right w:val="single" w:sz="8" w:space="0" w:color="FFFFFF"/>
            </w:tcBorders>
            <w:shd w:val="clear" w:color="auto" w:fill="FAF9F9"/>
          </w:tcPr>
          <w:p>
            <w:pPr>
              <w:pStyle w:val="TableParagraph"/>
              <w:spacing w:line="201" w:lineRule="exact" w:before="42"/>
              <w:ind w:left="104"/>
              <w:rPr>
                <w:sz w:val="19"/>
              </w:rPr>
            </w:pPr>
            <w:r>
              <w:rPr>
                <w:sz w:val="19"/>
              </w:rPr>
              <w:t>Market</w:t>
            </w:r>
          </w:p>
        </w:tc>
        <w:tc>
          <w:tcPr>
            <w:tcW w:w="1488" w:type="dxa"/>
            <w:tcBorders>
              <w:left w:val="single" w:sz="8" w:space="0" w:color="FFFFFF"/>
            </w:tcBorders>
            <w:shd w:val="clear" w:color="auto" w:fill="FAF9F9"/>
          </w:tcPr>
          <w:p>
            <w:pPr>
              <w:pStyle w:val="TableParagraph"/>
              <w:spacing w:line="201" w:lineRule="exact" w:before="42"/>
              <w:ind w:left="104"/>
              <w:rPr>
                <w:sz w:val="19"/>
              </w:rPr>
            </w:pPr>
            <w:r>
              <w:rPr>
                <w:sz w:val="19"/>
              </w:rPr>
              <w:t>Selection</w:t>
            </w:r>
          </w:p>
        </w:tc>
      </w:tr>
      <w:tr>
        <w:trPr>
          <w:trHeight w:val="227" w:hRule="atLeast"/>
        </w:trPr>
        <w:tc>
          <w:tcPr>
            <w:tcW w:w="1488" w:type="dxa"/>
            <w:tcBorders>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line="201" w:lineRule="exact" w:before="7"/>
              <w:ind w:left="104"/>
              <w:rPr>
                <w:sz w:val="19"/>
              </w:rPr>
            </w:pPr>
            <w:r>
              <w:rPr>
                <w:sz w:val="19"/>
              </w:rPr>
              <w:t>Approach</w:t>
            </w:r>
          </w:p>
        </w:tc>
        <w:tc>
          <w:tcPr>
            <w:tcW w:w="1488" w:type="dxa"/>
            <w:tcBorders>
              <w:left w:val="single" w:sz="8" w:space="0" w:color="FFFFFF"/>
            </w:tcBorders>
            <w:shd w:val="clear" w:color="auto" w:fill="FAF9F9"/>
          </w:tcPr>
          <w:p>
            <w:pPr>
              <w:pStyle w:val="TableParagraph"/>
              <w:spacing w:line="201" w:lineRule="exact" w:before="7"/>
              <w:ind w:left="104"/>
              <w:rPr>
                <w:sz w:val="19"/>
              </w:rPr>
            </w:pPr>
            <w:r>
              <w:rPr>
                <w:sz w:val="19"/>
              </w:rPr>
              <w:t>of land</w:t>
            </w:r>
          </w:p>
        </w:tc>
      </w:tr>
      <w:tr>
        <w:trPr>
          <w:trHeight w:val="227" w:hRule="atLeast"/>
        </w:trPr>
        <w:tc>
          <w:tcPr>
            <w:tcW w:w="1488" w:type="dxa"/>
            <w:tcBorders>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tcBorders>
            <w:shd w:val="clear" w:color="auto" w:fill="FAF9F9"/>
          </w:tcPr>
          <w:p>
            <w:pPr>
              <w:pStyle w:val="TableParagraph"/>
              <w:spacing w:line="201" w:lineRule="exact" w:before="7"/>
              <w:ind w:left="104"/>
              <w:rPr>
                <w:sz w:val="19"/>
              </w:rPr>
            </w:pPr>
            <w:r>
              <w:rPr>
                <w:sz w:val="19"/>
              </w:rPr>
              <w:t>with similar</w:t>
            </w:r>
          </w:p>
        </w:tc>
      </w:tr>
      <w:tr>
        <w:trPr>
          <w:trHeight w:val="228" w:hRule="atLeast"/>
        </w:trPr>
        <w:tc>
          <w:tcPr>
            <w:tcW w:w="1488" w:type="dxa"/>
            <w:tcBorders>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tcBorders>
            <w:shd w:val="clear" w:color="auto" w:fill="FAF9F9"/>
          </w:tcPr>
          <w:p>
            <w:pPr>
              <w:pStyle w:val="TableParagraph"/>
              <w:spacing w:line="201" w:lineRule="exact" w:before="7"/>
              <w:ind w:left="104"/>
              <w:rPr>
                <w:sz w:val="19"/>
              </w:rPr>
            </w:pPr>
            <w:r>
              <w:rPr>
                <w:sz w:val="19"/>
              </w:rPr>
              <w:t>approximate</w:t>
            </w:r>
          </w:p>
        </w:tc>
      </w:tr>
      <w:tr>
        <w:trPr>
          <w:trHeight w:val="266" w:hRule="atLeast"/>
        </w:trPr>
        <w:tc>
          <w:tcPr>
            <w:tcW w:w="1488" w:type="dxa"/>
            <w:tcBorders>
              <w:right w:val="single" w:sz="8" w:space="0" w:color="FFFFFF"/>
            </w:tcBorders>
            <w:shd w:val="clear" w:color="auto" w:fill="FAF9F9"/>
          </w:tcPr>
          <w:p>
            <w:pPr>
              <w:pStyle w:val="TableParagraph"/>
              <w:spacing w:before="0"/>
              <w:rPr>
                <w:rFonts w:ascii="Times New Roman"/>
                <w:sz w:val="18"/>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8"/>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8"/>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8"/>
              </w:rPr>
            </w:pPr>
          </w:p>
        </w:tc>
        <w:tc>
          <w:tcPr>
            <w:tcW w:w="1488" w:type="dxa"/>
            <w:tcBorders>
              <w:left w:val="single" w:sz="8" w:space="0" w:color="FFFFFF"/>
            </w:tcBorders>
            <w:shd w:val="clear" w:color="auto" w:fill="FAF9F9"/>
          </w:tcPr>
          <w:p>
            <w:pPr>
              <w:pStyle w:val="TableParagraph"/>
              <w:spacing w:before="7"/>
              <w:ind w:left="104"/>
              <w:rPr>
                <w:sz w:val="19"/>
              </w:rPr>
            </w:pPr>
            <w:r>
              <w:rPr>
                <w:sz w:val="19"/>
              </w:rPr>
              <w:t>utility</w:t>
            </w:r>
          </w:p>
        </w:tc>
      </w:tr>
      <w:tr>
        <w:trPr>
          <w:trHeight w:val="266" w:hRule="atLeast"/>
        </w:trPr>
        <w:tc>
          <w:tcPr>
            <w:tcW w:w="1488" w:type="dxa"/>
            <w:tcBorders>
              <w:right w:val="single" w:sz="8" w:space="0" w:color="FFFFFF"/>
            </w:tcBorders>
            <w:shd w:val="clear" w:color="auto" w:fill="FAF9F9"/>
          </w:tcPr>
          <w:p>
            <w:pPr>
              <w:pStyle w:val="TableParagraph"/>
              <w:spacing w:line="201" w:lineRule="exact" w:before="46"/>
              <w:ind w:left="114"/>
              <w:rPr>
                <w:sz w:val="19"/>
              </w:rPr>
            </w:pPr>
            <w:r>
              <w:rPr>
                <w:sz w:val="19"/>
              </w:rPr>
              <w:t>Buildings</w:t>
            </w:r>
          </w:p>
        </w:tc>
        <w:tc>
          <w:tcPr>
            <w:tcW w:w="1488" w:type="dxa"/>
            <w:tcBorders>
              <w:left w:val="single" w:sz="8" w:space="0" w:color="FFFFFF"/>
              <w:right w:val="single" w:sz="8" w:space="0" w:color="FFFFFF"/>
            </w:tcBorders>
            <w:shd w:val="clear" w:color="auto" w:fill="FAF9F9"/>
          </w:tcPr>
          <w:p>
            <w:pPr>
              <w:pStyle w:val="TableParagraph"/>
              <w:spacing w:line="201" w:lineRule="exact" w:before="46"/>
              <w:ind w:left="104"/>
              <w:rPr>
                <w:sz w:val="19"/>
              </w:rPr>
            </w:pPr>
            <w:r>
              <w:rPr>
                <w:sz w:val="19"/>
              </w:rPr>
              <w:t>($43,925)</w:t>
            </w:r>
          </w:p>
        </w:tc>
        <w:tc>
          <w:tcPr>
            <w:tcW w:w="1488" w:type="dxa"/>
            <w:tcBorders>
              <w:left w:val="single" w:sz="8" w:space="0" w:color="FFFFFF"/>
              <w:right w:val="single" w:sz="8" w:space="0" w:color="FFFFFF"/>
            </w:tcBorders>
            <w:shd w:val="clear" w:color="auto" w:fill="FAF9F9"/>
          </w:tcPr>
          <w:p>
            <w:pPr>
              <w:pStyle w:val="TableParagraph"/>
              <w:spacing w:line="201" w:lineRule="exact" w:before="46"/>
              <w:ind w:left="104"/>
              <w:rPr>
                <w:sz w:val="19"/>
              </w:rPr>
            </w:pPr>
            <w:r>
              <w:rPr>
                <w:sz w:val="19"/>
              </w:rPr>
              <w:t>($55,301)</w:t>
            </w:r>
          </w:p>
        </w:tc>
        <w:tc>
          <w:tcPr>
            <w:tcW w:w="1488" w:type="dxa"/>
            <w:tcBorders>
              <w:left w:val="single" w:sz="8" w:space="0" w:color="FFFFFF"/>
              <w:right w:val="single" w:sz="8" w:space="0" w:color="FFFFFF"/>
            </w:tcBorders>
            <w:shd w:val="clear" w:color="auto" w:fill="FAF9F9"/>
          </w:tcPr>
          <w:p>
            <w:pPr>
              <w:pStyle w:val="TableParagraph"/>
              <w:spacing w:line="201" w:lineRule="exact" w:before="46"/>
              <w:ind w:left="104"/>
              <w:rPr>
                <w:sz w:val="19"/>
              </w:rPr>
            </w:pPr>
            <w:r>
              <w:rPr>
                <w:sz w:val="19"/>
              </w:rPr>
              <w:t>Depreciated</w:t>
            </w:r>
          </w:p>
        </w:tc>
        <w:tc>
          <w:tcPr>
            <w:tcW w:w="1488" w:type="dxa"/>
            <w:tcBorders>
              <w:left w:val="single" w:sz="8" w:space="0" w:color="FFFFFF"/>
            </w:tcBorders>
            <w:shd w:val="clear" w:color="auto" w:fill="FAF9F9"/>
          </w:tcPr>
          <w:p>
            <w:pPr>
              <w:pStyle w:val="TableParagraph"/>
              <w:spacing w:line="201" w:lineRule="exact" w:before="46"/>
              <w:ind w:left="105"/>
              <w:rPr>
                <w:sz w:val="19"/>
              </w:rPr>
            </w:pPr>
            <w:r>
              <w:rPr>
                <w:sz w:val="19"/>
              </w:rPr>
              <w:t>Consumed</w:t>
            </w:r>
          </w:p>
        </w:tc>
      </w:tr>
      <w:tr>
        <w:trPr>
          <w:trHeight w:val="228" w:hRule="atLeast"/>
        </w:trPr>
        <w:tc>
          <w:tcPr>
            <w:tcW w:w="1488" w:type="dxa"/>
            <w:tcBorders>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line="201" w:lineRule="exact" w:before="7"/>
              <w:ind w:left="104"/>
              <w:rPr>
                <w:sz w:val="19"/>
              </w:rPr>
            </w:pPr>
            <w:r>
              <w:rPr>
                <w:sz w:val="19"/>
              </w:rPr>
              <w:t>Replacement</w:t>
            </w:r>
          </w:p>
        </w:tc>
        <w:tc>
          <w:tcPr>
            <w:tcW w:w="1488" w:type="dxa"/>
            <w:tcBorders>
              <w:left w:val="single" w:sz="8" w:space="0" w:color="FFFFFF"/>
            </w:tcBorders>
            <w:shd w:val="clear" w:color="auto" w:fill="FAF9F9"/>
          </w:tcPr>
          <w:p>
            <w:pPr>
              <w:pStyle w:val="TableParagraph"/>
              <w:spacing w:line="201" w:lineRule="exact" w:before="7"/>
              <w:ind w:left="105"/>
              <w:rPr>
                <w:sz w:val="19"/>
              </w:rPr>
            </w:pPr>
            <w:r>
              <w:rPr>
                <w:sz w:val="19"/>
              </w:rPr>
              <w:t>economic</w:t>
            </w:r>
          </w:p>
        </w:tc>
      </w:tr>
      <w:tr>
        <w:trPr>
          <w:trHeight w:val="227" w:hRule="atLeast"/>
        </w:trPr>
        <w:tc>
          <w:tcPr>
            <w:tcW w:w="1488" w:type="dxa"/>
            <w:tcBorders>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line="201" w:lineRule="exact" w:before="7"/>
              <w:ind w:left="104"/>
              <w:rPr>
                <w:sz w:val="19"/>
              </w:rPr>
            </w:pPr>
            <w:r>
              <w:rPr>
                <w:sz w:val="19"/>
              </w:rPr>
              <w:t>Cost</w:t>
            </w:r>
          </w:p>
        </w:tc>
        <w:tc>
          <w:tcPr>
            <w:tcW w:w="1488" w:type="dxa"/>
            <w:tcBorders>
              <w:left w:val="single" w:sz="8" w:space="0" w:color="FFFFFF"/>
            </w:tcBorders>
            <w:shd w:val="clear" w:color="auto" w:fill="FAF9F9"/>
          </w:tcPr>
          <w:p>
            <w:pPr>
              <w:pStyle w:val="TableParagraph"/>
              <w:spacing w:line="201" w:lineRule="exact" w:before="7"/>
              <w:ind w:left="105"/>
              <w:rPr>
                <w:sz w:val="19"/>
              </w:rPr>
            </w:pPr>
            <w:r>
              <w:rPr>
                <w:sz w:val="19"/>
              </w:rPr>
              <w:t>benefit/</w:t>
            </w:r>
          </w:p>
        </w:tc>
      </w:tr>
      <w:tr>
        <w:trPr>
          <w:trHeight w:val="228" w:hRule="atLeast"/>
        </w:trPr>
        <w:tc>
          <w:tcPr>
            <w:tcW w:w="1488" w:type="dxa"/>
            <w:tcBorders>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16"/>
              </w:rPr>
            </w:pPr>
          </w:p>
        </w:tc>
        <w:tc>
          <w:tcPr>
            <w:tcW w:w="1488" w:type="dxa"/>
            <w:tcBorders>
              <w:left w:val="single" w:sz="8" w:space="0" w:color="FFFFFF"/>
            </w:tcBorders>
            <w:shd w:val="clear" w:color="auto" w:fill="FAF9F9"/>
          </w:tcPr>
          <w:p>
            <w:pPr>
              <w:pStyle w:val="TableParagraph"/>
              <w:spacing w:line="201" w:lineRule="exact" w:before="7"/>
              <w:ind w:left="105"/>
              <w:rPr>
                <w:sz w:val="19"/>
              </w:rPr>
            </w:pPr>
            <w:r>
              <w:rPr>
                <w:sz w:val="19"/>
              </w:rPr>
              <w:t>obsolescence</w:t>
            </w:r>
          </w:p>
        </w:tc>
      </w:tr>
      <w:tr>
        <w:trPr>
          <w:trHeight w:val="280" w:hRule="atLeast"/>
        </w:trPr>
        <w:tc>
          <w:tcPr>
            <w:tcW w:w="1488" w:type="dxa"/>
            <w:tcBorders>
              <w:right w:val="single" w:sz="8" w:space="0" w:color="FFFFFF"/>
            </w:tcBorders>
            <w:shd w:val="clear" w:color="auto" w:fill="FAF9F9"/>
          </w:tcPr>
          <w:p>
            <w:pPr>
              <w:pStyle w:val="TableParagraph"/>
              <w:spacing w:before="0"/>
              <w:rPr>
                <w:rFonts w:ascii="Times New Roman"/>
                <w:sz w:val="20"/>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20"/>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20"/>
              </w:rPr>
            </w:pPr>
          </w:p>
        </w:tc>
        <w:tc>
          <w:tcPr>
            <w:tcW w:w="1488" w:type="dxa"/>
            <w:tcBorders>
              <w:left w:val="single" w:sz="8" w:space="0" w:color="FFFFFF"/>
              <w:right w:val="single" w:sz="8" w:space="0" w:color="FFFFFF"/>
            </w:tcBorders>
            <w:shd w:val="clear" w:color="auto" w:fill="FAF9F9"/>
          </w:tcPr>
          <w:p>
            <w:pPr>
              <w:pStyle w:val="TableParagraph"/>
              <w:spacing w:before="0"/>
              <w:rPr>
                <w:rFonts w:ascii="Times New Roman"/>
                <w:sz w:val="20"/>
              </w:rPr>
            </w:pPr>
          </w:p>
        </w:tc>
        <w:tc>
          <w:tcPr>
            <w:tcW w:w="1488" w:type="dxa"/>
            <w:tcBorders>
              <w:left w:val="single" w:sz="8" w:space="0" w:color="FFFFFF"/>
            </w:tcBorders>
            <w:shd w:val="clear" w:color="auto" w:fill="FAF9F9"/>
          </w:tcPr>
          <w:p>
            <w:pPr>
              <w:pStyle w:val="TableParagraph"/>
              <w:spacing w:before="7"/>
              <w:ind w:left="105"/>
              <w:rPr>
                <w:sz w:val="19"/>
              </w:rPr>
            </w:pPr>
            <w:r>
              <w:rPr>
                <w:sz w:val="19"/>
              </w:rPr>
              <w:t>of asset</w:t>
            </w:r>
          </w:p>
        </w:tc>
      </w:tr>
    </w:tbl>
    <w:p>
      <w:pPr>
        <w:pStyle w:val="BodyText"/>
        <w:spacing w:before="63"/>
        <w:ind w:left="385"/>
      </w:pPr>
      <w:r>
        <w:rPr/>
        <w:t>Reconciliations of the opening and closing balances are provided in Note 24.</w:t>
      </w:r>
    </w:p>
    <w:p>
      <w:pPr>
        <w:pStyle w:val="BodyText"/>
        <w:spacing w:before="11"/>
        <w:rPr>
          <w:sz w:val="23"/>
        </w:rPr>
      </w:pPr>
    </w:p>
    <w:p>
      <w:pPr>
        <w:pStyle w:val="Heading6"/>
        <w:ind w:left="385"/>
      </w:pPr>
      <w:r>
        <w:rPr/>
        <w:t>Basis of Valuation</w:t>
      </w:r>
    </w:p>
    <w:p>
      <w:pPr>
        <w:pStyle w:val="BodyText"/>
        <w:spacing w:line="249" w:lineRule="auto" w:before="11"/>
        <w:ind w:left="385" w:right="861"/>
        <w:jc w:val="both"/>
      </w:pPr>
      <w:r>
        <w:rPr/>
        <w:t>In</w:t>
      </w:r>
      <w:r>
        <w:rPr>
          <w:spacing w:val="-24"/>
        </w:rPr>
        <w:t> </w:t>
      </w:r>
      <w:r>
        <w:rPr>
          <w:spacing w:val="-3"/>
        </w:rPr>
        <w:t>the</w:t>
      </w:r>
      <w:r>
        <w:rPr>
          <w:spacing w:val="-23"/>
        </w:rPr>
        <w:t> </w:t>
      </w:r>
      <w:r>
        <w:rPr>
          <w:spacing w:val="-4"/>
        </w:rPr>
        <w:t>absence</w:t>
      </w:r>
      <w:r>
        <w:rPr>
          <w:spacing w:val="-23"/>
        </w:rPr>
        <w:t> </w:t>
      </w:r>
      <w:r>
        <w:rPr/>
        <w:t>of</w:t>
      </w:r>
      <w:r>
        <w:rPr>
          <w:spacing w:val="-23"/>
        </w:rPr>
        <w:t> </w:t>
      </w:r>
      <w:r>
        <w:rPr>
          <w:spacing w:val="-4"/>
        </w:rPr>
        <w:t>market-based</w:t>
      </w:r>
      <w:r>
        <w:rPr>
          <w:spacing w:val="-23"/>
        </w:rPr>
        <w:t> </w:t>
      </w:r>
      <w:r>
        <w:rPr>
          <w:spacing w:val="-4"/>
        </w:rPr>
        <w:t>evidence,</w:t>
      </w:r>
      <w:r>
        <w:rPr>
          <w:spacing w:val="-24"/>
        </w:rPr>
        <w:t> </w:t>
      </w:r>
      <w:r>
        <w:rPr>
          <w:spacing w:val="-3"/>
        </w:rPr>
        <w:t>due</w:t>
      </w:r>
      <w:r>
        <w:rPr>
          <w:spacing w:val="-23"/>
        </w:rPr>
        <w:t> </w:t>
      </w:r>
      <w:r>
        <w:rPr/>
        <w:t>to</w:t>
      </w:r>
      <w:r>
        <w:rPr>
          <w:spacing w:val="-23"/>
        </w:rPr>
        <w:t> </w:t>
      </w:r>
      <w:r>
        <w:rPr>
          <w:spacing w:val="-3"/>
        </w:rPr>
        <w:t>the</w:t>
      </w:r>
      <w:r>
        <w:rPr>
          <w:spacing w:val="-23"/>
        </w:rPr>
        <w:t> </w:t>
      </w:r>
      <w:r>
        <w:rPr>
          <w:spacing w:val="-4"/>
        </w:rPr>
        <w:t>specialised</w:t>
      </w:r>
      <w:r>
        <w:rPr>
          <w:spacing w:val="-23"/>
        </w:rPr>
        <w:t> </w:t>
      </w:r>
      <w:r>
        <w:rPr>
          <w:spacing w:val="-4"/>
        </w:rPr>
        <w:t>nature</w:t>
      </w:r>
      <w:r>
        <w:rPr>
          <w:spacing w:val="-23"/>
        </w:rPr>
        <w:t> </w:t>
      </w:r>
      <w:r>
        <w:rPr/>
        <w:t>of</w:t>
      </w:r>
      <w:r>
        <w:rPr>
          <w:spacing w:val="-24"/>
        </w:rPr>
        <w:t> </w:t>
      </w:r>
      <w:r>
        <w:rPr>
          <w:spacing w:val="-4"/>
        </w:rPr>
        <w:t>some non-financial</w:t>
      </w:r>
      <w:r>
        <w:rPr>
          <w:spacing w:val="-29"/>
        </w:rPr>
        <w:t> </w:t>
      </w:r>
      <w:r>
        <w:rPr>
          <w:spacing w:val="-4"/>
        </w:rPr>
        <w:t>assets,</w:t>
      </w:r>
      <w:r>
        <w:rPr>
          <w:spacing w:val="-28"/>
        </w:rPr>
        <w:t> </w:t>
      </w:r>
      <w:r>
        <w:rPr>
          <w:spacing w:val="-4"/>
        </w:rPr>
        <w:t>these</w:t>
      </w:r>
      <w:r>
        <w:rPr>
          <w:spacing w:val="-28"/>
        </w:rPr>
        <w:t> </w:t>
      </w:r>
      <w:r>
        <w:rPr>
          <w:spacing w:val="-4"/>
        </w:rPr>
        <w:t>assets</w:t>
      </w:r>
      <w:r>
        <w:rPr>
          <w:spacing w:val="-28"/>
        </w:rPr>
        <w:t> </w:t>
      </w:r>
      <w:r>
        <w:rPr>
          <w:spacing w:val="-4"/>
        </w:rPr>
        <w:t>are</w:t>
      </w:r>
      <w:r>
        <w:rPr>
          <w:spacing w:val="-28"/>
        </w:rPr>
        <w:t> </w:t>
      </w:r>
      <w:r>
        <w:rPr>
          <w:spacing w:val="-4"/>
        </w:rPr>
        <w:t>valued</w:t>
      </w:r>
      <w:r>
        <w:rPr>
          <w:spacing w:val="-29"/>
        </w:rPr>
        <w:t> </w:t>
      </w:r>
      <w:r>
        <w:rPr/>
        <w:t>at</w:t>
      </w:r>
      <w:r>
        <w:rPr>
          <w:spacing w:val="-28"/>
        </w:rPr>
        <w:t> </w:t>
      </w:r>
      <w:r>
        <w:rPr>
          <w:spacing w:val="-4"/>
        </w:rPr>
        <w:t>Level</w:t>
      </w:r>
      <w:r>
        <w:rPr>
          <w:spacing w:val="-28"/>
        </w:rPr>
        <w:t> </w:t>
      </w:r>
      <w:r>
        <w:rPr/>
        <w:t>3</w:t>
      </w:r>
      <w:r>
        <w:rPr>
          <w:spacing w:val="-28"/>
        </w:rPr>
        <w:t> </w:t>
      </w:r>
      <w:r>
        <w:rPr/>
        <w:t>of</w:t>
      </w:r>
      <w:r>
        <w:rPr>
          <w:spacing w:val="-28"/>
        </w:rPr>
        <w:t> </w:t>
      </w:r>
      <w:r>
        <w:rPr>
          <w:spacing w:val="-3"/>
        </w:rPr>
        <w:t>the</w:t>
      </w:r>
      <w:r>
        <w:rPr>
          <w:spacing w:val="-29"/>
        </w:rPr>
        <w:t> </w:t>
      </w:r>
      <w:r>
        <w:rPr>
          <w:spacing w:val="-3"/>
        </w:rPr>
        <w:t>fair</w:t>
      </w:r>
      <w:r>
        <w:rPr>
          <w:spacing w:val="-28"/>
        </w:rPr>
        <w:t> </w:t>
      </w:r>
      <w:r>
        <w:rPr>
          <w:spacing w:val="-4"/>
        </w:rPr>
        <w:t>value</w:t>
      </w:r>
      <w:r>
        <w:rPr>
          <w:spacing w:val="-28"/>
        </w:rPr>
        <w:t> </w:t>
      </w:r>
      <w:r>
        <w:rPr>
          <w:spacing w:val="-5"/>
        </w:rPr>
        <w:t>hierarchy </w:t>
      </w:r>
      <w:r>
        <w:rPr/>
        <w:t>on</w:t>
      </w:r>
      <w:r>
        <w:rPr>
          <w:spacing w:val="-18"/>
        </w:rPr>
        <w:t> </w:t>
      </w:r>
      <w:r>
        <w:rPr/>
        <w:t>an</w:t>
      </w:r>
      <w:r>
        <w:rPr>
          <w:spacing w:val="-18"/>
        </w:rPr>
        <w:t> </w:t>
      </w:r>
      <w:r>
        <w:rPr>
          <w:spacing w:val="-4"/>
        </w:rPr>
        <w:t>existing</w:t>
      </w:r>
      <w:r>
        <w:rPr>
          <w:spacing w:val="-18"/>
        </w:rPr>
        <w:t> </w:t>
      </w:r>
      <w:r>
        <w:rPr>
          <w:spacing w:val="-3"/>
        </w:rPr>
        <w:t>use</w:t>
      </w:r>
      <w:r>
        <w:rPr>
          <w:spacing w:val="-18"/>
        </w:rPr>
        <w:t> </w:t>
      </w:r>
      <w:r>
        <w:rPr>
          <w:spacing w:val="-4"/>
        </w:rPr>
        <w:t>basis.</w:t>
      </w:r>
      <w:r>
        <w:rPr>
          <w:spacing w:val="-18"/>
        </w:rPr>
        <w:t> </w:t>
      </w:r>
      <w:r>
        <w:rPr>
          <w:spacing w:val="-3"/>
        </w:rPr>
        <w:t>The</w:t>
      </w:r>
      <w:r>
        <w:rPr>
          <w:spacing w:val="-18"/>
        </w:rPr>
        <w:t> </w:t>
      </w:r>
      <w:r>
        <w:rPr>
          <w:spacing w:val="-4"/>
        </w:rPr>
        <w:t>existing</w:t>
      </w:r>
      <w:r>
        <w:rPr>
          <w:spacing w:val="-18"/>
        </w:rPr>
        <w:t> </w:t>
      </w:r>
      <w:r>
        <w:rPr>
          <w:spacing w:val="-3"/>
        </w:rPr>
        <w:t>use</w:t>
      </w:r>
      <w:r>
        <w:rPr>
          <w:spacing w:val="-18"/>
        </w:rPr>
        <w:t> </w:t>
      </w:r>
      <w:r>
        <w:rPr>
          <w:spacing w:val="-4"/>
        </w:rPr>
        <w:t>basis</w:t>
      </w:r>
      <w:r>
        <w:rPr>
          <w:spacing w:val="-18"/>
        </w:rPr>
        <w:t> </w:t>
      </w:r>
      <w:r>
        <w:rPr>
          <w:spacing w:val="-4"/>
        </w:rPr>
        <w:t>recognises</w:t>
      </w:r>
      <w:r>
        <w:rPr>
          <w:spacing w:val="-17"/>
        </w:rPr>
        <w:t> </w:t>
      </w:r>
      <w:r>
        <w:rPr>
          <w:spacing w:val="-3"/>
        </w:rPr>
        <w:t>that</w:t>
      </w:r>
      <w:r>
        <w:rPr>
          <w:spacing w:val="-18"/>
        </w:rPr>
        <w:t> </w:t>
      </w:r>
      <w:r>
        <w:rPr>
          <w:spacing w:val="-5"/>
        </w:rPr>
        <w:t>restrictions</w:t>
      </w:r>
    </w:p>
    <w:p>
      <w:pPr>
        <w:pStyle w:val="BodyText"/>
        <w:spacing w:line="249" w:lineRule="auto" w:before="3"/>
        <w:ind w:left="385" w:right="912"/>
      </w:pPr>
      <w:r>
        <w:rPr/>
        <w:t>or</w:t>
      </w:r>
      <w:r>
        <w:rPr>
          <w:spacing w:val="-21"/>
        </w:rPr>
        <w:t> </w:t>
      </w:r>
      <w:r>
        <w:rPr>
          <w:spacing w:val="-4"/>
        </w:rPr>
        <w:t>limitations</w:t>
      </w:r>
      <w:r>
        <w:rPr>
          <w:spacing w:val="-21"/>
        </w:rPr>
        <w:t> </w:t>
      </w:r>
      <w:r>
        <w:rPr>
          <w:spacing w:val="-3"/>
        </w:rPr>
        <w:t>have</w:t>
      </w:r>
      <w:r>
        <w:rPr>
          <w:spacing w:val="-21"/>
        </w:rPr>
        <w:t> </w:t>
      </w:r>
      <w:r>
        <w:rPr>
          <w:spacing w:val="-3"/>
        </w:rPr>
        <w:t>been</w:t>
      </w:r>
      <w:r>
        <w:rPr>
          <w:spacing w:val="-21"/>
        </w:rPr>
        <w:t> </w:t>
      </w:r>
      <w:r>
        <w:rPr>
          <w:spacing w:val="-4"/>
        </w:rPr>
        <w:t>placed</w:t>
      </w:r>
      <w:r>
        <w:rPr>
          <w:spacing w:val="-21"/>
        </w:rPr>
        <w:t> </w:t>
      </w:r>
      <w:r>
        <w:rPr/>
        <w:t>on</w:t>
      </w:r>
      <w:r>
        <w:rPr>
          <w:spacing w:val="-21"/>
        </w:rPr>
        <w:t> </w:t>
      </w:r>
      <w:r>
        <w:rPr>
          <w:spacing w:val="-4"/>
        </w:rPr>
        <w:t>their</w:t>
      </w:r>
      <w:r>
        <w:rPr>
          <w:spacing w:val="-21"/>
        </w:rPr>
        <w:t> </w:t>
      </w:r>
      <w:r>
        <w:rPr>
          <w:spacing w:val="-3"/>
        </w:rPr>
        <w:t>use</w:t>
      </w:r>
      <w:r>
        <w:rPr>
          <w:spacing w:val="-21"/>
        </w:rPr>
        <w:t> </w:t>
      </w:r>
      <w:r>
        <w:rPr>
          <w:spacing w:val="-3"/>
        </w:rPr>
        <w:t>and</w:t>
      </w:r>
      <w:r>
        <w:rPr>
          <w:spacing w:val="-21"/>
        </w:rPr>
        <w:t> </w:t>
      </w:r>
      <w:r>
        <w:rPr>
          <w:spacing w:val="-4"/>
        </w:rPr>
        <w:t>disposal</w:t>
      </w:r>
      <w:r>
        <w:rPr>
          <w:spacing w:val="-21"/>
        </w:rPr>
        <w:t> </w:t>
      </w:r>
      <w:r>
        <w:rPr>
          <w:spacing w:val="-3"/>
        </w:rPr>
        <w:t>when</w:t>
      </w:r>
      <w:r>
        <w:rPr>
          <w:spacing w:val="-21"/>
        </w:rPr>
        <w:t> </w:t>
      </w:r>
      <w:r>
        <w:rPr>
          <w:spacing w:val="-3"/>
        </w:rPr>
        <w:t>they</w:t>
      </w:r>
      <w:r>
        <w:rPr>
          <w:spacing w:val="-21"/>
        </w:rPr>
        <w:t> </w:t>
      </w:r>
      <w:r>
        <w:rPr>
          <w:spacing w:val="-4"/>
        </w:rPr>
        <w:t>are</w:t>
      </w:r>
      <w:r>
        <w:rPr>
          <w:spacing w:val="-21"/>
        </w:rPr>
        <w:t> </w:t>
      </w:r>
      <w:r>
        <w:rPr>
          <w:spacing w:val="-4"/>
        </w:rPr>
        <w:t>not determined</w:t>
      </w:r>
      <w:r>
        <w:rPr>
          <w:spacing w:val="-25"/>
        </w:rPr>
        <w:t> </w:t>
      </w:r>
      <w:r>
        <w:rPr/>
        <w:t>to</w:t>
      </w:r>
      <w:r>
        <w:rPr>
          <w:spacing w:val="-24"/>
        </w:rPr>
        <w:t> </w:t>
      </w:r>
      <w:r>
        <w:rPr/>
        <w:t>be</w:t>
      </w:r>
      <w:r>
        <w:rPr>
          <w:spacing w:val="-25"/>
        </w:rPr>
        <w:t> </w:t>
      </w:r>
      <w:r>
        <w:rPr>
          <w:spacing w:val="-4"/>
        </w:rPr>
        <w:t>surplus</w:t>
      </w:r>
      <w:r>
        <w:rPr>
          <w:spacing w:val="-24"/>
        </w:rPr>
        <w:t> </w:t>
      </w:r>
      <w:r>
        <w:rPr/>
        <w:t>to</w:t>
      </w:r>
      <w:r>
        <w:rPr>
          <w:spacing w:val="-25"/>
        </w:rPr>
        <w:t> </w:t>
      </w:r>
      <w:r>
        <w:rPr>
          <w:spacing w:val="-5"/>
        </w:rPr>
        <w:t>requirements.</w:t>
      </w:r>
      <w:r>
        <w:rPr>
          <w:spacing w:val="-24"/>
        </w:rPr>
        <w:t> </w:t>
      </w:r>
      <w:r>
        <w:rPr>
          <w:spacing w:val="-4"/>
        </w:rPr>
        <w:t>These</w:t>
      </w:r>
      <w:r>
        <w:rPr>
          <w:spacing w:val="-25"/>
        </w:rPr>
        <w:t> </w:t>
      </w:r>
      <w:r>
        <w:rPr>
          <w:spacing w:val="-4"/>
        </w:rPr>
        <w:t>restrictions</w:t>
      </w:r>
      <w:r>
        <w:rPr>
          <w:spacing w:val="-24"/>
        </w:rPr>
        <w:t> </w:t>
      </w:r>
      <w:r>
        <w:rPr>
          <w:spacing w:val="-4"/>
        </w:rPr>
        <w:t>are</w:t>
      </w:r>
      <w:r>
        <w:rPr>
          <w:spacing w:val="-24"/>
        </w:rPr>
        <w:t> </w:t>
      </w:r>
      <w:r>
        <w:rPr>
          <w:spacing w:val="-4"/>
        </w:rPr>
        <w:t>imposed</w:t>
      </w:r>
      <w:r>
        <w:rPr>
          <w:spacing w:val="-25"/>
        </w:rPr>
        <w:t> </w:t>
      </w:r>
      <w:r>
        <w:rPr>
          <w:spacing w:val="-4"/>
        </w:rPr>
        <w:t>by virtue</w:t>
      </w:r>
      <w:r>
        <w:rPr>
          <w:spacing w:val="-16"/>
        </w:rPr>
        <w:t> </w:t>
      </w:r>
      <w:r>
        <w:rPr/>
        <w:t>of</w:t>
      </w:r>
      <w:r>
        <w:rPr>
          <w:spacing w:val="-16"/>
        </w:rPr>
        <w:t> </w:t>
      </w:r>
      <w:r>
        <w:rPr>
          <w:spacing w:val="-3"/>
        </w:rPr>
        <w:t>the</w:t>
      </w:r>
      <w:r>
        <w:rPr>
          <w:spacing w:val="-16"/>
        </w:rPr>
        <w:t> </w:t>
      </w:r>
      <w:r>
        <w:rPr>
          <w:spacing w:val="-4"/>
        </w:rPr>
        <w:t>assets</w:t>
      </w:r>
      <w:r>
        <w:rPr>
          <w:spacing w:val="-16"/>
        </w:rPr>
        <w:t> </w:t>
      </w:r>
      <w:r>
        <w:rPr>
          <w:spacing w:val="-4"/>
        </w:rPr>
        <w:t>being</w:t>
      </w:r>
      <w:r>
        <w:rPr>
          <w:spacing w:val="-16"/>
        </w:rPr>
        <w:t> </w:t>
      </w:r>
      <w:r>
        <w:rPr>
          <w:spacing w:val="-3"/>
        </w:rPr>
        <w:t>held</w:t>
      </w:r>
      <w:r>
        <w:rPr>
          <w:spacing w:val="-15"/>
        </w:rPr>
        <w:t> </w:t>
      </w:r>
      <w:r>
        <w:rPr/>
        <w:t>to</w:t>
      </w:r>
      <w:r>
        <w:rPr>
          <w:spacing w:val="-16"/>
        </w:rPr>
        <w:t> </w:t>
      </w:r>
      <w:r>
        <w:rPr>
          <w:spacing w:val="-4"/>
        </w:rPr>
        <w:t>deliver</w:t>
      </w:r>
      <w:r>
        <w:rPr>
          <w:spacing w:val="-16"/>
        </w:rPr>
        <w:t> </w:t>
      </w:r>
      <w:r>
        <w:rPr/>
        <w:t>a</w:t>
      </w:r>
      <w:r>
        <w:rPr>
          <w:spacing w:val="-16"/>
        </w:rPr>
        <w:t> </w:t>
      </w:r>
      <w:r>
        <w:rPr>
          <w:spacing w:val="-3"/>
        </w:rPr>
        <w:t>specific</w:t>
      </w:r>
      <w:r>
        <w:rPr>
          <w:spacing w:val="-16"/>
        </w:rPr>
        <w:t> </w:t>
      </w:r>
      <w:r>
        <w:rPr>
          <w:spacing w:val="-4"/>
        </w:rPr>
        <w:t>community</w:t>
      </w:r>
      <w:r>
        <w:rPr>
          <w:spacing w:val="-15"/>
        </w:rPr>
        <w:t> </w:t>
      </w:r>
      <w:r>
        <w:rPr>
          <w:spacing w:val="-4"/>
        </w:rPr>
        <w:t>service.</w:t>
      </w:r>
    </w:p>
    <w:p>
      <w:pPr>
        <w:spacing w:after="0" w:line="249" w:lineRule="auto"/>
        <w:sectPr>
          <w:type w:val="continuous"/>
          <w:pgSz w:w="16840" w:h="11910" w:orient="landscape"/>
          <w:pgMar w:top="0" w:bottom="0" w:left="0" w:right="0"/>
          <w:cols w:num="2" w:equalWidth="0">
            <w:col w:w="8207" w:space="40"/>
            <w:col w:w="8593"/>
          </w:cols>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pPr>
    </w:p>
    <w:p>
      <w:pPr>
        <w:pStyle w:val="Heading1"/>
        <w:spacing w:before="93"/>
      </w:pPr>
      <w:r>
        <w:rPr/>
        <w:pict>
          <v:group style="position:absolute;margin-left:763.172119pt;margin-top:-3.544212pt;width:61.1pt;height:45.2pt;mso-position-horizontal-relative:page;mso-position-vertical-relative:paragraph;z-index:18496"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18544" coordorigin="0,-1146" coordsize="2406,851">
            <v:rect style="position:absolute;left:0;top:-1147;width:2406;height:851" filled="true" fillcolor="#aebd37" stroked="false">
              <v:fill type="solid"/>
            </v:rect>
            <v:line style="position:absolute" from="0,-1146" to="0,-296" stroked="true" strokeweight="0pt" strokecolor="#aebd37">
              <v:stroke dashstyle="solid"/>
            </v:line>
            <v:shape style="position:absolute;left:0;top:-1147;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18640"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spacing w:before="29"/>
      </w:pPr>
      <w:r>
        <w:rPr>
          <w:color w:val="A7BE39"/>
        </w:rPr>
        <w:t>For the year ended 30 June 2017</w:t>
      </w:r>
    </w:p>
    <w:p>
      <w:pPr>
        <w:pStyle w:val="Heading5"/>
        <w:spacing w:before="257"/>
      </w:pPr>
      <w:r>
        <w:rPr/>
        <w:pict>
          <v:shape style="position:absolute;margin-left:431.574799pt;margin-top:16.434002pt;width:369.95pt;height:260.9pt;mso-position-horizontal-relative:page;mso-position-vertical-relative:paragraph;z-index:186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3"/>
                    <w:gridCol w:w="1049"/>
                    <w:gridCol w:w="1162"/>
                    <w:gridCol w:w="1049"/>
                    <w:gridCol w:w="936"/>
                  </w:tblGrid>
                  <w:tr>
                    <w:trPr>
                      <w:trHeight w:val="766" w:hRule="atLeast"/>
                    </w:trPr>
                    <w:tc>
                      <w:tcPr>
                        <w:tcW w:w="4252" w:type="dxa"/>
                        <w:gridSpan w:val="2"/>
                        <w:shd w:val="clear" w:color="auto" w:fill="783A79"/>
                      </w:tcPr>
                      <w:p>
                        <w:pPr>
                          <w:pStyle w:val="TableParagraph"/>
                          <w:spacing w:before="47"/>
                          <w:ind w:right="111"/>
                          <w:jc w:val="right"/>
                          <w:rPr>
                            <w:b/>
                            <w:sz w:val="19"/>
                          </w:rPr>
                        </w:pPr>
                        <w:r>
                          <w:rPr>
                            <w:b/>
                            <w:color w:val="FFFFFF"/>
                            <w:w w:val="95"/>
                            <w:sz w:val="19"/>
                          </w:rPr>
                          <w:t>Licences</w:t>
                        </w:r>
                      </w:p>
                      <w:p>
                        <w:pPr>
                          <w:pStyle w:val="TableParagraph"/>
                          <w:spacing w:before="8"/>
                          <w:rPr>
                            <w:sz w:val="20"/>
                          </w:rPr>
                        </w:pPr>
                      </w:p>
                      <w:p>
                        <w:pPr>
                          <w:pStyle w:val="TableParagraph"/>
                          <w:spacing w:before="0"/>
                          <w:ind w:right="111"/>
                          <w:jc w:val="right"/>
                          <w:rPr>
                            <w:b/>
                            <w:sz w:val="19"/>
                          </w:rPr>
                        </w:pPr>
                        <w:r>
                          <w:rPr>
                            <w:b/>
                            <w:color w:val="FFFFFF"/>
                            <w:w w:val="95"/>
                            <w:sz w:val="19"/>
                          </w:rPr>
                          <w:t>$000</w:t>
                        </w:r>
                      </w:p>
                    </w:tc>
                    <w:tc>
                      <w:tcPr>
                        <w:tcW w:w="1162" w:type="dxa"/>
                        <w:shd w:val="clear" w:color="auto" w:fill="783A79"/>
                      </w:tcPr>
                      <w:p>
                        <w:pPr>
                          <w:pStyle w:val="TableParagraph"/>
                          <w:spacing w:line="249" w:lineRule="auto" w:before="47"/>
                          <w:ind w:left="257" w:right="104" w:hanging="117"/>
                          <w:rPr>
                            <w:b/>
                            <w:sz w:val="19"/>
                          </w:rPr>
                        </w:pPr>
                        <w:r>
                          <w:rPr>
                            <w:b/>
                            <w:color w:val="FFFFFF"/>
                            <w:sz w:val="19"/>
                          </w:rPr>
                          <w:t>Computer </w:t>
                        </w:r>
                        <w:r>
                          <w:rPr>
                            <w:b/>
                            <w:color w:val="FFFFFF"/>
                            <w:spacing w:val="-1"/>
                            <w:sz w:val="19"/>
                          </w:rPr>
                          <w:t>software</w:t>
                        </w:r>
                      </w:p>
                      <w:p>
                        <w:pPr>
                          <w:pStyle w:val="TableParagraph"/>
                          <w:spacing w:before="2"/>
                          <w:ind w:left="626"/>
                          <w:rPr>
                            <w:b/>
                            <w:sz w:val="19"/>
                          </w:rPr>
                        </w:pPr>
                        <w:r>
                          <w:rPr>
                            <w:b/>
                            <w:color w:val="FFFFFF"/>
                            <w:sz w:val="19"/>
                          </w:rPr>
                          <w:t>$000</w:t>
                        </w:r>
                      </w:p>
                    </w:tc>
                    <w:tc>
                      <w:tcPr>
                        <w:tcW w:w="1049" w:type="dxa"/>
                        <w:shd w:val="clear" w:color="auto" w:fill="783A79"/>
                      </w:tcPr>
                      <w:p>
                        <w:pPr>
                          <w:pStyle w:val="TableParagraph"/>
                          <w:spacing w:line="249" w:lineRule="auto" w:before="47"/>
                          <w:ind w:left="133" w:right="99" w:firstLine="116"/>
                          <w:rPr>
                            <w:b/>
                            <w:sz w:val="19"/>
                          </w:rPr>
                        </w:pPr>
                        <w:r>
                          <w:rPr>
                            <w:b/>
                            <w:color w:val="FFFFFF"/>
                            <w:sz w:val="19"/>
                          </w:rPr>
                          <w:t>Work </w:t>
                        </w:r>
                        <w:r>
                          <w:rPr>
                            <w:b/>
                            <w:color w:val="FFFFFF"/>
                            <w:spacing w:val="-8"/>
                            <w:sz w:val="19"/>
                          </w:rPr>
                          <w:t>in </w:t>
                        </w:r>
                        <w:r>
                          <w:rPr>
                            <w:b/>
                            <w:color w:val="FFFFFF"/>
                            <w:spacing w:val="-1"/>
                            <w:w w:val="95"/>
                            <w:sz w:val="19"/>
                          </w:rPr>
                          <w:t>progress</w:t>
                        </w:r>
                      </w:p>
                      <w:p>
                        <w:pPr>
                          <w:pStyle w:val="TableParagraph"/>
                          <w:spacing w:before="2"/>
                          <w:ind w:left="513"/>
                          <w:rPr>
                            <w:b/>
                            <w:sz w:val="19"/>
                          </w:rPr>
                        </w:pPr>
                        <w:r>
                          <w:rPr>
                            <w:b/>
                            <w:color w:val="FFFFFF"/>
                            <w:sz w:val="19"/>
                          </w:rPr>
                          <w:t>$000</w:t>
                        </w:r>
                      </w:p>
                    </w:tc>
                    <w:tc>
                      <w:tcPr>
                        <w:tcW w:w="936" w:type="dxa"/>
                        <w:shd w:val="clear" w:color="auto" w:fill="783A79"/>
                      </w:tcPr>
                      <w:p>
                        <w:pPr>
                          <w:pStyle w:val="TableParagraph"/>
                          <w:spacing w:before="47"/>
                          <w:ind w:left="385"/>
                          <w:rPr>
                            <w:b/>
                            <w:sz w:val="19"/>
                          </w:rPr>
                        </w:pPr>
                        <w:r>
                          <w:rPr>
                            <w:b/>
                            <w:color w:val="FFFFFF"/>
                            <w:spacing w:val="-5"/>
                            <w:sz w:val="19"/>
                          </w:rPr>
                          <w:t>Total</w:t>
                        </w:r>
                      </w:p>
                      <w:p>
                        <w:pPr>
                          <w:pStyle w:val="TableParagraph"/>
                          <w:spacing w:before="8"/>
                          <w:rPr>
                            <w:sz w:val="20"/>
                          </w:rPr>
                        </w:pPr>
                      </w:p>
                      <w:p>
                        <w:pPr>
                          <w:pStyle w:val="TableParagraph"/>
                          <w:spacing w:before="0"/>
                          <w:ind w:left="399"/>
                          <w:rPr>
                            <w:b/>
                            <w:sz w:val="19"/>
                          </w:rPr>
                        </w:pPr>
                        <w:r>
                          <w:rPr>
                            <w:b/>
                            <w:color w:val="FFFFFF"/>
                            <w:sz w:val="19"/>
                          </w:rPr>
                          <w:t>$000</w:t>
                        </w:r>
                      </w:p>
                    </w:tc>
                  </w:tr>
                  <w:tr>
                    <w:trPr>
                      <w:trHeight w:val="295" w:hRule="atLeast"/>
                    </w:trPr>
                    <w:tc>
                      <w:tcPr>
                        <w:tcW w:w="3203" w:type="dxa"/>
                        <w:tcBorders>
                          <w:right w:val="single" w:sz="8" w:space="0" w:color="FFFFFF"/>
                        </w:tcBorders>
                        <w:shd w:val="clear" w:color="auto" w:fill="F4F4F4"/>
                      </w:tcPr>
                      <w:p>
                        <w:pPr>
                          <w:pStyle w:val="TableParagraph"/>
                          <w:spacing w:before="42"/>
                          <w:ind w:left="113"/>
                          <w:rPr>
                            <w:b/>
                            <w:sz w:val="19"/>
                          </w:rPr>
                        </w:pPr>
                        <w:r>
                          <w:rPr>
                            <w:b/>
                            <w:sz w:val="19"/>
                          </w:rPr>
                          <w:t>2017</w:t>
                        </w:r>
                      </w:p>
                    </w:tc>
                    <w:tc>
                      <w:tcPr>
                        <w:tcW w:w="1049" w:type="dxa"/>
                        <w:tcBorders>
                          <w:left w:val="single" w:sz="8" w:space="0" w:color="FFFFFF"/>
                          <w:right w:val="single" w:sz="8" w:space="0" w:color="FFFFFF"/>
                        </w:tcBorders>
                        <w:shd w:val="clear" w:color="auto" w:fill="F4F4F4"/>
                      </w:tcPr>
                      <w:p>
                        <w:pPr>
                          <w:pStyle w:val="TableParagraph"/>
                          <w:spacing w:before="0"/>
                          <w:rPr>
                            <w:rFonts w:ascii="Times New Roman"/>
                            <w:sz w:val="20"/>
                          </w:rPr>
                        </w:pPr>
                      </w:p>
                    </w:tc>
                    <w:tc>
                      <w:tcPr>
                        <w:tcW w:w="1162" w:type="dxa"/>
                        <w:tcBorders>
                          <w:left w:val="single" w:sz="8" w:space="0" w:color="FFFFFF"/>
                          <w:right w:val="single" w:sz="8" w:space="0" w:color="FFFFFF"/>
                        </w:tcBorders>
                        <w:shd w:val="clear" w:color="auto" w:fill="F4F4F4"/>
                      </w:tcPr>
                      <w:p>
                        <w:pPr>
                          <w:pStyle w:val="TableParagraph"/>
                          <w:spacing w:before="0"/>
                          <w:rPr>
                            <w:rFonts w:ascii="Times New Roman"/>
                            <w:sz w:val="20"/>
                          </w:rPr>
                        </w:pPr>
                      </w:p>
                    </w:tc>
                    <w:tc>
                      <w:tcPr>
                        <w:tcW w:w="1049" w:type="dxa"/>
                        <w:tcBorders>
                          <w:left w:val="single" w:sz="8" w:space="0" w:color="FFFFFF"/>
                        </w:tcBorders>
                        <w:shd w:val="clear" w:color="auto" w:fill="F4F4F4"/>
                      </w:tcPr>
                      <w:p>
                        <w:pPr>
                          <w:pStyle w:val="TableParagraph"/>
                          <w:spacing w:before="0"/>
                          <w:rPr>
                            <w:rFonts w:ascii="Times New Roman"/>
                            <w:sz w:val="20"/>
                          </w:rPr>
                        </w:pPr>
                      </w:p>
                    </w:tc>
                    <w:tc>
                      <w:tcPr>
                        <w:tcW w:w="936" w:type="dxa"/>
                        <w:shd w:val="clear" w:color="auto" w:fill="E1E4BB"/>
                      </w:tcPr>
                      <w:p>
                        <w:pPr>
                          <w:pStyle w:val="TableParagraph"/>
                          <w:spacing w:before="0"/>
                          <w:rPr>
                            <w:rFonts w:ascii="Times New Roman"/>
                            <w:sz w:val="20"/>
                          </w:rPr>
                        </w:pPr>
                      </w:p>
                    </w:tc>
                  </w:tr>
                  <w:tr>
                    <w:trPr>
                      <w:trHeight w:val="325" w:hRule="atLeast"/>
                    </w:trPr>
                    <w:tc>
                      <w:tcPr>
                        <w:tcW w:w="3203" w:type="dxa"/>
                        <w:shd w:val="clear" w:color="auto" w:fill="FFFFFF"/>
                      </w:tcPr>
                      <w:p>
                        <w:pPr>
                          <w:pStyle w:val="TableParagraph"/>
                          <w:spacing w:before="52"/>
                          <w:ind w:left="113"/>
                          <w:rPr>
                            <w:sz w:val="19"/>
                          </w:rPr>
                        </w:pPr>
                        <w:r>
                          <w:rPr>
                            <w:sz w:val="19"/>
                          </w:rPr>
                          <w:t>Carrying amount at start of period</w:t>
                        </w:r>
                      </w:p>
                    </w:tc>
                    <w:tc>
                      <w:tcPr>
                        <w:tcW w:w="1049" w:type="dxa"/>
                        <w:shd w:val="clear" w:color="auto" w:fill="FFFFFF"/>
                      </w:tcPr>
                      <w:p>
                        <w:pPr>
                          <w:pStyle w:val="TableParagraph"/>
                          <w:spacing w:before="52"/>
                          <w:ind w:right="114"/>
                          <w:jc w:val="right"/>
                          <w:rPr>
                            <w:sz w:val="19"/>
                          </w:rPr>
                        </w:pPr>
                        <w:r>
                          <w:rPr>
                            <w:w w:val="95"/>
                            <w:sz w:val="19"/>
                          </w:rPr>
                          <w:t>725</w:t>
                        </w:r>
                      </w:p>
                    </w:tc>
                    <w:tc>
                      <w:tcPr>
                        <w:tcW w:w="1162" w:type="dxa"/>
                        <w:shd w:val="clear" w:color="auto" w:fill="FFFFFF"/>
                      </w:tcPr>
                      <w:p>
                        <w:pPr>
                          <w:pStyle w:val="TableParagraph"/>
                          <w:spacing w:before="52"/>
                          <w:ind w:right="114"/>
                          <w:jc w:val="right"/>
                          <w:rPr>
                            <w:sz w:val="19"/>
                          </w:rPr>
                        </w:pPr>
                        <w:r>
                          <w:rPr>
                            <w:w w:val="95"/>
                            <w:sz w:val="19"/>
                          </w:rPr>
                          <w:t>22,306</w:t>
                        </w:r>
                      </w:p>
                    </w:tc>
                    <w:tc>
                      <w:tcPr>
                        <w:tcW w:w="1049" w:type="dxa"/>
                        <w:shd w:val="clear" w:color="auto" w:fill="FFFFFF"/>
                      </w:tcPr>
                      <w:p>
                        <w:pPr>
                          <w:pStyle w:val="TableParagraph"/>
                          <w:spacing w:before="52"/>
                          <w:ind w:right="114"/>
                          <w:jc w:val="right"/>
                          <w:rPr>
                            <w:sz w:val="19"/>
                          </w:rPr>
                        </w:pPr>
                        <w:r>
                          <w:rPr>
                            <w:w w:val="95"/>
                            <w:sz w:val="19"/>
                          </w:rPr>
                          <w:t>6,485</w:t>
                        </w:r>
                      </w:p>
                    </w:tc>
                    <w:tc>
                      <w:tcPr>
                        <w:tcW w:w="936" w:type="dxa"/>
                        <w:shd w:val="clear" w:color="auto" w:fill="E1E4BB"/>
                      </w:tcPr>
                      <w:p>
                        <w:pPr>
                          <w:pStyle w:val="TableParagraph"/>
                          <w:spacing w:before="52"/>
                          <w:ind w:right="115"/>
                          <w:jc w:val="right"/>
                          <w:rPr>
                            <w:b/>
                            <w:sz w:val="19"/>
                          </w:rPr>
                        </w:pPr>
                        <w:r>
                          <w:rPr>
                            <w:b/>
                            <w:w w:val="95"/>
                            <w:sz w:val="19"/>
                          </w:rPr>
                          <w:t>29,516</w:t>
                        </w:r>
                      </w:p>
                    </w:tc>
                  </w:tr>
                  <w:tr>
                    <w:trPr>
                      <w:trHeight w:val="285" w:hRule="atLeast"/>
                    </w:trPr>
                    <w:tc>
                      <w:tcPr>
                        <w:tcW w:w="3203" w:type="dxa"/>
                        <w:tcBorders>
                          <w:bottom w:val="single" w:sz="8" w:space="0" w:color="FFFFFF"/>
                          <w:right w:val="single" w:sz="8" w:space="0" w:color="FFFFFF"/>
                        </w:tcBorders>
                        <w:shd w:val="clear" w:color="auto" w:fill="F4F4F4"/>
                      </w:tcPr>
                      <w:p>
                        <w:pPr>
                          <w:pStyle w:val="TableParagraph"/>
                          <w:ind w:left="113"/>
                          <w:rPr>
                            <w:sz w:val="19"/>
                          </w:rPr>
                        </w:pPr>
                        <w:r>
                          <w:rPr>
                            <w:sz w:val="19"/>
                          </w:rPr>
                          <w:t>Additions</w:t>
                        </w:r>
                      </w:p>
                    </w:tc>
                    <w:tc>
                      <w:tcPr>
                        <w:tcW w:w="1049" w:type="dxa"/>
                        <w:tcBorders>
                          <w:left w:val="single" w:sz="8" w:space="0" w:color="FFFFFF"/>
                          <w:bottom w:val="single" w:sz="8" w:space="0" w:color="FFFFFF"/>
                          <w:right w:val="single" w:sz="8" w:space="0" w:color="FFFFFF"/>
                        </w:tcBorders>
                        <w:shd w:val="clear" w:color="auto" w:fill="F4F4F4"/>
                      </w:tcPr>
                      <w:p>
                        <w:pPr>
                          <w:pStyle w:val="TableParagraph"/>
                          <w:ind w:right="101"/>
                          <w:jc w:val="right"/>
                          <w:rPr>
                            <w:sz w:val="19"/>
                          </w:rPr>
                        </w:pPr>
                        <w:r>
                          <w:rPr>
                            <w:w w:val="111"/>
                            <w:sz w:val="19"/>
                          </w:rPr>
                          <w:t>-</w:t>
                        </w:r>
                      </w:p>
                    </w:tc>
                    <w:tc>
                      <w:tcPr>
                        <w:tcW w:w="1162" w:type="dxa"/>
                        <w:tcBorders>
                          <w:left w:val="single" w:sz="8" w:space="0" w:color="FFFFFF"/>
                          <w:bottom w:val="single" w:sz="8" w:space="0" w:color="FFFFFF"/>
                          <w:right w:val="single" w:sz="8" w:space="0" w:color="FFFFFF"/>
                        </w:tcBorders>
                        <w:shd w:val="clear" w:color="auto" w:fill="F4F4F4"/>
                      </w:tcPr>
                      <w:p>
                        <w:pPr>
                          <w:pStyle w:val="TableParagraph"/>
                          <w:ind w:right="104"/>
                          <w:jc w:val="right"/>
                          <w:rPr>
                            <w:sz w:val="19"/>
                          </w:rPr>
                        </w:pPr>
                        <w:r>
                          <w:rPr>
                            <w:w w:val="95"/>
                            <w:sz w:val="19"/>
                          </w:rPr>
                          <w:t>1,127</w:t>
                        </w:r>
                      </w:p>
                    </w:tc>
                    <w:tc>
                      <w:tcPr>
                        <w:tcW w:w="1049" w:type="dxa"/>
                        <w:tcBorders>
                          <w:left w:val="single" w:sz="8" w:space="0" w:color="FFFFFF"/>
                          <w:bottom w:val="single" w:sz="8" w:space="0" w:color="FFFFFF"/>
                        </w:tcBorders>
                        <w:shd w:val="clear" w:color="auto" w:fill="F4F4F4"/>
                      </w:tcPr>
                      <w:p>
                        <w:pPr>
                          <w:pStyle w:val="TableParagraph"/>
                          <w:ind w:right="114"/>
                          <w:jc w:val="right"/>
                          <w:rPr>
                            <w:sz w:val="19"/>
                          </w:rPr>
                        </w:pPr>
                        <w:r>
                          <w:rPr>
                            <w:w w:val="95"/>
                            <w:sz w:val="19"/>
                          </w:rPr>
                          <w:t>6,148</w:t>
                        </w:r>
                      </w:p>
                    </w:tc>
                    <w:tc>
                      <w:tcPr>
                        <w:tcW w:w="936" w:type="dxa"/>
                        <w:shd w:val="clear" w:color="auto" w:fill="E1E4BB"/>
                      </w:tcPr>
                      <w:p>
                        <w:pPr>
                          <w:pStyle w:val="TableParagraph"/>
                          <w:ind w:right="115"/>
                          <w:jc w:val="right"/>
                          <w:rPr>
                            <w:b/>
                            <w:sz w:val="19"/>
                          </w:rPr>
                        </w:pPr>
                        <w:r>
                          <w:rPr>
                            <w:b/>
                            <w:w w:val="95"/>
                            <w:sz w:val="19"/>
                          </w:rPr>
                          <w:t>7,275</w:t>
                        </w:r>
                      </w:p>
                    </w:tc>
                  </w:tr>
                  <w:tr>
                    <w:trPr>
                      <w:trHeight w:val="253" w:hRule="atLeast"/>
                    </w:trPr>
                    <w:tc>
                      <w:tcPr>
                        <w:tcW w:w="3203" w:type="dxa"/>
                        <w:shd w:val="clear" w:color="auto" w:fill="FFFFFF"/>
                      </w:tcPr>
                      <w:p>
                        <w:pPr>
                          <w:pStyle w:val="TableParagraph"/>
                          <w:spacing w:line="201" w:lineRule="exact"/>
                          <w:ind w:left="112"/>
                          <w:rPr>
                            <w:sz w:val="19"/>
                          </w:rPr>
                        </w:pPr>
                        <w:r>
                          <w:rPr>
                            <w:sz w:val="19"/>
                          </w:rPr>
                          <w:t>Transfers to computer software</w:t>
                        </w:r>
                      </w:p>
                    </w:tc>
                    <w:tc>
                      <w:tcPr>
                        <w:tcW w:w="1049" w:type="dxa"/>
                        <w:shd w:val="clear" w:color="auto" w:fill="FFFFFF"/>
                      </w:tcPr>
                      <w:p>
                        <w:pPr>
                          <w:pStyle w:val="TableParagraph"/>
                          <w:spacing w:line="201" w:lineRule="exact"/>
                          <w:ind w:right="111"/>
                          <w:jc w:val="right"/>
                          <w:rPr>
                            <w:sz w:val="19"/>
                          </w:rPr>
                        </w:pPr>
                        <w:r>
                          <w:rPr>
                            <w:w w:val="111"/>
                            <w:sz w:val="19"/>
                          </w:rPr>
                          <w:t>-</w:t>
                        </w:r>
                      </w:p>
                    </w:tc>
                    <w:tc>
                      <w:tcPr>
                        <w:tcW w:w="1162" w:type="dxa"/>
                        <w:shd w:val="clear" w:color="auto" w:fill="FFFFFF"/>
                      </w:tcPr>
                      <w:p>
                        <w:pPr>
                          <w:pStyle w:val="TableParagraph"/>
                          <w:spacing w:line="201" w:lineRule="exact"/>
                          <w:ind w:right="114"/>
                          <w:jc w:val="right"/>
                          <w:rPr>
                            <w:sz w:val="19"/>
                          </w:rPr>
                        </w:pPr>
                        <w:r>
                          <w:rPr>
                            <w:w w:val="95"/>
                            <w:sz w:val="19"/>
                          </w:rPr>
                          <w:t>1,590</w:t>
                        </w:r>
                      </w:p>
                    </w:tc>
                    <w:tc>
                      <w:tcPr>
                        <w:tcW w:w="1049" w:type="dxa"/>
                        <w:shd w:val="clear" w:color="auto" w:fill="FFFFFF"/>
                      </w:tcPr>
                      <w:p>
                        <w:pPr>
                          <w:pStyle w:val="TableParagraph"/>
                          <w:spacing w:line="201" w:lineRule="exact"/>
                          <w:ind w:right="114"/>
                          <w:jc w:val="right"/>
                          <w:rPr>
                            <w:sz w:val="19"/>
                          </w:rPr>
                        </w:pPr>
                        <w:r>
                          <w:rPr>
                            <w:w w:val="90"/>
                            <w:sz w:val="19"/>
                          </w:rPr>
                          <w:t>(1,590)</w:t>
                        </w:r>
                      </w:p>
                    </w:tc>
                    <w:tc>
                      <w:tcPr>
                        <w:tcW w:w="936" w:type="dxa"/>
                        <w:shd w:val="clear" w:color="auto" w:fill="E1E4BB"/>
                      </w:tcPr>
                      <w:p>
                        <w:pPr>
                          <w:pStyle w:val="TableParagraph"/>
                          <w:spacing w:line="201" w:lineRule="exact"/>
                          <w:ind w:right="112"/>
                          <w:jc w:val="right"/>
                          <w:rPr>
                            <w:b/>
                            <w:sz w:val="19"/>
                          </w:rPr>
                        </w:pPr>
                        <w:r>
                          <w:rPr>
                            <w:b/>
                            <w:w w:val="122"/>
                            <w:sz w:val="19"/>
                          </w:rPr>
                          <w:t>-</w:t>
                        </w:r>
                      </w:p>
                    </w:tc>
                  </w:tr>
                  <w:tr>
                    <w:trPr>
                      <w:trHeight w:val="260" w:hRule="atLeast"/>
                    </w:trPr>
                    <w:tc>
                      <w:tcPr>
                        <w:tcW w:w="3203" w:type="dxa"/>
                        <w:shd w:val="clear" w:color="auto" w:fill="FFFFFF"/>
                      </w:tcPr>
                      <w:p>
                        <w:pPr>
                          <w:pStyle w:val="TableParagraph"/>
                          <w:spacing w:before="7"/>
                          <w:ind w:left="112"/>
                          <w:rPr>
                            <w:sz w:val="19"/>
                          </w:rPr>
                        </w:pPr>
                        <w:r>
                          <w:rPr>
                            <w:sz w:val="19"/>
                          </w:rPr>
                          <w:t>and licence</w:t>
                        </w:r>
                      </w:p>
                    </w:tc>
                    <w:tc>
                      <w:tcPr>
                        <w:tcW w:w="1049" w:type="dxa"/>
                        <w:shd w:val="clear" w:color="auto" w:fill="FFFFFF"/>
                      </w:tcPr>
                      <w:p>
                        <w:pPr>
                          <w:pStyle w:val="TableParagraph"/>
                          <w:spacing w:before="0"/>
                          <w:rPr>
                            <w:rFonts w:ascii="Times New Roman"/>
                            <w:sz w:val="18"/>
                          </w:rPr>
                        </w:pPr>
                      </w:p>
                    </w:tc>
                    <w:tc>
                      <w:tcPr>
                        <w:tcW w:w="1162" w:type="dxa"/>
                        <w:shd w:val="clear" w:color="auto" w:fill="FFFFFF"/>
                      </w:tcPr>
                      <w:p>
                        <w:pPr>
                          <w:pStyle w:val="TableParagraph"/>
                          <w:spacing w:before="0"/>
                          <w:rPr>
                            <w:rFonts w:ascii="Times New Roman"/>
                            <w:sz w:val="18"/>
                          </w:rPr>
                        </w:pPr>
                      </w:p>
                    </w:tc>
                    <w:tc>
                      <w:tcPr>
                        <w:tcW w:w="1049" w:type="dxa"/>
                        <w:shd w:val="clear" w:color="auto" w:fill="FFFFFF"/>
                      </w:tcPr>
                      <w:p>
                        <w:pPr>
                          <w:pStyle w:val="TableParagraph"/>
                          <w:spacing w:before="0"/>
                          <w:rPr>
                            <w:rFonts w:ascii="Times New Roman"/>
                            <w:sz w:val="18"/>
                          </w:rPr>
                        </w:pPr>
                      </w:p>
                    </w:tc>
                    <w:tc>
                      <w:tcPr>
                        <w:tcW w:w="936" w:type="dxa"/>
                        <w:shd w:val="clear" w:color="auto" w:fill="E1E4BB"/>
                      </w:tcPr>
                      <w:p>
                        <w:pPr>
                          <w:pStyle w:val="TableParagraph"/>
                          <w:spacing w:before="0"/>
                          <w:rPr>
                            <w:rFonts w:ascii="Times New Roman"/>
                            <w:sz w:val="18"/>
                          </w:rPr>
                        </w:pPr>
                      </w:p>
                    </w:tc>
                  </w:tr>
                  <w:tr>
                    <w:trPr>
                      <w:trHeight w:val="290" w:hRule="atLeast"/>
                    </w:trPr>
                    <w:tc>
                      <w:tcPr>
                        <w:tcW w:w="3203" w:type="dxa"/>
                        <w:tcBorders>
                          <w:top w:val="single" w:sz="8" w:space="0" w:color="FFFFFF"/>
                          <w:right w:val="single" w:sz="8" w:space="0" w:color="FFFFFF"/>
                        </w:tcBorders>
                        <w:shd w:val="clear" w:color="auto" w:fill="F4F4F4"/>
                      </w:tcPr>
                      <w:p>
                        <w:pPr>
                          <w:pStyle w:val="TableParagraph"/>
                          <w:ind w:left="112"/>
                          <w:rPr>
                            <w:sz w:val="19"/>
                          </w:rPr>
                        </w:pPr>
                        <w:r>
                          <w:rPr>
                            <w:sz w:val="19"/>
                          </w:rPr>
                          <w:t>Amortisation expense</w:t>
                        </w:r>
                      </w:p>
                    </w:tc>
                    <w:tc>
                      <w:tcPr>
                        <w:tcW w:w="1049" w:type="dxa"/>
                        <w:tcBorders>
                          <w:top w:val="single" w:sz="8" w:space="0" w:color="FFFFFF"/>
                          <w:left w:val="single" w:sz="8" w:space="0" w:color="FFFFFF"/>
                          <w:bottom w:val="single" w:sz="4" w:space="0" w:color="000000"/>
                          <w:right w:val="single" w:sz="8" w:space="0" w:color="FFFFFF"/>
                        </w:tcBorders>
                        <w:shd w:val="clear" w:color="auto" w:fill="F4F4F4"/>
                      </w:tcPr>
                      <w:p>
                        <w:pPr>
                          <w:pStyle w:val="TableParagraph"/>
                          <w:ind w:right="105"/>
                          <w:jc w:val="right"/>
                          <w:rPr>
                            <w:sz w:val="19"/>
                          </w:rPr>
                        </w:pPr>
                        <w:r>
                          <w:rPr>
                            <w:w w:val="90"/>
                            <w:sz w:val="19"/>
                          </w:rPr>
                          <w:t>(725)</w:t>
                        </w:r>
                      </w:p>
                    </w:tc>
                    <w:tc>
                      <w:tcPr>
                        <w:tcW w:w="1162" w:type="dxa"/>
                        <w:tcBorders>
                          <w:top w:val="single" w:sz="8" w:space="0" w:color="FFFFFF"/>
                          <w:left w:val="single" w:sz="8" w:space="0" w:color="FFFFFF"/>
                          <w:bottom w:val="single" w:sz="4" w:space="0" w:color="000000"/>
                          <w:right w:val="single" w:sz="8" w:space="0" w:color="FFFFFF"/>
                        </w:tcBorders>
                        <w:shd w:val="clear" w:color="auto" w:fill="F4F4F4"/>
                      </w:tcPr>
                      <w:p>
                        <w:pPr>
                          <w:pStyle w:val="TableParagraph"/>
                          <w:ind w:right="104"/>
                          <w:jc w:val="right"/>
                          <w:rPr>
                            <w:sz w:val="19"/>
                          </w:rPr>
                        </w:pPr>
                        <w:r>
                          <w:rPr>
                            <w:w w:val="90"/>
                            <w:sz w:val="19"/>
                          </w:rPr>
                          <w:t>(4,261)</w:t>
                        </w:r>
                      </w:p>
                    </w:tc>
                    <w:tc>
                      <w:tcPr>
                        <w:tcW w:w="1049" w:type="dxa"/>
                        <w:tcBorders>
                          <w:top w:val="single" w:sz="8" w:space="0" w:color="FFFFFF"/>
                          <w:left w:val="single" w:sz="8" w:space="0" w:color="FFFFFF"/>
                          <w:bottom w:val="single" w:sz="4" w:space="0" w:color="000000"/>
                        </w:tcBorders>
                        <w:shd w:val="clear" w:color="auto" w:fill="F4F4F4"/>
                      </w:tcPr>
                      <w:p>
                        <w:pPr>
                          <w:pStyle w:val="TableParagraph"/>
                          <w:ind w:right="112"/>
                          <w:jc w:val="right"/>
                          <w:rPr>
                            <w:sz w:val="19"/>
                          </w:rPr>
                        </w:pPr>
                        <w:r>
                          <w:rPr>
                            <w:w w:val="111"/>
                            <w:sz w:val="19"/>
                          </w:rPr>
                          <w:t>-</w:t>
                        </w:r>
                      </w:p>
                    </w:tc>
                    <w:tc>
                      <w:tcPr>
                        <w:tcW w:w="936" w:type="dxa"/>
                        <w:tcBorders>
                          <w:bottom w:val="single" w:sz="4" w:space="0" w:color="000000"/>
                        </w:tcBorders>
                        <w:shd w:val="clear" w:color="auto" w:fill="E1E4BB"/>
                      </w:tcPr>
                      <w:p>
                        <w:pPr>
                          <w:pStyle w:val="TableParagraph"/>
                          <w:ind w:right="115"/>
                          <w:jc w:val="right"/>
                          <w:rPr>
                            <w:b/>
                            <w:sz w:val="19"/>
                          </w:rPr>
                        </w:pPr>
                        <w:r>
                          <w:rPr>
                            <w:b/>
                            <w:w w:val="95"/>
                            <w:sz w:val="19"/>
                          </w:rPr>
                          <w:t>(4,986)</w:t>
                        </w:r>
                      </w:p>
                    </w:tc>
                  </w:tr>
                  <w:tr>
                    <w:trPr>
                      <w:trHeight w:val="268" w:hRule="atLeast"/>
                    </w:trPr>
                    <w:tc>
                      <w:tcPr>
                        <w:tcW w:w="3203" w:type="dxa"/>
                        <w:shd w:val="clear" w:color="auto" w:fill="FFFFFF"/>
                      </w:tcPr>
                      <w:p>
                        <w:pPr>
                          <w:pStyle w:val="TableParagraph"/>
                          <w:spacing w:line="211" w:lineRule="exact" w:before="37"/>
                          <w:ind w:left="112"/>
                          <w:rPr>
                            <w:b/>
                            <w:sz w:val="19"/>
                          </w:rPr>
                        </w:pPr>
                        <w:r>
                          <w:rPr>
                            <w:b/>
                            <w:sz w:val="19"/>
                          </w:rPr>
                          <w:t>Carrying amount at end of period</w:t>
                        </w:r>
                      </w:p>
                    </w:tc>
                    <w:tc>
                      <w:tcPr>
                        <w:tcW w:w="1049" w:type="dxa"/>
                        <w:tcBorders>
                          <w:top w:val="single" w:sz="4" w:space="0" w:color="000000"/>
                          <w:bottom w:val="double" w:sz="2" w:space="0" w:color="000000"/>
                        </w:tcBorders>
                        <w:shd w:val="clear" w:color="auto" w:fill="FFFFFF"/>
                      </w:tcPr>
                      <w:p>
                        <w:pPr>
                          <w:pStyle w:val="TableParagraph"/>
                          <w:spacing w:line="211" w:lineRule="exact" w:before="37"/>
                          <w:ind w:right="112"/>
                          <w:jc w:val="right"/>
                          <w:rPr>
                            <w:b/>
                            <w:sz w:val="19"/>
                          </w:rPr>
                        </w:pPr>
                        <w:r>
                          <w:rPr>
                            <w:b/>
                            <w:w w:val="122"/>
                            <w:sz w:val="19"/>
                          </w:rPr>
                          <w:t>-</w:t>
                        </w:r>
                      </w:p>
                    </w:tc>
                    <w:tc>
                      <w:tcPr>
                        <w:tcW w:w="1162" w:type="dxa"/>
                        <w:tcBorders>
                          <w:top w:val="single" w:sz="4" w:space="0" w:color="000000"/>
                          <w:bottom w:val="double" w:sz="2" w:space="0" w:color="000000"/>
                        </w:tcBorders>
                        <w:shd w:val="clear" w:color="auto" w:fill="FFFFFF"/>
                      </w:tcPr>
                      <w:p>
                        <w:pPr>
                          <w:pStyle w:val="TableParagraph"/>
                          <w:spacing w:line="211" w:lineRule="exact" w:before="37"/>
                          <w:ind w:right="114"/>
                          <w:jc w:val="right"/>
                          <w:rPr>
                            <w:b/>
                            <w:sz w:val="19"/>
                          </w:rPr>
                        </w:pPr>
                        <w:r>
                          <w:rPr>
                            <w:b/>
                            <w:w w:val="95"/>
                            <w:sz w:val="19"/>
                          </w:rPr>
                          <w:t>20,762</w:t>
                        </w:r>
                      </w:p>
                    </w:tc>
                    <w:tc>
                      <w:tcPr>
                        <w:tcW w:w="1049" w:type="dxa"/>
                        <w:tcBorders>
                          <w:top w:val="single" w:sz="4" w:space="0" w:color="000000"/>
                          <w:bottom w:val="double" w:sz="2" w:space="0" w:color="000000"/>
                        </w:tcBorders>
                        <w:shd w:val="clear" w:color="auto" w:fill="FFFFFF"/>
                      </w:tcPr>
                      <w:p>
                        <w:pPr>
                          <w:pStyle w:val="TableParagraph"/>
                          <w:spacing w:line="211" w:lineRule="exact" w:before="37"/>
                          <w:ind w:right="115"/>
                          <w:jc w:val="right"/>
                          <w:rPr>
                            <w:b/>
                            <w:sz w:val="19"/>
                          </w:rPr>
                        </w:pPr>
                        <w:r>
                          <w:rPr>
                            <w:b/>
                            <w:w w:val="95"/>
                            <w:sz w:val="19"/>
                          </w:rPr>
                          <w:t>11,043</w:t>
                        </w:r>
                      </w:p>
                    </w:tc>
                    <w:tc>
                      <w:tcPr>
                        <w:tcW w:w="936" w:type="dxa"/>
                        <w:tcBorders>
                          <w:top w:val="single" w:sz="4" w:space="0" w:color="000000"/>
                          <w:bottom w:val="double" w:sz="2" w:space="0" w:color="000000"/>
                        </w:tcBorders>
                        <w:shd w:val="clear" w:color="auto" w:fill="E1E4BB"/>
                      </w:tcPr>
                      <w:p>
                        <w:pPr>
                          <w:pStyle w:val="TableParagraph"/>
                          <w:spacing w:line="211" w:lineRule="exact" w:before="37"/>
                          <w:ind w:right="115"/>
                          <w:jc w:val="right"/>
                          <w:rPr>
                            <w:b/>
                            <w:sz w:val="19"/>
                          </w:rPr>
                        </w:pPr>
                        <w:r>
                          <w:rPr>
                            <w:b/>
                            <w:w w:val="95"/>
                            <w:sz w:val="19"/>
                          </w:rPr>
                          <w:t>31,805</w:t>
                        </w:r>
                      </w:p>
                    </w:tc>
                  </w:tr>
                  <w:tr>
                    <w:trPr>
                      <w:trHeight w:val="283" w:hRule="atLeast"/>
                    </w:trPr>
                    <w:tc>
                      <w:tcPr>
                        <w:tcW w:w="3203" w:type="dxa"/>
                        <w:tcBorders>
                          <w:top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049" w:type="dxa"/>
                        <w:tcBorders>
                          <w:top w:val="double" w:sz="2" w:space="0" w:color="000000"/>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162" w:type="dxa"/>
                        <w:tcBorders>
                          <w:top w:val="double" w:sz="2" w:space="0" w:color="000000"/>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049" w:type="dxa"/>
                        <w:tcBorders>
                          <w:top w:val="double" w:sz="2" w:space="0" w:color="000000"/>
                          <w:left w:val="single" w:sz="8" w:space="0" w:color="FFFFFF"/>
                          <w:bottom w:val="single" w:sz="8" w:space="0" w:color="FFFFFF"/>
                        </w:tcBorders>
                        <w:shd w:val="clear" w:color="auto" w:fill="F4F4F4"/>
                      </w:tcPr>
                      <w:p>
                        <w:pPr>
                          <w:pStyle w:val="TableParagraph"/>
                          <w:spacing w:before="0"/>
                          <w:rPr>
                            <w:rFonts w:ascii="Times New Roman"/>
                            <w:sz w:val="20"/>
                          </w:rPr>
                        </w:pPr>
                      </w:p>
                    </w:tc>
                    <w:tc>
                      <w:tcPr>
                        <w:tcW w:w="936" w:type="dxa"/>
                        <w:tcBorders>
                          <w:top w:val="double" w:sz="2" w:space="0" w:color="000000"/>
                        </w:tcBorders>
                        <w:shd w:val="clear" w:color="auto" w:fill="E1E4BB"/>
                      </w:tcPr>
                      <w:p>
                        <w:pPr>
                          <w:pStyle w:val="TableParagraph"/>
                          <w:spacing w:before="0"/>
                          <w:rPr>
                            <w:rFonts w:ascii="Times New Roman"/>
                            <w:sz w:val="20"/>
                          </w:rPr>
                        </w:pPr>
                      </w:p>
                    </w:tc>
                  </w:tr>
                  <w:tr>
                    <w:trPr>
                      <w:trHeight w:val="285" w:hRule="atLeast"/>
                    </w:trPr>
                    <w:tc>
                      <w:tcPr>
                        <w:tcW w:w="6463" w:type="dxa"/>
                        <w:gridSpan w:val="4"/>
                        <w:shd w:val="clear" w:color="auto" w:fill="FFFFFF"/>
                      </w:tcPr>
                      <w:p>
                        <w:pPr>
                          <w:pStyle w:val="TableParagraph"/>
                          <w:ind w:left="112"/>
                          <w:rPr>
                            <w:b/>
                            <w:sz w:val="19"/>
                          </w:rPr>
                        </w:pPr>
                        <w:r>
                          <w:rPr>
                            <w:b/>
                            <w:sz w:val="19"/>
                          </w:rPr>
                          <w:t>2016</w:t>
                        </w:r>
                      </w:p>
                    </w:tc>
                    <w:tc>
                      <w:tcPr>
                        <w:tcW w:w="936" w:type="dxa"/>
                        <w:shd w:val="clear" w:color="auto" w:fill="E1E4BB"/>
                      </w:tcPr>
                      <w:p>
                        <w:pPr>
                          <w:pStyle w:val="TableParagraph"/>
                          <w:spacing w:before="0"/>
                          <w:rPr>
                            <w:rFonts w:ascii="Times New Roman"/>
                            <w:sz w:val="20"/>
                          </w:rPr>
                        </w:pPr>
                      </w:p>
                    </w:tc>
                  </w:tr>
                  <w:tr>
                    <w:trPr>
                      <w:trHeight w:val="285" w:hRule="atLeast"/>
                    </w:trPr>
                    <w:tc>
                      <w:tcPr>
                        <w:tcW w:w="3203" w:type="dxa"/>
                        <w:tcBorders>
                          <w:top w:val="single" w:sz="8" w:space="0" w:color="FFFFFF"/>
                          <w:bottom w:val="single" w:sz="8" w:space="0" w:color="FFFFFF"/>
                          <w:right w:val="single" w:sz="8" w:space="0" w:color="FFFFFF"/>
                        </w:tcBorders>
                        <w:shd w:val="clear" w:color="auto" w:fill="F4F4F4"/>
                      </w:tcPr>
                      <w:p>
                        <w:pPr>
                          <w:pStyle w:val="TableParagraph"/>
                          <w:ind w:left="112"/>
                          <w:rPr>
                            <w:sz w:val="19"/>
                          </w:rPr>
                        </w:pPr>
                        <w:r>
                          <w:rPr>
                            <w:sz w:val="19"/>
                          </w:rPr>
                          <w:t>Carrying amount at start of period</w:t>
                        </w:r>
                      </w:p>
                    </w:tc>
                    <w:tc>
                      <w:tcPr>
                        <w:tcW w:w="1049"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105"/>
                          <w:jc w:val="right"/>
                          <w:rPr>
                            <w:sz w:val="19"/>
                          </w:rPr>
                        </w:pPr>
                        <w:r>
                          <w:rPr>
                            <w:w w:val="95"/>
                            <w:sz w:val="19"/>
                          </w:rPr>
                          <w:t>3,570</w:t>
                        </w:r>
                      </w:p>
                    </w:tc>
                    <w:tc>
                      <w:tcPr>
                        <w:tcW w:w="1162"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105"/>
                          <w:jc w:val="right"/>
                          <w:rPr>
                            <w:sz w:val="19"/>
                          </w:rPr>
                        </w:pPr>
                        <w:r>
                          <w:rPr>
                            <w:w w:val="95"/>
                            <w:sz w:val="19"/>
                          </w:rPr>
                          <w:t>21,746</w:t>
                        </w:r>
                      </w:p>
                    </w:tc>
                    <w:tc>
                      <w:tcPr>
                        <w:tcW w:w="1049" w:type="dxa"/>
                        <w:tcBorders>
                          <w:top w:val="single" w:sz="8" w:space="0" w:color="FFFFFF"/>
                          <w:left w:val="single" w:sz="8" w:space="0" w:color="FFFFFF"/>
                          <w:bottom w:val="single" w:sz="8" w:space="0" w:color="FFFFFF"/>
                        </w:tcBorders>
                        <w:shd w:val="clear" w:color="auto" w:fill="F4F4F4"/>
                      </w:tcPr>
                      <w:p>
                        <w:pPr>
                          <w:pStyle w:val="TableParagraph"/>
                          <w:ind w:right="115"/>
                          <w:jc w:val="right"/>
                          <w:rPr>
                            <w:sz w:val="19"/>
                          </w:rPr>
                        </w:pPr>
                        <w:r>
                          <w:rPr>
                            <w:w w:val="95"/>
                            <w:sz w:val="19"/>
                          </w:rPr>
                          <w:t>5,069</w:t>
                        </w:r>
                      </w:p>
                    </w:tc>
                    <w:tc>
                      <w:tcPr>
                        <w:tcW w:w="936" w:type="dxa"/>
                        <w:shd w:val="clear" w:color="auto" w:fill="E1E4BB"/>
                      </w:tcPr>
                      <w:p>
                        <w:pPr>
                          <w:pStyle w:val="TableParagraph"/>
                          <w:ind w:right="117"/>
                          <w:jc w:val="right"/>
                          <w:rPr>
                            <w:b/>
                            <w:sz w:val="19"/>
                          </w:rPr>
                        </w:pPr>
                        <w:r>
                          <w:rPr>
                            <w:b/>
                            <w:w w:val="95"/>
                            <w:sz w:val="19"/>
                          </w:rPr>
                          <w:t>30,385</w:t>
                        </w:r>
                      </w:p>
                    </w:tc>
                  </w:tr>
                  <w:tr>
                    <w:trPr>
                      <w:trHeight w:val="285" w:hRule="atLeast"/>
                    </w:trPr>
                    <w:tc>
                      <w:tcPr>
                        <w:tcW w:w="3203" w:type="dxa"/>
                        <w:shd w:val="clear" w:color="auto" w:fill="FFFFFF"/>
                      </w:tcPr>
                      <w:p>
                        <w:pPr>
                          <w:pStyle w:val="TableParagraph"/>
                          <w:ind w:left="112"/>
                          <w:rPr>
                            <w:sz w:val="19"/>
                          </w:rPr>
                        </w:pPr>
                        <w:r>
                          <w:rPr>
                            <w:sz w:val="19"/>
                          </w:rPr>
                          <w:t>Additions</w:t>
                        </w:r>
                      </w:p>
                    </w:tc>
                    <w:tc>
                      <w:tcPr>
                        <w:tcW w:w="1049" w:type="dxa"/>
                        <w:shd w:val="clear" w:color="auto" w:fill="FFFFFF"/>
                      </w:tcPr>
                      <w:p>
                        <w:pPr>
                          <w:pStyle w:val="TableParagraph"/>
                          <w:ind w:right="112"/>
                          <w:jc w:val="right"/>
                          <w:rPr>
                            <w:sz w:val="19"/>
                          </w:rPr>
                        </w:pPr>
                        <w:r>
                          <w:rPr>
                            <w:w w:val="111"/>
                            <w:sz w:val="19"/>
                          </w:rPr>
                          <w:t>-</w:t>
                        </w:r>
                      </w:p>
                    </w:tc>
                    <w:tc>
                      <w:tcPr>
                        <w:tcW w:w="1162" w:type="dxa"/>
                        <w:shd w:val="clear" w:color="auto" w:fill="FFFFFF"/>
                      </w:tcPr>
                      <w:p>
                        <w:pPr>
                          <w:pStyle w:val="TableParagraph"/>
                          <w:ind w:right="115"/>
                          <w:jc w:val="right"/>
                          <w:rPr>
                            <w:sz w:val="19"/>
                          </w:rPr>
                        </w:pPr>
                        <w:r>
                          <w:rPr>
                            <w:w w:val="95"/>
                            <w:sz w:val="19"/>
                          </w:rPr>
                          <w:t>173</w:t>
                        </w:r>
                      </w:p>
                    </w:tc>
                    <w:tc>
                      <w:tcPr>
                        <w:tcW w:w="1049" w:type="dxa"/>
                        <w:shd w:val="clear" w:color="auto" w:fill="FFFFFF"/>
                      </w:tcPr>
                      <w:p>
                        <w:pPr>
                          <w:pStyle w:val="TableParagraph"/>
                          <w:ind w:right="115"/>
                          <w:jc w:val="right"/>
                          <w:rPr>
                            <w:sz w:val="19"/>
                          </w:rPr>
                        </w:pPr>
                        <w:r>
                          <w:rPr>
                            <w:w w:val="95"/>
                            <w:sz w:val="19"/>
                          </w:rPr>
                          <w:t>6,247</w:t>
                        </w:r>
                      </w:p>
                    </w:tc>
                    <w:tc>
                      <w:tcPr>
                        <w:tcW w:w="936" w:type="dxa"/>
                        <w:shd w:val="clear" w:color="auto" w:fill="E1E4BB"/>
                      </w:tcPr>
                      <w:p>
                        <w:pPr>
                          <w:pStyle w:val="TableParagraph"/>
                          <w:ind w:right="116"/>
                          <w:jc w:val="right"/>
                          <w:rPr>
                            <w:b/>
                            <w:sz w:val="19"/>
                          </w:rPr>
                        </w:pPr>
                        <w:r>
                          <w:rPr>
                            <w:b/>
                            <w:w w:val="95"/>
                            <w:sz w:val="19"/>
                          </w:rPr>
                          <w:t>6,420</w:t>
                        </w:r>
                      </w:p>
                    </w:tc>
                  </w:tr>
                  <w:tr>
                    <w:trPr>
                      <w:trHeight w:val="253" w:hRule="atLeast"/>
                    </w:trPr>
                    <w:tc>
                      <w:tcPr>
                        <w:tcW w:w="3203" w:type="dxa"/>
                        <w:tcBorders>
                          <w:top w:val="single" w:sz="8" w:space="0" w:color="FFFFFF"/>
                          <w:right w:val="single" w:sz="8" w:space="0" w:color="FFFFFF"/>
                        </w:tcBorders>
                        <w:shd w:val="clear" w:color="auto" w:fill="F4F4F4"/>
                      </w:tcPr>
                      <w:p>
                        <w:pPr>
                          <w:pStyle w:val="TableParagraph"/>
                          <w:spacing w:line="201" w:lineRule="exact"/>
                          <w:ind w:left="111"/>
                          <w:rPr>
                            <w:sz w:val="19"/>
                          </w:rPr>
                        </w:pPr>
                        <w:r>
                          <w:rPr>
                            <w:sz w:val="19"/>
                          </w:rPr>
                          <w:t>Transfers to computer software</w:t>
                        </w:r>
                      </w:p>
                    </w:tc>
                    <w:tc>
                      <w:tcPr>
                        <w:tcW w:w="1049" w:type="dxa"/>
                        <w:tcBorders>
                          <w:top w:val="single" w:sz="8" w:space="0" w:color="FFFFFF"/>
                          <w:left w:val="single" w:sz="8" w:space="0" w:color="FFFFFF"/>
                          <w:right w:val="single" w:sz="8" w:space="0" w:color="FFFFFF"/>
                        </w:tcBorders>
                        <w:shd w:val="clear" w:color="auto" w:fill="F4F4F4"/>
                      </w:tcPr>
                      <w:p>
                        <w:pPr>
                          <w:pStyle w:val="TableParagraph"/>
                          <w:spacing w:line="201" w:lineRule="exact"/>
                          <w:ind w:right="102"/>
                          <w:jc w:val="right"/>
                          <w:rPr>
                            <w:sz w:val="19"/>
                          </w:rPr>
                        </w:pPr>
                        <w:r>
                          <w:rPr>
                            <w:w w:val="111"/>
                            <w:sz w:val="19"/>
                          </w:rPr>
                          <w:t>-</w:t>
                        </w:r>
                      </w:p>
                    </w:tc>
                    <w:tc>
                      <w:tcPr>
                        <w:tcW w:w="1162" w:type="dxa"/>
                        <w:tcBorders>
                          <w:top w:val="single" w:sz="8" w:space="0" w:color="FFFFFF"/>
                          <w:left w:val="single" w:sz="8" w:space="0" w:color="FFFFFF"/>
                          <w:right w:val="single" w:sz="8" w:space="0" w:color="FFFFFF"/>
                        </w:tcBorders>
                        <w:shd w:val="clear" w:color="auto" w:fill="F4F4F4"/>
                      </w:tcPr>
                      <w:p>
                        <w:pPr>
                          <w:pStyle w:val="TableParagraph"/>
                          <w:spacing w:line="201" w:lineRule="exact"/>
                          <w:ind w:right="105"/>
                          <w:jc w:val="right"/>
                          <w:rPr>
                            <w:sz w:val="19"/>
                          </w:rPr>
                        </w:pPr>
                        <w:r>
                          <w:rPr>
                            <w:w w:val="95"/>
                            <w:sz w:val="19"/>
                          </w:rPr>
                          <w:t>4,831</w:t>
                        </w:r>
                      </w:p>
                    </w:tc>
                    <w:tc>
                      <w:tcPr>
                        <w:tcW w:w="1049" w:type="dxa"/>
                        <w:tcBorders>
                          <w:top w:val="single" w:sz="8" w:space="0" w:color="FFFFFF"/>
                          <w:left w:val="single" w:sz="8" w:space="0" w:color="FFFFFF"/>
                        </w:tcBorders>
                        <w:shd w:val="clear" w:color="auto" w:fill="F4F4F4"/>
                      </w:tcPr>
                      <w:p>
                        <w:pPr>
                          <w:pStyle w:val="TableParagraph"/>
                          <w:spacing w:line="201" w:lineRule="exact"/>
                          <w:ind w:right="115"/>
                          <w:jc w:val="right"/>
                          <w:rPr>
                            <w:sz w:val="19"/>
                          </w:rPr>
                        </w:pPr>
                        <w:r>
                          <w:rPr>
                            <w:w w:val="90"/>
                            <w:sz w:val="19"/>
                          </w:rPr>
                          <w:t>(4,831)</w:t>
                        </w:r>
                      </w:p>
                    </w:tc>
                    <w:tc>
                      <w:tcPr>
                        <w:tcW w:w="936" w:type="dxa"/>
                        <w:shd w:val="clear" w:color="auto" w:fill="E1E4BB"/>
                      </w:tcPr>
                      <w:p>
                        <w:pPr>
                          <w:pStyle w:val="TableParagraph"/>
                          <w:spacing w:line="201" w:lineRule="exact"/>
                          <w:ind w:right="113"/>
                          <w:jc w:val="right"/>
                          <w:rPr>
                            <w:b/>
                            <w:sz w:val="19"/>
                          </w:rPr>
                        </w:pPr>
                        <w:r>
                          <w:rPr>
                            <w:b/>
                            <w:w w:val="122"/>
                            <w:sz w:val="19"/>
                          </w:rPr>
                          <w:t>-</w:t>
                        </w:r>
                      </w:p>
                    </w:tc>
                  </w:tr>
                  <w:tr>
                    <w:trPr>
                      <w:trHeight w:val="260" w:hRule="atLeast"/>
                    </w:trPr>
                    <w:tc>
                      <w:tcPr>
                        <w:tcW w:w="3203" w:type="dxa"/>
                        <w:tcBorders>
                          <w:bottom w:val="single" w:sz="8" w:space="0" w:color="FFFFFF"/>
                          <w:right w:val="single" w:sz="8" w:space="0" w:color="FFFFFF"/>
                        </w:tcBorders>
                        <w:shd w:val="clear" w:color="auto" w:fill="F4F4F4"/>
                      </w:tcPr>
                      <w:p>
                        <w:pPr>
                          <w:pStyle w:val="TableParagraph"/>
                          <w:spacing w:before="7"/>
                          <w:ind w:left="111"/>
                          <w:rPr>
                            <w:sz w:val="19"/>
                          </w:rPr>
                        </w:pPr>
                        <w:r>
                          <w:rPr>
                            <w:sz w:val="19"/>
                          </w:rPr>
                          <w:t>and licence</w:t>
                        </w:r>
                      </w:p>
                    </w:tc>
                    <w:tc>
                      <w:tcPr>
                        <w:tcW w:w="1049" w:type="dxa"/>
                        <w:tcBorders>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18"/>
                          </w:rPr>
                        </w:pPr>
                      </w:p>
                    </w:tc>
                    <w:tc>
                      <w:tcPr>
                        <w:tcW w:w="1162" w:type="dxa"/>
                        <w:tcBorders>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18"/>
                          </w:rPr>
                        </w:pPr>
                      </w:p>
                    </w:tc>
                    <w:tc>
                      <w:tcPr>
                        <w:tcW w:w="1049" w:type="dxa"/>
                        <w:tcBorders>
                          <w:left w:val="single" w:sz="8" w:space="0" w:color="FFFFFF"/>
                          <w:bottom w:val="single" w:sz="8" w:space="0" w:color="FFFFFF"/>
                        </w:tcBorders>
                        <w:shd w:val="clear" w:color="auto" w:fill="F4F4F4"/>
                      </w:tcPr>
                      <w:p>
                        <w:pPr>
                          <w:pStyle w:val="TableParagraph"/>
                          <w:spacing w:before="0"/>
                          <w:rPr>
                            <w:rFonts w:ascii="Times New Roman"/>
                            <w:sz w:val="18"/>
                          </w:rPr>
                        </w:pPr>
                      </w:p>
                    </w:tc>
                    <w:tc>
                      <w:tcPr>
                        <w:tcW w:w="936" w:type="dxa"/>
                        <w:shd w:val="clear" w:color="auto" w:fill="E1E4BB"/>
                      </w:tcPr>
                      <w:p>
                        <w:pPr>
                          <w:pStyle w:val="TableParagraph"/>
                          <w:spacing w:before="0"/>
                          <w:rPr>
                            <w:rFonts w:ascii="Times New Roman"/>
                            <w:sz w:val="18"/>
                          </w:rPr>
                        </w:pPr>
                      </w:p>
                    </w:tc>
                  </w:tr>
                  <w:tr>
                    <w:trPr>
                      <w:trHeight w:val="285" w:hRule="atLeast"/>
                    </w:trPr>
                    <w:tc>
                      <w:tcPr>
                        <w:tcW w:w="3203" w:type="dxa"/>
                        <w:shd w:val="clear" w:color="auto" w:fill="FFFFFF"/>
                      </w:tcPr>
                      <w:p>
                        <w:pPr>
                          <w:pStyle w:val="TableParagraph"/>
                          <w:ind w:left="111"/>
                          <w:rPr>
                            <w:sz w:val="19"/>
                          </w:rPr>
                        </w:pPr>
                        <w:r>
                          <w:rPr>
                            <w:sz w:val="19"/>
                          </w:rPr>
                          <w:t>Amortisation expense</w:t>
                        </w:r>
                      </w:p>
                    </w:tc>
                    <w:tc>
                      <w:tcPr>
                        <w:tcW w:w="1049" w:type="dxa"/>
                        <w:tcBorders>
                          <w:bottom w:val="single" w:sz="4" w:space="0" w:color="000000"/>
                        </w:tcBorders>
                        <w:shd w:val="clear" w:color="auto" w:fill="FFFFFF"/>
                      </w:tcPr>
                      <w:p>
                        <w:pPr>
                          <w:pStyle w:val="TableParagraph"/>
                          <w:ind w:right="115"/>
                          <w:jc w:val="right"/>
                          <w:rPr>
                            <w:sz w:val="19"/>
                          </w:rPr>
                        </w:pPr>
                        <w:r>
                          <w:rPr>
                            <w:w w:val="90"/>
                            <w:sz w:val="19"/>
                          </w:rPr>
                          <w:t>(2,845)</w:t>
                        </w:r>
                      </w:p>
                    </w:tc>
                    <w:tc>
                      <w:tcPr>
                        <w:tcW w:w="1162" w:type="dxa"/>
                        <w:tcBorders>
                          <w:bottom w:val="single" w:sz="4" w:space="0" w:color="000000"/>
                        </w:tcBorders>
                        <w:shd w:val="clear" w:color="auto" w:fill="FFFFFF"/>
                      </w:tcPr>
                      <w:p>
                        <w:pPr>
                          <w:pStyle w:val="TableParagraph"/>
                          <w:ind w:right="115"/>
                          <w:jc w:val="right"/>
                          <w:rPr>
                            <w:sz w:val="19"/>
                          </w:rPr>
                        </w:pPr>
                        <w:r>
                          <w:rPr>
                            <w:w w:val="90"/>
                            <w:sz w:val="19"/>
                          </w:rPr>
                          <w:t>(4,444)</w:t>
                        </w:r>
                      </w:p>
                    </w:tc>
                    <w:tc>
                      <w:tcPr>
                        <w:tcW w:w="1049" w:type="dxa"/>
                        <w:tcBorders>
                          <w:bottom w:val="single" w:sz="4" w:space="0" w:color="000000"/>
                        </w:tcBorders>
                        <w:shd w:val="clear" w:color="auto" w:fill="FFFFFF"/>
                      </w:tcPr>
                      <w:p>
                        <w:pPr>
                          <w:pStyle w:val="TableParagraph"/>
                          <w:ind w:right="113"/>
                          <w:jc w:val="right"/>
                          <w:rPr>
                            <w:sz w:val="19"/>
                          </w:rPr>
                        </w:pPr>
                        <w:r>
                          <w:rPr>
                            <w:w w:val="111"/>
                            <w:sz w:val="19"/>
                          </w:rPr>
                          <w:t>-</w:t>
                        </w:r>
                      </w:p>
                    </w:tc>
                    <w:tc>
                      <w:tcPr>
                        <w:tcW w:w="936" w:type="dxa"/>
                        <w:tcBorders>
                          <w:bottom w:val="single" w:sz="4" w:space="0" w:color="000000"/>
                        </w:tcBorders>
                        <w:shd w:val="clear" w:color="auto" w:fill="E1E4BB"/>
                      </w:tcPr>
                      <w:p>
                        <w:pPr>
                          <w:pStyle w:val="TableParagraph"/>
                          <w:ind w:right="116"/>
                          <w:jc w:val="right"/>
                          <w:rPr>
                            <w:b/>
                            <w:sz w:val="19"/>
                          </w:rPr>
                        </w:pPr>
                        <w:r>
                          <w:rPr>
                            <w:b/>
                            <w:w w:val="95"/>
                            <w:sz w:val="19"/>
                          </w:rPr>
                          <w:t>(7,289)</w:t>
                        </w:r>
                      </w:p>
                    </w:tc>
                  </w:tr>
                  <w:tr>
                    <w:trPr>
                      <w:trHeight w:val="243" w:hRule="atLeast"/>
                    </w:trPr>
                    <w:tc>
                      <w:tcPr>
                        <w:tcW w:w="3203" w:type="dxa"/>
                        <w:tcBorders>
                          <w:top w:val="single" w:sz="8" w:space="0" w:color="FFFFFF"/>
                          <w:bottom w:val="single" w:sz="8" w:space="0" w:color="FFFFFF"/>
                          <w:right w:val="single" w:sz="8" w:space="0" w:color="FFFFFF"/>
                        </w:tcBorders>
                        <w:shd w:val="clear" w:color="auto" w:fill="F4F4F4"/>
                      </w:tcPr>
                      <w:p>
                        <w:pPr>
                          <w:pStyle w:val="TableParagraph"/>
                          <w:spacing w:line="191" w:lineRule="exact"/>
                          <w:ind w:left="111"/>
                          <w:rPr>
                            <w:b/>
                            <w:sz w:val="19"/>
                          </w:rPr>
                        </w:pPr>
                        <w:r>
                          <w:rPr>
                            <w:b/>
                            <w:sz w:val="19"/>
                          </w:rPr>
                          <w:t>Carrying amount at end of period</w:t>
                        </w:r>
                      </w:p>
                    </w:tc>
                    <w:tc>
                      <w:tcPr>
                        <w:tcW w:w="1049" w:type="dxa"/>
                        <w:tcBorders>
                          <w:top w:val="single" w:sz="4" w:space="0" w:color="000000"/>
                          <w:left w:val="single" w:sz="8" w:space="0" w:color="FFFFFF"/>
                          <w:bottom w:val="single" w:sz="34" w:space="0" w:color="FFFFFF"/>
                          <w:right w:val="single" w:sz="8" w:space="0" w:color="FFFFFF"/>
                        </w:tcBorders>
                        <w:shd w:val="clear" w:color="auto" w:fill="F4F4F4"/>
                      </w:tcPr>
                      <w:p>
                        <w:pPr>
                          <w:pStyle w:val="TableParagraph"/>
                          <w:spacing w:line="191" w:lineRule="exact"/>
                          <w:ind w:right="106"/>
                          <w:jc w:val="right"/>
                          <w:rPr>
                            <w:b/>
                            <w:sz w:val="19"/>
                          </w:rPr>
                        </w:pPr>
                        <w:r>
                          <w:rPr>
                            <w:b/>
                            <w:w w:val="95"/>
                            <w:sz w:val="19"/>
                          </w:rPr>
                          <w:t>725</w:t>
                        </w:r>
                      </w:p>
                    </w:tc>
                    <w:tc>
                      <w:tcPr>
                        <w:tcW w:w="1162" w:type="dxa"/>
                        <w:tcBorders>
                          <w:top w:val="single" w:sz="4" w:space="0" w:color="000000"/>
                          <w:left w:val="single" w:sz="8" w:space="0" w:color="FFFFFF"/>
                          <w:bottom w:val="single" w:sz="34" w:space="0" w:color="FFFFFF"/>
                          <w:right w:val="single" w:sz="8" w:space="0" w:color="FFFFFF"/>
                        </w:tcBorders>
                        <w:shd w:val="clear" w:color="auto" w:fill="F4F4F4"/>
                      </w:tcPr>
                      <w:p>
                        <w:pPr>
                          <w:pStyle w:val="TableParagraph"/>
                          <w:spacing w:line="191" w:lineRule="exact"/>
                          <w:ind w:right="105"/>
                          <w:jc w:val="right"/>
                          <w:rPr>
                            <w:b/>
                            <w:sz w:val="19"/>
                          </w:rPr>
                        </w:pPr>
                        <w:r>
                          <w:rPr>
                            <w:b/>
                            <w:w w:val="95"/>
                            <w:sz w:val="19"/>
                          </w:rPr>
                          <w:t>22,306</w:t>
                        </w:r>
                      </w:p>
                    </w:tc>
                    <w:tc>
                      <w:tcPr>
                        <w:tcW w:w="1049" w:type="dxa"/>
                        <w:tcBorders>
                          <w:top w:val="single" w:sz="4" w:space="0" w:color="000000"/>
                          <w:left w:val="single" w:sz="8" w:space="0" w:color="FFFFFF"/>
                          <w:bottom w:val="single" w:sz="34" w:space="0" w:color="FFFFFF"/>
                        </w:tcBorders>
                        <w:shd w:val="clear" w:color="auto" w:fill="F4F4F4"/>
                      </w:tcPr>
                      <w:p>
                        <w:pPr>
                          <w:pStyle w:val="TableParagraph"/>
                          <w:spacing w:line="191" w:lineRule="exact"/>
                          <w:ind w:right="116"/>
                          <w:jc w:val="right"/>
                          <w:rPr>
                            <w:b/>
                            <w:sz w:val="19"/>
                          </w:rPr>
                        </w:pPr>
                        <w:r>
                          <w:rPr>
                            <w:b/>
                            <w:w w:val="95"/>
                            <w:sz w:val="19"/>
                          </w:rPr>
                          <w:t>6,485</w:t>
                        </w:r>
                      </w:p>
                    </w:tc>
                    <w:tc>
                      <w:tcPr>
                        <w:tcW w:w="936" w:type="dxa"/>
                        <w:tcBorders>
                          <w:top w:val="single" w:sz="4" w:space="0" w:color="000000"/>
                          <w:bottom w:val="single" w:sz="34" w:space="0" w:color="FFFFFF"/>
                        </w:tcBorders>
                        <w:shd w:val="clear" w:color="auto" w:fill="DFE1B8"/>
                      </w:tcPr>
                      <w:p>
                        <w:pPr>
                          <w:pStyle w:val="TableParagraph"/>
                          <w:spacing w:line="191" w:lineRule="exact"/>
                          <w:ind w:right="116"/>
                          <w:jc w:val="right"/>
                          <w:rPr>
                            <w:b/>
                            <w:sz w:val="19"/>
                          </w:rPr>
                        </w:pPr>
                        <w:r>
                          <w:rPr>
                            <w:b/>
                            <w:w w:val="95"/>
                            <w:sz w:val="19"/>
                          </w:rPr>
                          <w:t>29,516</w:t>
                        </w:r>
                      </w:p>
                    </w:tc>
                  </w:tr>
                </w:tbl>
                <w:p>
                  <w:pPr>
                    <w:pStyle w:val="BodyText"/>
                  </w:pPr>
                </w:p>
              </w:txbxContent>
            </v:textbox>
            <w10:wrap type="none"/>
          </v:shape>
        </w:pict>
      </w:r>
      <w:bookmarkStart w:name="_bookmark45" w:id="46"/>
      <w:bookmarkEnd w:id="46"/>
      <w:r>
        <w:rPr/>
      </w:r>
      <w:r>
        <w:rPr>
          <w:color w:val="6F2770"/>
        </w:rPr>
        <w:t>Note 26. Intangible assets</w:t>
      </w:r>
    </w:p>
    <w:p>
      <w:pPr>
        <w:pStyle w:val="BodyText"/>
        <w:spacing w:before="10"/>
        <w:rPr>
          <w:sz w:val="6"/>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i/>
                <w:sz w:val="19"/>
              </w:rPr>
            </w:pPr>
            <w:r>
              <w:rPr>
                <w:i/>
                <w:color w:val="A7BE39"/>
                <w:sz w:val="19"/>
              </w:rPr>
              <w:t>Licences</w:t>
            </w:r>
          </w:p>
        </w:tc>
        <w:tc>
          <w:tcPr>
            <w:tcW w:w="1134" w:type="dxa"/>
            <w:vMerge w:val="restart"/>
            <w:tcBorders>
              <w:bottom w:val="single" w:sz="4" w:space="0" w:color="000000"/>
            </w:tcBorders>
            <w:shd w:val="clear" w:color="auto" w:fill="E1E4BB"/>
          </w:tcPr>
          <w:p>
            <w:pPr>
              <w:pStyle w:val="TableParagraph"/>
              <w:spacing w:before="9"/>
              <w:rPr>
                <w:sz w:val="29"/>
              </w:rPr>
            </w:pPr>
          </w:p>
          <w:p>
            <w:pPr>
              <w:pStyle w:val="TableParagraph"/>
              <w:spacing w:before="0"/>
              <w:ind w:left="439"/>
              <w:rPr>
                <w:sz w:val="19"/>
              </w:rPr>
            </w:pPr>
            <w:r>
              <w:rPr>
                <w:sz w:val="19"/>
              </w:rPr>
              <w:t>13,782</w:t>
            </w:r>
          </w:p>
          <w:p>
            <w:pPr>
              <w:pStyle w:val="TableParagraph"/>
              <w:spacing w:before="88"/>
              <w:ind w:left="347"/>
              <w:rPr>
                <w:sz w:val="19"/>
              </w:rPr>
            </w:pPr>
            <w:r>
              <w:rPr>
                <w:sz w:val="19"/>
              </w:rPr>
              <w:t>(13,782)</w:t>
            </w:r>
          </w:p>
        </w:tc>
        <w:tc>
          <w:tcPr>
            <w:tcW w:w="1134" w:type="dxa"/>
            <w:tcBorders>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At cost</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13,782</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Accumulated amortisation</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(13,057)</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tcBorders>
              <w:top w:val="single" w:sz="4" w:space="0" w:color="000000"/>
              <w:bottom w:val="single" w:sz="4" w:space="0" w:color="000000"/>
            </w:tcBorders>
            <w:shd w:val="clear" w:color="auto" w:fill="E1E4BB"/>
          </w:tcPr>
          <w:p>
            <w:pPr>
              <w:pStyle w:val="TableParagraph"/>
              <w:ind w:right="111"/>
              <w:jc w:val="right"/>
              <w:rPr>
                <w:b/>
                <w:sz w:val="19"/>
              </w:rPr>
            </w:pPr>
            <w:r>
              <w:rPr>
                <w:b/>
                <w:w w:val="122"/>
                <w:sz w:val="19"/>
              </w:rPr>
              <w:t>-</w:t>
            </w:r>
          </w:p>
        </w:tc>
        <w:tc>
          <w:tcPr>
            <w:tcW w:w="1134" w:type="dxa"/>
            <w:tcBorders>
              <w:top w:val="single" w:sz="4" w:space="0" w:color="000000"/>
              <w:bottom w:val="single" w:sz="4" w:space="0" w:color="000000"/>
            </w:tcBorders>
            <w:shd w:val="clear" w:color="auto" w:fill="FAF9F9"/>
          </w:tcPr>
          <w:p>
            <w:pPr>
              <w:pStyle w:val="TableParagraph"/>
              <w:ind w:right="111"/>
              <w:jc w:val="right"/>
              <w:rPr>
                <w:b/>
                <w:sz w:val="19"/>
              </w:rPr>
            </w:pPr>
            <w:r>
              <w:rPr>
                <w:b/>
                <w:w w:val="95"/>
                <w:sz w:val="19"/>
              </w:rPr>
              <w:t>725</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i/>
                <w:sz w:val="19"/>
              </w:rPr>
            </w:pPr>
            <w:r>
              <w:rPr>
                <w:i/>
                <w:color w:val="A7BE39"/>
                <w:sz w:val="19"/>
              </w:rPr>
              <w:t>Computer software</w:t>
            </w:r>
          </w:p>
        </w:tc>
        <w:tc>
          <w:tcPr>
            <w:tcW w:w="1134" w:type="dxa"/>
            <w:vMerge w:val="restart"/>
            <w:tcBorders>
              <w:top w:val="single" w:sz="4" w:space="0" w:color="000000"/>
              <w:bottom w:val="single" w:sz="4" w:space="0" w:color="000000"/>
            </w:tcBorders>
            <w:shd w:val="clear" w:color="auto" w:fill="E1E4BB"/>
          </w:tcPr>
          <w:p>
            <w:pPr>
              <w:pStyle w:val="TableParagraph"/>
              <w:spacing w:before="4"/>
              <w:rPr>
                <w:sz w:val="29"/>
              </w:rPr>
            </w:pPr>
          </w:p>
          <w:p>
            <w:pPr>
              <w:pStyle w:val="TableParagraph"/>
              <w:spacing w:before="0"/>
              <w:ind w:left="333"/>
              <w:rPr>
                <w:sz w:val="19"/>
              </w:rPr>
            </w:pPr>
            <w:r>
              <w:rPr>
                <w:sz w:val="19"/>
              </w:rPr>
              <w:t>182,645</w:t>
            </w:r>
          </w:p>
          <w:p>
            <w:pPr>
              <w:pStyle w:val="TableParagraph"/>
              <w:spacing w:before="88"/>
              <w:ind w:left="241"/>
              <w:rPr>
                <w:sz w:val="19"/>
              </w:rPr>
            </w:pPr>
            <w:r>
              <w:rPr>
                <w:sz w:val="19"/>
              </w:rPr>
              <w:t>(161,883)</w:t>
            </w:r>
          </w:p>
        </w:tc>
        <w:tc>
          <w:tcPr>
            <w:tcW w:w="1134" w:type="dxa"/>
            <w:tcBorders>
              <w:top w:val="single" w:sz="4" w:space="0" w:color="000000"/>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At cost</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180,863</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Accumulated amortisation</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(158,557)</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tcBorders>
              <w:top w:val="single" w:sz="4" w:space="0" w:color="000000"/>
              <w:bottom w:val="single" w:sz="4" w:space="0" w:color="000000"/>
            </w:tcBorders>
            <w:shd w:val="clear" w:color="auto" w:fill="E1E4BB"/>
          </w:tcPr>
          <w:p>
            <w:pPr>
              <w:pStyle w:val="TableParagraph"/>
              <w:ind w:right="111"/>
              <w:jc w:val="right"/>
              <w:rPr>
                <w:b/>
                <w:sz w:val="19"/>
              </w:rPr>
            </w:pPr>
            <w:r>
              <w:rPr>
                <w:b/>
                <w:w w:val="95"/>
                <w:sz w:val="19"/>
              </w:rPr>
              <w:t>20,762</w:t>
            </w:r>
          </w:p>
        </w:tc>
        <w:tc>
          <w:tcPr>
            <w:tcW w:w="1134" w:type="dxa"/>
            <w:tcBorders>
              <w:top w:val="single" w:sz="4" w:space="0" w:color="000000"/>
              <w:bottom w:val="single" w:sz="4" w:space="0" w:color="000000"/>
            </w:tcBorders>
            <w:shd w:val="clear" w:color="auto" w:fill="FAF9F9"/>
          </w:tcPr>
          <w:p>
            <w:pPr>
              <w:pStyle w:val="TableParagraph"/>
              <w:ind w:right="111"/>
              <w:jc w:val="right"/>
              <w:rPr>
                <w:b/>
                <w:sz w:val="19"/>
              </w:rPr>
            </w:pPr>
            <w:r>
              <w:rPr>
                <w:b/>
                <w:w w:val="95"/>
                <w:sz w:val="19"/>
              </w:rPr>
              <w:t>22,306</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i/>
                <w:sz w:val="19"/>
              </w:rPr>
            </w:pPr>
            <w:r>
              <w:rPr>
                <w:i/>
                <w:color w:val="A7BE39"/>
                <w:sz w:val="19"/>
              </w:rPr>
              <w:t>Work in progress</w:t>
            </w:r>
          </w:p>
        </w:tc>
        <w:tc>
          <w:tcPr>
            <w:tcW w:w="1134" w:type="dxa"/>
            <w:vMerge w:val="restart"/>
            <w:tcBorders>
              <w:top w:val="single" w:sz="4" w:space="0" w:color="000000"/>
              <w:bottom w:val="single" w:sz="4" w:space="0" w:color="000000"/>
            </w:tcBorders>
            <w:shd w:val="clear" w:color="auto" w:fill="E1E4BB"/>
          </w:tcPr>
          <w:p>
            <w:pPr>
              <w:pStyle w:val="TableParagraph"/>
              <w:spacing w:before="4"/>
              <w:rPr>
                <w:sz w:val="29"/>
              </w:rPr>
            </w:pPr>
          </w:p>
          <w:p>
            <w:pPr>
              <w:pStyle w:val="TableParagraph"/>
              <w:spacing w:before="0"/>
              <w:ind w:left="439"/>
              <w:rPr>
                <w:sz w:val="19"/>
              </w:rPr>
            </w:pPr>
            <w:r>
              <w:rPr>
                <w:sz w:val="19"/>
              </w:rPr>
              <w:t>11,043</w:t>
            </w:r>
          </w:p>
        </w:tc>
        <w:tc>
          <w:tcPr>
            <w:tcW w:w="1134" w:type="dxa"/>
            <w:tcBorders>
              <w:top w:val="single" w:sz="4" w:space="0" w:color="000000"/>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At cost</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6,485</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tcBorders>
              <w:top w:val="single" w:sz="4" w:space="0" w:color="000000"/>
              <w:bottom w:val="single" w:sz="4" w:space="0" w:color="000000"/>
            </w:tcBorders>
            <w:shd w:val="clear" w:color="auto" w:fill="DFE1B8"/>
          </w:tcPr>
          <w:p>
            <w:pPr>
              <w:pStyle w:val="TableParagraph"/>
              <w:ind w:right="111"/>
              <w:jc w:val="right"/>
              <w:rPr>
                <w:b/>
                <w:sz w:val="19"/>
              </w:rPr>
            </w:pPr>
            <w:r>
              <w:rPr>
                <w:b/>
                <w:w w:val="95"/>
                <w:sz w:val="19"/>
              </w:rPr>
              <w:t>11,043</w:t>
            </w:r>
          </w:p>
        </w:tc>
        <w:tc>
          <w:tcPr>
            <w:tcW w:w="1134" w:type="dxa"/>
            <w:tcBorders>
              <w:top w:val="single" w:sz="4" w:space="0" w:color="000000"/>
              <w:bottom w:val="single" w:sz="4" w:space="0" w:color="000000"/>
            </w:tcBorders>
            <w:shd w:val="clear" w:color="auto" w:fill="F4F4F4"/>
          </w:tcPr>
          <w:p>
            <w:pPr>
              <w:pStyle w:val="TableParagraph"/>
              <w:ind w:right="111"/>
              <w:jc w:val="right"/>
              <w:rPr>
                <w:b/>
                <w:sz w:val="19"/>
              </w:rPr>
            </w:pPr>
            <w:r>
              <w:rPr>
                <w:b/>
                <w:w w:val="95"/>
                <w:sz w:val="19"/>
              </w:rPr>
              <w:t>6,485</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b/>
                <w:sz w:val="19"/>
              </w:rPr>
            </w:pPr>
            <w:r>
              <w:rPr>
                <w:b/>
                <w:sz w:val="19"/>
              </w:rPr>
              <w:t>Total</w:t>
            </w:r>
          </w:p>
        </w:tc>
        <w:tc>
          <w:tcPr>
            <w:tcW w:w="1134" w:type="dxa"/>
            <w:vMerge w:val="restart"/>
            <w:tcBorders>
              <w:top w:val="single" w:sz="4" w:space="0" w:color="000000"/>
              <w:bottom w:val="single" w:sz="4" w:space="0" w:color="000000"/>
            </w:tcBorders>
            <w:shd w:val="clear" w:color="auto" w:fill="DFE1B8"/>
          </w:tcPr>
          <w:p>
            <w:pPr>
              <w:pStyle w:val="TableParagraph"/>
              <w:spacing w:before="4"/>
              <w:rPr>
                <w:sz w:val="29"/>
              </w:rPr>
            </w:pPr>
          </w:p>
          <w:p>
            <w:pPr>
              <w:pStyle w:val="TableParagraph"/>
              <w:spacing w:before="0"/>
              <w:ind w:left="333"/>
              <w:rPr>
                <w:sz w:val="19"/>
              </w:rPr>
            </w:pPr>
            <w:r>
              <w:rPr>
                <w:sz w:val="19"/>
              </w:rPr>
              <w:t>207,470</w:t>
            </w:r>
          </w:p>
          <w:p>
            <w:pPr>
              <w:pStyle w:val="TableParagraph"/>
              <w:spacing w:before="87"/>
              <w:ind w:left="241"/>
              <w:rPr>
                <w:sz w:val="19"/>
              </w:rPr>
            </w:pPr>
            <w:r>
              <w:rPr>
                <w:sz w:val="19"/>
              </w:rPr>
              <w:t>(175,665)</w:t>
            </w:r>
          </w:p>
        </w:tc>
        <w:tc>
          <w:tcPr>
            <w:tcW w:w="1134" w:type="dxa"/>
            <w:tcBorders>
              <w:top w:val="single" w:sz="4" w:space="0" w:color="000000"/>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At cost</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201,130</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Accumulated amortisation</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(171,614)</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DFE1B8"/>
          </w:tcPr>
          <w:p>
            <w:pPr>
              <w:pStyle w:val="TableParagraph"/>
              <w:spacing w:line="214" w:lineRule="exact"/>
              <w:ind w:right="111"/>
              <w:jc w:val="right"/>
              <w:rPr>
                <w:b/>
                <w:sz w:val="19"/>
              </w:rPr>
            </w:pPr>
            <w:r>
              <w:rPr>
                <w:b/>
                <w:w w:val="95"/>
                <w:sz w:val="19"/>
              </w:rPr>
              <w:t>31,805</w:t>
            </w:r>
          </w:p>
        </w:tc>
        <w:tc>
          <w:tcPr>
            <w:tcW w:w="1134" w:type="dxa"/>
            <w:tcBorders>
              <w:top w:val="single" w:sz="4" w:space="0" w:color="000000"/>
              <w:bottom w:val="single" w:sz="24" w:space="0" w:color="FFFFFF"/>
            </w:tcBorders>
            <w:shd w:val="clear" w:color="auto" w:fill="F4F4F4"/>
          </w:tcPr>
          <w:p>
            <w:pPr>
              <w:pStyle w:val="TableParagraph"/>
              <w:spacing w:line="214" w:lineRule="exact"/>
              <w:ind w:right="111"/>
              <w:jc w:val="right"/>
              <w:rPr>
                <w:b/>
                <w:sz w:val="19"/>
              </w:rPr>
            </w:pPr>
            <w:r>
              <w:rPr>
                <w:b/>
                <w:w w:val="95"/>
                <w:sz w:val="19"/>
              </w:rPr>
              <w:t>29,516</w:t>
            </w:r>
          </w:p>
        </w:tc>
      </w:tr>
    </w:tbl>
    <w:p>
      <w:pPr>
        <w:spacing w:after="0" w:line="214" w:lineRule="exact"/>
        <w:jc w:val="right"/>
        <w:rPr>
          <w:sz w:val="19"/>
        </w:rPr>
        <w:sectPr>
          <w:footerReference w:type="default" r:id="rId213"/>
          <w:pgSz w:w="16840" w:h="11910" w:orient="landscape"/>
          <w:pgMar w:footer="448" w:header="0" w:top="0" w:bottom="640" w:left="0" w:right="0"/>
        </w:sectPr>
      </w:pPr>
    </w:p>
    <w:p>
      <w:pPr>
        <w:pStyle w:val="BodyText"/>
        <w:spacing w:before="9"/>
        <w:rPr>
          <w:sz w:val="23"/>
        </w:rPr>
      </w:pPr>
    </w:p>
    <w:p>
      <w:pPr>
        <w:pStyle w:val="BodyText"/>
        <w:spacing w:line="249" w:lineRule="auto"/>
        <w:ind w:left="765" w:right="-7"/>
      </w:pPr>
      <w:r>
        <w:rPr/>
        <w:t>Reconciliations</w:t>
      </w:r>
      <w:r>
        <w:rPr>
          <w:spacing w:val="-22"/>
        </w:rPr>
        <w:t> </w:t>
      </w:r>
      <w:r>
        <w:rPr/>
        <w:t>of</w:t>
      </w:r>
      <w:r>
        <w:rPr>
          <w:spacing w:val="-22"/>
        </w:rPr>
        <w:t> </w:t>
      </w:r>
      <w:r>
        <w:rPr/>
        <w:t>the</w:t>
      </w:r>
      <w:r>
        <w:rPr>
          <w:spacing w:val="-22"/>
        </w:rPr>
        <w:t> </w:t>
      </w:r>
      <w:r>
        <w:rPr/>
        <w:t>carrying</w:t>
      </w:r>
      <w:r>
        <w:rPr>
          <w:spacing w:val="-22"/>
        </w:rPr>
        <w:t> </w:t>
      </w:r>
      <w:r>
        <w:rPr/>
        <w:t>amounts</w:t>
      </w:r>
      <w:r>
        <w:rPr>
          <w:spacing w:val="-22"/>
        </w:rPr>
        <w:t> </w:t>
      </w:r>
      <w:r>
        <w:rPr/>
        <w:t>of</w:t>
      </w:r>
      <w:r>
        <w:rPr>
          <w:spacing w:val="-22"/>
        </w:rPr>
        <w:t> </w:t>
      </w:r>
      <w:r>
        <w:rPr/>
        <w:t>intangibles</w:t>
      </w:r>
      <w:r>
        <w:rPr>
          <w:spacing w:val="-21"/>
        </w:rPr>
        <w:t> </w:t>
      </w:r>
      <w:r>
        <w:rPr/>
        <w:t>at</w:t>
      </w:r>
      <w:r>
        <w:rPr>
          <w:spacing w:val="-22"/>
        </w:rPr>
        <w:t> </w:t>
      </w:r>
      <w:r>
        <w:rPr/>
        <w:t>the</w:t>
      </w:r>
      <w:r>
        <w:rPr>
          <w:spacing w:val="-22"/>
        </w:rPr>
        <w:t> </w:t>
      </w:r>
      <w:r>
        <w:rPr/>
        <w:t>beginning</w:t>
      </w:r>
      <w:r>
        <w:rPr>
          <w:spacing w:val="-22"/>
        </w:rPr>
        <w:t> </w:t>
      </w:r>
      <w:r>
        <w:rPr>
          <w:spacing w:val="-7"/>
        </w:rPr>
        <w:t>and </w:t>
      </w:r>
      <w:r>
        <w:rPr/>
        <w:t>end of the reporting period are set out in the table</w:t>
      </w:r>
      <w:r>
        <w:rPr>
          <w:spacing w:val="-38"/>
        </w:rPr>
        <w:t> </w:t>
      </w:r>
      <w:r>
        <w:rPr>
          <w:spacing w:val="-3"/>
        </w:rPr>
        <w:t>below.</w:t>
      </w:r>
    </w:p>
    <w:p>
      <w:pPr>
        <w:pStyle w:val="Heading5"/>
        <w:spacing w:before="9"/>
      </w:pPr>
      <w:r>
        <w:rPr/>
        <w:br w:type="column"/>
      </w:r>
      <w:r>
        <w:rPr>
          <w:color w:val="6F2770"/>
        </w:rPr>
        <w:t>Note 27. Impairment of assets</w:t>
      </w:r>
    </w:p>
    <w:p>
      <w:pPr>
        <w:pStyle w:val="BodyText"/>
        <w:spacing w:line="249" w:lineRule="auto" w:before="253"/>
        <w:ind w:left="765" w:right="942"/>
      </w:pPr>
      <w:r>
        <w:rPr/>
        <w:pict>
          <v:group style="position:absolute;margin-left:294.803192pt;margin-top:-19.359428pt;width:113.4pt;height:.550pt;mso-position-horizontal-relative:page;mso-position-vertical-relative:paragraph;z-index:18448" coordorigin="5896,-387" coordsize="2268,11">
            <v:line style="position:absolute" from="5896,-382" to="7030,-382" stroked="true" strokeweight=".501pt" strokecolor="#000000">
              <v:stroke dashstyle="solid"/>
            </v:line>
            <v:line style="position:absolute" from="7030,-382" to="8164,-382" stroked="true" strokeweight=".501pt" strokecolor="#000000">
              <v:stroke dashstyle="solid"/>
            </v:line>
            <w10:wrap type="none"/>
          </v:group>
        </w:pict>
      </w:r>
      <w:r>
        <w:rPr/>
        <w:t>There</w:t>
      </w:r>
      <w:r>
        <w:rPr>
          <w:spacing w:val="-17"/>
        </w:rPr>
        <w:t> </w:t>
      </w:r>
      <w:r>
        <w:rPr/>
        <w:t>were</w:t>
      </w:r>
      <w:r>
        <w:rPr>
          <w:spacing w:val="-17"/>
        </w:rPr>
        <w:t> </w:t>
      </w:r>
      <w:r>
        <w:rPr/>
        <w:t>no</w:t>
      </w:r>
      <w:r>
        <w:rPr>
          <w:spacing w:val="-16"/>
        </w:rPr>
        <w:t> </w:t>
      </w:r>
      <w:r>
        <w:rPr/>
        <w:t>indications</w:t>
      </w:r>
      <w:r>
        <w:rPr>
          <w:spacing w:val="-17"/>
        </w:rPr>
        <w:t> </w:t>
      </w:r>
      <w:r>
        <w:rPr/>
        <w:t>of</w:t>
      </w:r>
      <w:r>
        <w:rPr>
          <w:spacing w:val="-16"/>
        </w:rPr>
        <w:t> </w:t>
      </w:r>
      <w:r>
        <w:rPr/>
        <w:t>impairment</w:t>
      </w:r>
      <w:r>
        <w:rPr>
          <w:spacing w:val="-17"/>
        </w:rPr>
        <w:t> </w:t>
      </w:r>
      <w:r>
        <w:rPr/>
        <w:t>to</w:t>
      </w:r>
      <w:r>
        <w:rPr>
          <w:spacing w:val="-16"/>
        </w:rPr>
        <w:t> </w:t>
      </w:r>
      <w:r>
        <w:rPr>
          <w:spacing w:val="-3"/>
        </w:rPr>
        <w:t>property,</w:t>
      </w:r>
      <w:r>
        <w:rPr>
          <w:spacing w:val="-17"/>
        </w:rPr>
        <w:t> </w:t>
      </w:r>
      <w:r>
        <w:rPr/>
        <w:t>plant,</w:t>
      </w:r>
      <w:r>
        <w:rPr>
          <w:spacing w:val="-16"/>
        </w:rPr>
        <w:t> </w:t>
      </w:r>
      <w:r>
        <w:rPr/>
        <w:t>equipment,</w:t>
      </w:r>
      <w:r>
        <w:rPr>
          <w:spacing w:val="-17"/>
        </w:rPr>
        <w:t> </w:t>
      </w:r>
      <w:r>
        <w:rPr>
          <w:spacing w:val="-4"/>
        </w:rPr>
        <w:t>motor </w:t>
      </w:r>
      <w:r>
        <w:rPr/>
        <w:t>vehicles or intangible assets at 30 June</w:t>
      </w:r>
      <w:r>
        <w:rPr>
          <w:spacing w:val="-18"/>
        </w:rPr>
        <w:t> </w:t>
      </w:r>
      <w:r>
        <w:rPr/>
        <w:t>2017.</w:t>
      </w:r>
    </w:p>
    <w:p>
      <w:pPr>
        <w:pStyle w:val="BodyText"/>
        <w:spacing w:before="2"/>
        <w:rPr>
          <w:sz w:val="23"/>
        </w:rPr>
      </w:pPr>
    </w:p>
    <w:p>
      <w:pPr>
        <w:pStyle w:val="BodyText"/>
        <w:spacing w:line="249" w:lineRule="auto"/>
        <w:ind w:left="765" w:right="920"/>
      </w:pPr>
      <w:r>
        <w:rPr/>
        <w:t>The</w:t>
      </w:r>
      <w:r>
        <w:rPr>
          <w:spacing w:val="-23"/>
        </w:rPr>
        <w:t> </w:t>
      </w:r>
      <w:r>
        <w:rPr/>
        <w:t>Department</w:t>
      </w:r>
      <w:r>
        <w:rPr>
          <w:spacing w:val="-22"/>
        </w:rPr>
        <w:t> </w:t>
      </w:r>
      <w:r>
        <w:rPr/>
        <w:t>held</w:t>
      </w:r>
      <w:r>
        <w:rPr>
          <w:spacing w:val="-23"/>
        </w:rPr>
        <w:t> </w:t>
      </w:r>
      <w:r>
        <w:rPr/>
        <w:t>no</w:t>
      </w:r>
      <w:r>
        <w:rPr>
          <w:spacing w:val="-22"/>
        </w:rPr>
        <w:t> </w:t>
      </w:r>
      <w:r>
        <w:rPr/>
        <w:t>goodwill</w:t>
      </w:r>
      <w:r>
        <w:rPr>
          <w:spacing w:val="-23"/>
        </w:rPr>
        <w:t> </w:t>
      </w:r>
      <w:r>
        <w:rPr/>
        <w:t>or</w:t>
      </w:r>
      <w:r>
        <w:rPr>
          <w:spacing w:val="-22"/>
        </w:rPr>
        <w:t> </w:t>
      </w:r>
      <w:r>
        <w:rPr/>
        <w:t>intangible</w:t>
      </w:r>
      <w:r>
        <w:rPr>
          <w:spacing w:val="-22"/>
        </w:rPr>
        <w:t> </w:t>
      </w:r>
      <w:r>
        <w:rPr/>
        <w:t>assets</w:t>
      </w:r>
      <w:r>
        <w:rPr>
          <w:spacing w:val="-23"/>
        </w:rPr>
        <w:t> </w:t>
      </w:r>
      <w:r>
        <w:rPr/>
        <w:t>with</w:t>
      </w:r>
      <w:r>
        <w:rPr>
          <w:spacing w:val="-22"/>
        </w:rPr>
        <w:t> </w:t>
      </w:r>
      <w:r>
        <w:rPr/>
        <w:t>an</w:t>
      </w:r>
      <w:r>
        <w:rPr>
          <w:spacing w:val="-23"/>
        </w:rPr>
        <w:t> </w:t>
      </w:r>
      <w:r>
        <w:rPr/>
        <w:t>indefinite</w:t>
      </w:r>
      <w:r>
        <w:rPr>
          <w:spacing w:val="-22"/>
        </w:rPr>
        <w:t> </w:t>
      </w:r>
      <w:r>
        <w:rPr>
          <w:spacing w:val="-3"/>
        </w:rPr>
        <w:t>useful </w:t>
      </w:r>
      <w:r>
        <w:rPr/>
        <w:t>life</w:t>
      </w:r>
      <w:r>
        <w:rPr>
          <w:spacing w:val="-14"/>
        </w:rPr>
        <w:t> </w:t>
      </w:r>
      <w:r>
        <w:rPr/>
        <w:t>during</w:t>
      </w:r>
      <w:r>
        <w:rPr>
          <w:spacing w:val="-14"/>
        </w:rPr>
        <w:t> </w:t>
      </w:r>
      <w:r>
        <w:rPr/>
        <w:t>the</w:t>
      </w:r>
      <w:r>
        <w:rPr>
          <w:spacing w:val="-14"/>
        </w:rPr>
        <w:t> </w:t>
      </w:r>
      <w:r>
        <w:rPr/>
        <w:t>reporting</w:t>
      </w:r>
      <w:r>
        <w:rPr>
          <w:spacing w:val="-13"/>
        </w:rPr>
        <w:t> </w:t>
      </w:r>
      <w:r>
        <w:rPr/>
        <w:t>period.</w:t>
      </w:r>
      <w:r>
        <w:rPr>
          <w:spacing w:val="-14"/>
        </w:rPr>
        <w:t> </w:t>
      </w:r>
      <w:r>
        <w:rPr/>
        <w:t>At</w:t>
      </w:r>
      <w:r>
        <w:rPr>
          <w:spacing w:val="-14"/>
        </w:rPr>
        <w:t> </w:t>
      </w:r>
      <w:r>
        <w:rPr/>
        <w:t>the</w:t>
      </w:r>
      <w:r>
        <w:rPr>
          <w:spacing w:val="-13"/>
        </w:rPr>
        <w:t> </w:t>
      </w:r>
      <w:r>
        <w:rPr/>
        <w:t>end</w:t>
      </w:r>
      <w:r>
        <w:rPr>
          <w:spacing w:val="-14"/>
        </w:rPr>
        <w:t> </w:t>
      </w:r>
      <w:r>
        <w:rPr/>
        <w:t>of</w:t>
      </w:r>
      <w:r>
        <w:rPr>
          <w:spacing w:val="-14"/>
        </w:rPr>
        <w:t> </w:t>
      </w:r>
      <w:r>
        <w:rPr/>
        <w:t>the</w:t>
      </w:r>
      <w:r>
        <w:rPr>
          <w:spacing w:val="-13"/>
        </w:rPr>
        <w:t> </w:t>
      </w:r>
      <w:r>
        <w:rPr/>
        <w:t>reporting</w:t>
      </w:r>
      <w:r>
        <w:rPr>
          <w:spacing w:val="-14"/>
        </w:rPr>
        <w:t> </w:t>
      </w:r>
      <w:r>
        <w:rPr/>
        <w:t>period</w:t>
      </w:r>
      <w:r>
        <w:rPr>
          <w:spacing w:val="-14"/>
        </w:rPr>
        <w:t> </w:t>
      </w:r>
      <w:r>
        <w:rPr/>
        <w:t>there</w:t>
      </w:r>
      <w:r>
        <w:rPr>
          <w:spacing w:val="-13"/>
        </w:rPr>
        <w:t> </w:t>
      </w:r>
      <w:r>
        <w:rPr/>
        <w:t>were no intangible assets not yet available for</w:t>
      </w:r>
      <w:r>
        <w:rPr>
          <w:spacing w:val="-21"/>
        </w:rPr>
        <w:t> </w:t>
      </w:r>
      <w:r>
        <w:rPr/>
        <w:t>use.</w:t>
      </w:r>
    </w:p>
    <w:p>
      <w:pPr>
        <w:spacing w:after="0" w:line="249" w:lineRule="auto"/>
        <w:sectPr>
          <w:type w:val="continuous"/>
          <w:pgSz w:w="16840" w:h="11910" w:orient="landscape"/>
          <w:pgMar w:top="0" w:bottom="0" w:left="0" w:right="0"/>
          <w:cols w:num="2" w:equalWidth="0">
            <w:col w:w="7791" w:space="75"/>
            <w:col w:w="8974"/>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8784"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8904"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8928"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Heading5"/>
        <w:spacing w:before="257"/>
      </w:pPr>
      <w:r>
        <w:rPr/>
        <w:pict>
          <v:shape style="position:absolute;margin-left:38.268002pt;margin-top:35.188202pt;width:369.95pt;height:181.35pt;mso-position-horizontal-relative:page;mso-position-vertical-relative:paragraph;z-index:1895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6265" w:type="dxa"/>
                        <w:gridSpan w:val="2"/>
                        <w:shd w:val="clear" w:color="auto" w:fill="783A79"/>
                      </w:tcPr>
                      <w:p>
                        <w:pPr>
                          <w:pStyle w:val="TableParagraph"/>
                          <w:spacing w:before="47"/>
                          <w:ind w:right="111"/>
                          <w:jc w:val="right"/>
                          <w:rPr>
                            <w:b/>
                            <w:sz w:val="19"/>
                          </w:rPr>
                        </w:pPr>
                        <w:r>
                          <w:rPr>
                            <w:b/>
                            <w:color w:val="FFFFFF"/>
                            <w:w w:val="95"/>
                            <w:sz w:val="19"/>
                          </w:rPr>
                          <w:t>2017</w:t>
                        </w:r>
                      </w:p>
                      <w:p>
                        <w:pPr>
                          <w:pStyle w:val="TableParagraph"/>
                          <w:spacing w:before="10"/>
                          <w:ind w:right="111"/>
                          <w:jc w:val="right"/>
                          <w:rPr>
                            <w:b/>
                            <w:sz w:val="19"/>
                          </w:rPr>
                        </w:pPr>
                        <w:r>
                          <w:rPr>
                            <w:b/>
                            <w:color w:val="FFFFFF"/>
                            <w:w w:val="95"/>
                            <w:sz w:val="19"/>
                          </w:rPr>
                          <w:t>$000</w:t>
                        </w:r>
                      </w:p>
                    </w:tc>
                    <w:tc>
                      <w:tcPr>
                        <w:tcW w:w="1134" w:type="dxa"/>
                        <w:shd w:val="clear" w:color="auto" w:fill="783A79"/>
                      </w:tcPr>
                      <w:p>
                        <w:pPr>
                          <w:pStyle w:val="TableParagraph"/>
                          <w:spacing w:before="47"/>
                          <w:ind w:left="597"/>
                          <w:rPr>
                            <w:b/>
                            <w:sz w:val="19"/>
                          </w:rPr>
                        </w:pPr>
                        <w:r>
                          <w:rPr>
                            <w:b/>
                            <w:color w:val="FFFFFF"/>
                            <w:sz w:val="19"/>
                          </w:rPr>
                          <w:t>2016</w:t>
                        </w:r>
                      </w:p>
                      <w:p>
                        <w:pPr>
                          <w:pStyle w:val="TableParagraph"/>
                          <w:spacing w:before="10"/>
                          <w:ind w:left="597"/>
                          <w:rPr>
                            <w:b/>
                            <w:sz w:val="19"/>
                          </w:rPr>
                        </w:pPr>
                        <w:r>
                          <w:rPr>
                            <w:b/>
                            <w:color w:val="FFFFFF"/>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i/>
                            <w:sz w:val="19"/>
                          </w:rPr>
                        </w:pPr>
                        <w:r>
                          <w:rPr>
                            <w:i/>
                            <w:color w:val="A7BE39"/>
                            <w:sz w:val="19"/>
                          </w:rPr>
                          <w:t>Current</w:t>
                        </w:r>
                      </w:p>
                    </w:tc>
                    <w:tc>
                      <w:tcPr>
                        <w:tcW w:w="1134" w:type="dxa"/>
                        <w:shd w:val="clear" w:color="auto" w:fill="E1E4BB"/>
                      </w:tcPr>
                      <w:p>
                        <w:pPr>
                          <w:pStyle w:val="TableParagraph"/>
                          <w:spacing w:before="0"/>
                          <w:rPr>
                            <w:rFonts w:ascii="Times New Roman"/>
                            <w:sz w:val="20"/>
                          </w:rPr>
                        </w:pPr>
                      </w:p>
                    </w:tc>
                    <w:tc>
                      <w:tcPr>
                        <w:tcW w:w="1134" w:type="dxa"/>
                        <w:tcBorders>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Trade payables</w:t>
                        </w:r>
                      </w:p>
                    </w:tc>
                    <w:tc>
                      <w:tcPr>
                        <w:tcW w:w="1134" w:type="dxa"/>
                        <w:shd w:val="clear" w:color="auto" w:fill="E1E4BB"/>
                      </w:tcPr>
                      <w:p>
                        <w:pPr>
                          <w:pStyle w:val="TableParagraph"/>
                          <w:ind w:right="111"/>
                          <w:jc w:val="right"/>
                          <w:rPr>
                            <w:sz w:val="19"/>
                          </w:rPr>
                        </w:pPr>
                        <w:r>
                          <w:rPr>
                            <w:w w:val="95"/>
                            <w:sz w:val="19"/>
                          </w:rPr>
                          <w:t>2,772</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1,344</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GST payable</w:t>
                        </w:r>
                      </w:p>
                    </w:tc>
                    <w:tc>
                      <w:tcPr>
                        <w:tcW w:w="1134" w:type="dxa"/>
                        <w:shd w:val="clear" w:color="auto" w:fill="E1E4BB"/>
                      </w:tcPr>
                      <w:p>
                        <w:pPr>
                          <w:pStyle w:val="TableParagraph"/>
                          <w:ind w:right="111"/>
                          <w:jc w:val="right"/>
                          <w:rPr>
                            <w:sz w:val="19"/>
                          </w:rPr>
                        </w:pPr>
                        <w:r>
                          <w:rPr>
                            <w:w w:val="95"/>
                            <w:sz w:val="19"/>
                          </w:rPr>
                          <w:t>2,266</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1,386</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Accrued salaries</w:t>
                        </w:r>
                      </w:p>
                    </w:tc>
                    <w:tc>
                      <w:tcPr>
                        <w:tcW w:w="1134" w:type="dxa"/>
                        <w:shd w:val="clear" w:color="auto" w:fill="E1E4BB"/>
                      </w:tcPr>
                      <w:p>
                        <w:pPr>
                          <w:pStyle w:val="TableParagraph"/>
                          <w:ind w:right="111"/>
                          <w:jc w:val="right"/>
                          <w:rPr>
                            <w:sz w:val="19"/>
                          </w:rPr>
                        </w:pPr>
                        <w:r>
                          <w:rPr>
                            <w:w w:val="95"/>
                            <w:sz w:val="19"/>
                          </w:rPr>
                          <w:t>812</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439</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Accrued expenses</w:t>
                        </w:r>
                      </w:p>
                    </w:tc>
                    <w:tc>
                      <w:tcPr>
                        <w:tcW w:w="1134" w:type="dxa"/>
                        <w:shd w:val="clear" w:color="auto" w:fill="E1E4BB"/>
                      </w:tcPr>
                      <w:p>
                        <w:pPr>
                          <w:pStyle w:val="TableParagraph"/>
                          <w:ind w:right="111"/>
                          <w:jc w:val="right"/>
                          <w:rPr>
                            <w:sz w:val="19"/>
                          </w:rPr>
                        </w:pPr>
                        <w:r>
                          <w:rPr>
                            <w:w w:val="95"/>
                            <w:sz w:val="19"/>
                          </w:rPr>
                          <w:t>65,770</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67,181</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Interest - Western Australian Treasury Corporation (WATC)</w:t>
                        </w:r>
                      </w:p>
                    </w:tc>
                    <w:tc>
                      <w:tcPr>
                        <w:tcW w:w="1134" w:type="dxa"/>
                        <w:shd w:val="clear" w:color="auto" w:fill="E1E4BB"/>
                      </w:tcPr>
                      <w:p>
                        <w:pPr>
                          <w:pStyle w:val="TableParagraph"/>
                          <w:ind w:right="111"/>
                          <w:jc w:val="right"/>
                          <w:rPr>
                            <w:sz w:val="19"/>
                          </w:rPr>
                        </w:pPr>
                        <w:r>
                          <w:rPr>
                            <w:w w:val="95"/>
                            <w:sz w:val="19"/>
                          </w:rPr>
                          <w:t>82</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92</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Other</w:t>
                        </w:r>
                      </w:p>
                    </w:tc>
                    <w:tc>
                      <w:tcPr>
                        <w:tcW w:w="1134" w:type="dxa"/>
                        <w:tcBorders>
                          <w:bottom w:val="single" w:sz="4" w:space="0" w:color="000000"/>
                        </w:tcBorders>
                        <w:shd w:val="clear" w:color="auto" w:fill="E1E4BB"/>
                      </w:tcPr>
                      <w:p>
                        <w:pPr>
                          <w:pStyle w:val="TableParagraph"/>
                          <w:ind w:right="111"/>
                          <w:jc w:val="right"/>
                          <w:rPr>
                            <w:sz w:val="19"/>
                          </w:rPr>
                        </w:pPr>
                        <w:r>
                          <w:rPr>
                            <w:w w:val="95"/>
                            <w:sz w:val="19"/>
                          </w:rPr>
                          <w:t>93</w:t>
                        </w: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994</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tcBorders>
                          <w:top w:val="single" w:sz="4" w:space="0" w:color="000000"/>
                        </w:tcBorders>
                        <w:shd w:val="clear" w:color="auto" w:fill="E1E4BB"/>
                      </w:tcPr>
                      <w:p>
                        <w:pPr>
                          <w:pStyle w:val="TableParagraph"/>
                          <w:ind w:right="111"/>
                          <w:jc w:val="right"/>
                          <w:rPr>
                            <w:sz w:val="19"/>
                          </w:rPr>
                        </w:pPr>
                        <w:r>
                          <w:rPr>
                            <w:w w:val="95"/>
                            <w:sz w:val="19"/>
                          </w:rPr>
                          <w:t>71,795</w:t>
                        </w:r>
                      </w:p>
                    </w:tc>
                    <w:tc>
                      <w:tcPr>
                        <w:tcW w:w="1134" w:type="dxa"/>
                        <w:tcBorders>
                          <w:top w:val="single" w:sz="4" w:space="0" w:color="000000"/>
                          <w:bottom w:val="single" w:sz="8" w:space="0" w:color="FFFFFF"/>
                        </w:tcBorders>
                        <w:shd w:val="clear" w:color="auto" w:fill="FAF9F9"/>
                      </w:tcPr>
                      <w:p>
                        <w:pPr>
                          <w:pStyle w:val="TableParagraph"/>
                          <w:ind w:right="111"/>
                          <w:jc w:val="right"/>
                          <w:rPr>
                            <w:sz w:val="19"/>
                          </w:rPr>
                        </w:pPr>
                        <w:r>
                          <w:rPr>
                            <w:w w:val="95"/>
                            <w:sz w:val="19"/>
                          </w:rPr>
                          <w:t>71,436</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0"/>
                          </w:rPr>
                        </w:pPr>
                        <w:r>
                          <w:rPr>
                            <w:sz w:val="19"/>
                          </w:rPr>
                          <w:t>Overbillings</w:t>
                        </w:r>
                        <w:r>
                          <w:rPr>
                            <w:position w:val="6"/>
                            <w:sz w:val="10"/>
                          </w:rPr>
                          <w:t>(a)</w:t>
                        </w:r>
                      </w:p>
                    </w:tc>
                    <w:tc>
                      <w:tcPr>
                        <w:tcW w:w="1134" w:type="dxa"/>
                        <w:tcBorders>
                          <w:bottom w:val="single" w:sz="4" w:space="0" w:color="000000"/>
                        </w:tcBorders>
                        <w:shd w:val="clear" w:color="auto" w:fill="E1E4BB"/>
                      </w:tcPr>
                      <w:p>
                        <w:pPr>
                          <w:pStyle w:val="TableParagraph"/>
                          <w:ind w:right="111"/>
                          <w:jc w:val="right"/>
                          <w:rPr>
                            <w:sz w:val="19"/>
                          </w:rPr>
                        </w:pPr>
                        <w:r>
                          <w:rPr>
                            <w:w w:val="95"/>
                            <w:sz w:val="19"/>
                          </w:rPr>
                          <w:t>43,818</w:t>
                        </w: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203,982</w:t>
                        </w:r>
                      </w:p>
                    </w:tc>
                  </w:tr>
                  <w:tr>
                    <w:trPr>
                      <w:trHeight w:val="26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E1E4BB"/>
                      </w:tcPr>
                      <w:p>
                        <w:pPr>
                          <w:pStyle w:val="TableParagraph"/>
                          <w:spacing w:line="213" w:lineRule="exact"/>
                          <w:ind w:right="111"/>
                          <w:jc w:val="right"/>
                          <w:rPr>
                            <w:b/>
                            <w:sz w:val="19"/>
                          </w:rPr>
                        </w:pPr>
                        <w:r>
                          <w:rPr>
                            <w:b/>
                            <w:w w:val="95"/>
                            <w:sz w:val="19"/>
                          </w:rPr>
                          <w:t>115,613</w:t>
                        </w:r>
                      </w:p>
                    </w:tc>
                    <w:tc>
                      <w:tcPr>
                        <w:tcW w:w="1134" w:type="dxa"/>
                        <w:tcBorders>
                          <w:top w:val="single" w:sz="4" w:space="0" w:color="000000"/>
                          <w:bottom w:val="single" w:sz="24" w:space="0" w:color="FFFFFF"/>
                        </w:tcBorders>
                        <w:shd w:val="clear" w:color="auto" w:fill="FAF9F9"/>
                      </w:tcPr>
                      <w:p>
                        <w:pPr>
                          <w:pStyle w:val="TableParagraph"/>
                          <w:spacing w:line="213" w:lineRule="exact"/>
                          <w:ind w:right="111"/>
                          <w:jc w:val="right"/>
                          <w:rPr>
                            <w:b/>
                            <w:sz w:val="19"/>
                          </w:rPr>
                        </w:pPr>
                        <w:r>
                          <w:rPr>
                            <w:b/>
                            <w:w w:val="95"/>
                            <w:sz w:val="19"/>
                          </w:rPr>
                          <w:t>275,418</w:t>
                        </w:r>
                      </w:p>
                    </w:tc>
                  </w:tr>
                </w:tbl>
                <w:p>
                  <w:pPr>
                    <w:pStyle w:val="BodyText"/>
                  </w:pPr>
                </w:p>
              </w:txbxContent>
            </v:textbox>
            <w10:wrap type="none"/>
          </v:shape>
        </w:pict>
      </w:r>
      <w:bookmarkStart w:name="_bookmark46" w:id="47"/>
      <w:bookmarkEnd w:id="47"/>
      <w:r>
        <w:rPr/>
      </w:r>
      <w:r>
        <w:rPr>
          <w:color w:val="6F2770"/>
        </w:rPr>
        <w:t>Note 28. Payables</w:t>
      </w:r>
    </w:p>
    <w:p>
      <w:pPr>
        <w:pStyle w:val="BodyText"/>
        <w:spacing w:before="10"/>
        <w:rPr>
          <w:sz w:val="6"/>
        </w:rPr>
      </w:pPr>
    </w:p>
    <w:tbl>
      <w:tblPr>
        <w:tblW w:w="0" w:type="auto"/>
        <w:jc w:val="left"/>
        <w:tblInd w:w="8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33" w:hRule="atLeast"/>
        </w:trPr>
        <w:tc>
          <w:tcPr>
            <w:tcW w:w="7399" w:type="dxa"/>
            <w:gridSpan w:val="3"/>
            <w:tcBorders>
              <w:bottom w:val="single" w:sz="4" w:space="0" w:color="8B5B8B"/>
            </w:tcBorders>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top w:val="single" w:sz="4" w:space="0" w:color="8B5B8B"/>
              <w:bottom w:val="single" w:sz="8" w:space="0" w:color="FFFFFF"/>
            </w:tcBorders>
            <w:shd w:val="clear" w:color="auto" w:fill="F4F4F4"/>
          </w:tcPr>
          <w:p>
            <w:pPr>
              <w:pStyle w:val="TableParagraph"/>
              <w:spacing w:before="37"/>
              <w:ind w:left="113"/>
              <w:rPr>
                <w:i/>
                <w:sz w:val="19"/>
              </w:rPr>
            </w:pPr>
            <w:r>
              <w:rPr>
                <w:i/>
                <w:color w:val="A7BE39"/>
                <w:sz w:val="19"/>
              </w:rPr>
              <w:t>Non-current</w:t>
            </w:r>
          </w:p>
        </w:tc>
        <w:tc>
          <w:tcPr>
            <w:tcW w:w="1134" w:type="dxa"/>
            <w:vMerge w:val="restart"/>
            <w:tcBorders>
              <w:top w:val="single" w:sz="4" w:space="0" w:color="8B5B8B"/>
              <w:bottom w:val="single" w:sz="4" w:space="0" w:color="000000"/>
            </w:tcBorders>
            <w:shd w:val="clear" w:color="auto" w:fill="E1E4BB"/>
          </w:tcPr>
          <w:p>
            <w:pPr>
              <w:pStyle w:val="TableParagraph"/>
              <w:spacing w:before="9"/>
              <w:rPr>
                <w:sz w:val="29"/>
              </w:rPr>
            </w:pPr>
          </w:p>
          <w:p>
            <w:pPr>
              <w:pStyle w:val="TableParagraph"/>
              <w:spacing w:before="0"/>
              <w:ind w:left="439"/>
              <w:rPr>
                <w:sz w:val="19"/>
              </w:rPr>
            </w:pPr>
            <w:r>
              <w:rPr>
                <w:sz w:val="19"/>
              </w:rPr>
              <w:t>29,055</w:t>
            </w:r>
          </w:p>
          <w:p>
            <w:pPr>
              <w:pStyle w:val="TableParagraph"/>
              <w:spacing w:before="88"/>
              <w:ind w:left="439"/>
              <w:rPr>
                <w:sz w:val="19"/>
              </w:rPr>
            </w:pPr>
            <w:r>
              <w:rPr>
                <w:sz w:val="19"/>
              </w:rPr>
              <w:t>48,721</w:t>
            </w:r>
          </w:p>
        </w:tc>
        <w:tc>
          <w:tcPr>
            <w:tcW w:w="1134" w:type="dxa"/>
            <w:tcBorders>
              <w:top w:val="single" w:sz="4" w:space="0" w:color="8B5B8B"/>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WATC - Western Australian Treasury Corporation</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50,355</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Heritage Maintenance Payments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47,659</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b/>
                <w:sz w:val="19"/>
              </w:rPr>
            </w:pPr>
            <w:r>
              <w:rPr>
                <w:b/>
                <w:sz w:val="19"/>
              </w:rPr>
              <w:t>Total non-current</w:t>
            </w:r>
          </w:p>
        </w:tc>
        <w:tc>
          <w:tcPr>
            <w:tcW w:w="1134" w:type="dxa"/>
            <w:tcBorders>
              <w:top w:val="single" w:sz="4" w:space="0" w:color="000000"/>
              <w:bottom w:val="single" w:sz="4" w:space="0" w:color="000000"/>
            </w:tcBorders>
            <w:shd w:val="clear" w:color="auto" w:fill="E1E4BB"/>
          </w:tcPr>
          <w:p>
            <w:pPr>
              <w:pStyle w:val="TableParagraph"/>
              <w:ind w:right="111"/>
              <w:jc w:val="right"/>
              <w:rPr>
                <w:b/>
                <w:sz w:val="19"/>
              </w:rPr>
            </w:pPr>
            <w:r>
              <w:rPr>
                <w:b/>
                <w:w w:val="95"/>
                <w:sz w:val="19"/>
              </w:rPr>
              <w:t>77,776</w:t>
            </w:r>
          </w:p>
        </w:tc>
        <w:tc>
          <w:tcPr>
            <w:tcW w:w="1134" w:type="dxa"/>
            <w:tcBorders>
              <w:top w:val="single" w:sz="4" w:space="0" w:color="000000"/>
              <w:bottom w:val="single" w:sz="4" w:space="0" w:color="000000"/>
            </w:tcBorders>
            <w:shd w:val="clear" w:color="auto" w:fill="FAF9F9"/>
          </w:tcPr>
          <w:p>
            <w:pPr>
              <w:pStyle w:val="TableParagraph"/>
              <w:ind w:right="111"/>
              <w:jc w:val="right"/>
              <w:rPr>
                <w:b/>
                <w:sz w:val="19"/>
              </w:rPr>
            </w:pPr>
            <w:r>
              <w:rPr>
                <w:b/>
                <w:w w:val="95"/>
                <w:sz w:val="19"/>
              </w:rPr>
              <w:t>98,014</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DFE1B8"/>
          </w:tcPr>
          <w:p>
            <w:pPr>
              <w:pStyle w:val="TableParagraph"/>
              <w:spacing w:line="213" w:lineRule="exact"/>
              <w:ind w:right="111"/>
              <w:jc w:val="right"/>
              <w:rPr>
                <w:b/>
                <w:sz w:val="19"/>
              </w:rPr>
            </w:pPr>
            <w:r>
              <w:rPr>
                <w:b/>
                <w:w w:val="95"/>
                <w:sz w:val="19"/>
              </w:rPr>
              <w:t>101,816</w:t>
            </w:r>
          </w:p>
        </w:tc>
        <w:tc>
          <w:tcPr>
            <w:tcW w:w="1134" w:type="dxa"/>
            <w:tcBorders>
              <w:top w:val="single" w:sz="4" w:space="0" w:color="000000"/>
              <w:bottom w:val="single" w:sz="24" w:space="0" w:color="FFFFFF"/>
            </w:tcBorders>
            <w:shd w:val="clear" w:color="auto" w:fill="F4F4F4"/>
          </w:tcPr>
          <w:p>
            <w:pPr>
              <w:pStyle w:val="TableParagraph"/>
              <w:spacing w:line="213" w:lineRule="exact"/>
              <w:ind w:right="111"/>
              <w:jc w:val="right"/>
              <w:rPr>
                <w:b/>
                <w:sz w:val="19"/>
              </w:rPr>
            </w:pPr>
            <w:r>
              <w:rPr>
                <w:b/>
                <w:w w:val="95"/>
                <w:sz w:val="19"/>
              </w:rPr>
              <w:t>128,316</w:t>
            </w:r>
          </w:p>
        </w:tc>
      </w:tr>
    </w:tbl>
    <w:p>
      <w:pPr>
        <w:pStyle w:val="BodyText"/>
        <w:spacing w:before="3"/>
        <w:rPr>
          <w:sz w:val="32"/>
        </w:rPr>
      </w:pPr>
    </w:p>
    <w:p>
      <w:pPr>
        <w:spacing w:before="0"/>
        <w:ind w:left="8631" w:right="0" w:firstLine="0"/>
        <w:jc w:val="left"/>
        <w:rPr>
          <w:sz w:val="32"/>
        </w:rPr>
      </w:pPr>
      <w:r>
        <w:rPr/>
        <w:pict>
          <v:shape style="position:absolute;margin-left:431.575012pt;margin-top:22.338322pt;width:369.95pt;height:201.95pt;mso-position-horizontal-relative:page;mso-position-vertical-relative:paragraph;z-index:1897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i/>
                            <w:sz w:val="19"/>
                          </w:rPr>
                        </w:pPr>
                        <w:r>
                          <w:rPr>
                            <w:i/>
                            <w:color w:val="A7BE39"/>
                            <w:sz w:val="19"/>
                          </w:rPr>
                          <w:t>Current</w:t>
                        </w:r>
                      </w:p>
                    </w:tc>
                    <w:tc>
                      <w:tcPr>
                        <w:tcW w:w="1134" w:type="dxa"/>
                        <w:vMerge w:val="restart"/>
                        <w:tcBorders>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143"/>
                          <w:ind w:left="439"/>
                          <w:rPr>
                            <w:sz w:val="19"/>
                          </w:rPr>
                        </w:pPr>
                        <w:r>
                          <w:rPr>
                            <w:sz w:val="19"/>
                          </w:rPr>
                          <w:t>10,063</w:t>
                        </w:r>
                      </w:p>
                      <w:p>
                        <w:pPr>
                          <w:pStyle w:val="TableParagraph"/>
                          <w:spacing w:before="87"/>
                          <w:ind w:left="439"/>
                          <w:rPr>
                            <w:sz w:val="19"/>
                          </w:rPr>
                        </w:pPr>
                        <w:r>
                          <w:rPr>
                            <w:sz w:val="19"/>
                          </w:rPr>
                          <w:t>17,447</w:t>
                        </w:r>
                      </w:p>
                      <w:p>
                        <w:pPr>
                          <w:pStyle w:val="TableParagraph"/>
                          <w:spacing w:before="87"/>
                          <w:ind w:left="703"/>
                          <w:rPr>
                            <w:sz w:val="19"/>
                          </w:rPr>
                        </w:pPr>
                        <w:r>
                          <w:rPr>
                            <w:sz w:val="19"/>
                          </w:rPr>
                          <w:t>245</w:t>
                        </w:r>
                      </w:p>
                      <w:p>
                        <w:pPr>
                          <w:pStyle w:val="TableParagraph"/>
                          <w:spacing w:before="109"/>
                          <w:ind w:left="703"/>
                          <w:rPr>
                            <w:sz w:val="19"/>
                          </w:rPr>
                        </w:pPr>
                        <w:r>
                          <w:rPr>
                            <w:sz w:val="19"/>
                          </w:rPr>
                          <w:t>111</w:t>
                        </w:r>
                      </w:p>
                    </w:tc>
                    <w:tc>
                      <w:tcPr>
                        <w:tcW w:w="1134" w:type="dxa"/>
                        <w:tcBorders>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Employee benefits provision</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271"/>
                          <w:rPr>
                            <w:sz w:val="10"/>
                          </w:rPr>
                        </w:pPr>
                        <w:r>
                          <w:rPr>
                            <w:sz w:val="19"/>
                          </w:rPr>
                          <w:t>Annual leave</w:t>
                        </w:r>
                        <w:r>
                          <w:rPr>
                            <w:position w:val="6"/>
                            <w:sz w:val="10"/>
                          </w:rPr>
                          <w:t>(a)</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10,410</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271"/>
                          <w:rPr>
                            <w:sz w:val="10"/>
                          </w:rPr>
                        </w:pPr>
                        <w:r>
                          <w:rPr>
                            <w:sz w:val="19"/>
                          </w:rPr>
                          <w:t>Long service leave</w:t>
                        </w:r>
                        <w:r>
                          <w:rPr>
                            <w:position w:val="6"/>
                            <w:sz w:val="10"/>
                          </w:rPr>
                          <w:t>(b)</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16,981</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spacing w:before="54"/>
                          <w:ind w:left="296"/>
                          <w:rPr>
                            <w:sz w:val="10"/>
                          </w:rPr>
                        </w:pPr>
                        <w:r>
                          <w:rPr>
                            <w:sz w:val="19"/>
                          </w:rPr>
                          <w:t>Deferred salary scheme</w:t>
                        </w:r>
                        <w:r>
                          <w:rPr>
                            <w:position w:val="6"/>
                            <w:sz w:val="10"/>
                          </w:rPr>
                          <w:t>(e)</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342</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spacing w:before="54"/>
                          <w:ind w:left="296"/>
                          <w:rPr>
                            <w:sz w:val="19"/>
                          </w:rPr>
                        </w:pPr>
                        <w:r>
                          <w:rPr>
                            <w:sz w:val="19"/>
                          </w:rPr>
                          <w:t>Purchased leave</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106</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tcBorders>
                          <w:top w:val="single" w:sz="4" w:space="0" w:color="000000"/>
                          <w:bottom w:val="single" w:sz="4" w:space="0" w:color="000000"/>
                        </w:tcBorders>
                        <w:shd w:val="clear" w:color="auto" w:fill="DFE1B8"/>
                      </w:tcPr>
                      <w:p>
                        <w:pPr>
                          <w:pStyle w:val="TableParagraph"/>
                          <w:ind w:right="111"/>
                          <w:jc w:val="right"/>
                          <w:rPr>
                            <w:sz w:val="19"/>
                          </w:rPr>
                        </w:pPr>
                        <w:r>
                          <w:rPr>
                            <w:w w:val="95"/>
                            <w:sz w:val="19"/>
                          </w:rPr>
                          <w:t>27,866</w:t>
                        </w:r>
                      </w:p>
                    </w:tc>
                    <w:tc>
                      <w:tcPr>
                        <w:tcW w:w="1134" w:type="dxa"/>
                        <w:tcBorders>
                          <w:top w:val="single" w:sz="4" w:space="0" w:color="000000"/>
                          <w:bottom w:val="single" w:sz="4" w:space="0" w:color="000000"/>
                        </w:tcBorders>
                        <w:shd w:val="clear" w:color="auto" w:fill="F4F4F4"/>
                      </w:tcPr>
                      <w:p>
                        <w:pPr>
                          <w:pStyle w:val="TableParagraph"/>
                          <w:ind w:right="111"/>
                          <w:jc w:val="right"/>
                          <w:rPr>
                            <w:sz w:val="19"/>
                          </w:rPr>
                        </w:pPr>
                        <w:r>
                          <w:rPr>
                            <w:w w:val="95"/>
                            <w:sz w:val="19"/>
                          </w:rPr>
                          <w:t>27,839</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Other provisions</w:t>
                        </w:r>
                      </w:p>
                    </w:tc>
                    <w:tc>
                      <w:tcPr>
                        <w:tcW w:w="1134" w:type="dxa"/>
                        <w:vMerge w:val="restart"/>
                        <w:tcBorders>
                          <w:top w:val="single" w:sz="4" w:space="0" w:color="000000"/>
                          <w:bottom w:val="single" w:sz="4" w:space="0" w:color="000000"/>
                        </w:tcBorders>
                        <w:shd w:val="clear" w:color="auto" w:fill="E1E4BB"/>
                      </w:tcPr>
                      <w:p>
                        <w:pPr>
                          <w:pStyle w:val="TableParagraph"/>
                          <w:spacing w:before="4"/>
                          <w:rPr>
                            <w:sz w:val="29"/>
                          </w:rPr>
                        </w:pPr>
                      </w:p>
                      <w:p>
                        <w:pPr>
                          <w:pStyle w:val="TableParagraph"/>
                          <w:spacing w:before="0"/>
                          <w:ind w:right="111"/>
                          <w:jc w:val="right"/>
                          <w:rPr>
                            <w:sz w:val="19"/>
                          </w:rPr>
                        </w:pPr>
                        <w:r>
                          <w:rPr>
                            <w:w w:val="95"/>
                            <w:sz w:val="19"/>
                          </w:rPr>
                          <w:t>50</w:t>
                        </w:r>
                      </w:p>
                    </w:tc>
                    <w:tc>
                      <w:tcPr>
                        <w:tcW w:w="1134" w:type="dxa"/>
                        <w:tcBorders>
                          <w:top w:val="single" w:sz="4" w:space="0" w:color="000000"/>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271"/>
                          <w:rPr>
                            <w:sz w:val="10"/>
                          </w:rPr>
                        </w:pPr>
                        <w:r>
                          <w:rPr>
                            <w:sz w:val="19"/>
                          </w:rPr>
                          <w:t>Employment on-costs</w:t>
                        </w:r>
                        <w:r>
                          <w:rPr>
                            <w:position w:val="6"/>
                            <w:sz w:val="10"/>
                          </w:rPr>
                          <w:t>(c)</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50</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tcBorders>
                          <w:top w:val="single" w:sz="4" w:space="0" w:color="000000"/>
                          <w:bottom w:val="single" w:sz="4" w:space="0" w:color="000000"/>
                        </w:tcBorders>
                        <w:shd w:val="clear" w:color="auto" w:fill="E1E4BB"/>
                      </w:tcPr>
                      <w:p>
                        <w:pPr>
                          <w:pStyle w:val="TableParagraph"/>
                          <w:ind w:right="111"/>
                          <w:jc w:val="right"/>
                          <w:rPr>
                            <w:sz w:val="19"/>
                          </w:rPr>
                        </w:pPr>
                        <w:r>
                          <w:rPr>
                            <w:w w:val="95"/>
                            <w:sz w:val="19"/>
                          </w:rPr>
                          <w:t>50</w:t>
                        </w:r>
                      </w:p>
                    </w:tc>
                    <w:tc>
                      <w:tcPr>
                        <w:tcW w:w="1134" w:type="dxa"/>
                        <w:tcBorders>
                          <w:top w:val="single" w:sz="4" w:space="0" w:color="000000"/>
                          <w:bottom w:val="single" w:sz="4" w:space="0" w:color="000000"/>
                        </w:tcBorders>
                        <w:shd w:val="clear" w:color="auto" w:fill="FAF9F9"/>
                      </w:tcPr>
                      <w:p>
                        <w:pPr>
                          <w:pStyle w:val="TableParagraph"/>
                          <w:ind w:right="111"/>
                          <w:jc w:val="right"/>
                          <w:rPr>
                            <w:sz w:val="19"/>
                          </w:rPr>
                        </w:pPr>
                        <w:r>
                          <w:rPr>
                            <w:w w:val="95"/>
                            <w:sz w:val="19"/>
                          </w:rPr>
                          <w:t>50</w:t>
                        </w:r>
                      </w:p>
                    </w:tc>
                  </w:tr>
                  <w:tr>
                    <w:trPr>
                      <w:trHeight w:val="287"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tcBorders>
                          <w:top w:val="single" w:sz="4" w:space="0" w:color="000000"/>
                          <w:bottom w:val="single" w:sz="24" w:space="0" w:color="FFFFFF"/>
                        </w:tcBorders>
                        <w:shd w:val="clear" w:color="auto" w:fill="E1E4BB"/>
                      </w:tcPr>
                      <w:p>
                        <w:pPr>
                          <w:pStyle w:val="TableParagraph"/>
                          <w:ind w:right="111"/>
                          <w:jc w:val="right"/>
                          <w:rPr>
                            <w:b/>
                            <w:sz w:val="19"/>
                          </w:rPr>
                        </w:pPr>
                        <w:r>
                          <w:rPr>
                            <w:b/>
                            <w:w w:val="95"/>
                            <w:sz w:val="19"/>
                          </w:rPr>
                          <w:t>27,916</w:t>
                        </w:r>
                      </w:p>
                    </w:tc>
                    <w:tc>
                      <w:tcPr>
                        <w:tcW w:w="1134" w:type="dxa"/>
                        <w:tcBorders>
                          <w:top w:val="single" w:sz="4" w:space="0" w:color="000000"/>
                          <w:bottom w:val="single" w:sz="24" w:space="0" w:color="FFFFFF"/>
                        </w:tcBorders>
                        <w:shd w:val="clear" w:color="auto" w:fill="FAF9F9"/>
                      </w:tcPr>
                      <w:p>
                        <w:pPr>
                          <w:pStyle w:val="TableParagraph"/>
                          <w:ind w:right="111"/>
                          <w:jc w:val="right"/>
                          <w:rPr>
                            <w:b/>
                            <w:sz w:val="19"/>
                          </w:rPr>
                        </w:pPr>
                        <w:r>
                          <w:rPr>
                            <w:b/>
                            <w:w w:val="95"/>
                            <w:sz w:val="19"/>
                          </w:rPr>
                          <w:t>27,889</w:t>
                        </w:r>
                      </w:p>
                    </w:tc>
                  </w:tr>
                </w:tbl>
                <w:p>
                  <w:pPr>
                    <w:pStyle w:val="BodyText"/>
                  </w:pPr>
                </w:p>
              </w:txbxContent>
            </v:textbox>
            <w10:wrap type="none"/>
          </v:shape>
        </w:pict>
      </w:r>
      <w:bookmarkStart w:name="_bookmark47" w:id="48"/>
      <w:bookmarkEnd w:id="48"/>
      <w:r>
        <w:rPr/>
      </w:r>
      <w:r>
        <w:rPr>
          <w:color w:val="6F2770"/>
          <w:sz w:val="32"/>
        </w:rPr>
        <w:t>Note 30. Provisions</w:t>
      </w:r>
    </w:p>
    <w:p>
      <w:pPr>
        <w:pStyle w:val="BodyText"/>
        <w:rPr>
          <w:sz w:val="38"/>
        </w:rPr>
      </w:pPr>
    </w:p>
    <w:p>
      <w:pPr>
        <w:pStyle w:val="BodyText"/>
        <w:spacing w:before="10"/>
        <w:rPr>
          <w:sz w:val="39"/>
        </w:rPr>
      </w:pPr>
    </w:p>
    <w:p>
      <w:pPr>
        <w:pStyle w:val="ListParagraph"/>
        <w:numPr>
          <w:ilvl w:val="1"/>
          <w:numId w:val="13"/>
        </w:numPr>
        <w:tabs>
          <w:tab w:pos="958" w:val="left" w:leader="none"/>
        </w:tabs>
        <w:spacing w:line="240" w:lineRule="auto" w:before="0" w:after="0"/>
        <w:ind w:left="957" w:right="0" w:hanging="192"/>
        <w:jc w:val="left"/>
        <w:rPr>
          <w:sz w:val="15"/>
        </w:rPr>
      </w:pPr>
      <w:r>
        <w:rPr>
          <w:sz w:val="15"/>
        </w:rPr>
        <w:t>Billings to clients less contract costs</w:t>
      </w:r>
      <w:r>
        <w:rPr>
          <w:spacing w:val="-2"/>
          <w:sz w:val="15"/>
        </w:rPr>
        <w:t> </w:t>
      </w:r>
      <w:r>
        <w:rPr>
          <w:sz w:val="15"/>
        </w:rPr>
        <w:t>incurred.</w:t>
      </w:r>
    </w:p>
    <w:p>
      <w:pPr>
        <w:pStyle w:val="BodyText"/>
        <w:rPr>
          <w:sz w:val="18"/>
        </w:rPr>
      </w:pPr>
    </w:p>
    <w:p>
      <w:pPr>
        <w:pStyle w:val="Heading5"/>
        <w:spacing w:before="117"/>
      </w:pPr>
      <w:bookmarkStart w:name="_bookmark48" w:id="49"/>
      <w:bookmarkEnd w:id="49"/>
      <w:r>
        <w:rPr/>
      </w:r>
      <w:r>
        <w:rPr>
          <w:color w:val="6F2770"/>
        </w:rPr>
        <w:t>Note 29. Borrowings</w:t>
      </w:r>
    </w:p>
    <w:p>
      <w:pPr>
        <w:pStyle w:val="BodyText"/>
        <w:spacing w:before="10"/>
        <w:rPr>
          <w:sz w:val="6"/>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i/>
                <w:sz w:val="19"/>
              </w:rPr>
            </w:pPr>
            <w:r>
              <w:rPr>
                <w:i/>
                <w:color w:val="A7BE39"/>
                <w:sz w:val="19"/>
              </w:rPr>
              <w:t>Current</w:t>
            </w:r>
          </w:p>
        </w:tc>
        <w:tc>
          <w:tcPr>
            <w:tcW w:w="1134" w:type="dxa"/>
            <w:vMerge w:val="restart"/>
            <w:tcBorders>
              <w:bottom w:val="single" w:sz="4" w:space="0" w:color="000000"/>
            </w:tcBorders>
            <w:shd w:val="clear" w:color="auto" w:fill="E1E4BB"/>
          </w:tcPr>
          <w:p>
            <w:pPr>
              <w:pStyle w:val="TableParagraph"/>
              <w:spacing w:before="9"/>
              <w:rPr>
                <w:sz w:val="29"/>
              </w:rPr>
            </w:pPr>
          </w:p>
          <w:p>
            <w:pPr>
              <w:pStyle w:val="TableParagraph"/>
              <w:spacing w:before="0"/>
              <w:ind w:left="418" w:right="93"/>
              <w:jc w:val="center"/>
              <w:rPr>
                <w:sz w:val="19"/>
              </w:rPr>
            </w:pPr>
            <w:r>
              <w:rPr>
                <w:sz w:val="19"/>
              </w:rPr>
              <w:t>18,416</w:t>
            </w:r>
          </w:p>
          <w:p>
            <w:pPr>
              <w:pStyle w:val="TableParagraph"/>
              <w:spacing w:before="88"/>
              <w:ind w:left="523" w:right="93"/>
              <w:jc w:val="center"/>
              <w:rPr>
                <w:sz w:val="19"/>
              </w:rPr>
            </w:pPr>
            <w:r>
              <w:rPr>
                <w:sz w:val="19"/>
              </w:rPr>
              <w:t>5,624</w:t>
            </w:r>
          </w:p>
        </w:tc>
        <w:tc>
          <w:tcPr>
            <w:tcW w:w="1134" w:type="dxa"/>
            <w:tcBorders>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WATC - Western Australian Treasury Corporation</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24,881</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Heritage Maintenance Payments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5,421</w:t>
            </w:r>
          </w:p>
        </w:tc>
      </w:tr>
      <w:tr>
        <w:trPr>
          <w:trHeight w:val="253" w:hRule="atLeast"/>
        </w:trPr>
        <w:tc>
          <w:tcPr>
            <w:tcW w:w="5131" w:type="dxa"/>
            <w:tcBorders>
              <w:top w:val="single" w:sz="8" w:space="0" w:color="FFFFFF"/>
              <w:bottom w:val="single" w:sz="8" w:space="0" w:color="FFFFFF"/>
            </w:tcBorders>
            <w:shd w:val="clear" w:color="auto" w:fill="FAF9F9"/>
          </w:tcPr>
          <w:p>
            <w:pPr>
              <w:pStyle w:val="TableParagraph"/>
              <w:spacing w:line="201" w:lineRule="exact"/>
              <w:ind w:left="113"/>
              <w:rPr>
                <w:b/>
                <w:sz w:val="19"/>
              </w:rPr>
            </w:pPr>
            <w:r>
              <w:rPr>
                <w:b/>
                <w:sz w:val="19"/>
              </w:rPr>
              <w:t>Total current</w:t>
            </w:r>
          </w:p>
        </w:tc>
        <w:tc>
          <w:tcPr>
            <w:tcW w:w="1134" w:type="dxa"/>
            <w:tcBorders>
              <w:top w:val="single" w:sz="4" w:space="0" w:color="000000"/>
              <w:bottom w:val="single" w:sz="34" w:space="0" w:color="FFFFFF"/>
            </w:tcBorders>
            <w:shd w:val="clear" w:color="auto" w:fill="E1E4BB"/>
          </w:tcPr>
          <w:p>
            <w:pPr>
              <w:pStyle w:val="TableParagraph"/>
              <w:spacing w:line="201" w:lineRule="exact"/>
              <w:ind w:left="439"/>
              <w:rPr>
                <w:b/>
                <w:sz w:val="19"/>
              </w:rPr>
            </w:pPr>
            <w:r>
              <w:rPr>
                <w:b/>
                <w:sz w:val="19"/>
              </w:rPr>
              <w:t>24,040</w:t>
            </w:r>
          </w:p>
        </w:tc>
        <w:tc>
          <w:tcPr>
            <w:tcW w:w="1134" w:type="dxa"/>
            <w:tcBorders>
              <w:top w:val="single" w:sz="4" w:space="0" w:color="000000"/>
              <w:bottom w:val="single" w:sz="34" w:space="0" w:color="FFFFFF"/>
            </w:tcBorders>
            <w:shd w:val="clear" w:color="auto" w:fill="FAF9F9"/>
          </w:tcPr>
          <w:p>
            <w:pPr>
              <w:pStyle w:val="TableParagraph"/>
              <w:spacing w:line="201" w:lineRule="exact"/>
              <w:ind w:right="111"/>
              <w:jc w:val="right"/>
              <w:rPr>
                <w:b/>
                <w:sz w:val="19"/>
              </w:rPr>
            </w:pPr>
            <w:r>
              <w:rPr>
                <w:b/>
                <w:w w:val="95"/>
                <w:sz w:val="19"/>
              </w:rPr>
              <w:t>30,302</w:t>
            </w:r>
          </w:p>
        </w:tc>
      </w:tr>
    </w:tbl>
    <w:p>
      <w:pPr>
        <w:pStyle w:val="BodyText"/>
        <w:rPr>
          <w:sz w:val="20"/>
        </w:rPr>
      </w:pPr>
    </w:p>
    <w:p>
      <w:pPr>
        <w:pStyle w:val="BodyText"/>
        <w:spacing w:before="1"/>
        <w:rPr>
          <w:sz w:val="18"/>
        </w:rPr>
      </w:pPr>
      <w:r>
        <w:rPr/>
        <w:pict>
          <v:group style="position:absolute;margin-left:688.110229pt;margin-top:12.38578pt;width:113.4pt;height:.550pt;mso-position-horizontal-relative:page;mso-position-vertical-relative:paragraph;z-index:16688;mso-wrap-distance-left:0;mso-wrap-distance-right:0" coordorigin="13762,248" coordsize="2268,11">
            <v:line style="position:absolute" from="13762,253" to="14896,253" stroked="true" strokeweight=".501pt" strokecolor="#000000">
              <v:stroke dashstyle="solid"/>
            </v:line>
            <v:line style="position:absolute" from="14896,253" to="16030,253" stroked="true" strokeweight=".501pt" strokecolor="#000000">
              <v:stroke dashstyle="solid"/>
            </v:line>
            <w10:wrap type="topAndBottom"/>
          </v:group>
        </w:pict>
      </w:r>
    </w:p>
    <w:p>
      <w:pPr>
        <w:spacing w:after="0"/>
        <w:rPr>
          <w:sz w:val="18"/>
        </w:rPr>
        <w:sectPr>
          <w:footerReference w:type="default" r:id="rId214"/>
          <w:pgSz w:w="16840" w:h="11910" w:orient="landscape"/>
          <w:pgMar w:footer="448" w:header="0" w:top="0" w:bottom="640" w:left="0" w:right="0"/>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9072"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9192"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9216"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Heading5"/>
        <w:spacing w:before="257"/>
      </w:pPr>
      <w:r>
        <w:rPr/>
        <w:pict>
          <v:shape style="position:absolute;margin-left:38.268002pt;margin-top:35.188202pt;width:369.95pt;height:181.35pt;mso-position-horizontal-relative:page;mso-position-vertical-relative:paragraph;z-index:1924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i/>
                            <w:sz w:val="19"/>
                          </w:rPr>
                        </w:pPr>
                        <w:r>
                          <w:rPr>
                            <w:i/>
                            <w:color w:val="A7BE39"/>
                            <w:sz w:val="19"/>
                          </w:rPr>
                          <w:t>Non-current</w:t>
                        </w:r>
                      </w:p>
                    </w:tc>
                    <w:tc>
                      <w:tcPr>
                        <w:tcW w:w="1134" w:type="dxa"/>
                        <w:vMerge w:val="restart"/>
                        <w:tcBorders>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143"/>
                          <w:ind w:left="544"/>
                          <w:rPr>
                            <w:sz w:val="19"/>
                          </w:rPr>
                        </w:pPr>
                        <w:r>
                          <w:rPr>
                            <w:sz w:val="19"/>
                          </w:rPr>
                          <w:t>5,825</w:t>
                        </w:r>
                      </w:p>
                    </w:tc>
                    <w:tc>
                      <w:tcPr>
                        <w:tcW w:w="1134" w:type="dxa"/>
                        <w:tcBorders>
                          <w:bottom w:val="single" w:sz="8" w:space="0" w:color="FFFFFF"/>
                        </w:tcBorders>
                        <w:shd w:val="clear" w:color="auto" w:fill="F4F4F4"/>
                      </w:tcPr>
                      <w:p>
                        <w:pPr>
                          <w:pStyle w:val="TableParagraph"/>
                          <w:spacing w:before="0"/>
                          <w:rPr>
                            <w:rFonts w:ascii="Times New Roman"/>
                            <w:sz w:val="18"/>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Employee benefits provision</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271"/>
                          <w:rPr>
                            <w:sz w:val="10"/>
                          </w:rPr>
                        </w:pPr>
                        <w:r>
                          <w:rPr>
                            <w:sz w:val="19"/>
                          </w:rPr>
                          <w:t>Long service leave</w:t>
                        </w:r>
                        <w:r>
                          <w:rPr>
                            <w:position w:val="6"/>
                            <w:sz w:val="10"/>
                          </w:rPr>
                          <w:t>(b)</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6,340</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134" w:type="dxa"/>
                        <w:tcBorders>
                          <w:top w:val="single" w:sz="4" w:space="0" w:color="000000"/>
                          <w:bottom w:val="single" w:sz="4" w:space="0" w:color="000000"/>
                        </w:tcBorders>
                        <w:shd w:val="clear" w:color="auto" w:fill="E1E4BB"/>
                      </w:tcPr>
                      <w:p>
                        <w:pPr>
                          <w:pStyle w:val="TableParagraph"/>
                          <w:ind w:right="111"/>
                          <w:jc w:val="right"/>
                          <w:rPr>
                            <w:sz w:val="19"/>
                          </w:rPr>
                        </w:pPr>
                        <w:r>
                          <w:rPr>
                            <w:w w:val="95"/>
                            <w:sz w:val="19"/>
                          </w:rPr>
                          <w:t>5,825</w:t>
                        </w:r>
                      </w:p>
                    </w:tc>
                    <w:tc>
                      <w:tcPr>
                        <w:tcW w:w="1134" w:type="dxa"/>
                        <w:tcBorders>
                          <w:top w:val="single" w:sz="4" w:space="0" w:color="000000"/>
                          <w:bottom w:val="single" w:sz="4" w:space="0" w:color="000000"/>
                        </w:tcBorders>
                        <w:shd w:val="clear" w:color="auto" w:fill="FAF9F9"/>
                      </w:tcPr>
                      <w:p>
                        <w:pPr>
                          <w:pStyle w:val="TableParagraph"/>
                          <w:ind w:right="111"/>
                          <w:jc w:val="right"/>
                          <w:rPr>
                            <w:sz w:val="19"/>
                          </w:rPr>
                        </w:pPr>
                        <w:r>
                          <w:rPr>
                            <w:w w:val="95"/>
                            <w:sz w:val="19"/>
                          </w:rPr>
                          <w:t>6,340</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Other provisions</w:t>
                        </w:r>
                      </w:p>
                    </w:tc>
                    <w:tc>
                      <w:tcPr>
                        <w:tcW w:w="1134" w:type="dxa"/>
                        <w:vMerge w:val="restart"/>
                        <w:tcBorders>
                          <w:top w:val="single" w:sz="4" w:space="0" w:color="000000"/>
                          <w:bottom w:val="single" w:sz="4" w:space="0" w:color="000000"/>
                        </w:tcBorders>
                        <w:shd w:val="clear" w:color="auto" w:fill="E1E4BB"/>
                      </w:tcPr>
                      <w:p>
                        <w:pPr>
                          <w:pStyle w:val="TableParagraph"/>
                          <w:spacing w:before="4"/>
                          <w:rPr>
                            <w:sz w:val="29"/>
                          </w:rPr>
                        </w:pPr>
                      </w:p>
                      <w:p>
                        <w:pPr>
                          <w:pStyle w:val="TableParagraph"/>
                          <w:spacing w:before="0"/>
                          <w:ind w:right="111"/>
                          <w:jc w:val="right"/>
                          <w:rPr>
                            <w:sz w:val="19"/>
                          </w:rPr>
                        </w:pPr>
                        <w:r>
                          <w:rPr>
                            <w:w w:val="95"/>
                            <w:sz w:val="19"/>
                          </w:rPr>
                          <w:t>11</w:t>
                        </w:r>
                      </w:p>
                      <w:p>
                        <w:pPr>
                          <w:pStyle w:val="TableParagraph"/>
                          <w:spacing w:before="88"/>
                          <w:ind w:right="111"/>
                          <w:jc w:val="right"/>
                          <w:rPr>
                            <w:sz w:val="19"/>
                          </w:rPr>
                        </w:pPr>
                        <w:r>
                          <w:rPr>
                            <w:w w:val="95"/>
                            <w:sz w:val="19"/>
                          </w:rPr>
                          <w:t>524</w:t>
                        </w:r>
                      </w:p>
                    </w:tc>
                    <w:tc>
                      <w:tcPr>
                        <w:tcW w:w="1134" w:type="dxa"/>
                        <w:tcBorders>
                          <w:top w:val="single" w:sz="4" w:space="0" w:color="000000"/>
                          <w:bottom w:val="single" w:sz="8" w:space="0" w:color="FFFFFF"/>
                        </w:tcBorders>
                        <w:shd w:val="clear" w:color="auto" w:fill="F4F4F4"/>
                      </w:tcPr>
                      <w:p>
                        <w:pPr>
                          <w:pStyle w:val="TableParagraph"/>
                          <w:spacing w:before="0"/>
                          <w:rPr>
                            <w:rFonts w:ascii="Times New Roman"/>
                            <w:sz w:val="18"/>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271"/>
                          <w:rPr>
                            <w:sz w:val="10"/>
                          </w:rPr>
                        </w:pPr>
                        <w:r>
                          <w:rPr>
                            <w:sz w:val="19"/>
                          </w:rPr>
                          <w:t>Employment on-costs</w:t>
                        </w:r>
                        <w:r>
                          <w:rPr>
                            <w:position w:val="6"/>
                            <w:sz w:val="10"/>
                          </w:rPr>
                          <w:t>(c)</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12</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271"/>
                          <w:rPr>
                            <w:sz w:val="10"/>
                          </w:rPr>
                        </w:pPr>
                        <w:r>
                          <w:rPr>
                            <w:sz w:val="19"/>
                          </w:rPr>
                          <w:t>Restoration costs</w:t>
                        </w:r>
                        <w:r>
                          <w:rPr>
                            <w:position w:val="6"/>
                            <w:sz w:val="10"/>
                          </w:rPr>
                          <w:t>(d)</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517</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134" w:type="dxa"/>
                        <w:tcBorders>
                          <w:top w:val="single" w:sz="4" w:space="0" w:color="000000"/>
                          <w:bottom w:val="single" w:sz="4" w:space="0" w:color="000000"/>
                        </w:tcBorders>
                        <w:shd w:val="clear" w:color="auto" w:fill="E1E4BB"/>
                      </w:tcPr>
                      <w:p>
                        <w:pPr>
                          <w:pStyle w:val="TableParagraph"/>
                          <w:ind w:right="111"/>
                          <w:jc w:val="right"/>
                          <w:rPr>
                            <w:sz w:val="19"/>
                          </w:rPr>
                        </w:pPr>
                        <w:r>
                          <w:rPr>
                            <w:w w:val="95"/>
                            <w:sz w:val="19"/>
                          </w:rPr>
                          <w:t>535</w:t>
                        </w:r>
                      </w:p>
                    </w:tc>
                    <w:tc>
                      <w:tcPr>
                        <w:tcW w:w="1134" w:type="dxa"/>
                        <w:tcBorders>
                          <w:top w:val="single" w:sz="4" w:space="0" w:color="000000"/>
                          <w:bottom w:val="single" w:sz="4" w:space="0" w:color="000000"/>
                        </w:tcBorders>
                        <w:shd w:val="clear" w:color="auto" w:fill="FAF9F9"/>
                      </w:tcPr>
                      <w:p>
                        <w:pPr>
                          <w:pStyle w:val="TableParagraph"/>
                          <w:ind w:right="111"/>
                          <w:jc w:val="right"/>
                          <w:rPr>
                            <w:sz w:val="19"/>
                          </w:rPr>
                        </w:pPr>
                        <w:r>
                          <w:rPr>
                            <w:w w:val="95"/>
                            <w:sz w:val="19"/>
                          </w:rPr>
                          <w:t>529</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4" w:space="0" w:color="000000"/>
                        </w:tcBorders>
                        <w:shd w:val="clear" w:color="auto" w:fill="DFE1B8"/>
                      </w:tcPr>
                      <w:p>
                        <w:pPr>
                          <w:pStyle w:val="TableParagraph"/>
                          <w:ind w:right="111"/>
                          <w:jc w:val="right"/>
                          <w:rPr>
                            <w:b/>
                            <w:sz w:val="19"/>
                          </w:rPr>
                        </w:pPr>
                        <w:r>
                          <w:rPr>
                            <w:b/>
                            <w:w w:val="95"/>
                            <w:sz w:val="19"/>
                          </w:rPr>
                          <w:t>6,360</w:t>
                        </w:r>
                      </w:p>
                    </w:tc>
                    <w:tc>
                      <w:tcPr>
                        <w:tcW w:w="1134" w:type="dxa"/>
                        <w:tcBorders>
                          <w:top w:val="single" w:sz="4" w:space="0" w:color="000000"/>
                          <w:bottom w:val="single" w:sz="4" w:space="0" w:color="000000"/>
                        </w:tcBorders>
                        <w:shd w:val="clear" w:color="auto" w:fill="F4F4F4"/>
                      </w:tcPr>
                      <w:p>
                        <w:pPr>
                          <w:pStyle w:val="TableParagraph"/>
                          <w:ind w:right="111"/>
                          <w:jc w:val="right"/>
                          <w:rPr>
                            <w:b/>
                            <w:sz w:val="19"/>
                          </w:rPr>
                        </w:pPr>
                        <w:r>
                          <w:rPr>
                            <w:b/>
                            <w:w w:val="95"/>
                            <w:sz w:val="19"/>
                          </w:rPr>
                          <w:t>6,869</w:t>
                        </w:r>
                      </w:p>
                    </w:tc>
                  </w:tr>
                  <w:tr>
                    <w:trPr>
                      <w:trHeight w:val="26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E1E4BB"/>
                      </w:tcPr>
                      <w:p>
                        <w:pPr>
                          <w:pStyle w:val="TableParagraph"/>
                          <w:spacing w:line="213" w:lineRule="exact"/>
                          <w:ind w:right="111"/>
                          <w:jc w:val="right"/>
                          <w:rPr>
                            <w:b/>
                            <w:sz w:val="19"/>
                          </w:rPr>
                        </w:pPr>
                        <w:r>
                          <w:rPr>
                            <w:b/>
                            <w:w w:val="95"/>
                            <w:sz w:val="19"/>
                          </w:rPr>
                          <w:t>34,276</w:t>
                        </w:r>
                      </w:p>
                    </w:tc>
                    <w:tc>
                      <w:tcPr>
                        <w:tcW w:w="1134" w:type="dxa"/>
                        <w:tcBorders>
                          <w:top w:val="single" w:sz="4" w:space="0" w:color="000000"/>
                          <w:bottom w:val="single" w:sz="24" w:space="0" w:color="FFFFFF"/>
                        </w:tcBorders>
                        <w:shd w:val="clear" w:color="auto" w:fill="FAF9F9"/>
                      </w:tcPr>
                      <w:p>
                        <w:pPr>
                          <w:pStyle w:val="TableParagraph"/>
                          <w:spacing w:line="213" w:lineRule="exact"/>
                          <w:ind w:right="111"/>
                          <w:jc w:val="right"/>
                          <w:rPr>
                            <w:b/>
                            <w:sz w:val="19"/>
                          </w:rPr>
                        </w:pPr>
                        <w:r>
                          <w:rPr>
                            <w:b/>
                            <w:w w:val="95"/>
                            <w:sz w:val="19"/>
                          </w:rPr>
                          <w:t>34,758</w:t>
                        </w:r>
                      </w:p>
                    </w:tc>
                  </w:tr>
                </w:tbl>
                <w:p>
                  <w:pPr>
                    <w:pStyle w:val="BodyText"/>
                  </w:pPr>
                </w:p>
              </w:txbxContent>
            </v:textbox>
            <w10:wrap type="none"/>
          </v:shape>
        </w:pict>
      </w:r>
      <w:r>
        <w:rPr>
          <w:color w:val="6F2770"/>
        </w:rPr>
        <w:t>Note 30. Provisions (cont.)</w:t>
      </w:r>
    </w:p>
    <w:p>
      <w:pPr>
        <w:pStyle w:val="BodyText"/>
        <w:spacing w:before="10"/>
        <w:rPr>
          <w:sz w:val="6"/>
        </w:rPr>
      </w:pPr>
    </w:p>
    <w:tbl>
      <w:tblPr>
        <w:tblW w:w="0" w:type="auto"/>
        <w:jc w:val="left"/>
        <w:tblInd w:w="8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Within 12 months of the end of the reporting period</w:t>
            </w:r>
          </w:p>
        </w:tc>
        <w:tc>
          <w:tcPr>
            <w:tcW w:w="1134" w:type="dxa"/>
            <w:vMerge w:val="restart"/>
            <w:tcBorders>
              <w:bottom w:val="single" w:sz="4" w:space="0" w:color="000000"/>
            </w:tcBorders>
            <w:shd w:val="clear" w:color="auto" w:fill="E1E4BB"/>
          </w:tcPr>
          <w:p>
            <w:pPr>
              <w:pStyle w:val="TableParagraph"/>
              <w:spacing w:before="37"/>
              <w:ind w:left="523" w:right="93"/>
              <w:jc w:val="center"/>
              <w:rPr>
                <w:sz w:val="19"/>
              </w:rPr>
            </w:pPr>
            <w:r>
              <w:rPr>
                <w:sz w:val="19"/>
              </w:rPr>
              <w:t>7,048</w:t>
            </w:r>
          </w:p>
          <w:p>
            <w:pPr>
              <w:pStyle w:val="TableParagraph"/>
              <w:spacing w:before="87"/>
              <w:ind w:left="418" w:right="93"/>
              <w:jc w:val="center"/>
              <w:rPr>
                <w:sz w:val="19"/>
              </w:rPr>
            </w:pPr>
            <w:r>
              <w:rPr>
                <w:sz w:val="19"/>
              </w:rPr>
              <w:t>16,224</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6,586</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More than 12 months after the reporting period</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16,735</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DFE1B8"/>
          </w:tcPr>
          <w:p>
            <w:pPr>
              <w:pStyle w:val="TableParagraph"/>
              <w:spacing w:line="213" w:lineRule="exact"/>
              <w:ind w:left="439"/>
              <w:rPr>
                <w:b/>
                <w:sz w:val="19"/>
              </w:rPr>
            </w:pPr>
            <w:r>
              <w:rPr>
                <w:b/>
                <w:sz w:val="19"/>
              </w:rPr>
              <w:t>23,272</w:t>
            </w:r>
          </w:p>
        </w:tc>
        <w:tc>
          <w:tcPr>
            <w:tcW w:w="1134" w:type="dxa"/>
            <w:tcBorders>
              <w:top w:val="single" w:sz="4" w:space="0" w:color="000000"/>
              <w:bottom w:val="single" w:sz="24" w:space="0" w:color="FFFFFF"/>
            </w:tcBorders>
            <w:shd w:val="clear" w:color="auto" w:fill="F4F4F4"/>
          </w:tcPr>
          <w:p>
            <w:pPr>
              <w:pStyle w:val="TableParagraph"/>
              <w:spacing w:line="213" w:lineRule="exact"/>
              <w:ind w:right="111"/>
              <w:jc w:val="right"/>
              <w:rPr>
                <w:b/>
                <w:sz w:val="19"/>
              </w:rPr>
            </w:pPr>
            <w:r>
              <w:rPr>
                <w:b/>
                <w:w w:val="95"/>
                <w:sz w:val="19"/>
              </w:rPr>
              <w:t>23,321</w:t>
            </w:r>
          </w:p>
        </w:tc>
      </w:tr>
    </w:tbl>
    <w:p>
      <w:pPr>
        <w:pStyle w:val="ListParagraph"/>
        <w:numPr>
          <w:ilvl w:val="2"/>
          <w:numId w:val="13"/>
        </w:numPr>
        <w:tabs>
          <w:tab w:pos="8824" w:val="left" w:leader="none"/>
        </w:tabs>
        <w:spacing w:line="278" w:lineRule="auto" w:before="98" w:after="0"/>
        <w:ind w:left="8840" w:right="1044" w:hanging="209"/>
        <w:jc w:val="left"/>
        <w:rPr>
          <w:sz w:val="15"/>
        </w:rPr>
      </w:pPr>
      <w:r>
        <w:rPr>
          <w:sz w:val="15"/>
        </w:rPr>
        <w:t>The</w:t>
      </w:r>
      <w:r>
        <w:rPr>
          <w:spacing w:val="-14"/>
          <w:sz w:val="15"/>
        </w:rPr>
        <w:t> </w:t>
      </w:r>
      <w:r>
        <w:rPr>
          <w:sz w:val="15"/>
        </w:rPr>
        <w:t>settlement</w:t>
      </w:r>
      <w:r>
        <w:rPr>
          <w:spacing w:val="-14"/>
          <w:sz w:val="15"/>
        </w:rPr>
        <w:t> </w:t>
      </w:r>
      <w:r>
        <w:rPr>
          <w:sz w:val="15"/>
        </w:rPr>
        <w:t>of</w:t>
      </w:r>
      <w:r>
        <w:rPr>
          <w:spacing w:val="-14"/>
          <w:sz w:val="15"/>
        </w:rPr>
        <w:t> </w:t>
      </w:r>
      <w:r>
        <w:rPr>
          <w:sz w:val="15"/>
        </w:rPr>
        <w:t>annual</w:t>
      </w:r>
      <w:r>
        <w:rPr>
          <w:spacing w:val="-13"/>
          <w:sz w:val="15"/>
        </w:rPr>
        <w:t> </w:t>
      </w:r>
      <w:r>
        <w:rPr>
          <w:sz w:val="15"/>
        </w:rPr>
        <w:t>and</w:t>
      </w:r>
      <w:r>
        <w:rPr>
          <w:spacing w:val="-14"/>
          <w:sz w:val="15"/>
        </w:rPr>
        <w:t> </w:t>
      </w:r>
      <w:r>
        <w:rPr>
          <w:sz w:val="15"/>
        </w:rPr>
        <w:t>long</w:t>
      </w:r>
      <w:r>
        <w:rPr>
          <w:spacing w:val="-14"/>
          <w:sz w:val="15"/>
        </w:rPr>
        <w:t> </w:t>
      </w:r>
      <w:r>
        <w:rPr>
          <w:sz w:val="15"/>
        </w:rPr>
        <w:t>service</w:t>
      </w:r>
      <w:r>
        <w:rPr>
          <w:spacing w:val="-14"/>
          <w:sz w:val="15"/>
        </w:rPr>
        <w:t> </w:t>
      </w:r>
      <w:r>
        <w:rPr>
          <w:sz w:val="15"/>
        </w:rPr>
        <w:t>leave</w:t>
      </w:r>
      <w:r>
        <w:rPr>
          <w:spacing w:val="-13"/>
          <w:sz w:val="15"/>
        </w:rPr>
        <w:t> </w:t>
      </w:r>
      <w:r>
        <w:rPr>
          <w:sz w:val="15"/>
        </w:rPr>
        <w:t>liabilities</w:t>
      </w:r>
      <w:r>
        <w:rPr>
          <w:spacing w:val="-14"/>
          <w:sz w:val="15"/>
        </w:rPr>
        <w:t> </w:t>
      </w:r>
      <w:r>
        <w:rPr>
          <w:sz w:val="15"/>
        </w:rPr>
        <w:t>gives</w:t>
      </w:r>
      <w:r>
        <w:rPr>
          <w:spacing w:val="-14"/>
          <w:sz w:val="15"/>
        </w:rPr>
        <w:t> </w:t>
      </w:r>
      <w:r>
        <w:rPr>
          <w:sz w:val="15"/>
        </w:rPr>
        <w:t>rise</w:t>
      </w:r>
      <w:r>
        <w:rPr>
          <w:spacing w:val="-14"/>
          <w:sz w:val="15"/>
        </w:rPr>
        <w:t> </w:t>
      </w:r>
      <w:r>
        <w:rPr>
          <w:sz w:val="15"/>
        </w:rPr>
        <w:t>to</w:t>
      </w:r>
      <w:r>
        <w:rPr>
          <w:spacing w:val="-14"/>
          <w:sz w:val="15"/>
        </w:rPr>
        <w:t> </w:t>
      </w:r>
      <w:r>
        <w:rPr>
          <w:sz w:val="15"/>
        </w:rPr>
        <w:t>the</w:t>
      </w:r>
      <w:r>
        <w:rPr>
          <w:spacing w:val="-13"/>
          <w:sz w:val="15"/>
        </w:rPr>
        <w:t> </w:t>
      </w:r>
      <w:r>
        <w:rPr>
          <w:sz w:val="15"/>
        </w:rPr>
        <w:t>payment</w:t>
      </w:r>
      <w:r>
        <w:rPr>
          <w:spacing w:val="-14"/>
          <w:sz w:val="15"/>
        </w:rPr>
        <w:t> </w:t>
      </w:r>
      <w:r>
        <w:rPr>
          <w:sz w:val="15"/>
        </w:rPr>
        <w:t>of</w:t>
      </w:r>
      <w:r>
        <w:rPr>
          <w:spacing w:val="-14"/>
          <w:sz w:val="15"/>
        </w:rPr>
        <w:t> </w:t>
      </w:r>
      <w:r>
        <w:rPr>
          <w:sz w:val="15"/>
        </w:rPr>
        <w:t>employment</w:t>
      </w:r>
      <w:r>
        <w:rPr>
          <w:spacing w:val="-14"/>
          <w:sz w:val="15"/>
        </w:rPr>
        <w:t> </w:t>
      </w:r>
      <w:r>
        <w:rPr>
          <w:sz w:val="15"/>
        </w:rPr>
        <w:t>on-costs including</w:t>
      </w:r>
      <w:r>
        <w:rPr>
          <w:spacing w:val="-17"/>
          <w:sz w:val="15"/>
        </w:rPr>
        <w:t> </w:t>
      </w:r>
      <w:r>
        <w:rPr>
          <w:sz w:val="15"/>
        </w:rPr>
        <w:t>workers’</w:t>
      </w:r>
      <w:r>
        <w:rPr>
          <w:spacing w:val="-17"/>
          <w:sz w:val="15"/>
        </w:rPr>
        <w:t> </w:t>
      </w:r>
      <w:r>
        <w:rPr>
          <w:sz w:val="15"/>
        </w:rPr>
        <w:t>compensation</w:t>
      </w:r>
      <w:r>
        <w:rPr>
          <w:spacing w:val="-17"/>
          <w:sz w:val="15"/>
        </w:rPr>
        <w:t> </w:t>
      </w:r>
      <w:r>
        <w:rPr>
          <w:sz w:val="15"/>
        </w:rPr>
        <w:t>insurance.</w:t>
      </w:r>
      <w:r>
        <w:rPr>
          <w:spacing w:val="-17"/>
          <w:sz w:val="15"/>
        </w:rPr>
        <w:t> </w:t>
      </w:r>
      <w:r>
        <w:rPr>
          <w:sz w:val="15"/>
        </w:rPr>
        <w:t>The</w:t>
      </w:r>
      <w:r>
        <w:rPr>
          <w:spacing w:val="-17"/>
          <w:sz w:val="15"/>
        </w:rPr>
        <w:t> </w:t>
      </w:r>
      <w:r>
        <w:rPr>
          <w:sz w:val="15"/>
        </w:rPr>
        <w:t>provision</w:t>
      </w:r>
      <w:r>
        <w:rPr>
          <w:spacing w:val="-17"/>
          <w:sz w:val="15"/>
        </w:rPr>
        <w:t> </w:t>
      </w:r>
      <w:r>
        <w:rPr>
          <w:sz w:val="15"/>
        </w:rPr>
        <w:t>is</w:t>
      </w:r>
      <w:r>
        <w:rPr>
          <w:spacing w:val="-16"/>
          <w:sz w:val="15"/>
        </w:rPr>
        <w:t> </w:t>
      </w:r>
      <w:r>
        <w:rPr>
          <w:sz w:val="15"/>
        </w:rPr>
        <w:t>the</w:t>
      </w:r>
      <w:r>
        <w:rPr>
          <w:spacing w:val="-17"/>
          <w:sz w:val="15"/>
        </w:rPr>
        <w:t> </w:t>
      </w:r>
      <w:r>
        <w:rPr>
          <w:sz w:val="15"/>
        </w:rPr>
        <w:t>present</w:t>
      </w:r>
      <w:r>
        <w:rPr>
          <w:spacing w:val="-17"/>
          <w:sz w:val="15"/>
        </w:rPr>
        <w:t> </w:t>
      </w:r>
      <w:r>
        <w:rPr>
          <w:sz w:val="15"/>
        </w:rPr>
        <w:t>value</w:t>
      </w:r>
      <w:r>
        <w:rPr>
          <w:spacing w:val="-17"/>
          <w:sz w:val="15"/>
        </w:rPr>
        <w:t> </w:t>
      </w:r>
      <w:r>
        <w:rPr>
          <w:sz w:val="15"/>
        </w:rPr>
        <w:t>of</w:t>
      </w:r>
      <w:r>
        <w:rPr>
          <w:spacing w:val="-17"/>
          <w:sz w:val="15"/>
        </w:rPr>
        <w:t> </w:t>
      </w:r>
      <w:r>
        <w:rPr>
          <w:sz w:val="15"/>
        </w:rPr>
        <w:t>expected</w:t>
      </w:r>
      <w:r>
        <w:rPr>
          <w:spacing w:val="-17"/>
          <w:sz w:val="15"/>
        </w:rPr>
        <w:t> </w:t>
      </w:r>
      <w:r>
        <w:rPr>
          <w:sz w:val="15"/>
        </w:rPr>
        <w:t>future</w:t>
      </w:r>
      <w:r>
        <w:rPr>
          <w:spacing w:val="-17"/>
          <w:sz w:val="15"/>
        </w:rPr>
        <w:t> </w:t>
      </w:r>
      <w:r>
        <w:rPr>
          <w:sz w:val="15"/>
        </w:rPr>
        <w:t>payments. The associated expense, apart from the unwinding of the discount (finance cost), is disclosed in Note 13 ‘Other</w:t>
      </w:r>
      <w:r>
        <w:rPr>
          <w:spacing w:val="-1"/>
          <w:sz w:val="15"/>
        </w:rPr>
        <w:t> </w:t>
      </w:r>
      <w:r>
        <w:rPr>
          <w:sz w:val="15"/>
        </w:rPr>
        <w:t>expenses’.</w:t>
      </w:r>
    </w:p>
    <w:p>
      <w:pPr>
        <w:pStyle w:val="ListParagraph"/>
        <w:numPr>
          <w:ilvl w:val="2"/>
          <w:numId w:val="13"/>
        </w:numPr>
        <w:tabs>
          <w:tab w:pos="8832" w:val="left" w:leader="none"/>
        </w:tabs>
        <w:spacing w:line="172" w:lineRule="exact" w:before="0" w:after="0"/>
        <w:ind w:left="8831" w:right="0" w:hanging="200"/>
        <w:jc w:val="left"/>
        <w:rPr>
          <w:sz w:val="15"/>
        </w:rPr>
      </w:pPr>
      <w:r>
        <w:rPr>
          <w:sz w:val="15"/>
        </w:rPr>
        <w:t>This</w:t>
      </w:r>
      <w:r>
        <w:rPr>
          <w:spacing w:val="-5"/>
          <w:sz w:val="15"/>
        </w:rPr>
        <w:t> </w:t>
      </w:r>
      <w:r>
        <w:rPr>
          <w:sz w:val="15"/>
        </w:rPr>
        <w:t>provision</w:t>
      </w:r>
      <w:r>
        <w:rPr>
          <w:spacing w:val="-5"/>
          <w:sz w:val="15"/>
        </w:rPr>
        <w:t> </w:t>
      </w:r>
      <w:r>
        <w:rPr>
          <w:sz w:val="15"/>
        </w:rPr>
        <w:t>is</w:t>
      </w:r>
      <w:r>
        <w:rPr>
          <w:spacing w:val="-5"/>
          <w:sz w:val="15"/>
        </w:rPr>
        <w:t> </w:t>
      </w:r>
      <w:r>
        <w:rPr>
          <w:sz w:val="15"/>
        </w:rPr>
        <w:t>for</w:t>
      </w:r>
      <w:r>
        <w:rPr>
          <w:spacing w:val="-5"/>
          <w:sz w:val="15"/>
        </w:rPr>
        <w:t> </w:t>
      </w:r>
      <w:r>
        <w:rPr>
          <w:sz w:val="15"/>
        </w:rPr>
        <w:t>the</w:t>
      </w:r>
      <w:r>
        <w:rPr>
          <w:spacing w:val="-5"/>
          <w:sz w:val="15"/>
        </w:rPr>
        <w:t> </w:t>
      </w:r>
      <w:r>
        <w:rPr>
          <w:sz w:val="15"/>
        </w:rPr>
        <w:t>rehabilitation</w:t>
      </w:r>
      <w:r>
        <w:rPr>
          <w:spacing w:val="-4"/>
          <w:sz w:val="15"/>
        </w:rPr>
        <w:t> </w:t>
      </w:r>
      <w:r>
        <w:rPr>
          <w:sz w:val="15"/>
        </w:rPr>
        <w:t>of</w:t>
      </w:r>
      <w:r>
        <w:rPr>
          <w:spacing w:val="-5"/>
          <w:sz w:val="15"/>
        </w:rPr>
        <w:t> </w:t>
      </w:r>
      <w:r>
        <w:rPr>
          <w:sz w:val="15"/>
        </w:rPr>
        <w:t>the</w:t>
      </w:r>
      <w:r>
        <w:rPr>
          <w:spacing w:val="-5"/>
          <w:sz w:val="15"/>
        </w:rPr>
        <w:t> </w:t>
      </w:r>
      <w:r>
        <w:rPr>
          <w:sz w:val="15"/>
        </w:rPr>
        <w:t>Mt</w:t>
      </w:r>
      <w:r>
        <w:rPr>
          <w:spacing w:val="-5"/>
          <w:sz w:val="15"/>
        </w:rPr>
        <w:t> </w:t>
      </w:r>
      <w:r>
        <w:rPr>
          <w:sz w:val="15"/>
        </w:rPr>
        <w:t>Walton</w:t>
      </w:r>
      <w:r>
        <w:rPr>
          <w:spacing w:val="-5"/>
          <w:sz w:val="15"/>
        </w:rPr>
        <w:t> </w:t>
      </w:r>
      <w:r>
        <w:rPr>
          <w:sz w:val="15"/>
        </w:rPr>
        <w:t>East</w:t>
      </w:r>
      <w:r>
        <w:rPr>
          <w:spacing w:val="-4"/>
          <w:sz w:val="15"/>
        </w:rPr>
        <w:t> </w:t>
      </w:r>
      <w:r>
        <w:rPr>
          <w:sz w:val="15"/>
        </w:rPr>
        <w:t>Intractable</w:t>
      </w:r>
      <w:r>
        <w:rPr>
          <w:spacing w:val="-5"/>
          <w:sz w:val="15"/>
        </w:rPr>
        <w:t> </w:t>
      </w:r>
      <w:r>
        <w:rPr>
          <w:sz w:val="15"/>
        </w:rPr>
        <w:t>Waste</w:t>
      </w:r>
      <w:r>
        <w:rPr>
          <w:spacing w:val="-5"/>
          <w:sz w:val="15"/>
        </w:rPr>
        <w:t> </w:t>
      </w:r>
      <w:r>
        <w:rPr>
          <w:sz w:val="15"/>
        </w:rPr>
        <w:t>Disposal</w:t>
      </w:r>
      <w:r>
        <w:rPr>
          <w:spacing w:val="-5"/>
          <w:sz w:val="15"/>
        </w:rPr>
        <w:t> </w:t>
      </w:r>
      <w:r>
        <w:rPr>
          <w:sz w:val="15"/>
        </w:rPr>
        <w:t>Facility</w:t>
      </w:r>
      <w:r>
        <w:rPr>
          <w:spacing w:val="-5"/>
          <w:sz w:val="15"/>
        </w:rPr>
        <w:t> </w:t>
      </w:r>
      <w:r>
        <w:rPr>
          <w:sz w:val="15"/>
        </w:rPr>
        <w:t>site.</w:t>
      </w:r>
    </w:p>
    <w:p>
      <w:pPr>
        <w:pStyle w:val="ListParagraph"/>
        <w:numPr>
          <w:ilvl w:val="2"/>
          <w:numId w:val="13"/>
        </w:numPr>
        <w:tabs>
          <w:tab w:pos="8824" w:val="left" w:leader="none"/>
        </w:tabs>
        <w:spacing w:line="278" w:lineRule="auto" w:before="27" w:after="0"/>
        <w:ind w:left="8840" w:right="1357" w:hanging="209"/>
        <w:jc w:val="left"/>
        <w:rPr>
          <w:sz w:val="15"/>
        </w:rPr>
      </w:pPr>
      <w:r>
        <w:rPr>
          <w:sz w:val="15"/>
        </w:rPr>
        <w:t>Deferred</w:t>
      </w:r>
      <w:r>
        <w:rPr>
          <w:spacing w:val="-18"/>
          <w:sz w:val="15"/>
        </w:rPr>
        <w:t> </w:t>
      </w:r>
      <w:r>
        <w:rPr>
          <w:sz w:val="15"/>
        </w:rPr>
        <w:t>salary</w:t>
      </w:r>
      <w:r>
        <w:rPr>
          <w:spacing w:val="-18"/>
          <w:sz w:val="15"/>
        </w:rPr>
        <w:t> </w:t>
      </w:r>
      <w:r>
        <w:rPr>
          <w:sz w:val="15"/>
        </w:rPr>
        <w:t>scheme</w:t>
      </w:r>
      <w:r>
        <w:rPr>
          <w:spacing w:val="-17"/>
          <w:sz w:val="15"/>
        </w:rPr>
        <w:t> </w:t>
      </w:r>
      <w:r>
        <w:rPr>
          <w:sz w:val="15"/>
        </w:rPr>
        <w:t>liabilities</w:t>
      </w:r>
      <w:r>
        <w:rPr>
          <w:spacing w:val="-18"/>
          <w:sz w:val="15"/>
        </w:rPr>
        <w:t> </w:t>
      </w:r>
      <w:r>
        <w:rPr>
          <w:sz w:val="15"/>
        </w:rPr>
        <w:t>have</w:t>
      </w:r>
      <w:r>
        <w:rPr>
          <w:spacing w:val="-18"/>
          <w:sz w:val="15"/>
        </w:rPr>
        <w:t> </w:t>
      </w:r>
      <w:r>
        <w:rPr>
          <w:sz w:val="15"/>
        </w:rPr>
        <w:t>been</w:t>
      </w:r>
      <w:r>
        <w:rPr>
          <w:spacing w:val="-17"/>
          <w:sz w:val="15"/>
        </w:rPr>
        <w:t> </w:t>
      </w:r>
      <w:r>
        <w:rPr>
          <w:sz w:val="15"/>
        </w:rPr>
        <w:t>classified</w:t>
      </w:r>
      <w:r>
        <w:rPr>
          <w:spacing w:val="-18"/>
          <w:sz w:val="15"/>
        </w:rPr>
        <w:t> </w:t>
      </w:r>
      <w:r>
        <w:rPr>
          <w:sz w:val="15"/>
        </w:rPr>
        <w:t>as</w:t>
      </w:r>
      <w:r>
        <w:rPr>
          <w:spacing w:val="-18"/>
          <w:sz w:val="15"/>
        </w:rPr>
        <w:t> </w:t>
      </w:r>
      <w:r>
        <w:rPr>
          <w:sz w:val="15"/>
        </w:rPr>
        <w:t>current</w:t>
      </w:r>
      <w:r>
        <w:rPr>
          <w:spacing w:val="-17"/>
          <w:sz w:val="15"/>
        </w:rPr>
        <w:t> </w:t>
      </w:r>
      <w:r>
        <w:rPr>
          <w:sz w:val="15"/>
        </w:rPr>
        <w:t>where</w:t>
      </w:r>
      <w:r>
        <w:rPr>
          <w:spacing w:val="-18"/>
          <w:sz w:val="15"/>
        </w:rPr>
        <w:t> </w:t>
      </w:r>
      <w:r>
        <w:rPr>
          <w:sz w:val="15"/>
        </w:rPr>
        <w:t>there</w:t>
      </w:r>
      <w:r>
        <w:rPr>
          <w:spacing w:val="-18"/>
          <w:sz w:val="15"/>
        </w:rPr>
        <w:t> </w:t>
      </w:r>
      <w:r>
        <w:rPr>
          <w:sz w:val="15"/>
        </w:rPr>
        <w:t>is</w:t>
      </w:r>
      <w:r>
        <w:rPr>
          <w:spacing w:val="-17"/>
          <w:sz w:val="15"/>
        </w:rPr>
        <w:t> </w:t>
      </w:r>
      <w:r>
        <w:rPr>
          <w:sz w:val="15"/>
        </w:rPr>
        <w:t>no</w:t>
      </w:r>
      <w:r>
        <w:rPr>
          <w:spacing w:val="-18"/>
          <w:sz w:val="15"/>
        </w:rPr>
        <w:t> </w:t>
      </w:r>
      <w:r>
        <w:rPr>
          <w:sz w:val="15"/>
        </w:rPr>
        <w:t>unconditional</w:t>
      </w:r>
      <w:r>
        <w:rPr>
          <w:spacing w:val="-18"/>
          <w:sz w:val="15"/>
        </w:rPr>
        <w:t> </w:t>
      </w:r>
      <w:r>
        <w:rPr>
          <w:sz w:val="15"/>
        </w:rPr>
        <w:t>right</w:t>
      </w:r>
      <w:r>
        <w:rPr>
          <w:spacing w:val="-17"/>
          <w:sz w:val="15"/>
        </w:rPr>
        <w:t> </w:t>
      </w:r>
      <w:r>
        <w:rPr>
          <w:spacing w:val="-8"/>
          <w:sz w:val="15"/>
        </w:rPr>
        <w:t>to </w:t>
      </w:r>
      <w:r>
        <w:rPr>
          <w:sz w:val="15"/>
        </w:rPr>
        <w:t>defer settlement for at least 12 months after the end of the reporting period. Actual settlement of the liabilities is expected to occur as</w:t>
      </w:r>
      <w:r>
        <w:rPr>
          <w:spacing w:val="-5"/>
          <w:sz w:val="15"/>
        </w:rPr>
        <w:t> </w:t>
      </w:r>
      <w:r>
        <w:rPr>
          <w:sz w:val="15"/>
        </w:rPr>
        <w:t>follows:</w:t>
      </w:r>
    </w:p>
    <w:p>
      <w:pPr>
        <w:pStyle w:val="BodyText"/>
        <w:rPr>
          <w:sz w:val="18"/>
        </w:rPr>
      </w:pPr>
    </w:p>
    <w:p>
      <w:pPr>
        <w:pStyle w:val="BodyText"/>
        <w:rPr>
          <w:sz w:val="18"/>
        </w:rPr>
      </w:pPr>
    </w:p>
    <w:p>
      <w:pPr>
        <w:pStyle w:val="ListParagraph"/>
        <w:numPr>
          <w:ilvl w:val="0"/>
          <w:numId w:val="14"/>
        </w:numPr>
        <w:tabs>
          <w:tab w:pos="999" w:val="left" w:leader="none"/>
        </w:tabs>
        <w:spacing w:line="278" w:lineRule="auto" w:before="126" w:after="0"/>
        <w:ind w:left="973" w:right="8649" w:hanging="208"/>
        <w:jc w:val="both"/>
        <w:rPr>
          <w:sz w:val="15"/>
        </w:rPr>
      </w:pPr>
      <w:r>
        <w:rPr/>
        <w:pict>
          <v:shape style="position:absolute;margin-left:432.075012pt;margin-top:-3.872083pt;width:369.95pt;height:74.3pt;mso-position-horizontal-relative:page;mso-position-vertical-relative:paragraph;z-index:192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Within 12 months of the end of the reporting period</w:t>
                        </w:r>
                      </w:p>
                    </w:tc>
                    <w:tc>
                      <w:tcPr>
                        <w:tcW w:w="1134" w:type="dxa"/>
                        <w:vMerge w:val="restart"/>
                        <w:tcBorders>
                          <w:bottom w:val="single" w:sz="4" w:space="0" w:color="000000"/>
                        </w:tcBorders>
                        <w:shd w:val="clear" w:color="auto" w:fill="E1E4BB"/>
                      </w:tcPr>
                      <w:p>
                        <w:pPr>
                          <w:pStyle w:val="TableParagraph"/>
                          <w:spacing w:before="37"/>
                          <w:ind w:left="703"/>
                          <w:rPr>
                            <w:sz w:val="19"/>
                          </w:rPr>
                        </w:pPr>
                        <w:r>
                          <w:rPr>
                            <w:sz w:val="19"/>
                          </w:rPr>
                          <w:t>129</w:t>
                        </w:r>
                      </w:p>
                      <w:p>
                        <w:pPr>
                          <w:pStyle w:val="TableParagraph"/>
                          <w:spacing w:before="87"/>
                          <w:ind w:left="703"/>
                          <w:rPr>
                            <w:sz w:val="19"/>
                          </w:rPr>
                        </w:pPr>
                        <w:r>
                          <w:rPr>
                            <w:sz w:val="19"/>
                          </w:rPr>
                          <w:t>116</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145</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More than 12 months after the reporting period</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197</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DFE1B8"/>
                      </w:tcPr>
                      <w:p>
                        <w:pPr>
                          <w:pStyle w:val="TableParagraph"/>
                          <w:spacing w:line="213" w:lineRule="exact"/>
                          <w:ind w:left="703"/>
                          <w:rPr>
                            <w:b/>
                            <w:sz w:val="19"/>
                          </w:rPr>
                        </w:pPr>
                        <w:r>
                          <w:rPr>
                            <w:b/>
                            <w:sz w:val="19"/>
                          </w:rPr>
                          <w:t>245</w:t>
                        </w:r>
                      </w:p>
                    </w:tc>
                    <w:tc>
                      <w:tcPr>
                        <w:tcW w:w="1134" w:type="dxa"/>
                        <w:tcBorders>
                          <w:top w:val="single" w:sz="4" w:space="0" w:color="000000"/>
                          <w:bottom w:val="single" w:sz="24" w:space="0" w:color="FFFFFF"/>
                        </w:tcBorders>
                        <w:shd w:val="clear" w:color="auto" w:fill="F4F4F4"/>
                      </w:tcPr>
                      <w:p>
                        <w:pPr>
                          <w:pStyle w:val="TableParagraph"/>
                          <w:spacing w:line="213" w:lineRule="exact"/>
                          <w:ind w:right="111"/>
                          <w:jc w:val="right"/>
                          <w:rPr>
                            <w:b/>
                            <w:sz w:val="19"/>
                          </w:rPr>
                        </w:pPr>
                        <w:r>
                          <w:rPr>
                            <w:b/>
                            <w:w w:val="95"/>
                            <w:sz w:val="19"/>
                          </w:rPr>
                          <w:t>342</w:t>
                        </w:r>
                      </w:p>
                    </w:tc>
                  </w:tr>
                </w:tbl>
                <w:p>
                  <w:pPr>
                    <w:pStyle w:val="BodyText"/>
                  </w:pPr>
                </w:p>
              </w:txbxContent>
            </v:textbox>
            <w10:wrap type="none"/>
          </v:shape>
        </w:pict>
      </w:r>
      <w:r>
        <w:rPr/>
        <w:pict>
          <v:shape style="position:absolute;margin-left:38.268002pt;margin-top:52.397316pt;width:369.95pt;height:74.3pt;mso-position-horizontal-relative:page;mso-position-vertical-relative:paragraph;z-index:192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Within 12 months of the end of the reporting period</w:t>
                        </w:r>
                      </w:p>
                    </w:tc>
                    <w:tc>
                      <w:tcPr>
                        <w:tcW w:w="1134" w:type="dxa"/>
                        <w:vMerge w:val="restart"/>
                        <w:tcBorders>
                          <w:bottom w:val="single" w:sz="4" w:space="0" w:color="000000"/>
                        </w:tcBorders>
                        <w:shd w:val="clear" w:color="auto" w:fill="E1E4BB"/>
                      </w:tcPr>
                      <w:p>
                        <w:pPr>
                          <w:pStyle w:val="TableParagraph"/>
                          <w:spacing w:before="37"/>
                          <w:ind w:left="544"/>
                          <w:rPr>
                            <w:sz w:val="19"/>
                          </w:rPr>
                        </w:pPr>
                        <w:r>
                          <w:rPr>
                            <w:sz w:val="19"/>
                          </w:rPr>
                          <w:t>7,519</w:t>
                        </w:r>
                      </w:p>
                      <w:p>
                        <w:pPr>
                          <w:pStyle w:val="TableParagraph"/>
                          <w:spacing w:before="87"/>
                          <w:ind w:left="544"/>
                          <w:rPr>
                            <w:sz w:val="19"/>
                          </w:rPr>
                        </w:pPr>
                        <w:r>
                          <w:rPr>
                            <w:sz w:val="19"/>
                          </w:rPr>
                          <w:t>2,544</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7,782</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More than 12 months after the reporting period</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2,628</w:t>
                        </w:r>
                      </w:p>
                    </w:tc>
                  </w:tr>
                  <w:tr>
                    <w:trPr>
                      <w:trHeight w:val="253"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34" w:space="0" w:color="FFFFFF"/>
                        </w:tcBorders>
                        <w:shd w:val="clear" w:color="auto" w:fill="DFE1B8"/>
                      </w:tcPr>
                      <w:p>
                        <w:pPr>
                          <w:pStyle w:val="TableParagraph"/>
                          <w:spacing w:line="201" w:lineRule="exact"/>
                          <w:ind w:left="439"/>
                          <w:rPr>
                            <w:b/>
                            <w:sz w:val="19"/>
                          </w:rPr>
                        </w:pPr>
                        <w:r>
                          <w:rPr>
                            <w:b/>
                            <w:sz w:val="19"/>
                          </w:rPr>
                          <w:t>10,063</w:t>
                        </w:r>
                      </w:p>
                    </w:tc>
                    <w:tc>
                      <w:tcPr>
                        <w:tcW w:w="1134" w:type="dxa"/>
                        <w:tcBorders>
                          <w:top w:val="single" w:sz="4" w:space="0" w:color="000000"/>
                          <w:bottom w:val="single" w:sz="34" w:space="0" w:color="FFFFFF"/>
                        </w:tcBorders>
                        <w:shd w:val="clear" w:color="auto" w:fill="F4F4F4"/>
                      </w:tcPr>
                      <w:p>
                        <w:pPr>
                          <w:pStyle w:val="TableParagraph"/>
                          <w:spacing w:line="201" w:lineRule="exact"/>
                          <w:ind w:right="111"/>
                          <w:jc w:val="right"/>
                          <w:rPr>
                            <w:b/>
                            <w:sz w:val="19"/>
                          </w:rPr>
                        </w:pPr>
                        <w:r>
                          <w:rPr>
                            <w:b/>
                            <w:w w:val="95"/>
                            <w:sz w:val="19"/>
                          </w:rPr>
                          <w:t>10,410</w:t>
                        </w:r>
                      </w:p>
                    </w:tc>
                  </w:tr>
                </w:tbl>
                <w:p>
                  <w:pPr>
                    <w:pStyle w:val="BodyText"/>
                  </w:pPr>
                </w:p>
              </w:txbxContent>
            </v:textbox>
            <w10:wrap type="none"/>
          </v:shape>
        </w:pict>
      </w:r>
      <w:r>
        <w:rPr>
          <w:sz w:val="15"/>
        </w:rPr>
        <w:t>Annual</w:t>
      </w:r>
      <w:r>
        <w:rPr>
          <w:spacing w:val="-16"/>
          <w:sz w:val="15"/>
        </w:rPr>
        <w:t> </w:t>
      </w:r>
      <w:r>
        <w:rPr>
          <w:sz w:val="15"/>
        </w:rPr>
        <w:t>leave</w:t>
      </w:r>
      <w:r>
        <w:rPr>
          <w:spacing w:val="-16"/>
          <w:sz w:val="15"/>
        </w:rPr>
        <w:t> </w:t>
      </w:r>
      <w:r>
        <w:rPr>
          <w:sz w:val="15"/>
        </w:rPr>
        <w:t>liabilities</w:t>
      </w:r>
      <w:r>
        <w:rPr>
          <w:spacing w:val="-15"/>
          <w:sz w:val="15"/>
        </w:rPr>
        <w:t> </w:t>
      </w:r>
      <w:r>
        <w:rPr>
          <w:sz w:val="15"/>
        </w:rPr>
        <w:t>have</w:t>
      </w:r>
      <w:r>
        <w:rPr>
          <w:spacing w:val="-16"/>
          <w:sz w:val="15"/>
        </w:rPr>
        <w:t> </w:t>
      </w:r>
      <w:r>
        <w:rPr>
          <w:sz w:val="15"/>
        </w:rPr>
        <w:t>been</w:t>
      </w:r>
      <w:r>
        <w:rPr>
          <w:spacing w:val="-15"/>
          <w:sz w:val="15"/>
        </w:rPr>
        <w:t> </w:t>
      </w:r>
      <w:r>
        <w:rPr>
          <w:sz w:val="15"/>
        </w:rPr>
        <w:t>classified</w:t>
      </w:r>
      <w:r>
        <w:rPr>
          <w:spacing w:val="-16"/>
          <w:sz w:val="15"/>
        </w:rPr>
        <w:t> </w:t>
      </w:r>
      <w:r>
        <w:rPr>
          <w:sz w:val="15"/>
        </w:rPr>
        <w:t>as</w:t>
      </w:r>
      <w:r>
        <w:rPr>
          <w:spacing w:val="-15"/>
          <w:sz w:val="15"/>
        </w:rPr>
        <w:t> </w:t>
      </w:r>
      <w:r>
        <w:rPr>
          <w:sz w:val="15"/>
        </w:rPr>
        <w:t>current</w:t>
      </w:r>
      <w:r>
        <w:rPr>
          <w:spacing w:val="-16"/>
          <w:sz w:val="15"/>
        </w:rPr>
        <w:t> </w:t>
      </w:r>
      <w:r>
        <w:rPr>
          <w:sz w:val="15"/>
        </w:rPr>
        <w:t>as</w:t>
      </w:r>
      <w:r>
        <w:rPr>
          <w:spacing w:val="-15"/>
          <w:sz w:val="15"/>
        </w:rPr>
        <w:t> </w:t>
      </w:r>
      <w:r>
        <w:rPr>
          <w:sz w:val="15"/>
        </w:rPr>
        <w:t>there</w:t>
      </w:r>
      <w:r>
        <w:rPr>
          <w:spacing w:val="-16"/>
          <w:sz w:val="15"/>
        </w:rPr>
        <w:t> </w:t>
      </w:r>
      <w:r>
        <w:rPr>
          <w:sz w:val="15"/>
        </w:rPr>
        <w:t>is</w:t>
      </w:r>
      <w:r>
        <w:rPr>
          <w:spacing w:val="-15"/>
          <w:sz w:val="15"/>
        </w:rPr>
        <w:t> </w:t>
      </w:r>
      <w:r>
        <w:rPr>
          <w:sz w:val="15"/>
        </w:rPr>
        <w:t>no</w:t>
      </w:r>
      <w:r>
        <w:rPr>
          <w:spacing w:val="-16"/>
          <w:sz w:val="15"/>
        </w:rPr>
        <w:t> </w:t>
      </w:r>
      <w:r>
        <w:rPr>
          <w:sz w:val="15"/>
        </w:rPr>
        <w:t>unconditional</w:t>
      </w:r>
      <w:r>
        <w:rPr>
          <w:spacing w:val="-15"/>
          <w:sz w:val="15"/>
        </w:rPr>
        <w:t> </w:t>
      </w:r>
      <w:r>
        <w:rPr>
          <w:sz w:val="15"/>
        </w:rPr>
        <w:t>right</w:t>
      </w:r>
      <w:r>
        <w:rPr>
          <w:spacing w:val="-16"/>
          <w:sz w:val="15"/>
        </w:rPr>
        <w:t> </w:t>
      </w:r>
      <w:r>
        <w:rPr>
          <w:sz w:val="15"/>
        </w:rPr>
        <w:t>to</w:t>
      </w:r>
      <w:r>
        <w:rPr>
          <w:spacing w:val="-15"/>
          <w:sz w:val="15"/>
        </w:rPr>
        <w:t> </w:t>
      </w:r>
      <w:r>
        <w:rPr>
          <w:sz w:val="15"/>
        </w:rPr>
        <w:t>defer</w:t>
      </w:r>
      <w:r>
        <w:rPr>
          <w:spacing w:val="-16"/>
          <w:sz w:val="15"/>
        </w:rPr>
        <w:t> </w:t>
      </w:r>
      <w:r>
        <w:rPr>
          <w:sz w:val="15"/>
        </w:rPr>
        <w:t>settlement</w:t>
      </w:r>
      <w:r>
        <w:rPr>
          <w:spacing w:val="-15"/>
          <w:sz w:val="15"/>
        </w:rPr>
        <w:t> </w:t>
      </w:r>
      <w:r>
        <w:rPr>
          <w:sz w:val="15"/>
        </w:rPr>
        <w:t>for</w:t>
      </w:r>
      <w:r>
        <w:rPr>
          <w:spacing w:val="-16"/>
          <w:sz w:val="15"/>
        </w:rPr>
        <w:t> </w:t>
      </w:r>
      <w:r>
        <w:rPr>
          <w:sz w:val="15"/>
        </w:rPr>
        <w:t>at least</w:t>
      </w:r>
      <w:r>
        <w:rPr>
          <w:spacing w:val="-13"/>
          <w:sz w:val="15"/>
        </w:rPr>
        <w:t> </w:t>
      </w:r>
      <w:r>
        <w:rPr>
          <w:sz w:val="15"/>
        </w:rPr>
        <w:t>12</w:t>
      </w:r>
      <w:r>
        <w:rPr>
          <w:spacing w:val="-13"/>
          <w:sz w:val="15"/>
        </w:rPr>
        <w:t> </w:t>
      </w:r>
      <w:r>
        <w:rPr>
          <w:sz w:val="15"/>
        </w:rPr>
        <w:t>months</w:t>
      </w:r>
      <w:r>
        <w:rPr>
          <w:spacing w:val="-13"/>
          <w:sz w:val="15"/>
        </w:rPr>
        <w:t> </w:t>
      </w:r>
      <w:r>
        <w:rPr>
          <w:sz w:val="15"/>
        </w:rPr>
        <w:t>after</w:t>
      </w:r>
      <w:r>
        <w:rPr>
          <w:spacing w:val="-13"/>
          <w:sz w:val="15"/>
        </w:rPr>
        <w:t> </w:t>
      </w:r>
      <w:r>
        <w:rPr>
          <w:sz w:val="15"/>
        </w:rPr>
        <w:t>the</w:t>
      </w:r>
      <w:r>
        <w:rPr>
          <w:spacing w:val="-13"/>
          <w:sz w:val="15"/>
        </w:rPr>
        <w:t> </w:t>
      </w:r>
      <w:r>
        <w:rPr>
          <w:sz w:val="15"/>
        </w:rPr>
        <w:t>reporting</w:t>
      </w:r>
      <w:r>
        <w:rPr>
          <w:spacing w:val="-13"/>
          <w:sz w:val="15"/>
        </w:rPr>
        <w:t> </w:t>
      </w:r>
      <w:r>
        <w:rPr>
          <w:sz w:val="15"/>
        </w:rPr>
        <w:t>period.</w:t>
      </w:r>
      <w:r>
        <w:rPr>
          <w:spacing w:val="-13"/>
          <w:sz w:val="15"/>
        </w:rPr>
        <w:t> </w:t>
      </w:r>
      <w:r>
        <w:rPr>
          <w:sz w:val="15"/>
        </w:rPr>
        <w:t>Assessments</w:t>
      </w:r>
      <w:r>
        <w:rPr>
          <w:spacing w:val="-13"/>
          <w:sz w:val="15"/>
        </w:rPr>
        <w:t> </w:t>
      </w:r>
      <w:r>
        <w:rPr>
          <w:sz w:val="15"/>
        </w:rPr>
        <w:t>indicate</w:t>
      </w:r>
      <w:r>
        <w:rPr>
          <w:spacing w:val="-12"/>
          <w:sz w:val="15"/>
        </w:rPr>
        <w:t> </w:t>
      </w:r>
      <w:r>
        <w:rPr>
          <w:sz w:val="15"/>
        </w:rPr>
        <w:t>that</w:t>
      </w:r>
      <w:r>
        <w:rPr>
          <w:spacing w:val="-13"/>
          <w:sz w:val="15"/>
        </w:rPr>
        <w:t> </w:t>
      </w:r>
      <w:r>
        <w:rPr>
          <w:sz w:val="15"/>
        </w:rPr>
        <w:t>actual</w:t>
      </w:r>
      <w:r>
        <w:rPr>
          <w:spacing w:val="-13"/>
          <w:sz w:val="15"/>
        </w:rPr>
        <w:t> </w:t>
      </w:r>
      <w:r>
        <w:rPr>
          <w:sz w:val="15"/>
        </w:rPr>
        <w:t>settlement</w:t>
      </w:r>
      <w:r>
        <w:rPr>
          <w:spacing w:val="-13"/>
          <w:sz w:val="15"/>
        </w:rPr>
        <w:t> </w:t>
      </w:r>
      <w:r>
        <w:rPr>
          <w:sz w:val="15"/>
        </w:rPr>
        <w:t>of</w:t>
      </w:r>
      <w:r>
        <w:rPr>
          <w:spacing w:val="-13"/>
          <w:sz w:val="15"/>
        </w:rPr>
        <w:t> </w:t>
      </w:r>
      <w:r>
        <w:rPr>
          <w:sz w:val="15"/>
        </w:rPr>
        <w:t>the</w:t>
      </w:r>
      <w:r>
        <w:rPr>
          <w:spacing w:val="-13"/>
          <w:sz w:val="15"/>
        </w:rPr>
        <w:t> </w:t>
      </w:r>
      <w:r>
        <w:rPr>
          <w:sz w:val="15"/>
        </w:rPr>
        <w:t>liabilities</w:t>
      </w:r>
      <w:r>
        <w:rPr>
          <w:spacing w:val="-13"/>
          <w:sz w:val="15"/>
        </w:rPr>
        <w:t> </w:t>
      </w:r>
      <w:r>
        <w:rPr>
          <w:sz w:val="15"/>
        </w:rPr>
        <w:t>will</w:t>
      </w:r>
      <w:r>
        <w:rPr>
          <w:spacing w:val="-13"/>
          <w:sz w:val="15"/>
        </w:rPr>
        <w:t> </w:t>
      </w:r>
      <w:r>
        <w:rPr>
          <w:spacing w:val="-4"/>
          <w:sz w:val="15"/>
        </w:rPr>
        <w:t>occur </w:t>
      </w:r>
      <w:r>
        <w:rPr>
          <w:sz w:val="15"/>
        </w:rPr>
        <w:t>as</w:t>
      </w:r>
      <w:r>
        <w:rPr>
          <w:spacing w:val="-1"/>
          <w:sz w:val="15"/>
        </w:rPr>
        <w:t> </w:t>
      </w:r>
      <w:r>
        <w:rPr>
          <w:sz w:val="15"/>
        </w:rPr>
        <w:t>follows:</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6"/>
        </w:rPr>
      </w:pPr>
    </w:p>
    <w:p>
      <w:pPr>
        <w:spacing w:before="1"/>
        <w:ind w:left="8651" w:right="0" w:firstLine="0"/>
        <w:jc w:val="left"/>
        <w:rPr>
          <w:b/>
          <w:sz w:val="19"/>
        </w:rPr>
      </w:pPr>
      <w:r>
        <w:rPr/>
        <w:pict>
          <v:shape style="position:absolute;margin-left:432.075012pt;margin-top:14.037996pt;width:369.95pt;height:104.9pt;mso-position-horizontal-relative:page;mso-position-vertical-relative:paragraph;z-index:1931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28" w:hRule="atLeast"/>
                    </w:trPr>
                    <w:tc>
                      <w:tcPr>
                        <w:tcW w:w="7399" w:type="dxa"/>
                        <w:gridSpan w:val="3"/>
                        <w:shd w:val="clear" w:color="auto" w:fill="783A79"/>
                      </w:tcPr>
                      <w:p>
                        <w:pPr>
                          <w:pStyle w:val="TableParagraph"/>
                          <w:tabs>
                            <w:tab w:pos="1133" w:val="left" w:leader="none"/>
                          </w:tabs>
                          <w:spacing w:before="42"/>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top w:val="single" w:sz="4" w:space="0" w:color="8B5B8B"/>
                          <w:bottom w:val="single" w:sz="8" w:space="0" w:color="FFFFFF"/>
                        </w:tcBorders>
                        <w:shd w:val="clear" w:color="auto" w:fill="F4F4F4"/>
                      </w:tcPr>
                      <w:p>
                        <w:pPr>
                          <w:pStyle w:val="TableParagraph"/>
                          <w:spacing w:before="37"/>
                          <w:ind w:left="113"/>
                          <w:rPr>
                            <w:i/>
                            <w:sz w:val="19"/>
                          </w:rPr>
                        </w:pPr>
                        <w:r>
                          <w:rPr>
                            <w:i/>
                            <w:color w:val="A7BE39"/>
                            <w:sz w:val="19"/>
                          </w:rPr>
                          <w:t>Remediation costs provisions</w:t>
                        </w:r>
                      </w:p>
                    </w:tc>
                    <w:tc>
                      <w:tcPr>
                        <w:tcW w:w="1134" w:type="dxa"/>
                        <w:vMerge w:val="restart"/>
                        <w:tcBorders>
                          <w:bottom w:val="single" w:sz="4" w:space="0" w:color="000000"/>
                        </w:tcBorders>
                        <w:shd w:val="clear" w:color="auto" w:fill="E1E4BB"/>
                      </w:tcPr>
                      <w:p>
                        <w:pPr>
                          <w:pStyle w:val="TableParagraph"/>
                          <w:spacing w:before="9"/>
                          <w:rPr>
                            <w:sz w:val="29"/>
                          </w:rPr>
                        </w:pPr>
                      </w:p>
                      <w:p>
                        <w:pPr>
                          <w:pStyle w:val="TableParagraph"/>
                          <w:spacing w:before="0"/>
                          <w:ind w:right="111"/>
                          <w:jc w:val="right"/>
                          <w:rPr>
                            <w:sz w:val="19"/>
                          </w:rPr>
                        </w:pPr>
                        <w:r>
                          <w:rPr>
                            <w:w w:val="95"/>
                            <w:sz w:val="19"/>
                          </w:rPr>
                          <w:t>517</w:t>
                        </w:r>
                      </w:p>
                      <w:p>
                        <w:pPr>
                          <w:pStyle w:val="TableParagraph"/>
                          <w:spacing w:before="88"/>
                          <w:ind w:right="111"/>
                          <w:jc w:val="right"/>
                          <w:rPr>
                            <w:sz w:val="19"/>
                          </w:rPr>
                        </w:pPr>
                        <w:r>
                          <w:rPr>
                            <w:w w:val="99"/>
                            <w:sz w:val="19"/>
                          </w:rPr>
                          <w:t>8</w:t>
                        </w:r>
                      </w:p>
                      <w:p>
                        <w:pPr>
                          <w:pStyle w:val="TableParagraph"/>
                          <w:spacing w:before="87"/>
                          <w:ind w:right="111"/>
                          <w:jc w:val="right"/>
                          <w:rPr>
                            <w:sz w:val="19"/>
                          </w:rPr>
                        </w:pPr>
                        <w:r>
                          <w:rPr>
                            <w:w w:val="111"/>
                            <w:sz w:val="19"/>
                          </w:rPr>
                          <w:t>-</w:t>
                        </w:r>
                      </w:p>
                    </w:tc>
                    <w:tc>
                      <w:tcPr>
                        <w:tcW w:w="1134" w:type="dxa"/>
                        <w:tcBorders>
                          <w:bottom w:val="single" w:sz="8" w:space="0" w:color="FFFFFF"/>
                        </w:tcBorders>
                        <w:shd w:val="clear" w:color="auto" w:fill="F4F4F4"/>
                      </w:tcPr>
                      <w:p>
                        <w:pPr>
                          <w:pStyle w:val="TableParagraph"/>
                          <w:spacing w:before="0"/>
                          <w:rPr>
                            <w:rFonts w:ascii="Times New Roman"/>
                            <w:sz w:val="18"/>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Carrying amount at start of period</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523</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Additional provisions recognised</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111"/>
                            <w:sz w:val="19"/>
                          </w:rPr>
                          <w:t>-</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Payments/other sacrifices of economic benefits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80"/>
                            <w:sz w:val="19"/>
                          </w:rPr>
                          <w:t>(7)</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line="213" w:lineRule="exact"/>
                          <w:ind w:left="113"/>
                          <w:rPr>
                            <w:b/>
                            <w:sz w:val="19"/>
                          </w:rPr>
                        </w:pPr>
                        <w:r>
                          <w:rPr>
                            <w:b/>
                            <w:sz w:val="19"/>
                          </w:rPr>
                          <w:t>Carrying amount at end of period</w:t>
                        </w:r>
                      </w:p>
                    </w:tc>
                    <w:tc>
                      <w:tcPr>
                        <w:tcW w:w="1134" w:type="dxa"/>
                        <w:tcBorders>
                          <w:top w:val="single" w:sz="4" w:space="0" w:color="000000"/>
                          <w:bottom w:val="single" w:sz="24" w:space="0" w:color="FFFFFF"/>
                        </w:tcBorders>
                        <w:shd w:val="clear" w:color="auto" w:fill="DFE1B8"/>
                      </w:tcPr>
                      <w:p>
                        <w:pPr>
                          <w:pStyle w:val="TableParagraph"/>
                          <w:spacing w:line="213" w:lineRule="exact"/>
                          <w:ind w:left="703"/>
                          <w:rPr>
                            <w:b/>
                            <w:sz w:val="19"/>
                          </w:rPr>
                        </w:pPr>
                        <w:r>
                          <w:rPr>
                            <w:b/>
                            <w:sz w:val="19"/>
                          </w:rPr>
                          <w:t>525</w:t>
                        </w:r>
                      </w:p>
                    </w:tc>
                    <w:tc>
                      <w:tcPr>
                        <w:tcW w:w="1134" w:type="dxa"/>
                        <w:tcBorders>
                          <w:top w:val="single" w:sz="4" w:space="0" w:color="000000"/>
                          <w:bottom w:val="single" w:sz="24" w:space="0" w:color="FFFFFF"/>
                        </w:tcBorders>
                        <w:shd w:val="clear" w:color="auto" w:fill="F4F4F4"/>
                      </w:tcPr>
                      <w:p>
                        <w:pPr>
                          <w:pStyle w:val="TableParagraph"/>
                          <w:spacing w:line="213" w:lineRule="exact"/>
                          <w:ind w:right="111"/>
                          <w:jc w:val="right"/>
                          <w:rPr>
                            <w:b/>
                            <w:sz w:val="19"/>
                          </w:rPr>
                        </w:pPr>
                        <w:r>
                          <w:rPr>
                            <w:b/>
                            <w:w w:val="95"/>
                            <w:sz w:val="19"/>
                          </w:rPr>
                          <w:t>517</w:t>
                        </w:r>
                      </w:p>
                    </w:tc>
                  </w:tr>
                </w:tbl>
                <w:p>
                  <w:pPr>
                    <w:pStyle w:val="BodyText"/>
                  </w:pPr>
                </w:p>
              </w:txbxContent>
            </v:textbox>
            <w10:wrap type="none"/>
          </v:shape>
        </w:pict>
      </w:r>
      <w:r>
        <w:rPr>
          <w:b/>
          <w:sz w:val="19"/>
        </w:rPr>
        <w:t>Movements in other provisions</w:t>
      </w:r>
    </w:p>
    <w:p>
      <w:pPr>
        <w:pStyle w:val="BodyText"/>
        <w:rPr>
          <w:b/>
        </w:rPr>
      </w:pPr>
    </w:p>
    <w:p>
      <w:pPr>
        <w:pStyle w:val="BodyText"/>
        <w:rPr>
          <w:b/>
        </w:rPr>
      </w:pPr>
    </w:p>
    <w:p>
      <w:pPr>
        <w:pStyle w:val="ListParagraph"/>
        <w:numPr>
          <w:ilvl w:val="0"/>
          <w:numId w:val="14"/>
        </w:numPr>
        <w:tabs>
          <w:tab w:pos="966" w:val="left" w:leader="none"/>
        </w:tabs>
        <w:spacing w:line="278" w:lineRule="auto" w:before="179" w:after="0"/>
        <w:ind w:left="973" w:right="8772" w:hanging="208"/>
        <w:jc w:val="left"/>
        <w:rPr>
          <w:sz w:val="15"/>
        </w:rPr>
      </w:pPr>
      <w:r>
        <w:rPr>
          <w:sz w:val="15"/>
        </w:rPr>
        <w:t>Long service leave liabilities have been classified as current where there is no unconditional right to defer settlement</w:t>
      </w:r>
      <w:r>
        <w:rPr>
          <w:spacing w:val="-12"/>
          <w:sz w:val="15"/>
        </w:rPr>
        <w:t> </w:t>
      </w:r>
      <w:r>
        <w:rPr>
          <w:sz w:val="15"/>
        </w:rPr>
        <w:t>for</w:t>
      </w:r>
      <w:r>
        <w:rPr>
          <w:spacing w:val="-11"/>
          <w:sz w:val="15"/>
        </w:rPr>
        <w:t> </w:t>
      </w:r>
      <w:r>
        <w:rPr>
          <w:sz w:val="15"/>
        </w:rPr>
        <w:t>at</w:t>
      </w:r>
      <w:r>
        <w:rPr>
          <w:spacing w:val="-12"/>
          <w:sz w:val="15"/>
        </w:rPr>
        <w:t> </w:t>
      </w:r>
      <w:r>
        <w:rPr>
          <w:sz w:val="15"/>
        </w:rPr>
        <w:t>least</w:t>
      </w:r>
      <w:r>
        <w:rPr>
          <w:spacing w:val="-11"/>
          <w:sz w:val="15"/>
        </w:rPr>
        <w:t> </w:t>
      </w:r>
      <w:r>
        <w:rPr>
          <w:sz w:val="15"/>
        </w:rPr>
        <w:t>12</w:t>
      </w:r>
      <w:r>
        <w:rPr>
          <w:spacing w:val="-11"/>
          <w:sz w:val="15"/>
        </w:rPr>
        <w:t> </w:t>
      </w:r>
      <w:r>
        <w:rPr>
          <w:sz w:val="15"/>
        </w:rPr>
        <w:t>months</w:t>
      </w:r>
      <w:r>
        <w:rPr>
          <w:spacing w:val="-12"/>
          <w:sz w:val="15"/>
        </w:rPr>
        <w:t> </w:t>
      </w:r>
      <w:r>
        <w:rPr>
          <w:sz w:val="15"/>
        </w:rPr>
        <w:t>after</w:t>
      </w:r>
      <w:r>
        <w:rPr>
          <w:spacing w:val="-11"/>
          <w:sz w:val="15"/>
        </w:rPr>
        <w:t> </w:t>
      </w:r>
      <w:r>
        <w:rPr>
          <w:sz w:val="15"/>
        </w:rPr>
        <w:t>the</w:t>
      </w:r>
      <w:r>
        <w:rPr>
          <w:spacing w:val="-12"/>
          <w:sz w:val="15"/>
        </w:rPr>
        <w:t> </w:t>
      </w:r>
      <w:r>
        <w:rPr>
          <w:sz w:val="15"/>
        </w:rPr>
        <w:t>reporting</w:t>
      </w:r>
      <w:r>
        <w:rPr>
          <w:spacing w:val="-11"/>
          <w:sz w:val="15"/>
        </w:rPr>
        <w:t> </w:t>
      </w:r>
      <w:r>
        <w:rPr>
          <w:sz w:val="15"/>
        </w:rPr>
        <w:t>period.</w:t>
      </w:r>
      <w:r>
        <w:rPr>
          <w:spacing w:val="-11"/>
          <w:sz w:val="15"/>
        </w:rPr>
        <w:t> </w:t>
      </w:r>
      <w:r>
        <w:rPr>
          <w:sz w:val="15"/>
        </w:rPr>
        <w:t>Assessments</w:t>
      </w:r>
      <w:r>
        <w:rPr>
          <w:spacing w:val="-12"/>
          <w:sz w:val="15"/>
        </w:rPr>
        <w:t> </w:t>
      </w:r>
      <w:r>
        <w:rPr>
          <w:sz w:val="15"/>
        </w:rPr>
        <w:t>indicate</w:t>
      </w:r>
      <w:r>
        <w:rPr>
          <w:spacing w:val="-11"/>
          <w:sz w:val="15"/>
        </w:rPr>
        <w:t> </w:t>
      </w:r>
      <w:r>
        <w:rPr>
          <w:sz w:val="15"/>
        </w:rPr>
        <w:t>that</w:t>
      </w:r>
      <w:r>
        <w:rPr>
          <w:spacing w:val="-11"/>
          <w:sz w:val="15"/>
        </w:rPr>
        <w:t> </w:t>
      </w:r>
      <w:r>
        <w:rPr>
          <w:sz w:val="15"/>
        </w:rPr>
        <w:t>actual</w:t>
      </w:r>
      <w:r>
        <w:rPr>
          <w:spacing w:val="-12"/>
          <w:sz w:val="15"/>
        </w:rPr>
        <w:t> </w:t>
      </w:r>
      <w:r>
        <w:rPr>
          <w:sz w:val="15"/>
        </w:rPr>
        <w:t>settlement</w:t>
      </w:r>
      <w:r>
        <w:rPr>
          <w:spacing w:val="-11"/>
          <w:sz w:val="15"/>
        </w:rPr>
        <w:t> </w:t>
      </w:r>
      <w:r>
        <w:rPr>
          <w:sz w:val="15"/>
        </w:rPr>
        <w:t>of</w:t>
      </w:r>
      <w:r>
        <w:rPr>
          <w:spacing w:val="-12"/>
          <w:sz w:val="15"/>
        </w:rPr>
        <w:t> </w:t>
      </w:r>
      <w:r>
        <w:rPr>
          <w:spacing w:val="-6"/>
          <w:sz w:val="15"/>
        </w:rPr>
        <w:t>the </w:t>
      </w:r>
      <w:r>
        <w:rPr>
          <w:sz w:val="15"/>
        </w:rPr>
        <w:t>liabilities will occur as</w:t>
      </w:r>
      <w:r>
        <w:rPr>
          <w:spacing w:val="-3"/>
          <w:sz w:val="15"/>
        </w:rPr>
        <w:t> </w:t>
      </w:r>
      <w:r>
        <w:rPr>
          <w:sz w:val="15"/>
        </w:rPr>
        <w:t>follows:</w:t>
      </w:r>
    </w:p>
    <w:p>
      <w:pPr>
        <w:spacing w:after="0" w:line="278" w:lineRule="auto"/>
        <w:jc w:val="left"/>
        <w:rPr>
          <w:sz w:val="15"/>
        </w:rPr>
        <w:sectPr>
          <w:footerReference w:type="default" r:id="rId215"/>
          <w:pgSz w:w="16840" w:h="11910" w:orient="landscape"/>
          <w:pgMar w:footer="718" w:header="0" w:top="0" w:bottom="900" w:left="0" w:right="0"/>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19408"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b/>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9528"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b/>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9552" type="#_x0000_t202" filled="true" fillcolor="#b6c247" stroked="false">
            <v:textbox inset="0,0,0,0">
              <w:txbxContent>
                <w:p>
                  <w:pPr>
                    <w:pStyle w:val="BodyText"/>
                    <w:spacing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10"/>
        <w:rPr>
          <w:sz w:val="12"/>
        </w:rPr>
      </w:pPr>
    </w:p>
    <w:p>
      <w:pPr>
        <w:spacing w:after="0"/>
        <w:rPr>
          <w:sz w:val="12"/>
        </w:rPr>
        <w:sectPr>
          <w:footerReference w:type="default" r:id="rId216"/>
          <w:pgSz w:w="16840" w:h="11910" w:orient="landscape"/>
          <w:pgMar w:footer="783" w:header="0" w:top="0" w:bottom="980" w:left="0" w:right="0"/>
        </w:sectPr>
      </w:pPr>
    </w:p>
    <w:p>
      <w:pPr>
        <w:pStyle w:val="Heading5"/>
      </w:pPr>
      <w:r>
        <w:rPr>
          <w:color w:val="6F2770"/>
        </w:rPr>
        <w:t>Note 30. Provisions (cont.)</w:t>
      </w:r>
    </w:p>
    <w:p>
      <w:pPr>
        <w:pStyle w:val="BodyText"/>
        <w:spacing w:before="10"/>
        <w:rPr>
          <w:sz w:val="6"/>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i/>
                <w:sz w:val="19"/>
              </w:rPr>
            </w:pPr>
            <w:r>
              <w:rPr>
                <w:i/>
                <w:color w:val="A7BE39"/>
                <w:sz w:val="19"/>
              </w:rPr>
              <w:t>Employment on-cost provision</w:t>
            </w:r>
          </w:p>
        </w:tc>
        <w:tc>
          <w:tcPr>
            <w:tcW w:w="1134" w:type="dxa"/>
            <w:vMerge w:val="restart"/>
            <w:tcBorders>
              <w:bottom w:val="single" w:sz="4" w:space="0" w:color="000000"/>
            </w:tcBorders>
            <w:shd w:val="clear" w:color="auto" w:fill="E1E4BB"/>
          </w:tcPr>
          <w:p>
            <w:pPr>
              <w:pStyle w:val="TableParagraph"/>
              <w:spacing w:before="9"/>
              <w:rPr>
                <w:sz w:val="29"/>
              </w:rPr>
            </w:pPr>
          </w:p>
          <w:p>
            <w:pPr>
              <w:pStyle w:val="TableParagraph"/>
              <w:spacing w:before="0"/>
              <w:ind w:right="111"/>
              <w:jc w:val="right"/>
              <w:rPr>
                <w:sz w:val="19"/>
              </w:rPr>
            </w:pPr>
            <w:r>
              <w:rPr>
                <w:w w:val="95"/>
                <w:sz w:val="19"/>
              </w:rPr>
              <w:t>62</w:t>
            </w:r>
          </w:p>
          <w:p>
            <w:pPr>
              <w:pStyle w:val="TableParagraph"/>
              <w:spacing w:before="88"/>
              <w:ind w:right="111"/>
              <w:jc w:val="right"/>
              <w:rPr>
                <w:sz w:val="19"/>
              </w:rPr>
            </w:pPr>
            <w:r>
              <w:rPr>
                <w:w w:val="95"/>
                <w:sz w:val="19"/>
              </w:rPr>
              <w:t>25</w:t>
            </w:r>
          </w:p>
          <w:p>
            <w:pPr>
              <w:pStyle w:val="TableParagraph"/>
              <w:spacing w:before="87"/>
              <w:ind w:right="111"/>
              <w:jc w:val="right"/>
              <w:rPr>
                <w:sz w:val="19"/>
              </w:rPr>
            </w:pPr>
            <w:r>
              <w:rPr>
                <w:w w:val="85"/>
                <w:sz w:val="19"/>
              </w:rPr>
              <w:t>(26)</w:t>
            </w:r>
          </w:p>
        </w:tc>
        <w:tc>
          <w:tcPr>
            <w:tcW w:w="1134" w:type="dxa"/>
            <w:tcBorders>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Carrying amount at start of period</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66</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Additional provisions recognised</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19</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Payments/other sacrifices of economic benefits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85"/>
                <w:sz w:val="19"/>
              </w:rPr>
              <w:t>(24)</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b/>
                <w:sz w:val="19"/>
              </w:rPr>
            </w:pPr>
            <w:r>
              <w:rPr>
                <w:b/>
                <w:sz w:val="19"/>
              </w:rPr>
              <w:t>Carrying amount at end of period</w:t>
            </w:r>
          </w:p>
        </w:tc>
        <w:tc>
          <w:tcPr>
            <w:tcW w:w="1134" w:type="dxa"/>
            <w:tcBorders>
              <w:top w:val="single" w:sz="4" w:space="0" w:color="000000"/>
              <w:bottom w:val="single" w:sz="4" w:space="0" w:color="000000"/>
            </w:tcBorders>
            <w:shd w:val="clear" w:color="auto" w:fill="DFE1B8"/>
          </w:tcPr>
          <w:p>
            <w:pPr>
              <w:pStyle w:val="TableParagraph"/>
              <w:ind w:right="111"/>
              <w:jc w:val="right"/>
              <w:rPr>
                <w:b/>
                <w:sz w:val="19"/>
              </w:rPr>
            </w:pPr>
            <w:r>
              <w:rPr>
                <w:b/>
                <w:w w:val="95"/>
                <w:sz w:val="19"/>
              </w:rPr>
              <w:t>61</w:t>
            </w:r>
          </w:p>
        </w:tc>
        <w:tc>
          <w:tcPr>
            <w:tcW w:w="1134" w:type="dxa"/>
            <w:tcBorders>
              <w:top w:val="single" w:sz="4" w:space="0" w:color="000000"/>
              <w:bottom w:val="single" w:sz="4" w:space="0" w:color="000000"/>
            </w:tcBorders>
            <w:shd w:val="clear" w:color="auto" w:fill="F4F4F4"/>
          </w:tcPr>
          <w:p>
            <w:pPr>
              <w:pStyle w:val="TableParagraph"/>
              <w:ind w:right="111"/>
              <w:jc w:val="right"/>
              <w:rPr>
                <w:b/>
                <w:sz w:val="19"/>
              </w:rPr>
            </w:pPr>
            <w:r>
              <w:rPr>
                <w:b/>
                <w:w w:val="95"/>
                <w:sz w:val="19"/>
              </w:rPr>
              <w:t>62</w:t>
            </w:r>
          </w:p>
        </w:tc>
      </w:tr>
      <w:tr>
        <w:trPr>
          <w:trHeight w:val="26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E1E4BB"/>
          </w:tcPr>
          <w:p>
            <w:pPr>
              <w:pStyle w:val="TableParagraph"/>
              <w:spacing w:line="213" w:lineRule="exact"/>
              <w:ind w:right="111"/>
              <w:jc w:val="right"/>
              <w:rPr>
                <w:b/>
                <w:sz w:val="19"/>
              </w:rPr>
            </w:pPr>
            <w:r>
              <w:rPr>
                <w:b/>
                <w:w w:val="95"/>
                <w:sz w:val="19"/>
              </w:rPr>
              <w:t>586</w:t>
            </w:r>
          </w:p>
        </w:tc>
        <w:tc>
          <w:tcPr>
            <w:tcW w:w="1134" w:type="dxa"/>
            <w:tcBorders>
              <w:top w:val="single" w:sz="4" w:space="0" w:color="000000"/>
              <w:bottom w:val="single" w:sz="24" w:space="0" w:color="FFFFFF"/>
            </w:tcBorders>
            <w:shd w:val="clear" w:color="auto" w:fill="FAF9F9"/>
          </w:tcPr>
          <w:p>
            <w:pPr>
              <w:pStyle w:val="TableParagraph"/>
              <w:spacing w:line="213" w:lineRule="exact"/>
              <w:ind w:right="111"/>
              <w:jc w:val="right"/>
              <w:rPr>
                <w:b/>
                <w:sz w:val="19"/>
              </w:rPr>
            </w:pPr>
            <w:r>
              <w:rPr>
                <w:b/>
                <w:w w:val="95"/>
                <w:sz w:val="19"/>
              </w:rPr>
              <w:t>579</w:t>
            </w:r>
          </w:p>
        </w:tc>
      </w:tr>
    </w:tbl>
    <w:p>
      <w:pPr>
        <w:spacing w:before="329"/>
        <w:ind w:left="765" w:right="0" w:firstLine="0"/>
        <w:jc w:val="left"/>
        <w:rPr>
          <w:sz w:val="32"/>
        </w:rPr>
      </w:pPr>
      <w:bookmarkStart w:name="_bookmark49" w:id="50"/>
      <w:bookmarkEnd w:id="50"/>
      <w:r>
        <w:rPr/>
      </w:r>
      <w:r>
        <w:rPr>
          <w:color w:val="6F2770"/>
          <w:sz w:val="32"/>
        </w:rPr>
        <w:t>Note 31. Lease incentives</w:t>
      </w:r>
    </w:p>
    <w:p>
      <w:pPr>
        <w:pStyle w:val="BodyText"/>
        <w:spacing w:before="9"/>
        <w:rPr>
          <w:sz w:val="6"/>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33" w:hRule="atLeast"/>
        </w:trPr>
        <w:tc>
          <w:tcPr>
            <w:tcW w:w="7399" w:type="dxa"/>
            <w:gridSpan w:val="3"/>
            <w:tcBorders>
              <w:bottom w:val="single" w:sz="4" w:space="0" w:color="8B5B8B"/>
            </w:tcBorders>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top w:val="single" w:sz="4" w:space="0" w:color="8B5B8B"/>
              <w:bottom w:val="single" w:sz="8" w:space="0" w:color="FFFFFF"/>
            </w:tcBorders>
            <w:shd w:val="clear" w:color="auto" w:fill="F4F4F4"/>
          </w:tcPr>
          <w:p>
            <w:pPr>
              <w:pStyle w:val="TableParagraph"/>
              <w:spacing w:before="37"/>
              <w:ind w:left="113"/>
              <w:rPr>
                <w:sz w:val="19"/>
              </w:rPr>
            </w:pPr>
            <w:r>
              <w:rPr>
                <w:sz w:val="19"/>
              </w:rPr>
              <w:t>Current</w:t>
            </w:r>
          </w:p>
        </w:tc>
        <w:tc>
          <w:tcPr>
            <w:tcW w:w="1134" w:type="dxa"/>
            <w:vMerge w:val="restart"/>
            <w:tcBorders>
              <w:top w:val="single" w:sz="4" w:space="0" w:color="8B5B8B"/>
              <w:bottom w:val="single" w:sz="4" w:space="0" w:color="000000"/>
            </w:tcBorders>
            <w:shd w:val="clear" w:color="auto" w:fill="E1E4BB"/>
          </w:tcPr>
          <w:p>
            <w:pPr>
              <w:pStyle w:val="TableParagraph"/>
              <w:spacing w:before="37"/>
              <w:ind w:left="418" w:right="93"/>
              <w:jc w:val="center"/>
              <w:rPr>
                <w:sz w:val="19"/>
              </w:rPr>
            </w:pPr>
            <w:r>
              <w:rPr>
                <w:sz w:val="19"/>
              </w:rPr>
              <w:t>13,604</w:t>
            </w:r>
          </w:p>
          <w:p>
            <w:pPr>
              <w:pStyle w:val="TableParagraph"/>
              <w:spacing w:before="87"/>
              <w:ind w:left="312" w:right="93"/>
              <w:jc w:val="center"/>
              <w:rPr>
                <w:sz w:val="19"/>
              </w:rPr>
            </w:pPr>
            <w:r>
              <w:rPr>
                <w:sz w:val="19"/>
              </w:rPr>
              <w:t>101,251</w:t>
            </w:r>
          </w:p>
        </w:tc>
        <w:tc>
          <w:tcPr>
            <w:tcW w:w="1134" w:type="dxa"/>
            <w:tcBorders>
              <w:top w:val="single" w:sz="4" w:space="0" w:color="8B5B8B"/>
              <w:bottom w:val="single" w:sz="8" w:space="0" w:color="FFFFFF"/>
            </w:tcBorders>
            <w:shd w:val="clear" w:color="auto" w:fill="F4F4F4"/>
          </w:tcPr>
          <w:p>
            <w:pPr>
              <w:pStyle w:val="TableParagraph"/>
              <w:spacing w:before="37"/>
              <w:ind w:right="111"/>
              <w:jc w:val="right"/>
              <w:rPr>
                <w:sz w:val="19"/>
              </w:rPr>
            </w:pPr>
            <w:r>
              <w:rPr>
                <w:w w:val="95"/>
                <w:sz w:val="19"/>
              </w:rPr>
              <w:t>9,612</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Non-current</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85,349</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DFE1B8"/>
          </w:tcPr>
          <w:p>
            <w:pPr>
              <w:pStyle w:val="TableParagraph"/>
              <w:spacing w:line="213" w:lineRule="exact"/>
              <w:ind w:left="333"/>
              <w:rPr>
                <w:b/>
                <w:sz w:val="19"/>
              </w:rPr>
            </w:pPr>
            <w:r>
              <w:rPr>
                <w:b/>
                <w:sz w:val="19"/>
              </w:rPr>
              <w:t>114,855</w:t>
            </w:r>
          </w:p>
        </w:tc>
        <w:tc>
          <w:tcPr>
            <w:tcW w:w="1134" w:type="dxa"/>
            <w:tcBorders>
              <w:top w:val="single" w:sz="4" w:space="0" w:color="000000"/>
              <w:bottom w:val="single" w:sz="24" w:space="0" w:color="FFFFFF"/>
            </w:tcBorders>
            <w:shd w:val="clear" w:color="auto" w:fill="F4F4F4"/>
          </w:tcPr>
          <w:p>
            <w:pPr>
              <w:pStyle w:val="TableParagraph"/>
              <w:spacing w:line="213" w:lineRule="exact"/>
              <w:ind w:right="111"/>
              <w:jc w:val="right"/>
              <w:rPr>
                <w:b/>
                <w:sz w:val="19"/>
              </w:rPr>
            </w:pPr>
            <w:r>
              <w:rPr>
                <w:b/>
                <w:w w:val="95"/>
                <w:sz w:val="19"/>
              </w:rPr>
              <w:t>94,961</w:t>
            </w:r>
          </w:p>
        </w:tc>
      </w:tr>
    </w:tbl>
    <w:p>
      <w:pPr>
        <w:spacing w:before="292"/>
        <w:ind w:left="765" w:right="0" w:firstLine="0"/>
        <w:jc w:val="left"/>
        <w:rPr>
          <w:sz w:val="32"/>
        </w:rPr>
      </w:pPr>
      <w:bookmarkStart w:name="_bookmark50" w:id="51"/>
      <w:bookmarkEnd w:id="51"/>
      <w:r>
        <w:rPr/>
      </w:r>
      <w:r>
        <w:rPr>
          <w:color w:val="6F2770"/>
          <w:sz w:val="32"/>
        </w:rPr>
        <w:t>Note 32. Other liabilities</w:t>
      </w:r>
    </w:p>
    <w:p>
      <w:pPr>
        <w:spacing w:before="109"/>
        <w:ind w:left="427" w:right="0" w:firstLine="0"/>
        <w:jc w:val="left"/>
        <w:rPr>
          <w:sz w:val="32"/>
        </w:rPr>
      </w:pPr>
      <w:r>
        <w:rPr/>
        <w:br w:type="column"/>
      </w:r>
      <w:bookmarkStart w:name="_bookmark51" w:id="52"/>
      <w:bookmarkEnd w:id="52"/>
      <w:r>
        <w:rPr/>
      </w:r>
      <w:r>
        <w:rPr>
          <w:color w:val="6F2770"/>
          <w:sz w:val="32"/>
        </w:rPr>
        <w:t>Note 33. Equity</w:t>
      </w:r>
    </w:p>
    <w:p>
      <w:pPr>
        <w:pStyle w:val="BodyText"/>
        <w:spacing w:line="249" w:lineRule="auto" w:before="254"/>
        <w:ind w:left="427" w:right="755"/>
      </w:pPr>
      <w:r>
        <w:rPr/>
        <w:t>The</w:t>
      </w:r>
      <w:r>
        <w:rPr>
          <w:spacing w:val="-36"/>
        </w:rPr>
        <w:t> </w:t>
      </w:r>
      <w:r>
        <w:rPr/>
        <w:t>Western</w:t>
      </w:r>
      <w:r>
        <w:rPr>
          <w:spacing w:val="-36"/>
        </w:rPr>
        <w:t> </w:t>
      </w:r>
      <w:r>
        <w:rPr/>
        <w:t>Australian</w:t>
      </w:r>
      <w:r>
        <w:rPr>
          <w:spacing w:val="-35"/>
        </w:rPr>
        <w:t> </w:t>
      </w:r>
      <w:r>
        <w:rPr/>
        <w:t>Government</w:t>
      </w:r>
      <w:r>
        <w:rPr>
          <w:spacing w:val="-36"/>
        </w:rPr>
        <w:t> </w:t>
      </w:r>
      <w:r>
        <w:rPr/>
        <w:t>holds</w:t>
      </w:r>
      <w:r>
        <w:rPr>
          <w:spacing w:val="-35"/>
        </w:rPr>
        <w:t> </w:t>
      </w:r>
      <w:r>
        <w:rPr/>
        <w:t>the</w:t>
      </w:r>
      <w:r>
        <w:rPr>
          <w:spacing w:val="-36"/>
        </w:rPr>
        <w:t> </w:t>
      </w:r>
      <w:r>
        <w:rPr/>
        <w:t>equity</w:t>
      </w:r>
      <w:r>
        <w:rPr>
          <w:spacing w:val="-35"/>
        </w:rPr>
        <w:t> </w:t>
      </w:r>
      <w:r>
        <w:rPr>
          <w:spacing w:val="-3"/>
        </w:rPr>
        <w:t>interest</w:t>
      </w:r>
      <w:r>
        <w:rPr>
          <w:spacing w:val="-36"/>
        </w:rPr>
        <w:t> </w:t>
      </w:r>
      <w:r>
        <w:rPr/>
        <w:t>in</w:t>
      </w:r>
      <w:r>
        <w:rPr>
          <w:spacing w:val="-36"/>
        </w:rPr>
        <w:t> </w:t>
      </w:r>
      <w:r>
        <w:rPr/>
        <w:t>the</w:t>
      </w:r>
      <w:r>
        <w:rPr>
          <w:spacing w:val="-35"/>
        </w:rPr>
        <w:t> </w:t>
      </w:r>
      <w:r>
        <w:rPr/>
        <w:t>Department on behalf of the </w:t>
      </w:r>
      <w:r>
        <w:rPr>
          <w:spacing w:val="-4"/>
        </w:rPr>
        <w:t>community. </w:t>
      </w:r>
      <w:r>
        <w:rPr/>
        <w:t>Equity </w:t>
      </w:r>
      <w:r>
        <w:rPr>
          <w:spacing w:val="-3"/>
        </w:rPr>
        <w:t>represents </w:t>
      </w:r>
      <w:r>
        <w:rPr/>
        <w:t>the </w:t>
      </w:r>
      <w:r>
        <w:rPr>
          <w:spacing w:val="-3"/>
        </w:rPr>
        <w:t>residual interest </w:t>
      </w:r>
      <w:r>
        <w:rPr/>
        <w:t>in the </w:t>
      </w:r>
      <w:r>
        <w:rPr>
          <w:spacing w:val="-2"/>
        </w:rPr>
        <w:t>net </w:t>
      </w:r>
      <w:r>
        <w:rPr/>
        <w:t>assets</w:t>
      </w:r>
      <w:r>
        <w:rPr>
          <w:spacing w:val="-30"/>
        </w:rPr>
        <w:t> </w:t>
      </w:r>
      <w:r>
        <w:rPr/>
        <w:t>of</w:t>
      </w:r>
      <w:r>
        <w:rPr>
          <w:spacing w:val="-29"/>
        </w:rPr>
        <w:t> </w:t>
      </w:r>
      <w:r>
        <w:rPr/>
        <w:t>the</w:t>
      </w:r>
      <w:r>
        <w:rPr>
          <w:spacing w:val="-30"/>
        </w:rPr>
        <w:t> </w:t>
      </w:r>
      <w:r>
        <w:rPr/>
        <w:t>Department.</w:t>
      </w:r>
      <w:r>
        <w:rPr>
          <w:spacing w:val="-29"/>
        </w:rPr>
        <w:t> </w:t>
      </w:r>
      <w:r>
        <w:rPr/>
        <w:t>The</w:t>
      </w:r>
      <w:r>
        <w:rPr>
          <w:spacing w:val="-30"/>
        </w:rPr>
        <w:t> </w:t>
      </w:r>
      <w:r>
        <w:rPr/>
        <w:t>asset</w:t>
      </w:r>
      <w:r>
        <w:rPr>
          <w:spacing w:val="-29"/>
        </w:rPr>
        <w:t> </w:t>
      </w:r>
      <w:r>
        <w:rPr>
          <w:spacing w:val="-3"/>
        </w:rPr>
        <w:t>revaluation</w:t>
      </w:r>
      <w:r>
        <w:rPr>
          <w:spacing w:val="-30"/>
        </w:rPr>
        <w:t> </w:t>
      </w:r>
      <w:r>
        <w:rPr/>
        <w:t>surplus</w:t>
      </w:r>
      <w:r>
        <w:rPr>
          <w:spacing w:val="-29"/>
        </w:rPr>
        <w:t> </w:t>
      </w:r>
      <w:r>
        <w:rPr>
          <w:spacing w:val="-3"/>
        </w:rPr>
        <w:t>represents</w:t>
      </w:r>
      <w:r>
        <w:rPr>
          <w:spacing w:val="-30"/>
        </w:rPr>
        <w:t> </w:t>
      </w:r>
      <w:r>
        <w:rPr/>
        <w:t>that</w:t>
      </w:r>
      <w:r>
        <w:rPr>
          <w:spacing w:val="-29"/>
        </w:rPr>
        <w:t> </w:t>
      </w:r>
      <w:r>
        <w:rPr/>
        <w:t>portion of</w:t>
      </w:r>
      <w:r>
        <w:rPr>
          <w:spacing w:val="-8"/>
        </w:rPr>
        <w:t> </w:t>
      </w:r>
      <w:r>
        <w:rPr/>
        <w:t>equity</w:t>
      </w:r>
      <w:r>
        <w:rPr>
          <w:spacing w:val="-8"/>
        </w:rPr>
        <w:t> </w:t>
      </w:r>
      <w:r>
        <w:rPr>
          <w:spacing w:val="-3"/>
        </w:rPr>
        <w:t>resulting</w:t>
      </w:r>
      <w:r>
        <w:rPr>
          <w:spacing w:val="-8"/>
        </w:rPr>
        <w:t> </w:t>
      </w:r>
      <w:r>
        <w:rPr>
          <w:spacing w:val="-3"/>
        </w:rPr>
        <w:t>from</w:t>
      </w:r>
      <w:r>
        <w:rPr>
          <w:spacing w:val="-8"/>
        </w:rPr>
        <w:t> </w:t>
      </w:r>
      <w:r>
        <w:rPr/>
        <w:t>the</w:t>
      </w:r>
      <w:r>
        <w:rPr>
          <w:spacing w:val="-7"/>
        </w:rPr>
        <w:t> </w:t>
      </w:r>
      <w:r>
        <w:rPr>
          <w:spacing w:val="-3"/>
        </w:rPr>
        <w:t>revaluation</w:t>
      </w:r>
      <w:r>
        <w:rPr>
          <w:spacing w:val="-8"/>
        </w:rPr>
        <w:t> </w:t>
      </w:r>
      <w:r>
        <w:rPr/>
        <w:t>of</w:t>
      </w:r>
      <w:r>
        <w:rPr>
          <w:spacing w:val="-8"/>
        </w:rPr>
        <w:t> </w:t>
      </w:r>
      <w:r>
        <w:rPr>
          <w:spacing w:val="-3"/>
        </w:rPr>
        <w:t>non-current</w:t>
      </w:r>
      <w:r>
        <w:rPr>
          <w:spacing w:val="-8"/>
        </w:rPr>
        <w:t> </w:t>
      </w:r>
      <w:r>
        <w:rPr/>
        <w:t>assets.</w:t>
      </w:r>
    </w:p>
    <w:p>
      <w:pPr>
        <w:pStyle w:val="BodyText"/>
        <w:spacing w:before="2"/>
      </w:pPr>
    </w:p>
    <w:p>
      <w:pPr>
        <w:spacing w:before="0"/>
        <w:ind w:left="447" w:right="0" w:firstLine="0"/>
        <w:jc w:val="left"/>
        <w:rPr>
          <w:b/>
          <w:sz w:val="19"/>
        </w:rPr>
      </w:pPr>
      <w:r>
        <w:rPr/>
        <w:pict>
          <v:shape style="position:absolute;margin-left:432.075012pt;margin-top:12.912882pt;width:369.95pt;height:295.850pt;mso-position-horizontal-relative:page;mso-position-vertical-relative:paragraph;z-index:1957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6265" w:type="dxa"/>
                        <w:gridSpan w:val="2"/>
                        <w:shd w:val="clear" w:color="auto" w:fill="783A79"/>
                      </w:tcPr>
                      <w:p>
                        <w:pPr>
                          <w:pStyle w:val="TableParagraph"/>
                          <w:spacing w:before="47"/>
                          <w:ind w:right="111"/>
                          <w:jc w:val="right"/>
                          <w:rPr>
                            <w:b/>
                            <w:sz w:val="19"/>
                          </w:rPr>
                        </w:pPr>
                        <w:r>
                          <w:rPr>
                            <w:b/>
                            <w:color w:val="FFFFFF"/>
                            <w:w w:val="95"/>
                            <w:sz w:val="19"/>
                          </w:rPr>
                          <w:t>2017</w:t>
                        </w:r>
                      </w:p>
                      <w:p>
                        <w:pPr>
                          <w:pStyle w:val="TableParagraph"/>
                          <w:spacing w:before="10"/>
                          <w:ind w:right="111"/>
                          <w:jc w:val="right"/>
                          <w:rPr>
                            <w:b/>
                            <w:sz w:val="19"/>
                          </w:rPr>
                        </w:pPr>
                        <w:r>
                          <w:rPr>
                            <w:b/>
                            <w:color w:val="FFFFFF"/>
                            <w:w w:val="95"/>
                            <w:sz w:val="19"/>
                          </w:rPr>
                          <w:t>$000</w:t>
                        </w:r>
                      </w:p>
                    </w:tc>
                    <w:tc>
                      <w:tcPr>
                        <w:tcW w:w="1134" w:type="dxa"/>
                        <w:shd w:val="clear" w:color="auto" w:fill="783A79"/>
                      </w:tcPr>
                      <w:p>
                        <w:pPr>
                          <w:pStyle w:val="TableParagraph"/>
                          <w:spacing w:before="47"/>
                          <w:ind w:left="597"/>
                          <w:rPr>
                            <w:b/>
                            <w:sz w:val="19"/>
                          </w:rPr>
                        </w:pPr>
                        <w:r>
                          <w:rPr>
                            <w:b/>
                            <w:color w:val="FFFFFF"/>
                            <w:sz w:val="19"/>
                          </w:rPr>
                          <w:t>2016</w:t>
                        </w:r>
                      </w:p>
                      <w:p>
                        <w:pPr>
                          <w:pStyle w:val="TableParagraph"/>
                          <w:spacing w:before="10"/>
                          <w:ind w:left="597"/>
                          <w:rPr>
                            <w:b/>
                            <w:sz w:val="19"/>
                          </w:rPr>
                        </w:pPr>
                        <w:r>
                          <w:rPr>
                            <w:b/>
                            <w:color w:val="FFFFFF"/>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Balance at start of period</w:t>
                        </w:r>
                      </w:p>
                    </w:tc>
                    <w:tc>
                      <w:tcPr>
                        <w:tcW w:w="1134" w:type="dxa"/>
                        <w:shd w:val="clear" w:color="auto" w:fill="E1E4BB"/>
                      </w:tcPr>
                      <w:p>
                        <w:pPr>
                          <w:pStyle w:val="TableParagraph"/>
                          <w:spacing w:before="37"/>
                          <w:ind w:right="111"/>
                          <w:jc w:val="right"/>
                          <w:rPr>
                            <w:sz w:val="19"/>
                          </w:rPr>
                        </w:pPr>
                        <w:r>
                          <w:rPr>
                            <w:w w:val="95"/>
                            <w:sz w:val="19"/>
                          </w:rPr>
                          <w:t>1,026,944</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996,594</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shd w:val="clear" w:color="auto" w:fill="E1E4BB"/>
                      </w:tcPr>
                      <w:p>
                        <w:pPr>
                          <w:pStyle w:val="TableParagraph"/>
                          <w:spacing w:before="0"/>
                          <w:rPr>
                            <w:rFonts w:ascii="Times New Roman"/>
                            <w:sz w:val="20"/>
                          </w:rPr>
                        </w:pP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i/>
                            <w:sz w:val="19"/>
                          </w:rPr>
                        </w:pPr>
                        <w:r>
                          <w:rPr>
                            <w:i/>
                            <w:color w:val="A7BE39"/>
                            <w:sz w:val="19"/>
                          </w:rPr>
                          <w:t>Contributions by owners</w:t>
                        </w:r>
                      </w:p>
                    </w:tc>
                    <w:tc>
                      <w:tcPr>
                        <w:tcW w:w="1134" w:type="dxa"/>
                        <w:shd w:val="clear" w:color="auto" w:fill="E1E4BB"/>
                      </w:tcPr>
                      <w:p>
                        <w:pPr>
                          <w:pStyle w:val="TableParagraph"/>
                          <w:spacing w:before="0"/>
                          <w:rPr>
                            <w:rFonts w:ascii="Times New Roman"/>
                            <w:sz w:val="20"/>
                          </w:rPr>
                        </w:pPr>
                      </w:p>
                    </w:tc>
                    <w:tc>
                      <w:tcPr>
                        <w:tcW w:w="1134"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Capital appropriations</w:t>
                        </w:r>
                      </w:p>
                    </w:tc>
                    <w:tc>
                      <w:tcPr>
                        <w:tcW w:w="1134" w:type="dxa"/>
                        <w:shd w:val="clear" w:color="auto" w:fill="E1E4BB"/>
                      </w:tcPr>
                      <w:p>
                        <w:pPr>
                          <w:pStyle w:val="TableParagraph"/>
                          <w:ind w:right="111"/>
                          <w:jc w:val="right"/>
                          <w:rPr>
                            <w:sz w:val="19"/>
                          </w:rPr>
                        </w:pPr>
                        <w:r>
                          <w:rPr>
                            <w:w w:val="95"/>
                            <w:sz w:val="19"/>
                          </w:rPr>
                          <w:t>28,763</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84,268</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shd w:val="clear" w:color="auto" w:fill="E1E4BB"/>
                      </w:tcPr>
                      <w:p>
                        <w:pPr>
                          <w:pStyle w:val="TableParagraph"/>
                          <w:spacing w:before="0"/>
                          <w:rPr>
                            <w:rFonts w:ascii="Times New Roman"/>
                            <w:sz w:val="20"/>
                          </w:rPr>
                        </w:pPr>
                      </w:p>
                    </w:tc>
                    <w:tc>
                      <w:tcPr>
                        <w:tcW w:w="1134"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i/>
                            <w:sz w:val="19"/>
                          </w:rPr>
                        </w:pPr>
                        <w:r>
                          <w:rPr>
                            <w:i/>
                            <w:color w:val="A7BE39"/>
                            <w:sz w:val="19"/>
                          </w:rPr>
                          <w:t>Other contributions by owners</w:t>
                        </w:r>
                      </w:p>
                    </w:tc>
                    <w:tc>
                      <w:tcPr>
                        <w:tcW w:w="1134" w:type="dxa"/>
                        <w:shd w:val="clear" w:color="auto" w:fill="E1E4BB"/>
                      </w:tcPr>
                      <w:p>
                        <w:pPr>
                          <w:pStyle w:val="TableParagraph"/>
                          <w:spacing w:before="0"/>
                          <w:rPr>
                            <w:rFonts w:ascii="Times New Roman"/>
                            <w:sz w:val="20"/>
                          </w:rPr>
                        </w:pP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Regional Infrastructure and Headworks Fund</w:t>
                        </w:r>
                      </w:p>
                    </w:tc>
                    <w:tc>
                      <w:tcPr>
                        <w:tcW w:w="1134" w:type="dxa"/>
                        <w:tcBorders>
                          <w:bottom w:val="single" w:sz="4" w:space="0" w:color="000000"/>
                        </w:tcBorders>
                        <w:shd w:val="clear" w:color="auto" w:fill="E1E4BB"/>
                      </w:tcPr>
                      <w:p>
                        <w:pPr>
                          <w:pStyle w:val="TableParagraph"/>
                          <w:ind w:right="111"/>
                          <w:jc w:val="right"/>
                          <w:rPr>
                            <w:sz w:val="19"/>
                          </w:rPr>
                        </w:pPr>
                        <w:r>
                          <w:rPr>
                            <w:w w:val="95"/>
                            <w:sz w:val="19"/>
                          </w:rPr>
                          <w:t>245</w:t>
                        </w: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5"/>
                            <w:sz w:val="19"/>
                          </w:rPr>
                          <w:t>5,250</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b/>
                            <w:sz w:val="19"/>
                          </w:rPr>
                        </w:pPr>
                        <w:r>
                          <w:rPr>
                            <w:b/>
                            <w:sz w:val="19"/>
                          </w:rPr>
                          <w:t>Total contributions by owners</w:t>
                        </w:r>
                      </w:p>
                    </w:tc>
                    <w:tc>
                      <w:tcPr>
                        <w:tcW w:w="1134" w:type="dxa"/>
                        <w:tcBorders>
                          <w:top w:val="single" w:sz="4" w:space="0" w:color="000000"/>
                          <w:bottom w:val="single" w:sz="4" w:space="0" w:color="000000"/>
                        </w:tcBorders>
                        <w:shd w:val="clear" w:color="auto" w:fill="E1E4BB"/>
                      </w:tcPr>
                      <w:p>
                        <w:pPr>
                          <w:pStyle w:val="TableParagraph"/>
                          <w:ind w:right="111"/>
                          <w:jc w:val="right"/>
                          <w:rPr>
                            <w:b/>
                            <w:sz w:val="19"/>
                          </w:rPr>
                        </w:pPr>
                        <w:r>
                          <w:rPr>
                            <w:b/>
                            <w:w w:val="95"/>
                            <w:sz w:val="19"/>
                          </w:rPr>
                          <w:t>245</w:t>
                        </w:r>
                      </w:p>
                    </w:tc>
                    <w:tc>
                      <w:tcPr>
                        <w:tcW w:w="1134" w:type="dxa"/>
                        <w:tcBorders>
                          <w:top w:val="single" w:sz="4" w:space="0" w:color="000000"/>
                          <w:bottom w:val="single" w:sz="4" w:space="0" w:color="000000"/>
                        </w:tcBorders>
                        <w:shd w:val="clear" w:color="auto" w:fill="FAF9F9"/>
                      </w:tcPr>
                      <w:p>
                        <w:pPr>
                          <w:pStyle w:val="TableParagraph"/>
                          <w:ind w:right="111"/>
                          <w:jc w:val="right"/>
                          <w:rPr>
                            <w:b/>
                            <w:sz w:val="19"/>
                          </w:rPr>
                        </w:pPr>
                        <w:r>
                          <w:rPr>
                            <w:b/>
                            <w:w w:val="95"/>
                            <w:sz w:val="19"/>
                          </w:rPr>
                          <w:t>5,250</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tcBorders>
                          <w:top w:val="single" w:sz="4" w:space="0" w:color="000000"/>
                        </w:tcBorders>
                        <w:shd w:val="clear" w:color="auto" w:fill="DFE1B8"/>
                      </w:tcPr>
                      <w:p>
                        <w:pPr>
                          <w:pStyle w:val="TableParagraph"/>
                          <w:spacing w:before="0"/>
                          <w:rPr>
                            <w:rFonts w:ascii="Times New Roman"/>
                            <w:sz w:val="20"/>
                          </w:rPr>
                        </w:pPr>
                      </w:p>
                    </w:tc>
                    <w:tc>
                      <w:tcPr>
                        <w:tcW w:w="1134" w:type="dxa"/>
                        <w:tcBorders>
                          <w:top w:val="single" w:sz="4" w:space="0" w:color="000000"/>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i/>
                            <w:sz w:val="19"/>
                          </w:rPr>
                        </w:pPr>
                        <w:r>
                          <w:rPr>
                            <w:i/>
                            <w:color w:val="A7BE39"/>
                            <w:sz w:val="19"/>
                          </w:rPr>
                          <w:t>Distributions to owners</w:t>
                        </w:r>
                      </w:p>
                    </w:tc>
                    <w:tc>
                      <w:tcPr>
                        <w:tcW w:w="1134" w:type="dxa"/>
                        <w:shd w:val="clear" w:color="auto" w:fill="DFE1B8"/>
                      </w:tcPr>
                      <w:p>
                        <w:pPr>
                          <w:pStyle w:val="TableParagraph"/>
                          <w:spacing w:before="0"/>
                          <w:rPr>
                            <w:rFonts w:ascii="Times New Roman"/>
                            <w:sz w:val="20"/>
                          </w:rPr>
                        </w:pP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Transfer of net assets to other agencies:</w:t>
                        </w:r>
                      </w:p>
                    </w:tc>
                    <w:tc>
                      <w:tcPr>
                        <w:tcW w:w="1134" w:type="dxa"/>
                        <w:shd w:val="clear" w:color="auto" w:fill="DFE1B8"/>
                      </w:tcPr>
                      <w:p>
                        <w:pPr>
                          <w:pStyle w:val="TableParagraph"/>
                          <w:spacing w:before="0"/>
                          <w:rPr>
                            <w:rFonts w:ascii="Times New Roman"/>
                            <w:sz w:val="20"/>
                          </w:rPr>
                        </w:pPr>
                      </w:p>
                    </w:tc>
                    <w:tc>
                      <w:tcPr>
                        <w:tcW w:w="1134"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Transfer of Fremantle Prison to State Heritage Office</w:t>
                        </w:r>
                      </w:p>
                    </w:tc>
                    <w:tc>
                      <w:tcPr>
                        <w:tcW w:w="1134" w:type="dxa"/>
                        <w:shd w:val="clear" w:color="auto" w:fill="DFE1B8"/>
                      </w:tcPr>
                      <w:p>
                        <w:pPr>
                          <w:pStyle w:val="TableParagraph"/>
                          <w:ind w:right="111"/>
                          <w:jc w:val="right"/>
                          <w:rPr>
                            <w:sz w:val="19"/>
                          </w:rPr>
                        </w:pPr>
                        <w:r>
                          <w:rPr>
                            <w:w w:val="85"/>
                            <w:sz w:val="19"/>
                          </w:rPr>
                          <w:t>(24)</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(29,758)</w:t>
                        </w:r>
                      </w:p>
                    </w:tc>
                  </w:tr>
                  <w:tr>
                    <w:trPr>
                      <w:trHeight w:val="252" w:hRule="atLeast"/>
                    </w:trPr>
                    <w:tc>
                      <w:tcPr>
                        <w:tcW w:w="5131" w:type="dxa"/>
                        <w:tcBorders>
                          <w:top w:val="single" w:sz="8" w:space="0" w:color="FFFFFF"/>
                        </w:tcBorders>
                        <w:shd w:val="clear" w:color="auto" w:fill="F4F4F4"/>
                      </w:tcPr>
                      <w:p>
                        <w:pPr>
                          <w:pStyle w:val="TableParagraph"/>
                          <w:spacing w:line="201" w:lineRule="exact"/>
                          <w:ind w:left="113"/>
                          <w:rPr>
                            <w:sz w:val="19"/>
                          </w:rPr>
                        </w:pPr>
                        <w:r>
                          <w:rPr>
                            <w:sz w:val="19"/>
                          </w:rPr>
                          <w:t>Transfer of office fit-out and fixed assets appropriation</w:t>
                        </w:r>
                      </w:p>
                    </w:tc>
                    <w:tc>
                      <w:tcPr>
                        <w:tcW w:w="1134" w:type="dxa"/>
                        <w:shd w:val="clear" w:color="auto" w:fill="DFE1B8"/>
                      </w:tcPr>
                      <w:p>
                        <w:pPr>
                          <w:pStyle w:val="TableParagraph"/>
                          <w:spacing w:line="201" w:lineRule="exact"/>
                          <w:ind w:right="111"/>
                          <w:jc w:val="right"/>
                          <w:rPr>
                            <w:sz w:val="19"/>
                          </w:rPr>
                        </w:pPr>
                        <w:r>
                          <w:rPr>
                            <w:w w:val="111"/>
                            <w:sz w:val="19"/>
                          </w:rPr>
                          <w:t>-</w:t>
                        </w:r>
                      </w:p>
                    </w:tc>
                    <w:tc>
                      <w:tcPr>
                        <w:tcW w:w="1134" w:type="dxa"/>
                        <w:tcBorders>
                          <w:top w:val="single" w:sz="8" w:space="0" w:color="FFFFFF"/>
                        </w:tcBorders>
                        <w:shd w:val="clear" w:color="auto" w:fill="F4F4F4"/>
                      </w:tcPr>
                      <w:p>
                        <w:pPr>
                          <w:pStyle w:val="TableParagraph"/>
                          <w:spacing w:line="201" w:lineRule="exact"/>
                          <w:ind w:right="111"/>
                          <w:jc w:val="right"/>
                          <w:rPr>
                            <w:sz w:val="19"/>
                          </w:rPr>
                        </w:pPr>
                        <w:r>
                          <w:rPr>
                            <w:w w:val="90"/>
                            <w:sz w:val="19"/>
                          </w:rPr>
                          <w:t>(7,493)</w:t>
                        </w:r>
                      </w:p>
                    </w:tc>
                  </w:tr>
                  <w:tr>
                    <w:trPr>
                      <w:trHeight w:val="260" w:hRule="atLeast"/>
                    </w:trPr>
                    <w:tc>
                      <w:tcPr>
                        <w:tcW w:w="5131" w:type="dxa"/>
                        <w:tcBorders>
                          <w:bottom w:val="single" w:sz="8" w:space="0" w:color="FFFFFF"/>
                        </w:tcBorders>
                        <w:shd w:val="clear" w:color="auto" w:fill="F4F4F4"/>
                      </w:tcPr>
                      <w:p>
                        <w:pPr>
                          <w:pStyle w:val="TableParagraph"/>
                          <w:spacing w:before="7"/>
                          <w:ind w:left="113"/>
                          <w:rPr>
                            <w:sz w:val="19"/>
                          </w:rPr>
                        </w:pPr>
                        <w:r>
                          <w:rPr>
                            <w:sz w:val="19"/>
                          </w:rPr>
                          <w:t>to Western Australia Police</w:t>
                        </w:r>
                      </w:p>
                    </w:tc>
                    <w:tc>
                      <w:tcPr>
                        <w:tcW w:w="1134" w:type="dxa"/>
                        <w:shd w:val="clear" w:color="auto" w:fill="DFE1B8"/>
                      </w:tcPr>
                      <w:p>
                        <w:pPr>
                          <w:pStyle w:val="TableParagraph"/>
                          <w:spacing w:before="0"/>
                          <w:rPr>
                            <w:rFonts w:ascii="Times New Roman"/>
                            <w:sz w:val="18"/>
                          </w:rPr>
                        </w:pPr>
                      </w:p>
                    </w:tc>
                    <w:tc>
                      <w:tcPr>
                        <w:tcW w:w="1134" w:type="dxa"/>
                        <w:tcBorders>
                          <w:bottom w:val="single" w:sz="8" w:space="0" w:color="FFFFFF"/>
                        </w:tcBorders>
                        <w:shd w:val="clear" w:color="auto" w:fill="F4F4F4"/>
                      </w:tcPr>
                      <w:p>
                        <w:pPr>
                          <w:pStyle w:val="TableParagraph"/>
                          <w:spacing w:before="0"/>
                          <w:rPr>
                            <w:rFonts w:ascii="Times New Roman"/>
                            <w:sz w:val="18"/>
                          </w:rPr>
                        </w:pPr>
                      </w:p>
                    </w:tc>
                  </w:tr>
                  <w:tr>
                    <w:trPr>
                      <w:trHeight w:val="252" w:hRule="atLeast"/>
                    </w:trPr>
                    <w:tc>
                      <w:tcPr>
                        <w:tcW w:w="5131" w:type="dxa"/>
                        <w:tcBorders>
                          <w:top w:val="single" w:sz="8" w:space="0" w:color="FFFFFF"/>
                        </w:tcBorders>
                        <w:shd w:val="clear" w:color="auto" w:fill="FAF9F9"/>
                      </w:tcPr>
                      <w:p>
                        <w:pPr>
                          <w:pStyle w:val="TableParagraph"/>
                          <w:spacing w:line="201" w:lineRule="exact"/>
                          <w:ind w:left="113"/>
                          <w:rPr>
                            <w:sz w:val="19"/>
                          </w:rPr>
                        </w:pPr>
                        <w:r>
                          <w:rPr>
                            <w:sz w:val="19"/>
                          </w:rPr>
                          <w:t>Transfer of office fit-out to the Department of the</w:t>
                        </w:r>
                      </w:p>
                    </w:tc>
                    <w:tc>
                      <w:tcPr>
                        <w:tcW w:w="1134" w:type="dxa"/>
                        <w:shd w:val="clear" w:color="auto" w:fill="DFE1B8"/>
                      </w:tcPr>
                      <w:p>
                        <w:pPr>
                          <w:pStyle w:val="TableParagraph"/>
                          <w:spacing w:line="201" w:lineRule="exact"/>
                          <w:ind w:right="111"/>
                          <w:jc w:val="right"/>
                          <w:rPr>
                            <w:sz w:val="19"/>
                          </w:rPr>
                        </w:pPr>
                        <w:r>
                          <w:rPr>
                            <w:w w:val="111"/>
                            <w:sz w:val="19"/>
                          </w:rPr>
                          <w:t>-</w:t>
                        </w:r>
                      </w:p>
                    </w:tc>
                    <w:tc>
                      <w:tcPr>
                        <w:tcW w:w="1134" w:type="dxa"/>
                        <w:tcBorders>
                          <w:top w:val="single" w:sz="8" w:space="0" w:color="FFFFFF"/>
                        </w:tcBorders>
                        <w:shd w:val="clear" w:color="auto" w:fill="FAF9F9"/>
                      </w:tcPr>
                      <w:p>
                        <w:pPr>
                          <w:pStyle w:val="TableParagraph"/>
                          <w:spacing w:line="201" w:lineRule="exact"/>
                          <w:ind w:right="111"/>
                          <w:jc w:val="right"/>
                          <w:rPr>
                            <w:sz w:val="19"/>
                          </w:rPr>
                        </w:pPr>
                        <w:r>
                          <w:rPr>
                            <w:w w:val="95"/>
                            <w:sz w:val="19"/>
                          </w:rPr>
                          <w:t>(21,918)</w:t>
                        </w:r>
                      </w:p>
                    </w:tc>
                  </w:tr>
                  <w:tr>
                    <w:trPr>
                      <w:trHeight w:val="260" w:hRule="atLeast"/>
                    </w:trPr>
                    <w:tc>
                      <w:tcPr>
                        <w:tcW w:w="5131" w:type="dxa"/>
                        <w:tcBorders>
                          <w:bottom w:val="single" w:sz="8" w:space="0" w:color="FFFFFF"/>
                        </w:tcBorders>
                        <w:shd w:val="clear" w:color="auto" w:fill="FAF9F9"/>
                      </w:tcPr>
                      <w:p>
                        <w:pPr>
                          <w:pStyle w:val="TableParagraph"/>
                          <w:spacing w:before="7"/>
                          <w:ind w:left="113"/>
                          <w:rPr>
                            <w:sz w:val="19"/>
                          </w:rPr>
                        </w:pPr>
                        <w:r>
                          <w:rPr>
                            <w:sz w:val="19"/>
                          </w:rPr>
                          <w:t>Attorney General</w:t>
                        </w:r>
                      </w:p>
                    </w:tc>
                    <w:tc>
                      <w:tcPr>
                        <w:tcW w:w="1134" w:type="dxa"/>
                        <w:tcBorders>
                          <w:bottom w:val="single" w:sz="4" w:space="0" w:color="000000"/>
                        </w:tcBorders>
                        <w:shd w:val="clear" w:color="auto" w:fill="DFE1B8"/>
                      </w:tcPr>
                      <w:p>
                        <w:pPr>
                          <w:pStyle w:val="TableParagraph"/>
                          <w:spacing w:before="0"/>
                          <w:rPr>
                            <w:rFonts w:ascii="Times New Roman"/>
                            <w:sz w:val="18"/>
                          </w:rPr>
                        </w:pPr>
                      </w:p>
                    </w:tc>
                    <w:tc>
                      <w:tcPr>
                        <w:tcW w:w="1134" w:type="dxa"/>
                        <w:tcBorders>
                          <w:bottom w:val="single" w:sz="4" w:space="0" w:color="000000"/>
                        </w:tcBorders>
                        <w:shd w:val="clear" w:color="auto" w:fill="FAF9F9"/>
                      </w:tcPr>
                      <w:p>
                        <w:pPr>
                          <w:pStyle w:val="TableParagraph"/>
                          <w:spacing w:before="0"/>
                          <w:rPr>
                            <w:rFonts w:ascii="Times New Roman"/>
                            <w:sz w:val="18"/>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b/>
                            <w:sz w:val="19"/>
                          </w:rPr>
                        </w:pPr>
                        <w:r>
                          <w:rPr>
                            <w:b/>
                            <w:sz w:val="19"/>
                          </w:rPr>
                          <w:t>Total distributions to owners</w:t>
                        </w:r>
                      </w:p>
                    </w:tc>
                    <w:tc>
                      <w:tcPr>
                        <w:tcW w:w="1134" w:type="dxa"/>
                        <w:tcBorders>
                          <w:top w:val="single" w:sz="4" w:space="0" w:color="000000"/>
                          <w:bottom w:val="single" w:sz="4" w:space="0" w:color="000000"/>
                        </w:tcBorders>
                        <w:shd w:val="clear" w:color="auto" w:fill="E1E4BB"/>
                      </w:tcPr>
                      <w:p>
                        <w:pPr>
                          <w:pStyle w:val="TableParagraph"/>
                          <w:ind w:right="111"/>
                          <w:jc w:val="right"/>
                          <w:rPr>
                            <w:b/>
                            <w:sz w:val="19"/>
                          </w:rPr>
                        </w:pPr>
                        <w:r>
                          <w:rPr>
                            <w:b/>
                            <w:w w:val="95"/>
                            <w:sz w:val="19"/>
                          </w:rPr>
                          <w:t>(24)</w:t>
                        </w:r>
                      </w:p>
                    </w:tc>
                    <w:tc>
                      <w:tcPr>
                        <w:tcW w:w="1134" w:type="dxa"/>
                        <w:tcBorders>
                          <w:top w:val="single" w:sz="4" w:space="0" w:color="000000"/>
                          <w:bottom w:val="single" w:sz="4" w:space="0" w:color="000000"/>
                        </w:tcBorders>
                        <w:shd w:val="clear" w:color="auto" w:fill="F4F4F4"/>
                      </w:tcPr>
                      <w:p>
                        <w:pPr>
                          <w:pStyle w:val="TableParagraph"/>
                          <w:ind w:right="111"/>
                          <w:jc w:val="right"/>
                          <w:rPr>
                            <w:b/>
                            <w:sz w:val="19"/>
                          </w:rPr>
                        </w:pPr>
                        <w:r>
                          <w:rPr>
                            <w:b/>
                            <w:w w:val="95"/>
                            <w:sz w:val="19"/>
                          </w:rPr>
                          <w:t>(59,169)</w:t>
                        </w:r>
                      </w:p>
                    </w:tc>
                  </w:tr>
                  <w:tr>
                    <w:trPr>
                      <w:trHeight w:val="265" w:hRule="atLeast"/>
                    </w:trPr>
                    <w:tc>
                      <w:tcPr>
                        <w:tcW w:w="5131" w:type="dxa"/>
                        <w:tcBorders>
                          <w:top w:val="single" w:sz="8" w:space="0" w:color="FFFFFF"/>
                          <w:bottom w:val="single" w:sz="8" w:space="0" w:color="FFFFFF"/>
                        </w:tcBorders>
                        <w:shd w:val="clear" w:color="auto" w:fill="FAF9F9"/>
                      </w:tcPr>
                      <w:p>
                        <w:pPr>
                          <w:pStyle w:val="TableParagraph"/>
                          <w:spacing w:line="214" w:lineRule="exact"/>
                          <w:ind w:left="113"/>
                          <w:rPr>
                            <w:b/>
                            <w:sz w:val="19"/>
                          </w:rPr>
                        </w:pPr>
                        <w:r>
                          <w:rPr>
                            <w:b/>
                            <w:sz w:val="19"/>
                          </w:rPr>
                          <w:t>Balance at end of period</w:t>
                        </w:r>
                      </w:p>
                    </w:tc>
                    <w:tc>
                      <w:tcPr>
                        <w:tcW w:w="1134" w:type="dxa"/>
                        <w:tcBorders>
                          <w:top w:val="single" w:sz="4" w:space="0" w:color="000000"/>
                          <w:bottom w:val="single" w:sz="24" w:space="0" w:color="FFFFFF"/>
                        </w:tcBorders>
                        <w:shd w:val="clear" w:color="auto" w:fill="DFE1B8"/>
                      </w:tcPr>
                      <w:p>
                        <w:pPr>
                          <w:pStyle w:val="TableParagraph"/>
                          <w:spacing w:line="214" w:lineRule="exact"/>
                          <w:ind w:right="111"/>
                          <w:jc w:val="right"/>
                          <w:rPr>
                            <w:b/>
                            <w:sz w:val="19"/>
                          </w:rPr>
                        </w:pPr>
                        <w:r>
                          <w:rPr>
                            <w:b/>
                            <w:w w:val="95"/>
                            <w:sz w:val="19"/>
                          </w:rPr>
                          <w:t>1,055,928</w:t>
                        </w:r>
                      </w:p>
                    </w:tc>
                    <w:tc>
                      <w:tcPr>
                        <w:tcW w:w="1134" w:type="dxa"/>
                        <w:tcBorders>
                          <w:top w:val="single" w:sz="4" w:space="0" w:color="000000"/>
                          <w:bottom w:val="single" w:sz="24" w:space="0" w:color="FFFFFF"/>
                        </w:tcBorders>
                        <w:shd w:val="clear" w:color="auto" w:fill="FAF9F9"/>
                      </w:tcPr>
                      <w:p>
                        <w:pPr>
                          <w:pStyle w:val="TableParagraph"/>
                          <w:spacing w:line="214" w:lineRule="exact"/>
                          <w:ind w:right="111"/>
                          <w:jc w:val="right"/>
                          <w:rPr>
                            <w:b/>
                            <w:sz w:val="19"/>
                          </w:rPr>
                        </w:pPr>
                        <w:r>
                          <w:rPr>
                            <w:b/>
                            <w:w w:val="95"/>
                            <w:sz w:val="19"/>
                          </w:rPr>
                          <w:t>1,026,944</w:t>
                        </w:r>
                      </w:p>
                    </w:tc>
                  </w:tr>
                </w:tbl>
                <w:p>
                  <w:pPr>
                    <w:pStyle w:val="BodyText"/>
                  </w:pPr>
                </w:p>
              </w:txbxContent>
            </v:textbox>
            <w10:wrap type="none"/>
          </v:shape>
        </w:pict>
      </w:r>
      <w:r>
        <w:rPr>
          <w:b/>
          <w:sz w:val="19"/>
        </w:rPr>
        <w:t>Contributed equity</w:t>
      </w:r>
    </w:p>
    <w:p>
      <w:pPr>
        <w:spacing w:after="0"/>
        <w:jc w:val="left"/>
        <w:rPr>
          <w:sz w:val="19"/>
        </w:rPr>
        <w:sectPr>
          <w:type w:val="continuous"/>
          <w:pgSz w:w="16840" w:h="11910" w:orient="landscape"/>
          <w:pgMar w:top="0" w:bottom="0" w:left="0" w:right="0"/>
          <w:cols w:num="2" w:equalWidth="0">
            <w:col w:w="8164" w:space="40"/>
            <w:col w:w="8636"/>
          </w:cols>
        </w:sectPr>
      </w:pPr>
    </w:p>
    <w:p>
      <w:pPr>
        <w:pStyle w:val="BodyText"/>
        <w:spacing w:before="10"/>
        <w:rPr>
          <w:b/>
          <w:sz w:val="6"/>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Current</w:t>
            </w:r>
          </w:p>
        </w:tc>
        <w:tc>
          <w:tcPr>
            <w:tcW w:w="1134" w:type="dxa"/>
            <w:vMerge w:val="restart"/>
            <w:tcBorders>
              <w:bottom w:val="single" w:sz="4" w:space="0" w:color="000000"/>
            </w:tcBorders>
            <w:shd w:val="clear" w:color="auto" w:fill="E1E4BB"/>
          </w:tcPr>
          <w:p>
            <w:pPr>
              <w:pStyle w:val="TableParagraph"/>
              <w:spacing w:before="37"/>
              <w:ind w:right="111"/>
              <w:jc w:val="right"/>
              <w:rPr>
                <w:sz w:val="19"/>
              </w:rPr>
            </w:pPr>
            <w:r>
              <w:rPr>
                <w:w w:val="111"/>
                <w:sz w:val="19"/>
              </w:rPr>
              <w:t>-</w:t>
            </w:r>
          </w:p>
          <w:p>
            <w:pPr>
              <w:pStyle w:val="TableParagraph"/>
              <w:spacing w:before="87"/>
              <w:ind w:right="111"/>
              <w:jc w:val="right"/>
              <w:rPr>
                <w:sz w:val="19"/>
              </w:rPr>
            </w:pPr>
            <w:r>
              <w:rPr>
                <w:w w:val="95"/>
                <w:sz w:val="19"/>
              </w:rPr>
              <w:t>24,055</w:t>
            </w:r>
          </w:p>
        </w:tc>
        <w:tc>
          <w:tcPr>
            <w:tcW w:w="1134" w:type="dxa"/>
            <w:tcBorders>
              <w:bottom w:val="single" w:sz="8" w:space="0" w:color="FFFFFF"/>
            </w:tcBorders>
            <w:shd w:val="clear" w:color="auto" w:fill="F4F4F4"/>
          </w:tcPr>
          <w:p>
            <w:pPr>
              <w:pStyle w:val="TableParagraph"/>
              <w:spacing w:before="37"/>
              <w:ind w:right="111"/>
              <w:jc w:val="right"/>
              <w:rPr>
                <w:sz w:val="19"/>
              </w:rPr>
            </w:pPr>
            <w:r>
              <w:rPr>
                <w:w w:val="111"/>
                <w:sz w:val="19"/>
              </w:rPr>
              <w:t>-</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Unearned revenue</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26,996</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DFE1B8"/>
          </w:tcPr>
          <w:p>
            <w:pPr>
              <w:pStyle w:val="TableParagraph"/>
              <w:spacing w:line="213" w:lineRule="exact"/>
              <w:ind w:left="439"/>
              <w:rPr>
                <w:b/>
                <w:sz w:val="19"/>
              </w:rPr>
            </w:pPr>
            <w:r>
              <w:rPr>
                <w:b/>
                <w:sz w:val="19"/>
              </w:rPr>
              <w:t>24,055</w:t>
            </w:r>
          </w:p>
        </w:tc>
        <w:tc>
          <w:tcPr>
            <w:tcW w:w="1134" w:type="dxa"/>
            <w:tcBorders>
              <w:top w:val="single" w:sz="4" w:space="0" w:color="000000"/>
              <w:bottom w:val="single" w:sz="24" w:space="0" w:color="FFFFFF"/>
            </w:tcBorders>
            <w:shd w:val="clear" w:color="auto" w:fill="F4F4F4"/>
          </w:tcPr>
          <w:p>
            <w:pPr>
              <w:pStyle w:val="TableParagraph"/>
              <w:spacing w:line="213" w:lineRule="exact"/>
              <w:ind w:right="111"/>
              <w:jc w:val="right"/>
              <w:rPr>
                <w:b/>
                <w:sz w:val="19"/>
              </w:rPr>
            </w:pPr>
            <w:r>
              <w:rPr>
                <w:b/>
                <w:w w:val="95"/>
                <w:sz w:val="19"/>
              </w:rPr>
              <w:t>26,996</w:t>
            </w:r>
          </w:p>
        </w:tc>
      </w:tr>
    </w:tbl>
    <w:p>
      <w:pPr>
        <w:spacing w:after="0" w:line="213" w:lineRule="exact"/>
        <w:jc w:val="right"/>
        <w:rPr>
          <w:sz w:val="19"/>
        </w:rPr>
        <w:sectPr>
          <w:type w:val="continuous"/>
          <w:pgSz w:w="16840" w:h="11910" w:orient="landscape"/>
          <w:pgMar w:top="0" w:bottom="0" w:left="0" w:right="0"/>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b/>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b/>
          <w:sz w:val="23"/>
        </w:rPr>
      </w:pPr>
    </w:p>
    <w:p>
      <w:pPr>
        <w:pStyle w:val="Heading1"/>
      </w:pPr>
      <w:r>
        <w:rPr/>
        <w:pict>
          <v:group style="position:absolute;margin-left:763.172119pt;margin-top:-3.594212pt;width:61.1pt;height:45.2pt;mso-position-horizontal-relative:page;mso-position-vertical-relative:paragraph;z-index:19672"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b/>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19792"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b/>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19816" type="#_x0000_t202" filled="true" fillcolor="#b6c247" stroked="false">
            <v:textbox inset="0,0,0,0">
              <w:txbxContent>
                <w:p>
                  <w:pPr>
                    <w:pStyle w:val="BodyText"/>
                    <w:spacing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10"/>
        <w:rPr>
          <w:sz w:val="12"/>
        </w:rPr>
      </w:pPr>
    </w:p>
    <w:p>
      <w:pPr>
        <w:spacing w:after="0"/>
        <w:rPr>
          <w:sz w:val="12"/>
        </w:rPr>
        <w:sectPr>
          <w:footerReference w:type="default" r:id="rId217"/>
          <w:pgSz w:w="16840" w:h="11910" w:orient="landscape"/>
          <w:pgMar w:footer="448" w:header="0" w:top="0" w:bottom="640" w:left="0" w:right="0"/>
        </w:sectPr>
      </w:pPr>
    </w:p>
    <w:p>
      <w:pPr>
        <w:pStyle w:val="BodyText"/>
        <w:spacing w:before="3"/>
        <w:rPr>
          <w:sz w:val="20"/>
        </w:rPr>
      </w:pPr>
    </w:p>
    <w:p>
      <w:pPr>
        <w:spacing w:before="0" w:after="40"/>
        <w:ind w:left="765" w:right="0" w:firstLine="0"/>
        <w:jc w:val="left"/>
        <w:rPr>
          <w:b/>
          <w:sz w:val="19"/>
        </w:rPr>
      </w:pPr>
      <w:r>
        <w:rPr>
          <w:b/>
          <w:sz w:val="19"/>
        </w:rPr>
        <w:t>Reserves</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312" w:hRule="atLeast"/>
        </w:trPr>
        <w:tc>
          <w:tcPr>
            <w:tcW w:w="5131" w:type="dxa"/>
            <w:tcBorders>
              <w:bottom w:val="single" w:sz="8" w:space="0" w:color="FFFFFF"/>
            </w:tcBorders>
            <w:shd w:val="clear" w:color="auto" w:fill="F4F4F4"/>
          </w:tcPr>
          <w:p>
            <w:pPr>
              <w:pStyle w:val="TableParagraph"/>
              <w:spacing w:before="37"/>
              <w:ind w:left="113"/>
              <w:rPr>
                <w:i/>
                <w:sz w:val="19"/>
              </w:rPr>
            </w:pPr>
            <w:r>
              <w:rPr>
                <w:i/>
                <w:color w:val="A7BE39"/>
                <w:sz w:val="19"/>
              </w:rPr>
              <w:t>Asset revaluation reserve</w:t>
            </w:r>
          </w:p>
        </w:tc>
        <w:tc>
          <w:tcPr>
            <w:tcW w:w="1134" w:type="dxa"/>
            <w:vMerge w:val="restart"/>
            <w:tcBorders>
              <w:bottom w:val="single" w:sz="4" w:space="0" w:color="000000"/>
            </w:tcBorders>
            <w:shd w:val="clear" w:color="auto" w:fill="DFE1B8"/>
          </w:tcPr>
          <w:p>
            <w:pPr>
              <w:pStyle w:val="TableParagraph"/>
              <w:spacing w:before="8"/>
              <w:rPr>
                <w:b/>
                <w:sz w:val="31"/>
              </w:rPr>
            </w:pPr>
          </w:p>
          <w:p>
            <w:pPr>
              <w:pStyle w:val="TableParagraph"/>
              <w:spacing w:before="0"/>
              <w:ind w:right="111"/>
              <w:jc w:val="right"/>
              <w:rPr>
                <w:sz w:val="19"/>
              </w:rPr>
            </w:pPr>
            <w:r>
              <w:rPr>
                <w:w w:val="111"/>
                <w:sz w:val="19"/>
              </w:rPr>
              <w:t>-</w:t>
            </w:r>
          </w:p>
          <w:p>
            <w:pPr>
              <w:pStyle w:val="TableParagraph"/>
              <w:spacing w:before="0"/>
              <w:rPr>
                <w:b/>
                <w:sz w:val="22"/>
              </w:rPr>
            </w:pPr>
          </w:p>
          <w:p>
            <w:pPr>
              <w:pStyle w:val="TableParagraph"/>
              <w:spacing w:before="183"/>
              <w:ind w:right="111"/>
              <w:jc w:val="right"/>
              <w:rPr>
                <w:sz w:val="19"/>
              </w:rPr>
            </w:pPr>
            <w:r>
              <w:rPr>
                <w:w w:val="111"/>
                <w:sz w:val="19"/>
              </w:rPr>
              <w:t>-</w:t>
            </w:r>
          </w:p>
          <w:p>
            <w:pPr>
              <w:pStyle w:val="TableParagraph"/>
              <w:spacing w:before="108"/>
              <w:ind w:right="111"/>
              <w:jc w:val="right"/>
              <w:rPr>
                <w:sz w:val="19"/>
              </w:rPr>
            </w:pPr>
            <w:r>
              <w:rPr>
                <w:w w:val="111"/>
                <w:sz w:val="19"/>
              </w:rPr>
              <w:t>-</w:t>
            </w:r>
          </w:p>
        </w:tc>
        <w:tc>
          <w:tcPr>
            <w:tcW w:w="1134" w:type="dxa"/>
            <w:tcBorders>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Balance at start of period</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18,665</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Net revaluation increments/(decrements):</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271"/>
              <w:rPr>
                <w:sz w:val="19"/>
              </w:rPr>
            </w:pPr>
            <w:r>
              <w:rPr>
                <w:sz w:val="19"/>
              </w:rPr>
              <w:t>Land</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(17,077)</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271"/>
              <w:rPr>
                <w:sz w:val="19"/>
              </w:rPr>
            </w:pPr>
            <w:r>
              <w:rPr>
                <w:sz w:val="19"/>
              </w:rPr>
              <w:t>Buildings</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4" w:space="0" w:color="000000"/>
            </w:tcBorders>
            <w:shd w:val="clear" w:color="auto" w:fill="F4F4F4"/>
          </w:tcPr>
          <w:p>
            <w:pPr>
              <w:pStyle w:val="TableParagraph"/>
              <w:ind w:right="111"/>
              <w:jc w:val="right"/>
              <w:rPr>
                <w:sz w:val="19"/>
              </w:rPr>
            </w:pPr>
            <w:r>
              <w:rPr>
                <w:w w:val="90"/>
                <w:sz w:val="19"/>
              </w:rPr>
              <w:t>(1,588)</w:t>
            </w:r>
          </w:p>
        </w:tc>
      </w:tr>
      <w:tr>
        <w:trPr>
          <w:trHeight w:val="274" w:hRule="atLeast"/>
        </w:trPr>
        <w:tc>
          <w:tcPr>
            <w:tcW w:w="5131" w:type="dxa"/>
            <w:tcBorders>
              <w:top w:val="single" w:sz="8" w:space="0" w:color="FFFFFF"/>
              <w:bottom w:val="single" w:sz="8" w:space="0" w:color="FFFFFF"/>
            </w:tcBorders>
            <w:shd w:val="clear" w:color="auto" w:fill="FAF9F9"/>
          </w:tcPr>
          <w:p>
            <w:pPr>
              <w:pStyle w:val="TableParagraph"/>
              <w:ind w:left="113"/>
              <w:rPr>
                <w:b/>
                <w:sz w:val="19"/>
              </w:rPr>
            </w:pPr>
            <w:r>
              <w:rPr>
                <w:b/>
                <w:sz w:val="19"/>
              </w:rPr>
              <w:t>Balance at end of period</w:t>
            </w:r>
          </w:p>
        </w:tc>
        <w:tc>
          <w:tcPr>
            <w:tcW w:w="1134" w:type="dxa"/>
            <w:tcBorders>
              <w:top w:val="single" w:sz="4" w:space="0" w:color="000000"/>
              <w:bottom w:val="single" w:sz="34" w:space="0" w:color="FFFFFF"/>
            </w:tcBorders>
            <w:shd w:val="clear" w:color="auto" w:fill="E1E4BB"/>
          </w:tcPr>
          <w:p>
            <w:pPr>
              <w:pStyle w:val="TableParagraph"/>
              <w:ind w:right="111"/>
              <w:jc w:val="right"/>
              <w:rPr>
                <w:b/>
                <w:sz w:val="19"/>
              </w:rPr>
            </w:pPr>
            <w:r>
              <w:rPr>
                <w:b/>
                <w:w w:val="122"/>
                <w:sz w:val="19"/>
              </w:rPr>
              <w:t>-</w:t>
            </w:r>
          </w:p>
        </w:tc>
        <w:tc>
          <w:tcPr>
            <w:tcW w:w="1134" w:type="dxa"/>
            <w:tcBorders>
              <w:top w:val="single" w:sz="4" w:space="0" w:color="000000"/>
              <w:bottom w:val="single" w:sz="34" w:space="0" w:color="FFFFFF"/>
            </w:tcBorders>
            <w:shd w:val="clear" w:color="auto" w:fill="FAF9F9"/>
          </w:tcPr>
          <w:p>
            <w:pPr>
              <w:pStyle w:val="TableParagraph"/>
              <w:ind w:right="111"/>
              <w:jc w:val="right"/>
              <w:rPr>
                <w:b/>
                <w:sz w:val="19"/>
              </w:rPr>
            </w:pPr>
            <w:r>
              <w:rPr>
                <w:b/>
                <w:w w:val="122"/>
                <w:sz w:val="19"/>
              </w:rPr>
              <w:t>-</w:t>
            </w:r>
          </w:p>
        </w:tc>
      </w:tr>
    </w:tbl>
    <w:p>
      <w:pPr>
        <w:pStyle w:val="BodyText"/>
        <w:spacing w:before="6"/>
        <w:rPr>
          <w:b/>
          <w:sz w:val="29"/>
        </w:rPr>
      </w:pPr>
    </w:p>
    <w:p>
      <w:pPr>
        <w:spacing w:before="0"/>
        <w:ind w:left="878" w:right="0" w:firstLine="0"/>
        <w:jc w:val="left"/>
        <w:rPr>
          <w:b/>
          <w:sz w:val="19"/>
        </w:rPr>
      </w:pPr>
      <w:r>
        <w:rPr/>
        <w:pict>
          <v:shape style="position:absolute;margin-left:38.268002pt;margin-top:13.978276pt;width:369.95pt;height:93.9pt;mso-position-horizontal-relative:page;mso-position-vertical-relative:paragraph;z-index:1984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312"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Balance at start of period</w:t>
                        </w:r>
                      </w:p>
                    </w:tc>
                    <w:tc>
                      <w:tcPr>
                        <w:tcW w:w="1134" w:type="dxa"/>
                        <w:vMerge w:val="restart"/>
                        <w:tcBorders>
                          <w:bottom w:val="single" w:sz="4" w:space="0" w:color="000000"/>
                        </w:tcBorders>
                        <w:shd w:val="clear" w:color="auto" w:fill="E1E4BB"/>
                      </w:tcPr>
                      <w:p>
                        <w:pPr>
                          <w:pStyle w:val="TableParagraph"/>
                          <w:spacing w:before="37"/>
                          <w:ind w:left="439"/>
                          <w:rPr>
                            <w:sz w:val="19"/>
                          </w:rPr>
                        </w:pPr>
                        <w:r>
                          <w:rPr>
                            <w:sz w:val="19"/>
                          </w:rPr>
                          <w:t>48,292</w:t>
                        </w:r>
                      </w:p>
                      <w:p>
                        <w:pPr>
                          <w:pStyle w:val="TableParagraph"/>
                          <w:spacing w:before="109"/>
                          <w:ind w:left="439"/>
                          <w:rPr>
                            <w:sz w:val="19"/>
                          </w:rPr>
                        </w:pPr>
                        <w:r>
                          <w:rPr>
                            <w:sz w:val="19"/>
                          </w:rPr>
                          <w:t>10,841</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68,783</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Result for the period</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(20,491)</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b/>
                            <w:sz w:val="19"/>
                          </w:rPr>
                        </w:pPr>
                        <w:r>
                          <w:rPr>
                            <w:b/>
                            <w:sz w:val="19"/>
                          </w:rPr>
                          <w:t>Balance at end of period</w:t>
                        </w:r>
                      </w:p>
                    </w:tc>
                    <w:tc>
                      <w:tcPr>
                        <w:tcW w:w="1134" w:type="dxa"/>
                        <w:tcBorders>
                          <w:top w:val="single" w:sz="4" w:space="0" w:color="000000"/>
                          <w:bottom w:val="single" w:sz="4" w:space="0" w:color="000000"/>
                        </w:tcBorders>
                        <w:shd w:val="clear" w:color="auto" w:fill="DFE1B8"/>
                      </w:tcPr>
                      <w:p>
                        <w:pPr>
                          <w:pStyle w:val="TableParagraph"/>
                          <w:ind w:right="111"/>
                          <w:jc w:val="right"/>
                          <w:rPr>
                            <w:b/>
                            <w:sz w:val="19"/>
                          </w:rPr>
                        </w:pPr>
                        <w:r>
                          <w:rPr>
                            <w:b/>
                            <w:w w:val="95"/>
                            <w:sz w:val="19"/>
                          </w:rPr>
                          <w:t>59,133</w:t>
                        </w:r>
                      </w:p>
                    </w:tc>
                    <w:tc>
                      <w:tcPr>
                        <w:tcW w:w="1134" w:type="dxa"/>
                        <w:tcBorders>
                          <w:top w:val="single" w:sz="4" w:space="0" w:color="000000"/>
                          <w:bottom w:val="single" w:sz="4" w:space="0" w:color="000000"/>
                        </w:tcBorders>
                        <w:shd w:val="clear" w:color="auto" w:fill="F4F4F4"/>
                      </w:tcPr>
                      <w:p>
                        <w:pPr>
                          <w:pStyle w:val="TableParagraph"/>
                          <w:ind w:right="111"/>
                          <w:jc w:val="right"/>
                          <w:rPr>
                            <w:b/>
                            <w:sz w:val="19"/>
                          </w:rPr>
                        </w:pPr>
                        <w:r>
                          <w:rPr>
                            <w:b/>
                            <w:w w:val="95"/>
                            <w:sz w:val="19"/>
                          </w:rPr>
                          <w:t>48,292</w:t>
                        </w:r>
                      </w:p>
                    </w:tc>
                  </w:tr>
                  <w:tr>
                    <w:trPr>
                      <w:trHeight w:val="287" w:hRule="atLeast"/>
                    </w:trPr>
                    <w:tc>
                      <w:tcPr>
                        <w:tcW w:w="5131" w:type="dxa"/>
                        <w:tcBorders>
                          <w:top w:val="single" w:sz="8" w:space="0" w:color="FFFFFF"/>
                          <w:bottom w:val="single" w:sz="8" w:space="0" w:color="FFFFFF"/>
                        </w:tcBorders>
                        <w:shd w:val="clear" w:color="auto" w:fill="FAF9F9"/>
                      </w:tcPr>
                      <w:p>
                        <w:pPr>
                          <w:pStyle w:val="TableParagraph"/>
                          <w:ind w:left="113"/>
                          <w:rPr>
                            <w:b/>
                            <w:sz w:val="19"/>
                          </w:rPr>
                        </w:pPr>
                        <w:r>
                          <w:rPr>
                            <w:b/>
                            <w:sz w:val="19"/>
                          </w:rPr>
                          <w:t>Total equity at end of period</w:t>
                        </w:r>
                      </w:p>
                    </w:tc>
                    <w:tc>
                      <w:tcPr>
                        <w:tcW w:w="1134" w:type="dxa"/>
                        <w:tcBorders>
                          <w:top w:val="single" w:sz="4" w:space="0" w:color="000000"/>
                          <w:bottom w:val="single" w:sz="24" w:space="0" w:color="FFFFFF"/>
                        </w:tcBorders>
                        <w:shd w:val="clear" w:color="auto" w:fill="E1E4BB"/>
                      </w:tcPr>
                      <w:p>
                        <w:pPr>
                          <w:pStyle w:val="TableParagraph"/>
                          <w:ind w:right="111"/>
                          <w:jc w:val="right"/>
                          <w:rPr>
                            <w:b/>
                            <w:sz w:val="19"/>
                          </w:rPr>
                        </w:pPr>
                        <w:r>
                          <w:rPr>
                            <w:b/>
                            <w:w w:val="95"/>
                            <w:sz w:val="19"/>
                          </w:rPr>
                          <w:t>1,115,061</w:t>
                        </w:r>
                      </w:p>
                    </w:tc>
                    <w:tc>
                      <w:tcPr>
                        <w:tcW w:w="1134" w:type="dxa"/>
                        <w:tcBorders>
                          <w:top w:val="single" w:sz="4" w:space="0" w:color="000000"/>
                          <w:bottom w:val="single" w:sz="24" w:space="0" w:color="FFFFFF"/>
                        </w:tcBorders>
                        <w:shd w:val="clear" w:color="auto" w:fill="FAF9F9"/>
                      </w:tcPr>
                      <w:p>
                        <w:pPr>
                          <w:pStyle w:val="TableParagraph"/>
                          <w:ind w:right="111"/>
                          <w:jc w:val="right"/>
                          <w:rPr>
                            <w:b/>
                            <w:sz w:val="19"/>
                          </w:rPr>
                        </w:pPr>
                        <w:r>
                          <w:rPr>
                            <w:b/>
                            <w:w w:val="95"/>
                            <w:sz w:val="19"/>
                          </w:rPr>
                          <w:t>1,075,236</w:t>
                        </w:r>
                      </w:p>
                    </w:tc>
                  </w:tr>
                </w:tbl>
                <w:p>
                  <w:pPr>
                    <w:pStyle w:val="BodyText"/>
                  </w:pPr>
                </w:p>
              </w:txbxContent>
            </v:textbox>
            <w10:wrap type="none"/>
          </v:shape>
        </w:pict>
      </w:r>
      <w:r>
        <w:rPr>
          <w:b/>
          <w:sz w:val="19"/>
        </w:rPr>
        <w:t>Accumulated surplus</w:t>
      </w:r>
    </w:p>
    <w:p>
      <w:pPr>
        <w:pStyle w:val="Heading5"/>
        <w:ind w:left="427"/>
      </w:pPr>
      <w:r>
        <w:rPr/>
        <w:br w:type="column"/>
      </w:r>
      <w:bookmarkStart w:name="_bookmark52" w:id="53"/>
      <w:bookmarkEnd w:id="53"/>
      <w:r>
        <w:rPr/>
      </w:r>
      <w:r>
        <w:rPr>
          <w:color w:val="6F2770"/>
        </w:rPr>
        <w:t>Note 34. Notes to the Statement of Cash Flows</w:t>
      </w:r>
    </w:p>
    <w:p>
      <w:pPr>
        <w:spacing w:before="246"/>
        <w:ind w:left="427" w:right="0" w:firstLine="0"/>
        <w:jc w:val="left"/>
        <w:rPr>
          <w:b/>
          <w:sz w:val="19"/>
        </w:rPr>
      </w:pPr>
      <w:r>
        <w:rPr>
          <w:b/>
          <w:sz w:val="19"/>
        </w:rPr>
        <w:t>Reconciliation of cash</w:t>
      </w:r>
    </w:p>
    <w:p>
      <w:pPr>
        <w:spacing w:line="249" w:lineRule="auto" w:before="9"/>
        <w:ind w:left="427" w:right="755" w:firstLine="0"/>
        <w:jc w:val="left"/>
        <w:rPr>
          <w:sz w:val="19"/>
        </w:rPr>
      </w:pPr>
      <w:r>
        <w:rPr>
          <w:sz w:val="19"/>
        </w:rPr>
        <w:t>Cash</w:t>
      </w:r>
      <w:r>
        <w:rPr>
          <w:spacing w:val="-16"/>
          <w:sz w:val="19"/>
        </w:rPr>
        <w:t> </w:t>
      </w:r>
      <w:r>
        <w:rPr>
          <w:sz w:val="19"/>
        </w:rPr>
        <w:t>at</w:t>
      </w:r>
      <w:r>
        <w:rPr>
          <w:spacing w:val="-16"/>
          <w:sz w:val="19"/>
        </w:rPr>
        <w:t> </w:t>
      </w:r>
      <w:r>
        <w:rPr>
          <w:sz w:val="19"/>
        </w:rPr>
        <w:t>the</w:t>
      </w:r>
      <w:r>
        <w:rPr>
          <w:spacing w:val="-15"/>
          <w:sz w:val="19"/>
        </w:rPr>
        <w:t> </w:t>
      </w:r>
      <w:r>
        <w:rPr>
          <w:sz w:val="19"/>
        </w:rPr>
        <w:t>end</w:t>
      </w:r>
      <w:r>
        <w:rPr>
          <w:spacing w:val="-16"/>
          <w:sz w:val="19"/>
        </w:rPr>
        <w:t> </w:t>
      </w:r>
      <w:r>
        <w:rPr>
          <w:sz w:val="19"/>
        </w:rPr>
        <w:t>of</w:t>
      </w:r>
      <w:r>
        <w:rPr>
          <w:spacing w:val="-16"/>
          <w:sz w:val="19"/>
        </w:rPr>
        <w:t> </w:t>
      </w:r>
      <w:r>
        <w:rPr>
          <w:sz w:val="19"/>
        </w:rPr>
        <w:t>the</w:t>
      </w:r>
      <w:r>
        <w:rPr>
          <w:spacing w:val="-15"/>
          <w:sz w:val="19"/>
        </w:rPr>
        <w:t> </w:t>
      </w:r>
      <w:r>
        <w:rPr>
          <w:sz w:val="19"/>
        </w:rPr>
        <w:t>financial</w:t>
      </w:r>
      <w:r>
        <w:rPr>
          <w:spacing w:val="-16"/>
          <w:sz w:val="19"/>
        </w:rPr>
        <w:t> </w:t>
      </w:r>
      <w:r>
        <w:rPr>
          <w:sz w:val="19"/>
        </w:rPr>
        <w:t>year</w:t>
      </w:r>
      <w:r>
        <w:rPr>
          <w:spacing w:val="-15"/>
          <w:sz w:val="19"/>
        </w:rPr>
        <w:t> </w:t>
      </w:r>
      <w:r>
        <w:rPr>
          <w:sz w:val="19"/>
        </w:rPr>
        <w:t>as</w:t>
      </w:r>
      <w:r>
        <w:rPr>
          <w:spacing w:val="-16"/>
          <w:sz w:val="19"/>
        </w:rPr>
        <w:t> </w:t>
      </w:r>
      <w:r>
        <w:rPr>
          <w:sz w:val="19"/>
        </w:rPr>
        <w:t>shown</w:t>
      </w:r>
      <w:r>
        <w:rPr>
          <w:spacing w:val="-16"/>
          <w:sz w:val="19"/>
        </w:rPr>
        <w:t> </w:t>
      </w:r>
      <w:r>
        <w:rPr>
          <w:sz w:val="19"/>
        </w:rPr>
        <w:t>in</w:t>
      </w:r>
      <w:r>
        <w:rPr>
          <w:spacing w:val="-15"/>
          <w:sz w:val="19"/>
        </w:rPr>
        <w:t> </w:t>
      </w:r>
      <w:r>
        <w:rPr>
          <w:sz w:val="19"/>
        </w:rPr>
        <w:t>the</w:t>
      </w:r>
      <w:r>
        <w:rPr>
          <w:spacing w:val="-16"/>
          <w:sz w:val="19"/>
        </w:rPr>
        <w:t> </w:t>
      </w:r>
      <w:r>
        <w:rPr>
          <w:sz w:val="19"/>
        </w:rPr>
        <w:t>Statement</w:t>
      </w:r>
      <w:r>
        <w:rPr>
          <w:spacing w:val="-15"/>
          <w:sz w:val="19"/>
        </w:rPr>
        <w:t> </w:t>
      </w:r>
      <w:r>
        <w:rPr>
          <w:sz w:val="19"/>
        </w:rPr>
        <w:t>of</w:t>
      </w:r>
      <w:r>
        <w:rPr>
          <w:spacing w:val="-16"/>
          <w:sz w:val="19"/>
        </w:rPr>
        <w:t> </w:t>
      </w:r>
      <w:r>
        <w:rPr>
          <w:sz w:val="19"/>
        </w:rPr>
        <w:t>Cash</w:t>
      </w:r>
      <w:r>
        <w:rPr>
          <w:spacing w:val="-16"/>
          <w:sz w:val="19"/>
        </w:rPr>
        <w:t> </w:t>
      </w:r>
      <w:r>
        <w:rPr>
          <w:sz w:val="19"/>
        </w:rPr>
        <w:t>Flows</w:t>
      </w:r>
      <w:r>
        <w:rPr>
          <w:spacing w:val="-15"/>
          <w:sz w:val="19"/>
        </w:rPr>
        <w:t> </w:t>
      </w:r>
      <w:r>
        <w:rPr>
          <w:sz w:val="19"/>
        </w:rPr>
        <w:t>is</w:t>
      </w:r>
      <w:r>
        <w:rPr>
          <w:spacing w:val="-16"/>
          <w:sz w:val="19"/>
        </w:rPr>
        <w:t> </w:t>
      </w:r>
      <w:r>
        <w:rPr>
          <w:sz w:val="19"/>
        </w:rPr>
        <w:t>reconciled to</w:t>
      </w:r>
      <w:r>
        <w:rPr>
          <w:spacing w:val="-5"/>
          <w:sz w:val="19"/>
        </w:rPr>
        <w:t> </w:t>
      </w:r>
      <w:r>
        <w:rPr>
          <w:sz w:val="19"/>
        </w:rPr>
        <w:t>the</w:t>
      </w:r>
      <w:r>
        <w:rPr>
          <w:spacing w:val="-4"/>
          <w:sz w:val="19"/>
        </w:rPr>
        <w:t> </w:t>
      </w:r>
      <w:r>
        <w:rPr>
          <w:sz w:val="19"/>
        </w:rPr>
        <w:t>related</w:t>
      </w:r>
      <w:r>
        <w:rPr>
          <w:spacing w:val="-4"/>
          <w:sz w:val="19"/>
        </w:rPr>
        <w:t> </w:t>
      </w:r>
      <w:r>
        <w:rPr>
          <w:sz w:val="19"/>
        </w:rPr>
        <w:t>items</w:t>
      </w:r>
      <w:r>
        <w:rPr>
          <w:spacing w:val="-4"/>
          <w:sz w:val="19"/>
        </w:rPr>
        <w:t> </w:t>
      </w:r>
      <w:r>
        <w:rPr>
          <w:sz w:val="19"/>
        </w:rPr>
        <w:t>in</w:t>
      </w:r>
      <w:r>
        <w:rPr>
          <w:spacing w:val="-4"/>
          <w:sz w:val="19"/>
        </w:rPr>
        <w:t> </w:t>
      </w:r>
      <w:r>
        <w:rPr>
          <w:sz w:val="19"/>
        </w:rPr>
        <w:t>the</w:t>
      </w:r>
      <w:r>
        <w:rPr>
          <w:spacing w:val="-5"/>
          <w:sz w:val="19"/>
        </w:rPr>
        <w:t> </w:t>
      </w:r>
      <w:r>
        <w:rPr>
          <w:sz w:val="19"/>
        </w:rPr>
        <w:t>Statement</w:t>
      </w:r>
      <w:r>
        <w:rPr>
          <w:spacing w:val="-4"/>
          <w:sz w:val="19"/>
        </w:rPr>
        <w:t> </w:t>
      </w:r>
      <w:r>
        <w:rPr>
          <w:sz w:val="19"/>
        </w:rPr>
        <w:t>of</w:t>
      </w:r>
      <w:r>
        <w:rPr>
          <w:spacing w:val="-4"/>
          <w:sz w:val="19"/>
        </w:rPr>
        <w:t> </w:t>
      </w:r>
      <w:r>
        <w:rPr>
          <w:sz w:val="19"/>
        </w:rPr>
        <w:t>Financial</w:t>
      </w:r>
      <w:r>
        <w:rPr>
          <w:spacing w:val="-4"/>
          <w:sz w:val="19"/>
        </w:rPr>
        <w:t> </w:t>
      </w:r>
      <w:r>
        <w:rPr>
          <w:sz w:val="19"/>
        </w:rPr>
        <w:t>Position</w:t>
      </w:r>
      <w:r>
        <w:rPr>
          <w:spacing w:val="-4"/>
          <w:sz w:val="19"/>
        </w:rPr>
        <w:t> </w:t>
      </w:r>
      <w:r>
        <w:rPr>
          <w:sz w:val="19"/>
        </w:rPr>
        <w:t>as</w:t>
      </w:r>
      <w:r>
        <w:rPr>
          <w:spacing w:val="-5"/>
          <w:sz w:val="19"/>
        </w:rPr>
        <w:t> </w:t>
      </w:r>
      <w:r>
        <w:rPr>
          <w:sz w:val="19"/>
        </w:rPr>
        <w:t>follows:</w:t>
      </w:r>
    </w:p>
    <w:p>
      <w:pPr>
        <w:pStyle w:val="BodyText"/>
        <w:spacing w:before="7"/>
        <w:rPr>
          <w:sz w:val="9"/>
        </w:rPr>
      </w:pPr>
    </w:p>
    <w:tbl>
      <w:tblPr>
        <w:tblW w:w="0" w:type="auto"/>
        <w:jc w:val="left"/>
        <w:tblInd w:w="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312" w:hRule="atLeast"/>
        </w:trPr>
        <w:tc>
          <w:tcPr>
            <w:tcW w:w="5131" w:type="dxa"/>
            <w:tcBorders>
              <w:bottom w:val="single" w:sz="8" w:space="0" w:color="FFFFFF"/>
            </w:tcBorders>
            <w:shd w:val="clear" w:color="auto" w:fill="F4F4F4"/>
          </w:tcPr>
          <w:p>
            <w:pPr>
              <w:pStyle w:val="TableParagraph"/>
              <w:spacing w:before="37"/>
              <w:ind w:left="113"/>
              <w:rPr>
                <w:sz w:val="10"/>
              </w:rPr>
            </w:pPr>
            <w:r>
              <w:rPr>
                <w:sz w:val="19"/>
              </w:rPr>
              <w:t>Cash and cash equivalents</w:t>
            </w:r>
            <w:r>
              <w:rPr>
                <w:position w:val="6"/>
                <w:sz w:val="10"/>
              </w:rPr>
              <w:t>(a)</w:t>
            </w:r>
          </w:p>
        </w:tc>
        <w:tc>
          <w:tcPr>
            <w:tcW w:w="1134" w:type="dxa"/>
            <w:vMerge w:val="restart"/>
            <w:tcBorders>
              <w:bottom w:val="single" w:sz="4" w:space="0" w:color="000000"/>
            </w:tcBorders>
            <w:shd w:val="clear" w:color="auto" w:fill="E1E4BB"/>
          </w:tcPr>
          <w:p>
            <w:pPr>
              <w:pStyle w:val="TableParagraph"/>
              <w:spacing w:before="37"/>
              <w:ind w:left="418" w:right="93"/>
              <w:jc w:val="center"/>
              <w:rPr>
                <w:sz w:val="19"/>
              </w:rPr>
            </w:pPr>
            <w:r>
              <w:rPr>
                <w:sz w:val="19"/>
              </w:rPr>
              <w:t>70,618</w:t>
            </w:r>
          </w:p>
          <w:p>
            <w:pPr>
              <w:pStyle w:val="TableParagraph"/>
              <w:spacing w:before="109"/>
              <w:ind w:left="523" w:right="93"/>
              <w:jc w:val="center"/>
              <w:rPr>
                <w:sz w:val="19"/>
              </w:rPr>
            </w:pPr>
            <w:r>
              <w:rPr>
                <w:sz w:val="19"/>
              </w:rPr>
              <w:t>3,569</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85,247</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Restricted cash and cash equivalents</w:t>
            </w:r>
            <w:r>
              <w:rPr>
                <w:position w:val="6"/>
                <w:sz w:val="10"/>
              </w:rPr>
              <w:t>(b)</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12,983</w:t>
            </w:r>
          </w:p>
        </w:tc>
      </w:tr>
      <w:tr>
        <w:trPr>
          <w:trHeight w:val="287" w:hRule="atLeast"/>
        </w:trPr>
        <w:tc>
          <w:tcPr>
            <w:tcW w:w="5131" w:type="dxa"/>
            <w:tcBorders>
              <w:top w:val="single" w:sz="8" w:space="0" w:color="FFFFFF"/>
              <w:bottom w:val="single" w:sz="8" w:space="0" w:color="FFFFFF"/>
            </w:tcBorders>
            <w:shd w:val="clear" w:color="auto" w:fill="F4F4F4"/>
          </w:tcPr>
          <w:p>
            <w:pPr>
              <w:pStyle w:val="TableParagraph"/>
              <w:ind w:left="113"/>
              <w:rPr>
                <w:b/>
                <w:sz w:val="19"/>
              </w:rPr>
            </w:pPr>
            <w:r>
              <w:rPr>
                <w:b/>
                <w:sz w:val="19"/>
              </w:rPr>
              <w:t>Balance at end of period</w:t>
            </w:r>
          </w:p>
        </w:tc>
        <w:tc>
          <w:tcPr>
            <w:tcW w:w="1134" w:type="dxa"/>
            <w:tcBorders>
              <w:top w:val="single" w:sz="4" w:space="0" w:color="000000"/>
              <w:bottom w:val="single" w:sz="24" w:space="0" w:color="FFFFFF"/>
            </w:tcBorders>
            <w:shd w:val="clear" w:color="auto" w:fill="DFE1B8"/>
          </w:tcPr>
          <w:p>
            <w:pPr>
              <w:pStyle w:val="TableParagraph"/>
              <w:ind w:left="439"/>
              <w:rPr>
                <w:b/>
                <w:sz w:val="19"/>
              </w:rPr>
            </w:pPr>
            <w:r>
              <w:rPr>
                <w:b/>
                <w:sz w:val="19"/>
              </w:rPr>
              <w:t>74,187</w:t>
            </w:r>
          </w:p>
        </w:tc>
        <w:tc>
          <w:tcPr>
            <w:tcW w:w="1134" w:type="dxa"/>
            <w:tcBorders>
              <w:top w:val="single" w:sz="4" w:space="0" w:color="000000"/>
              <w:bottom w:val="single" w:sz="24" w:space="0" w:color="FFFFFF"/>
            </w:tcBorders>
            <w:shd w:val="clear" w:color="auto" w:fill="F4F4F4"/>
          </w:tcPr>
          <w:p>
            <w:pPr>
              <w:pStyle w:val="TableParagraph"/>
              <w:ind w:right="111"/>
              <w:jc w:val="right"/>
              <w:rPr>
                <w:b/>
                <w:sz w:val="19"/>
              </w:rPr>
            </w:pPr>
            <w:r>
              <w:rPr>
                <w:b/>
                <w:w w:val="95"/>
                <w:sz w:val="19"/>
              </w:rPr>
              <w:t>98,230</w:t>
            </w:r>
          </w:p>
        </w:tc>
      </w:tr>
    </w:tbl>
    <w:p>
      <w:pPr>
        <w:pStyle w:val="ListParagraph"/>
        <w:numPr>
          <w:ilvl w:val="0"/>
          <w:numId w:val="15"/>
        </w:numPr>
        <w:tabs>
          <w:tab w:pos="620" w:val="left" w:leader="none"/>
        </w:tabs>
        <w:spacing w:line="240" w:lineRule="auto" w:before="18" w:after="0"/>
        <w:ind w:left="619" w:right="0" w:hanging="192"/>
        <w:jc w:val="left"/>
        <w:rPr>
          <w:sz w:val="15"/>
        </w:rPr>
      </w:pPr>
      <w:r>
        <w:rPr>
          <w:sz w:val="15"/>
        </w:rPr>
        <w:t>See also Note 18 ‘Cash and cash</w:t>
      </w:r>
      <w:r>
        <w:rPr>
          <w:spacing w:val="-5"/>
          <w:sz w:val="15"/>
        </w:rPr>
        <w:t> </w:t>
      </w:r>
      <w:r>
        <w:rPr>
          <w:sz w:val="15"/>
        </w:rPr>
        <w:t>equivalents’.</w:t>
      </w:r>
    </w:p>
    <w:p>
      <w:pPr>
        <w:pStyle w:val="ListParagraph"/>
        <w:numPr>
          <w:ilvl w:val="0"/>
          <w:numId w:val="15"/>
        </w:numPr>
        <w:tabs>
          <w:tab w:pos="628" w:val="left" w:leader="none"/>
        </w:tabs>
        <w:spacing w:line="240" w:lineRule="auto" w:before="28" w:after="0"/>
        <w:ind w:left="627" w:right="0" w:hanging="200"/>
        <w:jc w:val="left"/>
        <w:rPr>
          <w:sz w:val="15"/>
        </w:rPr>
      </w:pPr>
      <w:r>
        <w:rPr>
          <w:sz w:val="15"/>
        </w:rPr>
        <w:t>See also Note 19 ‘Restricted cash and cash</w:t>
      </w:r>
      <w:r>
        <w:rPr>
          <w:spacing w:val="-8"/>
          <w:sz w:val="15"/>
        </w:rPr>
        <w:t> </w:t>
      </w:r>
      <w:r>
        <w:rPr>
          <w:sz w:val="15"/>
        </w:rPr>
        <w:t>equivalents’.</w:t>
      </w:r>
    </w:p>
    <w:p>
      <w:pPr>
        <w:pStyle w:val="BodyText"/>
        <w:rPr>
          <w:sz w:val="18"/>
        </w:rPr>
      </w:pPr>
    </w:p>
    <w:p>
      <w:pPr>
        <w:pStyle w:val="BodyText"/>
        <w:rPr>
          <w:sz w:val="18"/>
        </w:rPr>
      </w:pPr>
    </w:p>
    <w:p>
      <w:pPr>
        <w:spacing w:line="249" w:lineRule="auto" w:before="0"/>
        <w:ind w:left="427" w:right="1278" w:firstLine="0"/>
        <w:jc w:val="left"/>
        <w:rPr>
          <w:b/>
          <w:sz w:val="19"/>
        </w:rPr>
      </w:pPr>
      <w:r>
        <w:rPr>
          <w:b/>
          <w:sz w:val="19"/>
        </w:rPr>
        <w:t>Reconciliation of net cost of services to net cash flows provided by/(used </w:t>
      </w:r>
      <w:r>
        <w:rPr>
          <w:b/>
          <w:spacing w:val="-5"/>
          <w:sz w:val="19"/>
        </w:rPr>
        <w:t>in) </w:t>
      </w:r>
      <w:r>
        <w:rPr>
          <w:b/>
          <w:sz w:val="19"/>
        </w:rPr>
        <w:t>operating activities</w:t>
      </w:r>
    </w:p>
    <w:p>
      <w:pPr>
        <w:spacing w:after="0" w:line="249" w:lineRule="auto"/>
        <w:jc w:val="left"/>
        <w:rPr>
          <w:sz w:val="19"/>
        </w:rPr>
        <w:sectPr>
          <w:type w:val="continuous"/>
          <w:pgSz w:w="16840" w:h="11910" w:orient="landscape"/>
          <w:pgMar w:top="0" w:bottom="0" w:left="0" w:right="0"/>
          <w:cols w:num="2" w:equalWidth="0">
            <w:col w:w="8164" w:space="40"/>
            <w:col w:w="8636"/>
          </w:cols>
        </w:sectPr>
      </w:pPr>
    </w:p>
    <w:p>
      <w:pPr>
        <w:pStyle w:val="BodyText"/>
        <w:spacing w:before="6"/>
        <w:rPr>
          <w:b/>
          <w:sz w:val="3"/>
        </w:rPr>
      </w:pPr>
    </w:p>
    <w:tbl>
      <w:tblPr>
        <w:tblW w:w="0" w:type="auto"/>
        <w:jc w:val="left"/>
        <w:tblInd w:w="8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6265" w:type="dxa"/>
            <w:gridSpan w:val="2"/>
            <w:shd w:val="clear" w:color="auto" w:fill="783A79"/>
          </w:tcPr>
          <w:p>
            <w:pPr>
              <w:pStyle w:val="TableParagraph"/>
              <w:spacing w:before="47"/>
              <w:ind w:right="111"/>
              <w:jc w:val="right"/>
              <w:rPr>
                <w:b/>
                <w:sz w:val="19"/>
              </w:rPr>
            </w:pPr>
            <w:r>
              <w:rPr>
                <w:b/>
                <w:color w:val="FFFFFF"/>
                <w:w w:val="95"/>
                <w:sz w:val="19"/>
              </w:rPr>
              <w:t>2017</w:t>
            </w:r>
          </w:p>
          <w:p>
            <w:pPr>
              <w:pStyle w:val="TableParagraph"/>
              <w:spacing w:before="10"/>
              <w:ind w:right="111"/>
              <w:jc w:val="right"/>
              <w:rPr>
                <w:b/>
                <w:sz w:val="19"/>
              </w:rPr>
            </w:pPr>
            <w:r>
              <w:rPr>
                <w:b/>
                <w:color w:val="FFFFFF"/>
                <w:w w:val="95"/>
                <w:sz w:val="19"/>
              </w:rPr>
              <w:t>$000</w:t>
            </w:r>
          </w:p>
        </w:tc>
        <w:tc>
          <w:tcPr>
            <w:tcW w:w="1134" w:type="dxa"/>
            <w:shd w:val="clear" w:color="auto" w:fill="783A79"/>
          </w:tcPr>
          <w:p>
            <w:pPr>
              <w:pStyle w:val="TableParagraph"/>
              <w:spacing w:before="47"/>
              <w:ind w:left="597"/>
              <w:rPr>
                <w:b/>
                <w:sz w:val="19"/>
              </w:rPr>
            </w:pPr>
            <w:r>
              <w:rPr>
                <w:b/>
                <w:color w:val="FFFFFF"/>
                <w:sz w:val="19"/>
              </w:rPr>
              <w:t>2016</w:t>
            </w:r>
          </w:p>
          <w:p>
            <w:pPr>
              <w:pStyle w:val="TableParagraph"/>
              <w:spacing w:before="10"/>
              <w:ind w:left="597"/>
              <w:rPr>
                <w:b/>
                <w:sz w:val="19"/>
              </w:rPr>
            </w:pPr>
            <w:r>
              <w:rPr>
                <w:b/>
                <w:color w:val="FFFFFF"/>
                <w:sz w:val="19"/>
              </w:rPr>
              <w:t>$000</w:t>
            </w:r>
          </w:p>
        </w:tc>
      </w:tr>
      <w:tr>
        <w:trPr>
          <w:trHeight w:val="312"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Net cost of services</w:t>
            </w:r>
          </w:p>
        </w:tc>
        <w:tc>
          <w:tcPr>
            <w:tcW w:w="1134" w:type="dxa"/>
            <w:shd w:val="clear" w:color="auto" w:fill="DFE1B8"/>
          </w:tcPr>
          <w:p>
            <w:pPr>
              <w:pStyle w:val="TableParagraph"/>
              <w:spacing w:before="37"/>
              <w:ind w:right="111"/>
              <w:jc w:val="right"/>
              <w:rPr>
                <w:sz w:val="19"/>
              </w:rPr>
            </w:pPr>
            <w:r>
              <w:rPr>
                <w:w w:val="95"/>
                <w:sz w:val="19"/>
              </w:rPr>
              <w:t>(169,737)</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(224,068)</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shd w:val="clear" w:color="auto" w:fill="DFE1B8"/>
          </w:tcPr>
          <w:p>
            <w:pPr>
              <w:pStyle w:val="TableParagraph"/>
              <w:spacing w:before="0"/>
              <w:rPr>
                <w:rFonts w:ascii="Times New Roman"/>
                <w:sz w:val="20"/>
              </w:rPr>
            </w:pP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i/>
                <w:sz w:val="19"/>
              </w:rPr>
            </w:pPr>
            <w:r>
              <w:rPr>
                <w:i/>
                <w:color w:val="A7BE39"/>
                <w:sz w:val="19"/>
              </w:rPr>
              <w:t>Non-cash items</w:t>
            </w:r>
          </w:p>
        </w:tc>
        <w:tc>
          <w:tcPr>
            <w:tcW w:w="1134" w:type="dxa"/>
            <w:shd w:val="clear" w:color="auto" w:fill="DFE1B8"/>
          </w:tcPr>
          <w:p>
            <w:pPr>
              <w:pStyle w:val="TableParagraph"/>
              <w:spacing w:before="0"/>
              <w:rPr>
                <w:rFonts w:ascii="Times New Roman"/>
                <w:sz w:val="20"/>
              </w:rPr>
            </w:pPr>
          </w:p>
        </w:tc>
        <w:tc>
          <w:tcPr>
            <w:tcW w:w="1134"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Depreciation and amortisation expense </w:t>
            </w:r>
            <w:r>
              <w:rPr>
                <w:position w:val="6"/>
                <w:sz w:val="10"/>
              </w:rPr>
              <w:t>(Note 9)</w:t>
            </w:r>
          </w:p>
        </w:tc>
        <w:tc>
          <w:tcPr>
            <w:tcW w:w="1134" w:type="dxa"/>
            <w:shd w:val="clear" w:color="auto" w:fill="DFE1B8"/>
          </w:tcPr>
          <w:p>
            <w:pPr>
              <w:pStyle w:val="TableParagraph"/>
              <w:ind w:right="111"/>
              <w:jc w:val="right"/>
              <w:rPr>
                <w:sz w:val="19"/>
              </w:rPr>
            </w:pPr>
            <w:r>
              <w:rPr>
                <w:w w:val="95"/>
                <w:sz w:val="19"/>
              </w:rPr>
              <w:t>71,513</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79,031</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Doubtful debts expense</w:t>
            </w:r>
          </w:p>
        </w:tc>
        <w:tc>
          <w:tcPr>
            <w:tcW w:w="1134" w:type="dxa"/>
            <w:shd w:val="clear" w:color="auto" w:fill="DFE1B8"/>
          </w:tcPr>
          <w:p>
            <w:pPr>
              <w:pStyle w:val="TableParagraph"/>
              <w:ind w:right="111"/>
              <w:jc w:val="right"/>
              <w:rPr>
                <w:sz w:val="19"/>
              </w:rPr>
            </w:pPr>
            <w:r>
              <w:rPr>
                <w:w w:val="111"/>
                <w:sz w:val="19"/>
              </w:rPr>
              <w:t>-</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9"/>
                <w:sz w:val="19"/>
              </w:rPr>
              <w:t>3</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Services received free of charge </w:t>
            </w:r>
            <w:r>
              <w:rPr>
                <w:position w:val="6"/>
                <w:sz w:val="10"/>
              </w:rPr>
              <w:t>(Note 17)</w:t>
            </w:r>
          </w:p>
        </w:tc>
        <w:tc>
          <w:tcPr>
            <w:tcW w:w="1134" w:type="dxa"/>
            <w:shd w:val="clear" w:color="auto" w:fill="DFE1B8"/>
          </w:tcPr>
          <w:p>
            <w:pPr>
              <w:pStyle w:val="TableParagraph"/>
              <w:ind w:right="111"/>
              <w:jc w:val="right"/>
              <w:rPr>
                <w:sz w:val="19"/>
              </w:rPr>
            </w:pPr>
            <w:r>
              <w:rPr>
                <w:w w:val="95"/>
                <w:sz w:val="19"/>
              </w:rPr>
              <w:t>13,303</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14,518</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sz w:val="10"/>
              </w:rPr>
            </w:pPr>
            <w:r>
              <w:rPr>
                <w:sz w:val="19"/>
              </w:rPr>
              <w:t>Gain on revaluation increment </w:t>
            </w:r>
            <w:r>
              <w:rPr>
                <w:position w:val="6"/>
                <w:sz w:val="10"/>
              </w:rPr>
              <w:t>(Note 16)</w:t>
            </w:r>
          </w:p>
        </w:tc>
        <w:tc>
          <w:tcPr>
            <w:tcW w:w="1134" w:type="dxa"/>
            <w:shd w:val="clear" w:color="auto" w:fill="DFE1B8"/>
          </w:tcPr>
          <w:p>
            <w:pPr>
              <w:pStyle w:val="TableParagraph"/>
              <w:ind w:right="111"/>
              <w:jc w:val="right"/>
              <w:rPr>
                <w:sz w:val="19"/>
              </w:rPr>
            </w:pPr>
            <w:r>
              <w:rPr>
                <w:w w:val="111"/>
                <w:sz w:val="19"/>
              </w:rPr>
              <w:t>-</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111"/>
                <w:sz w:val="19"/>
              </w:rPr>
              <w:t>-</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Loss on revaluation decrement </w:t>
            </w:r>
            <w:r>
              <w:rPr>
                <w:position w:val="6"/>
                <w:sz w:val="10"/>
              </w:rPr>
              <w:t>(Note 13)</w:t>
            </w:r>
          </w:p>
        </w:tc>
        <w:tc>
          <w:tcPr>
            <w:tcW w:w="1134" w:type="dxa"/>
            <w:shd w:val="clear" w:color="auto" w:fill="DFE1B8"/>
          </w:tcPr>
          <w:p>
            <w:pPr>
              <w:pStyle w:val="TableParagraph"/>
              <w:ind w:right="111"/>
              <w:jc w:val="right"/>
              <w:rPr>
                <w:sz w:val="19"/>
              </w:rPr>
            </w:pPr>
            <w:r>
              <w:rPr>
                <w:w w:val="95"/>
                <w:sz w:val="19"/>
              </w:rPr>
              <w:t>32,024</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49,848</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sz w:val="10"/>
              </w:rPr>
            </w:pPr>
            <w:r>
              <w:rPr>
                <w:sz w:val="19"/>
              </w:rPr>
              <w:t>Gain on disposal of property, plant and equipment </w:t>
            </w:r>
            <w:r>
              <w:rPr>
                <w:position w:val="6"/>
                <w:sz w:val="10"/>
              </w:rPr>
              <w:t>(Note 15)</w:t>
            </w:r>
          </w:p>
        </w:tc>
        <w:tc>
          <w:tcPr>
            <w:tcW w:w="1134" w:type="dxa"/>
            <w:shd w:val="clear" w:color="auto" w:fill="DFE1B8"/>
          </w:tcPr>
          <w:p>
            <w:pPr>
              <w:pStyle w:val="TableParagraph"/>
              <w:ind w:right="111"/>
              <w:jc w:val="right"/>
              <w:rPr>
                <w:sz w:val="19"/>
              </w:rPr>
            </w:pPr>
            <w:r>
              <w:rPr>
                <w:w w:val="90"/>
                <w:sz w:val="19"/>
              </w:rPr>
              <w:t>(622)</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0"/>
                <w:sz w:val="19"/>
              </w:rPr>
              <w:t>(665)</w:t>
            </w:r>
          </w:p>
        </w:tc>
      </w:tr>
    </w:tbl>
    <w:p>
      <w:pPr>
        <w:spacing w:after="0"/>
        <w:jc w:val="right"/>
        <w:rPr>
          <w:sz w:val="19"/>
        </w:rPr>
        <w:sectPr>
          <w:type w:val="continuous"/>
          <w:pgSz w:w="16840" w:h="11910" w:orient="landscape"/>
          <w:pgMar w:top="0" w:bottom="0" w:left="0" w:right="0"/>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b/>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b/>
          <w:sz w:val="23"/>
        </w:rPr>
      </w:pPr>
    </w:p>
    <w:p>
      <w:pPr>
        <w:pStyle w:val="Heading1"/>
      </w:pPr>
      <w:r>
        <w:rPr/>
        <w:pict>
          <v:group style="position:absolute;margin-left:763.172119pt;margin-top:-3.594212pt;width:61.1pt;height:45.2pt;mso-position-horizontal-relative:page;mso-position-vertical-relative:paragraph;z-index:19960"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20080"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20104"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10"/>
        <w:rPr>
          <w:sz w:val="12"/>
        </w:rPr>
      </w:pPr>
    </w:p>
    <w:p>
      <w:pPr>
        <w:spacing w:after="0"/>
        <w:rPr>
          <w:sz w:val="12"/>
        </w:rPr>
        <w:sectPr>
          <w:footerReference w:type="default" r:id="rId218"/>
          <w:pgSz w:w="16840" w:h="11910" w:orient="landscape"/>
          <w:pgMar w:footer="0" w:header="0" w:top="0" w:bottom="280" w:left="0" w:right="0"/>
        </w:sectPr>
      </w:pPr>
    </w:p>
    <w:p>
      <w:pPr>
        <w:pStyle w:val="BodyText"/>
        <w:spacing w:before="8"/>
        <w:rPr>
          <w:sz w:val="15"/>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6265" w:type="dxa"/>
            <w:gridSpan w:val="2"/>
            <w:shd w:val="clear" w:color="auto" w:fill="783A79"/>
          </w:tcPr>
          <w:p>
            <w:pPr>
              <w:pStyle w:val="TableParagraph"/>
              <w:spacing w:before="47"/>
              <w:ind w:right="111"/>
              <w:jc w:val="right"/>
              <w:rPr>
                <w:b/>
                <w:sz w:val="19"/>
              </w:rPr>
            </w:pPr>
            <w:r>
              <w:rPr>
                <w:b/>
                <w:color w:val="FFFFFF"/>
                <w:w w:val="95"/>
                <w:sz w:val="19"/>
              </w:rPr>
              <w:t>2017</w:t>
            </w:r>
          </w:p>
          <w:p>
            <w:pPr>
              <w:pStyle w:val="TableParagraph"/>
              <w:spacing w:before="10"/>
              <w:ind w:right="111"/>
              <w:jc w:val="right"/>
              <w:rPr>
                <w:b/>
                <w:sz w:val="19"/>
              </w:rPr>
            </w:pPr>
            <w:r>
              <w:rPr>
                <w:b/>
                <w:color w:val="FFFFFF"/>
                <w:w w:val="95"/>
                <w:sz w:val="19"/>
              </w:rPr>
              <w:t>$000</w:t>
            </w:r>
          </w:p>
        </w:tc>
        <w:tc>
          <w:tcPr>
            <w:tcW w:w="1134" w:type="dxa"/>
            <w:shd w:val="clear" w:color="auto" w:fill="783A79"/>
          </w:tcPr>
          <w:p>
            <w:pPr>
              <w:pStyle w:val="TableParagraph"/>
              <w:spacing w:before="47"/>
              <w:ind w:left="597"/>
              <w:rPr>
                <w:b/>
                <w:sz w:val="19"/>
              </w:rPr>
            </w:pPr>
            <w:r>
              <w:rPr>
                <w:b/>
                <w:color w:val="FFFFFF"/>
                <w:sz w:val="19"/>
              </w:rPr>
              <w:t>2016</w:t>
            </w:r>
          </w:p>
          <w:p>
            <w:pPr>
              <w:pStyle w:val="TableParagraph"/>
              <w:spacing w:before="10"/>
              <w:ind w:left="597"/>
              <w:rPr>
                <w:b/>
                <w:sz w:val="19"/>
              </w:rPr>
            </w:pPr>
            <w:r>
              <w:rPr>
                <w:b/>
                <w:color w:val="FFFFFF"/>
                <w:sz w:val="19"/>
              </w:rPr>
              <w:t>$000</w:t>
            </w:r>
          </w:p>
        </w:tc>
      </w:tr>
      <w:tr>
        <w:trPr>
          <w:trHeight w:val="290" w:hRule="atLeast"/>
        </w:trPr>
        <w:tc>
          <w:tcPr>
            <w:tcW w:w="5131" w:type="dxa"/>
            <w:tcBorders>
              <w:bottom w:val="single" w:sz="8" w:space="0" w:color="FFFFFF"/>
            </w:tcBorders>
            <w:shd w:val="clear" w:color="auto" w:fill="F4F4F4"/>
          </w:tcPr>
          <w:p>
            <w:pPr>
              <w:pStyle w:val="TableParagraph"/>
              <w:spacing w:before="37"/>
              <w:ind w:left="113"/>
              <w:rPr>
                <w:i/>
                <w:sz w:val="19"/>
              </w:rPr>
            </w:pPr>
            <w:r>
              <w:rPr>
                <w:i/>
                <w:color w:val="A7BE39"/>
                <w:sz w:val="19"/>
              </w:rPr>
              <w:t>(Increase)/decrease in assets</w:t>
            </w:r>
          </w:p>
        </w:tc>
        <w:tc>
          <w:tcPr>
            <w:tcW w:w="1134" w:type="dxa"/>
            <w:shd w:val="clear" w:color="auto" w:fill="E1E4BB"/>
          </w:tcPr>
          <w:p>
            <w:pPr>
              <w:pStyle w:val="TableParagraph"/>
              <w:spacing w:before="0"/>
              <w:rPr>
                <w:rFonts w:ascii="Times New Roman"/>
                <w:sz w:val="18"/>
              </w:rPr>
            </w:pPr>
          </w:p>
        </w:tc>
        <w:tc>
          <w:tcPr>
            <w:tcW w:w="1134" w:type="dxa"/>
            <w:tcBorders>
              <w:bottom w:val="single" w:sz="8" w:space="0" w:color="FFFFFF"/>
            </w:tcBorders>
            <w:shd w:val="clear" w:color="auto" w:fill="F4F4F4"/>
          </w:tcPr>
          <w:p>
            <w:pPr>
              <w:pStyle w:val="TableParagraph"/>
              <w:spacing w:before="0"/>
              <w:rPr>
                <w:rFonts w:ascii="Times New Roman"/>
                <w:sz w:val="18"/>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Current receivables</w:t>
            </w:r>
            <w:r>
              <w:rPr>
                <w:position w:val="6"/>
                <w:sz w:val="10"/>
              </w:rPr>
              <w:t>(a)</w:t>
            </w:r>
          </w:p>
        </w:tc>
        <w:tc>
          <w:tcPr>
            <w:tcW w:w="1134" w:type="dxa"/>
            <w:shd w:val="clear" w:color="auto" w:fill="E1E4BB"/>
          </w:tcPr>
          <w:p>
            <w:pPr>
              <w:pStyle w:val="TableParagraph"/>
              <w:ind w:right="111"/>
              <w:jc w:val="right"/>
              <w:rPr>
                <w:sz w:val="19"/>
              </w:rPr>
            </w:pPr>
            <w:r>
              <w:rPr>
                <w:w w:val="95"/>
                <w:sz w:val="19"/>
              </w:rPr>
              <w:t>(52,667)</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0"/>
                <w:sz w:val="19"/>
              </w:rPr>
              <w:t>(9,961)</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Current inventories</w:t>
            </w:r>
          </w:p>
        </w:tc>
        <w:tc>
          <w:tcPr>
            <w:tcW w:w="1134" w:type="dxa"/>
            <w:shd w:val="clear" w:color="auto" w:fill="E1E4BB"/>
          </w:tcPr>
          <w:p>
            <w:pPr>
              <w:pStyle w:val="TableParagraph"/>
              <w:ind w:right="111"/>
              <w:jc w:val="right"/>
              <w:rPr>
                <w:sz w:val="19"/>
              </w:rPr>
            </w:pPr>
            <w:r>
              <w:rPr>
                <w:w w:val="111"/>
                <w:sz w:val="19"/>
              </w:rPr>
              <w:t>-</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111"/>
                <w:sz w:val="19"/>
              </w:rPr>
              <w:t>-</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Other current assets</w:t>
            </w:r>
          </w:p>
        </w:tc>
        <w:tc>
          <w:tcPr>
            <w:tcW w:w="1134" w:type="dxa"/>
            <w:shd w:val="clear" w:color="auto" w:fill="E1E4BB"/>
          </w:tcPr>
          <w:p>
            <w:pPr>
              <w:pStyle w:val="TableParagraph"/>
              <w:ind w:right="111"/>
              <w:jc w:val="right"/>
              <w:rPr>
                <w:sz w:val="19"/>
              </w:rPr>
            </w:pPr>
            <w:r>
              <w:rPr>
                <w:w w:val="85"/>
                <w:sz w:val="19"/>
              </w:rPr>
              <w:t>(91)</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194</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shd w:val="clear" w:color="auto" w:fill="E1E4BB"/>
          </w:tcPr>
          <w:p>
            <w:pPr>
              <w:pStyle w:val="TableParagraph"/>
              <w:spacing w:before="0"/>
              <w:rPr>
                <w:rFonts w:ascii="Times New Roman"/>
                <w:sz w:val="18"/>
              </w:rPr>
            </w:pPr>
          </w:p>
        </w:tc>
        <w:tc>
          <w:tcPr>
            <w:tcW w:w="1134"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i/>
                <w:sz w:val="19"/>
              </w:rPr>
            </w:pPr>
            <w:r>
              <w:rPr>
                <w:i/>
                <w:color w:val="A7BE39"/>
                <w:sz w:val="19"/>
              </w:rPr>
              <w:t>Increase/(decrease) in liabilities</w:t>
            </w:r>
          </w:p>
        </w:tc>
        <w:tc>
          <w:tcPr>
            <w:tcW w:w="1134" w:type="dxa"/>
            <w:shd w:val="clear" w:color="auto" w:fill="E1E4BB"/>
          </w:tcPr>
          <w:p>
            <w:pPr>
              <w:pStyle w:val="TableParagraph"/>
              <w:spacing w:before="0"/>
              <w:rPr>
                <w:rFonts w:ascii="Times New Roman"/>
                <w:sz w:val="18"/>
              </w:rPr>
            </w:pP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18"/>
              </w:rPr>
            </w:pP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0"/>
              </w:rPr>
            </w:pPr>
            <w:r>
              <w:rPr>
                <w:sz w:val="19"/>
              </w:rPr>
              <w:t>Current payables</w:t>
            </w:r>
            <w:r>
              <w:rPr>
                <w:position w:val="6"/>
                <w:sz w:val="10"/>
              </w:rPr>
              <w:t>(a)</w:t>
            </w:r>
          </w:p>
        </w:tc>
        <w:tc>
          <w:tcPr>
            <w:tcW w:w="1134" w:type="dxa"/>
            <w:shd w:val="clear" w:color="auto" w:fill="E1E4BB"/>
          </w:tcPr>
          <w:p>
            <w:pPr>
              <w:pStyle w:val="TableParagraph"/>
              <w:ind w:right="111"/>
              <w:jc w:val="right"/>
              <w:rPr>
                <w:sz w:val="19"/>
              </w:rPr>
            </w:pPr>
            <w:r>
              <w:rPr>
                <w:w w:val="95"/>
                <w:sz w:val="19"/>
              </w:rPr>
              <w:t>14,508</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14,963</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Accrued salaries</w:t>
            </w:r>
          </w:p>
        </w:tc>
        <w:tc>
          <w:tcPr>
            <w:tcW w:w="1134" w:type="dxa"/>
            <w:shd w:val="clear" w:color="auto" w:fill="E1E4BB"/>
          </w:tcPr>
          <w:p>
            <w:pPr>
              <w:pStyle w:val="TableParagraph"/>
              <w:ind w:right="111"/>
              <w:jc w:val="right"/>
              <w:rPr>
                <w:sz w:val="19"/>
              </w:rPr>
            </w:pPr>
            <w:r>
              <w:rPr>
                <w:w w:val="95"/>
                <w:sz w:val="19"/>
              </w:rPr>
              <w:t>375</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0"/>
                <w:sz w:val="19"/>
              </w:rPr>
              <w:t>(3,276)</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Unearned revenues</w:t>
            </w:r>
          </w:p>
        </w:tc>
        <w:tc>
          <w:tcPr>
            <w:tcW w:w="1134" w:type="dxa"/>
            <w:shd w:val="clear" w:color="auto" w:fill="E1E4BB"/>
          </w:tcPr>
          <w:p>
            <w:pPr>
              <w:pStyle w:val="TableParagraph"/>
              <w:ind w:right="111"/>
              <w:jc w:val="right"/>
              <w:rPr>
                <w:sz w:val="19"/>
              </w:rPr>
            </w:pPr>
            <w:r>
              <w:rPr>
                <w:w w:val="95"/>
                <w:sz w:val="19"/>
              </w:rPr>
              <w:t>654</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0"/>
                <w:sz w:val="19"/>
              </w:rPr>
              <w:t>(1,198)</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Employee benefits</w:t>
            </w:r>
          </w:p>
        </w:tc>
        <w:tc>
          <w:tcPr>
            <w:tcW w:w="1134" w:type="dxa"/>
            <w:shd w:val="clear" w:color="auto" w:fill="E1E4BB"/>
          </w:tcPr>
          <w:p>
            <w:pPr>
              <w:pStyle w:val="TableParagraph"/>
              <w:ind w:right="111"/>
              <w:jc w:val="right"/>
              <w:rPr>
                <w:sz w:val="19"/>
              </w:rPr>
            </w:pPr>
            <w:r>
              <w:rPr>
                <w:w w:val="95"/>
                <w:sz w:val="19"/>
              </w:rPr>
              <w:t>380</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0"/>
                <w:sz w:val="19"/>
              </w:rPr>
              <w:t>(2,695)</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0"/>
              </w:rPr>
            </w:pPr>
            <w:r>
              <w:rPr>
                <w:sz w:val="19"/>
              </w:rPr>
              <w:t>Net GST receipts/(payments)</w:t>
            </w:r>
            <w:r>
              <w:rPr>
                <w:position w:val="6"/>
                <w:sz w:val="10"/>
              </w:rPr>
              <w:t>(b)</w:t>
            </w:r>
          </w:p>
        </w:tc>
        <w:tc>
          <w:tcPr>
            <w:tcW w:w="1134" w:type="dxa"/>
            <w:shd w:val="clear" w:color="auto" w:fill="E1E4BB"/>
          </w:tcPr>
          <w:p>
            <w:pPr>
              <w:pStyle w:val="TableParagraph"/>
              <w:ind w:right="111"/>
              <w:jc w:val="right"/>
              <w:rPr>
                <w:sz w:val="19"/>
              </w:rPr>
            </w:pPr>
            <w:r>
              <w:rPr>
                <w:w w:val="95"/>
                <w:sz w:val="19"/>
              </w:rPr>
              <w:t>1,355</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4,716</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0"/>
              </w:rPr>
            </w:pPr>
            <w:r>
              <w:rPr>
                <w:sz w:val="19"/>
              </w:rPr>
              <w:t>Change in GST in receivables/payables</w:t>
            </w:r>
            <w:r>
              <w:rPr>
                <w:position w:val="6"/>
                <w:sz w:val="10"/>
              </w:rPr>
              <w:t>(c)</w:t>
            </w:r>
          </w:p>
        </w:tc>
        <w:tc>
          <w:tcPr>
            <w:tcW w:w="1134" w:type="dxa"/>
            <w:tcBorders>
              <w:bottom w:val="single" w:sz="4" w:space="0" w:color="000000"/>
            </w:tcBorders>
            <w:shd w:val="clear" w:color="auto" w:fill="E1E4BB"/>
          </w:tcPr>
          <w:p>
            <w:pPr>
              <w:pStyle w:val="TableParagraph"/>
              <w:ind w:right="111"/>
              <w:jc w:val="right"/>
              <w:rPr>
                <w:sz w:val="19"/>
              </w:rPr>
            </w:pPr>
            <w:r>
              <w:rPr>
                <w:w w:val="90"/>
                <w:sz w:val="19"/>
              </w:rPr>
              <w:t>(3,019)</w:t>
            </w: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0"/>
                <w:sz w:val="19"/>
              </w:rPr>
              <w:t>(4,162)</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line="213" w:lineRule="exact"/>
              <w:ind w:left="113"/>
              <w:rPr>
                <w:b/>
                <w:sz w:val="19"/>
              </w:rPr>
            </w:pPr>
            <w:r>
              <w:rPr>
                <w:b/>
                <w:sz w:val="19"/>
              </w:rPr>
              <w:t>Net cash used in operating activities</w:t>
            </w:r>
          </w:p>
        </w:tc>
        <w:tc>
          <w:tcPr>
            <w:tcW w:w="1134" w:type="dxa"/>
            <w:tcBorders>
              <w:top w:val="single" w:sz="4" w:space="0" w:color="000000"/>
              <w:bottom w:val="single" w:sz="24" w:space="0" w:color="FFFFFF"/>
            </w:tcBorders>
            <w:shd w:val="clear" w:color="auto" w:fill="DFE1B8"/>
          </w:tcPr>
          <w:p>
            <w:pPr>
              <w:pStyle w:val="TableParagraph"/>
              <w:spacing w:line="213" w:lineRule="exact"/>
              <w:ind w:right="111"/>
              <w:jc w:val="right"/>
              <w:rPr>
                <w:b/>
                <w:sz w:val="19"/>
              </w:rPr>
            </w:pPr>
            <w:r>
              <w:rPr>
                <w:b/>
                <w:w w:val="95"/>
                <w:sz w:val="19"/>
              </w:rPr>
              <w:t>(92,024)</w:t>
            </w:r>
          </w:p>
        </w:tc>
        <w:tc>
          <w:tcPr>
            <w:tcW w:w="1134" w:type="dxa"/>
            <w:tcBorders>
              <w:top w:val="single" w:sz="4" w:space="0" w:color="000000"/>
              <w:bottom w:val="single" w:sz="24" w:space="0" w:color="FFFFFF"/>
            </w:tcBorders>
            <w:shd w:val="clear" w:color="auto" w:fill="F4F4F4"/>
          </w:tcPr>
          <w:p>
            <w:pPr>
              <w:pStyle w:val="TableParagraph"/>
              <w:spacing w:line="213" w:lineRule="exact"/>
              <w:ind w:right="111"/>
              <w:jc w:val="right"/>
              <w:rPr>
                <w:b/>
                <w:sz w:val="19"/>
              </w:rPr>
            </w:pPr>
            <w:r>
              <w:rPr>
                <w:b/>
                <w:w w:val="95"/>
                <w:sz w:val="19"/>
              </w:rPr>
              <w:t>(82,750)</w:t>
            </w:r>
          </w:p>
        </w:tc>
      </w:tr>
    </w:tbl>
    <w:p>
      <w:pPr>
        <w:pStyle w:val="ListParagraph"/>
        <w:numPr>
          <w:ilvl w:val="1"/>
          <w:numId w:val="15"/>
        </w:numPr>
        <w:tabs>
          <w:tab w:pos="958" w:val="left" w:leader="none"/>
        </w:tabs>
        <w:spacing w:line="278" w:lineRule="auto" w:before="57" w:after="0"/>
        <w:ind w:left="973" w:right="0" w:hanging="208"/>
        <w:jc w:val="left"/>
        <w:rPr>
          <w:sz w:val="15"/>
        </w:rPr>
      </w:pPr>
      <w:r>
        <w:rPr>
          <w:sz w:val="15"/>
        </w:rPr>
        <w:t>Note</w:t>
      </w:r>
      <w:r>
        <w:rPr>
          <w:spacing w:val="-20"/>
          <w:sz w:val="15"/>
        </w:rPr>
        <w:t> </w:t>
      </w:r>
      <w:r>
        <w:rPr>
          <w:sz w:val="15"/>
        </w:rPr>
        <w:t>that</w:t>
      </w:r>
      <w:r>
        <w:rPr>
          <w:spacing w:val="-20"/>
          <w:sz w:val="15"/>
        </w:rPr>
        <w:t> </w:t>
      </w:r>
      <w:r>
        <w:rPr>
          <w:sz w:val="15"/>
        </w:rPr>
        <w:t>the</w:t>
      </w:r>
      <w:r>
        <w:rPr>
          <w:spacing w:val="-20"/>
          <w:sz w:val="15"/>
        </w:rPr>
        <w:t> </w:t>
      </w:r>
      <w:r>
        <w:rPr>
          <w:sz w:val="15"/>
        </w:rPr>
        <w:t>Australian</w:t>
      </w:r>
      <w:r>
        <w:rPr>
          <w:spacing w:val="-20"/>
          <w:sz w:val="15"/>
        </w:rPr>
        <w:t> </w:t>
      </w:r>
      <w:r>
        <w:rPr>
          <w:spacing w:val="-3"/>
          <w:sz w:val="15"/>
        </w:rPr>
        <w:t>Taxation</w:t>
      </w:r>
      <w:r>
        <w:rPr>
          <w:spacing w:val="-19"/>
          <w:sz w:val="15"/>
        </w:rPr>
        <w:t> </w:t>
      </w:r>
      <w:r>
        <w:rPr>
          <w:sz w:val="15"/>
        </w:rPr>
        <w:t>Office</w:t>
      </w:r>
      <w:r>
        <w:rPr>
          <w:spacing w:val="-20"/>
          <w:sz w:val="15"/>
        </w:rPr>
        <w:t> </w:t>
      </w:r>
      <w:r>
        <w:rPr>
          <w:spacing w:val="-3"/>
          <w:sz w:val="15"/>
        </w:rPr>
        <w:t>(ATO)</w:t>
      </w:r>
      <w:r>
        <w:rPr>
          <w:spacing w:val="-20"/>
          <w:sz w:val="15"/>
        </w:rPr>
        <w:t> </w:t>
      </w:r>
      <w:r>
        <w:rPr>
          <w:sz w:val="15"/>
        </w:rPr>
        <w:t>receivable/payable</w:t>
      </w:r>
      <w:r>
        <w:rPr>
          <w:spacing w:val="-20"/>
          <w:sz w:val="15"/>
        </w:rPr>
        <w:t> </w:t>
      </w:r>
      <w:r>
        <w:rPr>
          <w:sz w:val="15"/>
        </w:rPr>
        <w:t>in</w:t>
      </w:r>
      <w:r>
        <w:rPr>
          <w:spacing w:val="-19"/>
          <w:sz w:val="15"/>
        </w:rPr>
        <w:t> </w:t>
      </w:r>
      <w:r>
        <w:rPr>
          <w:sz w:val="15"/>
        </w:rPr>
        <w:t>respect</w:t>
      </w:r>
      <w:r>
        <w:rPr>
          <w:spacing w:val="-20"/>
          <w:sz w:val="15"/>
        </w:rPr>
        <w:t> </w:t>
      </w:r>
      <w:r>
        <w:rPr>
          <w:sz w:val="15"/>
        </w:rPr>
        <w:t>of</w:t>
      </w:r>
      <w:r>
        <w:rPr>
          <w:spacing w:val="-20"/>
          <w:sz w:val="15"/>
        </w:rPr>
        <w:t> </w:t>
      </w:r>
      <w:r>
        <w:rPr>
          <w:sz w:val="15"/>
        </w:rPr>
        <w:t>GST</w:t>
      </w:r>
      <w:r>
        <w:rPr>
          <w:spacing w:val="-20"/>
          <w:sz w:val="15"/>
        </w:rPr>
        <w:t> </w:t>
      </w:r>
      <w:r>
        <w:rPr>
          <w:sz w:val="15"/>
        </w:rPr>
        <w:t>and</w:t>
      </w:r>
      <w:r>
        <w:rPr>
          <w:spacing w:val="-20"/>
          <w:sz w:val="15"/>
        </w:rPr>
        <w:t> </w:t>
      </w:r>
      <w:r>
        <w:rPr>
          <w:sz w:val="15"/>
        </w:rPr>
        <w:t>the</w:t>
      </w:r>
      <w:r>
        <w:rPr>
          <w:spacing w:val="-19"/>
          <w:sz w:val="15"/>
        </w:rPr>
        <w:t> </w:t>
      </w:r>
      <w:r>
        <w:rPr>
          <w:sz w:val="15"/>
        </w:rPr>
        <w:t>receivable/payable</w:t>
      </w:r>
      <w:r>
        <w:rPr>
          <w:spacing w:val="-20"/>
          <w:sz w:val="15"/>
        </w:rPr>
        <w:t> </w:t>
      </w:r>
      <w:r>
        <w:rPr>
          <w:spacing w:val="-8"/>
          <w:sz w:val="15"/>
        </w:rPr>
        <w:t>in </w:t>
      </w:r>
      <w:r>
        <w:rPr>
          <w:sz w:val="15"/>
        </w:rPr>
        <w:t>respect</w:t>
      </w:r>
      <w:r>
        <w:rPr>
          <w:spacing w:val="-8"/>
          <w:sz w:val="15"/>
        </w:rPr>
        <w:t> </w:t>
      </w:r>
      <w:r>
        <w:rPr>
          <w:sz w:val="15"/>
        </w:rPr>
        <w:t>of</w:t>
      </w:r>
      <w:r>
        <w:rPr>
          <w:spacing w:val="-8"/>
          <w:sz w:val="15"/>
        </w:rPr>
        <w:t> </w:t>
      </w:r>
      <w:r>
        <w:rPr>
          <w:sz w:val="15"/>
        </w:rPr>
        <w:t>the</w:t>
      </w:r>
      <w:r>
        <w:rPr>
          <w:spacing w:val="-8"/>
          <w:sz w:val="15"/>
        </w:rPr>
        <w:t> </w:t>
      </w:r>
      <w:r>
        <w:rPr>
          <w:sz w:val="15"/>
        </w:rPr>
        <w:t>sale/purchase</w:t>
      </w:r>
      <w:r>
        <w:rPr>
          <w:spacing w:val="-7"/>
          <w:sz w:val="15"/>
        </w:rPr>
        <w:t> </w:t>
      </w:r>
      <w:r>
        <w:rPr>
          <w:sz w:val="15"/>
        </w:rPr>
        <w:t>of</w:t>
      </w:r>
      <w:r>
        <w:rPr>
          <w:spacing w:val="-8"/>
          <w:sz w:val="15"/>
        </w:rPr>
        <w:t> </w:t>
      </w:r>
      <w:r>
        <w:rPr>
          <w:sz w:val="15"/>
        </w:rPr>
        <w:t>non-current</w:t>
      </w:r>
      <w:r>
        <w:rPr>
          <w:spacing w:val="-8"/>
          <w:sz w:val="15"/>
        </w:rPr>
        <w:t> </w:t>
      </w:r>
      <w:r>
        <w:rPr>
          <w:sz w:val="15"/>
        </w:rPr>
        <w:t>assets</w:t>
      </w:r>
      <w:r>
        <w:rPr>
          <w:spacing w:val="-7"/>
          <w:sz w:val="15"/>
        </w:rPr>
        <w:t> </w:t>
      </w:r>
      <w:r>
        <w:rPr>
          <w:sz w:val="15"/>
        </w:rPr>
        <w:t>are</w:t>
      </w:r>
      <w:r>
        <w:rPr>
          <w:spacing w:val="-8"/>
          <w:sz w:val="15"/>
        </w:rPr>
        <w:t> </w:t>
      </w:r>
      <w:r>
        <w:rPr>
          <w:sz w:val="15"/>
        </w:rPr>
        <w:t>not</w:t>
      </w:r>
      <w:r>
        <w:rPr>
          <w:spacing w:val="-8"/>
          <w:sz w:val="15"/>
        </w:rPr>
        <w:t> </w:t>
      </w:r>
      <w:r>
        <w:rPr>
          <w:sz w:val="15"/>
        </w:rPr>
        <w:t>included</w:t>
      </w:r>
      <w:r>
        <w:rPr>
          <w:spacing w:val="-7"/>
          <w:sz w:val="15"/>
        </w:rPr>
        <w:t> </w:t>
      </w:r>
      <w:r>
        <w:rPr>
          <w:sz w:val="15"/>
        </w:rPr>
        <w:t>in</w:t>
      </w:r>
      <w:r>
        <w:rPr>
          <w:spacing w:val="-8"/>
          <w:sz w:val="15"/>
        </w:rPr>
        <w:t> </w:t>
      </w:r>
      <w:r>
        <w:rPr>
          <w:sz w:val="15"/>
        </w:rPr>
        <w:t>these</w:t>
      </w:r>
      <w:r>
        <w:rPr>
          <w:spacing w:val="-8"/>
          <w:sz w:val="15"/>
        </w:rPr>
        <w:t> </w:t>
      </w:r>
      <w:r>
        <w:rPr>
          <w:sz w:val="15"/>
        </w:rPr>
        <w:t>items</w:t>
      </w:r>
      <w:r>
        <w:rPr>
          <w:spacing w:val="-7"/>
          <w:sz w:val="15"/>
        </w:rPr>
        <w:t> </w:t>
      </w:r>
      <w:r>
        <w:rPr>
          <w:sz w:val="15"/>
        </w:rPr>
        <w:t>as</w:t>
      </w:r>
      <w:r>
        <w:rPr>
          <w:spacing w:val="-8"/>
          <w:sz w:val="15"/>
        </w:rPr>
        <w:t> </w:t>
      </w:r>
      <w:r>
        <w:rPr>
          <w:sz w:val="15"/>
        </w:rPr>
        <w:t>they</w:t>
      </w:r>
      <w:r>
        <w:rPr>
          <w:spacing w:val="-8"/>
          <w:sz w:val="15"/>
        </w:rPr>
        <w:t> </w:t>
      </w:r>
      <w:r>
        <w:rPr>
          <w:sz w:val="15"/>
        </w:rPr>
        <w:t>do</w:t>
      </w:r>
      <w:r>
        <w:rPr>
          <w:spacing w:val="-7"/>
          <w:sz w:val="15"/>
        </w:rPr>
        <w:t> </w:t>
      </w:r>
      <w:r>
        <w:rPr>
          <w:sz w:val="15"/>
        </w:rPr>
        <w:t>not</w:t>
      </w:r>
      <w:r>
        <w:rPr>
          <w:spacing w:val="-8"/>
          <w:sz w:val="15"/>
        </w:rPr>
        <w:t> </w:t>
      </w:r>
      <w:r>
        <w:rPr>
          <w:sz w:val="15"/>
        </w:rPr>
        <w:t>form</w:t>
      </w:r>
      <w:r>
        <w:rPr>
          <w:spacing w:val="-8"/>
          <w:sz w:val="15"/>
        </w:rPr>
        <w:t> </w:t>
      </w:r>
      <w:r>
        <w:rPr>
          <w:sz w:val="15"/>
        </w:rPr>
        <w:t>part</w:t>
      </w:r>
      <w:r>
        <w:rPr>
          <w:spacing w:val="-7"/>
          <w:sz w:val="15"/>
        </w:rPr>
        <w:t> </w:t>
      </w:r>
      <w:r>
        <w:rPr>
          <w:sz w:val="15"/>
        </w:rPr>
        <w:t>of the reconciling</w:t>
      </w:r>
      <w:r>
        <w:rPr>
          <w:spacing w:val="-1"/>
          <w:sz w:val="15"/>
        </w:rPr>
        <w:t> </w:t>
      </w:r>
      <w:r>
        <w:rPr>
          <w:sz w:val="15"/>
        </w:rPr>
        <w:t>items.</w:t>
      </w:r>
    </w:p>
    <w:p>
      <w:pPr>
        <w:pStyle w:val="ListParagraph"/>
        <w:numPr>
          <w:ilvl w:val="1"/>
          <w:numId w:val="15"/>
        </w:numPr>
        <w:tabs>
          <w:tab w:pos="966" w:val="left" w:leader="none"/>
        </w:tabs>
        <w:spacing w:line="172" w:lineRule="exact" w:before="0" w:after="0"/>
        <w:ind w:left="965" w:right="0" w:hanging="200"/>
        <w:jc w:val="left"/>
        <w:rPr>
          <w:sz w:val="15"/>
        </w:rPr>
      </w:pPr>
      <w:r>
        <w:rPr>
          <w:sz w:val="15"/>
        </w:rPr>
        <w:t>This is the net GST paid/received, i.e. cash</w:t>
      </w:r>
      <w:r>
        <w:rPr>
          <w:spacing w:val="-11"/>
          <w:sz w:val="15"/>
        </w:rPr>
        <w:t> </w:t>
      </w:r>
      <w:r>
        <w:rPr>
          <w:sz w:val="15"/>
        </w:rPr>
        <w:t>transactions.</w:t>
      </w:r>
    </w:p>
    <w:p>
      <w:pPr>
        <w:pStyle w:val="ListParagraph"/>
        <w:numPr>
          <w:ilvl w:val="1"/>
          <w:numId w:val="15"/>
        </w:numPr>
        <w:tabs>
          <w:tab w:pos="958" w:val="left" w:leader="none"/>
        </w:tabs>
        <w:spacing w:line="240" w:lineRule="auto" w:before="27" w:after="0"/>
        <w:ind w:left="957" w:right="0" w:hanging="192"/>
        <w:jc w:val="left"/>
        <w:rPr>
          <w:sz w:val="15"/>
        </w:rPr>
      </w:pPr>
      <w:r>
        <w:rPr>
          <w:sz w:val="15"/>
        </w:rPr>
        <w:t>This reverses out the GST in receivables and</w:t>
      </w:r>
      <w:r>
        <w:rPr>
          <w:spacing w:val="-14"/>
          <w:sz w:val="15"/>
        </w:rPr>
        <w:t> </w:t>
      </w:r>
      <w:r>
        <w:rPr>
          <w:sz w:val="15"/>
        </w:rPr>
        <w:t>payables.</w:t>
      </w:r>
    </w:p>
    <w:p>
      <w:pPr>
        <w:pStyle w:val="Heading5"/>
        <w:ind w:left="414"/>
      </w:pPr>
      <w:r>
        <w:rPr/>
        <w:br w:type="column"/>
      </w:r>
      <w:r>
        <w:rPr>
          <w:color w:val="6F2770"/>
        </w:rPr>
        <w:t>Note 35. Services provided free of charge</w:t>
      </w:r>
    </w:p>
    <w:p>
      <w:pPr>
        <w:pStyle w:val="BodyText"/>
        <w:spacing w:before="3"/>
        <w:rPr>
          <w:sz w:val="17"/>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38" w:hRule="atLeast"/>
        </w:trPr>
        <w:tc>
          <w:tcPr>
            <w:tcW w:w="6265" w:type="dxa"/>
            <w:gridSpan w:val="2"/>
            <w:shd w:val="clear" w:color="auto" w:fill="783A79"/>
          </w:tcPr>
          <w:p>
            <w:pPr>
              <w:pStyle w:val="TableParagraph"/>
              <w:spacing w:before="47"/>
              <w:ind w:right="111"/>
              <w:jc w:val="right"/>
              <w:rPr>
                <w:b/>
                <w:sz w:val="19"/>
              </w:rPr>
            </w:pPr>
            <w:r>
              <w:rPr>
                <w:b/>
                <w:color w:val="FFFFFF"/>
                <w:w w:val="95"/>
                <w:sz w:val="19"/>
              </w:rPr>
              <w:t>2017</w:t>
            </w:r>
          </w:p>
          <w:p>
            <w:pPr>
              <w:pStyle w:val="TableParagraph"/>
              <w:spacing w:before="10"/>
              <w:ind w:right="111"/>
              <w:jc w:val="right"/>
              <w:rPr>
                <w:b/>
                <w:sz w:val="19"/>
              </w:rPr>
            </w:pPr>
            <w:r>
              <w:rPr>
                <w:b/>
                <w:color w:val="FFFFFF"/>
                <w:w w:val="95"/>
                <w:sz w:val="19"/>
              </w:rPr>
              <w:t>$000</w:t>
            </w:r>
          </w:p>
        </w:tc>
        <w:tc>
          <w:tcPr>
            <w:tcW w:w="1134" w:type="dxa"/>
            <w:shd w:val="clear" w:color="auto" w:fill="783A79"/>
          </w:tcPr>
          <w:p>
            <w:pPr>
              <w:pStyle w:val="TableParagraph"/>
              <w:spacing w:before="47"/>
              <w:ind w:left="597"/>
              <w:rPr>
                <w:b/>
                <w:sz w:val="19"/>
              </w:rPr>
            </w:pPr>
            <w:r>
              <w:rPr>
                <w:b/>
                <w:color w:val="FFFFFF"/>
                <w:sz w:val="19"/>
              </w:rPr>
              <w:t>2016</w:t>
            </w:r>
          </w:p>
          <w:p>
            <w:pPr>
              <w:pStyle w:val="TableParagraph"/>
              <w:spacing w:before="10"/>
              <w:ind w:left="597"/>
              <w:rPr>
                <w:b/>
                <w:sz w:val="19"/>
              </w:rPr>
            </w:pPr>
            <w:r>
              <w:rPr>
                <w:b/>
                <w:color w:val="FFFFFF"/>
                <w:sz w:val="19"/>
              </w:rPr>
              <w:t>$000</w:t>
            </w:r>
          </w:p>
        </w:tc>
      </w:tr>
      <w:tr>
        <w:trPr>
          <w:trHeight w:val="523" w:hRule="atLeast"/>
        </w:trPr>
        <w:tc>
          <w:tcPr>
            <w:tcW w:w="7399" w:type="dxa"/>
            <w:gridSpan w:val="3"/>
            <w:shd w:val="clear" w:color="auto" w:fill="F4F4F4"/>
          </w:tcPr>
          <w:p>
            <w:pPr>
              <w:pStyle w:val="TableParagraph"/>
              <w:spacing w:line="249" w:lineRule="auto" w:before="42"/>
              <w:ind w:left="113" w:right="114"/>
              <w:rPr>
                <w:sz w:val="19"/>
              </w:rPr>
            </w:pPr>
            <w:r>
              <w:rPr>
                <w:sz w:val="19"/>
              </w:rPr>
              <w:t>During</w:t>
            </w:r>
            <w:r>
              <w:rPr>
                <w:spacing w:val="-18"/>
                <w:sz w:val="19"/>
              </w:rPr>
              <w:t> </w:t>
            </w:r>
            <w:r>
              <w:rPr>
                <w:sz w:val="19"/>
              </w:rPr>
              <w:t>the</w:t>
            </w:r>
            <w:r>
              <w:rPr>
                <w:spacing w:val="-18"/>
                <w:sz w:val="19"/>
              </w:rPr>
              <w:t> </w:t>
            </w:r>
            <w:r>
              <w:rPr>
                <w:sz w:val="19"/>
              </w:rPr>
              <w:t>year</w:t>
            </w:r>
            <w:r>
              <w:rPr>
                <w:spacing w:val="-17"/>
                <w:sz w:val="19"/>
              </w:rPr>
              <w:t> </w:t>
            </w:r>
            <w:r>
              <w:rPr>
                <w:sz w:val="19"/>
              </w:rPr>
              <w:t>the</w:t>
            </w:r>
            <w:r>
              <w:rPr>
                <w:spacing w:val="-18"/>
                <w:sz w:val="19"/>
              </w:rPr>
              <w:t> </w:t>
            </w:r>
            <w:r>
              <w:rPr>
                <w:sz w:val="19"/>
              </w:rPr>
              <w:t>following</w:t>
            </w:r>
            <w:r>
              <w:rPr>
                <w:spacing w:val="-17"/>
                <w:sz w:val="19"/>
              </w:rPr>
              <w:t> </w:t>
            </w:r>
            <w:r>
              <w:rPr>
                <w:sz w:val="19"/>
              </w:rPr>
              <w:t>services</w:t>
            </w:r>
            <w:r>
              <w:rPr>
                <w:spacing w:val="-18"/>
                <w:sz w:val="19"/>
              </w:rPr>
              <w:t> </w:t>
            </w:r>
            <w:r>
              <w:rPr>
                <w:sz w:val="19"/>
              </w:rPr>
              <w:t>were</w:t>
            </w:r>
            <w:r>
              <w:rPr>
                <w:spacing w:val="-18"/>
                <w:sz w:val="19"/>
              </w:rPr>
              <w:t> </w:t>
            </w:r>
            <w:r>
              <w:rPr>
                <w:sz w:val="19"/>
              </w:rPr>
              <w:t>provided</w:t>
            </w:r>
            <w:r>
              <w:rPr>
                <w:spacing w:val="-17"/>
                <w:sz w:val="19"/>
              </w:rPr>
              <w:t> </w:t>
            </w:r>
            <w:r>
              <w:rPr>
                <w:sz w:val="19"/>
              </w:rPr>
              <w:t>to</w:t>
            </w:r>
            <w:r>
              <w:rPr>
                <w:spacing w:val="-18"/>
                <w:sz w:val="19"/>
              </w:rPr>
              <w:t> </w:t>
            </w:r>
            <w:r>
              <w:rPr>
                <w:sz w:val="19"/>
              </w:rPr>
              <w:t>other</w:t>
            </w:r>
            <w:r>
              <w:rPr>
                <w:spacing w:val="-17"/>
                <w:sz w:val="19"/>
              </w:rPr>
              <w:t> </w:t>
            </w:r>
            <w:r>
              <w:rPr>
                <w:sz w:val="19"/>
              </w:rPr>
              <w:t>agencies</w:t>
            </w:r>
            <w:r>
              <w:rPr>
                <w:spacing w:val="-18"/>
                <w:sz w:val="19"/>
              </w:rPr>
              <w:t> </w:t>
            </w:r>
            <w:r>
              <w:rPr>
                <w:sz w:val="19"/>
              </w:rPr>
              <w:t>free</w:t>
            </w:r>
            <w:r>
              <w:rPr>
                <w:spacing w:val="-18"/>
                <w:sz w:val="19"/>
              </w:rPr>
              <w:t> </w:t>
            </w:r>
            <w:r>
              <w:rPr>
                <w:sz w:val="19"/>
              </w:rPr>
              <w:t>of</w:t>
            </w:r>
            <w:r>
              <w:rPr>
                <w:spacing w:val="-17"/>
                <w:sz w:val="19"/>
              </w:rPr>
              <w:t> </w:t>
            </w:r>
            <w:r>
              <w:rPr>
                <w:sz w:val="19"/>
              </w:rPr>
              <w:t>charge</w:t>
            </w:r>
            <w:r>
              <w:rPr>
                <w:spacing w:val="-18"/>
                <w:sz w:val="19"/>
              </w:rPr>
              <w:t> </w:t>
            </w:r>
            <w:r>
              <w:rPr>
                <w:spacing w:val="-5"/>
                <w:sz w:val="19"/>
              </w:rPr>
              <w:t>for </w:t>
            </w:r>
            <w:r>
              <w:rPr>
                <w:sz w:val="19"/>
              </w:rPr>
              <w:t>functions outside the normal operations of the</w:t>
            </w:r>
            <w:r>
              <w:rPr>
                <w:spacing w:val="-17"/>
                <w:sz w:val="19"/>
              </w:rPr>
              <w:t> </w:t>
            </w:r>
            <w:r>
              <w:rPr>
                <w:sz w:val="19"/>
              </w:rPr>
              <w:t>Department:</w:t>
            </w:r>
          </w:p>
        </w:tc>
      </w:tr>
      <w:tr>
        <w:trPr>
          <w:trHeight w:val="311" w:hRule="atLeast"/>
        </w:trPr>
        <w:tc>
          <w:tcPr>
            <w:tcW w:w="5131" w:type="dxa"/>
            <w:shd w:val="clear" w:color="auto" w:fill="FAF9F9"/>
          </w:tcPr>
          <w:p>
            <w:pPr>
              <w:pStyle w:val="TableParagraph"/>
              <w:spacing w:before="52"/>
              <w:ind w:left="113"/>
              <w:rPr>
                <w:sz w:val="19"/>
              </w:rPr>
            </w:pPr>
            <w:r>
              <w:rPr>
                <w:sz w:val="19"/>
              </w:rPr>
              <w:t>Department of the Premier and Cabinet</w:t>
            </w:r>
          </w:p>
        </w:tc>
        <w:tc>
          <w:tcPr>
            <w:tcW w:w="1134" w:type="dxa"/>
            <w:shd w:val="clear" w:color="auto" w:fill="DFE1B8"/>
          </w:tcPr>
          <w:p>
            <w:pPr>
              <w:pStyle w:val="TableParagraph"/>
              <w:spacing w:before="52"/>
              <w:ind w:right="111"/>
              <w:jc w:val="right"/>
              <w:rPr>
                <w:sz w:val="19"/>
              </w:rPr>
            </w:pPr>
            <w:r>
              <w:rPr>
                <w:w w:val="95"/>
                <w:sz w:val="19"/>
              </w:rPr>
              <w:t>3,607</w:t>
            </w:r>
          </w:p>
        </w:tc>
        <w:tc>
          <w:tcPr>
            <w:tcW w:w="1134" w:type="dxa"/>
            <w:shd w:val="clear" w:color="auto" w:fill="FAF9F9"/>
          </w:tcPr>
          <w:p>
            <w:pPr>
              <w:pStyle w:val="TableParagraph"/>
              <w:spacing w:before="52"/>
              <w:ind w:right="111"/>
              <w:jc w:val="right"/>
              <w:rPr>
                <w:sz w:val="19"/>
              </w:rPr>
            </w:pPr>
            <w:r>
              <w:rPr>
                <w:w w:val="95"/>
                <w:sz w:val="19"/>
              </w:rPr>
              <w:t>4,207</w:t>
            </w:r>
          </w:p>
        </w:tc>
      </w:tr>
      <w:tr>
        <w:trPr>
          <w:trHeight w:val="299" w:hRule="atLeast"/>
        </w:trPr>
        <w:tc>
          <w:tcPr>
            <w:tcW w:w="5131" w:type="dxa"/>
            <w:tcBorders>
              <w:bottom w:val="single" w:sz="8" w:space="0" w:color="FFFFFF"/>
            </w:tcBorders>
            <w:shd w:val="clear" w:color="auto" w:fill="FAF9F9"/>
          </w:tcPr>
          <w:p>
            <w:pPr>
              <w:pStyle w:val="TableParagraph"/>
              <w:spacing w:before="46"/>
              <w:ind w:left="113"/>
              <w:rPr>
                <w:sz w:val="19"/>
              </w:rPr>
            </w:pPr>
            <w:r>
              <w:rPr>
                <w:sz w:val="19"/>
              </w:rPr>
              <w:t>Department of the Attorney General</w:t>
            </w:r>
          </w:p>
        </w:tc>
        <w:tc>
          <w:tcPr>
            <w:tcW w:w="1134" w:type="dxa"/>
            <w:shd w:val="clear" w:color="auto" w:fill="DFE1B8"/>
          </w:tcPr>
          <w:p>
            <w:pPr>
              <w:pStyle w:val="TableParagraph"/>
              <w:spacing w:before="46"/>
              <w:ind w:right="111"/>
              <w:jc w:val="right"/>
              <w:rPr>
                <w:sz w:val="19"/>
              </w:rPr>
            </w:pPr>
            <w:r>
              <w:rPr>
                <w:w w:val="95"/>
                <w:sz w:val="19"/>
              </w:rPr>
              <w:t>1,865</w:t>
            </w:r>
          </w:p>
        </w:tc>
        <w:tc>
          <w:tcPr>
            <w:tcW w:w="1134" w:type="dxa"/>
            <w:tcBorders>
              <w:bottom w:val="single" w:sz="8" w:space="0" w:color="FFFFFF"/>
            </w:tcBorders>
            <w:shd w:val="clear" w:color="auto" w:fill="FAF9F9"/>
          </w:tcPr>
          <w:p>
            <w:pPr>
              <w:pStyle w:val="TableParagraph"/>
              <w:spacing w:before="46"/>
              <w:ind w:right="111"/>
              <w:jc w:val="right"/>
              <w:rPr>
                <w:sz w:val="19"/>
              </w:rPr>
            </w:pPr>
            <w:r>
              <w:rPr>
                <w:w w:val="95"/>
                <w:sz w:val="19"/>
              </w:rPr>
              <w:t>2,473</w:t>
            </w:r>
          </w:p>
        </w:tc>
      </w:tr>
      <w:tr>
        <w:trPr>
          <w:trHeight w:val="280"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Department of Transport</w:t>
            </w:r>
          </w:p>
        </w:tc>
        <w:tc>
          <w:tcPr>
            <w:tcW w:w="1134" w:type="dxa"/>
            <w:shd w:val="clear" w:color="auto" w:fill="DFE1B8"/>
          </w:tcPr>
          <w:p>
            <w:pPr>
              <w:pStyle w:val="TableParagraph"/>
              <w:ind w:right="111"/>
              <w:jc w:val="right"/>
              <w:rPr>
                <w:sz w:val="19"/>
              </w:rPr>
            </w:pPr>
            <w:r>
              <w:rPr>
                <w:w w:val="95"/>
                <w:sz w:val="19"/>
              </w:rPr>
              <w:t>671</w:t>
            </w:r>
          </w:p>
        </w:tc>
        <w:tc>
          <w:tcPr>
            <w:tcW w:w="1134" w:type="dxa"/>
            <w:tcBorders>
              <w:top w:val="single" w:sz="8" w:space="0" w:color="FFFFFF"/>
              <w:bottom w:val="single" w:sz="12" w:space="0" w:color="FFFFFF"/>
            </w:tcBorders>
            <w:shd w:val="clear" w:color="auto" w:fill="FAF9F9"/>
          </w:tcPr>
          <w:p>
            <w:pPr>
              <w:pStyle w:val="TableParagraph"/>
              <w:ind w:right="111"/>
              <w:jc w:val="right"/>
              <w:rPr>
                <w:sz w:val="19"/>
              </w:rPr>
            </w:pPr>
            <w:r>
              <w:rPr>
                <w:w w:val="95"/>
                <w:sz w:val="19"/>
              </w:rPr>
              <w:t>1,190</w:t>
            </w:r>
          </w:p>
        </w:tc>
      </w:tr>
      <w:tr>
        <w:trPr>
          <w:trHeight w:val="280" w:hRule="atLeast"/>
        </w:trPr>
        <w:tc>
          <w:tcPr>
            <w:tcW w:w="5131" w:type="dxa"/>
            <w:tcBorders>
              <w:top w:val="single" w:sz="8" w:space="0" w:color="FFFFFF"/>
              <w:bottom w:val="single" w:sz="8" w:space="0" w:color="FFFFFF"/>
            </w:tcBorders>
            <w:shd w:val="clear" w:color="auto" w:fill="F4F4F4"/>
          </w:tcPr>
          <w:p>
            <w:pPr>
              <w:pStyle w:val="TableParagraph"/>
              <w:spacing w:before="27"/>
              <w:ind w:left="113"/>
              <w:rPr>
                <w:sz w:val="19"/>
              </w:rPr>
            </w:pPr>
            <w:r>
              <w:rPr>
                <w:sz w:val="19"/>
              </w:rPr>
              <w:t>Department of Planning</w:t>
            </w:r>
          </w:p>
        </w:tc>
        <w:tc>
          <w:tcPr>
            <w:tcW w:w="1134" w:type="dxa"/>
            <w:shd w:val="clear" w:color="auto" w:fill="DFE1B8"/>
          </w:tcPr>
          <w:p>
            <w:pPr>
              <w:pStyle w:val="TableParagraph"/>
              <w:spacing w:before="27"/>
              <w:ind w:right="111"/>
              <w:jc w:val="right"/>
              <w:rPr>
                <w:sz w:val="19"/>
              </w:rPr>
            </w:pPr>
            <w:r>
              <w:rPr>
                <w:w w:val="95"/>
                <w:sz w:val="19"/>
              </w:rPr>
              <w:t>628</w:t>
            </w:r>
          </w:p>
        </w:tc>
        <w:tc>
          <w:tcPr>
            <w:tcW w:w="1134" w:type="dxa"/>
            <w:tcBorders>
              <w:top w:val="single" w:sz="12" w:space="0" w:color="FFFFFF"/>
              <w:bottom w:val="single" w:sz="8" w:space="0" w:color="FFFFFF"/>
            </w:tcBorders>
            <w:shd w:val="clear" w:color="auto" w:fill="F4F4F4"/>
          </w:tcPr>
          <w:p>
            <w:pPr>
              <w:pStyle w:val="TableParagraph"/>
              <w:spacing w:before="27"/>
              <w:ind w:right="111"/>
              <w:jc w:val="right"/>
              <w:rPr>
                <w:sz w:val="19"/>
              </w:rPr>
            </w:pPr>
            <w:r>
              <w:rPr>
                <w:w w:val="95"/>
                <w:sz w:val="19"/>
              </w:rPr>
              <w:t>1,172</w:t>
            </w:r>
          </w:p>
        </w:tc>
      </w:tr>
      <w:tr>
        <w:trPr>
          <w:trHeight w:val="280"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Department of Commerce</w:t>
            </w:r>
          </w:p>
        </w:tc>
        <w:tc>
          <w:tcPr>
            <w:tcW w:w="1134" w:type="dxa"/>
            <w:shd w:val="clear" w:color="auto" w:fill="DFE1B8"/>
          </w:tcPr>
          <w:p>
            <w:pPr>
              <w:pStyle w:val="TableParagraph"/>
              <w:ind w:right="111"/>
              <w:jc w:val="right"/>
              <w:rPr>
                <w:sz w:val="19"/>
              </w:rPr>
            </w:pPr>
            <w:r>
              <w:rPr>
                <w:w w:val="95"/>
                <w:sz w:val="19"/>
              </w:rPr>
              <w:t>539</w:t>
            </w:r>
          </w:p>
        </w:tc>
        <w:tc>
          <w:tcPr>
            <w:tcW w:w="1134" w:type="dxa"/>
            <w:tcBorders>
              <w:top w:val="single" w:sz="8" w:space="0" w:color="FFFFFF"/>
              <w:bottom w:val="single" w:sz="12" w:space="0" w:color="FFFFFF"/>
            </w:tcBorders>
            <w:shd w:val="clear" w:color="auto" w:fill="FAF9F9"/>
          </w:tcPr>
          <w:p>
            <w:pPr>
              <w:pStyle w:val="TableParagraph"/>
              <w:ind w:right="111"/>
              <w:jc w:val="right"/>
              <w:rPr>
                <w:sz w:val="19"/>
              </w:rPr>
            </w:pPr>
            <w:r>
              <w:rPr>
                <w:w w:val="95"/>
                <w:sz w:val="19"/>
              </w:rPr>
              <w:t>768</w:t>
            </w:r>
          </w:p>
        </w:tc>
      </w:tr>
      <w:tr>
        <w:trPr>
          <w:trHeight w:val="275" w:hRule="atLeast"/>
        </w:trPr>
        <w:tc>
          <w:tcPr>
            <w:tcW w:w="5131" w:type="dxa"/>
            <w:tcBorders>
              <w:top w:val="single" w:sz="8" w:space="0" w:color="FFFFFF"/>
              <w:bottom w:val="single" w:sz="8" w:space="0" w:color="FFFFFF"/>
            </w:tcBorders>
            <w:shd w:val="clear" w:color="auto" w:fill="F4F4F4"/>
          </w:tcPr>
          <w:p>
            <w:pPr>
              <w:pStyle w:val="TableParagraph"/>
              <w:spacing w:before="27"/>
              <w:ind w:left="113"/>
              <w:rPr>
                <w:sz w:val="19"/>
              </w:rPr>
            </w:pPr>
            <w:r>
              <w:rPr>
                <w:sz w:val="19"/>
              </w:rPr>
              <w:t>Department of Aboriginal Affairs</w:t>
            </w:r>
          </w:p>
        </w:tc>
        <w:tc>
          <w:tcPr>
            <w:tcW w:w="1134" w:type="dxa"/>
            <w:shd w:val="clear" w:color="auto" w:fill="DFE1B8"/>
          </w:tcPr>
          <w:p>
            <w:pPr>
              <w:pStyle w:val="TableParagraph"/>
              <w:spacing w:before="27"/>
              <w:ind w:right="111"/>
              <w:jc w:val="right"/>
              <w:rPr>
                <w:sz w:val="19"/>
              </w:rPr>
            </w:pPr>
            <w:r>
              <w:rPr>
                <w:w w:val="95"/>
                <w:sz w:val="19"/>
              </w:rPr>
              <w:t>482</w:t>
            </w:r>
          </w:p>
        </w:tc>
        <w:tc>
          <w:tcPr>
            <w:tcW w:w="1134" w:type="dxa"/>
            <w:tcBorders>
              <w:top w:val="single" w:sz="12" w:space="0" w:color="FFFFFF"/>
              <w:bottom w:val="single" w:sz="12" w:space="0" w:color="FFFFFF"/>
            </w:tcBorders>
            <w:shd w:val="clear" w:color="auto" w:fill="F4F4F4"/>
          </w:tcPr>
          <w:p>
            <w:pPr>
              <w:pStyle w:val="TableParagraph"/>
              <w:spacing w:before="27"/>
              <w:ind w:right="111"/>
              <w:jc w:val="right"/>
              <w:rPr>
                <w:sz w:val="19"/>
              </w:rPr>
            </w:pPr>
            <w:r>
              <w:rPr>
                <w:w w:val="95"/>
                <w:sz w:val="19"/>
              </w:rPr>
              <w:t>572</w:t>
            </w:r>
          </w:p>
        </w:tc>
      </w:tr>
      <w:tr>
        <w:trPr>
          <w:trHeight w:val="280" w:hRule="atLeast"/>
        </w:trPr>
        <w:tc>
          <w:tcPr>
            <w:tcW w:w="5131" w:type="dxa"/>
            <w:tcBorders>
              <w:top w:val="single" w:sz="8" w:space="0" w:color="FFFFFF"/>
              <w:bottom w:val="single" w:sz="8" w:space="0" w:color="FFFFFF"/>
            </w:tcBorders>
            <w:shd w:val="clear" w:color="auto" w:fill="FAF9F9"/>
          </w:tcPr>
          <w:p>
            <w:pPr>
              <w:pStyle w:val="TableParagraph"/>
              <w:spacing w:before="27"/>
              <w:ind w:left="113"/>
              <w:rPr>
                <w:sz w:val="19"/>
              </w:rPr>
            </w:pPr>
            <w:r>
              <w:rPr>
                <w:sz w:val="19"/>
              </w:rPr>
              <w:t>Department of Culture and the Arts</w:t>
            </w:r>
          </w:p>
        </w:tc>
        <w:tc>
          <w:tcPr>
            <w:tcW w:w="1134" w:type="dxa"/>
            <w:shd w:val="clear" w:color="auto" w:fill="DFE1B8"/>
          </w:tcPr>
          <w:p>
            <w:pPr>
              <w:pStyle w:val="TableParagraph"/>
              <w:spacing w:before="27"/>
              <w:ind w:right="111"/>
              <w:jc w:val="right"/>
              <w:rPr>
                <w:sz w:val="19"/>
              </w:rPr>
            </w:pPr>
            <w:r>
              <w:rPr>
                <w:w w:val="95"/>
                <w:sz w:val="19"/>
              </w:rPr>
              <w:t>465</w:t>
            </w:r>
          </w:p>
        </w:tc>
        <w:tc>
          <w:tcPr>
            <w:tcW w:w="1134" w:type="dxa"/>
            <w:tcBorders>
              <w:top w:val="single" w:sz="12" w:space="0" w:color="FFFFFF"/>
              <w:bottom w:val="single" w:sz="8" w:space="0" w:color="FFFFFF"/>
            </w:tcBorders>
            <w:shd w:val="clear" w:color="auto" w:fill="FAF9F9"/>
          </w:tcPr>
          <w:p>
            <w:pPr>
              <w:pStyle w:val="TableParagraph"/>
              <w:spacing w:before="27"/>
              <w:ind w:right="111"/>
              <w:jc w:val="right"/>
              <w:rPr>
                <w:sz w:val="19"/>
              </w:rPr>
            </w:pPr>
            <w:r>
              <w:rPr>
                <w:w w:val="95"/>
                <w:sz w:val="19"/>
              </w:rPr>
              <w:t>748</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Office of the Auditor General</w:t>
            </w:r>
          </w:p>
        </w:tc>
        <w:tc>
          <w:tcPr>
            <w:tcW w:w="1134" w:type="dxa"/>
            <w:shd w:val="clear" w:color="auto" w:fill="DFE1B8"/>
          </w:tcPr>
          <w:p>
            <w:pPr>
              <w:pStyle w:val="TableParagraph"/>
              <w:ind w:right="111"/>
              <w:jc w:val="right"/>
              <w:rPr>
                <w:sz w:val="19"/>
              </w:rPr>
            </w:pPr>
            <w:r>
              <w:rPr>
                <w:w w:val="95"/>
                <w:sz w:val="19"/>
              </w:rPr>
              <w:t>457</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503</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Disability Services Commission</w:t>
            </w:r>
          </w:p>
        </w:tc>
        <w:tc>
          <w:tcPr>
            <w:tcW w:w="1134" w:type="dxa"/>
            <w:shd w:val="clear" w:color="auto" w:fill="DFE1B8"/>
          </w:tcPr>
          <w:p>
            <w:pPr>
              <w:pStyle w:val="TableParagraph"/>
              <w:ind w:right="111"/>
              <w:jc w:val="right"/>
              <w:rPr>
                <w:sz w:val="19"/>
              </w:rPr>
            </w:pPr>
            <w:r>
              <w:rPr>
                <w:w w:val="95"/>
                <w:sz w:val="19"/>
              </w:rPr>
              <w:t>427</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555</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Department for Child Protection and Family Support</w:t>
            </w:r>
          </w:p>
        </w:tc>
        <w:tc>
          <w:tcPr>
            <w:tcW w:w="1134" w:type="dxa"/>
            <w:shd w:val="clear" w:color="auto" w:fill="DFE1B8"/>
          </w:tcPr>
          <w:p>
            <w:pPr>
              <w:pStyle w:val="TableParagraph"/>
              <w:ind w:right="111"/>
              <w:jc w:val="right"/>
              <w:rPr>
                <w:sz w:val="19"/>
              </w:rPr>
            </w:pPr>
            <w:r>
              <w:rPr>
                <w:w w:val="95"/>
                <w:sz w:val="19"/>
              </w:rPr>
              <w:t>370</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933</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Department of Training &amp; Workforce Development</w:t>
            </w:r>
          </w:p>
        </w:tc>
        <w:tc>
          <w:tcPr>
            <w:tcW w:w="1134" w:type="dxa"/>
            <w:shd w:val="clear" w:color="auto" w:fill="DFE1B8"/>
          </w:tcPr>
          <w:p>
            <w:pPr>
              <w:pStyle w:val="TableParagraph"/>
              <w:ind w:right="111"/>
              <w:jc w:val="right"/>
              <w:rPr>
                <w:sz w:val="19"/>
              </w:rPr>
            </w:pPr>
            <w:r>
              <w:rPr>
                <w:w w:val="95"/>
                <w:sz w:val="19"/>
              </w:rPr>
              <w:t>359</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891</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Public Sector Commission</w:t>
            </w:r>
          </w:p>
        </w:tc>
        <w:tc>
          <w:tcPr>
            <w:tcW w:w="1134" w:type="dxa"/>
            <w:shd w:val="clear" w:color="auto" w:fill="DFE1B8"/>
          </w:tcPr>
          <w:p>
            <w:pPr>
              <w:pStyle w:val="TableParagraph"/>
              <w:ind w:right="111"/>
              <w:jc w:val="right"/>
              <w:rPr>
                <w:sz w:val="19"/>
              </w:rPr>
            </w:pPr>
            <w:r>
              <w:rPr>
                <w:w w:val="95"/>
                <w:sz w:val="19"/>
              </w:rPr>
              <w:t>353</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453</w:t>
            </w:r>
          </w:p>
        </w:tc>
      </w:tr>
      <w:tr>
        <w:trPr>
          <w:trHeight w:val="280"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Department of Local Government &amp; Communities</w:t>
            </w:r>
          </w:p>
        </w:tc>
        <w:tc>
          <w:tcPr>
            <w:tcW w:w="1134" w:type="dxa"/>
            <w:shd w:val="clear" w:color="auto" w:fill="DFE1B8"/>
          </w:tcPr>
          <w:p>
            <w:pPr>
              <w:pStyle w:val="TableParagraph"/>
              <w:ind w:right="111"/>
              <w:jc w:val="right"/>
              <w:rPr>
                <w:sz w:val="19"/>
              </w:rPr>
            </w:pPr>
            <w:r>
              <w:rPr>
                <w:w w:val="95"/>
                <w:sz w:val="19"/>
              </w:rPr>
              <w:t>351</w:t>
            </w:r>
          </w:p>
        </w:tc>
        <w:tc>
          <w:tcPr>
            <w:tcW w:w="1134" w:type="dxa"/>
            <w:tcBorders>
              <w:top w:val="single" w:sz="8" w:space="0" w:color="FFFFFF"/>
              <w:bottom w:val="single" w:sz="12" w:space="0" w:color="FFFFFF"/>
            </w:tcBorders>
            <w:shd w:val="clear" w:color="auto" w:fill="FAF9F9"/>
          </w:tcPr>
          <w:p>
            <w:pPr>
              <w:pStyle w:val="TableParagraph"/>
              <w:ind w:right="111"/>
              <w:jc w:val="right"/>
              <w:rPr>
                <w:sz w:val="19"/>
              </w:rPr>
            </w:pPr>
            <w:r>
              <w:rPr>
                <w:w w:val="95"/>
                <w:sz w:val="19"/>
              </w:rPr>
              <w:t>591</w:t>
            </w:r>
          </w:p>
        </w:tc>
      </w:tr>
      <w:tr>
        <w:trPr>
          <w:trHeight w:val="280" w:hRule="atLeast"/>
        </w:trPr>
        <w:tc>
          <w:tcPr>
            <w:tcW w:w="5131" w:type="dxa"/>
            <w:tcBorders>
              <w:top w:val="single" w:sz="8" w:space="0" w:color="FFFFFF"/>
              <w:bottom w:val="single" w:sz="8" w:space="0" w:color="FFFFFF"/>
            </w:tcBorders>
            <w:shd w:val="clear" w:color="auto" w:fill="F4F4F4"/>
          </w:tcPr>
          <w:p>
            <w:pPr>
              <w:pStyle w:val="TableParagraph"/>
              <w:spacing w:before="27"/>
              <w:ind w:left="113"/>
              <w:rPr>
                <w:sz w:val="19"/>
              </w:rPr>
            </w:pPr>
            <w:r>
              <w:rPr>
                <w:sz w:val="19"/>
              </w:rPr>
              <w:t>Western Australia Police</w:t>
            </w:r>
          </w:p>
        </w:tc>
        <w:tc>
          <w:tcPr>
            <w:tcW w:w="1134" w:type="dxa"/>
            <w:shd w:val="clear" w:color="auto" w:fill="DFE1B8"/>
          </w:tcPr>
          <w:p>
            <w:pPr>
              <w:pStyle w:val="TableParagraph"/>
              <w:spacing w:before="27"/>
              <w:ind w:right="111"/>
              <w:jc w:val="right"/>
              <w:rPr>
                <w:sz w:val="19"/>
              </w:rPr>
            </w:pPr>
            <w:r>
              <w:rPr>
                <w:w w:val="95"/>
                <w:sz w:val="19"/>
              </w:rPr>
              <w:t>342</w:t>
            </w:r>
          </w:p>
        </w:tc>
        <w:tc>
          <w:tcPr>
            <w:tcW w:w="1134" w:type="dxa"/>
            <w:tcBorders>
              <w:top w:val="single" w:sz="12" w:space="0" w:color="FFFFFF"/>
              <w:bottom w:val="single" w:sz="8" w:space="0" w:color="FFFFFF"/>
            </w:tcBorders>
            <w:shd w:val="clear" w:color="auto" w:fill="F4F4F4"/>
          </w:tcPr>
          <w:p>
            <w:pPr>
              <w:pStyle w:val="TableParagraph"/>
              <w:spacing w:before="27"/>
              <w:ind w:right="111"/>
              <w:jc w:val="right"/>
              <w:rPr>
                <w:sz w:val="19"/>
              </w:rPr>
            </w:pPr>
            <w:r>
              <w:rPr>
                <w:w w:val="95"/>
                <w:sz w:val="19"/>
              </w:rPr>
              <w:t>4,338</w:t>
            </w:r>
          </w:p>
        </w:tc>
      </w:tr>
      <w:tr>
        <w:trPr>
          <w:trHeight w:val="285"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Department of Treasury</w:t>
            </w:r>
          </w:p>
        </w:tc>
        <w:tc>
          <w:tcPr>
            <w:tcW w:w="1134" w:type="dxa"/>
            <w:shd w:val="clear" w:color="auto" w:fill="DFE1B8"/>
          </w:tcPr>
          <w:p>
            <w:pPr>
              <w:pStyle w:val="TableParagraph"/>
              <w:ind w:right="111"/>
              <w:jc w:val="right"/>
              <w:rPr>
                <w:sz w:val="19"/>
              </w:rPr>
            </w:pPr>
            <w:r>
              <w:rPr>
                <w:w w:val="95"/>
                <w:sz w:val="19"/>
              </w:rPr>
              <w:t>341</w:t>
            </w: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729</w:t>
            </w:r>
          </w:p>
        </w:tc>
      </w:tr>
      <w:tr>
        <w:trPr>
          <w:trHeight w:val="285"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Department of Corrective Services</w:t>
            </w:r>
          </w:p>
        </w:tc>
        <w:tc>
          <w:tcPr>
            <w:tcW w:w="1134" w:type="dxa"/>
            <w:shd w:val="clear" w:color="auto" w:fill="DFE1B8"/>
          </w:tcPr>
          <w:p>
            <w:pPr>
              <w:pStyle w:val="TableParagraph"/>
              <w:ind w:right="111"/>
              <w:jc w:val="right"/>
              <w:rPr>
                <w:sz w:val="19"/>
              </w:rPr>
            </w:pPr>
            <w:r>
              <w:rPr>
                <w:w w:val="95"/>
                <w:sz w:val="19"/>
              </w:rPr>
              <w:t>332</w:t>
            </w: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2,458</w:t>
            </w:r>
          </w:p>
        </w:tc>
      </w:tr>
      <w:tr>
        <w:trPr>
          <w:trHeight w:val="280"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The Ombudsman</w:t>
            </w:r>
          </w:p>
        </w:tc>
        <w:tc>
          <w:tcPr>
            <w:tcW w:w="1134" w:type="dxa"/>
            <w:shd w:val="clear" w:color="auto" w:fill="DFE1B8"/>
          </w:tcPr>
          <w:p>
            <w:pPr>
              <w:pStyle w:val="TableParagraph"/>
              <w:ind w:right="111"/>
              <w:jc w:val="right"/>
              <w:rPr>
                <w:sz w:val="19"/>
              </w:rPr>
            </w:pPr>
            <w:r>
              <w:rPr>
                <w:w w:val="95"/>
                <w:sz w:val="19"/>
              </w:rPr>
              <w:t>315</w:t>
            </w:r>
          </w:p>
        </w:tc>
        <w:tc>
          <w:tcPr>
            <w:tcW w:w="1134" w:type="dxa"/>
            <w:tcBorders>
              <w:top w:val="single" w:sz="8" w:space="0" w:color="FFFFFF"/>
              <w:bottom w:val="single" w:sz="12" w:space="0" w:color="FFFFFF"/>
            </w:tcBorders>
            <w:shd w:val="clear" w:color="auto" w:fill="FAF9F9"/>
          </w:tcPr>
          <w:p>
            <w:pPr>
              <w:pStyle w:val="TableParagraph"/>
              <w:ind w:right="111"/>
              <w:jc w:val="right"/>
              <w:rPr>
                <w:sz w:val="19"/>
              </w:rPr>
            </w:pPr>
            <w:r>
              <w:rPr>
                <w:w w:val="95"/>
                <w:sz w:val="19"/>
              </w:rPr>
              <w:t>347</w:t>
            </w:r>
          </w:p>
        </w:tc>
      </w:tr>
      <w:tr>
        <w:trPr>
          <w:trHeight w:val="275" w:hRule="atLeast"/>
        </w:trPr>
        <w:tc>
          <w:tcPr>
            <w:tcW w:w="5131" w:type="dxa"/>
            <w:tcBorders>
              <w:top w:val="single" w:sz="8" w:space="0" w:color="FFFFFF"/>
              <w:bottom w:val="single" w:sz="8" w:space="0" w:color="FFFFFF"/>
            </w:tcBorders>
            <w:shd w:val="clear" w:color="auto" w:fill="F4F4F4"/>
          </w:tcPr>
          <w:p>
            <w:pPr>
              <w:pStyle w:val="TableParagraph"/>
              <w:spacing w:before="27"/>
              <w:ind w:left="113"/>
              <w:rPr>
                <w:sz w:val="19"/>
              </w:rPr>
            </w:pPr>
            <w:r>
              <w:rPr>
                <w:sz w:val="19"/>
              </w:rPr>
              <w:t>Department of Health</w:t>
            </w:r>
          </w:p>
        </w:tc>
        <w:tc>
          <w:tcPr>
            <w:tcW w:w="1134" w:type="dxa"/>
            <w:shd w:val="clear" w:color="auto" w:fill="DFE1B8"/>
          </w:tcPr>
          <w:p>
            <w:pPr>
              <w:pStyle w:val="TableParagraph"/>
              <w:spacing w:before="27"/>
              <w:ind w:right="111"/>
              <w:jc w:val="right"/>
              <w:rPr>
                <w:sz w:val="19"/>
              </w:rPr>
            </w:pPr>
            <w:r>
              <w:rPr>
                <w:w w:val="95"/>
                <w:sz w:val="19"/>
              </w:rPr>
              <w:t>313</w:t>
            </w:r>
          </w:p>
        </w:tc>
        <w:tc>
          <w:tcPr>
            <w:tcW w:w="1134" w:type="dxa"/>
            <w:tcBorders>
              <w:top w:val="single" w:sz="12" w:space="0" w:color="FFFFFF"/>
              <w:bottom w:val="single" w:sz="12" w:space="0" w:color="FFFFFF"/>
            </w:tcBorders>
            <w:shd w:val="clear" w:color="auto" w:fill="F4F4F4"/>
          </w:tcPr>
          <w:p>
            <w:pPr>
              <w:pStyle w:val="TableParagraph"/>
              <w:spacing w:before="27"/>
              <w:ind w:right="111"/>
              <w:jc w:val="right"/>
              <w:rPr>
                <w:sz w:val="19"/>
              </w:rPr>
            </w:pPr>
            <w:r>
              <w:rPr>
                <w:w w:val="95"/>
                <w:sz w:val="19"/>
              </w:rPr>
              <w:t>4,259</w:t>
            </w:r>
          </w:p>
        </w:tc>
      </w:tr>
      <w:tr>
        <w:trPr>
          <w:trHeight w:val="280" w:hRule="atLeast"/>
        </w:trPr>
        <w:tc>
          <w:tcPr>
            <w:tcW w:w="5131" w:type="dxa"/>
            <w:tcBorders>
              <w:top w:val="single" w:sz="8" w:space="0" w:color="FFFFFF"/>
              <w:bottom w:val="single" w:sz="8" w:space="0" w:color="FFFFFF"/>
            </w:tcBorders>
            <w:shd w:val="clear" w:color="auto" w:fill="FAF9F9"/>
          </w:tcPr>
          <w:p>
            <w:pPr>
              <w:pStyle w:val="TableParagraph"/>
              <w:spacing w:before="27"/>
              <w:ind w:left="113"/>
              <w:rPr>
                <w:sz w:val="10"/>
              </w:rPr>
            </w:pPr>
            <w:r>
              <w:rPr>
                <w:sz w:val="19"/>
              </w:rPr>
              <w:t>Other Agencies</w:t>
            </w:r>
            <w:r>
              <w:rPr>
                <w:position w:val="6"/>
                <w:sz w:val="10"/>
              </w:rPr>
              <w:t>(a)</w:t>
            </w:r>
          </w:p>
        </w:tc>
        <w:tc>
          <w:tcPr>
            <w:tcW w:w="1134" w:type="dxa"/>
            <w:tcBorders>
              <w:bottom w:val="single" w:sz="4" w:space="0" w:color="000000"/>
            </w:tcBorders>
            <w:shd w:val="clear" w:color="auto" w:fill="DFE1B8"/>
          </w:tcPr>
          <w:p>
            <w:pPr>
              <w:pStyle w:val="TableParagraph"/>
              <w:spacing w:before="27"/>
              <w:ind w:right="111"/>
              <w:jc w:val="right"/>
              <w:rPr>
                <w:sz w:val="19"/>
              </w:rPr>
            </w:pPr>
            <w:r>
              <w:rPr>
                <w:w w:val="95"/>
                <w:sz w:val="19"/>
              </w:rPr>
              <w:t>2,997</w:t>
            </w:r>
          </w:p>
        </w:tc>
        <w:tc>
          <w:tcPr>
            <w:tcW w:w="1134" w:type="dxa"/>
            <w:tcBorders>
              <w:top w:val="single" w:sz="12" w:space="0" w:color="FFFFFF"/>
              <w:bottom w:val="single" w:sz="4" w:space="0" w:color="000000"/>
            </w:tcBorders>
            <w:shd w:val="clear" w:color="auto" w:fill="FAF9F9"/>
          </w:tcPr>
          <w:p>
            <w:pPr>
              <w:pStyle w:val="TableParagraph"/>
              <w:spacing w:before="27"/>
              <w:ind w:right="111"/>
              <w:jc w:val="right"/>
              <w:rPr>
                <w:sz w:val="19"/>
              </w:rPr>
            </w:pPr>
            <w:r>
              <w:rPr>
                <w:w w:val="95"/>
                <w:sz w:val="19"/>
              </w:rPr>
              <w:t>22,820</w:t>
            </w:r>
          </w:p>
        </w:tc>
      </w:tr>
      <w:tr>
        <w:trPr>
          <w:trHeight w:val="265"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18"/>
              </w:rPr>
            </w:pPr>
          </w:p>
        </w:tc>
        <w:tc>
          <w:tcPr>
            <w:tcW w:w="1134" w:type="dxa"/>
            <w:tcBorders>
              <w:top w:val="single" w:sz="4" w:space="0" w:color="000000"/>
              <w:bottom w:val="single" w:sz="24" w:space="0" w:color="FFFFFF"/>
            </w:tcBorders>
            <w:shd w:val="clear" w:color="auto" w:fill="DFE1B8"/>
          </w:tcPr>
          <w:p>
            <w:pPr>
              <w:pStyle w:val="TableParagraph"/>
              <w:spacing w:line="213" w:lineRule="exact"/>
              <w:ind w:right="111"/>
              <w:jc w:val="right"/>
              <w:rPr>
                <w:b/>
                <w:sz w:val="19"/>
              </w:rPr>
            </w:pPr>
            <w:r>
              <w:rPr>
                <w:b/>
                <w:w w:val="95"/>
                <w:sz w:val="19"/>
              </w:rPr>
              <w:t>15,214</w:t>
            </w:r>
          </w:p>
        </w:tc>
        <w:tc>
          <w:tcPr>
            <w:tcW w:w="1134" w:type="dxa"/>
            <w:tcBorders>
              <w:top w:val="single" w:sz="4" w:space="0" w:color="000000"/>
              <w:bottom w:val="single" w:sz="24" w:space="0" w:color="FFFFFF"/>
            </w:tcBorders>
            <w:shd w:val="clear" w:color="auto" w:fill="F4F4F4"/>
          </w:tcPr>
          <w:p>
            <w:pPr>
              <w:pStyle w:val="TableParagraph"/>
              <w:spacing w:line="213" w:lineRule="exact"/>
              <w:ind w:right="111"/>
              <w:jc w:val="right"/>
              <w:rPr>
                <w:b/>
                <w:sz w:val="19"/>
              </w:rPr>
            </w:pPr>
            <w:r>
              <w:rPr>
                <w:b/>
                <w:w w:val="95"/>
                <w:sz w:val="19"/>
              </w:rPr>
              <w:t>50,006</w:t>
            </w:r>
          </w:p>
        </w:tc>
      </w:tr>
    </w:tbl>
    <w:p>
      <w:pPr>
        <w:pStyle w:val="BodyText"/>
        <w:spacing w:line="20" w:lineRule="exact"/>
        <w:ind w:left="5539"/>
        <w:rPr>
          <w:sz w:val="2"/>
        </w:rPr>
      </w:pPr>
      <w:r>
        <w:rPr>
          <w:sz w:val="2"/>
        </w:rPr>
        <w:pict>
          <v:group style="width:113.4pt;height:.550pt;mso-position-horizontal-relative:char;mso-position-vertical-relative:line" coordorigin="0,0" coordsize="2268,11">
            <v:line style="position:absolute" from="0,5" to="1134,5" stroked="true" strokeweight=".501pt" strokecolor="#000000">
              <v:stroke dashstyle="solid"/>
            </v:line>
            <v:line style="position:absolute" from="1134,5" to="2268,5" stroked="true" strokeweight=".501pt" strokecolor="#000000">
              <v:stroke dashstyle="solid"/>
            </v:line>
          </v:group>
        </w:pict>
      </w:r>
      <w:r>
        <w:rPr>
          <w:sz w:val="2"/>
        </w:rPr>
      </w:r>
    </w:p>
    <w:p>
      <w:pPr>
        <w:spacing w:line="278" w:lineRule="auto" w:before="49"/>
        <w:ind w:left="622" w:right="1118" w:hanging="209"/>
        <w:jc w:val="left"/>
        <w:rPr>
          <w:sz w:val="15"/>
        </w:rPr>
      </w:pPr>
      <w:r>
        <w:rPr>
          <w:sz w:val="15"/>
        </w:rPr>
        <w:t>(a)</w:t>
      </w:r>
      <w:r>
        <w:rPr>
          <w:spacing w:val="-11"/>
          <w:sz w:val="15"/>
        </w:rPr>
        <w:t> </w:t>
      </w:r>
      <w:r>
        <w:rPr>
          <w:sz w:val="15"/>
        </w:rPr>
        <w:t>Includes</w:t>
      </w:r>
      <w:r>
        <w:rPr>
          <w:spacing w:val="22"/>
          <w:sz w:val="15"/>
        </w:rPr>
        <w:t> </w:t>
      </w:r>
      <w:r>
        <w:rPr>
          <w:sz w:val="15"/>
        </w:rPr>
        <w:t>50</w:t>
      </w:r>
      <w:r>
        <w:rPr>
          <w:spacing w:val="-10"/>
          <w:sz w:val="15"/>
        </w:rPr>
        <w:t> </w:t>
      </w:r>
      <w:r>
        <w:rPr>
          <w:sz w:val="15"/>
        </w:rPr>
        <w:t>Agencies</w:t>
      </w:r>
      <w:r>
        <w:rPr>
          <w:spacing w:val="-10"/>
          <w:sz w:val="15"/>
        </w:rPr>
        <w:t> </w:t>
      </w:r>
      <w:r>
        <w:rPr>
          <w:sz w:val="15"/>
        </w:rPr>
        <w:t>in</w:t>
      </w:r>
      <w:r>
        <w:rPr>
          <w:spacing w:val="-10"/>
          <w:sz w:val="15"/>
        </w:rPr>
        <w:t> </w:t>
      </w:r>
      <w:r>
        <w:rPr>
          <w:sz w:val="15"/>
        </w:rPr>
        <w:t>2017</w:t>
      </w:r>
      <w:r>
        <w:rPr>
          <w:spacing w:val="-10"/>
          <w:sz w:val="15"/>
        </w:rPr>
        <w:t> </w:t>
      </w:r>
      <w:r>
        <w:rPr>
          <w:sz w:val="15"/>
        </w:rPr>
        <w:t>and</w:t>
      </w:r>
      <w:r>
        <w:rPr>
          <w:spacing w:val="-10"/>
          <w:sz w:val="15"/>
        </w:rPr>
        <w:t> </w:t>
      </w:r>
      <w:r>
        <w:rPr>
          <w:sz w:val="15"/>
        </w:rPr>
        <w:t>47</w:t>
      </w:r>
      <w:r>
        <w:rPr>
          <w:spacing w:val="-10"/>
          <w:sz w:val="15"/>
        </w:rPr>
        <w:t> </w:t>
      </w:r>
      <w:r>
        <w:rPr>
          <w:sz w:val="15"/>
        </w:rPr>
        <w:t>Agencies</w:t>
      </w:r>
      <w:r>
        <w:rPr>
          <w:spacing w:val="-11"/>
          <w:sz w:val="15"/>
        </w:rPr>
        <w:t> </w:t>
      </w:r>
      <w:r>
        <w:rPr>
          <w:sz w:val="15"/>
        </w:rPr>
        <w:t>in</w:t>
      </w:r>
      <w:r>
        <w:rPr>
          <w:spacing w:val="-10"/>
          <w:sz w:val="15"/>
        </w:rPr>
        <w:t> </w:t>
      </w:r>
      <w:r>
        <w:rPr>
          <w:sz w:val="15"/>
        </w:rPr>
        <w:t>2016.</w:t>
      </w:r>
      <w:r>
        <w:rPr>
          <w:spacing w:val="-10"/>
          <w:sz w:val="15"/>
        </w:rPr>
        <w:t> </w:t>
      </w:r>
      <w:r>
        <w:rPr>
          <w:sz w:val="15"/>
        </w:rPr>
        <w:t>2016</w:t>
      </w:r>
      <w:r>
        <w:rPr>
          <w:spacing w:val="-10"/>
          <w:sz w:val="15"/>
        </w:rPr>
        <w:t> </w:t>
      </w:r>
      <w:r>
        <w:rPr>
          <w:sz w:val="15"/>
        </w:rPr>
        <w:t>Included</w:t>
      </w:r>
      <w:r>
        <w:rPr>
          <w:spacing w:val="-10"/>
          <w:sz w:val="15"/>
        </w:rPr>
        <w:t> </w:t>
      </w:r>
      <w:r>
        <w:rPr>
          <w:sz w:val="15"/>
        </w:rPr>
        <w:t>$19.0</w:t>
      </w:r>
      <w:r>
        <w:rPr>
          <w:spacing w:val="-10"/>
          <w:sz w:val="15"/>
        </w:rPr>
        <w:t> </w:t>
      </w:r>
      <w:r>
        <w:rPr>
          <w:sz w:val="15"/>
        </w:rPr>
        <w:t>million</w:t>
      </w:r>
      <w:r>
        <w:rPr>
          <w:spacing w:val="-10"/>
          <w:sz w:val="15"/>
        </w:rPr>
        <w:t> </w:t>
      </w:r>
      <w:r>
        <w:rPr>
          <w:sz w:val="15"/>
        </w:rPr>
        <w:t>due</w:t>
      </w:r>
      <w:r>
        <w:rPr>
          <w:spacing w:val="-10"/>
          <w:sz w:val="15"/>
        </w:rPr>
        <w:t> </w:t>
      </w:r>
      <w:r>
        <w:rPr>
          <w:sz w:val="15"/>
        </w:rPr>
        <w:t>to</w:t>
      </w:r>
      <w:r>
        <w:rPr>
          <w:spacing w:val="-10"/>
          <w:sz w:val="15"/>
        </w:rPr>
        <w:t> </w:t>
      </w:r>
      <w:r>
        <w:rPr>
          <w:sz w:val="15"/>
        </w:rPr>
        <w:t>Department</w:t>
      </w:r>
      <w:r>
        <w:rPr>
          <w:spacing w:val="-10"/>
          <w:sz w:val="15"/>
        </w:rPr>
        <w:t> </w:t>
      </w:r>
      <w:r>
        <w:rPr>
          <w:spacing w:val="-9"/>
          <w:sz w:val="15"/>
        </w:rPr>
        <w:t>of </w:t>
      </w:r>
      <w:r>
        <w:rPr>
          <w:sz w:val="15"/>
        </w:rPr>
        <w:t>Education.</w:t>
      </w:r>
    </w:p>
    <w:p>
      <w:pPr>
        <w:spacing w:after="0" w:line="278" w:lineRule="auto"/>
        <w:jc w:val="left"/>
        <w:rPr>
          <w:sz w:val="15"/>
        </w:rPr>
        <w:sectPr>
          <w:type w:val="continuous"/>
          <w:pgSz w:w="16840" w:h="11910" w:orient="landscape"/>
          <w:pgMar w:top="0" w:bottom="0" w:left="0" w:right="0"/>
          <w:cols w:num="2" w:equalWidth="0">
            <w:col w:w="8178" w:space="40"/>
            <w:col w:w="8622"/>
          </w:cols>
        </w:sectPr>
      </w:pPr>
    </w:p>
    <w:p>
      <w:pPr>
        <w:pStyle w:val="BodyText"/>
        <w:spacing w:before="9"/>
        <w:rPr>
          <w:sz w:val="11"/>
        </w:rPr>
      </w:pPr>
    </w:p>
    <w:p>
      <w:pPr>
        <w:tabs>
          <w:tab w:pos="1227" w:val="left" w:leader="none"/>
          <w:tab w:pos="4671" w:val="left" w:leader="none"/>
          <w:tab w:pos="16072" w:val="left" w:leader="none"/>
        </w:tabs>
        <w:spacing w:before="106"/>
        <w:ind w:left="765" w:right="0" w:firstLine="0"/>
        <w:jc w:val="left"/>
        <w:rPr>
          <w:sz w:val="16"/>
        </w:rPr>
      </w:pPr>
      <w:r>
        <w:rPr>
          <w:b/>
          <w:color w:val="6F2770"/>
          <w:sz w:val="16"/>
        </w:rPr>
        <w:t>66</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20224"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20344"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20368"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Heading5"/>
        <w:spacing w:before="257"/>
      </w:pPr>
      <w:r>
        <w:rPr>
          <w:color w:val="6F2770"/>
        </w:rPr>
        <w:t>Note 36. Commitments</w:t>
      </w:r>
    </w:p>
    <w:p>
      <w:pPr>
        <w:pStyle w:val="BodyText"/>
        <w:spacing w:before="3"/>
        <w:rPr>
          <w:sz w:val="11"/>
        </w:rPr>
      </w:pPr>
    </w:p>
    <w:p>
      <w:pPr>
        <w:spacing w:after="0"/>
        <w:rPr>
          <w:sz w:val="11"/>
        </w:rPr>
        <w:sectPr>
          <w:footerReference w:type="default" r:id="rId219"/>
          <w:pgSz w:w="16840" w:h="11910" w:orient="landscape"/>
          <w:pgMar w:footer="448" w:header="0" w:top="0" w:bottom="640" w:left="0" w:right="0"/>
        </w:sectPr>
      </w:pPr>
    </w:p>
    <w:p>
      <w:pPr>
        <w:spacing w:before="112"/>
        <w:ind w:left="785" w:right="0" w:firstLine="0"/>
        <w:jc w:val="left"/>
        <w:rPr>
          <w:b/>
          <w:sz w:val="19"/>
        </w:rPr>
      </w:pPr>
      <w:r>
        <w:rPr/>
        <w:pict>
          <v:shape style="position:absolute;margin-left:38.768002pt;margin-top:18.512882pt;width:369.95pt;height:120.6pt;mso-position-horizontal-relative:page;mso-position-vertical-relative:paragraph;z-index:2039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518" w:hRule="atLeast"/>
                    </w:trPr>
                    <w:tc>
                      <w:tcPr>
                        <w:tcW w:w="5131" w:type="dxa"/>
                        <w:tcBorders>
                          <w:bottom w:val="single" w:sz="8" w:space="0" w:color="FFFFFF"/>
                        </w:tcBorders>
                        <w:shd w:val="clear" w:color="auto" w:fill="F4F4F4"/>
                      </w:tcPr>
                      <w:p>
                        <w:pPr>
                          <w:pStyle w:val="TableParagraph"/>
                          <w:spacing w:line="249" w:lineRule="auto" w:before="37"/>
                          <w:ind w:left="113" w:right="214"/>
                          <w:rPr>
                            <w:sz w:val="19"/>
                          </w:rPr>
                        </w:pPr>
                        <w:r>
                          <w:rPr>
                            <w:sz w:val="19"/>
                          </w:rPr>
                          <w:t>Commitments</w:t>
                        </w:r>
                        <w:r>
                          <w:rPr>
                            <w:spacing w:val="-22"/>
                            <w:sz w:val="19"/>
                          </w:rPr>
                          <w:t> </w:t>
                        </w:r>
                        <w:r>
                          <w:rPr>
                            <w:sz w:val="19"/>
                          </w:rPr>
                          <w:t>for</w:t>
                        </w:r>
                        <w:r>
                          <w:rPr>
                            <w:spacing w:val="-22"/>
                            <w:sz w:val="19"/>
                          </w:rPr>
                          <w:t> </w:t>
                        </w:r>
                        <w:r>
                          <w:rPr>
                            <w:sz w:val="19"/>
                          </w:rPr>
                          <w:t>minimum</w:t>
                        </w:r>
                        <w:r>
                          <w:rPr>
                            <w:spacing w:val="-22"/>
                            <w:sz w:val="19"/>
                          </w:rPr>
                          <w:t> </w:t>
                        </w:r>
                        <w:r>
                          <w:rPr>
                            <w:sz w:val="19"/>
                          </w:rPr>
                          <w:t>lease</w:t>
                        </w:r>
                        <w:r>
                          <w:rPr>
                            <w:spacing w:val="-21"/>
                            <w:sz w:val="19"/>
                          </w:rPr>
                          <w:t> </w:t>
                        </w:r>
                        <w:r>
                          <w:rPr>
                            <w:sz w:val="19"/>
                          </w:rPr>
                          <w:t>payments</w:t>
                        </w:r>
                        <w:r>
                          <w:rPr>
                            <w:spacing w:val="-22"/>
                            <w:sz w:val="19"/>
                          </w:rPr>
                          <w:t> </w:t>
                        </w:r>
                        <w:r>
                          <w:rPr>
                            <w:sz w:val="19"/>
                          </w:rPr>
                          <w:t>are</w:t>
                        </w:r>
                        <w:r>
                          <w:rPr>
                            <w:spacing w:val="-22"/>
                            <w:sz w:val="19"/>
                          </w:rPr>
                          <w:t> </w:t>
                        </w:r>
                        <w:r>
                          <w:rPr>
                            <w:sz w:val="19"/>
                          </w:rPr>
                          <w:t>payable</w:t>
                        </w:r>
                        <w:r>
                          <w:rPr>
                            <w:spacing w:val="-22"/>
                            <w:sz w:val="19"/>
                          </w:rPr>
                          <w:t> </w:t>
                        </w:r>
                        <w:r>
                          <w:rPr>
                            <w:spacing w:val="-8"/>
                            <w:sz w:val="19"/>
                          </w:rPr>
                          <w:t>as </w:t>
                        </w:r>
                        <w:r>
                          <w:rPr>
                            <w:sz w:val="19"/>
                          </w:rPr>
                          <w:t>follows:</w:t>
                        </w:r>
                      </w:p>
                    </w:tc>
                    <w:tc>
                      <w:tcPr>
                        <w:tcW w:w="1134" w:type="dxa"/>
                        <w:vMerge w:val="restart"/>
                        <w:tcBorders>
                          <w:bottom w:val="single" w:sz="4" w:space="0" w:color="000000"/>
                        </w:tcBorders>
                        <w:shd w:val="clear" w:color="auto" w:fill="E1E4BB"/>
                      </w:tcPr>
                      <w:p>
                        <w:pPr>
                          <w:pStyle w:val="TableParagraph"/>
                          <w:spacing w:before="0"/>
                          <w:rPr>
                            <w:sz w:val="22"/>
                          </w:rPr>
                        </w:pPr>
                      </w:p>
                      <w:p>
                        <w:pPr>
                          <w:pStyle w:val="TableParagraph"/>
                          <w:spacing w:before="7"/>
                          <w:rPr>
                            <w:sz w:val="27"/>
                          </w:rPr>
                        </w:pPr>
                      </w:p>
                      <w:p>
                        <w:pPr>
                          <w:pStyle w:val="TableParagraph"/>
                          <w:spacing w:before="0"/>
                          <w:ind w:left="523" w:right="93"/>
                          <w:jc w:val="center"/>
                          <w:rPr>
                            <w:sz w:val="19"/>
                          </w:rPr>
                        </w:pPr>
                        <w:r>
                          <w:rPr>
                            <w:sz w:val="19"/>
                          </w:rPr>
                          <w:t>9,367</w:t>
                        </w:r>
                      </w:p>
                      <w:p>
                        <w:pPr>
                          <w:pStyle w:val="TableParagraph"/>
                          <w:spacing w:before="109"/>
                          <w:ind w:left="418" w:right="93"/>
                          <w:jc w:val="center"/>
                          <w:rPr>
                            <w:sz w:val="19"/>
                          </w:rPr>
                        </w:pPr>
                        <w:r>
                          <w:rPr>
                            <w:sz w:val="19"/>
                          </w:rPr>
                          <w:t>34,464</w:t>
                        </w:r>
                      </w:p>
                      <w:p>
                        <w:pPr>
                          <w:pStyle w:val="TableParagraph"/>
                          <w:spacing w:before="109"/>
                          <w:ind w:left="418" w:right="93"/>
                          <w:jc w:val="center"/>
                          <w:rPr>
                            <w:sz w:val="19"/>
                          </w:rPr>
                        </w:pPr>
                        <w:r>
                          <w:rPr>
                            <w:sz w:val="19"/>
                          </w:rPr>
                          <w:t>29,908</w:t>
                        </w:r>
                      </w:p>
                    </w:tc>
                    <w:tc>
                      <w:tcPr>
                        <w:tcW w:w="1134" w:type="dxa"/>
                        <w:tcBorders>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Within 1 year</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10,979</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Later than 1 year and not later than 5 years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42,395</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Later than 5 years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39,951</w:t>
                        </w:r>
                      </w:p>
                    </w:tc>
                  </w:tr>
                  <w:tr>
                    <w:trPr>
                      <w:trHeight w:val="287"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tcBorders>
                          <w:top w:val="single" w:sz="4" w:space="0" w:color="000000"/>
                          <w:bottom w:val="single" w:sz="24" w:space="0" w:color="FFFFFF"/>
                        </w:tcBorders>
                        <w:shd w:val="clear" w:color="auto" w:fill="DFE1B8"/>
                      </w:tcPr>
                      <w:p>
                        <w:pPr>
                          <w:pStyle w:val="TableParagraph"/>
                          <w:ind w:left="439"/>
                          <w:rPr>
                            <w:b/>
                            <w:sz w:val="19"/>
                          </w:rPr>
                        </w:pPr>
                        <w:r>
                          <w:rPr>
                            <w:b/>
                            <w:sz w:val="19"/>
                          </w:rPr>
                          <w:t>73,739</w:t>
                        </w:r>
                      </w:p>
                    </w:tc>
                    <w:tc>
                      <w:tcPr>
                        <w:tcW w:w="1134" w:type="dxa"/>
                        <w:tcBorders>
                          <w:top w:val="single" w:sz="4" w:space="0" w:color="000000"/>
                          <w:bottom w:val="single" w:sz="24" w:space="0" w:color="FFFFFF"/>
                        </w:tcBorders>
                        <w:shd w:val="clear" w:color="auto" w:fill="F4F4F4"/>
                      </w:tcPr>
                      <w:p>
                        <w:pPr>
                          <w:pStyle w:val="TableParagraph"/>
                          <w:ind w:right="111"/>
                          <w:jc w:val="right"/>
                          <w:rPr>
                            <w:b/>
                            <w:sz w:val="19"/>
                          </w:rPr>
                        </w:pPr>
                        <w:r>
                          <w:rPr>
                            <w:b/>
                            <w:w w:val="95"/>
                            <w:sz w:val="19"/>
                          </w:rPr>
                          <w:t>93,325</w:t>
                        </w:r>
                      </w:p>
                    </w:tc>
                  </w:tr>
                </w:tbl>
                <w:p>
                  <w:pPr>
                    <w:pStyle w:val="BodyText"/>
                  </w:pPr>
                </w:p>
              </w:txbxContent>
            </v:textbox>
            <w10:wrap type="none"/>
          </v:shape>
        </w:pict>
      </w:r>
      <w:r>
        <w:rPr>
          <w:b/>
          <w:sz w:val="19"/>
        </w:rPr>
        <w:t>Non-cancellable operating lease commitments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line="249" w:lineRule="auto" w:before="166"/>
        <w:ind w:left="765" w:right="-7" w:firstLine="0"/>
        <w:jc w:val="left"/>
        <w:rPr>
          <w:sz w:val="19"/>
        </w:rPr>
      </w:pPr>
      <w:r>
        <w:rPr>
          <w:sz w:val="19"/>
        </w:rPr>
        <w:t>The</w:t>
      </w:r>
      <w:r>
        <w:rPr>
          <w:spacing w:val="-19"/>
          <w:sz w:val="19"/>
        </w:rPr>
        <w:t> </w:t>
      </w:r>
      <w:r>
        <w:rPr>
          <w:sz w:val="19"/>
        </w:rPr>
        <w:t>property</w:t>
      </w:r>
      <w:r>
        <w:rPr>
          <w:spacing w:val="-18"/>
          <w:sz w:val="19"/>
        </w:rPr>
        <w:t> </w:t>
      </w:r>
      <w:r>
        <w:rPr>
          <w:sz w:val="19"/>
        </w:rPr>
        <w:t>leases</w:t>
      </w:r>
      <w:r>
        <w:rPr>
          <w:spacing w:val="-18"/>
          <w:sz w:val="19"/>
        </w:rPr>
        <w:t> </w:t>
      </w:r>
      <w:r>
        <w:rPr>
          <w:sz w:val="19"/>
        </w:rPr>
        <w:t>are</w:t>
      </w:r>
      <w:r>
        <w:rPr>
          <w:spacing w:val="-19"/>
          <w:sz w:val="19"/>
        </w:rPr>
        <w:t> </w:t>
      </w:r>
      <w:r>
        <w:rPr>
          <w:sz w:val="19"/>
        </w:rPr>
        <w:t>non-cancellable</w:t>
      </w:r>
      <w:r>
        <w:rPr>
          <w:spacing w:val="-18"/>
          <w:sz w:val="19"/>
        </w:rPr>
        <w:t> </w:t>
      </w:r>
      <w:r>
        <w:rPr>
          <w:sz w:val="19"/>
        </w:rPr>
        <w:t>and</w:t>
      </w:r>
      <w:r>
        <w:rPr>
          <w:spacing w:val="-18"/>
          <w:sz w:val="19"/>
        </w:rPr>
        <w:t> </w:t>
      </w:r>
      <w:r>
        <w:rPr>
          <w:sz w:val="19"/>
        </w:rPr>
        <w:t>have</w:t>
      </w:r>
      <w:r>
        <w:rPr>
          <w:spacing w:val="-18"/>
          <w:sz w:val="19"/>
        </w:rPr>
        <w:t> </w:t>
      </w:r>
      <w:r>
        <w:rPr>
          <w:sz w:val="19"/>
        </w:rPr>
        <w:t>terms</w:t>
      </w:r>
      <w:r>
        <w:rPr>
          <w:spacing w:val="-19"/>
          <w:sz w:val="19"/>
        </w:rPr>
        <w:t> </w:t>
      </w:r>
      <w:r>
        <w:rPr>
          <w:sz w:val="19"/>
        </w:rPr>
        <w:t>ranging</w:t>
      </w:r>
      <w:r>
        <w:rPr>
          <w:spacing w:val="-18"/>
          <w:sz w:val="19"/>
        </w:rPr>
        <w:t> </w:t>
      </w:r>
      <w:r>
        <w:rPr>
          <w:sz w:val="19"/>
        </w:rPr>
        <w:t>from</w:t>
      </w:r>
      <w:r>
        <w:rPr>
          <w:spacing w:val="-18"/>
          <w:sz w:val="19"/>
        </w:rPr>
        <w:t> </w:t>
      </w:r>
      <w:r>
        <w:rPr>
          <w:sz w:val="19"/>
        </w:rPr>
        <w:t>1</w:t>
      </w:r>
      <w:r>
        <w:rPr>
          <w:spacing w:val="-19"/>
          <w:sz w:val="19"/>
        </w:rPr>
        <w:t> </w:t>
      </w:r>
      <w:r>
        <w:rPr>
          <w:sz w:val="19"/>
        </w:rPr>
        <w:t>year</w:t>
      </w:r>
      <w:r>
        <w:rPr>
          <w:spacing w:val="-18"/>
          <w:sz w:val="19"/>
        </w:rPr>
        <w:t> </w:t>
      </w:r>
      <w:r>
        <w:rPr>
          <w:sz w:val="19"/>
        </w:rPr>
        <w:t>to</w:t>
      </w:r>
      <w:r>
        <w:rPr>
          <w:spacing w:val="-18"/>
          <w:sz w:val="19"/>
        </w:rPr>
        <w:t> </w:t>
      </w:r>
      <w:r>
        <w:rPr>
          <w:sz w:val="19"/>
        </w:rPr>
        <w:t>15</w:t>
      </w:r>
      <w:r>
        <w:rPr>
          <w:spacing w:val="-18"/>
          <w:sz w:val="19"/>
        </w:rPr>
        <w:t> </w:t>
      </w:r>
      <w:r>
        <w:rPr>
          <w:spacing w:val="-3"/>
          <w:sz w:val="19"/>
        </w:rPr>
        <w:t>years, </w:t>
      </w:r>
      <w:r>
        <w:rPr>
          <w:sz w:val="19"/>
        </w:rPr>
        <w:t>with</w:t>
      </w:r>
      <w:r>
        <w:rPr>
          <w:spacing w:val="-17"/>
          <w:sz w:val="19"/>
        </w:rPr>
        <w:t> </w:t>
      </w:r>
      <w:r>
        <w:rPr>
          <w:sz w:val="19"/>
        </w:rPr>
        <w:t>rent</w:t>
      </w:r>
      <w:r>
        <w:rPr>
          <w:spacing w:val="-16"/>
          <w:sz w:val="19"/>
        </w:rPr>
        <w:t> </w:t>
      </w:r>
      <w:r>
        <w:rPr>
          <w:sz w:val="19"/>
        </w:rPr>
        <w:t>generally</w:t>
      </w:r>
      <w:r>
        <w:rPr>
          <w:spacing w:val="-16"/>
          <w:sz w:val="19"/>
        </w:rPr>
        <w:t> </w:t>
      </w:r>
      <w:r>
        <w:rPr>
          <w:sz w:val="19"/>
        </w:rPr>
        <w:t>payable</w:t>
      </w:r>
      <w:r>
        <w:rPr>
          <w:spacing w:val="-16"/>
          <w:sz w:val="19"/>
        </w:rPr>
        <w:t> </w:t>
      </w:r>
      <w:r>
        <w:rPr>
          <w:sz w:val="19"/>
        </w:rPr>
        <w:t>monthly</w:t>
      </w:r>
      <w:r>
        <w:rPr>
          <w:spacing w:val="-16"/>
          <w:sz w:val="19"/>
        </w:rPr>
        <w:t> </w:t>
      </w:r>
      <w:r>
        <w:rPr>
          <w:sz w:val="19"/>
        </w:rPr>
        <w:t>in</w:t>
      </w:r>
      <w:r>
        <w:rPr>
          <w:spacing w:val="-16"/>
          <w:sz w:val="19"/>
        </w:rPr>
        <w:t> </w:t>
      </w:r>
      <w:r>
        <w:rPr>
          <w:sz w:val="19"/>
        </w:rPr>
        <w:t>advance.</w:t>
      </w:r>
      <w:r>
        <w:rPr>
          <w:spacing w:val="-16"/>
          <w:sz w:val="19"/>
        </w:rPr>
        <w:t> </w:t>
      </w:r>
      <w:r>
        <w:rPr>
          <w:sz w:val="19"/>
        </w:rPr>
        <w:t>Depending</w:t>
      </w:r>
      <w:r>
        <w:rPr>
          <w:spacing w:val="-16"/>
          <w:sz w:val="19"/>
        </w:rPr>
        <w:t> </w:t>
      </w:r>
      <w:r>
        <w:rPr>
          <w:sz w:val="19"/>
        </w:rPr>
        <w:t>on</w:t>
      </w:r>
      <w:r>
        <w:rPr>
          <w:spacing w:val="-16"/>
          <w:sz w:val="19"/>
        </w:rPr>
        <w:t> </w:t>
      </w:r>
      <w:r>
        <w:rPr>
          <w:sz w:val="19"/>
        </w:rPr>
        <w:t>the</w:t>
      </w:r>
      <w:r>
        <w:rPr>
          <w:spacing w:val="-16"/>
          <w:sz w:val="19"/>
        </w:rPr>
        <w:t> </w:t>
      </w:r>
      <w:r>
        <w:rPr>
          <w:sz w:val="19"/>
        </w:rPr>
        <w:t>terms</w:t>
      </w:r>
      <w:r>
        <w:rPr>
          <w:spacing w:val="-16"/>
          <w:sz w:val="19"/>
        </w:rPr>
        <w:t> </w:t>
      </w:r>
      <w:r>
        <w:rPr>
          <w:sz w:val="19"/>
        </w:rPr>
        <w:t>and</w:t>
      </w:r>
      <w:r>
        <w:rPr>
          <w:spacing w:val="-16"/>
          <w:sz w:val="19"/>
        </w:rPr>
        <w:t> </w:t>
      </w:r>
      <w:r>
        <w:rPr>
          <w:sz w:val="19"/>
        </w:rPr>
        <w:t>conditions of the lease concerned, rent review provisions exist which generally result in rental increases</w:t>
      </w:r>
      <w:r>
        <w:rPr>
          <w:spacing w:val="-16"/>
          <w:sz w:val="19"/>
        </w:rPr>
        <w:t> </w:t>
      </w:r>
      <w:r>
        <w:rPr>
          <w:sz w:val="19"/>
        </w:rPr>
        <w:t>throughout</w:t>
      </w:r>
      <w:r>
        <w:rPr>
          <w:spacing w:val="-16"/>
          <w:sz w:val="19"/>
        </w:rPr>
        <w:t> </w:t>
      </w:r>
      <w:r>
        <w:rPr>
          <w:sz w:val="19"/>
        </w:rPr>
        <w:t>the</w:t>
      </w:r>
      <w:r>
        <w:rPr>
          <w:spacing w:val="-16"/>
          <w:sz w:val="19"/>
        </w:rPr>
        <w:t> </w:t>
      </w:r>
      <w:r>
        <w:rPr>
          <w:sz w:val="19"/>
        </w:rPr>
        <w:t>lease</w:t>
      </w:r>
      <w:r>
        <w:rPr>
          <w:spacing w:val="-16"/>
          <w:sz w:val="19"/>
        </w:rPr>
        <w:t> </w:t>
      </w:r>
      <w:r>
        <w:rPr>
          <w:sz w:val="19"/>
        </w:rPr>
        <w:t>terms.</w:t>
      </w:r>
      <w:r>
        <w:rPr>
          <w:spacing w:val="-16"/>
          <w:sz w:val="19"/>
        </w:rPr>
        <w:t> </w:t>
      </w:r>
      <w:r>
        <w:rPr>
          <w:sz w:val="19"/>
        </w:rPr>
        <w:t>Options</w:t>
      </w:r>
      <w:r>
        <w:rPr>
          <w:spacing w:val="-16"/>
          <w:sz w:val="19"/>
        </w:rPr>
        <w:t> </w:t>
      </w:r>
      <w:r>
        <w:rPr>
          <w:sz w:val="19"/>
        </w:rPr>
        <w:t>exist</w:t>
      </w:r>
      <w:r>
        <w:rPr>
          <w:spacing w:val="-16"/>
          <w:sz w:val="19"/>
        </w:rPr>
        <w:t> </w:t>
      </w:r>
      <w:r>
        <w:rPr>
          <w:sz w:val="19"/>
        </w:rPr>
        <w:t>in</w:t>
      </w:r>
      <w:r>
        <w:rPr>
          <w:spacing w:val="-16"/>
          <w:sz w:val="19"/>
        </w:rPr>
        <w:t> </w:t>
      </w:r>
      <w:r>
        <w:rPr>
          <w:sz w:val="19"/>
        </w:rPr>
        <w:t>most</w:t>
      </w:r>
      <w:r>
        <w:rPr>
          <w:spacing w:val="-16"/>
          <w:sz w:val="19"/>
        </w:rPr>
        <w:t> </w:t>
      </w:r>
      <w:r>
        <w:rPr>
          <w:sz w:val="19"/>
        </w:rPr>
        <w:t>leases</w:t>
      </w:r>
      <w:r>
        <w:rPr>
          <w:spacing w:val="-16"/>
          <w:sz w:val="19"/>
        </w:rPr>
        <w:t> </w:t>
      </w:r>
      <w:r>
        <w:rPr>
          <w:sz w:val="19"/>
        </w:rPr>
        <w:t>which</w:t>
      </w:r>
      <w:r>
        <w:rPr>
          <w:spacing w:val="-16"/>
          <w:sz w:val="19"/>
        </w:rPr>
        <w:t> </w:t>
      </w:r>
      <w:r>
        <w:rPr>
          <w:sz w:val="19"/>
        </w:rPr>
        <w:t>permit</w:t>
      </w:r>
      <w:r>
        <w:rPr>
          <w:spacing w:val="-16"/>
          <w:sz w:val="19"/>
        </w:rPr>
        <w:t> </w:t>
      </w:r>
      <w:r>
        <w:rPr>
          <w:sz w:val="19"/>
        </w:rPr>
        <w:t>leases to</w:t>
      </w:r>
      <w:r>
        <w:rPr>
          <w:spacing w:val="-18"/>
          <w:sz w:val="19"/>
        </w:rPr>
        <w:t> </w:t>
      </w:r>
      <w:r>
        <w:rPr>
          <w:sz w:val="19"/>
        </w:rPr>
        <w:t>be</w:t>
      </w:r>
      <w:r>
        <w:rPr>
          <w:spacing w:val="-18"/>
          <w:sz w:val="19"/>
        </w:rPr>
        <w:t> </w:t>
      </w:r>
      <w:r>
        <w:rPr>
          <w:sz w:val="19"/>
        </w:rPr>
        <w:t>extended</w:t>
      </w:r>
      <w:r>
        <w:rPr>
          <w:spacing w:val="-18"/>
          <w:sz w:val="19"/>
        </w:rPr>
        <w:t> </w:t>
      </w:r>
      <w:r>
        <w:rPr>
          <w:sz w:val="19"/>
        </w:rPr>
        <w:t>under</w:t>
      </w:r>
      <w:r>
        <w:rPr>
          <w:spacing w:val="-18"/>
          <w:sz w:val="19"/>
        </w:rPr>
        <w:t> </w:t>
      </w:r>
      <w:r>
        <w:rPr>
          <w:sz w:val="19"/>
        </w:rPr>
        <w:t>the</w:t>
      </w:r>
      <w:r>
        <w:rPr>
          <w:spacing w:val="-18"/>
          <w:sz w:val="19"/>
        </w:rPr>
        <w:t> </w:t>
      </w:r>
      <w:r>
        <w:rPr>
          <w:sz w:val="19"/>
        </w:rPr>
        <w:t>prevailing</w:t>
      </w:r>
      <w:r>
        <w:rPr>
          <w:spacing w:val="-18"/>
          <w:sz w:val="19"/>
        </w:rPr>
        <w:t> </w:t>
      </w:r>
      <w:r>
        <w:rPr>
          <w:sz w:val="19"/>
        </w:rPr>
        <w:t>lease</w:t>
      </w:r>
      <w:r>
        <w:rPr>
          <w:spacing w:val="-18"/>
          <w:sz w:val="19"/>
        </w:rPr>
        <w:t> </w:t>
      </w:r>
      <w:r>
        <w:rPr>
          <w:sz w:val="19"/>
        </w:rPr>
        <w:t>terms</w:t>
      </w:r>
      <w:r>
        <w:rPr>
          <w:spacing w:val="-18"/>
          <w:sz w:val="19"/>
        </w:rPr>
        <w:t> </w:t>
      </w:r>
      <w:r>
        <w:rPr>
          <w:sz w:val="19"/>
        </w:rPr>
        <w:t>and</w:t>
      </w:r>
      <w:r>
        <w:rPr>
          <w:spacing w:val="-18"/>
          <w:sz w:val="19"/>
        </w:rPr>
        <w:t> </w:t>
      </w:r>
      <w:r>
        <w:rPr>
          <w:sz w:val="19"/>
        </w:rPr>
        <w:t>conditions,</w:t>
      </w:r>
      <w:r>
        <w:rPr>
          <w:spacing w:val="-18"/>
          <w:sz w:val="19"/>
        </w:rPr>
        <w:t> </w:t>
      </w:r>
      <w:r>
        <w:rPr>
          <w:sz w:val="19"/>
        </w:rPr>
        <w:t>resulting</w:t>
      </w:r>
      <w:r>
        <w:rPr>
          <w:spacing w:val="-18"/>
          <w:sz w:val="19"/>
        </w:rPr>
        <w:t> </w:t>
      </w:r>
      <w:r>
        <w:rPr>
          <w:sz w:val="19"/>
        </w:rPr>
        <w:t>in</w:t>
      </w:r>
      <w:r>
        <w:rPr>
          <w:spacing w:val="-18"/>
          <w:sz w:val="19"/>
        </w:rPr>
        <w:t> </w:t>
      </w:r>
      <w:r>
        <w:rPr>
          <w:sz w:val="19"/>
        </w:rPr>
        <w:t>leases</w:t>
      </w:r>
      <w:r>
        <w:rPr>
          <w:spacing w:val="-18"/>
          <w:sz w:val="19"/>
        </w:rPr>
        <w:t> </w:t>
      </w:r>
      <w:r>
        <w:rPr>
          <w:sz w:val="19"/>
        </w:rPr>
        <w:t>being extended beyond their original lease</w:t>
      </w:r>
      <w:r>
        <w:rPr>
          <w:spacing w:val="-8"/>
          <w:sz w:val="19"/>
        </w:rPr>
        <w:t> </w:t>
      </w:r>
      <w:r>
        <w:rPr>
          <w:sz w:val="19"/>
        </w:rPr>
        <w:t>term.</w:t>
      </w:r>
    </w:p>
    <w:p>
      <w:pPr>
        <w:pStyle w:val="BodyText"/>
        <w:spacing w:before="3"/>
        <w:rPr>
          <w:sz w:val="20"/>
        </w:rPr>
      </w:pPr>
    </w:p>
    <w:p>
      <w:pPr>
        <w:spacing w:before="0"/>
        <w:ind w:left="765" w:right="0" w:firstLine="0"/>
        <w:jc w:val="left"/>
        <w:rPr>
          <w:b/>
          <w:sz w:val="19"/>
        </w:rPr>
      </w:pPr>
      <w:r>
        <w:rPr>
          <w:b/>
          <w:sz w:val="19"/>
        </w:rPr>
        <w:t>Capital expenditure commitments</w:t>
      </w:r>
    </w:p>
    <w:p>
      <w:pPr>
        <w:spacing w:line="249" w:lineRule="auto" w:before="10"/>
        <w:ind w:left="765" w:right="31" w:firstLine="0"/>
        <w:jc w:val="left"/>
        <w:rPr>
          <w:sz w:val="19"/>
        </w:rPr>
      </w:pPr>
      <w:r>
        <w:rPr/>
        <w:pict>
          <v:group style="position:absolute;margin-left:294.803192pt;margin-top:102.728592pt;width:113.4pt;height:.550pt;mso-position-horizontal-relative:page;mso-position-vertical-relative:paragraph;z-index:20176" coordorigin="5896,2055" coordsize="2268,11">
            <v:line style="position:absolute" from="5896,2060" to="7030,2060" stroked="true" strokeweight=".501pt" strokecolor="#000000">
              <v:stroke dashstyle="solid"/>
            </v:line>
            <v:line style="position:absolute" from="7030,2060" to="8164,2060" stroked="true" strokeweight=".501pt" strokecolor="#000000">
              <v:stroke dashstyle="solid"/>
            </v:line>
            <w10:wrap type="none"/>
          </v:group>
        </w:pict>
      </w:r>
      <w:r>
        <w:rPr>
          <w:sz w:val="19"/>
        </w:rPr>
        <w:t>Capital</w:t>
      </w:r>
      <w:r>
        <w:rPr>
          <w:spacing w:val="-19"/>
          <w:sz w:val="19"/>
        </w:rPr>
        <w:t> </w:t>
      </w:r>
      <w:r>
        <w:rPr>
          <w:sz w:val="19"/>
        </w:rPr>
        <w:t>expenditure</w:t>
      </w:r>
      <w:r>
        <w:rPr>
          <w:spacing w:val="-19"/>
          <w:sz w:val="19"/>
        </w:rPr>
        <w:t> </w:t>
      </w:r>
      <w:r>
        <w:rPr>
          <w:sz w:val="19"/>
        </w:rPr>
        <w:t>commitments,</w:t>
      </w:r>
      <w:r>
        <w:rPr>
          <w:spacing w:val="-18"/>
          <w:sz w:val="19"/>
        </w:rPr>
        <w:t> </w:t>
      </w:r>
      <w:r>
        <w:rPr>
          <w:sz w:val="19"/>
        </w:rPr>
        <w:t>being</w:t>
      </w:r>
      <w:r>
        <w:rPr>
          <w:spacing w:val="-19"/>
          <w:sz w:val="19"/>
        </w:rPr>
        <w:t> </w:t>
      </w:r>
      <w:r>
        <w:rPr>
          <w:sz w:val="19"/>
        </w:rPr>
        <w:t>contracted</w:t>
      </w:r>
      <w:r>
        <w:rPr>
          <w:spacing w:val="-19"/>
          <w:sz w:val="19"/>
        </w:rPr>
        <w:t> </w:t>
      </w:r>
      <w:r>
        <w:rPr>
          <w:sz w:val="19"/>
        </w:rPr>
        <w:t>capital</w:t>
      </w:r>
      <w:r>
        <w:rPr>
          <w:spacing w:val="-18"/>
          <w:sz w:val="19"/>
        </w:rPr>
        <w:t> </w:t>
      </w:r>
      <w:r>
        <w:rPr>
          <w:sz w:val="19"/>
        </w:rPr>
        <w:t>expenditure</w:t>
      </w:r>
      <w:r>
        <w:rPr>
          <w:spacing w:val="-19"/>
          <w:sz w:val="19"/>
        </w:rPr>
        <w:t> </w:t>
      </w:r>
      <w:r>
        <w:rPr>
          <w:sz w:val="19"/>
        </w:rPr>
        <w:t>additional</w:t>
      </w:r>
      <w:r>
        <w:rPr>
          <w:spacing w:val="-18"/>
          <w:sz w:val="19"/>
        </w:rPr>
        <w:t> </w:t>
      </w:r>
      <w:r>
        <w:rPr>
          <w:sz w:val="19"/>
        </w:rPr>
        <w:t>to</w:t>
      </w:r>
      <w:r>
        <w:rPr>
          <w:spacing w:val="-19"/>
          <w:sz w:val="19"/>
        </w:rPr>
        <w:t> </w:t>
      </w:r>
      <w:r>
        <w:rPr>
          <w:spacing w:val="-6"/>
          <w:sz w:val="19"/>
        </w:rPr>
        <w:t>the </w:t>
      </w:r>
      <w:r>
        <w:rPr>
          <w:sz w:val="19"/>
        </w:rPr>
        <w:t>amounts</w:t>
      </w:r>
      <w:r>
        <w:rPr>
          <w:spacing w:val="-5"/>
          <w:sz w:val="19"/>
        </w:rPr>
        <w:t> </w:t>
      </w:r>
      <w:r>
        <w:rPr>
          <w:sz w:val="19"/>
        </w:rPr>
        <w:t>reported</w:t>
      </w:r>
      <w:r>
        <w:rPr>
          <w:spacing w:val="-5"/>
          <w:sz w:val="19"/>
        </w:rPr>
        <w:t> </w:t>
      </w:r>
      <w:r>
        <w:rPr>
          <w:sz w:val="19"/>
        </w:rPr>
        <w:t>in</w:t>
      </w:r>
      <w:r>
        <w:rPr>
          <w:spacing w:val="-5"/>
          <w:sz w:val="19"/>
        </w:rPr>
        <w:t> </w:t>
      </w:r>
      <w:r>
        <w:rPr>
          <w:sz w:val="19"/>
        </w:rPr>
        <w:t>the</w:t>
      </w:r>
      <w:r>
        <w:rPr>
          <w:spacing w:val="-5"/>
          <w:sz w:val="19"/>
        </w:rPr>
        <w:t> </w:t>
      </w:r>
      <w:r>
        <w:rPr>
          <w:sz w:val="19"/>
        </w:rPr>
        <w:t>financial</w:t>
      </w:r>
      <w:r>
        <w:rPr>
          <w:spacing w:val="-4"/>
          <w:sz w:val="19"/>
        </w:rPr>
        <w:t> </w:t>
      </w:r>
      <w:r>
        <w:rPr>
          <w:sz w:val="19"/>
        </w:rPr>
        <w:t>statements,</w:t>
      </w:r>
      <w:r>
        <w:rPr>
          <w:spacing w:val="-5"/>
          <w:sz w:val="19"/>
        </w:rPr>
        <w:t> </w:t>
      </w:r>
      <w:r>
        <w:rPr>
          <w:sz w:val="19"/>
        </w:rPr>
        <w:t>are</w:t>
      </w:r>
      <w:r>
        <w:rPr>
          <w:spacing w:val="-5"/>
          <w:sz w:val="19"/>
        </w:rPr>
        <w:t> </w:t>
      </w:r>
      <w:r>
        <w:rPr>
          <w:sz w:val="19"/>
        </w:rPr>
        <w:t>payable</w:t>
      </w:r>
      <w:r>
        <w:rPr>
          <w:spacing w:val="-5"/>
          <w:sz w:val="19"/>
        </w:rPr>
        <w:t> </w:t>
      </w:r>
      <w:r>
        <w:rPr>
          <w:sz w:val="19"/>
        </w:rPr>
        <w:t>as</w:t>
      </w:r>
      <w:r>
        <w:rPr>
          <w:spacing w:val="-5"/>
          <w:sz w:val="19"/>
        </w:rPr>
        <w:t> </w:t>
      </w:r>
      <w:r>
        <w:rPr>
          <w:sz w:val="19"/>
        </w:rPr>
        <w:t>follows:</w:t>
      </w:r>
    </w:p>
    <w:p>
      <w:pPr>
        <w:spacing w:before="107"/>
        <w:ind w:left="589" w:right="0" w:firstLine="0"/>
        <w:jc w:val="left"/>
        <w:rPr>
          <w:b/>
          <w:sz w:val="19"/>
        </w:rPr>
      </w:pPr>
      <w:r>
        <w:rPr/>
        <w:br w:type="column"/>
      </w:r>
      <w:r>
        <w:rPr>
          <w:b/>
          <w:sz w:val="19"/>
        </w:rPr>
        <w:t>Other expenditure commitments</w:t>
      </w:r>
    </w:p>
    <w:p>
      <w:pPr>
        <w:spacing w:line="249" w:lineRule="auto" w:before="9"/>
        <w:ind w:left="589" w:right="973" w:firstLine="0"/>
        <w:jc w:val="left"/>
        <w:rPr>
          <w:sz w:val="19"/>
        </w:rPr>
      </w:pPr>
      <w:r>
        <w:rPr>
          <w:sz w:val="19"/>
        </w:rPr>
        <w:t>Other</w:t>
      </w:r>
      <w:r>
        <w:rPr>
          <w:spacing w:val="-10"/>
          <w:sz w:val="19"/>
        </w:rPr>
        <w:t> </w:t>
      </w:r>
      <w:r>
        <w:rPr>
          <w:sz w:val="19"/>
        </w:rPr>
        <w:t>expenditure</w:t>
      </w:r>
      <w:r>
        <w:rPr>
          <w:spacing w:val="-10"/>
          <w:sz w:val="19"/>
        </w:rPr>
        <w:t> </w:t>
      </w:r>
      <w:r>
        <w:rPr>
          <w:sz w:val="19"/>
        </w:rPr>
        <w:t>commitments</w:t>
      </w:r>
      <w:r>
        <w:rPr>
          <w:spacing w:val="-10"/>
          <w:sz w:val="19"/>
        </w:rPr>
        <w:t> </w:t>
      </w:r>
      <w:r>
        <w:rPr>
          <w:sz w:val="19"/>
        </w:rPr>
        <w:t>contracted</w:t>
      </w:r>
      <w:r>
        <w:rPr>
          <w:spacing w:val="-10"/>
          <w:sz w:val="19"/>
        </w:rPr>
        <w:t> </w:t>
      </w:r>
      <w:r>
        <w:rPr>
          <w:sz w:val="19"/>
        </w:rPr>
        <w:t>for</w:t>
      </w:r>
      <w:r>
        <w:rPr>
          <w:spacing w:val="-10"/>
          <w:sz w:val="19"/>
        </w:rPr>
        <w:t> </w:t>
      </w:r>
      <w:r>
        <w:rPr>
          <w:sz w:val="19"/>
        </w:rPr>
        <w:t>at</w:t>
      </w:r>
      <w:r>
        <w:rPr>
          <w:spacing w:val="-10"/>
          <w:sz w:val="19"/>
        </w:rPr>
        <w:t> </w:t>
      </w:r>
      <w:r>
        <w:rPr>
          <w:sz w:val="19"/>
        </w:rPr>
        <w:t>the</w:t>
      </w:r>
      <w:r>
        <w:rPr>
          <w:spacing w:val="-9"/>
          <w:sz w:val="19"/>
        </w:rPr>
        <w:t> </w:t>
      </w:r>
      <w:r>
        <w:rPr>
          <w:sz w:val="19"/>
        </w:rPr>
        <w:t>end</w:t>
      </w:r>
      <w:r>
        <w:rPr>
          <w:spacing w:val="-10"/>
          <w:sz w:val="19"/>
        </w:rPr>
        <w:t> </w:t>
      </w:r>
      <w:r>
        <w:rPr>
          <w:sz w:val="19"/>
        </w:rPr>
        <w:t>of</w:t>
      </w:r>
      <w:r>
        <w:rPr>
          <w:spacing w:val="-10"/>
          <w:sz w:val="19"/>
        </w:rPr>
        <w:t> </w:t>
      </w:r>
      <w:r>
        <w:rPr>
          <w:sz w:val="19"/>
        </w:rPr>
        <w:t>the</w:t>
      </w:r>
      <w:r>
        <w:rPr>
          <w:spacing w:val="-10"/>
          <w:sz w:val="19"/>
        </w:rPr>
        <w:t> </w:t>
      </w:r>
      <w:r>
        <w:rPr>
          <w:sz w:val="19"/>
        </w:rPr>
        <w:t>reporting</w:t>
      </w:r>
      <w:r>
        <w:rPr>
          <w:spacing w:val="-10"/>
          <w:sz w:val="19"/>
        </w:rPr>
        <w:t> </w:t>
      </w:r>
      <w:r>
        <w:rPr>
          <w:sz w:val="19"/>
        </w:rPr>
        <w:t>period</w:t>
      </w:r>
      <w:r>
        <w:rPr>
          <w:spacing w:val="-10"/>
          <w:sz w:val="19"/>
        </w:rPr>
        <w:t> </w:t>
      </w:r>
      <w:r>
        <w:rPr>
          <w:sz w:val="19"/>
        </w:rPr>
        <w:t>but</w:t>
      </w:r>
      <w:r>
        <w:rPr>
          <w:spacing w:val="-10"/>
          <w:sz w:val="19"/>
        </w:rPr>
        <w:t> </w:t>
      </w:r>
      <w:r>
        <w:rPr>
          <w:spacing w:val="-6"/>
          <w:sz w:val="19"/>
        </w:rPr>
        <w:t>not </w:t>
      </w:r>
      <w:r>
        <w:rPr>
          <w:sz w:val="19"/>
        </w:rPr>
        <w:t>recognised as liabilities, are payable as</w:t>
      </w:r>
      <w:r>
        <w:rPr>
          <w:spacing w:val="-15"/>
          <w:sz w:val="19"/>
        </w:rPr>
        <w:t> </w:t>
      </w:r>
      <w:r>
        <w:rPr>
          <w:sz w:val="19"/>
        </w:rPr>
        <w:t>follows:</w:t>
      </w:r>
    </w:p>
    <w:p>
      <w:pPr>
        <w:pStyle w:val="BodyText"/>
        <w:rPr>
          <w:sz w:val="4"/>
        </w:rPr>
      </w:pPr>
    </w:p>
    <w:tbl>
      <w:tblPr>
        <w:tblW w:w="0" w:type="auto"/>
        <w:jc w:val="left"/>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312"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Within 1 year</w:t>
            </w:r>
          </w:p>
        </w:tc>
        <w:tc>
          <w:tcPr>
            <w:tcW w:w="1134" w:type="dxa"/>
            <w:vMerge w:val="restart"/>
            <w:tcBorders>
              <w:bottom w:val="single" w:sz="4" w:space="0" w:color="000000"/>
            </w:tcBorders>
            <w:shd w:val="clear" w:color="auto" w:fill="E1E4BB"/>
          </w:tcPr>
          <w:p>
            <w:pPr>
              <w:pStyle w:val="TableParagraph"/>
              <w:spacing w:before="37"/>
              <w:ind w:right="111"/>
              <w:jc w:val="right"/>
              <w:rPr>
                <w:sz w:val="19"/>
              </w:rPr>
            </w:pPr>
            <w:r>
              <w:rPr>
                <w:w w:val="95"/>
                <w:sz w:val="19"/>
              </w:rPr>
              <w:t>10,054</w:t>
            </w:r>
          </w:p>
          <w:p>
            <w:pPr>
              <w:pStyle w:val="TableParagraph"/>
              <w:spacing w:before="109"/>
              <w:ind w:right="111"/>
              <w:jc w:val="right"/>
              <w:rPr>
                <w:sz w:val="19"/>
              </w:rPr>
            </w:pPr>
            <w:r>
              <w:rPr>
                <w:w w:val="111"/>
                <w:sz w:val="19"/>
              </w:rPr>
              <w:t>-</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6,727</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Later than 1 year and not later than 5 years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111"/>
                <w:sz w:val="19"/>
              </w:rPr>
              <w:t>-</w:t>
            </w:r>
          </w:p>
        </w:tc>
      </w:tr>
      <w:tr>
        <w:trPr>
          <w:trHeight w:val="287"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tcBorders>
              <w:top w:val="single" w:sz="4" w:space="0" w:color="000000"/>
              <w:bottom w:val="single" w:sz="24" w:space="0" w:color="FFFFFF"/>
            </w:tcBorders>
            <w:shd w:val="clear" w:color="auto" w:fill="DFE1B8"/>
          </w:tcPr>
          <w:p>
            <w:pPr>
              <w:pStyle w:val="TableParagraph"/>
              <w:ind w:left="439"/>
              <w:rPr>
                <w:b/>
                <w:sz w:val="19"/>
              </w:rPr>
            </w:pPr>
            <w:r>
              <w:rPr>
                <w:b/>
                <w:sz w:val="19"/>
              </w:rPr>
              <w:t>10,054</w:t>
            </w:r>
          </w:p>
        </w:tc>
        <w:tc>
          <w:tcPr>
            <w:tcW w:w="1134" w:type="dxa"/>
            <w:tcBorders>
              <w:top w:val="single" w:sz="4" w:space="0" w:color="000000"/>
              <w:bottom w:val="single" w:sz="24" w:space="0" w:color="FFFFFF"/>
            </w:tcBorders>
            <w:shd w:val="clear" w:color="auto" w:fill="F4F4F4"/>
          </w:tcPr>
          <w:p>
            <w:pPr>
              <w:pStyle w:val="TableParagraph"/>
              <w:ind w:right="111"/>
              <w:jc w:val="right"/>
              <w:rPr>
                <w:b/>
                <w:sz w:val="19"/>
              </w:rPr>
            </w:pPr>
            <w:r>
              <w:rPr>
                <w:b/>
                <w:w w:val="95"/>
                <w:sz w:val="19"/>
              </w:rPr>
              <w:t>6,727</w:t>
            </w:r>
          </w:p>
        </w:tc>
      </w:tr>
    </w:tbl>
    <w:p>
      <w:pPr>
        <w:pStyle w:val="BodyText"/>
        <w:spacing w:before="3"/>
        <w:rPr>
          <w:sz w:val="21"/>
        </w:rPr>
      </w:pPr>
    </w:p>
    <w:p>
      <w:pPr>
        <w:spacing w:before="0"/>
        <w:ind w:left="589" w:right="0" w:firstLine="0"/>
        <w:jc w:val="left"/>
        <w:rPr>
          <w:b/>
          <w:sz w:val="19"/>
        </w:rPr>
      </w:pPr>
      <w:r>
        <w:rPr>
          <w:b/>
          <w:sz w:val="19"/>
        </w:rPr>
        <w:t>Other operating lease receivables</w:t>
      </w:r>
    </w:p>
    <w:p>
      <w:pPr>
        <w:spacing w:line="249" w:lineRule="auto" w:before="10"/>
        <w:ind w:left="589" w:right="968" w:firstLine="0"/>
        <w:jc w:val="left"/>
        <w:rPr>
          <w:sz w:val="19"/>
        </w:rPr>
      </w:pPr>
      <w:r>
        <w:rPr/>
        <w:pict>
          <v:shape style="position:absolute;margin-left:431.575012pt;margin-top:37.512981pt;width:369.95pt;height:159.3pt;mso-position-horizontal-relative:page;mso-position-vertical-relative:paragraph;z-index:204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33" w:hRule="atLeast"/>
                    </w:trPr>
                    <w:tc>
                      <w:tcPr>
                        <w:tcW w:w="7399" w:type="dxa"/>
                        <w:gridSpan w:val="3"/>
                        <w:tcBorders>
                          <w:bottom w:val="single" w:sz="4" w:space="0" w:color="8B5B8B"/>
                        </w:tcBorders>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312" w:hRule="atLeast"/>
                    </w:trPr>
                    <w:tc>
                      <w:tcPr>
                        <w:tcW w:w="5131" w:type="dxa"/>
                        <w:tcBorders>
                          <w:top w:val="single" w:sz="4" w:space="0" w:color="8B5B8B"/>
                          <w:bottom w:val="single" w:sz="8" w:space="0" w:color="FFFFFF"/>
                        </w:tcBorders>
                        <w:shd w:val="clear" w:color="auto" w:fill="F4F4F4"/>
                      </w:tcPr>
                      <w:p>
                        <w:pPr>
                          <w:pStyle w:val="TableParagraph"/>
                          <w:spacing w:before="37"/>
                          <w:ind w:left="113"/>
                          <w:rPr>
                            <w:i/>
                            <w:sz w:val="19"/>
                          </w:rPr>
                        </w:pPr>
                        <w:r>
                          <w:rPr>
                            <w:i/>
                            <w:color w:val="A7BE39"/>
                            <w:sz w:val="19"/>
                          </w:rPr>
                          <w:t>Current</w:t>
                        </w:r>
                      </w:p>
                    </w:tc>
                    <w:tc>
                      <w:tcPr>
                        <w:tcW w:w="1134" w:type="dxa"/>
                        <w:vMerge w:val="restart"/>
                        <w:tcBorders>
                          <w:top w:val="single" w:sz="4" w:space="0" w:color="8B5B8B"/>
                          <w:bottom w:val="single" w:sz="4" w:space="0" w:color="000000"/>
                        </w:tcBorders>
                        <w:shd w:val="clear" w:color="auto" w:fill="E1E4BB"/>
                      </w:tcPr>
                      <w:p>
                        <w:pPr>
                          <w:pStyle w:val="TableParagraph"/>
                          <w:spacing w:before="8"/>
                          <w:rPr>
                            <w:sz w:val="31"/>
                          </w:rPr>
                        </w:pPr>
                      </w:p>
                      <w:p>
                        <w:pPr>
                          <w:pStyle w:val="TableParagraph"/>
                          <w:spacing w:before="0"/>
                          <w:ind w:left="439"/>
                          <w:rPr>
                            <w:sz w:val="19"/>
                          </w:rPr>
                        </w:pPr>
                        <w:r>
                          <w:rPr>
                            <w:sz w:val="19"/>
                          </w:rPr>
                          <w:t>40,980</w:t>
                        </w:r>
                      </w:p>
                      <w:p>
                        <w:pPr>
                          <w:pStyle w:val="TableParagraph"/>
                          <w:spacing w:before="0"/>
                          <w:rPr>
                            <w:sz w:val="22"/>
                          </w:rPr>
                        </w:pPr>
                      </w:p>
                      <w:p>
                        <w:pPr>
                          <w:pStyle w:val="TableParagraph"/>
                          <w:spacing w:before="0"/>
                          <w:rPr>
                            <w:sz w:val="22"/>
                          </w:rPr>
                        </w:pPr>
                      </w:p>
                      <w:p>
                        <w:pPr>
                          <w:pStyle w:val="TableParagraph"/>
                          <w:spacing w:before="4"/>
                          <w:rPr>
                            <w:sz w:val="22"/>
                          </w:rPr>
                        </w:pPr>
                      </w:p>
                      <w:p>
                        <w:pPr>
                          <w:pStyle w:val="TableParagraph"/>
                          <w:spacing w:before="0"/>
                          <w:ind w:left="439"/>
                          <w:rPr>
                            <w:sz w:val="19"/>
                          </w:rPr>
                        </w:pPr>
                        <w:r>
                          <w:rPr>
                            <w:sz w:val="19"/>
                          </w:rPr>
                          <w:t>54,407</w:t>
                        </w:r>
                      </w:p>
                      <w:p>
                        <w:pPr>
                          <w:pStyle w:val="TableParagraph"/>
                          <w:spacing w:before="109"/>
                          <w:ind w:left="703"/>
                          <w:rPr>
                            <w:sz w:val="19"/>
                          </w:rPr>
                        </w:pPr>
                        <w:r>
                          <w:rPr>
                            <w:sz w:val="19"/>
                          </w:rPr>
                          <w:t>581</w:t>
                        </w:r>
                      </w:p>
                    </w:tc>
                    <w:tc>
                      <w:tcPr>
                        <w:tcW w:w="1134" w:type="dxa"/>
                        <w:tcBorders>
                          <w:top w:val="single" w:sz="4" w:space="0" w:color="8B5B8B"/>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Within 1 year</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47,239</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i/>
                            <w:sz w:val="19"/>
                          </w:rPr>
                        </w:pPr>
                        <w:r>
                          <w:rPr>
                            <w:i/>
                            <w:color w:val="A7BE39"/>
                            <w:sz w:val="19"/>
                          </w:rPr>
                          <w:t>Non-current</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Later than 1 year and not later than 5 years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55,709</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Later than 5 years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95"/>
                            <w:sz w:val="19"/>
                          </w:rPr>
                          <w:t>450</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tcBorders>
                          <w:top w:val="single" w:sz="4" w:space="0" w:color="000000"/>
                          <w:bottom w:val="single" w:sz="4" w:space="0" w:color="000000"/>
                        </w:tcBorders>
                        <w:shd w:val="clear" w:color="auto" w:fill="DFE1B8"/>
                      </w:tcPr>
                      <w:p>
                        <w:pPr>
                          <w:pStyle w:val="TableParagraph"/>
                          <w:ind w:right="111"/>
                          <w:jc w:val="right"/>
                          <w:rPr>
                            <w:sz w:val="19"/>
                          </w:rPr>
                        </w:pPr>
                        <w:r>
                          <w:rPr>
                            <w:w w:val="95"/>
                            <w:sz w:val="19"/>
                          </w:rPr>
                          <w:t>54,988</w:t>
                        </w:r>
                      </w:p>
                    </w:tc>
                    <w:tc>
                      <w:tcPr>
                        <w:tcW w:w="1134" w:type="dxa"/>
                        <w:tcBorders>
                          <w:top w:val="single" w:sz="4" w:space="0" w:color="000000"/>
                          <w:bottom w:val="single" w:sz="4" w:space="0" w:color="000000"/>
                        </w:tcBorders>
                        <w:shd w:val="clear" w:color="auto" w:fill="F4F4F4"/>
                      </w:tcPr>
                      <w:p>
                        <w:pPr>
                          <w:pStyle w:val="TableParagraph"/>
                          <w:ind w:right="111"/>
                          <w:jc w:val="right"/>
                          <w:rPr>
                            <w:sz w:val="19"/>
                          </w:rPr>
                        </w:pPr>
                        <w:r>
                          <w:rPr>
                            <w:w w:val="95"/>
                            <w:sz w:val="19"/>
                          </w:rPr>
                          <w:t>56,159</w:t>
                        </w:r>
                      </w:p>
                    </w:tc>
                  </w:tr>
                  <w:tr>
                    <w:trPr>
                      <w:trHeight w:val="274"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tcBorders>
                          <w:top w:val="single" w:sz="4" w:space="0" w:color="000000"/>
                          <w:bottom w:val="single" w:sz="34" w:space="0" w:color="FFFFFF"/>
                        </w:tcBorders>
                        <w:shd w:val="clear" w:color="auto" w:fill="E1E4BB"/>
                      </w:tcPr>
                      <w:p>
                        <w:pPr>
                          <w:pStyle w:val="TableParagraph"/>
                          <w:ind w:right="111"/>
                          <w:jc w:val="right"/>
                          <w:rPr>
                            <w:b/>
                            <w:sz w:val="19"/>
                          </w:rPr>
                        </w:pPr>
                        <w:r>
                          <w:rPr>
                            <w:b/>
                            <w:w w:val="95"/>
                            <w:sz w:val="19"/>
                          </w:rPr>
                          <w:t>95,968</w:t>
                        </w:r>
                      </w:p>
                    </w:tc>
                    <w:tc>
                      <w:tcPr>
                        <w:tcW w:w="1134" w:type="dxa"/>
                        <w:tcBorders>
                          <w:top w:val="single" w:sz="4" w:space="0" w:color="000000"/>
                          <w:bottom w:val="single" w:sz="34" w:space="0" w:color="FFFFFF"/>
                        </w:tcBorders>
                        <w:shd w:val="clear" w:color="auto" w:fill="FAF9F9"/>
                      </w:tcPr>
                      <w:p>
                        <w:pPr>
                          <w:pStyle w:val="TableParagraph"/>
                          <w:ind w:right="111"/>
                          <w:jc w:val="right"/>
                          <w:rPr>
                            <w:b/>
                            <w:sz w:val="19"/>
                          </w:rPr>
                        </w:pPr>
                        <w:r>
                          <w:rPr>
                            <w:b/>
                            <w:w w:val="95"/>
                            <w:sz w:val="19"/>
                          </w:rPr>
                          <w:t>103,398</w:t>
                        </w:r>
                      </w:p>
                    </w:tc>
                  </w:tr>
                </w:tbl>
                <w:p>
                  <w:pPr>
                    <w:pStyle w:val="BodyText"/>
                  </w:pPr>
                </w:p>
              </w:txbxContent>
            </v:textbox>
            <w10:wrap type="none"/>
          </v:shape>
        </w:pict>
      </w:r>
      <w:r>
        <w:rPr>
          <w:sz w:val="19"/>
        </w:rPr>
        <w:t>Reflects</w:t>
      </w:r>
      <w:r>
        <w:rPr>
          <w:spacing w:val="-19"/>
          <w:sz w:val="19"/>
        </w:rPr>
        <w:t> </w:t>
      </w:r>
      <w:r>
        <w:rPr>
          <w:sz w:val="19"/>
        </w:rPr>
        <w:t>State</w:t>
      </w:r>
      <w:r>
        <w:rPr>
          <w:spacing w:val="-19"/>
          <w:sz w:val="19"/>
        </w:rPr>
        <w:t> </w:t>
      </w:r>
      <w:r>
        <w:rPr>
          <w:sz w:val="19"/>
        </w:rPr>
        <w:t>Fleet</w:t>
      </w:r>
      <w:r>
        <w:rPr>
          <w:spacing w:val="-18"/>
          <w:sz w:val="19"/>
        </w:rPr>
        <w:t> </w:t>
      </w:r>
      <w:r>
        <w:rPr>
          <w:sz w:val="19"/>
        </w:rPr>
        <w:t>operating</w:t>
      </w:r>
      <w:r>
        <w:rPr>
          <w:spacing w:val="-19"/>
          <w:sz w:val="19"/>
        </w:rPr>
        <w:t> </w:t>
      </w:r>
      <w:r>
        <w:rPr>
          <w:sz w:val="19"/>
        </w:rPr>
        <w:t>lease</w:t>
      </w:r>
      <w:r>
        <w:rPr>
          <w:spacing w:val="-19"/>
          <w:sz w:val="19"/>
        </w:rPr>
        <w:t> </w:t>
      </w:r>
      <w:r>
        <w:rPr>
          <w:sz w:val="19"/>
        </w:rPr>
        <w:t>receivables</w:t>
      </w:r>
      <w:r>
        <w:rPr>
          <w:spacing w:val="-18"/>
          <w:sz w:val="19"/>
        </w:rPr>
        <w:t> </w:t>
      </w:r>
      <w:r>
        <w:rPr>
          <w:sz w:val="19"/>
        </w:rPr>
        <w:t>for</w:t>
      </w:r>
      <w:r>
        <w:rPr>
          <w:spacing w:val="-19"/>
          <w:sz w:val="19"/>
        </w:rPr>
        <w:t> </w:t>
      </w:r>
      <w:r>
        <w:rPr>
          <w:sz w:val="19"/>
        </w:rPr>
        <w:t>vehicles</w:t>
      </w:r>
      <w:r>
        <w:rPr>
          <w:spacing w:val="-19"/>
          <w:sz w:val="19"/>
        </w:rPr>
        <w:t> </w:t>
      </w:r>
      <w:r>
        <w:rPr>
          <w:sz w:val="19"/>
        </w:rPr>
        <w:t>owned</w:t>
      </w:r>
      <w:r>
        <w:rPr>
          <w:spacing w:val="-18"/>
          <w:sz w:val="19"/>
        </w:rPr>
        <w:t> </w:t>
      </w:r>
      <w:r>
        <w:rPr>
          <w:sz w:val="19"/>
        </w:rPr>
        <w:t>by</w:t>
      </w:r>
      <w:r>
        <w:rPr>
          <w:spacing w:val="-19"/>
          <w:sz w:val="19"/>
        </w:rPr>
        <w:t> </w:t>
      </w:r>
      <w:r>
        <w:rPr>
          <w:sz w:val="19"/>
        </w:rPr>
        <w:t>the</w:t>
      </w:r>
      <w:r>
        <w:rPr>
          <w:spacing w:val="-19"/>
          <w:sz w:val="19"/>
        </w:rPr>
        <w:t> </w:t>
      </w:r>
      <w:r>
        <w:rPr>
          <w:sz w:val="19"/>
        </w:rPr>
        <w:t>Department. As</w:t>
      </w:r>
      <w:r>
        <w:rPr>
          <w:spacing w:val="-22"/>
          <w:sz w:val="19"/>
        </w:rPr>
        <w:t> </w:t>
      </w:r>
      <w:r>
        <w:rPr>
          <w:sz w:val="19"/>
        </w:rPr>
        <w:t>at</w:t>
      </w:r>
      <w:r>
        <w:rPr>
          <w:spacing w:val="-21"/>
          <w:sz w:val="19"/>
        </w:rPr>
        <w:t> </w:t>
      </w:r>
      <w:r>
        <w:rPr>
          <w:sz w:val="19"/>
        </w:rPr>
        <w:t>balance</w:t>
      </w:r>
      <w:r>
        <w:rPr>
          <w:spacing w:val="-22"/>
          <w:sz w:val="19"/>
        </w:rPr>
        <w:t> </w:t>
      </w:r>
      <w:r>
        <w:rPr>
          <w:sz w:val="19"/>
        </w:rPr>
        <w:t>date,</w:t>
      </w:r>
      <w:r>
        <w:rPr>
          <w:spacing w:val="-21"/>
          <w:sz w:val="19"/>
        </w:rPr>
        <w:t> </w:t>
      </w:r>
      <w:r>
        <w:rPr>
          <w:sz w:val="19"/>
        </w:rPr>
        <w:t>the</w:t>
      </w:r>
      <w:r>
        <w:rPr>
          <w:spacing w:val="-22"/>
          <w:sz w:val="19"/>
        </w:rPr>
        <w:t> </w:t>
      </w:r>
      <w:r>
        <w:rPr>
          <w:sz w:val="19"/>
        </w:rPr>
        <w:t>future</w:t>
      </w:r>
      <w:r>
        <w:rPr>
          <w:spacing w:val="-21"/>
          <w:sz w:val="19"/>
        </w:rPr>
        <w:t> </w:t>
      </w:r>
      <w:r>
        <w:rPr>
          <w:sz w:val="19"/>
        </w:rPr>
        <w:t>minimum</w:t>
      </w:r>
      <w:r>
        <w:rPr>
          <w:spacing w:val="-22"/>
          <w:sz w:val="19"/>
        </w:rPr>
        <w:t> </w:t>
      </w:r>
      <w:r>
        <w:rPr>
          <w:sz w:val="19"/>
        </w:rPr>
        <w:t>lease</w:t>
      </w:r>
      <w:r>
        <w:rPr>
          <w:spacing w:val="-21"/>
          <w:sz w:val="19"/>
        </w:rPr>
        <w:t> </w:t>
      </w:r>
      <w:r>
        <w:rPr>
          <w:sz w:val="19"/>
        </w:rPr>
        <w:t>payments</w:t>
      </w:r>
      <w:r>
        <w:rPr>
          <w:spacing w:val="-22"/>
          <w:sz w:val="19"/>
        </w:rPr>
        <w:t> </w:t>
      </w:r>
      <w:r>
        <w:rPr>
          <w:sz w:val="19"/>
        </w:rPr>
        <w:t>under</w:t>
      </w:r>
      <w:r>
        <w:rPr>
          <w:spacing w:val="-21"/>
          <w:sz w:val="19"/>
        </w:rPr>
        <w:t> </w:t>
      </w:r>
      <w:r>
        <w:rPr>
          <w:sz w:val="19"/>
        </w:rPr>
        <w:t>non-cancellable</w:t>
      </w:r>
      <w:r>
        <w:rPr>
          <w:spacing w:val="-22"/>
          <w:sz w:val="19"/>
        </w:rPr>
        <w:t> </w:t>
      </w:r>
      <w:r>
        <w:rPr>
          <w:sz w:val="19"/>
        </w:rPr>
        <w:t>operating lease arrangements were distributed as</w:t>
      </w:r>
      <w:r>
        <w:rPr>
          <w:spacing w:val="-10"/>
          <w:sz w:val="19"/>
        </w:rPr>
        <w:t> </w:t>
      </w:r>
      <w:r>
        <w:rPr>
          <w:sz w:val="19"/>
        </w:rPr>
        <w:t>follows:</w:t>
      </w:r>
    </w:p>
    <w:p>
      <w:pPr>
        <w:spacing w:after="0" w:line="249" w:lineRule="auto"/>
        <w:jc w:val="left"/>
        <w:rPr>
          <w:sz w:val="19"/>
        </w:rPr>
        <w:sectPr>
          <w:type w:val="continuous"/>
          <w:pgSz w:w="16840" w:h="11910" w:orient="landscape"/>
          <w:pgMar w:top="0" w:bottom="0" w:left="0" w:right="0"/>
          <w:cols w:num="2" w:equalWidth="0">
            <w:col w:w="8003" w:space="40"/>
            <w:col w:w="8797"/>
          </w:cols>
        </w:sectPr>
      </w:pPr>
    </w:p>
    <w:p>
      <w:pPr>
        <w:pStyle w:val="BodyText"/>
        <w:spacing w:before="3"/>
        <w:rPr>
          <w:sz w:val="4"/>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312"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Within 1 year</w:t>
            </w:r>
          </w:p>
        </w:tc>
        <w:tc>
          <w:tcPr>
            <w:tcW w:w="1134" w:type="dxa"/>
            <w:vMerge w:val="restart"/>
            <w:tcBorders>
              <w:bottom w:val="single" w:sz="4" w:space="0" w:color="000000"/>
            </w:tcBorders>
            <w:shd w:val="clear" w:color="auto" w:fill="E1E4BB"/>
          </w:tcPr>
          <w:p>
            <w:pPr>
              <w:pStyle w:val="TableParagraph"/>
              <w:spacing w:before="37"/>
              <w:ind w:left="439"/>
              <w:rPr>
                <w:sz w:val="19"/>
              </w:rPr>
            </w:pPr>
            <w:r>
              <w:rPr>
                <w:sz w:val="19"/>
              </w:rPr>
              <w:t>41,511</w:t>
            </w:r>
          </w:p>
          <w:p>
            <w:pPr>
              <w:pStyle w:val="TableParagraph"/>
              <w:spacing w:before="109"/>
              <w:ind w:left="703"/>
              <w:rPr>
                <w:sz w:val="19"/>
              </w:rPr>
            </w:pPr>
            <w:r>
              <w:rPr>
                <w:sz w:val="19"/>
              </w:rPr>
              <w:t>589</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48,406</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Later than 1 year and not later than 5 years</w:t>
            </w:r>
          </w:p>
        </w:tc>
        <w:tc>
          <w:tcPr>
            <w:tcW w:w="1134" w:type="dxa"/>
            <w:vMerge/>
            <w:tcBorders>
              <w:top w:val="nil"/>
              <w:bottom w:val="single" w:sz="4" w:space="0" w:color="000000"/>
            </w:tcBorders>
            <w:shd w:val="clear" w:color="auto" w:fill="E1E4BB"/>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111"/>
                <w:sz w:val="19"/>
              </w:rPr>
              <w:t>-</w:t>
            </w:r>
          </w:p>
        </w:tc>
      </w:tr>
      <w:tr>
        <w:trPr>
          <w:trHeight w:val="287" w:hRule="atLeast"/>
        </w:trPr>
        <w:tc>
          <w:tcPr>
            <w:tcW w:w="5131"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c>
          <w:tcPr>
            <w:tcW w:w="1134" w:type="dxa"/>
            <w:tcBorders>
              <w:top w:val="single" w:sz="4" w:space="0" w:color="000000"/>
              <w:bottom w:val="single" w:sz="24" w:space="0" w:color="FFFFFF"/>
            </w:tcBorders>
            <w:shd w:val="clear" w:color="auto" w:fill="DFE1B8"/>
          </w:tcPr>
          <w:p>
            <w:pPr>
              <w:pStyle w:val="TableParagraph"/>
              <w:ind w:left="439"/>
              <w:rPr>
                <w:b/>
                <w:sz w:val="19"/>
              </w:rPr>
            </w:pPr>
            <w:r>
              <w:rPr>
                <w:b/>
                <w:sz w:val="19"/>
              </w:rPr>
              <w:t>42,100</w:t>
            </w:r>
          </w:p>
        </w:tc>
        <w:tc>
          <w:tcPr>
            <w:tcW w:w="1134" w:type="dxa"/>
            <w:tcBorders>
              <w:top w:val="single" w:sz="4" w:space="0" w:color="000000"/>
              <w:bottom w:val="single" w:sz="24" w:space="0" w:color="FFFFFF"/>
            </w:tcBorders>
            <w:shd w:val="clear" w:color="auto" w:fill="F4F4F4"/>
          </w:tcPr>
          <w:p>
            <w:pPr>
              <w:pStyle w:val="TableParagraph"/>
              <w:ind w:right="111"/>
              <w:jc w:val="right"/>
              <w:rPr>
                <w:b/>
                <w:sz w:val="19"/>
              </w:rPr>
            </w:pPr>
            <w:r>
              <w:rPr>
                <w:b/>
                <w:w w:val="95"/>
                <w:sz w:val="19"/>
              </w:rPr>
              <w:t>48,406</w:t>
            </w:r>
          </w:p>
        </w:tc>
      </w:tr>
    </w:tbl>
    <w:p>
      <w:pPr>
        <w:spacing w:after="0"/>
        <w:jc w:val="right"/>
        <w:rPr>
          <w:sz w:val="19"/>
        </w:rPr>
        <w:sectPr>
          <w:type w:val="continuous"/>
          <w:pgSz w:w="16840" w:h="11910" w:orient="landscape"/>
          <w:pgMar w:top="0" w:bottom="0" w:left="0" w:right="0"/>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20824"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20944"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20968"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10"/>
        <w:rPr>
          <w:sz w:val="12"/>
        </w:rPr>
      </w:pPr>
    </w:p>
    <w:p>
      <w:pPr>
        <w:spacing w:after="0"/>
        <w:rPr>
          <w:sz w:val="12"/>
        </w:rPr>
        <w:sectPr>
          <w:footerReference w:type="default" r:id="rId220"/>
          <w:pgSz w:w="16840" w:h="11910" w:orient="landscape"/>
          <w:pgMar w:footer="448" w:header="0" w:top="0" w:bottom="640" w:left="0" w:right="0"/>
        </w:sectPr>
      </w:pPr>
    </w:p>
    <w:p>
      <w:pPr>
        <w:pStyle w:val="Heading5"/>
        <w:spacing w:line="235" w:lineRule="auto" w:before="115"/>
        <w:ind w:right="2766"/>
      </w:pPr>
      <w:r>
        <w:rPr>
          <w:color w:val="6F2770"/>
        </w:rPr>
        <w:t>Note</w:t>
      </w:r>
      <w:r>
        <w:rPr>
          <w:color w:val="6F2770"/>
          <w:spacing w:val="-36"/>
        </w:rPr>
        <w:t> </w:t>
      </w:r>
      <w:r>
        <w:rPr>
          <w:color w:val="6F2770"/>
        </w:rPr>
        <w:t>37.</w:t>
      </w:r>
      <w:r>
        <w:rPr>
          <w:color w:val="6F2770"/>
          <w:spacing w:val="-35"/>
        </w:rPr>
        <w:t> </w:t>
      </w:r>
      <w:r>
        <w:rPr>
          <w:color w:val="6F2770"/>
        </w:rPr>
        <w:t>Contingent</w:t>
      </w:r>
      <w:r>
        <w:rPr>
          <w:color w:val="6F2770"/>
          <w:spacing w:val="-36"/>
        </w:rPr>
        <w:t> </w:t>
      </w:r>
      <w:r>
        <w:rPr>
          <w:color w:val="6F2770"/>
        </w:rPr>
        <w:t>liabilities</w:t>
      </w:r>
      <w:r>
        <w:rPr>
          <w:color w:val="6F2770"/>
          <w:spacing w:val="-35"/>
        </w:rPr>
        <w:t> </w:t>
      </w:r>
      <w:r>
        <w:rPr>
          <w:color w:val="6F2770"/>
          <w:spacing w:val="-6"/>
        </w:rPr>
        <w:t>and </w:t>
      </w:r>
      <w:r>
        <w:rPr>
          <w:color w:val="6F2770"/>
        </w:rPr>
        <w:t>contingent</w:t>
      </w:r>
      <w:r>
        <w:rPr>
          <w:color w:val="6F2770"/>
          <w:spacing w:val="-3"/>
        </w:rPr>
        <w:t> </w:t>
      </w:r>
      <w:r>
        <w:rPr>
          <w:color w:val="6F2770"/>
        </w:rPr>
        <w:t>assets</w:t>
      </w:r>
    </w:p>
    <w:p>
      <w:pPr>
        <w:pStyle w:val="Heading6"/>
        <w:spacing w:before="310"/>
      </w:pPr>
      <w:r>
        <w:rPr/>
        <w:t>Contingent liabilities</w:t>
      </w:r>
    </w:p>
    <w:p>
      <w:pPr>
        <w:pStyle w:val="BodyText"/>
        <w:spacing w:line="249" w:lineRule="auto" w:before="11" w:after="65"/>
        <w:ind w:left="765" w:right="47"/>
      </w:pPr>
      <w:r>
        <w:rPr/>
        <w:t>The</w:t>
      </w:r>
      <w:r>
        <w:rPr>
          <w:spacing w:val="-27"/>
        </w:rPr>
        <w:t> </w:t>
      </w:r>
      <w:r>
        <w:rPr/>
        <w:t>following</w:t>
      </w:r>
      <w:r>
        <w:rPr>
          <w:spacing w:val="-26"/>
        </w:rPr>
        <w:t> </w:t>
      </w:r>
      <w:r>
        <w:rPr/>
        <w:t>contingent</w:t>
      </w:r>
      <w:r>
        <w:rPr>
          <w:spacing w:val="-26"/>
        </w:rPr>
        <w:t> </w:t>
      </w:r>
      <w:r>
        <w:rPr/>
        <w:t>liabilities</w:t>
      </w:r>
      <w:r>
        <w:rPr>
          <w:spacing w:val="-26"/>
        </w:rPr>
        <w:t> </w:t>
      </w:r>
      <w:r>
        <w:rPr/>
        <w:t>are</w:t>
      </w:r>
      <w:r>
        <w:rPr>
          <w:spacing w:val="-26"/>
        </w:rPr>
        <w:t> </w:t>
      </w:r>
      <w:r>
        <w:rPr/>
        <w:t>additional</w:t>
      </w:r>
      <w:r>
        <w:rPr>
          <w:spacing w:val="-26"/>
        </w:rPr>
        <w:t> </w:t>
      </w:r>
      <w:r>
        <w:rPr/>
        <w:t>to</w:t>
      </w:r>
      <w:r>
        <w:rPr>
          <w:spacing w:val="-26"/>
        </w:rPr>
        <w:t> </w:t>
      </w:r>
      <w:r>
        <w:rPr/>
        <w:t>the</w:t>
      </w:r>
      <w:r>
        <w:rPr>
          <w:spacing w:val="-26"/>
        </w:rPr>
        <w:t> </w:t>
      </w:r>
      <w:r>
        <w:rPr/>
        <w:t>liabilities</w:t>
      </w:r>
      <w:r>
        <w:rPr>
          <w:spacing w:val="-26"/>
        </w:rPr>
        <w:t> </w:t>
      </w:r>
      <w:r>
        <w:rPr/>
        <w:t>included</w:t>
      </w:r>
      <w:r>
        <w:rPr>
          <w:spacing w:val="-26"/>
        </w:rPr>
        <w:t> </w:t>
      </w:r>
      <w:r>
        <w:rPr/>
        <w:t>in</w:t>
      </w:r>
      <w:r>
        <w:rPr>
          <w:spacing w:val="-26"/>
        </w:rPr>
        <w:t> </w:t>
      </w:r>
      <w:r>
        <w:rPr>
          <w:spacing w:val="-6"/>
        </w:rPr>
        <w:t>the </w:t>
      </w:r>
      <w:r>
        <w:rPr/>
        <w:t>financial</w:t>
      </w:r>
      <w:r>
        <w:rPr>
          <w:spacing w:val="-1"/>
        </w:rPr>
        <w:t> </w:t>
      </w:r>
      <w:r>
        <w:rPr/>
        <w:t>statements:</w:t>
      </w:r>
    </w:p>
    <w:p>
      <w:pPr>
        <w:pStyle w:val="BodyText"/>
        <w:ind w:left="760" w:right="-58"/>
        <w:rPr>
          <w:sz w:val="20"/>
        </w:rPr>
      </w:pPr>
      <w:r>
        <w:rPr>
          <w:sz w:val="20"/>
        </w:rPr>
        <w:pict>
          <v:group style="width:369.95pt;height:46.2pt;mso-position-horizontal-relative:char;mso-position-vertical-relative:line" coordorigin="0,0" coordsize="7399,924">
            <v:rect style="position:absolute;left:0;top:5;width:5131;height:592" filled="true" fillcolor="#783a79" stroked="false">
              <v:fill type="solid"/>
            </v:rect>
            <v:rect style="position:absolute;left:5130;top:5;width:1134;height:592" filled="true" fillcolor="#783a79" stroked="false">
              <v:fill type="solid"/>
            </v:rect>
            <v:rect style="position:absolute;left:6264;top:5;width:1134;height:592" filled="true" fillcolor="#783a79" stroked="false">
              <v:fill type="solid"/>
            </v:rect>
            <v:rect style="position:absolute;left:0;top:596;width:5131;height:328" filled="true" fillcolor="#f4f4f4" stroked="false">
              <v:fill type="solid"/>
            </v:rect>
            <v:rect style="position:absolute;left:6264;top:596;width:1134;height:328" filled="true" fillcolor="#f4f4f4" stroked="false">
              <v:fill type="solid"/>
            </v:rect>
            <v:rect style="position:absolute;left:5130;top:596;width:1134;height:328" filled="true" fillcolor="#f4f4f4" stroked="false">
              <v:fill type="solid"/>
            </v:rect>
            <v:line style="position:absolute" from="5131,591" to="5131,10" stroked="true" strokeweight="1pt" strokecolor="#783a79">
              <v:stroke dashstyle="solid"/>
            </v:line>
            <v:line style="position:absolute" from="6265,591" to="6265,10" stroked="true" strokeweight="1pt" strokecolor="#783a79">
              <v:stroke dashstyle="solid"/>
            </v:line>
            <v:line style="position:absolute" from="0,5" to="5131,5" stroked="true" strokeweight=".5pt" strokecolor="#783a79">
              <v:stroke dashstyle="solid"/>
            </v:line>
            <v:line style="position:absolute" from="5131,5" to="6265,5" stroked="true" strokeweight=".5pt" strokecolor="#783a79">
              <v:stroke dashstyle="solid"/>
            </v:line>
            <v:line style="position:absolute" from="6265,5" to="7398,5" stroked="true" strokeweight=".5pt" strokecolor="#783a79">
              <v:stroke dashstyle="solid"/>
            </v:line>
            <v:line style="position:absolute" from="0,596" to="5131,596" stroked="true" strokeweight=".5pt" strokecolor="#8b5b8b">
              <v:stroke dashstyle="solid"/>
            </v:line>
            <v:line style="position:absolute" from="5131,596" to="6265,596" stroked="true" strokeweight=".5pt" strokecolor="#8b5b8b">
              <v:stroke dashstyle="solid"/>
            </v:line>
            <v:line style="position:absolute" from="6265,596" to="7398,596" stroked="true" strokeweight=".5pt" strokecolor="#8b5b8b">
              <v:stroke dashstyle="solid"/>
            </v:line>
            <v:shape style="position:absolute;left:6734;top:625;width:571;height:260" type="#_x0000_t202" filled="false" stroked="false">
              <v:textbox inset="0,0,0,0">
                <w:txbxContent>
                  <w:p>
                    <w:pPr>
                      <w:spacing w:before="6"/>
                      <w:ind w:left="0" w:right="0" w:firstLine="0"/>
                      <w:jc w:val="left"/>
                      <w:rPr>
                        <w:sz w:val="22"/>
                      </w:rPr>
                    </w:pPr>
                    <w:r>
                      <w:rPr>
                        <w:sz w:val="22"/>
                      </w:rPr>
                      <w:t>4,124</w:t>
                    </w:r>
                  </w:p>
                </w:txbxContent>
              </v:textbox>
              <w10:wrap type="none"/>
            </v:shape>
            <v:shape style="position:absolute;left:6070;top:625;width:102;height:260" type="#_x0000_t202" filled="false" stroked="false">
              <v:textbox inset="0,0,0,0">
                <w:txbxContent>
                  <w:p>
                    <w:pPr>
                      <w:spacing w:before="6"/>
                      <w:ind w:left="0" w:right="0" w:firstLine="0"/>
                      <w:jc w:val="left"/>
                      <w:rPr>
                        <w:sz w:val="22"/>
                      </w:rPr>
                    </w:pPr>
                    <w:r>
                      <w:rPr>
                        <w:w w:val="111"/>
                        <w:sz w:val="22"/>
                      </w:rPr>
                      <w:t>-</w:t>
                    </w:r>
                  </w:p>
                </w:txbxContent>
              </v:textbox>
              <w10:wrap type="none"/>
            </v:shape>
            <v:shape style="position:absolute;left:113;top:625;width:2547;height:260" type="#_x0000_t202" filled="false" stroked="false">
              <v:textbox inset="0,0,0,0">
                <w:txbxContent>
                  <w:p>
                    <w:pPr>
                      <w:spacing w:before="6"/>
                      <w:ind w:left="0" w:right="0" w:firstLine="0"/>
                      <w:jc w:val="left"/>
                      <w:rPr>
                        <w:sz w:val="22"/>
                      </w:rPr>
                    </w:pPr>
                    <w:r>
                      <w:rPr>
                        <w:sz w:val="22"/>
                      </w:rPr>
                      <w:t>Contract</w:t>
                    </w:r>
                    <w:r>
                      <w:rPr>
                        <w:spacing w:val="-24"/>
                        <w:sz w:val="22"/>
                      </w:rPr>
                      <w:t> </w:t>
                    </w:r>
                    <w:r>
                      <w:rPr>
                        <w:sz w:val="22"/>
                      </w:rPr>
                      <w:t>Claims</w:t>
                    </w:r>
                    <w:r>
                      <w:rPr>
                        <w:spacing w:val="-23"/>
                        <w:sz w:val="22"/>
                      </w:rPr>
                      <w:t> </w:t>
                    </w:r>
                    <w:r>
                      <w:rPr>
                        <w:sz w:val="22"/>
                      </w:rPr>
                      <w:t>in</w:t>
                    </w:r>
                    <w:r>
                      <w:rPr>
                        <w:spacing w:val="-24"/>
                        <w:sz w:val="22"/>
                      </w:rPr>
                      <w:t> </w:t>
                    </w:r>
                    <w:r>
                      <w:rPr>
                        <w:sz w:val="22"/>
                      </w:rPr>
                      <w:t>Dispute</w:t>
                    </w:r>
                  </w:p>
                </w:txbxContent>
              </v:textbox>
              <w10:wrap type="none"/>
            </v:shape>
            <v:shape style="position:absolute;left:6795;top:32;width:510;height:527" type="#_x0000_t202" filled="false" stroked="false">
              <v:textbox inset="0,0,0,0">
                <w:txbxContent>
                  <w:p>
                    <w:pPr>
                      <w:spacing w:before="8"/>
                      <w:ind w:left="0" w:right="0" w:firstLine="0"/>
                      <w:jc w:val="left"/>
                      <w:rPr>
                        <w:b/>
                        <w:sz w:val="22"/>
                      </w:rPr>
                    </w:pPr>
                    <w:r>
                      <w:rPr>
                        <w:b/>
                        <w:color w:val="FFFFFF"/>
                        <w:sz w:val="22"/>
                      </w:rPr>
                      <w:t>2016</w:t>
                    </w:r>
                  </w:p>
                  <w:p>
                    <w:pPr>
                      <w:spacing w:before="11"/>
                      <w:ind w:left="0" w:right="0" w:firstLine="0"/>
                      <w:jc w:val="left"/>
                      <w:rPr>
                        <w:b/>
                        <w:sz w:val="22"/>
                      </w:rPr>
                    </w:pPr>
                    <w:r>
                      <w:rPr>
                        <w:b/>
                        <w:color w:val="FFFFFF"/>
                        <w:sz w:val="22"/>
                      </w:rPr>
                      <w:t>$000</w:t>
                    </w:r>
                  </w:p>
                </w:txbxContent>
              </v:textbox>
              <w10:wrap type="none"/>
            </v:shape>
            <v:shape style="position:absolute;left:5661;top:32;width:510;height:527" type="#_x0000_t202" filled="false" stroked="false">
              <v:textbox inset="0,0,0,0">
                <w:txbxContent>
                  <w:p>
                    <w:pPr>
                      <w:spacing w:before="8"/>
                      <w:ind w:left="0" w:right="0" w:firstLine="0"/>
                      <w:jc w:val="left"/>
                      <w:rPr>
                        <w:b/>
                        <w:sz w:val="22"/>
                      </w:rPr>
                    </w:pPr>
                    <w:r>
                      <w:rPr>
                        <w:b/>
                        <w:color w:val="FFFFFF"/>
                        <w:sz w:val="22"/>
                      </w:rPr>
                      <w:t>2017</w:t>
                    </w:r>
                  </w:p>
                  <w:p>
                    <w:pPr>
                      <w:spacing w:before="11"/>
                      <w:ind w:left="0" w:right="0" w:firstLine="0"/>
                      <w:jc w:val="left"/>
                      <w:rPr>
                        <w:b/>
                        <w:sz w:val="22"/>
                      </w:rPr>
                    </w:pPr>
                    <w:r>
                      <w:rPr>
                        <w:b/>
                        <w:color w:val="FFFFFF"/>
                        <w:sz w:val="22"/>
                      </w:rPr>
                      <w:t>$000</w:t>
                    </w:r>
                  </w:p>
                </w:txbxContent>
              </v:textbox>
              <w10:wrap type="none"/>
            </v:shape>
          </v:group>
        </w:pict>
      </w:r>
      <w:r>
        <w:rPr>
          <w:sz w:val="20"/>
        </w:rPr>
      </w:r>
    </w:p>
    <w:p>
      <w:pPr>
        <w:pStyle w:val="BodyText"/>
        <w:spacing w:before="7"/>
        <w:rPr>
          <w:sz w:val="29"/>
        </w:rPr>
      </w:pPr>
    </w:p>
    <w:p>
      <w:pPr>
        <w:pStyle w:val="BodyText"/>
        <w:ind w:left="765"/>
      </w:pPr>
      <w:r>
        <w:rPr/>
        <w:t>The contingent liabilities relate to construction works.</w:t>
      </w:r>
    </w:p>
    <w:p>
      <w:pPr>
        <w:pStyle w:val="BodyText"/>
        <w:rPr>
          <w:sz w:val="20"/>
        </w:rPr>
      </w:pPr>
    </w:p>
    <w:p>
      <w:pPr>
        <w:pStyle w:val="BodyText"/>
        <w:spacing w:before="9" w:after="1"/>
        <w:rPr>
          <w:sz w:val="11"/>
        </w:rPr>
      </w:pPr>
    </w:p>
    <w:p>
      <w:pPr>
        <w:pStyle w:val="BodyText"/>
        <w:ind w:left="765" w:right="-58"/>
        <w:rPr>
          <w:sz w:val="20"/>
        </w:rPr>
      </w:pPr>
      <w:r>
        <w:rPr>
          <w:sz w:val="20"/>
        </w:rPr>
        <w:pict>
          <v:shape style="width:369.95pt;height:16.4pt;mso-position-horizontal-relative:char;mso-position-vertical-relative:line" type="#_x0000_t202" filled="true" fillcolor="#f4f4f4" stroked="false">
            <w10:anchorlock/>
            <v:textbox inset="0,0,0,0">
              <w:txbxContent>
                <w:p>
                  <w:pPr>
                    <w:pStyle w:val="BodyText"/>
                    <w:tabs>
                      <w:tab w:pos="5600" w:val="left" w:leader="none"/>
                      <w:tab w:pos="7203" w:val="left" w:leader="none"/>
                    </w:tabs>
                    <w:spacing w:before="35"/>
                    <w:ind w:left="113"/>
                  </w:pPr>
                  <w:r>
                    <w:rPr/>
                    <w:t>Energy</w:t>
                  </w:r>
                  <w:r>
                    <w:rPr>
                      <w:spacing w:val="-21"/>
                    </w:rPr>
                    <w:t> </w:t>
                  </w:r>
                  <w:r>
                    <w:rPr/>
                    <w:t>reform</w:t>
                  </w:r>
                  <w:r>
                    <w:rPr>
                      <w:spacing w:val="-20"/>
                    </w:rPr>
                    <w:t> </w:t>
                  </w:r>
                  <w:r>
                    <w:rPr/>
                    <w:t>function</w:t>
                    <w:tab/>
                    <w:t>4,100</w:t>
                    <w:tab/>
                    <w:t>-</w:t>
                  </w:r>
                </w:p>
              </w:txbxContent>
            </v:textbox>
            <v:fill type="solid"/>
          </v:shape>
        </w:pict>
      </w:r>
      <w:r>
        <w:rPr>
          <w:sz w:val="20"/>
        </w:rPr>
      </w:r>
    </w:p>
    <w:p>
      <w:pPr>
        <w:pStyle w:val="BodyText"/>
        <w:spacing w:before="11"/>
        <w:rPr>
          <w:sz w:val="29"/>
        </w:rPr>
      </w:pPr>
    </w:p>
    <w:p>
      <w:pPr>
        <w:pStyle w:val="BodyText"/>
        <w:spacing w:line="249" w:lineRule="auto"/>
        <w:ind w:left="765" w:right="248"/>
      </w:pPr>
      <w:r>
        <w:rPr/>
        <w:t>This</w:t>
      </w:r>
      <w:r>
        <w:rPr>
          <w:spacing w:val="-24"/>
        </w:rPr>
        <w:t> </w:t>
      </w:r>
      <w:r>
        <w:rPr/>
        <w:t>contingent</w:t>
      </w:r>
      <w:r>
        <w:rPr>
          <w:spacing w:val="-23"/>
        </w:rPr>
        <w:t> </w:t>
      </w:r>
      <w:r>
        <w:rPr/>
        <w:t>liability</w:t>
      </w:r>
      <w:r>
        <w:rPr>
          <w:spacing w:val="-23"/>
        </w:rPr>
        <w:t> </w:t>
      </w:r>
      <w:r>
        <w:rPr/>
        <w:t>relates</w:t>
      </w:r>
      <w:r>
        <w:rPr>
          <w:spacing w:val="-23"/>
        </w:rPr>
        <w:t> </w:t>
      </w:r>
      <w:r>
        <w:rPr/>
        <w:t>to</w:t>
      </w:r>
      <w:r>
        <w:rPr>
          <w:spacing w:val="-23"/>
        </w:rPr>
        <w:t> </w:t>
      </w:r>
      <w:r>
        <w:rPr/>
        <w:t>an</w:t>
      </w:r>
      <w:r>
        <w:rPr>
          <w:spacing w:val="-24"/>
        </w:rPr>
        <w:t> </w:t>
      </w:r>
      <w:r>
        <w:rPr/>
        <w:t>indemnity</w:t>
      </w:r>
      <w:r>
        <w:rPr>
          <w:spacing w:val="-23"/>
        </w:rPr>
        <w:t> </w:t>
      </w:r>
      <w:r>
        <w:rPr/>
        <w:t>claim</w:t>
      </w:r>
      <w:r>
        <w:rPr>
          <w:spacing w:val="-23"/>
        </w:rPr>
        <w:t> </w:t>
      </w:r>
      <w:r>
        <w:rPr/>
        <w:t>in</w:t>
      </w:r>
      <w:r>
        <w:rPr>
          <w:spacing w:val="-23"/>
        </w:rPr>
        <w:t> </w:t>
      </w:r>
      <w:r>
        <w:rPr/>
        <w:t>relation</w:t>
      </w:r>
      <w:r>
        <w:rPr>
          <w:spacing w:val="-23"/>
        </w:rPr>
        <w:t> </w:t>
      </w:r>
      <w:r>
        <w:rPr/>
        <w:t>to</w:t>
      </w:r>
      <w:r>
        <w:rPr>
          <w:spacing w:val="-24"/>
        </w:rPr>
        <w:t> </w:t>
      </w:r>
      <w:r>
        <w:rPr/>
        <w:t>the</w:t>
      </w:r>
      <w:r>
        <w:rPr>
          <w:spacing w:val="-23"/>
        </w:rPr>
        <w:t> </w:t>
      </w:r>
      <w:r>
        <w:rPr>
          <w:spacing w:val="-3"/>
        </w:rPr>
        <w:t>energy </w:t>
      </w:r>
      <w:r>
        <w:rPr/>
        <w:t>reform</w:t>
      </w:r>
      <w:r>
        <w:rPr>
          <w:spacing w:val="-1"/>
        </w:rPr>
        <w:t> </w:t>
      </w:r>
      <w:r>
        <w:rPr/>
        <w:t>function.</w:t>
      </w:r>
    </w:p>
    <w:p>
      <w:pPr>
        <w:pStyle w:val="BodyText"/>
        <w:rPr>
          <w:sz w:val="25"/>
        </w:rPr>
      </w:pPr>
    </w:p>
    <w:p>
      <w:pPr>
        <w:spacing w:before="1"/>
        <w:ind w:left="765" w:right="0" w:firstLine="0"/>
        <w:jc w:val="left"/>
        <w:rPr>
          <w:i/>
          <w:sz w:val="22"/>
        </w:rPr>
      </w:pPr>
      <w:r>
        <w:rPr>
          <w:i/>
          <w:color w:val="6F2770"/>
          <w:sz w:val="22"/>
        </w:rPr>
        <w:t>Contaminated Sites Act 2003</w:t>
      </w:r>
    </w:p>
    <w:p>
      <w:pPr>
        <w:pStyle w:val="BodyText"/>
        <w:spacing w:line="249" w:lineRule="auto" w:before="11"/>
        <w:ind w:left="765"/>
      </w:pPr>
      <w:r>
        <w:rPr/>
        <w:t>Under</w:t>
      </w:r>
      <w:r>
        <w:rPr>
          <w:spacing w:val="-29"/>
        </w:rPr>
        <w:t> </w:t>
      </w:r>
      <w:r>
        <w:rPr/>
        <w:t>the</w:t>
      </w:r>
      <w:r>
        <w:rPr>
          <w:spacing w:val="-28"/>
        </w:rPr>
        <w:t> </w:t>
      </w:r>
      <w:r>
        <w:rPr>
          <w:i/>
        </w:rPr>
        <w:t>Contaminated</w:t>
      </w:r>
      <w:r>
        <w:rPr>
          <w:i/>
          <w:spacing w:val="-29"/>
        </w:rPr>
        <w:t> </w:t>
      </w:r>
      <w:r>
        <w:rPr>
          <w:i/>
        </w:rPr>
        <w:t>Sites</w:t>
      </w:r>
      <w:r>
        <w:rPr>
          <w:i/>
          <w:spacing w:val="-28"/>
        </w:rPr>
        <w:t> </w:t>
      </w:r>
      <w:r>
        <w:rPr>
          <w:i/>
        </w:rPr>
        <w:t>Act</w:t>
      </w:r>
      <w:r>
        <w:rPr>
          <w:i/>
          <w:spacing w:val="-29"/>
        </w:rPr>
        <w:t> </w:t>
      </w:r>
      <w:r>
        <w:rPr>
          <w:i/>
        </w:rPr>
        <w:t>2003</w:t>
      </w:r>
      <w:r>
        <w:rPr/>
        <w:t>,</w:t>
      </w:r>
      <w:r>
        <w:rPr>
          <w:spacing w:val="-28"/>
        </w:rPr>
        <w:t> </w:t>
      </w:r>
      <w:r>
        <w:rPr/>
        <w:t>the</w:t>
      </w:r>
      <w:r>
        <w:rPr>
          <w:spacing w:val="-28"/>
        </w:rPr>
        <w:t> </w:t>
      </w:r>
      <w:r>
        <w:rPr/>
        <w:t>Department</w:t>
      </w:r>
      <w:r>
        <w:rPr>
          <w:spacing w:val="-29"/>
        </w:rPr>
        <w:t> </w:t>
      </w:r>
      <w:r>
        <w:rPr/>
        <w:t>of</w:t>
      </w:r>
      <w:r>
        <w:rPr>
          <w:spacing w:val="-28"/>
        </w:rPr>
        <w:t> </w:t>
      </w:r>
      <w:r>
        <w:rPr/>
        <w:t>Finance</w:t>
      </w:r>
      <w:r>
        <w:rPr>
          <w:spacing w:val="-29"/>
        </w:rPr>
        <w:t> </w:t>
      </w:r>
      <w:r>
        <w:rPr/>
        <w:t>is</w:t>
      </w:r>
      <w:r>
        <w:rPr>
          <w:spacing w:val="-28"/>
        </w:rPr>
        <w:t> </w:t>
      </w:r>
      <w:r>
        <w:rPr>
          <w:spacing w:val="-3"/>
        </w:rPr>
        <w:t>required </w:t>
      </w:r>
      <w:r>
        <w:rPr/>
        <w:t>to </w:t>
      </w:r>
      <w:r>
        <w:rPr>
          <w:spacing w:val="-3"/>
        </w:rPr>
        <w:t>report </w:t>
      </w:r>
      <w:r>
        <w:rPr/>
        <w:t>known and suspected contaminated sites to the Department of </w:t>
      </w:r>
      <w:r>
        <w:rPr>
          <w:spacing w:val="-3"/>
        </w:rPr>
        <w:t>Environment </w:t>
      </w:r>
      <w:r>
        <w:rPr/>
        <w:t>Regulation (DER). In </w:t>
      </w:r>
      <w:r>
        <w:rPr>
          <w:spacing w:val="-3"/>
        </w:rPr>
        <w:t>accordance </w:t>
      </w:r>
      <w:r>
        <w:rPr/>
        <w:t>with the Act, DER classifies these sites on the basis of the risk to human health, the </w:t>
      </w:r>
      <w:r>
        <w:rPr>
          <w:spacing w:val="-3"/>
        </w:rPr>
        <w:t>environment </w:t>
      </w:r>
      <w:r>
        <w:rPr>
          <w:spacing w:val="-2"/>
        </w:rPr>
        <w:t>and </w:t>
      </w:r>
      <w:r>
        <w:rPr>
          <w:spacing w:val="-3"/>
        </w:rPr>
        <w:t>environmental</w:t>
      </w:r>
      <w:r>
        <w:rPr>
          <w:spacing w:val="-14"/>
        </w:rPr>
        <w:t> </w:t>
      </w:r>
      <w:r>
        <w:rPr/>
        <w:t>values.</w:t>
      </w:r>
      <w:r>
        <w:rPr>
          <w:spacing w:val="-14"/>
        </w:rPr>
        <w:t> </w:t>
      </w:r>
      <w:r>
        <w:rPr>
          <w:spacing w:val="-3"/>
        </w:rPr>
        <w:t>Where</w:t>
      </w:r>
      <w:r>
        <w:rPr>
          <w:spacing w:val="-14"/>
        </w:rPr>
        <w:t> </w:t>
      </w:r>
      <w:r>
        <w:rPr/>
        <w:t>sites</w:t>
      </w:r>
      <w:r>
        <w:rPr>
          <w:spacing w:val="-14"/>
        </w:rPr>
        <w:t> </w:t>
      </w:r>
      <w:r>
        <w:rPr>
          <w:spacing w:val="-3"/>
        </w:rPr>
        <w:t>are</w:t>
      </w:r>
      <w:r>
        <w:rPr>
          <w:spacing w:val="-14"/>
        </w:rPr>
        <w:t> </w:t>
      </w:r>
      <w:r>
        <w:rPr/>
        <w:t>classified</w:t>
      </w:r>
      <w:r>
        <w:rPr>
          <w:spacing w:val="-14"/>
        </w:rPr>
        <w:t> </w:t>
      </w:r>
      <w:r>
        <w:rPr/>
        <w:t>as</w:t>
      </w:r>
      <w:r>
        <w:rPr>
          <w:spacing w:val="-14"/>
        </w:rPr>
        <w:t> </w:t>
      </w:r>
      <w:r>
        <w:rPr/>
        <w:t>contaminated</w:t>
      </w:r>
      <w:r>
        <w:rPr>
          <w:spacing w:val="-14"/>
        </w:rPr>
        <w:t> </w:t>
      </w:r>
      <w:r>
        <w:rPr/>
        <w:t>–</w:t>
      </w:r>
    </w:p>
    <w:p>
      <w:pPr>
        <w:pStyle w:val="BodyText"/>
        <w:spacing w:line="249" w:lineRule="auto" w:before="4"/>
        <w:ind w:left="765"/>
      </w:pPr>
      <w:r>
        <w:rPr>
          <w:spacing w:val="-3"/>
        </w:rPr>
        <w:t>remediation</w:t>
      </w:r>
      <w:r>
        <w:rPr>
          <w:spacing w:val="-29"/>
        </w:rPr>
        <w:t> </w:t>
      </w:r>
      <w:r>
        <w:rPr>
          <w:spacing w:val="-3"/>
        </w:rPr>
        <w:t>required,</w:t>
      </w:r>
      <w:r>
        <w:rPr>
          <w:spacing w:val="-28"/>
        </w:rPr>
        <w:t> </w:t>
      </w:r>
      <w:r>
        <w:rPr/>
        <w:t>contaminated</w:t>
      </w:r>
      <w:r>
        <w:rPr>
          <w:spacing w:val="-28"/>
        </w:rPr>
        <w:t> </w:t>
      </w:r>
      <w:r>
        <w:rPr/>
        <w:t>–</w:t>
      </w:r>
      <w:r>
        <w:rPr>
          <w:spacing w:val="-29"/>
        </w:rPr>
        <w:t> </w:t>
      </w:r>
      <w:r>
        <w:rPr>
          <w:spacing w:val="-3"/>
        </w:rPr>
        <w:t>restricted</w:t>
      </w:r>
      <w:r>
        <w:rPr>
          <w:spacing w:val="-28"/>
        </w:rPr>
        <w:t> </w:t>
      </w:r>
      <w:r>
        <w:rPr/>
        <w:t>use</w:t>
      </w:r>
      <w:r>
        <w:rPr>
          <w:spacing w:val="-28"/>
        </w:rPr>
        <w:t> </w:t>
      </w:r>
      <w:r>
        <w:rPr/>
        <w:t>or</w:t>
      </w:r>
      <w:r>
        <w:rPr>
          <w:spacing w:val="-29"/>
        </w:rPr>
        <w:t> </w:t>
      </w:r>
      <w:r>
        <w:rPr/>
        <w:t>possibly</w:t>
      </w:r>
      <w:r>
        <w:rPr>
          <w:spacing w:val="-28"/>
        </w:rPr>
        <w:t> </w:t>
      </w:r>
      <w:r>
        <w:rPr/>
        <w:t>contaminated</w:t>
      </w:r>
      <w:r>
        <w:rPr>
          <w:spacing w:val="-28"/>
        </w:rPr>
        <w:t> </w:t>
      </w:r>
      <w:r>
        <w:rPr/>
        <w:t>– investigation </w:t>
      </w:r>
      <w:r>
        <w:rPr>
          <w:spacing w:val="-3"/>
        </w:rPr>
        <w:t>required, </w:t>
      </w:r>
      <w:r>
        <w:rPr/>
        <w:t>the Department may have a liability in </w:t>
      </w:r>
      <w:r>
        <w:rPr>
          <w:spacing w:val="-3"/>
        </w:rPr>
        <w:t>respect </w:t>
      </w:r>
      <w:r>
        <w:rPr/>
        <w:t>of investigation or </w:t>
      </w:r>
      <w:r>
        <w:rPr>
          <w:spacing w:val="-3"/>
        </w:rPr>
        <w:t>remediation</w:t>
      </w:r>
      <w:r>
        <w:rPr>
          <w:spacing w:val="-17"/>
        </w:rPr>
        <w:t> </w:t>
      </w:r>
      <w:r>
        <w:rPr/>
        <w:t>expenses.</w:t>
      </w:r>
    </w:p>
    <w:p>
      <w:pPr>
        <w:pStyle w:val="BodyText"/>
        <w:spacing w:line="249" w:lineRule="auto" w:before="131"/>
        <w:ind w:left="432" w:right="977"/>
      </w:pPr>
      <w:r>
        <w:rPr/>
        <w:br w:type="column"/>
      </w:r>
      <w:r>
        <w:rPr/>
        <w:t>The Department has </w:t>
      </w:r>
      <w:r>
        <w:rPr>
          <w:spacing w:val="-3"/>
        </w:rPr>
        <w:t>reported </w:t>
      </w:r>
      <w:r>
        <w:rPr/>
        <w:t>two suspected contaminated sites to DER. The first site has been classified as possibly contaminated-investigation </w:t>
      </w:r>
      <w:r>
        <w:rPr>
          <w:spacing w:val="-3"/>
        </w:rPr>
        <w:t>required. </w:t>
      </w:r>
      <w:r>
        <w:rPr/>
        <w:t>The Department is unable to assess the likely outcome of </w:t>
      </w:r>
      <w:r>
        <w:rPr>
          <w:spacing w:val="-2"/>
        </w:rPr>
        <w:t>the </w:t>
      </w:r>
      <w:r>
        <w:rPr/>
        <w:t>classification </w:t>
      </w:r>
      <w:r>
        <w:rPr>
          <w:spacing w:val="-3"/>
        </w:rPr>
        <w:t>process </w:t>
      </w:r>
      <w:r>
        <w:rPr/>
        <w:t>and </w:t>
      </w:r>
      <w:r>
        <w:rPr>
          <w:spacing w:val="-3"/>
        </w:rPr>
        <w:t>accordingly </w:t>
      </w:r>
      <w:r>
        <w:rPr/>
        <w:t>it is not practicable to estimate </w:t>
      </w:r>
      <w:r>
        <w:rPr>
          <w:spacing w:val="-2"/>
        </w:rPr>
        <w:t>the </w:t>
      </w:r>
      <w:r>
        <w:rPr/>
        <w:t>potential</w:t>
      </w:r>
      <w:r>
        <w:rPr>
          <w:spacing w:val="-29"/>
        </w:rPr>
        <w:t> </w:t>
      </w:r>
      <w:r>
        <w:rPr/>
        <w:t>financial</w:t>
      </w:r>
      <w:r>
        <w:rPr>
          <w:spacing w:val="-28"/>
        </w:rPr>
        <w:t> </w:t>
      </w:r>
      <w:r>
        <w:rPr>
          <w:spacing w:val="-3"/>
        </w:rPr>
        <w:t>effect</w:t>
      </w:r>
      <w:r>
        <w:rPr>
          <w:spacing w:val="-29"/>
        </w:rPr>
        <w:t> </w:t>
      </w:r>
      <w:r>
        <w:rPr/>
        <w:t>or</w:t>
      </w:r>
      <w:r>
        <w:rPr>
          <w:spacing w:val="-28"/>
        </w:rPr>
        <w:t> </w:t>
      </w:r>
      <w:r>
        <w:rPr/>
        <w:t>to</w:t>
      </w:r>
      <w:r>
        <w:rPr>
          <w:spacing w:val="-29"/>
        </w:rPr>
        <w:t> </w:t>
      </w:r>
      <w:r>
        <w:rPr/>
        <w:t>identify</w:t>
      </w:r>
      <w:r>
        <w:rPr>
          <w:spacing w:val="-28"/>
        </w:rPr>
        <w:t> </w:t>
      </w:r>
      <w:r>
        <w:rPr/>
        <w:t>the</w:t>
      </w:r>
      <w:r>
        <w:rPr>
          <w:spacing w:val="-28"/>
        </w:rPr>
        <w:t> </w:t>
      </w:r>
      <w:r>
        <w:rPr/>
        <w:t>uncertainties</w:t>
      </w:r>
      <w:r>
        <w:rPr>
          <w:spacing w:val="-29"/>
        </w:rPr>
        <w:t> </w:t>
      </w:r>
      <w:r>
        <w:rPr>
          <w:spacing w:val="-3"/>
        </w:rPr>
        <w:t>relating</w:t>
      </w:r>
      <w:r>
        <w:rPr>
          <w:spacing w:val="-28"/>
        </w:rPr>
        <w:t> </w:t>
      </w:r>
      <w:r>
        <w:rPr/>
        <w:t>to</w:t>
      </w:r>
      <w:r>
        <w:rPr>
          <w:spacing w:val="-29"/>
        </w:rPr>
        <w:t> </w:t>
      </w:r>
      <w:r>
        <w:rPr/>
        <w:t>the</w:t>
      </w:r>
      <w:r>
        <w:rPr>
          <w:spacing w:val="-28"/>
        </w:rPr>
        <w:t> </w:t>
      </w:r>
      <w:r>
        <w:rPr>
          <w:spacing w:val="-2"/>
        </w:rPr>
        <w:t>amount </w:t>
      </w:r>
      <w:r>
        <w:rPr/>
        <w:t>or</w:t>
      </w:r>
      <w:r>
        <w:rPr>
          <w:spacing w:val="-20"/>
        </w:rPr>
        <w:t> </w:t>
      </w:r>
      <w:r>
        <w:rPr/>
        <w:t>timing</w:t>
      </w:r>
      <w:r>
        <w:rPr>
          <w:spacing w:val="-20"/>
        </w:rPr>
        <w:t> </w:t>
      </w:r>
      <w:r>
        <w:rPr/>
        <w:t>of</w:t>
      </w:r>
      <w:r>
        <w:rPr>
          <w:spacing w:val="-20"/>
        </w:rPr>
        <w:t> </w:t>
      </w:r>
      <w:r>
        <w:rPr/>
        <w:t>any</w:t>
      </w:r>
      <w:r>
        <w:rPr>
          <w:spacing w:val="-20"/>
        </w:rPr>
        <w:t> </w:t>
      </w:r>
      <w:r>
        <w:rPr/>
        <w:t>outflows.</w:t>
      </w:r>
      <w:r>
        <w:rPr>
          <w:spacing w:val="-20"/>
        </w:rPr>
        <w:t> </w:t>
      </w:r>
      <w:r>
        <w:rPr/>
        <w:t>Whilst</w:t>
      </w:r>
      <w:r>
        <w:rPr>
          <w:spacing w:val="-20"/>
        </w:rPr>
        <w:t> </w:t>
      </w:r>
      <w:r>
        <w:rPr>
          <w:spacing w:val="-3"/>
        </w:rPr>
        <w:t>there</w:t>
      </w:r>
      <w:r>
        <w:rPr>
          <w:spacing w:val="-20"/>
        </w:rPr>
        <w:t> </w:t>
      </w:r>
      <w:r>
        <w:rPr/>
        <w:t>is</w:t>
      </w:r>
      <w:r>
        <w:rPr>
          <w:spacing w:val="-20"/>
        </w:rPr>
        <w:t> </w:t>
      </w:r>
      <w:r>
        <w:rPr/>
        <w:t>no</w:t>
      </w:r>
      <w:r>
        <w:rPr>
          <w:spacing w:val="-20"/>
        </w:rPr>
        <w:t> </w:t>
      </w:r>
      <w:r>
        <w:rPr/>
        <w:t>possibility</w:t>
      </w:r>
      <w:r>
        <w:rPr>
          <w:spacing w:val="-20"/>
        </w:rPr>
        <w:t> </w:t>
      </w:r>
      <w:r>
        <w:rPr/>
        <w:t>of</w:t>
      </w:r>
      <w:r>
        <w:rPr>
          <w:spacing w:val="-20"/>
        </w:rPr>
        <w:t> </w:t>
      </w:r>
      <w:r>
        <w:rPr>
          <w:spacing w:val="-3"/>
        </w:rPr>
        <w:t>reimbursement</w:t>
      </w:r>
      <w:r>
        <w:rPr>
          <w:spacing w:val="-20"/>
        </w:rPr>
        <w:t> </w:t>
      </w:r>
      <w:r>
        <w:rPr/>
        <w:t>of any</w:t>
      </w:r>
      <w:r>
        <w:rPr>
          <w:spacing w:val="-20"/>
        </w:rPr>
        <w:t> </w:t>
      </w:r>
      <w:r>
        <w:rPr>
          <w:spacing w:val="-3"/>
        </w:rPr>
        <w:t>future</w:t>
      </w:r>
      <w:r>
        <w:rPr>
          <w:spacing w:val="-20"/>
        </w:rPr>
        <w:t> </w:t>
      </w:r>
      <w:r>
        <w:rPr/>
        <w:t>expenses</w:t>
      </w:r>
      <w:r>
        <w:rPr>
          <w:spacing w:val="-20"/>
        </w:rPr>
        <w:t> </w:t>
      </w:r>
      <w:r>
        <w:rPr/>
        <w:t>that</w:t>
      </w:r>
      <w:r>
        <w:rPr>
          <w:spacing w:val="-20"/>
        </w:rPr>
        <w:t> </w:t>
      </w:r>
      <w:r>
        <w:rPr/>
        <w:t>may</w:t>
      </w:r>
      <w:r>
        <w:rPr>
          <w:spacing w:val="-20"/>
        </w:rPr>
        <w:t> </w:t>
      </w:r>
      <w:r>
        <w:rPr/>
        <w:t>be</w:t>
      </w:r>
      <w:r>
        <w:rPr>
          <w:spacing w:val="-20"/>
        </w:rPr>
        <w:t> </w:t>
      </w:r>
      <w:r>
        <w:rPr>
          <w:spacing w:val="-3"/>
        </w:rPr>
        <w:t>incurred</w:t>
      </w:r>
      <w:r>
        <w:rPr>
          <w:spacing w:val="-20"/>
        </w:rPr>
        <w:t> </w:t>
      </w:r>
      <w:r>
        <w:rPr/>
        <w:t>in</w:t>
      </w:r>
      <w:r>
        <w:rPr>
          <w:spacing w:val="-20"/>
        </w:rPr>
        <w:t> </w:t>
      </w:r>
      <w:r>
        <w:rPr/>
        <w:t>the</w:t>
      </w:r>
      <w:r>
        <w:rPr>
          <w:spacing w:val="-20"/>
        </w:rPr>
        <w:t> </w:t>
      </w:r>
      <w:r>
        <w:rPr>
          <w:spacing w:val="-3"/>
        </w:rPr>
        <w:t>remediation</w:t>
      </w:r>
      <w:r>
        <w:rPr>
          <w:spacing w:val="-20"/>
        </w:rPr>
        <w:t> </w:t>
      </w:r>
      <w:r>
        <w:rPr/>
        <w:t>of</w:t>
      </w:r>
      <w:r>
        <w:rPr>
          <w:spacing w:val="-20"/>
        </w:rPr>
        <w:t> </w:t>
      </w:r>
      <w:r>
        <w:rPr/>
        <w:t>these</w:t>
      </w:r>
      <w:r>
        <w:rPr>
          <w:spacing w:val="-19"/>
        </w:rPr>
        <w:t> </w:t>
      </w:r>
      <w:r>
        <w:rPr>
          <w:spacing w:val="-2"/>
        </w:rPr>
        <w:t>sites, </w:t>
      </w:r>
      <w:r>
        <w:rPr/>
        <w:t>the Department may apply for funding </w:t>
      </w:r>
      <w:r>
        <w:rPr>
          <w:spacing w:val="-3"/>
        </w:rPr>
        <w:t>from </w:t>
      </w:r>
      <w:r>
        <w:rPr/>
        <w:t>the Contaminated Sites Management Account to undertake further investigative work or to meet </w:t>
      </w:r>
      <w:r>
        <w:rPr>
          <w:spacing w:val="-3"/>
        </w:rPr>
        <w:t>remediation </w:t>
      </w:r>
      <w:r>
        <w:rPr/>
        <w:t>costs that may be</w:t>
      </w:r>
      <w:r>
        <w:rPr>
          <w:spacing w:val="-21"/>
        </w:rPr>
        <w:t> </w:t>
      </w:r>
      <w:r>
        <w:rPr>
          <w:spacing w:val="-3"/>
        </w:rPr>
        <w:t>required.</w:t>
      </w:r>
    </w:p>
    <w:p>
      <w:pPr>
        <w:pStyle w:val="BodyText"/>
        <w:spacing w:before="9"/>
        <w:rPr>
          <w:sz w:val="23"/>
        </w:rPr>
      </w:pPr>
    </w:p>
    <w:p>
      <w:pPr>
        <w:pStyle w:val="BodyText"/>
        <w:ind w:left="432"/>
      </w:pPr>
      <w:r>
        <w:rPr/>
        <w:t>The second site has been classified as contaminated – restricted use.</w:t>
      </w:r>
    </w:p>
    <w:p>
      <w:pPr>
        <w:pStyle w:val="BodyText"/>
        <w:spacing w:line="249" w:lineRule="auto" w:before="11"/>
        <w:ind w:left="432" w:right="1117"/>
      </w:pPr>
      <w:r>
        <w:rPr/>
        <w:t>For</w:t>
      </w:r>
      <w:r>
        <w:rPr>
          <w:spacing w:val="-23"/>
        </w:rPr>
        <w:t> </w:t>
      </w:r>
      <w:r>
        <w:rPr/>
        <w:t>this</w:t>
      </w:r>
      <w:r>
        <w:rPr>
          <w:spacing w:val="-22"/>
        </w:rPr>
        <w:t> </w:t>
      </w:r>
      <w:r>
        <w:rPr/>
        <w:t>site,</w:t>
      </w:r>
      <w:r>
        <w:rPr>
          <w:spacing w:val="-23"/>
        </w:rPr>
        <w:t> </w:t>
      </w:r>
      <w:r>
        <w:rPr/>
        <w:t>a</w:t>
      </w:r>
      <w:r>
        <w:rPr>
          <w:spacing w:val="-22"/>
        </w:rPr>
        <w:t> </w:t>
      </w:r>
      <w:r>
        <w:rPr>
          <w:spacing w:val="-3"/>
        </w:rPr>
        <w:t>restoration</w:t>
      </w:r>
      <w:r>
        <w:rPr>
          <w:spacing w:val="-22"/>
        </w:rPr>
        <w:t> </w:t>
      </w:r>
      <w:r>
        <w:rPr/>
        <w:t>cost</w:t>
      </w:r>
      <w:r>
        <w:rPr>
          <w:spacing w:val="-23"/>
        </w:rPr>
        <w:t> </w:t>
      </w:r>
      <w:r>
        <w:rPr>
          <w:spacing w:val="-3"/>
        </w:rPr>
        <w:t>provision</w:t>
      </w:r>
      <w:r>
        <w:rPr>
          <w:spacing w:val="-22"/>
        </w:rPr>
        <w:t> </w:t>
      </w:r>
      <w:r>
        <w:rPr/>
        <w:t>has</w:t>
      </w:r>
      <w:r>
        <w:rPr>
          <w:spacing w:val="-22"/>
        </w:rPr>
        <w:t> </w:t>
      </w:r>
      <w:r>
        <w:rPr/>
        <w:t>been</w:t>
      </w:r>
      <w:r>
        <w:rPr>
          <w:spacing w:val="-23"/>
        </w:rPr>
        <w:t> </w:t>
      </w:r>
      <w:r>
        <w:rPr>
          <w:spacing w:val="-3"/>
        </w:rPr>
        <w:t>recognised</w:t>
      </w:r>
      <w:r>
        <w:rPr>
          <w:spacing w:val="-22"/>
        </w:rPr>
        <w:t> </w:t>
      </w:r>
      <w:r>
        <w:rPr/>
        <w:t>to</w:t>
      </w:r>
      <w:r>
        <w:rPr>
          <w:spacing w:val="-22"/>
        </w:rPr>
        <w:t> </w:t>
      </w:r>
      <w:r>
        <w:rPr>
          <w:spacing w:val="-3"/>
        </w:rPr>
        <w:t>rehabilitate </w:t>
      </w:r>
      <w:r>
        <w:rPr/>
        <w:t>it to a </w:t>
      </w:r>
      <w:r>
        <w:rPr>
          <w:spacing w:val="-3"/>
        </w:rPr>
        <w:t>standard </w:t>
      </w:r>
      <w:r>
        <w:rPr/>
        <w:t>suitable for </w:t>
      </w:r>
      <w:r>
        <w:rPr>
          <w:spacing w:val="-3"/>
        </w:rPr>
        <w:t>future </w:t>
      </w:r>
      <w:r>
        <w:rPr/>
        <w:t>land</w:t>
      </w:r>
      <w:r>
        <w:rPr>
          <w:spacing w:val="-38"/>
        </w:rPr>
        <w:t> </w:t>
      </w:r>
      <w:r>
        <w:rPr/>
        <w:t>use.</w:t>
      </w:r>
    </w:p>
    <w:p>
      <w:pPr>
        <w:pStyle w:val="BodyText"/>
        <w:rPr>
          <w:sz w:val="25"/>
        </w:rPr>
      </w:pPr>
    </w:p>
    <w:p>
      <w:pPr>
        <w:pStyle w:val="Heading6"/>
        <w:ind w:left="432"/>
      </w:pPr>
      <w:r>
        <w:rPr/>
        <w:t>Contingent</w:t>
      </w:r>
      <w:r>
        <w:rPr>
          <w:spacing w:val="-1"/>
        </w:rPr>
        <w:t> </w:t>
      </w:r>
      <w:r>
        <w:rPr/>
        <w:t>assets</w:t>
      </w:r>
    </w:p>
    <w:p>
      <w:pPr>
        <w:pStyle w:val="BodyText"/>
        <w:spacing w:line="249" w:lineRule="auto" w:before="11"/>
        <w:ind w:left="432" w:right="1181"/>
      </w:pPr>
      <w:r>
        <w:rPr/>
        <w:t>The</w:t>
      </w:r>
      <w:r>
        <w:rPr>
          <w:spacing w:val="-20"/>
        </w:rPr>
        <w:t> </w:t>
      </w:r>
      <w:r>
        <w:rPr/>
        <w:t>following</w:t>
      </w:r>
      <w:r>
        <w:rPr>
          <w:spacing w:val="-20"/>
        </w:rPr>
        <w:t> </w:t>
      </w:r>
      <w:r>
        <w:rPr/>
        <w:t>contingent</w:t>
      </w:r>
      <w:r>
        <w:rPr>
          <w:spacing w:val="-19"/>
        </w:rPr>
        <w:t> </w:t>
      </w:r>
      <w:r>
        <w:rPr/>
        <w:t>assets</w:t>
      </w:r>
      <w:r>
        <w:rPr>
          <w:spacing w:val="-20"/>
        </w:rPr>
        <w:t> </w:t>
      </w:r>
      <w:r>
        <w:rPr/>
        <w:t>are</w:t>
      </w:r>
      <w:r>
        <w:rPr>
          <w:spacing w:val="-19"/>
        </w:rPr>
        <w:t> </w:t>
      </w:r>
      <w:r>
        <w:rPr/>
        <w:t>additional</w:t>
      </w:r>
      <w:r>
        <w:rPr>
          <w:spacing w:val="-20"/>
        </w:rPr>
        <w:t> </w:t>
      </w:r>
      <w:r>
        <w:rPr/>
        <w:t>to</w:t>
      </w:r>
      <w:r>
        <w:rPr>
          <w:spacing w:val="-19"/>
        </w:rPr>
        <w:t> </w:t>
      </w:r>
      <w:r>
        <w:rPr/>
        <w:t>the</w:t>
      </w:r>
      <w:r>
        <w:rPr>
          <w:spacing w:val="-20"/>
        </w:rPr>
        <w:t> </w:t>
      </w:r>
      <w:r>
        <w:rPr/>
        <w:t>assets</w:t>
      </w:r>
      <w:r>
        <w:rPr>
          <w:spacing w:val="-19"/>
        </w:rPr>
        <w:t> </w:t>
      </w:r>
      <w:r>
        <w:rPr/>
        <w:t>included</w:t>
      </w:r>
      <w:r>
        <w:rPr>
          <w:spacing w:val="-20"/>
        </w:rPr>
        <w:t> </w:t>
      </w:r>
      <w:r>
        <w:rPr/>
        <w:t>in</w:t>
      </w:r>
      <w:r>
        <w:rPr>
          <w:spacing w:val="-19"/>
        </w:rPr>
        <w:t> </w:t>
      </w:r>
      <w:r>
        <w:rPr>
          <w:spacing w:val="-6"/>
        </w:rPr>
        <w:t>the </w:t>
      </w:r>
      <w:r>
        <w:rPr/>
        <w:t>financial</w:t>
      </w:r>
      <w:r>
        <w:rPr>
          <w:spacing w:val="-1"/>
        </w:rPr>
        <w:t> </w:t>
      </w:r>
      <w:r>
        <w:rPr/>
        <w:t>statements.</w:t>
      </w:r>
    </w:p>
    <w:p>
      <w:pPr>
        <w:pStyle w:val="BodyText"/>
        <w:spacing w:before="4"/>
        <w:rPr>
          <w:sz w:val="7"/>
        </w:rPr>
      </w:pPr>
    </w:p>
    <w:p>
      <w:pPr>
        <w:pStyle w:val="BodyText"/>
        <w:ind w:left="427"/>
        <w:rPr>
          <w:sz w:val="20"/>
        </w:rPr>
      </w:pPr>
      <w:r>
        <w:rPr>
          <w:sz w:val="20"/>
        </w:rPr>
        <w:pict>
          <v:group style="width:369.95pt;height:46.2pt;mso-position-horizontal-relative:char;mso-position-vertical-relative:line" coordorigin="0,0" coordsize="7399,924">
            <v:rect style="position:absolute;left:0;top:5;width:5131;height:592" filled="true" fillcolor="#783a79" stroked="false">
              <v:fill type="solid"/>
            </v:rect>
            <v:rect style="position:absolute;left:5130;top:5;width:1134;height:592" filled="true" fillcolor="#783a79" stroked="false">
              <v:fill type="solid"/>
            </v:rect>
            <v:rect style="position:absolute;left:6264;top:5;width:1134;height:592" filled="true" fillcolor="#783a79" stroked="false">
              <v:fill type="solid"/>
            </v:rect>
            <v:rect style="position:absolute;left:0;top:596;width:5131;height:328" filled="true" fillcolor="#f4f4f4" stroked="false">
              <v:fill type="solid"/>
            </v:rect>
            <v:rect style="position:absolute;left:5130;top:596;width:1134;height:328" filled="true" fillcolor="#f4f4f4" stroked="false">
              <v:fill type="solid"/>
            </v:rect>
            <v:rect style="position:absolute;left:6264;top:596;width:1134;height:328" filled="true" fillcolor="#f4f4f4" stroked="false">
              <v:fill type="solid"/>
            </v:rect>
            <v:line style="position:absolute" from="5131,591" to="5131,10" stroked="true" strokeweight="1pt" strokecolor="#783a79">
              <v:stroke dashstyle="solid"/>
            </v:line>
            <v:line style="position:absolute" from="6265,591" to="6265,10" stroked="true" strokeweight="1pt" strokecolor="#783a79">
              <v:stroke dashstyle="solid"/>
            </v:line>
            <v:line style="position:absolute" from="0,5" to="5131,5" stroked="true" strokeweight=".5pt" strokecolor="#783a79">
              <v:stroke dashstyle="solid"/>
            </v:line>
            <v:line style="position:absolute" from="5131,5" to="6265,5" stroked="true" strokeweight=".5pt" strokecolor="#783a79">
              <v:stroke dashstyle="solid"/>
            </v:line>
            <v:line style="position:absolute" from="6265,5" to="7398,5" stroked="true" strokeweight=".5pt" strokecolor="#783a79">
              <v:stroke dashstyle="solid"/>
            </v:line>
            <v:line style="position:absolute" from="0,596" to="5131,596" stroked="true" strokeweight=".5pt" strokecolor="#783a79">
              <v:stroke dashstyle="solid"/>
            </v:line>
            <v:line style="position:absolute" from="5131,596" to="6265,596" stroked="true" strokeweight=".5pt" strokecolor="#783a79">
              <v:stroke dashstyle="solid"/>
            </v:line>
            <v:line style="position:absolute" from="6265,596" to="7398,596" stroked="true" strokeweight=".5pt" strokecolor="#783a79">
              <v:stroke dashstyle="solid"/>
            </v:line>
            <v:shape style="position:absolute;left:6612;top:625;width:693;height:260" type="#_x0000_t202" filled="false" stroked="false">
              <v:textbox inset="0,0,0,0">
                <w:txbxContent>
                  <w:p>
                    <w:pPr>
                      <w:spacing w:before="6"/>
                      <w:ind w:left="0" w:right="0" w:firstLine="0"/>
                      <w:jc w:val="left"/>
                      <w:rPr>
                        <w:sz w:val="22"/>
                      </w:rPr>
                    </w:pPr>
                    <w:r>
                      <w:rPr>
                        <w:sz w:val="22"/>
                      </w:rPr>
                      <w:t>21,267</w:t>
                    </w:r>
                  </w:p>
                </w:txbxContent>
              </v:textbox>
              <w10:wrap type="none"/>
            </v:shape>
            <v:shape style="position:absolute;left:6070;top:625;width:102;height:260" type="#_x0000_t202" filled="false" stroked="false">
              <v:textbox inset="0,0,0,0">
                <w:txbxContent>
                  <w:p>
                    <w:pPr>
                      <w:spacing w:before="6"/>
                      <w:ind w:left="0" w:right="0" w:firstLine="0"/>
                      <w:jc w:val="left"/>
                      <w:rPr>
                        <w:sz w:val="22"/>
                      </w:rPr>
                    </w:pPr>
                    <w:r>
                      <w:rPr>
                        <w:w w:val="111"/>
                        <w:sz w:val="22"/>
                      </w:rPr>
                      <w:t>-</w:t>
                    </w:r>
                  </w:p>
                </w:txbxContent>
              </v:textbox>
              <w10:wrap type="none"/>
            </v:shape>
            <v:shape style="position:absolute;left:113;top:625;width:1976;height:260" type="#_x0000_t202" filled="false" stroked="false">
              <v:textbox inset="0,0,0,0">
                <w:txbxContent>
                  <w:p>
                    <w:pPr>
                      <w:spacing w:before="6"/>
                      <w:ind w:left="0" w:right="0" w:firstLine="0"/>
                      <w:jc w:val="left"/>
                      <w:rPr>
                        <w:sz w:val="22"/>
                      </w:rPr>
                    </w:pPr>
                    <w:r>
                      <w:rPr>
                        <w:sz w:val="22"/>
                      </w:rPr>
                      <w:t>Litigation</w:t>
                    </w:r>
                    <w:r>
                      <w:rPr>
                        <w:spacing w:val="-32"/>
                        <w:sz w:val="22"/>
                      </w:rPr>
                      <w:t> </w:t>
                    </w:r>
                    <w:r>
                      <w:rPr>
                        <w:sz w:val="22"/>
                      </w:rPr>
                      <w:t>in</w:t>
                    </w:r>
                    <w:r>
                      <w:rPr>
                        <w:spacing w:val="-32"/>
                        <w:sz w:val="22"/>
                      </w:rPr>
                      <w:t> </w:t>
                    </w:r>
                    <w:r>
                      <w:rPr>
                        <w:sz w:val="22"/>
                      </w:rPr>
                      <w:t>progress</w:t>
                    </w:r>
                  </w:p>
                </w:txbxContent>
              </v:textbox>
              <w10:wrap type="none"/>
            </v:shape>
            <v:shape style="position:absolute;left:6795;top:32;width:510;height:527" type="#_x0000_t202" filled="false" stroked="false">
              <v:textbox inset="0,0,0,0">
                <w:txbxContent>
                  <w:p>
                    <w:pPr>
                      <w:spacing w:before="8"/>
                      <w:ind w:left="0" w:right="0" w:firstLine="0"/>
                      <w:jc w:val="left"/>
                      <w:rPr>
                        <w:b/>
                        <w:sz w:val="22"/>
                      </w:rPr>
                    </w:pPr>
                    <w:r>
                      <w:rPr>
                        <w:b/>
                        <w:color w:val="FFFFFF"/>
                        <w:sz w:val="22"/>
                      </w:rPr>
                      <w:t>2016</w:t>
                    </w:r>
                  </w:p>
                  <w:p>
                    <w:pPr>
                      <w:spacing w:before="11"/>
                      <w:ind w:left="0" w:right="0" w:firstLine="0"/>
                      <w:jc w:val="left"/>
                      <w:rPr>
                        <w:b/>
                        <w:sz w:val="22"/>
                      </w:rPr>
                    </w:pPr>
                    <w:r>
                      <w:rPr>
                        <w:b/>
                        <w:color w:val="FFFFFF"/>
                        <w:sz w:val="22"/>
                      </w:rPr>
                      <w:t>$000</w:t>
                    </w:r>
                  </w:p>
                </w:txbxContent>
              </v:textbox>
              <w10:wrap type="none"/>
            </v:shape>
            <v:shape style="position:absolute;left:5661;top:32;width:510;height:527" type="#_x0000_t202" filled="false" stroked="false">
              <v:textbox inset="0,0,0,0">
                <w:txbxContent>
                  <w:p>
                    <w:pPr>
                      <w:spacing w:before="8"/>
                      <w:ind w:left="0" w:right="0" w:firstLine="0"/>
                      <w:jc w:val="left"/>
                      <w:rPr>
                        <w:b/>
                        <w:sz w:val="22"/>
                      </w:rPr>
                    </w:pPr>
                    <w:r>
                      <w:rPr>
                        <w:b/>
                        <w:color w:val="FFFFFF"/>
                        <w:sz w:val="22"/>
                      </w:rPr>
                      <w:t>2017</w:t>
                    </w:r>
                  </w:p>
                  <w:p>
                    <w:pPr>
                      <w:spacing w:before="11"/>
                      <w:ind w:left="0" w:right="0" w:firstLine="0"/>
                      <w:jc w:val="left"/>
                      <w:rPr>
                        <w:b/>
                        <w:sz w:val="22"/>
                      </w:rPr>
                    </w:pPr>
                    <w:r>
                      <w:rPr>
                        <w:b/>
                        <w:color w:val="FFFFFF"/>
                        <w:sz w:val="22"/>
                      </w:rPr>
                      <w:t>$000</w:t>
                    </w:r>
                  </w:p>
                </w:txbxContent>
              </v:textbox>
              <w10:wrap type="none"/>
            </v:shape>
          </v:group>
        </w:pict>
      </w:r>
      <w:r>
        <w:rPr>
          <w:sz w:val="20"/>
        </w:rPr>
      </w:r>
    </w:p>
    <w:p>
      <w:pPr>
        <w:pStyle w:val="BodyText"/>
        <w:spacing w:before="3"/>
        <w:rPr>
          <w:sz w:val="26"/>
        </w:rPr>
      </w:pPr>
    </w:p>
    <w:p>
      <w:pPr>
        <w:pStyle w:val="BodyText"/>
        <w:ind w:left="432"/>
      </w:pPr>
      <w:r>
        <w:rPr/>
        <w:t>Contingent assets are mainly attributable to disputes concerning the</w:t>
      </w:r>
    </w:p>
    <w:p>
      <w:pPr>
        <w:spacing w:before="11"/>
        <w:ind w:left="432" w:right="0" w:firstLine="0"/>
        <w:jc w:val="left"/>
        <w:rPr>
          <w:sz w:val="22"/>
        </w:rPr>
      </w:pPr>
      <w:r>
        <w:rPr>
          <w:i/>
          <w:sz w:val="22"/>
        </w:rPr>
        <w:t>Construction Contract Act 2004</w:t>
      </w:r>
      <w:r>
        <w:rPr>
          <w:sz w:val="22"/>
        </w:rPr>
        <w:t>.</w:t>
      </w:r>
    </w:p>
    <w:p>
      <w:pPr>
        <w:spacing w:after="0"/>
        <w:jc w:val="left"/>
        <w:rPr>
          <w:sz w:val="22"/>
        </w:rPr>
        <w:sectPr>
          <w:type w:val="continuous"/>
          <w:pgSz w:w="16840" w:h="11910" w:orient="landscape"/>
          <w:pgMar w:top="0" w:bottom="0" w:left="0" w:right="0"/>
          <w:cols w:num="2" w:equalWidth="0">
            <w:col w:w="8159" w:space="40"/>
            <w:col w:w="8641"/>
          </w:cols>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21064"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21184"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21208"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10"/>
        <w:rPr>
          <w:sz w:val="12"/>
        </w:rPr>
      </w:pPr>
    </w:p>
    <w:p>
      <w:pPr>
        <w:spacing w:after="0"/>
        <w:rPr>
          <w:sz w:val="12"/>
        </w:rPr>
        <w:sectPr>
          <w:footerReference w:type="default" r:id="rId221"/>
          <w:pgSz w:w="16840" w:h="11910" w:orient="landscape"/>
          <w:pgMar w:footer="448" w:header="0" w:top="0" w:bottom="640" w:left="0" w:right="0"/>
        </w:sectPr>
      </w:pPr>
    </w:p>
    <w:p>
      <w:pPr>
        <w:pStyle w:val="Heading5"/>
      </w:pPr>
      <w:r>
        <w:rPr>
          <w:color w:val="6F2770"/>
        </w:rPr>
        <w:t>Note 38. Related bodies and affiliated</w:t>
      </w:r>
      <w:r>
        <w:rPr>
          <w:color w:val="6F2770"/>
          <w:spacing w:val="-61"/>
        </w:rPr>
        <w:t> </w:t>
      </w:r>
      <w:r>
        <w:rPr>
          <w:color w:val="6F2770"/>
        </w:rPr>
        <w:t>bodies</w:t>
      </w:r>
    </w:p>
    <w:p>
      <w:pPr>
        <w:pStyle w:val="BodyText"/>
        <w:spacing w:before="254"/>
        <w:ind w:left="765"/>
      </w:pPr>
      <w:r>
        <w:rPr/>
        <w:t>The Department has no related bodies or affiliated bodies.</w:t>
      </w:r>
    </w:p>
    <w:p>
      <w:pPr>
        <w:pStyle w:val="BodyText"/>
        <w:spacing w:before="7"/>
        <w:rPr>
          <w:sz w:val="24"/>
        </w:rPr>
      </w:pPr>
    </w:p>
    <w:p>
      <w:pPr>
        <w:pStyle w:val="Heading5"/>
        <w:spacing w:line="235" w:lineRule="auto" w:before="0"/>
        <w:ind w:right="1027"/>
      </w:pPr>
      <w:r>
        <w:rPr>
          <w:color w:val="6F2770"/>
        </w:rPr>
        <w:t>Note</w:t>
      </w:r>
      <w:r>
        <w:rPr>
          <w:color w:val="6F2770"/>
          <w:spacing w:val="-20"/>
        </w:rPr>
        <w:t> </w:t>
      </w:r>
      <w:r>
        <w:rPr>
          <w:color w:val="6F2770"/>
        </w:rPr>
        <w:t>39.</w:t>
      </w:r>
      <w:r>
        <w:rPr>
          <w:color w:val="6F2770"/>
          <w:spacing w:val="-19"/>
        </w:rPr>
        <w:t> </w:t>
      </w:r>
      <w:r>
        <w:rPr>
          <w:color w:val="6F2770"/>
        </w:rPr>
        <w:t>Events</w:t>
      </w:r>
      <w:r>
        <w:rPr>
          <w:color w:val="6F2770"/>
          <w:spacing w:val="-20"/>
        </w:rPr>
        <w:t> </w:t>
      </w:r>
      <w:r>
        <w:rPr>
          <w:color w:val="6F2770"/>
        </w:rPr>
        <w:t>occurring</w:t>
      </w:r>
      <w:r>
        <w:rPr>
          <w:color w:val="6F2770"/>
          <w:spacing w:val="-19"/>
        </w:rPr>
        <w:t> </w:t>
      </w:r>
      <w:r>
        <w:rPr>
          <w:color w:val="6F2770"/>
        </w:rPr>
        <w:t>after</w:t>
      </w:r>
      <w:r>
        <w:rPr>
          <w:color w:val="6F2770"/>
          <w:spacing w:val="-20"/>
        </w:rPr>
        <w:t> </w:t>
      </w:r>
      <w:r>
        <w:rPr>
          <w:color w:val="6F2770"/>
        </w:rPr>
        <w:t>the</w:t>
      </w:r>
      <w:r>
        <w:rPr>
          <w:color w:val="6F2770"/>
          <w:spacing w:val="-19"/>
        </w:rPr>
        <w:t> </w:t>
      </w:r>
      <w:r>
        <w:rPr>
          <w:color w:val="6F2770"/>
        </w:rPr>
        <w:t>end</w:t>
      </w:r>
      <w:r>
        <w:rPr>
          <w:color w:val="6F2770"/>
          <w:spacing w:val="-20"/>
        </w:rPr>
        <w:t> </w:t>
      </w:r>
      <w:r>
        <w:rPr>
          <w:color w:val="6F2770"/>
        </w:rPr>
        <w:t>of</w:t>
      </w:r>
      <w:r>
        <w:rPr>
          <w:color w:val="6F2770"/>
          <w:spacing w:val="-19"/>
        </w:rPr>
        <w:t> </w:t>
      </w:r>
      <w:r>
        <w:rPr>
          <w:color w:val="6F2770"/>
          <w:spacing w:val="-6"/>
        </w:rPr>
        <w:t>the </w:t>
      </w:r>
      <w:r>
        <w:rPr>
          <w:color w:val="6F2770"/>
        </w:rPr>
        <w:t>reporting</w:t>
      </w:r>
      <w:r>
        <w:rPr>
          <w:color w:val="6F2770"/>
          <w:spacing w:val="-2"/>
        </w:rPr>
        <w:t> </w:t>
      </w:r>
      <w:r>
        <w:rPr>
          <w:color w:val="6F2770"/>
        </w:rPr>
        <w:t>period</w:t>
      </w:r>
    </w:p>
    <w:p>
      <w:pPr>
        <w:pStyle w:val="BodyText"/>
        <w:spacing w:line="249" w:lineRule="auto" w:before="255"/>
        <w:ind w:left="765" w:right="-8"/>
      </w:pPr>
      <w:r>
        <w:rPr/>
        <w:t>From</w:t>
      </w:r>
      <w:r>
        <w:rPr>
          <w:spacing w:val="-20"/>
        </w:rPr>
        <w:t> </w:t>
      </w:r>
      <w:r>
        <w:rPr/>
        <w:t>1</w:t>
      </w:r>
      <w:r>
        <w:rPr>
          <w:spacing w:val="-19"/>
        </w:rPr>
        <w:t> </w:t>
      </w:r>
      <w:r>
        <w:rPr/>
        <w:t>July</w:t>
      </w:r>
      <w:r>
        <w:rPr>
          <w:spacing w:val="-19"/>
        </w:rPr>
        <w:t> </w:t>
      </w:r>
      <w:r>
        <w:rPr/>
        <w:t>2017</w:t>
      </w:r>
      <w:r>
        <w:rPr>
          <w:spacing w:val="-19"/>
        </w:rPr>
        <w:t> </w:t>
      </w:r>
      <w:r>
        <w:rPr/>
        <w:t>the</w:t>
      </w:r>
      <w:r>
        <w:rPr>
          <w:spacing w:val="-19"/>
        </w:rPr>
        <w:t> </w:t>
      </w:r>
      <w:r>
        <w:rPr/>
        <w:t>Strategic</w:t>
      </w:r>
      <w:r>
        <w:rPr>
          <w:spacing w:val="-19"/>
        </w:rPr>
        <w:t> </w:t>
      </w:r>
      <w:r>
        <w:rPr/>
        <w:t>Project</w:t>
      </w:r>
      <w:r>
        <w:rPr>
          <w:spacing w:val="-19"/>
        </w:rPr>
        <w:t> </w:t>
      </w:r>
      <w:r>
        <w:rPr/>
        <w:t>function</w:t>
      </w:r>
      <w:r>
        <w:rPr>
          <w:spacing w:val="-20"/>
        </w:rPr>
        <w:t> </w:t>
      </w:r>
      <w:r>
        <w:rPr/>
        <w:t>(excluding</w:t>
      </w:r>
      <w:r>
        <w:rPr>
          <w:spacing w:val="-19"/>
        </w:rPr>
        <w:t> </w:t>
      </w:r>
      <w:r>
        <w:rPr/>
        <w:t>Assets</w:t>
      </w:r>
      <w:r>
        <w:rPr>
          <w:spacing w:val="-19"/>
        </w:rPr>
        <w:t> </w:t>
      </w:r>
      <w:r>
        <w:rPr/>
        <w:t>Sales)</w:t>
      </w:r>
      <w:r>
        <w:rPr>
          <w:spacing w:val="-19"/>
        </w:rPr>
        <w:t> </w:t>
      </w:r>
      <w:r>
        <w:rPr/>
        <w:t>will form part of the Department of Finance and from the same date the Public Utilities</w:t>
      </w:r>
      <w:r>
        <w:rPr>
          <w:spacing w:val="-27"/>
        </w:rPr>
        <w:t> </w:t>
      </w:r>
      <w:r>
        <w:rPr/>
        <w:t>Office</w:t>
      </w:r>
      <w:r>
        <w:rPr>
          <w:spacing w:val="-27"/>
        </w:rPr>
        <w:t> </w:t>
      </w:r>
      <w:r>
        <w:rPr/>
        <w:t>and</w:t>
      </w:r>
      <w:r>
        <w:rPr>
          <w:spacing w:val="-26"/>
        </w:rPr>
        <w:t> </w:t>
      </w:r>
      <w:r>
        <w:rPr/>
        <w:t>Economic</w:t>
      </w:r>
      <w:r>
        <w:rPr>
          <w:spacing w:val="-27"/>
        </w:rPr>
        <w:t> </w:t>
      </w:r>
      <w:r>
        <w:rPr/>
        <w:t>Reform</w:t>
      </w:r>
      <w:r>
        <w:rPr>
          <w:spacing w:val="-27"/>
        </w:rPr>
        <w:t> </w:t>
      </w:r>
      <w:r>
        <w:rPr/>
        <w:t>businesss</w:t>
      </w:r>
      <w:r>
        <w:rPr>
          <w:spacing w:val="-26"/>
        </w:rPr>
        <w:t> </w:t>
      </w:r>
      <w:r>
        <w:rPr/>
        <w:t>units</w:t>
      </w:r>
      <w:r>
        <w:rPr>
          <w:spacing w:val="-27"/>
        </w:rPr>
        <w:t> </w:t>
      </w:r>
      <w:r>
        <w:rPr/>
        <w:t>have</w:t>
      </w:r>
      <w:r>
        <w:rPr>
          <w:spacing w:val="-26"/>
        </w:rPr>
        <w:t> </w:t>
      </w:r>
      <w:r>
        <w:rPr/>
        <w:t>been</w:t>
      </w:r>
      <w:r>
        <w:rPr>
          <w:spacing w:val="-27"/>
        </w:rPr>
        <w:t> </w:t>
      </w:r>
      <w:r>
        <w:rPr/>
        <w:t>transferred</w:t>
      </w:r>
      <w:r>
        <w:rPr>
          <w:spacing w:val="-27"/>
        </w:rPr>
        <w:t> </w:t>
      </w:r>
      <w:r>
        <w:rPr>
          <w:spacing w:val="-10"/>
        </w:rPr>
        <w:t>to </w:t>
      </w:r>
      <w:r>
        <w:rPr/>
        <w:t>the Department of</w:t>
      </w:r>
      <w:r>
        <w:rPr>
          <w:spacing w:val="-4"/>
        </w:rPr>
        <w:t> </w:t>
      </w:r>
      <w:r>
        <w:rPr>
          <w:spacing w:val="-6"/>
        </w:rPr>
        <w:t>Treasury.</w:t>
      </w:r>
    </w:p>
    <w:p>
      <w:pPr>
        <w:pStyle w:val="BodyText"/>
        <w:spacing w:before="5"/>
        <w:rPr>
          <w:sz w:val="23"/>
        </w:rPr>
      </w:pPr>
    </w:p>
    <w:p>
      <w:pPr>
        <w:pStyle w:val="Heading5"/>
        <w:spacing w:before="0"/>
      </w:pPr>
      <w:r>
        <w:rPr>
          <w:color w:val="6F2770"/>
        </w:rPr>
        <w:t>Note 40. Financial instruments</w:t>
      </w:r>
    </w:p>
    <w:p>
      <w:pPr>
        <w:pStyle w:val="Heading6"/>
        <w:numPr>
          <w:ilvl w:val="0"/>
          <w:numId w:val="16"/>
        </w:numPr>
        <w:tabs>
          <w:tab w:pos="1084" w:val="left" w:leader="none"/>
        </w:tabs>
        <w:spacing w:line="240" w:lineRule="auto" w:before="254" w:after="0"/>
        <w:ind w:left="1083" w:right="0" w:hanging="318"/>
        <w:jc w:val="left"/>
      </w:pPr>
      <w:r>
        <w:rPr/>
        <w:t>Financial risk management objectives and</w:t>
      </w:r>
      <w:r>
        <w:rPr>
          <w:spacing w:val="-2"/>
        </w:rPr>
        <w:t> </w:t>
      </w:r>
      <w:r>
        <w:rPr/>
        <w:t>policies</w:t>
      </w:r>
    </w:p>
    <w:p>
      <w:pPr>
        <w:pStyle w:val="BodyText"/>
        <w:spacing w:line="249" w:lineRule="auto" w:before="11"/>
        <w:ind w:left="765" w:right="63"/>
      </w:pPr>
      <w:r>
        <w:rPr/>
        <w:t>Financial</w:t>
      </w:r>
      <w:r>
        <w:rPr>
          <w:spacing w:val="-25"/>
        </w:rPr>
        <w:t> </w:t>
      </w:r>
      <w:r>
        <w:rPr/>
        <w:t>instruments</w:t>
      </w:r>
      <w:r>
        <w:rPr>
          <w:spacing w:val="-25"/>
        </w:rPr>
        <w:t> </w:t>
      </w:r>
      <w:r>
        <w:rPr/>
        <w:t>held</w:t>
      </w:r>
      <w:r>
        <w:rPr>
          <w:spacing w:val="-25"/>
        </w:rPr>
        <w:t> </w:t>
      </w:r>
      <w:r>
        <w:rPr/>
        <w:t>by</w:t>
      </w:r>
      <w:r>
        <w:rPr>
          <w:spacing w:val="-25"/>
        </w:rPr>
        <w:t> </w:t>
      </w:r>
      <w:r>
        <w:rPr/>
        <w:t>the</w:t>
      </w:r>
      <w:r>
        <w:rPr>
          <w:spacing w:val="-25"/>
        </w:rPr>
        <w:t> </w:t>
      </w:r>
      <w:r>
        <w:rPr/>
        <w:t>Department</w:t>
      </w:r>
      <w:r>
        <w:rPr>
          <w:spacing w:val="-25"/>
        </w:rPr>
        <w:t> </w:t>
      </w:r>
      <w:r>
        <w:rPr/>
        <w:t>are</w:t>
      </w:r>
      <w:r>
        <w:rPr>
          <w:spacing w:val="-25"/>
        </w:rPr>
        <w:t> </w:t>
      </w:r>
      <w:r>
        <w:rPr/>
        <w:t>cash</w:t>
      </w:r>
      <w:r>
        <w:rPr>
          <w:spacing w:val="-25"/>
        </w:rPr>
        <w:t> </w:t>
      </w:r>
      <w:r>
        <w:rPr/>
        <w:t>and</w:t>
      </w:r>
      <w:r>
        <w:rPr>
          <w:spacing w:val="-24"/>
        </w:rPr>
        <w:t> </w:t>
      </w:r>
      <w:r>
        <w:rPr/>
        <w:t>cash</w:t>
      </w:r>
      <w:r>
        <w:rPr>
          <w:spacing w:val="-25"/>
        </w:rPr>
        <w:t> </w:t>
      </w:r>
      <w:r>
        <w:rPr>
          <w:spacing w:val="-2"/>
        </w:rPr>
        <w:t>equivalents, </w:t>
      </w:r>
      <w:r>
        <w:rPr/>
        <w:t>restricted</w:t>
      </w:r>
      <w:r>
        <w:rPr>
          <w:spacing w:val="-29"/>
        </w:rPr>
        <w:t> </w:t>
      </w:r>
      <w:r>
        <w:rPr/>
        <w:t>cash</w:t>
      </w:r>
      <w:r>
        <w:rPr>
          <w:spacing w:val="-29"/>
        </w:rPr>
        <w:t> </w:t>
      </w:r>
      <w:r>
        <w:rPr/>
        <w:t>and</w:t>
      </w:r>
      <w:r>
        <w:rPr>
          <w:spacing w:val="-29"/>
        </w:rPr>
        <w:t> </w:t>
      </w:r>
      <w:r>
        <w:rPr/>
        <w:t>cash</w:t>
      </w:r>
      <w:r>
        <w:rPr>
          <w:spacing w:val="-29"/>
        </w:rPr>
        <w:t> </w:t>
      </w:r>
      <w:r>
        <w:rPr/>
        <w:t>equivalents,</w:t>
      </w:r>
      <w:r>
        <w:rPr>
          <w:spacing w:val="-29"/>
        </w:rPr>
        <w:t> </w:t>
      </w:r>
      <w:r>
        <w:rPr/>
        <w:t>borrowings,</w:t>
      </w:r>
      <w:r>
        <w:rPr>
          <w:spacing w:val="-29"/>
        </w:rPr>
        <w:t> </w:t>
      </w:r>
      <w:r>
        <w:rPr/>
        <w:t>finance</w:t>
      </w:r>
      <w:r>
        <w:rPr>
          <w:spacing w:val="-29"/>
        </w:rPr>
        <w:t> </w:t>
      </w:r>
      <w:r>
        <w:rPr/>
        <w:t>leases,</w:t>
      </w:r>
      <w:r>
        <w:rPr>
          <w:spacing w:val="-29"/>
        </w:rPr>
        <w:t> </w:t>
      </w:r>
      <w:r>
        <w:rPr>
          <w:spacing w:val="-5"/>
        </w:rPr>
        <w:t>Treasurer’s </w:t>
      </w:r>
      <w:r>
        <w:rPr/>
        <w:t>advances,</w:t>
      </w:r>
      <w:r>
        <w:rPr>
          <w:spacing w:val="-24"/>
        </w:rPr>
        <w:t> </w:t>
      </w:r>
      <w:r>
        <w:rPr/>
        <w:t>loans</w:t>
      </w:r>
      <w:r>
        <w:rPr>
          <w:spacing w:val="-24"/>
        </w:rPr>
        <w:t> </w:t>
      </w:r>
      <w:r>
        <w:rPr/>
        <w:t>and</w:t>
      </w:r>
      <w:r>
        <w:rPr>
          <w:spacing w:val="-24"/>
        </w:rPr>
        <w:t> </w:t>
      </w:r>
      <w:r>
        <w:rPr/>
        <w:t>receivables</w:t>
      </w:r>
      <w:r>
        <w:rPr>
          <w:spacing w:val="-23"/>
        </w:rPr>
        <w:t> </w:t>
      </w:r>
      <w:r>
        <w:rPr/>
        <w:t>and</w:t>
      </w:r>
      <w:r>
        <w:rPr>
          <w:spacing w:val="-24"/>
        </w:rPr>
        <w:t> </w:t>
      </w:r>
      <w:r>
        <w:rPr/>
        <w:t>payables.</w:t>
      </w:r>
      <w:r>
        <w:rPr>
          <w:spacing w:val="-24"/>
        </w:rPr>
        <w:t> </w:t>
      </w:r>
      <w:r>
        <w:rPr/>
        <w:t>The</w:t>
      </w:r>
      <w:r>
        <w:rPr>
          <w:spacing w:val="-23"/>
        </w:rPr>
        <w:t> </w:t>
      </w:r>
      <w:r>
        <w:rPr/>
        <w:t>Department</w:t>
      </w:r>
      <w:r>
        <w:rPr>
          <w:spacing w:val="-24"/>
        </w:rPr>
        <w:t> </w:t>
      </w:r>
      <w:r>
        <w:rPr/>
        <w:t>has</w:t>
      </w:r>
      <w:r>
        <w:rPr>
          <w:spacing w:val="-24"/>
        </w:rPr>
        <w:t> </w:t>
      </w:r>
      <w:r>
        <w:rPr/>
        <w:t>limited exposure to financial risks. The </w:t>
      </w:r>
      <w:r>
        <w:rPr>
          <w:spacing w:val="-3"/>
        </w:rPr>
        <w:t>Department’s </w:t>
      </w:r>
      <w:r>
        <w:rPr/>
        <w:t>overall risk management program focuses on managing the following</w:t>
      </w:r>
      <w:r>
        <w:rPr>
          <w:spacing w:val="-17"/>
        </w:rPr>
        <w:t> </w:t>
      </w:r>
      <w:r>
        <w:rPr/>
        <w:t>risks.</w:t>
      </w:r>
    </w:p>
    <w:p>
      <w:pPr>
        <w:pStyle w:val="BodyText"/>
        <w:spacing w:before="4"/>
        <w:rPr>
          <w:sz w:val="23"/>
        </w:rPr>
      </w:pPr>
    </w:p>
    <w:p>
      <w:pPr>
        <w:spacing w:before="0"/>
        <w:ind w:left="765" w:right="0" w:firstLine="0"/>
        <w:jc w:val="left"/>
        <w:rPr>
          <w:i/>
          <w:sz w:val="22"/>
        </w:rPr>
      </w:pPr>
      <w:r>
        <w:rPr>
          <w:i/>
          <w:sz w:val="22"/>
        </w:rPr>
        <w:t>Credit risk</w:t>
      </w:r>
    </w:p>
    <w:p>
      <w:pPr>
        <w:pStyle w:val="BodyText"/>
        <w:spacing w:line="249" w:lineRule="auto" w:before="11"/>
        <w:ind w:left="765" w:right="64"/>
      </w:pPr>
      <w:r>
        <w:rPr/>
        <w:t>Credit</w:t>
      </w:r>
      <w:r>
        <w:rPr>
          <w:spacing w:val="-21"/>
        </w:rPr>
        <w:t> </w:t>
      </w:r>
      <w:r>
        <w:rPr/>
        <w:t>risk</w:t>
      </w:r>
      <w:r>
        <w:rPr>
          <w:spacing w:val="-21"/>
        </w:rPr>
        <w:t> </w:t>
      </w:r>
      <w:r>
        <w:rPr/>
        <w:t>arises</w:t>
      </w:r>
      <w:r>
        <w:rPr>
          <w:spacing w:val="-21"/>
        </w:rPr>
        <w:t> </w:t>
      </w:r>
      <w:r>
        <w:rPr/>
        <w:t>when</w:t>
      </w:r>
      <w:r>
        <w:rPr>
          <w:spacing w:val="-21"/>
        </w:rPr>
        <w:t> </w:t>
      </w:r>
      <w:r>
        <w:rPr/>
        <w:t>there</w:t>
      </w:r>
      <w:r>
        <w:rPr>
          <w:spacing w:val="-20"/>
        </w:rPr>
        <w:t> </w:t>
      </w:r>
      <w:r>
        <w:rPr/>
        <w:t>is</w:t>
      </w:r>
      <w:r>
        <w:rPr>
          <w:spacing w:val="-21"/>
        </w:rPr>
        <w:t> </w:t>
      </w:r>
      <w:r>
        <w:rPr/>
        <w:t>the</w:t>
      </w:r>
      <w:r>
        <w:rPr>
          <w:spacing w:val="-21"/>
        </w:rPr>
        <w:t> </w:t>
      </w:r>
      <w:r>
        <w:rPr/>
        <w:t>possibility</w:t>
      </w:r>
      <w:r>
        <w:rPr>
          <w:spacing w:val="-21"/>
        </w:rPr>
        <w:t> </w:t>
      </w:r>
      <w:r>
        <w:rPr/>
        <w:t>of</w:t>
      </w:r>
      <w:r>
        <w:rPr>
          <w:spacing w:val="-21"/>
        </w:rPr>
        <w:t> </w:t>
      </w:r>
      <w:r>
        <w:rPr/>
        <w:t>the</w:t>
      </w:r>
      <w:r>
        <w:rPr>
          <w:spacing w:val="-20"/>
        </w:rPr>
        <w:t> </w:t>
      </w:r>
      <w:r>
        <w:rPr>
          <w:spacing w:val="-3"/>
        </w:rPr>
        <w:t>Department’s</w:t>
      </w:r>
      <w:r>
        <w:rPr>
          <w:spacing w:val="-21"/>
        </w:rPr>
        <w:t> </w:t>
      </w:r>
      <w:r>
        <w:rPr>
          <w:spacing w:val="-3"/>
        </w:rPr>
        <w:t>receivables </w:t>
      </w:r>
      <w:r>
        <w:rPr/>
        <w:t>defaulting on their contractual obligations resulting in financial loss to the Department.</w:t>
      </w:r>
    </w:p>
    <w:p>
      <w:pPr>
        <w:pStyle w:val="BodyText"/>
        <w:spacing w:line="249" w:lineRule="auto" w:before="131"/>
        <w:ind w:left="495" w:right="1087"/>
      </w:pPr>
      <w:r>
        <w:rPr/>
        <w:br w:type="column"/>
      </w:r>
      <w:r>
        <w:rPr/>
        <w:t>The maximum exposure to credit risk at the end of the reporting period in relation to each class of recognised financial assets is the gross carrying amount</w:t>
      </w:r>
      <w:r>
        <w:rPr>
          <w:spacing w:val="-20"/>
        </w:rPr>
        <w:t> </w:t>
      </w:r>
      <w:r>
        <w:rPr/>
        <w:t>of</w:t>
      </w:r>
      <w:r>
        <w:rPr>
          <w:spacing w:val="-20"/>
        </w:rPr>
        <w:t> </w:t>
      </w:r>
      <w:r>
        <w:rPr/>
        <w:t>those</w:t>
      </w:r>
      <w:r>
        <w:rPr>
          <w:spacing w:val="-19"/>
        </w:rPr>
        <w:t> </w:t>
      </w:r>
      <w:r>
        <w:rPr/>
        <w:t>assets</w:t>
      </w:r>
      <w:r>
        <w:rPr>
          <w:spacing w:val="-20"/>
        </w:rPr>
        <w:t> </w:t>
      </w:r>
      <w:r>
        <w:rPr/>
        <w:t>inclusive</w:t>
      </w:r>
      <w:r>
        <w:rPr>
          <w:spacing w:val="-20"/>
        </w:rPr>
        <w:t> </w:t>
      </w:r>
      <w:r>
        <w:rPr/>
        <w:t>of</w:t>
      </w:r>
      <w:r>
        <w:rPr>
          <w:spacing w:val="-19"/>
        </w:rPr>
        <w:t> </w:t>
      </w:r>
      <w:r>
        <w:rPr/>
        <w:t>any</w:t>
      </w:r>
      <w:r>
        <w:rPr>
          <w:spacing w:val="-20"/>
        </w:rPr>
        <w:t> </w:t>
      </w:r>
      <w:r>
        <w:rPr/>
        <w:t>allowance</w:t>
      </w:r>
      <w:r>
        <w:rPr>
          <w:spacing w:val="-20"/>
        </w:rPr>
        <w:t> </w:t>
      </w:r>
      <w:r>
        <w:rPr/>
        <w:t>for</w:t>
      </w:r>
      <w:r>
        <w:rPr>
          <w:spacing w:val="-19"/>
        </w:rPr>
        <w:t> </w:t>
      </w:r>
      <w:r>
        <w:rPr/>
        <w:t>impairment</w:t>
      </w:r>
      <w:r>
        <w:rPr>
          <w:spacing w:val="-20"/>
        </w:rPr>
        <w:t> </w:t>
      </w:r>
      <w:r>
        <w:rPr/>
        <w:t>as</w:t>
      </w:r>
      <w:r>
        <w:rPr>
          <w:spacing w:val="-19"/>
        </w:rPr>
        <w:t> </w:t>
      </w:r>
      <w:r>
        <w:rPr>
          <w:spacing w:val="-4"/>
        </w:rPr>
        <w:t>shown </w:t>
      </w:r>
      <w:r>
        <w:rPr/>
        <w:t>in the table at Note 40(c) ‘Financial instrument disclosures’ and Note 20 ‘Receivables’.</w:t>
      </w:r>
    </w:p>
    <w:p>
      <w:pPr>
        <w:pStyle w:val="BodyText"/>
        <w:spacing w:before="4"/>
        <w:rPr>
          <w:sz w:val="23"/>
        </w:rPr>
      </w:pPr>
    </w:p>
    <w:p>
      <w:pPr>
        <w:pStyle w:val="BodyText"/>
        <w:spacing w:line="249" w:lineRule="auto"/>
        <w:ind w:left="495" w:right="851"/>
      </w:pPr>
      <w:r>
        <w:rPr/>
        <w:t>Credit risk associated with the </w:t>
      </w:r>
      <w:r>
        <w:rPr>
          <w:spacing w:val="-3"/>
        </w:rPr>
        <w:t>Department’s </w:t>
      </w:r>
      <w:r>
        <w:rPr/>
        <w:t>financial assets is minimal because the main receivable is the amount receivable for services (holding account).</w:t>
      </w:r>
      <w:r>
        <w:rPr>
          <w:spacing w:val="-24"/>
        </w:rPr>
        <w:t> </w:t>
      </w:r>
      <w:r>
        <w:rPr/>
        <w:t>For</w:t>
      </w:r>
      <w:r>
        <w:rPr>
          <w:spacing w:val="-23"/>
        </w:rPr>
        <w:t> </w:t>
      </w:r>
      <w:r>
        <w:rPr/>
        <w:t>receivables</w:t>
      </w:r>
      <w:r>
        <w:rPr>
          <w:spacing w:val="-23"/>
        </w:rPr>
        <w:t> </w:t>
      </w:r>
      <w:r>
        <w:rPr/>
        <w:t>other</w:t>
      </w:r>
      <w:r>
        <w:rPr>
          <w:spacing w:val="-23"/>
        </w:rPr>
        <w:t> </w:t>
      </w:r>
      <w:r>
        <w:rPr/>
        <w:t>than</w:t>
      </w:r>
      <w:r>
        <w:rPr>
          <w:spacing w:val="-23"/>
        </w:rPr>
        <w:t> </w:t>
      </w:r>
      <w:r>
        <w:rPr/>
        <w:t>government,</w:t>
      </w:r>
      <w:r>
        <w:rPr>
          <w:spacing w:val="-23"/>
        </w:rPr>
        <w:t> </w:t>
      </w:r>
      <w:r>
        <w:rPr/>
        <w:t>the</w:t>
      </w:r>
      <w:r>
        <w:rPr>
          <w:spacing w:val="-24"/>
        </w:rPr>
        <w:t> </w:t>
      </w:r>
      <w:r>
        <w:rPr/>
        <w:t>Department</w:t>
      </w:r>
      <w:r>
        <w:rPr>
          <w:spacing w:val="-23"/>
        </w:rPr>
        <w:t> </w:t>
      </w:r>
      <w:r>
        <w:rPr/>
        <w:t>trades</w:t>
      </w:r>
      <w:r>
        <w:rPr>
          <w:spacing w:val="-23"/>
        </w:rPr>
        <w:t> </w:t>
      </w:r>
      <w:r>
        <w:rPr/>
        <w:t>only with recognised, creditworthy third parties. The Department has policies in place to ensure that sales of products and services are made to customers with an appropriate credit </w:t>
      </w:r>
      <w:r>
        <w:rPr>
          <w:spacing w:val="-3"/>
        </w:rPr>
        <w:t>history. </w:t>
      </w:r>
      <w:r>
        <w:rPr/>
        <w:t>In addition, receivable balances are monitored</w:t>
      </w:r>
      <w:r>
        <w:rPr>
          <w:spacing w:val="-15"/>
        </w:rPr>
        <w:t> </w:t>
      </w:r>
      <w:r>
        <w:rPr/>
        <w:t>on</w:t>
      </w:r>
      <w:r>
        <w:rPr>
          <w:spacing w:val="-15"/>
        </w:rPr>
        <w:t> </w:t>
      </w:r>
      <w:r>
        <w:rPr/>
        <w:t>an</w:t>
      </w:r>
      <w:r>
        <w:rPr>
          <w:spacing w:val="-14"/>
        </w:rPr>
        <w:t> </w:t>
      </w:r>
      <w:r>
        <w:rPr/>
        <w:t>ongoing</w:t>
      </w:r>
      <w:r>
        <w:rPr>
          <w:spacing w:val="-15"/>
        </w:rPr>
        <w:t> </w:t>
      </w:r>
      <w:r>
        <w:rPr/>
        <w:t>basis</w:t>
      </w:r>
      <w:r>
        <w:rPr>
          <w:spacing w:val="-14"/>
        </w:rPr>
        <w:t> </w:t>
      </w:r>
      <w:r>
        <w:rPr/>
        <w:t>with</w:t>
      </w:r>
      <w:r>
        <w:rPr>
          <w:spacing w:val="-15"/>
        </w:rPr>
        <w:t> </w:t>
      </w:r>
      <w:r>
        <w:rPr/>
        <w:t>the</w:t>
      </w:r>
      <w:r>
        <w:rPr>
          <w:spacing w:val="-14"/>
        </w:rPr>
        <w:t> </w:t>
      </w:r>
      <w:r>
        <w:rPr/>
        <w:t>result</w:t>
      </w:r>
      <w:r>
        <w:rPr>
          <w:spacing w:val="-15"/>
        </w:rPr>
        <w:t> </w:t>
      </w:r>
      <w:r>
        <w:rPr/>
        <w:t>that</w:t>
      </w:r>
      <w:r>
        <w:rPr>
          <w:spacing w:val="-14"/>
        </w:rPr>
        <w:t> </w:t>
      </w:r>
      <w:r>
        <w:rPr/>
        <w:t>the</w:t>
      </w:r>
      <w:r>
        <w:rPr>
          <w:spacing w:val="-15"/>
        </w:rPr>
        <w:t> </w:t>
      </w:r>
      <w:r>
        <w:rPr>
          <w:spacing w:val="-3"/>
        </w:rPr>
        <w:t>Department’s</w:t>
      </w:r>
      <w:r>
        <w:rPr>
          <w:spacing w:val="-14"/>
        </w:rPr>
        <w:t> </w:t>
      </w:r>
      <w:r>
        <w:rPr>
          <w:spacing w:val="-3"/>
        </w:rPr>
        <w:t>exposure </w:t>
      </w:r>
      <w:r>
        <w:rPr/>
        <w:t>to bad debts is minimal. At the end of the reporting period there were no significant concentrations of credit</w:t>
      </w:r>
      <w:r>
        <w:rPr>
          <w:spacing w:val="-7"/>
        </w:rPr>
        <w:t> </w:t>
      </w:r>
      <w:r>
        <w:rPr/>
        <w:t>risk.</w:t>
      </w:r>
    </w:p>
    <w:p>
      <w:pPr>
        <w:pStyle w:val="BodyText"/>
        <w:spacing w:before="8"/>
        <w:rPr>
          <w:sz w:val="23"/>
        </w:rPr>
      </w:pPr>
    </w:p>
    <w:p>
      <w:pPr>
        <w:spacing w:before="0"/>
        <w:ind w:left="495" w:right="0" w:firstLine="0"/>
        <w:jc w:val="left"/>
        <w:rPr>
          <w:i/>
          <w:sz w:val="22"/>
        </w:rPr>
      </w:pPr>
      <w:r>
        <w:rPr>
          <w:i/>
          <w:sz w:val="22"/>
        </w:rPr>
        <w:t>Liquidity risk</w:t>
      </w:r>
    </w:p>
    <w:p>
      <w:pPr>
        <w:pStyle w:val="BodyText"/>
        <w:spacing w:line="249" w:lineRule="auto" w:before="11"/>
        <w:ind w:left="495" w:right="1528"/>
      </w:pPr>
      <w:r>
        <w:rPr/>
        <w:t>Liquidity</w:t>
      </w:r>
      <w:r>
        <w:rPr>
          <w:spacing w:val="-23"/>
        </w:rPr>
        <w:t> </w:t>
      </w:r>
      <w:r>
        <w:rPr/>
        <w:t>risk</w:t>
      </w:r>
      <w:r>
        <w:rPr>
          <w:spacing w:val="-23"/>
        </w:rPr>
        <w:t> </w:t>
      </w:r>
      <w:r>
        <w:rPr/>
        <w:t>arises</w:t>
      </w:r>
      <w:r>
        <w:rPr>
          <w:spacing w:val="-22"/>
        </w:rPr>
        <w:t> </w:t>
      </w:r>
      <w:r>
        <w:rPr/>
        <w:t>when</w:t>
      </w:r>
      <w:r>
        <w:rPr>
          <w:spacing w:val="-23"/>
        </w:rPr>
        <w:t> </w:t>
      </w:r>
      <w:r>
        <w:rPr/>
        <w:t>the</w:t>
      </w:r>
      <w:r>
        <w:rPr>
          <w:spacing w:val="-22"/>
        </w:rPr>
        <w:t> </w:t>
      </w:r>
      <w:r>
        <w:rPr/>
        <w:t>Department</w:t>
      </w:r>
      <w:r>
        <w:rPr>
          <w:spacing w:val="-23"/>
        </w:rPr>
        <w:t> </w:t>
      </w:r>
      <w:r>
        <w:rPr/>
        <w:t>is</w:t>
      </w:r>
      <w:r>
        <w:rPr>
          <w:spacing w:val="-22"/>
        </w:rPr>
        <w:t> </w:t>
      </w:r>
      <w:r>
        <w:rPr/>
        <w:t>unable</w:t>
      </w:r>
      <w:r>
        <w:rPr>
          <w:spacing w:val="-23"/>
        </w:rPr>
        <w:t> </w:t>
      </w:r>
      <w:r>
        <w:rPr/>
        <w:t>to</w:t>
      </w:r>
      <w:r>
        <w:rPr>
          <w:spacing w:val="-22"/>
        </w:rPr>
        <w:t> </w:t>
      </w:r>
      <w:r>
        <w:rPr/>
        <w:t>meet</w:t>
      </w:r>
      <w:r>
        <w:rPr>
          <w:spacing w:val="-23"/>
        </w:rPr>
        <w:t> </w:t>
      </w:r>
      <w:r>
        <w:rPr/>
        <w:t>its</w:t>
      </w:r>
      <w:r>
        <w:rPr>
          <w:spacing w:val="-22"/>
        </w:rPr>
        <w:t> </w:t>
      </w:r>
      <w:r>
        <w:rPr/>
        <w:t>financial obligations as they fall</w:t>
      </w:r>
      <w:r>
        <w:rPr>
          <w:spacing w:val="-6"/>
        </w:rPr>
        <w:t> </w:t>
      </w:r>
      <w:r>
        <w:rPr/>
        <w:t>due.</w:t>
      </w:r>
    </w:p>
    <w:p>
      <w:pPr>
        <w:pStyle w:val="BodyText"/>
        <w:spacing w:before="1"/>
        <w:rPr>
          <w:sz w:val="23"/>
        </w:rPr>
      </w:pPr>
    </w:p>
    <w:p>
      <w:pPr>
        <w:pStyle w:val="BodyText"/>
        <w:spacing w:line="249" w:lineRule="auto"/>
        <w:ind w:left="495" w:right="1114"/>
      </w:pPr>
      <w:r>
        <w:rPr/>
        <w:t>The</w:t>
      </w:r>
      <w:r>
        <w:rPr>
          <w:spacing w:val="-18"/>
        </w:rPr>
        <w:t> </w:t>
      </w:r>
      <w:r>
        <w:rPr/>
        <w:t>Department</w:t>
      </w:r>
      <w:r>
        <w:rPr>
          <w:spacing w:val="-17"/>
        </w:rPr>
        <w:t> </w:t>
      </w:r>
      <w:r>
        <w:rPr/>
        <w:t>is</w:t>
      </w:r>
      <w:r>
        <w:rPr>
          <w:spacing w:val="-17"/>
        </w:rPr>
        <w:t> </w:t>
      </w:r>
      <w:r>
        <w:rPr/>
        <w:t>exposed</w:t>
      </w:r>
      <w:r>
        <w:rPr>
          <w:spacing w:val="-18"/>
        </w:rPr>
        <w:t> </w:t>
      </w:r>
      <w:r>
        <w:rPr/>
        <w:t>to</w:t>
      </w:r>
      <w:r>
        <w:rPr>
          <w:spacing w:val="-17"/>
        </w:rPr>
        <w:t> </w:t>
      </w:r>
      <w:r>
        <w:rPr/>
        <w:t>liquidity</w:t>
      </w:r>
      <w:r>
        <w:rPr>
          <w:spacing w:val="-17"/>
        </w:rPr>
        <w:t> </w:t>
      </w:r>
      <w:r>
        <w:rPr/>
        <w:t>risk</w:t>
      </w:r>
      <w:r>
        <w:rPr>
          <w:spacing w:val="-17"/>
        </w:rPr>
        <w:t> </w:t>
      </w:r>
      <w:r>
        <w:rPr/>
        <w:t>through</w:t>
      </w:r>
      <w:r>
        <w:rPr>
          <w:spacing w:val="-18"/>
        </w:rPr>
        <w:t> </w:t>
      </w:r>
      <w:r>
        <w:rPr/>
        <w:t>its</w:t>
      </w:r>
      <w:r>
        <w:rPr>
          <w:spacing w:val="-17"/>
        </w:rPr>
        <w:t> </w:t>
      </w:r>
      <w:r>
        <w:rPr/>
        <w:t>trading</w:t>
      </w:r>
      <w:r>
        <w:rPr>
          <w:spacing w:val="-17"/>
        </w:rPr>
        <w:t> </w:t>
      </w:r>
      <w:r>
        <w:rPr/>
        <w:t>in</w:t>
      </w:r>
      <w:r>
        <w:rPr>
          <w:spacing w:val="-17"/>
        </w:rPr>
        <w:t> </w:t>
      </w:r>
      <w:r>
        <w:rPr/>
        <w:t>the</w:t>
      </w:r>
      <w:r>
        <w:rPr>
          <w:spacing w:val="-18"/>
        </w:rPr>
        <w:t> </w:t>
      </w:r>
      <w:r>
        <w:rPr>
          <w:spacing w:val="-3"/>
        </w:rPr>
        <w:t>normal </w:t>
      </w:r>
      <w:r>
        <w:rPr/>
        <w:t>course of</w:t>
      </w:r>
      <w:r>
        <w:rPr>
          <w:spacing w:val="-2"/>
        </w:rPr>
        <w:t> </w:t>
      </w:r>
      <w:r>
        <w:rPr/>
        <w:t>business.</w:t>
      </w:r>
    </w:p>
    <w:p>
      <w:pPr>
        <w:pStyle w:val="BodyText"/>
        <w:spacing w:before="1"/>
        <w:rPr>
          <w:sz w:val="23"/>
        </w:rPr>
      </w:pPr>
    </w:p>
    <w:p>
      <w:pPr>
        <w:pStyle w:val="BodyText"/>
        <w:spacing w:line="249" w:lineRule="auto" w:before="1"/>
        <w:ind w:left="495" w:right="829"/>
      </w:pPr>
      <w:r>
        <w:rPr/>
        <w:t>The</w:t>
      </w:r>
      <w:r>
        <w:rPr>
          <w:spacing w:val="-19"/>
        </w:rPr>
        <w:t> </w:t>
      </w:r>
      <w:r>
        <w:rPr/>
        <w:t>Department</w:t>
      </w:r>
      <w:r>
        <w:rPr>
          <w:spacing w:val="-19"/>
        </w:rPr>
        <w:t> </w:t>
      </w:r>
      <w:r>
        <w:rPr/>
        <w:t>has</w:t>
      </w:r>
      <w:r>
        <w:rPr>
          <w:spacing w:val="-19"/>
        </w:rPr>
        <w:t> </w:t>
      </w:r>
      <w:r>
        <w:rPr/>
        <w:t>appropriate</w:t>
      </w:r>
      <w:r>
        <w:rPr>
          <w:spacing w:val="-18"/>
        </w:rPr>
        <w:t> </w:t>
      </w:r>
      <w:r>
        <w:rPr/>
        <w:t>procedures</w:t>
      </w:r>
      <w:r>
        <w:rPr>
          <w:spacing w:val="-19"/>
        </w:rPr>
        <w:t> </w:t>
      </w:r>
      <w:r>
        <w:rPr/>
        <w:t>to</w:t>
      </w:r>
      <w:r>
        <w:rPr>
          <w:spacing w:val="-19"/>
        </w:rPr>
        <w:t> </w:t>
      </w:r>
      <w:r>
        <w:rPr/>
        <w:t>manage</w:t>
      </w:r>
      <w:r>
        <w:rPr>
          <w:spacing w:val="-18"/>
        </w:rPr>
        <w:t> </w:t>
      </w:r>
      <w:r>
        <w:rPr/>
        <w:t>cash</w:t>
      </w:r>
      <w:r>
        <w:rPr>
          <w:spacing w:val="-19"/>
        </w:rPr>
        <w:t> </w:t>
      </w:r>
      <w:r>
        <w:rPr/>
        <w:t>flows</w:t>
      </w:r>
      <w:r>
        <w:rPr>
          <w:spacing w:val="-19"/>
        </w:rPr>
        <w:t> </w:t>
      </w:r>
      <w:r>
        <w:rPr/>
        <w:t>including drawdowns</w:t>
      </w:r>
      <w:r>
        <w:rPr>
          <w:spacing w:val="-16"/>
        </w:rPr>
        <w:t> </w:t>
      </w:r>
      <w:r>
        <w:rPr/>
        <w:t>of</w:t>
      </w:r>
      <w:r>
        <w:rPr>
          <w:spacing w:val="-15"/>
        </w:rPr>
        <w:t> </w:t>
      </w:r>
      <w:r>
        <w:rPr/>
        <w:t>appropriations</w:t>
      </w:r>
      <w:r>
        <w:rPr>
          <w:spacing w:val="-15"/>
        </w:rPr>
        <w:t> </w:t>
      </w:r>
      <w:r>
        <w:rPr/>
        <w:t>by</w:t>
      </w:r>
      <w:r>
        <w:rPr>
          <w:spacing w:val="-15"/>
        </w:rPr>
        <w:t> </w:t>
      </w:r>
      <w:r>
        <w:rPr/>
        <w:t>monitoring</w:t>
      </w:r>
      <w:r>
        <w:rPr>
          <w:spacing w:val="-16"/>
        </w:rPr>
        <w:t> </w:t>
      </w:r>
      <w:r>
        <w:rPr/>
        <w:t>forecast</w:t>
      </w:r>
      <w:r>
        <w:rPr>
          <w:spacing w:val="-15"/>
        </w:rPr>
        <w:t> </w:t>
      </w:r>
      <w:r>
        <w:rPr/>
        <w:t>cash</w:t>
      </w:r>
      <w:r>
        <w:rPr>
          <w:spacing w:val="-15"/>
        </w:rPr>
        <w:t> </w:t>
      </w:r>
      <w:r>
        <w:rPr/>
        <w:t>flows</w:t>
      </w:r>
      <w:r>
        <w:rPr>
          <w:spacing w:val="-15"/>
        </w:rPr>
        <w:t> </w:t>
      </w:r>
      <w:r>
        <w:rPr/>
        <w:t>to</w:t>
      </w:r>
      <w:r>
        <w:rPr>
          <w:spacing w:val="-16"/>
        </w:rPr>
        <w:t> </w:t>
      </w:r>
      <w:r>
        <w:rPr/>
        <w:t>ensure</w:t>
      </w:r>
      <w:r>
        <w:rPr>
          <w:spacing w:val="-15"/>
        </w:rPr>
        <w:t> </w:t>
      </w:r>
      <w:r>
        <w:rPr>
          <w:spacing w:val="-5"/>
        </w:rPr>
        <w:t>that </w:t>
      </w:r>
      <w:r>
        <w:rPr/>
        <w:t>sufficient funds are available to meet its</w:t>
      </w:r>
      <w:r>
        <w:rPr>
          <w:spacing w:val="-27"/>
        </w:rPr>
        <w:t> </w:t>
      </w:r>
      <w:r>
        <w:rPr/>
        <w:t>commitments.</w:t>
      </w:r>
    </w:p>
    <w:p>
      <w:pPr>
        <w:spacing w:after="0" w:line="249" w:lineRule="auto"/>
        <w:sectPr>
          <w:type w:val="continuous"/>
          <w:pgSz w:w="16840" w:h="11910" w:orient="landscape"/>
          <w:pgMar w:top="0" w:bottom="0" w:left="0" w:right="0"/>
          <w:cols w:num="2" w:equalWidth="0">
            <w:col w:w="8096" w:space="40"/>
            <w:col w:w="8704"/>
          </w:cols>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5"/>
        <w:rPr>
          <w:sz w:val="21"/>
        </w:rPr>
      </w:pPr>
    </w:p>
    <w:p>
      <w:pPr>
        <w:pStyle w:val="Heading1"/>
      </w:pPr>
      <w:r>
        <w:rPr/>
        <w:pict>
          <v:group style="position:absolute;margin-left:763.172119pt;margin-top:-3.594212pt;width:61.1pt;height:45.2pt;mso-position-horizontal-relative:page;mso-position-vertical-relative:paragraph;z-index:21376"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120.3pt;height:42.55pt;mso-position-horizontal-relative:page;mso-position-vertical-relative:paragraph;z-index:21424" coordorigin="0,-1147" coordsize="2406,851">
            <v:rect style="position:absolute;left:0;top:-1148;width:2406;height:851" filled="true" fillcolor="#aebd37" stroked="false">
              <v:fill type="solid"/>
            </v:rect>
            <v:shape style="position:absolute;left:0;top:-1148;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7421pt;width:360.85pt;height:42.55pt;mso-position-horizontal-relative:page;mso-position-vertical-relative:paragraph;z-index:21520" coordorigin="9622,-1147" coordsize="7217,851">
            <v:rect style="position:absolute;left:14432;top:-1148;width:2406;height:851" filled="true" fillcolor="#aebd37"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8;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8;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10"/>
        <w:rPr>
          <w:sz w:val="14"/>
        </w:rPr>
      </w:pPr>
    </w:p>
    <w:p>
      <w:pPr>
        <w:spacing w:after="0"/>
        <w:rPr>
          <w:sz w:val="14"/>
        </w:rPr>
        <w:sectPr>
          <w:footerReference w:type="default" r:id="rId222"/>
          <w:pgSz w:w="16840" w:h="11910" w:orient="landscape"/>
          <w:pgMar w:footer="448" w:header="0" w:top="0" w:bottom="640" w:left="0" w:right="0"/>
        </w:sectPr>
      </w:pPr>
    </w:p>
    <w:p>
      <w:pPr>
        <w:pStyle w:val="BodyText"/>
        <w:spacing w:line="249" w:lineRule="auto" w:before="108"/>
        <w:ind w:left="765" w:right="20"/>
      </w:pPr>
      <w:r>
        <w:rPr/>
        <w:t>The</w:t>
      </w:r>
      <w:r>
        <w:rPr>
          <w:spacing w:val="-22"/>
        </w:rPr>
        <w:t> </w:t>
      </w:r>
      <w:r>
        <w:rPr/>
        <w:t>Department</w:t>
      </w:r>
      <w:r>
        <w:rPr>
          <w:spacing w:val="-21"/>
        </w:rPr>
        <w:t> </w:t>
      </w:r>
      <w:r>
        <w:rPr/>
        <w:t>has</w:t>
      </w:r>
      <w:r>
        <w:rPr>
          <w:spacing w:val="-21"/>
        </w:rPr>
        <w:t> </w:t>
      </w:r>
      <w:r>
        <w:rPr/>
        <w:t>a</w:t>
      </w:r>
      <w:r>
        <w:rPr>
          <w:spacing w:val="-21"/>
        </w:rPr>
        <w:t> </w:t>
      </w:r>
      <w:r>
        <w:rPr/>
        <w:t>facility</w:t>
      </w:r>
      <w:r>
        <w:rPr>
          <w:spacing w:val="-21"/>
        </w:rPr>
        <w:t> </w:t>
      </w:r>
      <w:r>
        <w:rPr/>
        <w:t>agreement</w:t>
      </w:r>
      <w:r>
        <w:rPr>
          <w:spacing w:val="-22"/>
        </w:rPr>
        <w:t> </w:t>
      </w:r>
      <w:r>
        <w:rPr/>
        <w:t>in</w:t>
      </w:r>
      <w:r>
        <w:rPr>
          <w:spacing w:val="-21"/>
        </w:rPr>
        <w:t> </w:t>
      </w:r>
      <w:r>
        <w:rPr/>
        <w:t>place</w:t>
      </w:r>
      <w:r>
        <w:rPr>
          <w:spacing w:val="-21"/>
        </w:rPr>
        <w:t> </w:t>
      </w:r>
      <w:r>
        <w:rPr/>
        <w:t>with</w:t>
      </w:r>
      <w:r>
        <w:rPr>
          <w:spacing w:val="-21"/>
        </w:rPr>
        <w:t> </w:t>
      </w:r>
      <w:r>
        <w:rPr/>
        <w:t>the</w:t>
      </w:r>
      <w:r>
        <w:rPr>
          <w:spacing w:val="-21"/>
        </w:rPr>
        <w:t> </w:t>
      </w:r>
      <w:r>
        <w:rPr/>
        <w:t>Western</w:t>
      </w:r>
      <w:r>
        <w:rPr>
          <w:spacing w:val="-22"/>
        </w:rPr>
        <w:t> </w:t>
      </w:r>
      <w:r>
        <w:rPr/>
        <w:t>Australian </w:t>
      </w:r>
      <w:r>
        <w:rPr>
          <w:spacing w:val="-4"/>
        </w:rPr>
        <w:t>Treasury </w:t>
      </w:r>
      <w:r>
        <w:rPr/>
        <w:t>Corporation </w:t>
      </w:r>
      <w:r>
        <w:rPr>
          <w:spacing w:val="-4"/>
        </w:rPr>
        <w:t>(WATC) </w:t>
      </w:r>
      <w:r>
        <w:rPr/>
        <w:t>to borrow up to $250,000,000 to meet State Fleet</w:t>
      </w:r>
      <w:r>
        <w:rPr>
          <w:spacing w:val="-30"/>
        </w:rPr>
        <w:t> </w:t>
      </w:r>
      <w:r>
        <w:rPr/>
        <w:t>contractual</w:t>
      </w:r>
      <w:r>
        <w:rPr>
          <w:spacing w:val="-29"/>
        </w:rPr>
        <w:t> </w:t>
      </w:r>
      <w:r>
        <w:rPr/>
        <w:t>requirements,</w:t>
      </w:r>
      <w:r>
        <w:rPr>
          <w:spacing w:val="-29"/>
        </w:rPr>
        <w:t> </w:t>
      </w:r>
      <w:r>
        <w:rPr/>
        <w:t>purchase</w:t>
      </w:r>
      <w:r>
        <w:rPr>
          <w:spacing w:val="-29"/>
        </w:rPr>
        <w:t> </w:t>
      </w:r>
      <w:r>
        <w:rPr/>
        <w:t>vehicles</w:t>
      </w:r>
      <w:r>
        <w:rPr>
          <w:spacing w:val="-29"/>
        </w:rPr>
        <w:t> </w:t>
      </w:r>
      <w:r>
        <w:rPr/>
        <w:t>and</w:t>
      </w:r>
      <w:r>
        <w:rPr>
          <w:spacing w:val="-29"/>
        </w:rPr>
        <w:t> </w:t>
      </w:r>
      <w:r>
        <w:rPr/>
        <w:t>provide</w:t>
      </w:r>
      <w:r>
        <w:rPr>
          <w:spacing w:val="-30"/>
        </w:rPr>
        <w:t> </w:t>
      </w:r>
      <w:r>
        <w:rPr/>
        <w:t>working</w:t>
      </w:r>
      <w:r>
        <w:rPr>
          <w:spacing w:val="-29"/>
        </w:rPr>
        <w:t> </w:t>
      </w:r>
      <w:r>
        <w:rPr>
          <w:spacing w:val="-3"/>
        </w:rPr>
        <w:t>capital. </w:t>
      </w:r>
      <w:r>
        <w:rPr/>
        <w:t>As at 30 June 2017 $47,471,000 was drawn against the</w:t>
      </w:r>
      <w:r>
        <w:rPr>
          <w:spacing w:val="-37"/>
        </w:rPr>
        <w:t> </w:t>
      </w:r>
      <w:r>
        <w:rPr>
          <w:spacing w:val="-3"/>
        </w:rPr>
        <w:t>facility.</w:t>
      </w:r>
    </w:p>
    <w:p>
      <w:pPr>
        <w:pStyle w:val="BodyText"/>
        <w:spacing w:before="3"/>
        <w:rPr>
          <w:sz w:val="23"/>
        </w:rPr>
      </w:pPr>
    </w:p>
    <w:p>
      <w:pPr>
        <w:spacing w:before="1"/>
        <w:ind w:left="765" w:right="0" w:firstLine="0"/>
        <w:jc w:val="left"/>
        <w:rPr>
          <w:i/>
          <w:sz w:val="22"/>
        </w:rPr>
      </w:pPr>
      <w:r>
        <w:rPr>
          <w:i/>
          <w:sz w:val="22"/>
        </w:rPr>
        <w:t>Market risk</w:t>
      </w:r>
    </w:p>
    <w:p>
      <w:pPr>
        <w:pStyle w:val="BodyText"/>
        <w:spacing w:line="249" w:lineRule="auto" w:before="11"/>
        <w:ind w:left="765" w:right="78"/>
      </w:pPr>
      <w:r>
        <w:rPr/>
        <w:t>Market</w:t>
      </w:r>
      <w:r>
        <w:rPr>
          <w:spacing w:val="-17"/>
        </w:rPr>
        <w:t> </w:t>
      </w:r>
      <w:r>
        <w:rPr/>
        <w:t>risk</w:t>
      </w:r>
      <w:r>
        <w:rPr>
          <w:spacing w:val="-17"/>
        </w:rPr>
        <w:t> </w:t>
      </w:r>
      <w:r>
        <w:rPr/>
        <w:t>is</w:t>
      </w:r>
      <w:r>
        <w:rPr>
          <w:spacing w:val="-17"/>
        </w:rPr>
        <w:t> </w:t>
      </w:r>
      <w:r>
        <w:rPr/>
        <w:t>the</w:t>
      </w:r>
      <w:r>
        <w:rPr>
          <w:spacing w:val="-16"/>
        </w:rPr>
        <w:t> </w:t>
      </w:r>
      <w:r>
        <w:rPr/>
        <w:t>risk</w:t>
      </w:r>
      <w:r>
        <w:rPr>
          <w:spacing w:val="-17"/>
        </w:rPr>
        <w:t> </w:t>
      </w:r>
      <w:r>
        <w:rPr/>
        <w:t>that</w:t>
      </w:r>
      <w:r>
        <w:rPr>
          <w:spacing w:val="-17"/>
        </w:rPr>
        <w:t> </w:t>
      </w:r>
      <w:r>
        <w:rPr/>
        <w:t>changes</w:t>
      </w:r>
      <w:r>
        <w:rPr>
          <w:spacing w:val="-17"/>
        </w:rPr>
        <w:t> </w:t>
      </w:r>
      <w:r>
        <w:rPr/>
        <w:t>in</w:t>
      </w:r>
      <w:r>
        <w:rPr>
          <w:spacing w:val="-16"/>
        </w:rPr>
        <w:t> </w:t>
      </w:r>
      <w:r>
        <w:rPr/>
        <w:t>market</w:t>
      </w:r>
      <w:r>
        <w:rPr>
          <w:spacing w:val="-17"/>
        </w:rPr>
        <w:t> </w:t>
      </w:r>
      <w:r>
        <w:rPr/>
        <w:t>prices</w:t>
      </w:r>
      <w:r>
        <w:rPr>
          <w:spacing w:val="-17"/>
        </w:rPr>
        <w:t> </w:t>
      </w:r>
      <w:r>
        <w:rPr/>
        <w:t>such</w:t>
      </w:r>
      <w:r>
        <w:rPr>
          <w:spacing w:val="-17"/>
        </w:rPr>
        <w:t> </w:t>
      </w:r>
      <w:r>
        <w:rPr/>
        <w:t>as</w:t>
      </w:r>
      <w:r>
        <w:rPr>
          <w:spacing w:val="-16"/>
        </w:rPr>
        <w:t> </w:t>
      </w:r>
      <w:r>
        <w:rPr/>
        <w:t>foreign</w:t>
      </w:r>
      <w:r>
        <w:rPr>
          <w:spacing w:val="-17"/>
        </w:rPr>
        <w:t> </w:t>
      </w:r>
      <w:r>
        <w:rPr>
          <w:spacing w:val="-3"/>
        </w:rPr>
        <w:t>exchange </w:t>
      </w:r>
      <w:r>
        <w:rPr/>
        <w:t>rates</w:t>
      </w:r>
      <w:r>
        <w:rPr>
          <w:spacing w:val="-15"/>
        </w:rPr>
        <w:t> </w:t>
      </w:r>
      <w:r>
        <w:rPr/>
        <w:t>and</w:t>
      </w:r>
      <w:r>
        <w:rPr>
          <w:spacing w:val="-14"/>
        </w:rPr>
        <w:t> </w:t>
      </w:r>
      <w:r>
        <w:rPr/>
        <w:t>interest</w:t>
      </w:r>
      <w:r>
        <w:rPr>
          <w:spacing w:val="-15"/>
        </w:rPr>
        <w:t> </w:t>
      </w:r>
      <w:r>
        <w:rPr/>
        <w:t>rates</w:t>
      </w:r>
      <w:r>
        <w:rPr>
          <w:spacing w:val="-14"/>
        </w:rPr>
        <w:t> </w:t>
      </w:r>
      <w:r>
        <w:rPr/>
        <w:t>will</w:t>
      </w:r>
      <w:r>
        <w:rPr>
          <w:spacing w:val="-14"/>
        </w:rPr>
        <w:t> </w:t>
      </w:r>
      <w:r>
        <w:rPr/>
        <w:t>affect</w:t>
      </w:r>
      <w:r>
        <w:rPr>
          <w:spacing w:val="-15"/>
        </w:rPr>
        <w:t> </w:t>
      </w:r>
      <w:r>
        <w:rPr/>
        <w:t>the</w:t>
      </w:r>
      <w:r>
        <w:rPr>
          <w:spacing w:val="-14"/>
        </w:rPr>
        <w:t> </w:t>
      </w:r>
      <w:r>
        <w:rPr>
          <w:spacing w:val="-3"/>
        </w:rPr>
        <w:t>Department’s</w:t>
      </w:r>
      <w:r>
        <w:rPr>
          <w:spacing w:val="-15"/>
        </w:rPr>
        <w:t> </w:t>
      </w:r>
      <w:r>
        <w:rPr/>
        <w:t>income</w:t>
      </w:r>
      <w:r>
        <w:rPr>
          <w:spacing w:val="-14"/>
        </w:rPr>
        <w:t> </w:t>
      </w:r>
      <w:r>
        <w:rPr/>
        <w:t>or</w:t>
      </w:r>
      <w:r>
        <w:rPr>
          <w:spacing w:val="-14"/>
        </w:rPr>
        <w:t> </w:t>
      </w:r>
      <w:r>
        <w:rPr/>
        <w:t>the</w:t>
      </w:r>
      <w:r>
        <w:rPr>
          <w:spacing w:val="-15"/>
        </w:rPr>
        <w:t> </w:t>
      </w:r>
      <w:r>
        <w:rPr/>
        <w:t>value</w:t>
      </w:r>
      <w:r>
        <w:rPr>
          <w:spacing w:val="-14"/>
        </w:rPr>
        <w:t> </w:t>
      </w:r>
      <w:r>
        <w:rPr/>
        <w:t>of</w:t>
      </w:r>
      <w:r>
        <w:rPr>
          <w:spacing w:val="-15"/>
        </w:rPr>
        <w:t> </w:t>
      </w:r>
      <w:r>
        <w:rPr/>
        <w:t>its holdings of financial instruments. The Department does not trade in foreign currency</w:t>
      </w:r>
      <w:r>
        <w:rPr>
          <w:spacing w:val="-11"/>
        </w:rPr>
        <w:t> </w:t>
      </w:r>
      <w:r>
        <w:rPr/>
        <w:t>and</w:t>
      </w:r>
      <w:r>
        <w:rPr>
          <w:spacing w:val="-11"/>
        </w:rPr>
        <w:t> </w:t>
      </w:r>
      <w:r>
        <w:rPr/>
        <w:t>is</w:t>
      </w:r>
      <w:r>
        <w:rPr>
          <w:spacing w:val="-11"/>
        </w:rPr>
        <w:t> </w:t>
      </w:r>
      <w:r>
        <w:rPr/>
        <w:t>not</w:t>
      </w:r>
      <w:r>
        <w:rPr>
          <w:spacing w:val="-11"/>
        </w:rPr>
        <w:t> </w:t>
      </w:r>
      <w:r>
        <w:rPr/>
        <w:t>materially</w:t>
      </w:r>
      <w:r>
        <w:rPr>
          <w:spacing w:val="-10"/>
        </w:rPr>
        <w:t> </w:t>
      </w:r>
      <w:r>
        <w:rPr/>
        <w:t>exposed</w:t>
      </w:r>
      <w:r>
        <w:rPr>
          <w:spacing w:val="-11"/>
        </w:rPr>
        <w:t> </w:t>
      </w:r>
      <w:r>
        <w:rPr/>
        <w:t>to</w:t>
      </w:r>
      <w:r>
        <w:rPr>
          <w:spacing w:val="-11"/>
        </w:rPr>
        <w:t> </w:t>
      </w:r>
      <w:r>
        <w:rPr/>
        <w:t>other</w:t>
      </w:r>
      <w:r>
        <w:rPr>
          <w:spacing w:val="-11"/>
        </w:rPr>
        <w:t> </w:t>
      </w:r>
      <w:r>
        <w:rPr/>
        <w:t>price</w:t>
      </w:r>
      <w:r>
        <w:rPr>
          <w:spacing w:val="-10"/>
        </w:rPr>
        <w:t> </w:t>
      </w:r>
      <w:r>
        <w:rPr/>
        <w:t>risks</w:t>
      </w:r>
      <w:r>
        <w:rPr>
          <w:spacing w:val="-11"/>
        </w:rPr>
        <w:t> </w:t>
      </w:r>
      <w:r>
        <w:rPr/>
        <w:t>(for</w:t>
      </w:r>
      <w:r>
        <w:rPr>
          <w:spacing w:val="-11"/>
        </w:rPr>
        <w:t> </w:t>
      </w:r>
      <w:r>
        <w:rPr/>
        <w:t>example,</w:t>
      </w:r>
    </w:p>
    <w:p>
      <w:pPr>
        <w:pStyle w:val="BodyText"/>
        <w:spacing w:line="249" w:lineRule="auto" w:before="3"/>
        <w:ind w:left="765" w:right="-7"/>
      </w:pPr>
      <w:r>
        <w:rPr/>
        <w:t>equity</w:t>
      </w:r>
      <w:r>
        <w:rPr>
          <w:spacing w:val="-21"/>
        </w:rPr>
        <w:t> </w:t>
      </w:r>
      <w:r>
        <w:rPr/>
        <w:t>securities</w:t>
      </w:r>
      <w:r>
        <w:rPr>
          <w:spacing w:val="-21"/>
        </w:rPr>
        <w:t> </w:t>
      </w:r>
      <w:r>
        <w:rPr/>
        <w:t>or</w:t>
      </w:r>
      <w:r>
        <w:rPr>
          <w:spacing w:val="-21"/>
        </w:rPr>
        <w:t> </w:t>
      </w:r>
      <w:r>
        <w:rPr/>
        <w:t>commodity</w:t>
      </w:r>
      <w:r>
        <w:rPr>
          <w:spacing w:val="-20"/>
        </w:rPr>
        <w:t> </w:t>
      </w:r>
      <w:r>
        <w:rPr/>
        <w:t>prices</w:t>
      </w:r>
      <w:r>
        <w:rPr>
          <w:spacing w:val="-21"/>
        </w:rPr>
        <w:t> </w:t>
      </w:r>
      <w:r>
        <w:rPr/>
        <w:t>changes).</w:t>
      </w:r>
      <w:r>
        <w:rPr>
          <w:spacing w:val="-21"/>
        </w:rPr>
        <w:t> </w:t>
      </w:r>
      <w:r>
        <w:rPr/>
        <w:t>The</w:t>
      </w:r>
      <w:r>
        <w:rPr>
          <w:spacing w:val="-21"/>
        </w:rPr>
        <w:t> </w:t>
      </w:r>
      <w:r>
        <w:rPr>
          <w:spacing w:val="-3"/>
        </w:rPr>
        <w:t>Department’s</w:t>
      </w:r>
      <w:r>
        <w:rPr>
          <w:spacing w:val="-20"/>
        </w:rPr>
        <w:t> </w:t>
      </w:r>
      <w:r>
        <w:rPr/>
        <w:t>exposure</w:t>
      </w:r>
      <w:r>
        <w:rPr>
          <w:spacing w:val="-21"/>
        </w:rPr>
        <w:t> </w:t>
      </w:r>
      <w:r>
        <w:rPr>
          <w:spacing w:val="-10"/>
        </w:rPr>
        <w:t>to </w:t>
      </w:r>
      <w:r>
        <w:rPr/>
        <w:t>market</w:t>
      </w:r>
      <w:r>
        <w:rPr>
          <w:spacing w:val="-17"/>
        </w:rPr>
        <w:t> </w:t>
      </w:r>
      <w:r>
        <w:rPr/>
        <w:t>risk</w:t>
      </w:r>
      <w:r>
        <w:rPr>
          <w:spacing w:val="-17"/>
        </w:rPr>
        <w:t> </w:t>
      </w:r>
      <w:r>
        <w:rPr/>
        <w:t>for</w:t>
      </w:r>
      <w:r>
        <w:rPr>
          <w:spacing w:val="-17"/>
        </w:rPr>
        <w:t> </w:t>
      </w:r>
      <w:r>
        <w:rPr/>
        <w:t>changes</w:t>
      </w:r>
      <w:r>
        <w:rPr>
          <w:spacing w:val="-17"/>
        </w:rPr>
        <w:t> </w:t>
      </w:r>
      <w:r>
        <w:rPr/>
        <w:t>in</w:t>
      </w:r>
      <w:r>
        <w:rPr>
          <w:spacing w:val="-17"/>
        </w:rPr>
        <w:t> </w:t>
      </w:r>
      <w:r>
        <w:rPr/>
        <w:t>interest</w:t>
      </w:r>
      <w:r>
        <w:rPr>
          <w:spacing w:val="-17"/>
        </w:rPr>
        <w:t> </w:t>
      </w:r>
      <w:r>
        <w:rPr/>
        <w:t>rates</w:t>
      </w:r>
      <w:r>
        <w:rPr>
          <w:spacing w:val="-17"/>
        </w:rPr>
        <w:t> </w:t>
      </w:r>
      <w:r>
        <w:rPr/>
        <w:t>relates</w:t>
      </w:r>
      <w:r>
        <w:rPr>
          <w:spacing w:val="-17"/>
        </w:rPr>
        <w:t> </w:t>
      </w:r>
      <w:r>
        <w:rPr/>
        <w:t>primarily</w:t>
      </w:r>
      <w:r>
        <w:rPr>
          <w:spacing w:val="-17"/>
        </w:rPr>
        <w:t> </w:t>
      </w:r>
      <w:r>
        <w:rPr/>
        <w:t>to</w:t>
      </w:r>
      <w:r>
        <w:rPr>
          <w:spacing w:val="-17"/>
        </w:rPr>
        <w:t> </w:t>
      </w:r>
      <w:r>
        <w:rPr/>
        <w:t>the</w:t>
      </w:r>
      <w:r>
        <w:rPr>
          <w:spacing w:val="-16"/>
        </w:rPr>
        <w:t> </w:t>
      </w:r>
      <w:r>
        <w:rPr/>
        <w:t>long-term</w:t>
      </w:r>
      <w:r>
        <w:rPr>
          <w:spacing w:val="-17"/>
        </w:rPr>
        <w:t> </w:t>
      </w:r>
      <w:r>
        <w:rPr/>
        <w:t>debt obligations.</w:t>
      </w:r>
    </w:p>
    <w:p>
      <w:pPr>
        <w:pStyle w:val="BodyText"/>
        <w:spacing w:before="2"/>
        <w:rPr>
          <w:sz w:val="23"/>
        </w:rPr>
      </w:pPr>
    </w:p>
    <w:p>
      <w:pPr>
        <w:pStyle w:val="BodyText"/>
        <w:spacing w:line="249" w:lineRule="auto"/>
        <w:ind w:left="765" w:right="305"/>
      </w:pPr>
      <w:r>
        <w:rPr/>
        <w:t>All borrowings are due to the </w:t>
      </w:r>
      <w:r>
        <w:rPr>
          <w:spacing w:val="-5"/>
        </w:rPr>
        <w:t>WATC </w:t>
      </w:r>
      <w:r>
        <w:rPr/>
        <w:t>and are repayable at fixed rates with varying maturities. Other than as detailed in the interest rate sensitivity analysis</w:t>
      </w:r>
      <w:r>
        <w:rPr>
          <w:spacing w:val="-18"/>
        </w:rPr>
        <w:t> </w:t>
      </w:r>
      <w:r>
        <w:rPr/>
        <w:t>table</w:t>
      </w:r>
      <w:r>
        <w:rPr>
          <w:spacing w:val="-17"/>
        </w:rPr>
        <w:t> </w:t>
      </w:r>
      <w:r>
        <w:rPr/>
        <w:t>at</w:t>
      </w:r>
      <w:r>
        <w:rPr>
          <w:spacing w:val="-17"/>
        </w:rPr>
        <w:t> </w:t>
      </w:r>
      <w:r>
        <w:rPr/>
        <w:t>Note</w:t>
      </w:r>
      <w:r>
        <w:rPr>
          <w:spacing w:val="-17"/>
        </w:rPr>
        <w:t> </w:t>
      </w:r>
      <w:r>
        <w:rPr/>
        <w:t>40(c),</w:t>
      </w:r>
      <w:r>
        <w:rPr>
          <w:spacing w:val="-17"/>
        </w:rPr>
        <w:t> </w:t>
      </w:r>
      <w:r>
        <w:rPr/>
        <w:t>the</w:t>
      </w:r>
      <w:r>
        <w:rPr>
          <w:spacing w:val="-17"/>
        </w:rPr>
        <w:t> </w:t>
      </w:r>
      <w:r>
        <w:rPr/>
        <w:t>Department</w:t>
      </w:r>
      <w:r>
        <w:rPr>
          <w:spacing w:val="-17"/>
        </w:rPr>
        <w:t> </w:t>
      </w:r>
      <w:r>
        <w:rPr/>
        <w:t>is</w:t>
      </w:r>
      <w:r>
        <w:rPr>
          <w:spacing w:val="-17"/>
        </w:rPr>
        <w:t> </w:t>
      </w:r>
      <w:r>
        <w:rPr/>
        <w:t>not</w:t>
      </w:r>
      <w:r>
        <w:rPr>
          <w:spacing w:val="-17"/>
        </w:rPr>
        <w:t> </w:t>
      </w:r>
      <w:r>
        <w:rPr/>
        <w:t>exposed</w:t>
      </w:r>
      <w:r>
        <w:rPr>
          <w:spacing w:val="-17"/>
        </w:rPr>
        <w:t> </w:t>
      </w:r>
      <w:r>
        <w:rPr/>
        <w:t>to</w:t>
      </w:r>
      <w:r>
        <w:rPr>
          <w:spacing w:val="-17"/>
        </w:rPr>
        <w:t> </w:t>
      </w:r>
      <w:r>
        <w:rPr/>
        <w:t>interest</w:t>
      </w:r>
      <w:r>
        <w:rPr>
          <w:spacing w:val="-17"/>
        </w:rPr>
        <w:t> </w:t>
      </w:r>
      <w:r>
        <w:rPr/>
        <w:t>rate risk</w:t>
      </w:r>
      <w:r>
        <w:rPr>
          <w:spacing w:val="-18"/>
        </w:rPr>
        <w:t> </w:t>
      </w:r>
      <w:r>
        <w:rPr/>
        <w:t>because</w:t>
      </w:r>
      <w:r>
        <w:rPr>
          <w:spacing w:val="-18"/>
        </w:rPr>
        <w:t> </w:t>
      </w:r>
      <w:r>
        <w:rPr/>
        <w:t>the</w:t>
      </w:r>
      <w:r>
        <w:rPr>
          <w:spacing w:val="-18"/>
        </w:rPr>
        <w:t> </w:t>
      </w:r>
      <w:r>
        <w:rPr/>
        <w:t>majority</w:t>
      </w:r>
      <w:r>
        <w:rPr>
          <w:spacing w:val="-17"/>
        </w:rPr>
        <w:t> </w:t>
      </w:r>
      <w:r>
        <w:rPr/>
        <w:t>of</w:t>
      </w:r>
      <w:r>
        <w:rPr>
          <w:spacing w:val="-18"/>
        </w:rPr>
        <w:t> </w:t>
      </w:r>
      <w:r>
        <w:rPr/>
        <w:t>cash</w:t>
      </w:r>
      <w:r>
        <w:rPr>
          <w:spacing w:val="-18"/>
        </w:rPr>
        <w:t> </w:t>
      </w:r>
      <w:r>
        <w:rPr/>
        <w:t>and</w:t>
      </w:r>
      <w:r>
        <w:rPr>
          <w:spacing w:val="-18"/>
        </w:rPr>
        <w:t> </w:t>
      </w:r>
      <w:r>
        <w:rPr/>
        <w:t>cash</w:t>
      </w:r>
      <w:r>
        <w:rPr>
          <w:spacing w:val="-17"/>
        </w:rPr>
        <w:t> </w:t>
      </w:r>
      <w:r>
        <w:rPr/>
        <w:t>equivalents</w:t>
      </w:r>
      <w:r>
        <w:rPr>
          <w:spacing w:val="-18"/>
        </w:rPr>
        <w:t> </w:t>
      </w:r>
      <w:r>
        <w:rPr/>
        <w:t>and</w:t>
      </w:r>
      <w:r>
        <w:rPr>
          <w:spacing w:val="-18"/>
        </w:rPr>
        <w:t> </w:t>
      </w:r>
      <w:r>
        <w:rPr/>
        <w:t>restricted</w:t>
      </w:r>
      <w:r>
        <w:rPr>
          <w:spacing w:val="-17"/>
        </w:rPr>
        <w:t> </w:t>
      </w:r>
      <w:r>
        <w:rPr/>
        <w:t>cash are</w:t>
      </w:r>
      <w:r>
        <w:rPr>
          <w:spacing w:val="-20"/>
        </w:rPr>
        <w:t> </w:t>
      </w:r>
      <w:r>
        <w:rPr/>
        <w:t>non-interest</w:t>
      </w:r>
      <w:r>
        <w:rPr>
          <w:spacing w:val="-19"/>
        </w:rPr>
        <w:t> </w:t>
      </w:r>
      <w:r>
        <w:rPr/>
        <w:t>bearing</w:t>
      </w:r>
      <w:r>
        <w:rPr>
          <w:spacing w:val="-19"/>
        </w:rPr>
        <w:t> </w:t>
      </w:r>
      <w:r>
        <w:rPr/>
        <w:t>and</w:t>
      </w:r>
      <w:r>
        <w:rPr>
          <w:spacing w:val="-19"/>
        </w:rPr>
        <w:t> </w:t>
      </w:r>
      <w:r>
        <w:rPr/>
        <w:t>it</w:t>
      </w:r>
      <w:r>
        <w:rPr>
          <w:spacing w:val="-19"/>
        </w:rPr>
        <w:t> </w:t>
      </w:r>
      <w:r>
        <w:rPr/>
        <w:t>has</w:t>
      </w:r>
      <w:r>
        <w:rPr>
          <w:spacing w:val="-19"/>
        </w:rPr>
        <w:t> </w:t>
      </w:r>
      <w:r>
        <w:rPr/>
        <w:t>no</w:t>
      </w:r>
      <w:r>
        <w:rPr>
          <w:spacing w:val="-19"/>
        </w:rPr>
        <w:t> </w:t>
      </w:r>
      <w:r>
        <w:rPr/>
        <w:t>borrowings</w:t>
      </w:r>
      <w:r>
        <w:rPr>
          <w:spacing w:val="-19"/>
        </w:rPr>
        <w:t> </w:t>
      </w:r>
      <w:r>
        <w:rPr/>
        <w:t>other</w:t>
      </w:r>
      <w:r>
        <w:rPr>
          <w:spacing w:val="-19"/>
        </w:rPr>
        <w:t> </w:t>
      </w:r>
      <w:r>
        <w:rPr/>
        <w:t>than</w:t>
      </w:r>
      <w:r>
        <w:rPr>
          <w:spacing w:val="-19"/>
        </w:rPr>
        <w:t> </w:t>
      </w:r>
      <w:r>
        <w:rPr/>
        <w:t>the</w:t>
      </w:r>
      <w:r>
        <w:rPr>
          <w:spacing w:val="-19"/>
        </w:rPr>
        <w:t> </w:t>
      </w:r>
      <w:r>
        <w:rPr>
          <w:spacing w:val="-7"/>
        </w:rPr>
        <w:t>Treasurer’s </w:t>
      </w:r>
      <w:r>
        <w:rPr/>
        <w:t>advance</w:t>
      </w:r>
      <w:r>
        <w:rPr>
          <w:spacing w:val="-16"/>
        </w:rPr>
        <w:t> </w:t>
      </w:r>
      <w:r>
        <w:rPr/>
        <w:t>(non-interest</w:t>
      </w:r>
      <w:r>
        <w:rPr>
          <w:spacing w:val="-16"/>
        </w:rPr>
        <w:t> </w:t>
      </w:r>
      <w:r>
        <w:rPr/>
        <w:t>bearing),</w:t>
      </w:r>
      <w:r>
        <w:rPr>
          <w:spacing w:val="-16"/>
        </w:rPr>
        <w:t> </w:t>
      </w:r>
      <w:r>
        <w:rPr>
          <w:spacing w:val="-5"/>
        </w:rPr>
        <w:t>WATC</w:t>
      </w:r>
      <w:r>
        <w:rPr>
          <w:spacing w:val="-16"/>
        </w:rPr>
        <w:t> </w:t>
      </w:r>
      <w:r>
        <w:rPr/>
        <w:t>borrowings</w:t>
      </w:r>
      <w:r>
        <w:rPr>
          <w:spacing w:val="-15"/>
        </w:rPr>
        <w:t> </w:t>
      </w:r>
      <w:r>
        <w:rPr/>
        <w:t>and</w:t>
      </w:r>
      <w:r>
        <w:rPr>
          <w:spacing w:val="-16"/>
        </w:rPr>
        <w:t> </w:t>
      </w:r>
      <w:r>
        <w:rPr/>
        <w:t>finance</w:t>
      </w:r>
      <w:r>
        <w:rPr>
          <w:spacing w:val="-16"/>
        </w:rPr>
        <w:t> </w:t>
      </w:r>
      <w:r>
        <w:rPr/>
        <w:t>leases</w:t>
      </w:r>
    </w:p>
    <w:p>
      <w:pPr>
        <w:pStyle w:val="BodyText"/>
        <w:spacing w:before="6"/>
        <w:ind w:left="765"/>
      </w:pPr>
      <w:r>
        <w:rPr/>
        <w:t>(fixed interest rate).</w:t>
      </w:r>
    </w:p>
    <w:p>
      <w:pPr>
        <w:pStyle w:val="Heading6"/>
        <w:numPr>
          <w:ilvl w:val="0"/>
          <w:numId w:val="16"/>
        </w:numPr>
        <w:tabs>
          <w:tab w:pos="728" w:val="left" w:leader="none"/>
        </w:tabs>
        <w:spacing w:line="240" w:lineRule="auto" w:before="108" w:after="0"/>
        <w:ind w:left="727" w:right="0" w:hanging="326"/>
        <w:jc w:val="left"/>
      </w:pPr>
      <w:r>
        <w:rPr>
          <w:w w:val="101"/>
        </w:rPr>
        <w:br w:type="column"/>
      </w:r>
      <w:r>
        <w:rPr/>
        <w:t>Categories of financial</w:t>
      </w:r>
      <w:r>
        <w:rPr>
          <w:spacing w:val="-1"/>
        </w:rPr>
        <w:t> </w:t>
      </w:r>
      <w:r>
        <w:rPr/>
        <w:t>instruments</w:t>
      </w:r>
    </w:p>
    <w:p>
      <w:pPr>
        <w:pStyle w:val="BodyText"/>
        <w:spacing w:line="249" w:lineRule="auto" w:before="11"/>
        <w:ind w:left="401" w:right="907"/>
      </w:pPr>
      <w:r>
        <w:rPr/>
        <w:t>In addition to cash and bank overdraft, the carrying amounts of each of the following</w:t>
      </w:r>
      <w:r>
        <w:rPr>
          <w:spacing w:val="-24"/>
        </w:rPr>
        <w:t> </w:t>
      </w:r>
      <w:r>
        <w:rPr/>
        <w:t>categories</w:t>
      </w:r>
      <w:r>
        <w:rPr>
          <w:spacing w:val="-24"/>
        </w:rPr>
        <w:t> </w:t>
      </w:r>
      <w:r>
        <w:rPr/>
        <w:t>of</w:t>
      </w:r>
      <w:r>
        <w:rPr>
          <w:spacing w:val="-23"/>
        </w:rPr>
        <w:t> </w:t>
      </w:r>
      <w:r>
        <w:rPr/>
        <w:t>financial</w:t>
      </w:r>
      <w:r>
        <w:rPr>
          <w:spacing w:val="-24"/>
        </w:rPr>
        <w:t> </w:t>
      </w:r>
      <w:r>
        <w:rPr/>
        <w:t>assets</w:t>
      </w:r>
      <w:r>
        <w:rPr>
          <w:spacing w:val="-23"/>
        </w:rPr>
        <w:t> </w:t>
      </w:r>
      <w:r>
        <w:rPr/>
        <w:t>and</w:t>
      </w:r>
      <w:r>
        <w:rPr>
          <w:spacing w:val="-24"/>
        </w:rPr>
        <w:t> </w:t>
      </w:r>
      <w:r>
        <w:rPr/>
        <w:t>financial</w:t>
      </w:r>
      <w:r>
        <w:rPr>
          <w:spacing w:val="-24"/>
        </w:rPr>
        <w:t> </w:t>
      </w:r>
      <w:r>
        <w:rPr/>
        <w:t>liabilities</w:t>
      </w:r>
      <w:r>
        <w:rPr>
          <w:spacing w:val="-23"/>
        </w:rPr>
        <w:t> </w:t>
      </w:r>
      <w:r>
        <w:rPr/>
        <w:t>at</w:t>
      </w:r>
      <w:r>
        <w:rPr>
          <w:spacing w:val="-24"/>
        </w:rPr>
        <w:t> </w:t>
      </w:r>
      <w:r>
        <w:rPr/>
        <w:t>the</w:t>
      </w:r>
      <w:r>
        <w:rPr>
          <w:spacing w:val="-23"/>
        </w:rPr>
        <w:t> </w:t>
      </w:r>
      <w:r>
        <w:rPr/>
        <w:t>end</w:t>
      </w:r>
      <w:r>
        <w:rPr>
          <w:spacing w:val="-24"/>
        </w:rPr>
        <w:t> </w:t>
      </w:r>
      <w:r>
        <w:rPr/>
        <w:t>of</w:t>
      </w:r>
      <w:r>
        <w:rPr>
          <w:spacing w:val="-23"/>
        </w:rPr>
        <w:t> </w:t>
      </w:r>
      <w:r>
        <w:rPr>
          <w:spacing w:val="-6"/>
        </w:rPr>
        <w:t>the </w:t>
      </w:r>
      <w:r>
        <w:rPr/>
        <w:t>reporting period are as</w:t>
      </w:r>
      <w:r>
        <w:rPr>
          <w:spacing w:val="-5"/>
        </w:rPr>
        <w:t> </w:t>
      </w:r>
      <w:r>
        <w:rPr/>
        <w:t>follows:</w:t>
      </w:r>
    </w:p>
    <w:p>
      <w:pPr>
        <w:pStyle w:val="BodyText"/>
        <w:spacing w:before="11"/>
        <w:rPr>
          <w:sz w:val="8"/>
        </w:rPr>
      </w:pPr>
    </w:p>
    <w:tbl>
      <w:tblPr>
        <w:tblW w:w="0" w:type="auto"/>
        <w:jc w:val="left"/>
        <w:tblInd w:w="4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131"/>
        <w:gridCol w:w="1134"/>
        <w:gridCol w:w="1134"/>
      </w:tblGrid>
      <w:tr>
        <w:trPr>
          <w:trHeight w:val="533" w:hRule="atLeast"/>
        </w:trPr>
        <w:tc>
          <w:tcPr>
            <w:tcW w:w="6265" w:type="dxa"/>
            <w:gridSpan w:val="2"/>
            <w:tcBorders>
              <w:top w:val="nil"/>
              <w:bottom w:val="nil"/>
              <w:right w:val="nil"/>
            </w:tcBorders>
            <w:shd w:val="clear" w:color="auto" w:fill="783A79"/>
          </w:tcPr>
          <w:p>
            <w:pPr>
              <w:pStyle w:val="TableParagraph"/>
              <w:spacing w:before="42"/>
              <w:ind w:right="101"/>
              <w:jc w:val="right"/>
              <w:rPr>
                <w:b/>
                <w:sz w:val="19"/>
              </w:rPr>
            </w:pPr>
            <w:r>
              <w:rPr>
                <w:b/>
                <w:color w:val="FFFFFF"/>
                <w:w w:val="95"/>
                <w:sz w:val="19"/>
              </w:rPr>
              <w:t>2017</w:t>
            </w:r>
          </w:p>
          <w:p>
            <w:pPr>
              <w:pStyle w:val="TableParagraph"/>
              <w:spacing w:before="10"/>
              <w:ind w:right="101"/>
              <w:jc w:val="right"/>
              <w:rPr>
                <w:b/>
                <w:sz w:val="19"/>
              </w:rPr>
            </w:pPr>
            <w:r>
              <w:rPr>
                <w:b/>
                <w:color w:val="FFFFFF"/>
                <w:w w:val="95"/>
                <w:sz w:val="19"/>
              </w:rPr>
              <w:t>$000</w:t>
            </w:r>
          </w:p>
        </w:tc>
        <w:tc>
          <w:tcPr>
            <w:tcW w:w="1134" w:type="dxa"/>
            <w:tcBorders>
              <w:top w:val="nil"/>
              <w:left w:val="nil"/>
              <w:bottom w:val="nil"/>
              <w:right w:val="nil"/>
            </w:tcBorders>
            <w:shd w:val="clear" w:color="auto" w:fill="783A79"/>
          </w:tcPr>
          <w:p>
            <w:pPr>
              <w:pStyle w:val="TableParagraph"/>
              <w:spacing w:before="42"/>
              <w:ind w:left="607"/>
              <w:rPr>
                <w:b/>
                <w:sz w:val="19"/>
              </w:rPr>
            </w:pPr>
            <w:r>
              <w:rPr>
                <w:b/>
                <w:color w:val="FFFFFF"/>
                <w:sz w:val="19"/>
              </w:rPr>
              <w:t>2016</w:t>
            </w:r>
          </w:p>
          <w:p>
            <w:pPr>
              <w:pStyle w:val="TableParagraph"/>
              <w:spacing w:before="10"/>
              <w:ind w:left="607"/>
              <w:rPr>
                <w:b/>
                <w:sz w:val="19"/>
              </w:rPr>
            </w:pPr>
            <w:r>
              <w:rPr>
                <w:b/>
                <w:color w:val="FFFFFF"/>
                <w:sz w:val="19"/>
              </w:rPr>
              <w:t>$000</w:t>
            </w:r>
          </w:p>
        </w:tc>
      </w:tr>
      <w:tr>
        <w:trPr>
          <w:trHeight w:val="317" w:hRule="atLeast"/>
        </w:trPr>
        <w:tc>
          <w:tcPr>
            <w:tcW w:w="5131" w:type="dxa"/>
            <w:tcBorders>
              <w:top w:val="nil"/>
              <w:right w:val="nil"/>
            </w:tcBorders>
            <w:shd w:val="clear" w:color="auto" w:fill="F4F4F4"/>
          </w:tcPr>
          <w:p>
            <w:pPr>
              <w:pStyle w:val="TableParagraph"/>
              <w:spacing w:before="42"/>
              <w:ind w:left="113"/>
              <w:rPr>
                <w:i/>
                <w:sz w:val="19"/>
              </w:rPr>
            </w:pPr>
            <w:r>
              <w:rPr>
                <w:i/>
                <w:color w:val="A7BE39"/>
                <w:sz w:val="19"/>
              </w:rPr>
              <w:t>Financial Assets</w:t>
            </w:r>
          </w:p>
        </w:tc>
        <w:tc>
          <w:tcPr>
            <w:tcW w:w="1134" w:type="dxa"/>
            <w:tcBorders>
              <w:top w:val="nil"/>
              <w:left w:val="nil"/>
              <w:bottom w:val="nil"/>
              <w:right w:val="nil"/>
            </w:tcBorders>
            <w:shd w:val="clear" w:color="auto" w:fill="DFE1B8"/>
          </w:tcPr>
          <w:p>
            <w:pPr>
              <w:pStyle w:val="TableParagraph"/>
              <w:spacing w:before="0"/>
              <w:rPr>
                <w:rFonts w:ascii="Times New Roman"/>
                <w:sz w:val="20"/>
              </w:rPr>
            </w:pPr>
          </w:p>
        </w:tc>
        <w:tc>
          <w:tcPr>
            <w:tcW w:w="1134" w:type="dxa"/>
            <w:tcBorders>
              <w:top w:val="nil"/>
              <w:left w:val="nil"/>
            </w:tcBorders>
            <w:shd w:val="clear" w:color="auto" w:fill="F4F4F4"/>
          </w:tcPr>
          <w:p>
            <w:pPr>
              <w:pStyle w:val="TableParagraph"/>
              <w:spacing w:before="0"/>
              <w:rPr>
                <w:rFonts w:ascii="Times New Roman"/>
                <w:sz w:val="20"/>
              </w:rPr>
            </w:pPr>
          </w:p>
        </w:tc>
      </w:tr>
      <w:tr>
        <w:trPr>
          <w:trHeight w:val="307" w:hRule="atLeast"/>
        </w:trPr>
        <w:tc>
          <w:tcPr>
            <w:tcW w:w="5131" w:type="dxa"/>
            <w:tcBorders>
              <w:right w:val="nil"/>
            </w:tcBorders>
            <w:shd w:val="clear" w:color="auto" w:fill="FAF9F9"/>
          </w:tcPr>
          <w:p>
            <w:pPr>
              <w:pStyle w:val="TableParagraph"/>
              <w:ind w:left="113"/>
              <w:rPr>
                <w:sz w:val="19"/>
              </w:rPr>
            </w:pPr>
            <w:r>
              <w:rPr>
                <w:sz w:val="19"/>
              </w:rPr>
              <w:t>Cash and cash equivalents</w:t>
            </w:r>
          </w:p>
        </w:tc>
        <w:tc>
          <w:tcPr>
            <w:tcW w:w="1134" w:type="dxa"/>
            <w:tcBorders>
              <w:top w:val="nil"/>
              <w:left w:val="nil"/>
              <w:bottom w:val="nil"/>
              <w:right w:val="nil"/>
            </w:tcBorders>
            <w:shd w:val="clear" w:color="auto" w:fill="DFE1B8"/>
          </w:tcPr>
          <w:p>
            <w:pPr>
              <w:pStyle w:val="TableParagraph"/>
              <w:ind w:right="101"/>
              <w:jc w:val="right"/>
              <w:rPr>
                <w:sz w:val="19"/>
              </w:rPr>
            </w:pPr>
            <w:r>
              <w:rPr>
                <w:w w:val="95"/>
                <w:sz w:val="19"/>
              </w:rPr>
              <w:t>70,618</w:t>
            </w:r>
          </w:p>
        </w:tc>
        <w:tc>
          <w:tcPr>
            <w:tcW w:w="1134" w:type="dxa"/>
            <w:tcBorders>
              <w:left w:val="nil"/>
            </w:tcBorders>
            <w:shd w:val="clear" w:color="auto" w:fill="FAF9F9"/>
          </w:tcPr>
          <w:p>
            <w:pPr>
              <w:pStyle w:val="TableParagraph"/>
              <w:ind w:right="91"/>
              <w:jc w:val="right"/>
              <w:rPr>
                <w:sz w:val="19"/>
              </w:rPr>
            </w:pPr>
            <w:r>
              <w:rPr>
                <w:w w:val="95"/>
                <w:sz w:val="19"/>
              </w:rPr>
              <w:t>85,247</w:t>
            </w:r>
          </w:p>
        </w:tc>
      </w:tr>
      <w:tr>
        <w:trPr>
          <w:trHeight w:val="307" w:hRule="atLeast"/>
        </w:trPr>
        <w:tc>
          <w:tcPr>
            <w:tcW w:w="5131" w:type="dxa"/>
            <w:tcBorders>
              <w:right w:val="nil"/>
            </w:tcBorders>
            <w:shd w:val="clear" w:color="auto" w:fill="F4F4F4"/>
          </w:tcPr>
          <w:p>
            <w:pPr>
              <w:pStyle w:val="TableParagraph"/>
              <w:ind w:left="113"/>
              <w:rPr>
                <w:sz w:val="19"/>
              </w:rPr>
            </w:pPr>
            <w:r>
              <w:rPr>
                <w:sz w:val="19"/>
              </w:rPr>
              <w:t>Restricted cash and cash equivalents</w:t>
            </w:r>
          </w:p>
        </w:tc>
        <w:tc>
          <w:tcPr>
            <w:tcW w:w="1134" w:type="dxa"/>
            <w:tcBorders>
              <w:top w:val="nil"/>
              <w:left w:val="nil"/>
              <w:bottom w:val="nil"/>
              <w:right w:val="nil"/>
            </w:tcBorders>
            <w:shd w:val="clear" w:color="auto" w:fill="DFE1B8"/>
          </w:tcPr>
          <w:p>
            <w:pPr>
              <w:pStyle w:val="TableParagraph"/>
              <w:ind w:right="101"/>
              <w:jc w:val="right"/>
              <w:rPr>
                <w:sz w:val="19"/>
              </w:rPr>
            </w:pPr>
            <w:r>
              <w:rPr>
                <w:w w:val="95"/>
                <w:sz w:val="19"/>
              </w:rPr>
              <w:t>3,569</w:t>
            </w:r>
          </w:p>
        </w:tc>
        <w:tc>
          <w:tcPr>
            <w:tcW w:w="1134" w:type="dxa"/>
            <w:tcBorders>
              <w:left w:val="nil"/>
            </w:tcBorders>
            <w:shd w:val="clear" w:color="auto" w:fill="F4F4F4"/>
          </w:tcPr>
          <w:p>
            <w:pPr>
              <w:pStyle w:val="TableParagraph"/>
              <w:ind w:right="91"/>
              <w:jc w:val="right"/>
              <w:rPr>
                <w:sz w:val="19"/>
              </w:rPr>
            </w:pPr>
            <w:r>
              <w:rPr>
                <w:w w:val="95"/>
                <w:sz w:val="19"/>
              </w:rPr>
              <w:t>12,983</w:t>
            </w:r>
          </w:p>
        </w:tc>
      </w:tr>
      <w:tr>
        <w:trPr>
          <w:trHeight w:val="307" w:hRule="atLeast"/>
        </w:trPr>
        <w:tc>
          <w:tcPr>
            <w:tcW w:w="5131" w:type="dxa"/>
            <w:tcBorders>
              <w:right w:val="nil"/>
            </w:tcBorders>
            <w:shd w:val="clear" w:color="auto" w:fill="FAF9F9"/>
          </w:tcPr>
          <w:p>
            <w:pPr>
              <w:pStyle w:val="TableParagraph"/>
              <w:ind w:left="113"/>
              <w:rPr>
                <w:sz w:val="10"/>
              </w:rPr>
            </w:pPr>
            <w:r>
              <w:rPr>
                <w:sz w:val="19"/>
              </w:rPr>
              <w:t>Receivables</w:t>
            </w:r>
            <w:r>
              <w:rPr>
                <w:position w:val="6"/>
                <w:sz w:val="10"/>
              </w:rPr>
              <w:t>(a)</w:t>
            </w:r>
          </w:p>
        </w:tc>
        <w:tc>
          <w:tcPr>
            <w:tcW w:w="1134" w:type="dxa"/>
            <w:tcBorders>
              <w:top w:val="nil"/>
              <w:left w:val="nil"/>
              <w:bottom w:val="nil"/>
              <w:right w:val="nil"/>
            </w:tcBorders>
            <w:shd w:val="clear" w:color="auto" w:fill="DFE1B8"/>
          </w:tcPr>
          <w:p>
            <w:pPr>
              <w:pStyle w:val="TableParagraph"/>
              <w:ind w:right="101"/>
              <w:jc w:val="right"/>
              <w:rPr>
                <w:sz w:val="19"/>
              </w:rPr>
            </w:pPr>
            <w:r>
              <w:rPr>
                <w:w w:val="95"/>
                <w:sz w:val="19"/>
              </w:rPr>
              <w:t>178,379</w:t>
            </w:r>
          </w:p>
        </w:tc>
        <w:tc>
          <w:tcPr>
            <w:tcW w:w="1134" w:type="dxa"/>
            <w:tcBorders>
              <w:left w:val="nil"/>
            </w:tcBorders>
            <w:shd w:val="clear" w:color="auto" w:fill="FAF9F9"/>
          </w:tcPr>
          <w:p>
            <w:pPr>
              <w:pStyle w:val="TableParagraph"/>
              <w:ind w:right="91"/>
              <w:jc w:val="right"/>
              <w:rPr>
                <w:sz w:val="19"/>
              </w:rPr>
            </w:pPr>
            <w:r>
              <w:rPr>
                <w:w w:val="95"/>
                <w:sz w:val="19"/>
              </w:rPr>
              <w:t>294,710</w:t>
            </w:r>
          </w:p>
        </w:tc>
      </w:tr>
      <w:tr>
        <w:trPr>
          <w:trHeight w:val="307" w:hRule="atLeast"/>
        </w:trPr>
        <w:tc>
          <w:tcPr>
            <w:tcW w:w="5131" w:type="dxa"/>
            <w:tcBorders>
              <w:right w:val="nil"/>
            </w:tcBorders>
            <w:shd w:val="clear" w:color="auto" w:fill="F4F4F4"/>
          </w:tcPr>
          <w:p>
            <w:pPr>
              <w:pStyle w:val="TableParagraph"/>
              <w:ind w:left="113"/>
              <w:rPr>
                <w:sz w:val="19"/>
              </w:rPr>
            </w:pPr>
            <w:r>
              <w:rPr>
                <w:sz w:val="19"/>
              </w:rPr>
              <w:t>Finance lease receivables</w:t>
            </w:r>
          </w:p>
        </w:tc>
        <w:tc>
          <w:tcPr>
            <w:tcW w:w="1134" w:type="dxa"/>
            <w:tcBorders>
              <w:top w:val="nil"/>
              <w:left w:val="nil"/>
              <w:bottom w:val="nil"/>
              <w:right w:val="nil"/>
            </w:tcBorders>
            <w:shd w:val="clear" w:color="auto" w:fill="DFE1B8"/>
          </w:tcPr>
          <w:p>
            <w:pPr>
              <w:pStyle w:val="TableParagraph"/>
              <w:ind w:right="101"/>
              <w:jc w:val="right"/>
              <w:rPr>
                <w:sz w:val="19"/>
              </w:rPr>
            </w:pPr>
            <w:r>
              <w:rPr>
                <w:w w:val="95"/>
                <w:sz w:val="19"/>
              </w:rPr>
              <w:t>1,091</w:t>
            </w:r>
          </w:p>
        </w:tc>
        <w:tc>
          <w:tcPr>
            <w:tcW w:w="1134" w:type="dxa"/>
            <w:tcBorders>
              <w:left w:val="nil"/>
            </w:tcBorders>
            <w:shd w:val="clear" w:color="auto" w:fill="F4F4F4"/>
          </w:tcPr>
          <w:p>
            <w:pPr>
              <w:pStyle w:val="TableParagraph"/>
              <w:ind w:right="91"/>
              <w:jc w:val="right"/>
              <w:rPr>
                <w:sz w:val="19"/>
              </w:rPr>
            </w:pPr>
            <w:r>
              <w:rPr>
                <w:w w:val="95"/>
                <w:sz w:val="19"/>
              </w:rPr>
              <w:t>1,797</w:t>
            </w:r>
          </w:p>
        </w:tc>
      </w:tr>
      <w:tr>
        <w:trPr>
          <w:trHeight w:val="307" w:hRule="atLeast"/>
        </w:trPr>
        <w:tc>
          <w:tcPr>
            <w:tcW w:w="5131" w:type="dxa"/>
            <w:tcBorders>
              <w:right w:val="nil"/>
            </w:tcBorders>
            <w:shd w:val="clear" w:color="auto" w:fill="FAF9F9"/>
          </w:tcPr>
          <w:p>
            <w:pPr>
              <w:pStyle w:val="TableParagraph"/>
              <w:ind w:left="113"/>
              <w:rPr>
                <w:sz w:val="19"/>
              </w:rPr>
            </w:pPr>
            <w:r>
              <w:rPr>
                <w:sz w:val="19"/>
              </w:rPr>
              <w:t>Amounts receivable for services</w:t>
            </w:r>
          </w:p>
        </w:tc>
        <w:tc>
          <w:tcPr>
            <w:tcW w:w="1134" w:type="dxa"/>
            <w:tcBorders>
              <w:top w:val="nil"/>
              <w:left w:val="nil"/>
              <w:bottom w:val="single" w:sz="4" w:space="0" w:color="000000"/>
              <w:right w:val="nil"/>
            </w:tcBorders>
            <w:shd w:val="clear" w:color="auto" w:fill="DFE1B8"/>
          </w:tcPr>
          <w:p>
            <w:pPr>
              <w:pStyle w:val="TableParagraph"/>
              <w:ind w:right="101"/>
              <w:jc w:val="right"/>
              <w:rPr>
                <w:sz w:val="19"/>
              </w:rPr>
            </w:pPr>
            <w:r>
              <w:rPr>
                <w:w w:val="95"/>
                <w:sz w:val="19"/>
              </w:rPr>
              <w:t>464,146</w:t>
            </w:r>
          </w:p>
        </w:tc>
        <w:tc>
          <w:tcPr>
            <w:tcW w:w="1134" w:type="dxa"/>
            <w:tcBorders>
              <w:left w:val="nil"/>
              <w:bottom w:val="single" w:sz="4" w:space="0" w:color="000000"/>
            </w:tcBorders>
            <w:shd w:val="clear" w:color="auto" w:fill="FAF9F9"/>
          </w:tcPr>
          <w:p>
            <w:pPr>
              <w:pStyle w:val="TableParagraph"/>
              <w:ind w:right="91"/>
              <w:jc w:val="right"/>
              <w:rPr>
                <w:sz w:val="19"/>
              </w:rPr>
            </w:pPr>
            <w:r>
              <w:rPr>
                <w:w w:val="95"/>
                <w:sz w:val="19"/>
              </w:rPr>
              <w:t>411,714</w:t>
            </w:r>
          </w:p>
        </w:tc>
      </w:tr>
      <w:tr>
        <w:trPr>
          <w:trHeight w:val="294" w:hRule="atLeast"/>
        </w:trPr>
        <w:tc>
          <w:tcPr>
            <w:tcW w:w="5131" w:type="dxa"/>
            <w:tcBorders>
              <w:right w:val="nil"/>
            </w:tcBorders>
            <w:shd w:val="clear" w:color="auto" w:fill="F4F4F4"/>
          </w:tcPr>
          <w:p>
            <w:pPr>
              <w:pStyle w:val="TableParagraph"/>
              <w:spacing w:before="0"/>
              <w:rPr>
                <w:rFonts w:ascii="Times New Roman"/>
                <w:sz w:val="20"/>
              </w:rPr>
            </w:pPr>
          </w:p>
        </w:tc>
        <w:tc>
          <w:tcPr>
            <w:tcW w:w="1134" w:type="dxa"/>
            <w:tcBorders>
              <w:top w:val="single" w:sz="4" w:space="0" w:color="000000"/>
              <w:left w:val="nil"/>
              <w:bottom w:val="double" w:sz="2" w:space="0" w:color="000000"/>
              <w:right w:val="nil"/>
            </w:tcBorders>
            <w:shd w:val="clear" w:color="auto" w:fill="DFE1B8"/>
          </w:tcPr>
          <w:p>
            <w:pPr>
              <w:pStyle w:val="TableParagraph"/>
              <w:ind w:right="101"/>
              <w:jc w:val="right"/>
              <w:rPr>
                <w:b/>
                <w:sz w:val="19"/>
              </w:rPr>
            </w:pPr>
            <w:r>
              <w:rPr>
                <w:b/>
                <w:w w:val="95"/>
                <w:sz w:val="19"/>
              </w:rPr>
              <w:t>717,803</w:t>
            </w:r>
          </w:p>
        </w:tc>
        <w:tc>
          <w:tcPr>
            <w:tcW w:w="1134" w:type="dxa"/>
            <w:tcBorders>
              <w:top w:val="single" w:sz="4" w:space="0" w:color="000000"/>
              <w:left w:val="nil"/>
              <w:bottom w:val="double" w:sz="2" w:space="0" w:color="000000"/>
            </w:tcBorders>
            <w:shd w:val="clear" w:color="auto" w:fill="F4F4F4"/>
          </w:tcPr>
          <w:p>
            <w:pPr>
              <w:pStyle w:val="TableParagraph"/>
              <w:ind w:right="91"/>
              <w:jc w:val="right"/>
              <w:rPr>
                <w:b/>
                <w:sz w:val="19"/>
              </w:rPr>
            </w:pPr>
            <w:r>
              <w:rPr>
                <w:b/>
                <w:w w:val="95"/>
                <w:sz w:val="19"/>
              </w:rPr>
              <w:t>806,451</w:t>
            </w:r>
          </w:p>
        </w:tc>
      </w:tr>
      <w:tr>
        <w:trPr>
          <w:trHeight w:val="294" w:hRule="atLeast"/>
        </w:trPr>
        <w:tc>
          <w:tcPr>
            <w:tcW w:w="5131" w:type="dxa"/>
            <w:tcBorders>
              <w:right w:val="nil"/>
            </w:tcBorders>
            <w:shd w:val="clear" w:color="auto" w:fill="FAF9F9"/>
          </w:tcPr>
          <w:p>
            <w:pPr>
              <w:pStyle w:val="TableParagraph"/>
              <w:spacing w:before="20"/>
              <w:ind w:left="113"/>
              <w:rPr>
                <w:i/>
                <w:sz w:val="19"/>
              </w:rPr>
            </w:pPr>
            <w:r>
              <w:rPr>
                <w:i/>
                <w:color w:val="A7BE39"/>
                <w:sz w:val="19"/>
              </w:rPr>
              <w:t>Financial Liabilities</w:t>
            </w:r>
          </w:p>
        </w:tc>
        <w:tc>
          <w:tcPr>
            <w:tcW w:w="1134" w:type="dxa"/>
            <w:tcBorders>
              <w:top w:val="double" w:sz="2" w:space="0" w:color="000000"/>
              <w:left w:val="nil"/>
              <w:bottom w:val="nil"/>
              <w:right w:val="nil"/>
            </w:tcBorders>
            <w:shd w:val="clear" w:color="auto" w:fill="E1E4BB"/>
          </w:tcPr>
          <w:p>
            <w:pPr>
              <w:pStyle w:val="TableParagraph"/>
              <w:spacing w:before="0"/>
              <w:rPr>
                <w:rFonts w:ascii="Times New Roman"/>
                <w:sz w:val="20"/>
              </w:rPr>
            </w:pPr>
          </w:p>
        </w:tc>
        <w:tc>
          <w:tcPr>
            <w:tcW w:w="1134" w:type="dxa"/>
            <w:tcBorders>
              <w:top w:val="double" w:sz="2" w:space="0" w:color="000000"/>
              <w:left w:val="nil"/>
            </w:tcBorders>
            <w:shd w:val="clear" w:color="auto" w:fill="FAF9F9"/>
          </w:tcPr>
          <w:p>
            <w:pPr>
              <w:pStyle w:val="TableParagraph"/>
              <w:spacing w:before="0"/>
              <w:rPr>
                <w:rFonts w:ascii="Times New Roman"/>
                <w:sz w:val="20"/>
              </w:rPr>
            </w:pPr>
          </w:p>
        </w:tc>
      </w:tr>
      <w:tr>
        <w:trPr>
          <w:trHeight w:val="307" w:hRule="atLeast"/>
        </w:trPr>
        <w:tc>
          <w:tcPr>
            <w:tcW w:w="5131" w:type="dxa"/>
            <w:tcBorders>
              <w:right w:val="nil"/>
            </w:tcBorders>
            <w:shd w:val="clear" w:color="auto" w:fill="F4F4F4"/>
          </w:tcPr>
          <w:p>
            <w:pPr>
              <w:pStyle w:val="TableParagraph"/>
              <w:ind w:left="113"/>
              <w:rPr>
                <w:sz w:val="10"/>
              </w:rPr>
            </w:pPr>
            <w:r>
              <w:rPr>
                <w:sz w:val="19"/>
              </w:rPr>
              <w:t>Payables</w:t>
            </w:r>
            <w:r>
              <w:rPr>
                <w:position w:val="6"/>
                <w:sz w:val="10"/>
              </w:rPr>
              <w:t>(b)</w:t>
            </w:r>
          </w:p>
        </w:tc>
        <w:tc>
          <w:tcPr>
            <w:tcW w:w="1134" w:type="dxa"/>
            <w:tcBorders>
              <w:top w:val="nil"/>
              <w:left w:val="nil"/>
              <w:bottom w:val="nil"/>
              <w:right w:val="nil"/>
            </w:tcBorders>
            <w:shd w:val="clear" w:color="auto" w:fill="E1E4BB"/>
          </w:tcPr>
          <w:p>
            <w:pPr>
              <w:pStyle w:val="TableParagraph"/>
              <w:ind w:right="101"/>
              <w:jc w:val="right"/>
              <w:rPr>
                <w:sz w:val="19"/>
              </w:rPr>
            </w:pPr>
            <w:r>
              <w:rPr>
                <w:w w:val="95"/>
                <w:sz w:val="19"/>
              </w:rPr>
              <w:t>113,347</w:t>
            </w:r>
          </w:p>
        </w:tc>
        <w:tc>
          <w:tcPr>
            <w:tcW w:w="1134" w:type="dxa"/>
            <w:tcBorders>
              <w:left w:val="nil"/>
            </w:tcBorders>
            <w:shd w:val="clear" w:color="auto" w:fill="F4F4F4"/>
          </w:tcPr>
          <w:p>
            <w:pPr>
              <w:pStyle w:val="TableParagraph"/>
              <w:ind w:right="91"/>
              <w:jc w:val="right"/>
              <w:rPr>
                <w:sz w:val="19"/>
              </w:rPr>
            </w:pPr>
            <w:r>
              <w:rPr>
                <w:w w:val="95"/>
                <w:sz w:val="19"/>
              </w:rPr>
              <w:t>274,032</w:t>
            </w:r>
          </w:p>
        </w:tc>
      </w:tr>
      <w:tr>
        <w:trPr>
          <w:trHeight w:val="307" w:hRule="atLeast"/>
        </w:trPr>
        <w:tc>
          <w:tcPr>
            <w:tcW w:w="5131" w:type="dxa"/>
            <w:tcBorders>
              <w:right w:val="nil"/>
            </w:tcBorders>
            <w:shd w:val="clear" w:color="auto" w:fill="FAF9F9"/>
          </w:tcPr>
          <w:p>
            <w:pPr>
              <w:pStyle w:val="TableParagraph"/>
              <w:ind w:left="113"/>
              <w:rPr>
                <w:sz w:val="19"/>
              </w:rPr>
            </w:pPr>
            <w:r>
              <w:rPr>
                <w:sz w:val="19"/>
              </w:rPr>
              <w:t>WATC borrowings</w:t>
            </w:r>
          </w:p>
        </w:tc>
        <w:tc>
          <w:tcPr>
            <w:tcW w:w="1134" w:type="dxa"/>
            <w:tcBorders>
              <w:top w:val="nil"/>
              <w:left w:val="nil"/>
              <w:bottom w:val="nil"/>
              <w:right w:val="nil"/>
            </w:tcBorders>
            <w:shd w:val="clear" w:color="auto" w:fill="E1E4BB"/>
          </w:tcPr>
          <w:p>
            <w:pPr>
              <w:pStyle w:val="TableParagraph"/>
              <w:ind w:right="101"/>
              <w:jc w:val="right"/>
              <w:rPr>
                <w:sz w:val="19"/>
              </w:rPr>
            </w:pPr>
            <w:r>
              <w:rPr>
                <w:w w:val="95"/>
                <w:sz w:val="19"/>
              </w:rPr>
              <w:t>47,471</w:t>
            </w:r>
          </w:p>
        </w:tc>
        <w:tc>
          <w:tcPr>
            <w:tcW w:w="1134" w:type="dxa"/>
            <w:tcBorders>
              <w:left w:val="nil"/>
            </w:tcBorders>
            <w:shd w:val="clear" w:color="auto" w:fill="FAF9F9"/>
          </w:tcPr>
          <w:p>
            <w:pPr>
              <w:pStyle w:val="TableParagraph"/>
              <w:ind w:right="91"/>
              <w:jc w:val="right"/>
              <w:rPr>
                <w:sz w:val="19"/>
              </w:rPr>
            </w:pPr>
            <w:r>
              <w:rPr>
                <w:w w:val="95"/>
                <w:sz w:val="19"/>
              </w:rPr>
              <w:t>75,236</w:t>
            </w:r>
          </w:p>
        </w:tc>
      </w:tr>
      <w:tr>
        <w:trPr>
          <w:trHeight w:val="307" w:hRule="atLeast"/>
        </w:trPr>
        <w:tc>
          <w:tcPr>
            <w:tcW w:w="5131" w:type="dxa"/>
            <w:tcBorders>
              <w:right w:val="nil"/>
            </w:tcBorders>
            <w:shd w:val="clear" w:color="auto" w:fill="F4F4F4"/>
          </w:tcPr>
          <w:p>
            <w:pPr>
              <w:pStyle w:val="TableParagraph"/>
              <w:ind w:left="113"/>
              <w:rPr>
                <w:sz w:val="19"/>
              </w:rPr>
            </w:pPr>
            <w:r>
              <w:rPr>
                <w:sz w:val="19"/>
              </w:rPr>
              <w:t>Heritage Maintenance Payments</w:t>
            </w:r>
          </w:p>
        </w:tc>
        <w:tc>
          <w:tcPr>
            <w:tcW w:w="1134" w:type="dxa"/>
            <w:tcBorders>
              <w:top w:val="nil"/>
              <w:left w:val="nil"/>
              <w:bottom w:val="single" w:sz="4" w:space="0" w:color="000000"/>
              <w:right w:val="nil"/>
            </w:tcBorders>
            <w:shd w:val="clear" w:color="auto" w:fill="E1E4BB"/>
          </w:tcPr>
          <w:p>
            <w:pPr>
              <w:pStyle w:val="TableParagraph"/>
              <w:ind w:right="101"/>
              <w:jc w:val="right"/>
              <w:rPr>
                <w:sz w:val="19"/>
              </w:rPr>
            </w:pPr>
            <w:r>
              <w:rPr>
                <w:w w:val="95"/>
                <w:sz w:val="19"/>
              </w:rPr>
              <w:t>54,345</w:t>
            </w:r>
          </w:p>
        </w:tc>
        <w:tc>
          <w:tcPr>
            <w:tcW w:w="1134" w:type="dxa"/>
            <w:tcBorders>
              <w:left w:val="nil"/>
              <w:bottom w:val="single" w:sz="4" w:space="0" w:color="000000"/>
            </w:tcBorders>
            <w:shd w:val="clear" w:color="auto" w:fill="F4F4F4"/>
          </w:tcPr>
          <w:p>
            <w:pPr>
              <w:pStyle w:val="TableParagraph"/>
              <w:ind w:right="91"/>
              <w:jc w:val="right"/>
              <w:rPr>
                <w:sz w:val="19"/>
              </w:rPr>
            </w:pPr>
            <w:r>
              <w:rPr>
                <w:w w:val="95"/>
                <w:sz w:val="19"/>
              </w:rPr>
              <w:t>53,080</w:t>
            </w:r>
          </w:p>
        </w:tc>
      </w:tr>
      <w:tr>
        <w:trPr>
          <w:trHeight w:val="287" w:hRule="atLeast"/>
        </w:trPr>
        <w:tc>
          <w:tcPr>
            <w:tcW w:w="5131" w:type="dxa"/>
            <w:tcBorders>
              <w:right w:val="nil"/>
            </w:tcBorders>
            <w:shd w:val="clear" w:color="auto" w:fill="FAF9F9"/>
          </w:tcPr>
          <w:p>
            <w:pPr>
              <w:pStyle w:val="TableParagraph"/>
              <w:spacing w:before="0"/>
              <w:rPr>
                <w:rFonts w:ascii="Times New Roman"/>
                <w:sz w:val="20"/>
              </w:rPr>
            </w:pPr>
          </w:p>
        </w:tc>
        <w:tc>
          <w:tcPr>
            <w:tcW w:w="1134" w:type="dxa"/>
            <w:tcBorders>
              <w:top w:val="single" w:sz="4" w:space="0" w:color="000000"/>
              <w:left w:val="nil"/>
              <w:bottom w:val="single" w:sz="24" w:space="0" w:color="FFFFFF"/>
              <w:right w:val="nil"/>
            </w:tcBorders>
            <w:shd w:val="clear" w:color="auto" w:fill="E1E4BB"/>
          </w:tcPr>
          <w:p>
            <w:pPr>
              <w:pStyle w:val="TableParagraph"/>
              <w:ind w:right="101"/>
              <w:jc w:val="right"/>
              <w:rPr>
                <w:b/>
                <w:sz w:val="19"/>
              </w:rPr>
            </w:pPr>
            <w:r>
              <w:rPr>
                <w:b/>
                <w:w w:val="95"/>
                <w:sz w:val="19"/>
              </w:rPr>
              <w:t>215,163</w:t>
            </w:r>
          </w:p>
        </w:tc>
        <w:tc>
          <w:tcPr>
            <w:tcW w:w="1134" w:type="dxa"/>
            <w:tcBorders>
              <w:top w:val="single" w:sz="4" w:space="0" w:color="000000"/>
              <w:left w:val="nil"/>
              <w:bottom w:val="single" w:sz="24" w:space="0" w:color="FFFFFF"/>
            </w:tcBorders>
            <w:shd w:val="clear" w:color="auto" w:fill="FAF9F9"/>
          </w:tcPr>
          <w:p>
            <w:pPr>
              <w:pStyle w:val="TableParagraph"/>
              <w:ind w:right="91"/>
              <w:jc w:val="right"/>
              <w:rPr>
                <w:b/>
                <w:sz w:val="19"/>
              </w:rPr>
            </w:pPr>
            <w:r>
              <w:rPr>
                <w:b/>
                <w:w w:val="95"/>
                <w:sz w:val="19"/>
              </w:rPr>
              <w:t>402,348</w:t>
            </w:r>
          </w:p>
        </w:tc>
      </w:tr>
    </w:tbl>
    <w:p>
      <w:pPr>
        <w:pStyle w:val="BodyText"/>
        <w:spacing w:line="20" w:lineRule="exact"/>
        <w:ind w:left="5537"/>
        <w:rPr>
          <w:sz w:val="2"/>
        </w:rPr>
      </w:pPr>
      <w:r>
        <w:rPr>
          <w:sz w:val="2"/>
        </w:rPr>
        <w:pict>
          <v:group style="width:113.9pt;height:.550pt;mso-position-horizontal-relative:char;mso-position-vertical-relative:line" coordorigin="0,0" coordsize="2278,11">
            <v:line style="position:absolute" from="0,5" to="1134,5" stroked="true" strokeweight=".501pt" strokecolor="#000000">
              <v:stroke dashstyle="solid"/>
            </v:line>
            <v:line style="position:absolute" from="1134,5" to="2278,5" stroked="true" strokeweight=".501pt" strokecolor="#000000">
              <v:stroke dashstyle="solid"/>
            </v:line>
          </v:group>
        </w:pict>
      </w:r>
      <w:r>
        <w:rPr>
          <w:sz w:val="2"/>
        </w:rPr>
      </w:r>
    </w:p>
    <w:p>
      <w:pPr>
        <w:pStyle w:val="ListParagraph"/>
        <w:numPr>
          <w:ilvl w:val="0"/>
          <w:numId w:val="17"/>
        </w:numPr>
        <w:tabs>
          <w:tab w:pos="594" w:val="left" w:leader="none"/>
        </w:tabs>
        <w:spacing w:line="240" w:lineRule="auto" w:before="103" w:after="0"/>
        <w:ind w:left="593" w:right="0" w:hanging="192"/>
        <w:jc w:val="left"/>
        <w:rPr>
          <w:sz w:val="15"/>
        </w:rPr>
      </w:pPr>
      <w:r>
        <w:rPr>
          <w:sz w:val="15"/>
        </w:rPr>
        <w:t>The</w:t>
      </w:r>
      <w:r>
        <w:rPr>
          <w:spacing w:val="-4"/>
          <w:sz w:val="15"/>
        </w:rPr>
        <w:t> </w:t>
      </w:r>
      <w:r>
        <w:rPr>
          <w:sz w:val="15"/>
        </w:rPr>
        <w:t>amount</w:t>
      </w:r>
      <w:r>
        <w:rPr>
          <w:spacing w:val="-4"/>
          <w:sz w:val="15"/>
        </w:rPr>
        <w:t> </w:t>
      </w:r>
      <w:r>
        <w:rPr>
          <w:sz w:val="15"/>
        </w:rPr>
        <w:t>of</w:t>
      </w:r>
      <w:r>
        <w:rPr>
          <w:spacing w:val="-4"/>
          <w:sz w:val="15"/>
        </w:rPr>
        <w:t> </w:t>
      </w:r>
      <w:r>
        <w:rPr>
          <w:sz w:val="15"/>
        </w:rPr>
        <w:t>receivables</w:t>
      </w:r>
      <w:r>
        <w:rPr>
          <w:spacing w:val="-4"/>
          <w:sz w:val="15"/>
        </w:rPr>
        <w:t> </w:t>
      </w:r>
      <w:r>
        <w:rPr>
          <w:sz w:val="15"/>
        </w:rPr>
        <w:t>excludes</w:t>
      </w:r>
      <w:r>
        <w:rPr>
          <w:spacing w:val="-4"/>
          <w:sz w:val="15"/>
        </w:rPr>
        <w:t> </w:t>
      </w:r>
      <w:r>
        <w:rPr>
          <w:sz w:val="15"/>
        </w:rPr>
        <w:t>GST</w:t>
      </w:r>
      <w:r>
        <w:rPr>
          <w:spacing w:val="-4"/>
          <w:sz w:val="15"/>
        </w:rPr>
        <w:t> </w:t>
      </w:r>
      <w:r>
        <w:rPr>
          <w:sz w:val="15"/>
        </w:rPr>
        <w:t>recoverable</w:t>
      </w:r>
      <w:r>
        <w:rPr>
          <w:spacing w:val="-4"/>
          <w:sz w:val="15"/>
        </w:rPr>
        <w:t> </w:t>
      </w:r>
      <w:r>
        <w:rPr>
          <w:sz w:val="15"/>
        </w:rPr>
        <w:t>from</w:t>
      </w:r>
      <w:r>
        <w:rPr>
          <w:spacing w:val="-4"/>
          <w:sz w:val="15"/>
        </w:rPr>
        <w:t> </w:t>
      </w:r>
      <w:r>
        <w:rPr>
          <w:sz w:val="15"/>
        </w:rPr>
        <w:t>the</w:t>
      </w:r>
      <w:r>
        <w:rPr>
          <w:spacing w:val="-4"/>
          <w:sz w:val="15"/>
        </w:rPr>
        <w:t> ATO</w:t>
      </w:r>
      <w:r>
        <w:rPr>
          <w:spacing w:val="-3"/>
          <w:sz w:val="15"/>
        </w:rPr>
        <w:t> </w:t>
      </w:r>
      <w:r>
        <w:rPr>
          <w:sz w:val="15"/>
        </w:rPr>
        <w:t>(statutory</w:t>
      </w:r>
      <w:r>
        <w:rPr>
          <w:spacing w:val="-4"/>
          <w:sz w:val="15"/>
        </w:rPr>
        <w:t> </w:t>
      </w:r>
      <w:r>
        <w:rPr>
          <w:sz w:val="15"/>
        </w:rPr>
        <w:t>receivable).</w:t>
      </w:r>
    </w:p>
    <w:p>
      <w:pPr>
        <w:pStyle w:val="ListParagraph"/>
        <w:numPr>
          <w:ilvl w:val="0"/>
          <w:numId w:val="17"/>
        </w:numPr>
        <w:tabs>
          <w:tab w:pos="602" w:val="left" w:leader="none"/>
        </w:tabs>
        <w:spacing w:line="240" w:lineRule="auto" w:before="27" w:after="0"/>
        <w:ind w:left="601" w:right="0" w:hanging="200"/>
        <w:jc w:val="left"/>
        <w:rPr>
          <w:sz w:val="15"/>
        </w:rPr>
      </w:pPr>
      <w:r>
        <w:rPr>
          <w:sz w:val="15"/>
        </w:rPr>
        <w:t>The amount of payables excludes GST payable to the </w:t>
      </w:r>
      <w:r>
        <w:rPr>
          <w:spacing w:val="-4"/>
          <w:sz w:val="15"/>
        </w:rPr>
        <w:t>ATO </w:t>
      </w:r>
      <w:r>
        <w:rPr>
          <w:sz w:val="15"/>
        </w:rPr>
        <w:t>(statutory</w:t>
      </w:r>
      <w:r>
        <w:rPr>
          <w:spacing w:val="-23"/>
          <w:sz w:val="15"/>
        </w:rPr>
        <w:t> </w:t>
      </w:r>
      <w:r>
        <w:rPr>
          <w:sz w:val="15"/>
        </w:rPr>
        <w:t>payable).</w:t>
      </w:r>
    </w:p>
    <w:p>
      <w:pPr>
        <w:spacing w:after="0" w:line="240" w:lineRule="auto"/>
        <w:jc w:val="left"/>
        <w:rPr>
          <w:sz w:val="15"/>
        </w:rPr>
        <w:sectPr>
          <w:type w:val="continuous"/>
          <w:pgSz w:w="16840" w:h="11910" w:orient="landscape"/>
          <w:pgMar w:top="0" w:bottom="0" w:left="0" w:right="0"/>
          <w:cols w:num="2" w:equalWidth="0">
            <w:col w:w="8190" w:space="40"/>
            <w:col w:w="8610"/>
          </w:cols>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pPr>
    </w:p>
    <w:p>
      <w:pPr>
        <w:pStyle w:val="Heading1"/>
        <w:spacing w:before="93"/>
      </w:pPr>
      <w:r>
        <w:rPr/>
        <w:pict>
          <v:group style="position:absolute;margin-left:763.172119pt;margin-top:-3.544212pt;width:61.1pt;height:45.2pt;mso-position-horizontal-relative:page;mso-position-vertical-relative:paragraph;z-index:21688"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21736" coordorigin="0,-1146" coordsize="2406,851">
            <v:rect style="position:absolute;left:0;top:-1147;width:2406;height:851" filled="true" fillcolor="#aebd37" stroked="false">
              <v:fill type="solid"/>
            </v:rect>
            <v:line style="position:absolute" from="0,-1146" to="0,-296" stroked="true" strokeweight="0pt" strokecolor="#aebd37">
              <v:stroke dashstyle="solid"/>
            </v:line>
            <v:shape style="position:absolute;left:0;top:-1147;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21832"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spacing w:before="29"/>
      </w:pPr>
      <w:r>
        <w:rPr>
          <w:color w:val="A7BE39"/>
        </w:rPr>
        <w:t>For the year ended 30 June 2017</w:t>
      </w:r>
    </w:p>
    <w:p>
      <w:pPr>
        <w:pStyle w:val="BodyText"/>
        <w:spacing w:before="11"/>
        <w:rPr>
          <w:sz w:val="14"/>
        </w:rPr>
      </w:pPr>
    </w:p>
    <w:p>
      <w:pPr>
        <w:pStyle w:val="Heading6"/>
        <w:numPr>
          <w:ilvl w:val="0"/>
          <w:numId w:val="17"/>
        </w:numPr>
        <w:tabs>
          <w:tab w:pos="1084" w:val="left" w:leader="none"/>
        </w:tabs>
        <w:spacing w:line="240" w:lineRule="auto" w:before="108" w:after="0"/>
        <w:ind w:left="1083" w:right="0" w:hanging="318"/>
        <w:jc w:val="left"/>
      </w:pPr>
      <w:r>
        <w:rPr/>
        <w:t>Financial instrument</w:t>
      </w:r>
      <w:r>
        <w:rPr>
          <w:spacing w:val="-1"/>
        </w:rPr>
        <w:t> </w:t>
      </w:r>
      <w:r>
        <w:rPr/>
        <w:t>disclosures</w:t>
      </w:r>
    </w:p>
    <w:p>
      <w:pPr>
        <w:spacing w:before="11"/>
        <w:ind w:left="765" w:right="0" w:firstLine="0"/>
        <w:jc w:val="left"/>
        <w:rPr>
          <w:i/>
          <w:sz w:val="22"/>
        </w:rPr>
      </w:pPr>
      <w:r>
        <w:rPr>
          <w:i/>
          <w:sz w:val="22"/>
        </w:rPr>
        <w:t>Credit risk</w:t>
      </w:r>
    </w:p>
    <w:p>
      <w:pPr>
        <w:pStyle w:val="BodyText"/>
        <w:spacing w:line="249" w:lineRule="auto" w:before="11"/>
        <w:ind w:left="765" w:right="285"/>
      </w:pPr>
      <w:r>
        <w:rPr/>
        <w:t>The</w:t>
      </w:r>
      <w:r>
        <w:rPr>
          <w:spacing w:val="-25"/>
        </w:rPr>
        <w:t> </w:t>
      </w:r>
      <w:r>
        <w:rPr>
          <w:spacing w:val="-3"/>
        </w:rPr>
        <w:t>following</w:t>
      </w:r>
      <w:r>
        <w:rPr>
          <w:spacing w:val="-25"/>
        </w:rPr>
        <w:t> </w:t>
      </w:r>
      <w:r>
        <w:rPr>
          <w:spacing w:val="-3"/>
        </w:rPr>
        <w:t>table</w:t>
      </w:r>
      <w:r>
        <w:rPr>
          <w:spacing w:val="-25"/>
        </w:rPr>
        <w:t> </w:t>
      </w:r>
      <w:r>
        <w:rPr>
          <w:spacing w:val="-3"/>
        </w:rPr>
        <w:t>discloses</w:t>
      </w:r>
      <w:r>
        <w:rPr>
          <w:spacing w:val="-24"/>
        </w:rPr>
        <w:t> </w:t>
      </w:r>
      <w:r>
        <w:rPr/>
        <w:t>the</w:t>
      </w:r>
      <w:r>
        <w:rPr>
          <w:spacing w:val="-25"/>
        </w:rPr>
        <w:t> </w:t>
      </w:r>
      <w:r>
        <w:rPr>
          <w:spacing w:val="-5"/>
        </w:rPr>
        <w:t>Department’s</w:t>
      </w:r>
      <w:r>
        <w:rPr>
          <w:spacing w:val="-25"/>
        </w:rPr>
        <w:t> </w:t>
      </w:r>
      <w:r>
        <w:rPr>
          <w:spacing w:val="-3"/>
        </w:rPr>
        <w:t>maximum</w:t>
      </w:r>
      <w:r>
        <w:rPr>
          <w:spacing w:val="-24"/>
        </w:rPr>
        <w:t> </w:t>
      </w:r>
      <w:r>
        <w:rPr>
          <w:spacing w:val="-4"/>
        </w:rPr>
        <w:t>exposure</w:t>
      </w:r>
      <w:r>
        <w:rPr>
          <w:spacing w:val="-25"/>
        </w:rPr>
        <w:t> </w:t>
      </w:r>
      <w:r>
        <w:rPr/>
        <w:t>to</w:t>
      </w:r>
      <w:r>
        <w:rPr>
          <w:spacing w:val="-25"/>
        </w:rPr>
        <w:t> </w:t>
      </w:r>
      <w:r>
        <w:rPr>
          <w:spacing w:val="-4"/>
        </w:rPr>
        <w:t>credit</w:t>
      </w:r>
      <w:r>
        <w:rPr>
          <w:spacing w:val="-25"/>
        </w:rPr>
        <w:t> </w:t>
      </w:r>
      <w:r>
        <w:rPr>
          <w:spacing w:val="-3"/>
        </w:rPr>
        <w:t>risk,</w:t>
      </w:r>
      <w:r>
        <w:rPr>
          <w:spacing w:val="-24"/>
        </w:rPr>
        <w:t> </w:t>
      </w:r>
      <w:r>
        <w:rPr>
          <w:spacing w:val="-4"/>
        </w:rPr>
        <w:t>interest</w:t>
      </w:r>
      <w:r>
        <w:rPr>
          <w:spacing w:val="-25"/>
        </w:rPr>
        <w:t> </w:t>
      </w:r>
      <w:r>
        <w:rPr>
          <w:spacing w:val="-3"/>
        </w:rPr>
        <w:t>rate</w:t>
      </w:r>
      <w:r>
        <w:rPr>
          <w:spacing w:val="-25"/>
        </w:rPr>
        <w:t> </w:t>
      </w:r>
      <w:r>
        <w:rPr>
          <w:spacing w:val="-4"/>
        </w:rPr>
        <w:t>exposures</w:t>
      </w:r>
      <w:r>
        <w:rPr>
          <w:spacing w:val="-24"/>
        </w:rPr>
        <w:t> </w:t>
      </w:r>
      <w:r>
        <w:rPr/>
        <w:t>and</w:t>
      </w:r>
      <w:r>
        <w:rPr>
          <w:spacing w:val="-25"/>
        </w:rPr>
        <w:t> </w:t>
      </w:r>
      <w:r>
        <w:rPr/>
        <w:t>the</w:t>
      </w:r>
      <w:r>
        <w:rPr>
          <w:spacing w:val="-25"/>
        </w:rPr>
        <w:t> </w:t>
      </w:r>
      <w:r>
        <w:rPr>
          <w:spacing w:val="-3"/>
        </w:rPr>
        <w:t>ageing</w:t>
      </w:r>
      <w:r>
        <w:rPr>
          <w:spacing w:val="-25"/>
        </w:rPr>
        <w:t> </w:t>
      </w:r>
      <w:r>
        <w:rPr>
          <w:spacing w:val="-3"/>
        </w:rPr>
        <w:t>analysis</w:t>
      </w:r>
      <w:r>
        <w:rPr>
          <w:spacing w:val="-24"/>
        </w:rPr>
        <w:t> </w:t>
      </w:r>
      <w:r>
        <w:rPr/>
        <w:t>of</w:t>
      </w:r>
      <w:r>
        <w:rPr>
          <w:spacing w:val="-25"/>
        </w:rPr>
        <w:t> </w:t>
      </w:r>
      <w:r>
        <w:rPr>
          <w:spacing w:val="-3"/>
        </w:rPr>
        <w:t>financial</w:t>
      </w:r>
      <w:r>
        <w:rPr>
          <w:spacing w:val="-25"/>
        </w:rPr>
        <w:t> </w:t>
      </w:r>
      <w:r>
        <w:rPr>
          <w:spacing w:val="-3"/>
        </w:rPr>
        <w:t>assets.</w:t>
      </w:r>
      <w:r>
        <w:rPr>
          <w:spacing w:val="-25"/>
        </w:rPr>
        <w:t> </w:t>
      </w:r>
      <w:r>
        <w:rPr/>
        <w:t>The</w:t>
      </w:r>
      <w:r>
        <w:rPr>
          <w:spacing w:val="-24"/>
        </w:rPr>
        <w:t> </w:t>
      </w:r>
      <w:r>
        <w:rPr>
          <w:spacing w:val="-5"/>
        </w:rPr>
        <w:t>Department’s </w:t>
      </w:r>
      <w:r>
        <w:rPr>
          <w:spacing w:val="-3"/>
        </w:rPr>
        <w:t>maximum </w:t>
      </w:r>
      <w:r>
        <w:rPr>
          <w:spacing w:val="-4"/>
        </w:rPr>
        <w:t>exposure </w:t>
      </w:r>
      <w:r>
        <w:rPr/>
        <w:t>to </w:t>
      </w:r>
      <w:r>
        <w:rPr>
          <w:spacing w:val="-4"/>
        </w:rPr>
        <w:t>credit </w:t>
      </w:r>
      <w:r>
        <w:rPr>
          <w:spacing w:val="-3"/>
        </w:rPr>
        <w:t>risk </w:t>
      </w:r>
      <w:r>
        <w:rPr/>
        <w:t>at the end of the </w:t>
      </w:r>
      <w:r>
        <w:rPr>
          <w:spacing w:val="-4"/>
        </w:rPr>
        <w:t>reporting </w:t>
      </w:r>
      <w:r>
        <w:rPr>
          <w:spacing w:val="-3"/>
        </w:rPr>
        <w:t>period </w:t>
      </w:r>
      <w:r>
        <w:rPr/>
        <w:t>is the </w:t>
      </w:r>
      <w:r>
        <w:rPr>
          <w:spacing w:val="-3"/>
        </w:rPr>
        <w:t>carrying amount </w:t>
      </w:r>
      <w:r>
        <w:rPr/>
        <w:t>of </w:t>
      </w:r>
      <w:r>
        <w:rPr>
          <w:spacing w:val="-3"/>
        </w:rPr>
        <w:t>financial assets </w:t>
      </w:r>
      <w:r>
        <w:rPr/>
        <w:t>as </w:t>
      </w:r>
      <w:r>
        <w:rPr>
          <w:spacing w:val="-3"/>
        </w:rPr>
        <w:t>shown </w:t>
      </w:r>
      <w:r>
        <w:rPr>
          <w:spacing w:val="-5"/>
        </w:rPr>
        <w:t>below. </w:t>
      </w:r>
      <w:r>
        <w:rPr/>
        <w:t>The </w:t>
      </w:r>
      <w:r>
        <w:rPr>
          <w:spacing w:val="-3"/>
        </w:rPr>
        <w:t>table discloses </w:t>
      </w:r>
      <w:r>
        <w:rPr/>
        <w:t>the </w:t>
      </w:r>
      <w:r>
        <w:rPr>
          <w:spacing w:val="-3"/>
        </w:rPr>
        <w:t>ageing of financial</w:t>
      </w:r>
      <w:r>
        <w:rPr>
          <w:spacing w:val="-24"/>
        </w:rPr>
        <w:t> </w:t>
      </w:r>
      <w:r>
        <w:rPr>
          <w:spacing w:val="-3"/>
        </w:rPr>
        <w:t>assets</w:t>
      </w:r>
      <w:r>
        <w:rPr>
          <w:spacing w:val="-23"/>
        </w:rPr>
        <w:t> </w:t>
      </w:r>
      <w:r>
        <w:rPr>
          <w:spacing w:val="-3"/>
        </w:rPr>
        <w:t>that</w:t>
      </w:r>
      <w:r>
        <w:rPr>
          <w:spacing w:val="-23"/>
        </w:rPr>
        <w:t> </w:t>
      </w:r>
      <w:r>
        <w:rPr>
          <w:spacing w:val="-4"/>
        </w:rPr>
        <w:t>are</w:t>
      </w:r>
      <w:r>
        <w:rPr>
          <w:spacing w:val="-23"/>
        </w:rPr>
        <w:t> </w:t>
      </w:r>
      <w:r>
        <w:rPr>
          <w:spacing w:val="-3"/>
        </w:rPr>
        <w:t>past</w:t>
      </w:r>
      <w:r>
        <w:rPr>
          <w:spacing w:val="-23"/>
        </w:rPr>
        <w:t> </w:t>
      </w:r>
      <w:r>
        <w:rPr/>
        <w:t>due</w:t>
      </w:r>
      <w:r>
        <w:rPr>
          <w:spacing w:val="-23"/>
        </w:rPr>
        <w:t> </w:t>
      </w:r>
      <w:r>
        <w:rPr/>
        <w:t>but</w:t>
      </w:r>
      <w:r>
        <w:rPr>
          <w:spacing w:val="-23"/>
        </w:rPr>
        <w:t> </w:t>
      </w:r>
      <w:r>
        <w:rPr/>
        <w:t>not</w:t>
      </w:r>
      <w:r>
        <w:rPr>
          <w:spacing w:val="-23"/>
        </w:rPr>
        <w:t> </w:t>
      </w:r>
      <w:r>
        <w:rPr>
          <w:spacing w:val="-4"/>
        </w:rPr>
        <w:t>impaired</w:t>
      </w:r>
      <w:r>
        <w:rPr>
          <w:spacing w:val="-23"/>
        </w:rPr>
        <w:t> </w:t>
      </w:r>
      <w:r>
        <w:rPr/>
        <w:t>and</w:t>
      </w:r>
      <w:r>
        <w:rPr>
          <w:spacing w:val="18"/>
        </w:rPr>
        <w:t> </w:t>
      </w:r>
      <w:r>
        <w:rPr>
          <w:spacing w:val="-4"/>
        </w:rPr>
        <w:t>impaired</w:t>
      </w:r>
      <w:r>
        <w:rPr>
          <w:spacing w:val="-23"/>
        </w:rPr>
        <w:t> </w:t>
      </w:r>
      <w:r>
        <w:rPr>
          <w:spacing w:val="-3"/>
        </w:rPr>
        <w:t>financial</w:t>
      </w:r>
      <w:r>
        <w:rPr>
          <w:spacing w:val="-23"/>
        </w:rPr>
        <w:t> </w:t>
      </w:r>
      <w:r>
        <w:rPr>
          <w:spacing w:val="-3"/>
        </w:rPr>
        <w:t>assets.</w:t>
      </w:r>
      <w:r>
        <w:rPr>
          <w:spacing w:val="-23"/>
        </w:rPr>
        <w:t> </w:t>
      </w:r>
      <w:r>
        <w:rPr/>
        <w:t>The</w:t>
      </w:r>
      <w:r>
        <w:rPr>
          <w:spacing w:val="-23"/>
        </w:rPr>
        <w:t> </w:t>
      </w:r>
      <w:r>
        <w:rPr>
          <w:spacing w:val="-3"/>
        </w:rPr>
        <w:t>table</w:t>
      </w:r>
      <w:r>
        <w:rPr>
          <w:spacing w:val="-23"/>
        </w:rPr>
        <w:t> </w:t>
      </w:r>
      <w:r>
        <w:rPr/>
        <w:t>is</w:t>
      </w:r>
      <w:r>
        <w:rPr>
          <w:spacing w:val="-23"/>
        </w:rPr>
        <w:t> </w:t>
      </w:r>
      <w:r>
        <w:rPr>
          <w:spacing w:val="-3"/>
        </w:rPr>
        <w:t>based</w:t>
      </w:r>
      <w:r>
        <w:rPr>
          <w:spacing w:val="-23"/>
        </w:rPr>
        <w:t> </w:t>
      </w:r>
      <w:r>
        <w:rPr/>
        <w:t>on</w:t>
      </w:r>
      <w:r>
        <w:rPr>
          <w:spacing w:val="-23"/>
        </w:rPr>
        <w:t> </w:t>
      </w:r>
      <w:r>
        <w:rPr>
          <w:spacing w:val="-3"/>
        </w:rPr>
        <w:t>information</w:t>
      </w:r>
      <w:r>
        <w:rPr>
          <w:spacing w:val="-23"/>
        </w:rPr>
        <w:t> </w:t>
      </w:r>
      <w:r>
        <w:rPr>
          <w:spacing w:val="-4"/>
        </w:rPr>
        <w:t>provided</w:t>
      </w:r>
      <w:r>
        <w:rPr>
          <w:spacing w:val="-23"/>
        </w:rPr>
        <w:t> </w:t>
      </w:r>
      <w:r>
        <w:rPr/>
        <w:t>to</w:t>
      </w:r>
      <w:r>
        <w:rPr>
          <w:spacing w:val="-23"/>
        </w:rPr>
        <w:t> </w:t>
      </w:r>
      <w:r>
        <w:rPr>
          <w:spacing w:val="-3"/>
        </w:rPr>
        <w:t>senior</w:t>
      </w:r>
      <w:r>
        <w:rPr>
          <w:spacing w:val="-23"/>
        </w:rPr>
        <w:t> </w:t>
      </w:r>
      <w:r>
        <w:rPr>
          <w:spacing w:val="-3"/>
        </w:rPr>
        <w:t>management</w:t>
      </w:r>
      <w:r>
        <w:rPr>
          <w:spacing w:val="-23"/>
        </w:rPr>
        <w:t> </w:t>
      </w:r>
      <w:r>
        <w:rPr/>
        <w:t>of</w:t>
      </w:r>
      <w:r>
        <w:rPr>
          <w:spacing w:val="-23"/>
        </w:rPr>
        <w:t> </w:t>
      </w:r>
      <w:r>
        <w:rPr/>
        <w:t>the</w:t>
      </w:r>
      <w:r>
        <w:rPr>
          <w:spacing w:val="-23"/>
        </w:rPr>
        <w:t> </w:t>
      </w:r>
      <w:r>
        <w:rPr>
          <w:spacing w:val="-3"/>
        </w:rPr>
        <w:t>Department.</w:t>
      </w:r>
    </w:p>
    <w:p>
      <w:pPr>
        <w:pStyle w:val="BodyText"/>
        <w:spacing w:before="2"/>
        <w:rPr>
          <w:sz w:val="23"/>
        </w:rPr>
      </w:pPr>
    </w:p>
    <w:p>
      <w:pPr>
        <w:pStyle w:val="BodyText"/>
        <w:ind w:left="765"/>
      </w:pPr>
      <w:r>
        <w:rPr/>
        <w:t>The Department does not hold any collateral as security or other credit enhancement relating to the financial assets it holds.</w:t>
      </w:r>
    </w:p>
    <w:p>
      <w:pPr>
        <w:spacing w:before="65" w:after="45"/>
        <w:ind w:left="785" w:right="0" w:firstLine="0"/>
        <w:jc w:val="left"/>
        <w:rPr>
          <w:b/>
          <w:sz w:val="19"/>
        </w:rPr>
      </w:pPr>
      <w:r>
        <w:rPr>
          <w:b/>
          <w:sz w:val="19"/>
        </w:rPr>
        <w:t>Ageing analysis of financial assets</w:t>
      </w: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430"/>
        <w:gridCol w:w="1134"/>
        <w:gridCol w:w="3118"/>
        <w:gridCol w:w="1190"/>
        <w:gridCol w:w="1190"/>
        <w:gridCol w:w="1190"/>
        <w:gridCol w:w="1190"/>
        <w:gridCol w:w="1190"/>
        <w:gridCol w:w="1644"/>
      </w:tblGrid>
      <w:tr>
        <w:trPr>
          <w:trHeight w:val="1089" w:hRule="atLeast"/>
        </w:trPr>
        <w:tc>
          <w:tcPr>
            <w:tcW w:w="4564" w:type="dxa"/>
            <w:gridSpan w:val="2"/>
            <w:tcBorders>
              <w:top w:val="nil"/>
              <w:bottom w:val="nil"/>
              <w:right w:val="nil"/>
            </w:tcBorders>
            <w:shd w:val="clear" w:color="auto" w:fill="783A79"/>
          </w:tcPr>
          <w:p>
            <w:pPr>
              <w:pStyle w:val="TableParagraph"/>
              <w:spacing w:before="1"/>
              <w:rPr>
                <w:b/>
                <w:sz w:val="32"/>
              </w:rPr>
            </w:pPr>
          </w:p>
          <w:p>
            <w:pPr>
              <w:pStyle w:val="TableParagraph"/>
              <w:spacing w:line="249" w:lineRule="auto" w:before="1"/>
              <w:ind w:left="3739" w:right="101" w:hanging="64"/>
              <w:jc w:val="right"/>
              <w:rPr>
                <w:b/>
                <w:sz w:val="19"/>
              </w:rPr>
            </w:pPr>
            <w:r>
              <w:rPr>
                <w:b/>
                <w:color w:val="FFFFFF"/>
                <w:w w:val="95"/>
                <w:sz w:val="19"/>
              </w:rPr>
              <w:t>Carrying Amount</w:t>
            </w:r>
          </w:p>
          <w:p>
            <w:pPr>
              <w:pStyle w:val="TableParagraph"/>
              <w:spacing w:before="1"/>
              <w:ind w:right="101"/>
              <w:jc w:val="right"/>
              <w:rPr>
                <w:b/>
                <w:sz w:val="19"/>
              </w:rPr>
            </w:pPr>
            <w:r>
              <w:rPr>
                <w:b/>
                <w:color w:val="FFFFFF"/>
                <w:w w:val="95"/>
                <w:sz w:val="19"/>
              </w:rPr>
              <w:t>$000</w:t>
            </w:r>
          </w:p>
        </w:tc>
        <w:tc>
          <w:tcPr>
            <w:tcW w:w="3118" w:type="dxa"/>
            <w:tcBorders>
              <w:top w:val="nil"/>
              <w:left w:val="nil"/>
              <w:bottom w:val="nil"/>
              <w:right w:val="single" w:sz="4" w:space="0" w:color="000000"/>
            </w:tcBorders>
            <w:shd w:val="clear" w:color="auto" w:fill="783A79"/>
          </w:tcPr>
          <w:p>
            <w:pPr>
              <w:pStyle w:val="TableParagraph"/>
              <w:spacing w:before="42"/>
              <w:ind w:right="96"/>
              <w:jc w:val="right"/>
              <w:rPr>
                <w:b/>
                <w:sz w:val="19"/>
              </w:rPr>
            </w:pPr>
            <w:r>
              <w:rPr>
                <w:b/>
                <w:color w:val="FFFFFF"/>
                <w:sz w:val="19"/>
              </w:rPr>
              <w:t>Not past due and not</w:t>
            </w:r>
            <w:r>
              <w:rPr>
                <w:b/>
                <w:color w:val="FFFFFF"/>
                <w:spacing w:val="9"/>
                <w:sz w:val="19"/>
              </w:rPr>
              <w:t> </w:t>
            </w:r>
            <w:r>
              <w:rPr>
                <w:b/>
                <w:color w:val="FFFFFF"/>
                <w:sz w:val="19"/>
              </w:rPr>
              <w:t>impaired</w:t>
            </w:r>
          </w:p>
          <w:p>
            <w:pPr>
              <w:pStyle w:val="TableParagraph"/>
              <w:spacing w:before="0"/>
              <w:rPr>
                <w:b/>
                <w:sz w:val="22"/>
              </w:rPr>
            </w:pPr>
          </w:p>
          <w:p>
            <w:pPr>
              <w:pStyle w:val="TableParagraph"/>
              <w:spacing w:before="2"/>
              <w:rPr>
                <w:b/>
                <w:sz w:val="27"/>
              </w:rPr>
            </w:pPr>
          </w:p>
          <w:p>
            <w:pPr>
              <w:pStyle w:val="TableParagraph"/>
              <w:spacing w:before="0"/>
              <w:ind w:right="96"/>
              <w:jc w:val="right"/>
              <w:rPr>
                <w:b/>
                <w:sz w:val="19"/>
              </w:rPr>
            </w:pPr>
            <w:r>
              <w:rPr>
                <w:b/>
                <w:color w:val="FFFFFF"/>
                <w:w w:val="95"/>
                <w:sz w:val="19"/>
              </w:rPr>
              <w:t>$000</w:t>
            </w:r>
          </w:p>
        </w:tc>
        <w:tc>
          <w:tcPr>
            <w:tcW w:w="1190" w:type="dxa"/>
            <w:tcBorders>
              <w:top w:val="nil"/>
              <w:left w:val="single" w:sz="4" w:space="0" w:color="000000"/>
              <w:bottom w:val="nil"/>
              <w:right w:val="nil"/>
            </w:tcBorders>
            <w:shd w:val="clear" w:color="auto" w:fill="783A79"/>
          </w:tcPr>
          <w:p>
            <w:pPr>
              <w:pStyle w:val="TableParagraph"/>
              <w:spacing w:before="1"/>
              <w:rPr>
                <w:b/>
                <w:sz w:val="32"/>
              </w:rPr>
            </w:pPr>
          </w:p>
          <w:p>
            <w:pPr>
              <w:pStyle w:val="TableParagraph"/>
              <w:spacing w:line="249" w:lineRule="auto" w:before="1"/>
              <w:ind w:left="501" w:right="83" w:hanging="71"/>
              <w:rPr>
                <w:b/>
                <w:sz w:val="19"/>
              </w:rPr>
            </w:pPr>
            <w:r>
              <w:rPr>
                <w:b/>
                <w:color w:val="FFFFFF"/>
                <w:sz w:val="19"/>
              </w:rPr>
              <w:t>Up to </w:t>
            </w:r>
            <w:r>
              <w:rPr>
                <w:b/>
                <w:color w:val="FFFFFF"/>
                <w:spacing w:val="-18"/>
                <w:sz w:val="19"/>
              </w:rPr>
              <w:t>1 </w:t>
            </w:r>
            <w:r>
              <w:rPr>
                <w:b/>
                <w:color w:val="FFFFFF"/>
                <w:sz w:val="19"/>
              </w:rPr>
              <w:t>month</w:t>
            </w:r>
          </w:p>
          <w:p>
            <w:pPr>
              <w:pStyle w:val="TableParagraph"/>
              <w:spacing w:before="1"/>
              <w:ind w:left="659"/>
              <w:rPr>
                <w:b/>
                <w:sz w:val="19"/>
              </w:rPr>
            </w:pPr>
            <w:r>
              <w:rPr>
                <w:b/>
                <w:color w:val="FFFFFF"/>
                <w:sz w:val="19"/>
              </w:rPr>
              <w:t>$000</w:t>
            </w:r>
          </w:p>
        </w:tc>
        <w:tc>
          <w:tcPr>
            <w:tcW w:w="3570" w:type="dxa"/>
            <w:gridSpan w:val="3"/>
            <w:tcBorders>
              <w:top w:val="nil"/>
              <w:left w:val="nil"/>
              <w:bottom w:val="nil"/>
              <w:right w:val="nil"/>
            </w:tcBorders>
            <w:shd w:val="clear" w:color="auto" w:fill="783A79"/>
          </w:tcPr>
          <w:p>
            <w:pPr>
              <w:pStyle w:val="TableParagraph"/>
              <w:spacing w:before="42"/>
              <w:ind w:left="628"/>
              <w:rPr>
                <w:b/>
                <w:sz w:val="19"/>
              </w:rPr>
            </w:pPr>
            <w:r>
              <w:rPr>
                <w:b/>
                <w:color w:val="FFFFFF"/>
                <w:sz w:val="19"/>
              </w:rPr>
              <w:t>Past due but not impaired</w:t>
            </w:r>
          </w:p>
          <w:p>
            <w:pPr>
              <w:pStyle w:val="TableParagraph"/>
              <w:tabs>
                <w:tab w:pos="1436" w:val="left" w:leader="none"/>
                <w:tab w:pos="1493" w:val="left" w:leader="none"/>
                <w:tab w:pos="2634" w:val="left" w:leader="none"/>
              </w:tabs>
              <w:spacing w:line="249" w:lineRule="auto" w:before="109"/>
              <w:ind w:left="404" w:right="99" w:firstLine="393"/>
              <w:rPr>
                <w:b/>
                <w:sz w:val="19"/>
              </w:rPr>
            </w:pPr>
            <w:r>
              <w:rPr>
                <w:b/>
                <w:color w:val="FFFFFF"/>
                <w:sz w:val="19"/>
              </w:rPr>
              <w:t>1-3</w:t>
              <w:tab/>
              <w:t>3</w:t>
            </w:r>
            <w:r>
              <w:rPr>
                <w:b/>
                <w:color w:val="FFFFFF"/>
                <w:spacing w:val="-2"/>
                <w:sz w:val="19"/>
              </w:rPr>
              <w:t> </w:t>
            </w:r>
            <w:r>
              <w:rPr>
                <w:b/>
                <w:color w:val="FFFFFF"/>
                <w:sz w:val="19"/>
              </w:rPr>
              <w:t>months</w:t>
              <w:tab/>
              <w:t>1-5 </w:t>
            </w:r>
            <w:r>
              <w:rPr>
                <w:b/>
                <w:color w:val="FFFFFF"/>
                <w:spacing w:val="-4"/>
                <w:sz w:val="19"/>
              </w:rPr>
              <w:t>years </w:t>
            </w:r>
            <w:r>
              <w:rPr>
                <w:b/>
                <w:color w:val="FFFFFF"/>
                <w:sz w:val="19"/>
              </w:rPr>
              <w:t>months</w:t>
              <w:tab/>
              <w:tab/>
              <w:t>to 1 year</w:t>
            </w:r>
          </w:p>
          <w:p>
            <w:pPr>
              <w:pStyle w:val="TableParagraph"/>
              <w:tabs>
                <w:tab w:pos="1855" w:val="left" w:leader="none"/>
                <w:tab w:pos="3045" w:val="left" w:leader="none"/>
              </w:tabs>
              <w:spacing w:before="2"/>
              <w:ind w:left="664"/>
              <w:rPr>
                <w:b/>
                <w:sz w:val="19"/>
              </w:rPr>
            </w:pPr>
            <w:r>
              <w:rPr>
                <w:b/>
                <w:color w:val="FFFFFF"/>
                <w:sz w:val="19"/>
              </w:rPr>
              <w:t>$000</w:t>
              <w:tab/>
              <w:t>$000</w:t>
              <w:tab/>
              <w:t>$000</w:t>
            </w:r>
          </w:p>
        </w:tc>
        <w:tc>
          <w:tcPr>
            <w:tcW w:w="1190" w:type="dxa"/>
            <w:tcBorders>
              <w:top w:val="nil"/>
              <w:left w:val="nil"/>
              <w:bottom w:val="nil"/>
              <w:right w:val="single" w:sz="4" w:space="0" w:color="000000"/>
            </w:tcBorders>
            <w:shd w:val="clear" w:color="auto" w:fill="783A79"/>
          </w:tcPr>
          <w:p>
            <w:pPr>
              <w:pStyle w:val="TableParagraph"/>
              <w:spacing w:before="1"/>
              <w:rPr>
                <w:b/>
                <w:sz w:val="32"/>
              </w:rPr>
            </w:pPr>
          </w:p>
          <w:p>
            <w:pPr>
              <w:pStyle w:val="TableParagraph"/>
              <w:spacing w:line="249" w:lineRule="auto" w:before="1"/>
              <w:ind w:left="437" w:right="83" w:hanging="271"/>
              <w:rPr>
                <w:b/>
                <w:sz w:val="19"/>
              </w:rPr>
            </w:pPr>
            <w:r>
              <w:rPr>
                <w:b/>
                <w:color w:val="FFFFFF"/>
                <w:sz w:val="19"/>
              </w:rPr>
              <w:t>More </w:t>
            </w:r>
            <w:r>
              <w:rPr>
                <w:b/>
                <w:color w:val="FFFFFF"/>
                <w:spacing w:val="-4"/>
                <w:sz w:val="19"/>
              </w:rPr>
              <w:t>than </w:t>
            </w:r>
            <w:r>
              <w:rPr>
                <w:b/>
                <w:color w:val="FFFFFF"/>
                <w:sz w:val="19"/>
              </w:rPr>
              <w:t>5</w:t>
            </w:r>
            <w:r>
              <w:rPr>
                <w:b/>
                <w:color w:val="FFFFFF"/>
                <w:spacing w:val="-1"/>
                <w:sz w:val="19"/>
              </w:rPr>
              <w:t> </w:t>
            </w:r>
            <w:r>
              <w:rPr>
                <w:b/>
                <w:color w:val="FFFFFF"/>
                <w:spacing w:val="-4"/>
                <w:sz w:val="19"/>
              </w:rPr>
              <w:t>years</w:t>
            </w:r>
          </w:p>
          <w:p>
            <w:pPr>
              <w:pStyle w:val="TableParagraph"/>
              <w:spacing w:before="1"/>
              <w:ind w:left="666"/>
              <w:rPr>
                <w:b/>
                <w:sz w:val="19"/>
              </w:rPr>
            </w:pPr>
            <w:r>
              <w:rPr>
                <w:b/>
                <w:color w:val="FFFFFF"/>
                <w:sz w:val="19"/>
              </w:rPr>
              <w:t>$000</w:t>
            </w:r>
          </w:p>
        </w:tc>
        <w:tc>
          <w:tcPr>
            <w:tcW w:w="1644" w:type="dxa"/>
            <w:tcBorders>
              <w:top w:val="nil"/>
              <w:left w:val="single" w:sz="4" w:space="0" w:color="000000"/>
              <w:bottom w:val="nil"/>
              <w:right w:val="nil"/>
            </w:tcBorders>
            <w:shd w:val="clear" w:color="auto" w:fill="783A79"/>
          </w:tcPr>
          <w:p>
            <w:pPr>
              <w:pStyle w:val="TableParagraph"/>
              <w:spacing w:before="1"/>
              <w:rPr>
                <w:b/>
                <w:sz w:val="32"/>
              </w:rPr>
            </w:pPr>
          </w:p>
          <w:p>
            <w:pPr>
              <w:pStyle w:val="TableParagraph"/>
              <w:spacing w:line="249" w:lineRule="auto" w:before="1"/>
              <w:ind w:left="127" w:right="98" w:firstLine="612"/>
              <w:jc w:val="right"/>
              <w:rPr>
                <w:b/>
                <w:sz w:val="19"/>
              </w:rPr>
            </w:pPr>
            <w:r>
              <w:rPr>
                <w:b/>
                <w:color w:val="FFFFFF"/>
                <w:spacing w:val="-1"/>
                <w:sz w:val="19"/>
              </w:rPr>
              <w:t>Impaired </w:t>
            </w:r>
            <w:r>
              <w:rPr>
                <w:b/>
                <w:color w:val="FFFFFF"/>
                <w:sz w:val="19"/>
              </w:rPr>
              <w:t>financial</w:t>
            </w:r>
            <w:r>
              <w:rPr>
                <w:b/>
                <w:color w:val="FFFFFF"/>
                <w:spacing w:val="-4"/>
                <w:sz w:val="19"/>
              </w:rPr>
              <w:t> </w:t>
            </w:r>
            <w:r>
              <w:rPr>
                <w:b/>
                <w:color w:val="FFFFFF"/>
                <w:spacing w:val="-3"/>
                <w:sz w:val="19"/>
              </w:rPr>
              <w:t>assets</w:t>
            </w:r>
          </w:p>
          <w:p>
            <w:pPr>
              <w:pStyle w:val="TableParagraph"/>
              <w:spacing w:before="1"/>
              <w:ind w:right="98"/>
              <w:jc w:val="right"/>
              <w:rPr>
                <w:b/>
                <w:sz w:val="19"/>
              </w:rPr>
            </w:pPr>
            <w:r>
              <w:rPr>
                <w:b/>
                <w:color w:val="FFFFFF"/>
                <w:w w:val="95"/>
                <w:sz w:val="19"/>
              </w:rPr>
              <w:t>$000</w:t>
            </w:r>
          </w:p>
        </w:tc>
      </w:tr>
      <w:tr>
        <w:trPr>
          <w:trHeight w:val="295" w:hRule="atLeast"/>
        </w:trPr>
        <w:tc>
          <w:tcPr>
            <w:tcW w:w="3430" w:type="dxa"/>
            <w:vMerge w:val="restart"/>
            <w:tcBorders>
              <w:top w:val="nil"/>
            </w:tcBorders>
            <w:shd w:val="clear" w:color="auto" w:fill="FAF9F9"/>
          </w:tcPr>
          <w:p>
            <w:pPr>
              <w:pStyle w:val="TableParagraph"/>
              <w:spacing w:before="42"/>
              <w:ind w:left="113"/>
              <w:rPr>
                <w:b/>
                <w:sz w:val="19"/>
              </w:rPr>
            </w:pPr>
            <w:r>
              <w:rPr>
                <w:b/>
                <w:sz w:val="19"/>
              </w:rPr>
              <w:t>2017</w:t>
            </w:r>
          </w:p>
          <w:p>
            <w:pPr>
              <w:pStyle w:val="TableParagraph"/>
              <w:spacing w:before="87"/>
              <w:ind w:left="113"/>
              <w:rPr>
                <w:sz w:val="19"/>
              </w:rPr>
            </w:pPr>
            <w:r>
              <w:rPr>
                <w:sz w:val="19"/>
              </w:rPr>
              <w:t>Cash and cash equivalents</w:t>
            </w:r>
          </w:p>
        </w:tc>
        <w:tc>
          <w:tcPr>
            <w:tcW w:w="1134" w:type="dxa"/>
            <w:vMerge w:val="restart"/>
            <w:tcBorders>
              <w:top w:val="nil"/>
            </w:tcBorders>
            <w:shd w:val="clear" w:color="auto" w:fill="FAF9F9"/>
          </w:tcPr>
          <w:p>
            <w:pPr>
              <w:pStyle w:val="TableParagraph"/>
              <w:spacing w:before="3"/>
              <w:rPr>
                <w:b/>
                <w:sz w:val="30"/>
              </w:rPr>
            </w:pPr>
          </w:p>
          <w:p>
            <w:pPr>
              <w:pStyle w:val="TableParagraph"/>
              <w:spacing w:before="0"/>
              <w:ind w:left="439"/>
              <w:rPr>
                <w:sz w:val="19"/>
              </w:rPr>
            </w:pPr>
            <w:r>
              <w:rPr>
                <w:sz w:val="19"/>
              </w:rPr>
              <w:t>70,618</w:t>
            </w:r>
          </w:p>
        </w:tc>
        <w:tc>
          <w:tcPr>
            <w:tcW w:w="3118" w:type="dxa"/>
            <w:vMerge w:val="restart"/>
            <w:tcBorders>
              <w:top w:val="nil"/>
              <w:right w:val="single" w:sz="4" w:space="0" w:color="000000"/>
            </w:tcBorders>
            <w:shd w:val="clear" w:color="auto" w:fill="FAF9F9"/>
          </w:tcPr>
          <w:p>
            <w:pPr>
              <w:pStyle w:val="TableParagraph"/>
              <w:spacing w:before="3"/>
              <w:rPr>
                <w:b/>
                <w:sz w:val="30"/>
              </w:rPr>
            </w:pPr>
          </w:p>
          <w:p>
            <w:pPr>
              <w:pStyle w:val="TableParagraph"/>
              <w:spacing w:before="0"/>
              <w:ind w:right="96"/>
              <w:jc w:val="right"/>
              <w:rPr>
                <w:sz w:val="19"/>
              </w:rPr>
            </w:pPr>
            <w:r>
              <w:rPr>
                <w:w w:val="95"/>
                <w:sz w:val="19"/>
              </w:rPr>
              <w:t>70,618</w:t>
            </w:r>
          </w:p>
        </w:tc>
        <w:tc>
          <w:tcPr>
            <w:tcW w:w="1190" w:type="dxa"/>
            <w:vMerge w:val="restart"/>
            <w:tcBorders>
              <w:top w:val="nil"/>
              <w:left w:val="single" w:sz="4" w:space="0" w:color="000000"/>
            </w:tcBorders>
            <w:shd w:val="clear" w:color="auto" w:fill="FAF9F9"/>
          </w:tcPr>
          <w:p>
            <w:pPr>
              <w:pStyle w:val="TableParagraph"/>
              <w:spacing w:before="3"/>
              <w:rPr>
                <w:b/>
                <w:sz w:val="30"/>
              </w:rPr>
            </w:pPr>
          </w:p>
          <w:p>
            <w:pPr>
              <w:pStyle w:val="TableParagraph"/>
              <w:spacing w:before="0"/>
              <w:ind w:right="91"/>
              <w:jc w:val="right"/>
              <w:rPr>
                <w:sz w:val="19"/>
              </w:rPr>
            </w:pPr>
            <w:r>
              <w:rPr>
                <w:w w:val="111"/>
                <w:sz w:val="19"/>
              </w:rPr>
              <w:t>-</w:t>
            </w:r>
          </w:p>
        </w:tc>
        <w:tc>
          <w:tcPr>
            <w:tcW w:w="1190" w:type="dxa"/>
            <w:vMerge w:val="restart"/>
            <w:tcBorders>
              <w:top w:val="nil"/>
            </w:tcBorders>
            <w:shd w:val="clear" w:color="auto" w:fill="FAF9F9"/>
          </w:tcPr>
          <w:p>
            <w:pPr>
              <w:pStyle w:val="TableParagraph"/>
              <w:spacing w:before="3"/>
              <w:rPr>
                <w:b/>
                <w:sz w:val="30"/>
              </w:rPr>
            </w:pPr>
          </w:p>
          <w:p>
            <w:pPr>
              <w:pStyle w:val="TableParagraph"/>
              <w:spacing w:before="0"/>
              <w:ind w:right="90"/>
              <w:jc w:val="right"/>
              <w:rPr>
                <w:sz w:val="19"/>
              </w:rPr>
            </w:pPr>
            <w:r>
              <w:rPr>
                <w:w w:val="111"/>
                <w:sz w:val="19"/>
              </w:rPr>
              <w:t>-</w:t>
            </w:r>
          </w:p>
        </w:tc>
        <w:tc>
          <w:tcPr>
            <w:tcW w:w="1190" w:type="dxa"/>
            <w:vMerge w:val="restart"/>
            <w:tcBorders>
              <w:top w:val="nil"/>
            </w:tcBorders>
            <w:shd w:val="clear" w:color="auto" w:fill="FAF9F9"/>
          </w:tcPr>
          <w:p>
            <w:pPr>
              <w:pStyle w:val="TableParagraph"/>
              <w:spacing w:before="3"/>
              <w:rPr>
                <w:b/>
                <w:sz w:val="30"/>
              </w:rPr>
            </w:pPr>
          </w:p>
          <w:p>
            <w:pPr>
              <w:pStyle w:val="TableParagraph"/>
              <w:spacing w:before="0"/>
              <w:ind w:right="90"/>
              <w:jc w:val="right"/>
              <w:rPr>
                <w:sz w:val="19"/>
              </w:rPr>
            </w:pPr>
            <w:r>
              <w:rPr>
                <w:w w:val="111"/>
                <w:sz w:val="19"/>
              </w:rPr>
              <w:t>-</w:t>
            </w:r>
          </w:p>
        </w:tc>
        <w:tc>
          <w:tcPr>
            <w:tcW w:w="1190" w:type="dxa"/>
            <w:vMerge w:val="restart"/>
            <w:tcBorders>
              <w:top w:val="nil"/>
            </w:tcBorders>
            <w:shd w:val="clear" w:color="auto" w:fill="FAF9F9"/>
          </w:tcPr>
          <w:p>
            <w:pPr>
              <w:pStyle w:val="TableParagraph"/>
              <w:spacing w:before="3"/>
              <w:rPr>
                <w:b/>
                <w:sz w:val="30"/>
              </w:rPr>
            </w:pPr>
          </w:p>
          <w:p>
            <w:pPr>
              <w:pStyle w:val="TableParagraph"/>
              <w:spacing w:before="0"/>
              <w:ind w:right="89"/>
              <w:jc w:val="right"/>
              <w:rPr>
                <w:sz w:val="19"/>
              </w:rPr>
            </w:pPr>
            <w:r>
              <w:rPr>
                <w:w w:val="111"/>
                <w:sz w:val="19"/>
              </w:rPr>
              <w:t>-</w:t>
            </w:r>
          </w:p>
        </w:tc>
        <w:tc>
          <w:tcPr>
            <w:tcW w:w="1190" w:type="dxa"/>
            <w:tcBorders>
              <w:top w:val="nil"/>
              <w:right w:val="single" w:sz="4" w:space="0" w:color="000000"/>
            </w:tcBorders>
            <w:shd w:val="clear" w:color="auto" w:fill="F4F4F4"/>
          </w:tcPr>
          <w:p>
            <w:pPr>
              <w:pStyle w:val="TableParagraph"/>
              <w:spacing w:before="0"/>
              <w:rPr>
                <w:rFonts w:ascii="Times New Roman"/>
                <w:sz w:val="20"/>
              </w:rPr>
            </w:pPr>
          </w:p>
        </w:tc>
        <w:tc>
          <w:tcPr>
            <w:tcW w:w="1644" w:type="dxa"/>
            <w:tcBorders>
              <w:top w:val="nil"/>
              <w:left w:val="single" w:sz="4" w:space="0" w:color="000000"/>
              <w:right w:val="nil"/>
            </w:tcBorders>
            <w:shd w:val="clear" w:color="auto" w:fill="F4F4F4"/>
          </w:tcPr>
          <w:p>
            <w:pPr>
              <w:pStyle w:val="TableParagraph"/>
              <w:spacing w:before="0"/>
              <w:rPr>
                <w:rFonts w:ascii="Times New Roman"/>
                <w:sz w:val="20"/>
              </w:rPr>
            </w:pPr>
          </w:p>
        </w:tc>
      </w:tr>
      <w:tr>
        <w:trPr>
          <w:trHeight w:val="285" w:hRule="atLeast"/>
        </w:trPr>
        <w:tc>
          <w:tcPr>
            <w:tcW w:w="3430" w:type="dxa"/>
            <w:vMerge/>
            <w:tcBorders>
              <w:top w:val="nil"/>
            </w:tcBorders>
            <w:shd w:val="clear" w:color="auto" w:fill="FAF9F9"/>
          </w:tcPr>
          <w:p>
            <w:pPr>
              <w:rPr>
                <w:sz w:val="2"/>
                <w:szCs w:val="2"/>
              </w:rPr>
            </w:pPr>
          </w:p>
        </w:tc>
        <w:tc>
          <w:tcPr>
            <w:tcW w:w="1134" w:type="dxa"/>
            <w:vMerge/>
            <w:tcBorders>
              <w:top w:val="nil"/>
            </w:tcBorders>
            <w:shd w:val="clear" w:color="auto" w:fill="FAF9F9"/>
          </w:tcPr>
          <w:p>
            <w:pPr>
              <w:rPr>
                <w:sz w:val="2"/>
                <w:szCs w:val="2"/>
              </w:rPr>
            </w:pPr>
          </w:p>
        </w:tc>
        <w:tc>
          <w:tcPr>
            <w:tcW w:w="3118" w:type="dxa"/>
            <w:vMerge/>
            <w:tcBorders>
              <w:top w:val="nil"/>
              <w:right w:val="single" w:sz="4" w:space="0" w:color="000000"/>
            </w:tcBorders>
            <w:shd w:val="clear" w:color="auto" w:fill="FAF9F9"/>
          </w:tcPr>
          <w:p>
            <w:pPr>
              <w:rPr>
                <w:sz w:val="2"/>
                <w:szCs w:val="2"/>
              </w:rPr>
            </w:pPr>
          </w:p>
        </w:tc>
        <w:tc>
          <w:tcPr>
            <w:tcW w:w="1190" w:type="dxa"/>
            <w:vMerge/>
            <w:tcBorders>
              <w:top w:val="nil"/>
              <w:left w:val="single" w:sz="4" w:space="0" w:color="000000"/>
            </w:tcBorders>
            <w:shd w:val="clear" w:color="auto" w:fill="FAF9F9"/>
          </w:tcPr>
          <w:p>
            <w:pPr>
              <w:rPr>
                <w:sz w:val="2"/>
                <w:szCs w:val="2"/>
              </w:rPr>
            </w:pPr>
          </w:p>
        </w:tc>
        <w:tc>
          <w:tcPr>
            <w:tcW w:w="1190" w:type="dxa"/>
            <w:vMerge/>
            <w:tcBorders>
              <w:top w:val="nil"/>
            </w:tcBorders>
            <w:shd w:val="clear" w:color="auto" w:fill="FAF9F9"/>
          </w:tcPr>
          <w:p>
            <w:pPr>
              <w:rPr>
                <w:sz w:val="2"/>
                <w:szCs w:val="2"/>
              </w:rPr>
            </w:pPr>
          </w:p>
        </w:tc>
        <w:tc>
          <w:tcPr>
            <w:tcW w:w="1190" w:type="dxa"/>
            <w:vMerge/>
            <w:tcBorders>
              <w:top w:val="nil"/>
            </w:tcBorders>
            <w:shd w:val="clear" w:color="auto" w:fill="FAF9F9"/>
          </w:tcPr>
          <w:p>
            <w:pPr>
              <w:rPr>
                <w:sz w:val="2"/>
                <w:szCs w:val="2"/>
              </w:rPr>
            </w:pPr>
          </w:p>
        </w:tc>
        <w:tc>
          <w:tcPr>
            <w:tcW w:w="1190" w:type="dxa"/>
            <w:vMerge/>
            <w:tcBorders>
              <w:top w:val="nil"/>
            </w:tcBorders>
            <w:shd w:val="clear" w:color="auto" w:fill="FAF9F9"/>
          </w:tcPr>
          <w:p>
            <w:pPr>
              <w:rPr>
                <w:sz w:val="2"/>
                <w:szCs w:val="2"/>
              </w:rPr>
            </w:pPr>
          </w:p>
        </w:tc>
        <w:tc>
          <w:tcPr>
            <w:tcW w:w="1190" w:type="dxa"/>
            <w:tcBorders>
              <w:right w:val="single" w:sz="4" w:space="0" w:color="000000"/>
            </w:tcBorders>
            <w:shd w:val="clear" w:color="auto" w:fill="FAF9F9"/>
          </w:tcPr>
          <w:p>
            <w:pPr>
              <w:pStyle w:val="TableParagraph"/>
              <w:ind w:right="94"/>
              <w:jc w:val="right"/>
              <w:rPr>
                <w:sz w:val="19"/>
              </w:rPr>
            </w:pPr>
            <w:r>
              <w:rPr>
                <w:w w:val="111"/>
                <w:sz w:val="19"/>
              </w:rPr>
              <w:t>-</w:t>
            </w:r>
          </w:p>
        </w:tc>
        <w:tc>
          <w:tcPr>
            <w:tcW w:w="1644" w:type="dxa"/>
            <w:tcBorders>
              <w:left w:val="single" w:sz="4" w:space="0" w:color="000000"/>
              <w:right w:val="nil"/>
            </w:tcBorders>
            <w:shd w:val="clear" w:color="auto" w:fill="FAF9F9"/>
          </w:tcPr>
          <w:p>
            <w:pPr>
              <w:pStyle w:val="TableParagraph"/>
              <w:ind w:right="99"/>
              <w:jc w:val="right"/>
              <w:rPr>
                <w:sz w:val="19"/>
              </w:rPr>
            </w:pPr>
            <w:r>
              <w:rPr>
                <w:w w:val="111"/>
                <w:sz w:val="19"/>
              </w:rPr>
              <w:t>-</w:t>
            </w:r>
          </w:p>
        </w:tc>
      </w:tr>
      <w:tr>
        <w:trPr>
          <w:trHeight w:val="285" w:hRule="atLeast"/>
        </w:trPr>
        <w:tc>
          <w:tcPr>
            <w:tcW w:w="3430" w:type="dxa"/>
            <w:vMerge w:val="restart"/>
            <w:shd w:val="clear" w:color="auto" w:fill="FAF9F9"/>
          </w:tcPr>
          <w:p>
            <w:pPr>
              <w:pStyle w:val="TableParagraph"/>
              <w:ind w:left="112"/>
              <w:rPr>
                <w:sz w:val="19"/>
              </w:rPr>
            </w:pPr>
            <w:r>
              <w:rPr>
                <w:sz w:val="19"/>
              </w:rPr>
              <w:t>Restricted cash and cash equivalents</w:t>
            </w:r>
          </w:p>
          <w:p>
            <w:pPr>
              <w:pStyle w:val="TableParagraph"/>
              <w:spacing w:before="87"/>
              <w:ind w:left="112"/>
              <w:rPr>
                <w:sz w:val="10"/>
              </w:rPr>
            </w:pPr>
            <w:r>
              <w:rPr>
                <w:sz w:val="19"/>
              </w:rPr>
              <w:t>Receivables</w:t>
            </w:r>
            <w:r>
              <w:rPr>
                <w:position w:val="6"/>
                <w:sz w:val="10"/>
              </w:rPr>
              <w:t>(a)</w:t>
            </w:r>
          </w:p>
        </w:tc>
        <w:tc>
          <w:tcPr>
            <w:tcW w:w="1134" w:type="dxa"/>
            <w:vMerge w:val="restart"/>
            <w:shd w:val="clear" w:color="auto" w:fill="FAF9F9"/>
          </w:tcPr>
          <w:p>
            <w:pPr>
              <w:pStyle w:val="TableParagraph"/>
              <w:ind w:left="544"/>
              <w:rPr>
                <w:sz w:val="19"/>
              </w:rPr>
            </w:pPr>
            <w:r>
              <w:rPr>
                <w:sz w:val="19"/>
              </w:rPr>
              <w:t>3,569</w:t>
            </w:r>
          </w:p>
          <w:p>
            <w:pPr>
              <w:pStyle w:val="TableParagraph"/>
              <w:spacing w:before="87"/>
              <w:ind w:left="333"/>
              <w:rPr>
                <w:sz w:val="19"/>
              </w:rPr>
            </w:pPr>
            <w:r>
              <w:rPr>
                <w:sz w:val="19"/>
              </w:rPr>
              <w:t>178,379</w:t>
            </w:r>
          </w:p>
        </w:tc>
        <w:tc>
          <w:tcPr>
            <w:tcW w:w="3118" w:type="dxa"/>
            <w:vMerge w:val="restart"/>
            <w:tcBorders>
              <w:right w:val="single" w:sz="4" w:space="0" w:color="000000"/>
            </w:tcBorders>
            <w:shd w:val="clear" w:color="auto" w:fill="FAF9F9"/>
          </w:tcPr>
          <w:p>
            <w:pPr>
              <w:pStyle w:val="TableParagraph"/>
              <w:ind w:right="96"/>
              <w:jc w:val="right"/>
              <w:rPr>
                <w:sz w:val="19"/>
              </w:rPr>
            </w:pPr>
            <w:r>
              <w:rPr>
                <w:spacing w:val="-1"/>
                <w:sz w:val="19"/>
              </w:rPr>
              <w:t>3,569</w:t>
            </w:r>
          </w:p>
          <w:p>
            <w:pPr>
              <w:pStyle w:val="TableParagraph"/>
              <w:spacing w:before="87"/>
              <w:ind w:right="96"/>
              <w:jc w:val="right"/>
              <w:rPr>
                <w:sz w:val="19"/>
              </w:rPr>
            </w:pPr>
            <w:r>
              <w:rPr>
                <w:w w:val="95"/>
                <w:sz w:val="19"/>
              </w:rPr>
              <w:t>172,696</w:t>
            </w:r>
          </w:p>
        </w:tc>
        <w:tc>
          <w:tcPr>
            <w:tcW w:w="1190" w:type="dxa"/>
            <w:vMerge w:val="restart"/>
            <w:tcBorders>
              <w:left w:val="single" w:sz="4" w:space="0" w:color="000000"/>
            </w:tcBorders>
            <w:shd w:val="clear" w:color="auto" w:fill="FAF9F9"/>
          </w:tcPr>
          <w:p>
            <w:pPr>
              <w:pStyle w:val="TableParagraph"/>
              <w:ind w:right="91"/>
              <w:jc w:val="right"/>
              <w:rPr>
                <w:sz w:val="19"/>
              </w:rPr>
            </w:pPr>
            <w:r>
              <w:rPr>
                <w:w w:val="111"/>
                <w:sz w:val="19"/>
              </w:rPr>
              <w:t>-</w:t>
            </w:r>
          </w:p>
          <w:p>
            <w:pPr>
              <w:pStyle w:val="TableParagraph"/>
              <w:spacing w:before="87"/>
              <w:ind w:right="90"/>
              <w:jc w:val="right"/>
              <w:rPr>
                <w:sz w:val="19"/>
              </w:rPr>
            </w:pPr>
            <w:r>
              <w:rPr>
                <w:w w:val="95"/>
                <w:sz w:val="19"/>
              </w:rPr>
              <w:t>2,618</w:t>
            </w:r>
          </w:p>
        </w:tc>
        <w:tc>
          <w:tcPr>
            <w:tcW w:w="1190" w:type="dxa"/>
            <w:vMerge w:val="restart"/>
            <w:shd w:val="clear" w:color="auto" w:fill="FAF9F9"/>
          </w:tcPr>
          <w:p>
            <w:pPr>
              <w:pStyle w:val="TableParagraph"/>
              <w:ind w:right="90"/>
              <w:jc w:val="right"/>
              <w:rPr>
                <w:sz w:val="19"/>
              </w:rPr>
            </w:pPr>
            <w:r>
              <w:rPr>
                <w:w w:val="111"/>
                <w:sz w:val="19"/>
              </w:rPr>
              <w:t>-</w:t>
            </w:r>
          </w:p>
          <w:p>
            <w:pPr>
              <w:pStyle w:val="TableParagraph"/>
              <w:spacing w:before="87"/>
              <w:ind w:right="90"/>
              <w:jc w:val="right"/>
              <w:rPr>
                <w:sz w:val="19"/>
              </w:rPr>
            </w:pPr>
            <w:r>
              <w:rPr>
                <w:w w:val="95"/>
                <w:sz w:val="19"/>
              </w:rPr>
              <w:t>15</w:t>
            </w:r>
          </w:p>
        </w:tc>
        <w:tc>
          <w:tcPr>
            <w:tcW w:w="1190" w:type="dxa"/>
            <w:vMerge w:val="restart"/>
            <w:shd w:val="clear" w:color="auto" w:fill="FAF9F9"/>
          </w:tcPr>
          <w:p>
            <w:pPr>
              <w:pStyle w:val="TableParagraph"/>
              <w:ind w:right="90"/>
              <w:jc w:val="right"/>
              <w:rPr>
                <w:sz w:val="19"/>
              </w:rPr>
            </w:pPr>
            <w:r>
              <w:rPr>
                <w:w w:val="111"/>
                <w:sz w:val="19"/>
              </w:rPr>
              <w:t>-</w:t>
            </w:r>
          </w:p>
          <w:p>
            <w:pPr>
              <w:pStyle w:val="TableParagraph"/>
              <w:spacing w:before="87"/>
              <w:ind w:right="89"/>
              <w:jc w:val="right"/>
              <w:rPr>
                <w:sz w:val="19"/>
              </w:rPr>
            </w:pPr>
            <w:r>
              <w:rPr>
                <w:w w:val="95"/>
                <w:sz w:val="19"/>
              </w:rPr>
              <w:t>67</w:t>
            </w:r>
          </w:p>
        </w:tc>
        <w:tc>
          <w:tcPr>
            <w:tcW w:w="1190" w:type="dxa"/>
            <w:vMerge w:val="restart"/>
            <w:shd w:val="clear" w:color="auto" w:fill="FAF9F9"/>
          </w:tcPr>
          <w:p>
            <w:pPr>
              <w:pStyle w:val="TableParagraph"/>
              <w:ind w:right="89"/>
              <w:jc w:val="right"/>
              <w:rPr>
                <w:sz w:val="19"/>
              </w:rPr>
            </w:pPr>
            <w:r>
              <w:rPr>
                <w:w w:val="111"/>
                <w:sz w:val="19"/>
              </w:rPr>
              <w:t>-</w:t>
            </w:r>
          </w:p>
          <w:p>
            <w:pPr>
              <w:pStyle w:val="TableParagraph"/>
              <w:spacing w:before="87"/>
              <w:ind w:right="89"/>
              <w:jc w:val="right"/>
              <w:rPr>
                <w:sz w:val="19"/>
              </w:rPr>
            </w:pPr>
            <w:r>
              <w:rPr>
                <w:w w:val="95"/>
                <w:sz w:val="19"/>
              </w:rPr>
              <w:t>2,983</w:t>
            </w:r>
          </w:p>
        </w:tc>
        <w:tc>
          <w:tcPr>
            <w:tcW w:w="1190" w:type="dxa"/>
            <w:tcBorders>
              <w:right w:val="single" w:sz="4" w:space="0" w:color="000000"/>
            </w:tcBorders>
            <w:shd w:val="clear" w:color="auto" w:fill="F4F4F4"/>
          </w:tcPr>
          <w:p>
            <w:pPr>
              <w:pStyle w:val="TableParagraph"/>
              <w:ind w:right="94"/>
              <w:jc w:val="right"/>
              <w:rPr>
                <w:sz w:val="19"/>
              </w:rPr>
            </w:pPr>
            <w:r>
              <w:rPr>
                <w:w w:val="111"/>
                <w:sz w:val="19"/>
              </w:rPr>
              <w:t>-</w:t>
            </w:r>
          </w:p>
        </w:tc>
        <w:tc>
          <w:tcPr>
            <w:tcW w:w="1644" w:type="dxa"/>
            <w:tcBorders>
              <w:left w:val="single" w:sz="4" w:space="0" w:color="000000"/>
              <w:right w:val="nil"/>
            </w:tcBorders>
            <w:shd w:val="clear" w:color="auto" w:fill="F4F4F4"/>
          </w:tcPr>
          <w:p>
            <w:pPr>
              <w:pStyle w:val="TableParagraph"/>
              <w:ind w:right="99"/>
              <w:jc w:val="right"/>
              <w:rPr>
                <w:sz w:val="19"/>
              </w:rPr>
            </w:pPr>
            <w:r>
              <w:rPr>
                <w:w w:val="111"/>
                <w:sz w:val="19"/>
              </w:rPr>
              <w:t>-</w:t>
            </w:r>
          </w:p>
        </w:tc>
      </w:tr>
      <w:tr>
        <w:trPr>
          <w:trHeight w:val="285" w:hRule="atLeast"/>
        </w:trPr>
        <w:tc>
          <w:tcPr>
            <w:tcW w:w="3430" w:type="dxa"/>
            <w:vMerge/>
            <w:tcBorders>
              <w:top w:val="nil"/>
            </w:tcBorders>
            <w:shd w:val="clear" w:color="auto" w:fill="FAF9F9"/>
          </w:tcPr>
          <w:p>
            <w:pPr>
              <w:rPr>
                <w:sz w:val="2"/>
                <w:szCs w:val="2"/>
              </w:rPr>
            </w:pPr>
          </w:p>
        </w:tc>
        <w:tc>
          <w:tcPr>
            <w:tcW w:w="1134" w:type="dxa"/>
            <w:vMerge/>
            <w:tcBorders>
              <w:top w:val="nil"/>
            </w:tcBorders>
            <w:shd w:val="clear" w:color="auto" w:fill="FAF9F9"/>
          </w:tcPr>
          <w:p>
            <w:pPr>
              <w:rPr>
                <w:sz w:val="2"/>
                <w:szCs w:val="2"/>
              </w:rPr>
            </w:pPr>
          </w:p>
        </w:tc>
        <w:tc>
          <w:tcPr>
            <w:tcW w:w="3118" w:type="dxa"/>
            <w:vMerge/>
            <w:tcBorders>
              <w:top w:val="nil"/>
              <w:right w:val="single" w:sz="4" w:space="0" w:color="000000"/>
            </w:tcBorders>
            <w:shd w:val="clear" w:color="auto" w:fill="FAF9F9"/>
          </w:tcPr>
          <w:p>
            <w:pPr>
              <w:rPr>
                <w:sz w:val="2"/>
                <w:szCs w:val="2"/>
              </w:rPr>
            </w:pPr>
          </w:p>
        </w:tc>
        <w:tc>
          <w:tcPr>
            <w:tcW w:w="1190" w:type="dxa"/>
            <w:vMerge/>
            <w:tcBorders>
              <w:top w:val="nil"/>
              <w:left w:val="single" w:sz="4" w:space="0" w:color="000000"/>
            </w:tcBorders>
            <w:shd w:val="clear" w:color="auto" w:fill="FAF9F9"/>
          </w:tcPr>
          <w:p>
            <w:pPr>
              <w:rPr>
                <w:sz w:val="2"/>
                <w:szCs w:val="2"/>
              </w:rPr>
            </w:pPr>
          </w:p>
        </w:tc>
        <w:tc>
          <w:tcPr>
            <w:tcW w:w="1190" w:type="dxa"/>
            <w:vMerge/>
            <w:tcBorders>
              <w:top w:val="nil"/>
            </w:tcBorders>
            <w:shd w:val="clear" w:color="auto" w:fill="FAF9F9"/>
          </w:tcPr>
          <w:p>
            <w:pPr>
              <w:rPr>
                <w:sz w:val="2"/>
                <w:szCs w:val="2"/>
              </w:rPr>
            </w:pPr>
          </w:p>
        </w:tc>
        <w:tc>
          <w:tcPr>
            <w:tcW w:w="1190" w:type="dxa"/>
            <w:vMerge/>
            <w:tcBorders>
              <w:top w:val="nil"/>
            </w:tcBorders>
            <w:shd w:val="clear" w:color="auto" w:fill="FAF9F9"/>
          </w:tcPr>
          <w:p>
            <w:pPr>
              <w:rPr>
                <w:sz w:val="2"/>
                <w:szCs w:val="2"/>
              </w:rPr>
            </w:pPr>
          </w:p>
        </w:tc>
        <w:tc>
          <w:tcPr>
            <w:tcW w:w="1190" w:type="dxa"/>
            <w:vMerge/>
            <w:tcBorders>
              <w:top w:val="nil"/>
            </w:tcBorders>
            <w:shd w:val="clear" w:color="auto" w:fill="FAF9F9"/>
          </w:tcPr>
          <w:p>
            <w:pPr>
              <w:rPr>
                <w:sz w:val="2"/>
                <w:szCs w:val="2"/>
              </w:rPr>
            </w:pPr>
          </w:p>
        </w:tc>
        <w:tc>
          <w:tcPr>
            <w:tcW w:w="1190" w:type="dxa"/>
            <w:tcBorders>
              <w:right w:val="single" w:sz="4" w:space="0" w:color="000000"/>
            </w:tcBorders>
            <w:shd w:val="clear" w:color="auto" w:fill="FAF9F9"/>
          </w:tcPr>
          <w:p>
            <w:pPr>
              <w:pStyle w:val="TableParagraph"/>
              <w:ind w:right="93"/>
              <w:jc w:val="right"/>
              <w:rPr>
                <w:sz w:val="19"/>
              </w:rPr>
            </w:pPr>
            <w:r>
              <w:rPr>
                <w:w w:val="111"/>
                <w:sz w:val="19"/>
              </w:rPr>
              <w:t>-</w:t>
            </w:r>
          </w:p>
        </w:tc>
        <w:tc>
          <w:tcPr>
            <w:tcW w:w="1644" w:type="dxa"/>
            <w:tcBorders>
              <w:left w:val="single" w:sz="4" w:space="0" w:color="000000"/>
              <w:right w:val="nil"/>
            </w:tcBorders>
            <w:shd w:val="clear" w:color="auto" w:fill="FAF9F9"/>
          </w:tcPr>
          <w:p>
            <w:pPr>
              <w:pStyle w:val="TableParagraph"/>
              <w:ind w:right="98"/>
              <w:jc w:val="right"/>
              <w:rPr>
                <w:sz w:val="19"/>
              </w:rPr>
            </w:pPr>
            <w:r>
              <w:rPr>
                <w:w w:val="111"/>
                <w:sz w:val="19"/>
              </w:rPr>
              <w:t>-</w:t>
            </w:r>
          </w:p>
        </w:tc>
      </w:tr>
      <w:tr>
        <w:trPr>
          <w:trHeight w:val="285" w:hRule="atLeast"/>
        </w:trPr>
        <w:tc>
          <w:tcPr>
            <w:tcW w:w="3430" w:type="dxa"/>
            <w:shd w:val="clear" w:color="auto" w:fill="F4F4F4"/>
          </w:tcPr>
          <w:p>
            <w:pPr>
              <w:pStyle w:val="TableParagraph"/>
              <w:ind w:left="113"/>
              <w:rPr>
                <w:sz w:val="19"/>
              </w:rPr>
            </w:pPr>
            <w:r>
              <w:rPr>
                <w:sz w:val="19"/>
              </w:rPr>
              <w:t>Finance lease receivables</w:t>
            </w:r>
          </w:p>
        </w:tc>
        <w:tc>
          <w:tcPr>
            <w:tcW w:w="1134" w:type="dxa"/>
            <w:shd w:val="clear" w:color="auto" w:fill="F4F4F4"/>
          </w:tcPr>
          <w:p>
            <w:pPr>
              <w:pStyle w:val="TableParagraph"/>
              <w:ind w:right="91"/>
              <w:jc w:val="right"/>
              <w:rPr>
                <w:sz w:val="19"/>
              </w:rPr>
            </w:pPr>
            <w:r>
              <w:rPr>
                <w:w w:val="95"/>
                <w:sz w:val="19"/>
              </w:rPr>
              <w:t>1,091</w:t>
            </w:r>
          </w:p>
        </w:tc>
        <w:tc>
          <w:tcPr>
            <w:tcW w:w="3118" w:type="dxa"/>
            <w:tcBorders>
              <w:right w:val="single" w:sz="4" w:space="0" w:color="000000"/>
            </w:tcBorders>
            <w:shd w:val="clear" w:color="auto" w:fill="F4F4F4"/>
          </w:tcPr>
          <w:p>
            <w:pPr>
              <w:pStyle w:val="TableParagraph"/>
              <w:ind w:right="96"/>
              <w:jc w:val="right"/>
              <w:rPr>
                <w:sz w:val="19"/>
              </w:rPr>
            </w:pPr>
            <w:r>
              <w:rPr>
                <w:w w:val="95"/>
                <w:sz w:val="19"/>
              </w:rPr>
              <w:t>1,069</w:t>
            </w:r>
          </w:p>
        </w:tc>
        <w:tc>
          <w:tcPr>
            <w:tcW w:w="1190" w:type="dxa"/>
            <w:tcBorders>
              <w:left w:val="single" w:sz="4" w:space="0" w:color="000000"/>
            </w:tcBorders>
            <w:shd w:val="clear" w:color="auto" w:fill="F4F4F4"/>
          </w:tcPr>
          <w:p>
            <w:pPr>
              <w:pStyle w:val="TableParagraph"/>
              <w:ind w:right="91"/>
              <w:jc w:val="right"/>
              <w:rPr>
                <w:sz w:val="19"/>
              </w:rPr>
            </w:pPr>
            <w:r>
              <w:rPr>
                <w:w w:val="95"/>
                <w:sz w:val="19"/>
              </w:rPr>
              <w:t>22</w:t>
            </w:r>
          </w:p>
        </w:tc>
        <w:tc>
          <w:tcPr>
            <w:tcW w:w="1190" w:type="dxa"/>
            <w:shd w:val="clear" w:color="auto" w:fill="F4F4F4"/>
          </w:tcPr>
          <w:p>
            <w:pPr>
              <w:pStyle w:val="TableParagraph"/>
              <w:ind w:right="90"/>
              <w:jc w:val="right"/>
              <w:rPr>
                <w:sz w:val="19"/>
              </w:rPr>
            </w:pPr>
            <w:r>
              <w:rPr>
                <w:w w:val="111"/>
                <w:sz w:val="19"/>
              </w:rPr>
              <w:t>-</w:t>
            </w:r>
          </w:p>
        </w:tc>
        <w:tc>
          <w:tcPr>
            <w:tcW w:w="1190" w:type="dxa"/>
            <w:shd w:val="clear" w:color="auto" w:fill="F4F4F4"/>
          </w:tcPr>
          <w:p>
            <w:pPr>
              <w:pStyle w:val="TableParagraph"/>
              <w:ind w:right="90"/>
              <w:jc w:val="right"/>
              <w:rPr>
                <w:sz w:val="19"/>
              </w:rPr>
            </w:pPr>
            <w:r>
              <w:rPr>
                <w:w w:val="111"/>
                <w:sz w:val="19"/>
              </w:rPr>
              <w:t>-</w:t>
            </w:r>
          </w:p>
        </w:tc>
        <w:tc>
          <w:tcPr>
            <w:tcW w:w="1190" w:type="dxa"/>
            <w:shd w:val="clear" w:color="auto" w:fill="F4F4F4"/>
          </w:tcPr>
          <w:p>
            <w:pPr>
              <w:pStyle w:val="TableParagraph"/>
              <w:ind w:right="89"/>
              <w:jc w:val="right"/>
              <w:rPr>
                <w:sz w:val="19"/>
              </w:rPr>
            </w:pPr>
            <w:r>
              <w:rPr>
                <w:w w:val="111"/>
                <w:sz w:val="19"/>
              </w:rPr>
              <w:t>-</w:t>
            </w:r>
          </w:p>
        </w:tc>
        <w:tc>
          <w:tcPr>
            <w:tcW w:w="1190" w:type="dxa"/>
            <w:tcBorders>
              <w:right w:val="single" w:sz="4" w:space="0" w:color="000000"/>
            </w:tcBorders>
            <w:shd w:val="clear" w:color="auto" w:fill="F4F4F4"/>
          </w:tcPr>
          <w:p>
            <w:pPr>
              <w:pStyle w:val="TableParagraph"/>
              <w:ind w:right="94"/>
              <w:jc w:val="right"/>
              <w:rPr>
                <w:sz w:val="19"/>
              </w:rPr>
            </w:pPr>
            <w:r>
              <w:rPr>
                <w:w w:val="111"/>
                <w:sz w:val="19"/>
              </w:rPr>
              <w:t>-</w:t>
            </w:r>
          </w:p>
        </w:tc>
        <w:tc>
          <w:tcPr>
            <w:tcW w:w="1644" w:type="dxa"/>
            <w:tcBorders>
              <w:left w:val="single" w:sz="4" w:space="0" w:color="000000"/>
              <w:right w:val="nil"/>
            </w:tcBorders>
            <w:shd w:val="clear" w:color="auto" w:fill="F4F4F4"/>
          </w:tcPr>
          <w:p>
            <w:pPr>
              <w:pStyle w:val="TableParagraph"/>
              <w:ind w:right="98"/>
              <w:jc w:val="right"/>
              <w:rPr>
                <w:sz w:val="19"/>
              </w:rPr>
            </w:pPr>
            <w:r>
              <w:rPr>
                <w:w w:val="111"/>
                <w:sz w:val="19"/>
              </w:rPr>
              <w:t>-</w:t>
            </w:r>
          </w:p>
        </w:tc>
      </w:tr>
      <w:tr>
        <w:trPr>
          <w:trHeight w:val="285" w:hRule="atLeast"/>
        </w:trPr>
        <w:tc>
          <w:tcPr>
            <w:tcW w:w="3430" w:type="dxa"/>
            <w:tcBorders>
              <w:right w:val="nil"/>
            </w:tcBorders>
            <w:shd w:val="clear" w:color="auto" w:fill="FAF9F9"/>
          </w:tcPr>
          <w:p>
            <w:pPr>
              <w:pStyle w:val="TableParagraph"/>
              <w:ind w:left="113"/>
              <w:rPr>
                <w:sz w:val="19"/>
              </w:rPr>
            </w:pPr>
            <w:r>
              <w:rPr>
                <w:sz w:val="19"/>
              </w:rPr>
              <w:t>Amounts receivable for services</w:t>
            </w:r>
          </w:p>
        </w:tc>
        <w:tc>
          <w:tcPr>
            <w:tcW w:w="1134" w:type="dxa"/>
            <w:tcBorders>
              <w:left w:val="nil"/>
              <w:bottom w:val="single" w:sz="4" w:space="0" w:color="000000"/>
              <w:right w:val="nil"/>
            </w:tcBorders>
            <w:shd w:val="clear" w:color="auto" w:fill="FAF9F9"/>
          </w:tcPr>
          <w:p>
            <w:pPr>
              <w:pStyle w:val="TableParagraph"/>
              <w:ind w:right="101"/>
              <w:jc w:val="right"/>
              <w:rPr>
                <w:sz w:val="19"/>
              </w:rPr>
            </w:pPr>
            <w:r>
              <w:rPr>
                <w:w w:val="95"/>
                <w:sz w:val="19"/>
              </w:rPr>
              <w:t>464,146</w:t>
            </w:r>
          </w:p>
        </w:tc>
        <w:tc>
          <w:tcPr>
            <w:tcW w:w="3118" w:type="dxa"/>
            <w:tcBorders>
              <w:left w:val="nil"/>
              <w:bottom w:val="single" w:sz="4" w:space="0" w:color="000000"/>
              <w:right w:val="single" w:sz="4" w:space="0" w:color="000000"/>
            </w:tcBorders>
            <w:shd w:val="clear" w:color="auto" w:fill="FAF9F9"/>
          </w:tcPr>
          <w:p>
            <w:pPr>
              <w:pStyle w:val="TableParagraph"/>
              <w:ind w:right="96"/>
              <w:jc w:val="right"/>
              <w:rPr>
                <w:sz w:val="19"/>
              </w:rPr>
            </w:pPr>
            <w:r>
              <w:rPr>
                <w:w w:val="95"/>
                <w:sz w:val="19"/>
              </w:rPr>
              <w:t>464,146</w:t>
            </w:r>
          </w:p>
        </w:tc>
        <w:tc>
          <w:tcPr>
            <w:tcW w:w="1190" w:type="dxa"/>
            <w:tcBorders>
              <w:left w:val="single" w:sz="4" w:space="0" w:color="000000"/>
              <w:bottom w:val="single" w:sz="4" w:space="0" w:color="000000"/>
              <w:right w:val="nil"/>
            </w:tcBorders>
            <w:shd w:val="clear" w:color="auto" w:fill="FAF9F9"/>
          </w:tcPr>
          <w:p>
            <w:pPr>
              <w:pStyle w:val="TableParagraph"/>
              <w:ind w:right="101"/>
              <w:jc w:val="right"/>
              <w:rPr>
                <w:sz w:val="19"/>
              </w:rPr>
            </w:pPr>
            <w:r>
              <w:rPr>
                <w:w w:val="111"/>
                <w:sz w:val="19"/>
              </w:rPr>
              <w:t>-</w:t>
            </w:r>
          </w:p>
        </w:tc>
        <w:tc>
          <w:tcPr>
            <w:tcW w:w="1190" w:type="dxa"/>
            <w:tcBorders>
              <w:left w:val="nil"/>
              <w:bottom w:val="single" w:sz="4" w:space="0" w:color="000000"/>
              <w:right w:val="nil"/>
            </w:tcBorders>
            <w:shd w:val="clear" w:color="auto" w:fill="FAF9F9"/>
          </w:tcPr>
          <w:p>
            <w:pPr>
              <w:pStyle w:val="TableParagraph"/>
              <w:ind w:right="100"/>
              <w:jc w:val="right"/>
              <w:rPr>
                <w:sz w:val="19"/>
              </w:rPr>
            </w:pPr>
            <w:r>
              <w:rPr>
                <w:w w:val="111"/>
                <w:sz w:val="19"/>
              </w:rPr>
              <w:t>-</w:t>
            </w:r>
          </w:p>
        </w:tc>
        <w:tc>
          <w:tcPr>
            <w:tcW w:w="1190" w:type="dxa"/>
            <w:tcBorders>
              <w:left w:val="nil"/>
              <w:bottom w:val="single" w:sz="4" w:space="0" w:color="000000"/>
              <w:right w:val="nil"/>
            </w:tcBorders>
            <w:shd w:val="clear" w:color="auto" w:fill="FAF9F9"/>
          </w:tcPr>
          <w:p>
            <w:pPr>
              <w:pStyle w:val="TableParagraph"/>
              <w:ind w:right="100"/>
              <w:jc w:val="right"/>
              <w:rPr>
                <w:sz w:val="19"/>
              </w:rPr>
            </w:pPr>
            <w:r>
              <w:rPr>
                <w:w w:val="111"/>
                <w:sz w:val="19"/>
              </w:rPr>
              <w:t>-</w:t>
            </w:r>
          </w:p>
        </w:tc>
        <w:tc>
          <w:tcPr>
            <w:tcW w:w="1190" w:type="dxa"/>
            <w:tcBorders>
              <w:left w:val="nil"/>
              <w:bottom w:val="single" w:sz="4" w:space="0" w:color="000000"/>
              <w:right w:val="nil"/>
            </w:tcBorders>
            <w:shd w:val="clear" w:color="auto" w:fill="FAF9F9"/>
          </w:tcPr>
          <w:p>
            <w:pPr>
              <w:pStyle w:val="TableParagraph"/>
              <w:ind w:right="99"/>
              <w:jc w:val="right"/>
              <w:rPr>
                <w:sz w:val="19"/>
              </w:rPr>
            </w:pPr>
            <w:r>
              <w:rPr>
                <w:w w:val="111"/>
                <w:sz w:val="19"/>
              </w:rPr>
              <w:t>-</w:t>
            </w:r>
          </w:p>
        </w:tc>
        <w:tc>
          <w:tcPr>
            <w:tcW w:w="1190" w:type="dxa"/>
            <w:tcBorders>
              <w:left w:val="nil"/>
              <w:bottom w:val="single" w:sz="4" w:space="0" w:color="000000"/>
              <w:right w:val="single" w:sz="4" w:space="0" w:color="000000"/>
            </w:tcBorders>
            <w:shd w:val="clear" w:color="auto" w:fill="FAF9F9"/>
          </w:tcPr>
          <w:p>
            <w:pPr>
              <w:pStyle w:val="TableParagraph"/>
              <w:ind w:right="94"/>
              <w:jc w:val="right"/>
              <w:rPr>
                <w:sz w:val="19"/>
              </w:rPr>
            </w:pPr>
            <w:r>
              <w:rPr>
                <w:w w:val="111"/>
                <w:sz w:val="19"/>
              </w:rPr>
              <w:t>-</w:t>
            </w:r>
          </w:p>
        </w:tc>
        <w:tc>
          <w:tcPr>
            <w:tcW w:w="1644" w:type="dxa"/>
            <w:tcBorders>
              <w:left w:val="single" w:sz="4" w:space="0" w:color="000000"/>
              <w:bottom w:val="single" w:sz="4" w:space="0" w:color="000000"/>
              <w:right w:val="nil"/>
            </w:tcBorders>
            <w:shd w:val="clear" w:color="auto" w:fill="FAF9F9"/>
          </w:tcPr>
          <w:p>
            <w:pPr>
              <w:pStyle w:val="TableParagraph"/>
              <w:ind w:right="99"/>
              <w:jc w:val="right"/>
              <w:rPr>
                <w:sz w:val="19"/>
              </w:rPr>
            </w:pPr>
            <w:r>
              <w:rPr>
                <w:w w:val="111"/>
                <w:sz w:val="19"/>
              </w:rPr>
              <w:t>-</w:t>
            </w:r>
          </w:p>
        </w:tc>
      </w:tr>
      <w:tr>
        <w:trPr>
          <w:trHeight w:val="273" w:hRule="atLeast"/>
        </w:trPr>
        <w:tc>
          <w:tcPr>
            <w:tcW w:w="3430" w:type="dxa"/>
            <w:vMerge w:val="restart"/>
            <w:shd w:val="clear" w:color="auto" w:fill="FAF9F9"/>
          </w:tcPr>
          <w:p>
            <w:pPr>
              <w:pStyle w:val="TableParagraph"/>
              <w:spacing w:before="4"/>
              <w:rPr>
                <w:b/>
                <w:sz w:val="29"/>
              </w:rPr>
            </w:pPr>
          </w:p>
          <w:p>
            <w:pPr>
              <w:pStyle w:val="TableParagraph"/>
              <w:spacing w:before="0"/>
              <w:ind w:left="112"/>
              <w:rPr>
                <w:b/>
                <w:sz w:val="19"/>
              </w:rPr>
            </w:pPr>
            <w:r>
              <w:rPr>
                <w:b/>
                <w:sz w:val="19"/>
              </w:rPr>
              <w:t>2016</w:t>
            </w:r>
          </w:p>
        </w:tc>
        <w:tc>
          <w:tcPr>
            <w:tcW w:w="1134" w:type="dxa"/>
            <w:tcBorders>
              <w:top w:val="single" w:sz="4" w:space="0" w:color="000000"/>
              <w:bottom w:val="double" w:sz="2" w:space="0" w:color="000000"/>
            </w:tcBorders>
            <w:shd w:val="clear" w:color="auto" w:fill="F4F4F4"/>
          </w:tcPr>
          <w:p>
            <w:pPr>
              <w:pStyle w:val="TableParagraph"/>
              <w:ind w:right="92"/>
              <w:jc w:val="right"/>
              <w:rPr>
                <w:b/>
                <w:sz w:val="19"/>
              </w:rPr>
            </w:pPr>
            <w:r>
              <w:rPr>
                <w:b/>
                <w:w w:val="95"/>
                <w:sz w:val="19"/>
              </w:rPr>
              <w:t>717,803</w:t>
            </w:r>
          </w:p>
        </w:tc>
        <w:tc>
          <w:tcPr>
            <w:tcW w:w="3118" w:type="dxa"/>
            <w:tcBorders>
              <w:top w:val="single" w:sz="4" w:space="0" w:color="000000"/>
              <w:bottom w:val="double" w:sz="2" w:space="0" w:color="000000"/>
              <w:right w:val="single" w:sz="4" w:space="0" w:color="000000"/>
            </w:tcBorders>
            <w:shd w:val="clear" w:color="auto" w:fill="F4F4F4"/>
          </w:tcPr>
          <w:p>
            <w:pPr>
              <w:pStyle w:val="TableParagraph"/>
              <w:ind w:right="97"/>
              <w:jc w:val="right"/>
              <w:rPr>
                <w:b/>
                <w:sz w:val="19"/>
              </w:rPr>
            </w:pPr>
            <w:r>
              <w:rPr>
                <w:b/>
                <w:w w:val="95"/>
                <w:sz w:val="19"/>
              </w:rPr>
              <w:t>712,098</w:t>
            </w:r>
          </w:p>
        </w:tc>
        <w:tc>
          <w:tcPr>
            <w:tcW w:w="1190" w:type="dxa"/>
            <w:tcBorders>
              <w:top w:val="single" w:sz="4" w:space="0" w:color="000000"/>
              <w:left w:val="single" w:sz="4" w:space="0" w:color="000000"/>
              <w:bottom w:val="double" w:sz="2" w:space="0" w:color="000000"/>
            </w:tcBorders>
            <w:shd w:val="clear" w:color="auto" w:fill="F4F4F4"/>
          </w:tcPr>
          <w:p>
            <w:pPr>
              <w:pStyle w:val="TableParagraph"/>
              <w:ind w:right="91"/>
              <w:jc w:val="right"/>
              <w:rPr>
                <w:b/>
                <w:sz w:val="19"/>
              </w:rPr>
            </w:pPr>
            <w:r>
              <w:rPr>
                <w:b/>
                <w:w w:val="95"/>
                <w:sz w:val="19"/>
              </w:rPr>
              <w:t>2,640</w:t>
            </w:r>
          </w:p>
        </w:tc>
        <w:tc>
          <w:tcPr>
            <w:tcW w:w="1190" w:type="dxa"/>
            <w:tcBorders>
              <w:top w:val="single" w:sz="4" w:space="0" w:color="000000"/>
              <w:bottom w:val="double" w:sz="2" w:space="0" w:color="000000"/>
            </w:tcBorders>
            <w:shd w:val="clear" w:color="auto" w:fill="F4F4F4"/>
          </w:tcPr>
          <w:p>
            <w:pPr>
              <w:pStyle w:val="TableParagraph"/>
              <w:ind w:right="91"/>
              <w:jc w:val="right"/>
              <w:rPr>
                <w:b/>
                <w:sz w:val="19"/>
              </w:rPr>
            </w:pPr>
            <w:r>
              <w:rPr>
                <w:b/>
                <w:w w:val="95"/>
                <w:sz w:val="19"/>
              </w:rPr>
              <w:t>15</w:t>
            </w:r>
          </w:p>
        </w:tc>
        <w:tc>
          <w:tcPr>
            <w:tcW w:w="1190" w:type="dxa"/>
            <w:tcBorders>
              <w:top w:val="single" w:sz="4" w:space="0" w:color="000000"/>
              <w:bottom w:val="double" w:sz="2" w:space="0" w:color="000000"/>
            </w:tcBorders>
            <w:shd w:val="clear" w:color="auto" w:fill="F4F4F4"/>
          </w:tcPr>
          <w:p>
            <w:pPr>
              <w:pStyle w:val="TableParagraph"/>
              <w:ind w:right="90"/>
              <w:jc w:val="right"/>
              <w:rPr>
                <w:b/>
                <w:sz w:val="19"/>
              </w:rPr>
            </w:pPr>
            <w:r>
              <w:rPr>
                <w:b/>
                <w:w w:val="95"/>
                <w:sz w:val="19"/>
              </w:rPr>
              <w:t>67</w:t>
            </w:r>
          </w:p>
        </w:tc>
        <w:tc>
          <w:tcPr>
            <w:tcW w:w="1190" w:type="dxa"/>
            <w:tcBorders>
              <w:top w:val="single" w:sz="4" w:space="0" w:color="000000"/>
              <w:bottom w:val="double" w:sz="2" w:space="0" w:color="000000"/>
            </w:tcBorders>
            <w:shd w:val="clear" w:color="auto" w:fill="F4F4F4"/>
          </w:tcPr>
          <w:p>
            <w:pPr>
              <w:pStyle w:val="TableParagraph"/>
              <w:ind w:right="89"/>
              <w:jc w:val="right"/>
              <w:rPr>
                <w:b/>
                <w:sz w:val="19"/>
              </w:rPr>
            </w:pPr>
            <w:r>
              <w:rPr>
                <w:b/>
                <w:w w:val="95"/>
                <w:sz w:val="19"/>
              </w:rPr>
              <w:t>2,983</w:t>
            </w:r>
          </w:p>
        </w:tc>
        <w:tc>
          <w:tcPr>
            <w:tcW w:w="1190" w:type="dxa"/>
            <w:tcBorders>
              <w:top w:val="single" w:sz="4" w:space="0" w:color="000000"/>
              <w:bottom w:val="double" w:sz="2" w:space="0" w:color="000000"/>
              <w:right w:val="single" w:sz="4" w:space="0" w:color="000000"/>
            </w:tcBorders>
            <w:shd w:val="clear" w:color="auto" w:fill="F4F4F4"/>
          </w:tcPr>
          <w:p>
            <w:pPr>
              <w:pStyle w:val="TableParagraph"/>
              <w:ind w:right="94"/>
              <w:jc w:val="right"/>
              <w:rPr>
                <w:b/>
                <w:sz w:val="19"/>
              </w:rPr>
            </w:pPr>
            <w:r>
              <w:rPr>
                <w:b/>
                <w:w w:val="122"/>
                <w:sz w:val="19"/>
              </w:rPr>
              <w:t>-</w:t>
            </w:r>
          </w:p>
        </w:tc>
        <w:tc>
          <w:tcPr>
            <w:tcW w:w="1644" w:type="dxa"/>
            <w:tcBorders>
              <w:top w:val="single" w:sz="4" w:space="0" w:color="000000"/>
              <w:left w:val="single" w:sz="4" w:space="0" w:color="000000"/>
              <w:bottom w:val="double" w:sz="2" w:space="0" w:color="000000"/>
              <w:right w:val="nil"/>
            </w:tcBorders>
            <w:shd w:val="clear" w:color="auto" w:fill="F4F4F4"/>
          </w:tcPr>
          <w:p>
            <w:pPr>
              <w:pStyle w:val="TableParagraph"/>
              <w:ind w:right="99"/>
              <w:jc w:val="right"/>
              <w:rPr>
                <w:b/>
                <w:sz w:val="19"/>
              </w:rPr>
            </w:pPr>
            <w:r>
              <w:rPr>
                <w:b/>
                <w:w w:val="122"/>
                <w:sz w:val="19"/>
              </w:rPr>
              <w:t>-</w:t>
            </w:r>
          </w:p>
        </w:tc>
      </w:tr>
      <w:tr>
        <w:trPr>
          <w:trHeight w:val="273" w:hRule="atLeast"/>
        </w:trPr>
        <w:tc>
          <w:tcPr>
            <w:tcW w:w="3430" w:type="dxa"/>
            <w:vMerge/>
            <w:tcBorders>
              <w:top w:val="nil"/>
            </w:tcBorders>
            <w:shd w:val="clear" w:color="auto" w:fill="FAF9F9"/>
          </w:tcPr>
          <w:p>
            <w:pPr>
              <w:rPr>
                <w:sz w:val="2"/>
                <w:szCs w:val="2"/>
              </w:rPr>
            </w:pPr>
          </w:p>
        </w:tc>
        <w:tc>
          <w:tcPr>
            <w:tcW w:w="4252" w:type="dxa"/>
            <w:gridSpan w:val="2"/>
            <w:tcBorders>
              <w:top w:val="double" w:sz="2" w:space="0" w:color="000000"/>
              <w:right w:val="single" w:sz="4" w:space="0" w:color="000000"/>
            </w:tcBorders>
            <w:shd w:val="clear" w:color="auto" w:fill="FAF9F9"/>
          </w:tcPr>
          <w:p>
            <w:pPr>
              <w:pStyle w:val="TableParagraph"/>
              <w:spacing w:before="0"/>
              <w:rPr>
                <w:rFonts w:ascii="Times New Roman"/>
                <w:sz w:val="20"/>
              </w:rPr>
            </w:pPr>
          </w:p>
        </w:tc>
        <w:tc>
          <w:tcPr>
            <w:tcW w:w="5950" w:type="dxa"/>
            <w:gridSpan w:val="5"/>
            <w:tcBorders>
              <w:top w:val="double" w:sz="2" w:space="0" w:color="000000"/>
              <w:left w:val="single" w:sz="4" w:space="0" w:color="000000"/>
              <w:right w:val="single" w:sz="4" w:space="0" w:color="000000"/>
            </w:tcBorders>
            <w:shd w:val="clear" w:color="auto" w:fill="FAF9F9"/>
          </w:tcPr>
          <w:p>
            <w:pPr>
              <w:pStyle w:val="TableParagraph"/>
              <w:spacing w:before="0"/>
              <w:rPr>
                <w:rFonts w:ascii="Times New Roman"/>
                <w:sz w:val="20"/>
              </w:rPr>
            </w:pPr>
          </w:p>
        </w:tc>
        <w:tc>
          <w:tcPr>
            <w:tcW w:w="1644" w:type="dxa"/>
            <w:tcBorders>
              <w:top w:val="double" w:sz="2" w:space="0" w:color="000000"/>
              <w:left w:val="single" w:sz="4" w:space="0" w:color="000000"/>
              <w:right w:val="nil"/>
            </w:tcBorders>
            <w:shd w:val="clear" w:color="auto" w:fill="FAF9F9"/>
          </w:tcPr>
          <w:p>
            <w:pPr>
              <w:pStyle w:val="TableParagraph"/>
              <w:spacing w:before="0"/>
              <w:rPr>
                <w:rFonts w:ascii="Times New Roman"/>
                <w:sz w:val="20"/>
              </w:rPr>
            </w:pPr>
          </w:p>
        </w:tc>
      </w:tr>
      <w:tr>
        <w:trPr>
          <w:trHeight w:val="285" w:hRule="atLeast"/>
        </w:trPr>
        <w:tc>
          <w:tcPr>
            <w:tcW w:w="3430" w:type="dxa"/>
            <w:shd w:val="clear" w:color="auto" w:fill="F4F4F4"/>
          </w:tcPr>
          <w:p>
            <w:pPr>
              <w:pStyle w:val="TableParagraph"/>
              <w:ind w:left="112"/>
              <w:rPr>
                <w:sz w:val="19"/>
              </w:rPr>
            </w:pPr>
            <w:r>
              <w:rPr>
                <w:sz w:val="19"/>
              </w:rPr>
              <w:t>Cash and cash equivalents</w:t>
            </w:r>
          </w:p>
        </w:tc>
        <w:tc>
          <w:tcPr>
            <w:tcW w:w="1134" w:type="dxa"/>
            <w:shd w:val="clear" w:color="auto" w:fill="F4F4F4"/>
          </w:tcPr>
          <w:p>
            <w:pPr>
              <w:pStyle w:val="TableParagraph"/>
              <w:ind w:right="92"/>
              <w:jc w:val="right"/>
              <w:rPr>
                <w:sz w:val="19"/>
              </w:rPr>
            </w:pPr>
            <w:r>
              <w:rPr>
                <w:w w:val="95"/>
                <w:sz w:val="19"/>
              </w:rPr>
              <w:t>85,247</w:t>
            </w:r>
          </w:p>
        </w:tc>
        <w:tc>
          <w:tcPr>
            <w:tcW w:w="3118" w:type="dxa"/>
            <w:tcBorders>
              <w:right w:val="single" w:sz="4" w:space="0" w:color="000000"/>
            </w:tcBorders>
            <w:shd w:val="clear" w:color="auto" w:fill="F4F4F4"/>
          </w:tcPr>
          <w:p>
            <w:pPr>
              <w:pStyle w:val="TableParagraph"/>
              <w:ind w:right="97"/>
              <w:jc w:val="right"/>
              <w:rPr>
                <w:sz w:val="19"/>
              </w:rPr>
            </w:pPr>
            <w:r>
              <w:rPr>
                <w:w w:val="95"/>
                <w:sz w:val="19"/>
              </w:rPr>
              <w:t>85,247</w:t>
            </w:r>
          </w:p>
        </w:tc>
        <w:tc>
          <w:tcPr>
            <w:tcW w:w="1190" w:type="dxa"/>
            <w:tcBorders>
              <w:left w:val="single" w:sz="4" w:space="0" w:color="000000"/>
            </w:tcBorders>
            <w:shd w:val="clear" w:color="auto" w:fill="F4F4F4"/>
          </w:tcPr>
          <w:p>
            <w:pPr>
              <w:pStyle w:val="TableParagraph"/>
              <w:ind w:right="91"/>
              <w:jc w:val="right"/>
              <w:rPr>
                <w:sz w:val="19"/>
              </w:rPr>
            </w:pPr>
            <w:r>
              <w:rPr>
                <w:w w:val="111"/>
                <w:sz w:val="19"/>
              </w:rPr>
              <w:t>-</w:t>
            </w:r>
          </w:p>
        </w:tc>
        <w:tc>
          <w:tcPr>
            <w:tcW w:w="1190" w:type="dxa"/>
            <w:shd w:val="clear" w:color="auto" w:fill="F4F4F4"/>
          </w:tcPr>
          <w:p>
            <w:pPr>
              <w:pStyle w:val="TableParagraph"/>
              <w:ind w:right="91"/>
              <w:jc w:val="right"/>
              <w:rPr>
                <w:sz w:val="19"/>
              </w:rPr>
            </w:pPr>
            <w:r>
              <w:rPr>
                <w:w w:val="111"/>
                <w:sz w:val="19"/>
              </w:rPr>
              <w:t>-</w:t>
            </w:r>
          </w:p>
        </w:tc>
        <w:tc>
          <w:tcPr>
            <w:tcW w:w="1190" w:type="dxa"/>
            <w:shd w:val="clear" w:color="auto" w:fill="F4F4F4"/>
          </w:tcPr>
          <w:p>
            <w:pPr>
              <w:pStyle w:val="TableParagraph"/>
              <w:ind w:right="90"/>
              <w:jc w:val="right"/>
              <w:rPr>
                <w:sz w:val="19"/>
              </w:rPr>
            </w:pPr>
            <w:r>
              <w:rPr>
                <w:w w:val="111"/>
                <w:sz w:val="19"/>
              </w:rPr>
              <w:t>-</w:t>
            </w:r>
          </w:p>
        </w:tc>
        <w:tc>
          <w:tcPr>
            <w:tcW w:w="1190" w:type="dxa"/>
            <w:shd w:val="clear" w:color="auto" w:fill="F4F4F4"/>
          </w:tcPr>
          <w:p>
            <w:pPr>
              <w:pStyle w:val="TableParagraph"/>
              <w:ind w:right="90"/>
              <w:jc w:val="right"/>
              <w:rPr>
                <w:sz w:val="19"/>
              </w:rPr>
            </w:pPr>
            <w:r>
              <w:rPr>
                <w:w w:val="111"/>
                <w:sz w:val="19"/>
              </w:rPr>
              <w:t>-</w:t>
            </w:r>
          </w:p>
        </w:tc>
        <w:tc>
          <w:tcPr>
            <w:tcW w:w="1190" w:type="dxa"/>
            <w:tcBorders>
              <w:right w:val="single" w:sz="4" w:space="0" w:color="000000"/>
            </w:tcBorders>
            <w:shd w:val="clear" w:color="auto" w:fill="F4F4F4"/>
          </w:tcPr>
          <w:p>
            <w:pPr>
              <w:pStyle w:val="TableParagraph"/>
              <w:ind w:right="94"/>
              <w:jc w:val="right"/>
              <w:rPr>
                <w:sz w:val="19"/>
              </w:rPr>
            </w:pPr>
            <w:r>
              <w:rPr>
                <w:w w:val="111"/>
                <w:sz w:val="19"/>
              </w:rPr>
              <w:t>-</w:t>
            </w:r>
          </w:p>
        </w:tc>
        <w:tc>
          <w:tcPr>
            <w:tcW w:w="1644" w:type="dxa"/>
            <w:tcBorders>
              <w:left w:val="single" w:sz="4" w:space="0" w:color="000000"/>
              <w:right w:val="nil"/>
            </w:tcBorders>
            <w:shd w:val="clear" w:color="auto" w:fill="F4F4F4"/>
          </w:tcPr>
          <w:p>
            <w:pPr>
              <w:pStyle w:val="TableParagraph"/>
              <w:ind w:right="99"/>
              <w:jc w:val="right"/>
              <w:rPr>
                <w:sz w:val="19"/>
              </w:rPr>
            </w:pPr>
            <w:r>
              <w:rPr>
                <w:w w:val="111"/>
                <w:sz w:val="19"/>
              </w:rPr>
              <w:t>-</w:t>
            </w:r>
          </w:p>
        </w:tc>
      </w:tr>
      <w:tr>
        <w:trPr>
          <w:trHeight w:val="285" w:hRule="atLeast"/>
        </w:trPr>
        <w:tc>
          <w:tcPr>
            <w:tcW w:w="3430" w:type="dxa"/>
            <w:tcBorders>
              <w:right w:val="nil"/>
            </w:tcBorders>
            <w:shd w:val="clear" w:color="auto" w:fill="FAF9F9"/>
          </w:tcPr>
          <w:p>
            <w:pPr>
              <w:pStyle w:val="TableParagraph"/>
              <w:ind w:left="112"/>
              <w:rPr>
                <w:sz w:val="19"/>
              </w:rPr>
            </w:pPr>
            <w:r>
              <w:rPr>
                <w:sz w:val="19"/>
              </w:rPr>
              <w:t>Restricted cash and cash equivalents</w:t>
            </w:r>
          </w:p>
        </w:tc>
        <w:tc>
          <w:tcPr>
            <w:tcW w:w="1134" w:type="dxa"/>
            <w:tcBorders>
              <w:left w:val="nil"/>
              <w:right w:val="nil"/>
            </w:tcBorders>
            <w:shd w:val="clear" w:color="auto" w:fill="FAF9F9"/>
          </w:tcPr>
          <w:p>
            <w:pPr>
              <w:pStyle w:val="TableParagraph"/>
              <w:ind w:right="102"/>
              <w:jc w:val="right"/>
              <w:rPr>
                <w:sz w:val="19"/>
              </w:rPr>
            </w:pPr>
            <w:r>
              <w:rPr>
                <w:w w:val="95"/>
                <w:sz w:val="19"/>
              </w:rPr>
              <w:t>12,983</w:t>
            </w:r>
          </w:p>
        </w:tc>
        <w:tc>
          <w:tcPr>
            <w:tcW w:w="3118" w:type="dxa"/>
            <w:tcBorders>
              <w:left w:val="nil"/>
              <w:right w:val="single" w:sz="4" w:space="0" w:color="000000"/>
            </w:tcBorders>
            <w:shd w:val="clear" w:color="auto" w:fill="FAF9F9"/>
          </w:tcPr>
          <w:p>
            <w:pPr>
              <w:pStyle w:val="TableParagraph"/>
              <w:ind w:right="97"/>
              <w:jc w:val="right"/>
              <w:rPr>
                <w:sz w:val="19"/>
              </w:rPr>
            </w:pPr>
            <w:r>
              <w:rPr>
                <w:w w:val="95"/>
                <w:sz w:val="19"/>
              </w:rPr>
              <w:t>12,983</w:t>
            </w:r>
          </w:p>
        </w:tc>
        <w:tc>
          <w:tcPr>
            <w:tcW w:w="1190" w:type="dxa"/>
            <w:tcBorders>
              <w:left w:val="single" w:sz="4" w:space="0" w:color="000000"/>
              <w:right w:val="nil"/>
            </w:tcBorders>
            <w:shd w:val="clear" w:color="auto" w:fill="FAF9F9"/>
          </w:tcPr>
          <w:p>
            <w:pPr>
              <w:pStyle w:val="TableParagraph"/>
              <w:ind w:right="101"/>
              <w:jc w:val="right"/>
              <w:rPr>
                <w:sz w:val="19"/>
              </w:rPr>
            </w:pPr>
            <w:r>
              <w:rPr>
                <w:w w:val="111"/>
                <w:sz w:val="19"/>
              </w:rPr>
              <w:t>-</w:t>
            </w:r>
          </w:p>
        </w:tc>
        <w:tc>
          <w:tcPr>
            <w:tcW w:w="1190" w:type="dxa"/>
            <w:tcBorders>
              <w:left w:val="nil"/>
              <w:right w:val="nil"/>
            </w:tcBorders>
            <w:shd w:val="clear" w:color="auto" w:fill="FAF9F9"/>
          </w:tcPr>
          <w:p>
            <w:pPr>
              <w:pStyle w:val="TableParagraph"/>
              <w:ind w:right="101"/>
              <w:jc w:val="right"/>
              <w:rPr>
                <w:sz w:val="19"/>
              </w:rPr>
            </w:pPr>
            <w:r>
              <w:rPr>
                <w:w w:val="111"/>
                <w:sz w:val="19"/>
              </w:rPr>
              <w:t>-</w:t>
            </w:r>
          </w:p>
        </w:tc>
        <w:tc>
          <w:tcPr>
            <w:tcW w:w="1190" w:type="dxa"/>
            <w:tcBorders>
              <w:left w:val="nil"/>
              <w:right w:val="nil"/>
            </w:tcBorders>
            <w:shd w:val="clear" w:color="auto" w:fill="FAF9F9"/>
          </w:tcPr>
          <w:p>
            <w:pPr>
              <w:pStyle w:val="TableParagraph"/>
              <w:ind w:right="100"/>
              <w:jc w:val="right"/>
              <w:rPr>
                <w:sz w:val="19"/>
              </w:rPr>
            </w:pPr>
            <w:r>
              <w:rPr>
                <w:w w:val="111"/>
                <w:sz w:val="19"/>
              </w:rPr>
              <w:t>-</w:t>
            </w:r>
          </w:p>
        </w:tc>
        <w:tc>
          <w:tcPr>
            <w:tcW w:w="1190" w:type="dxa"/>
            <w:tcBorders>
              <w:left w:val="nil"/>
              <w:right w:val="nil"/>
            </w:tcBorders>
            <w:shd w:val="clear" w:color="auto" w:fill="FAF9F9"/>
          </w:tcPr>
          <w:p>
            <w:pPr>
              <w:pStyle w:val="TableParagraph"/>
              <w:ind w:right="100"/>
              <w:jc w:val="right"/>
              <w:rPr>
                <w:sz w:val="19"/>
              </w:rPr>
            </w:pPr>
            <w:r>
              <w:rPr>
                <w:w w:val="111"/>
                <w:sz w:val="19"/>
              </w:rPr>
              <w:t>-</w:t>
            </w:r>
          </w:p>
        </w:tc>
        <w:tc>
          <w:tcPr>
            <w:tcW w:w="1190" w:type="dxa"/>
            <w:tcBorders>
              <w:left w:val="nil"/>
              <w:right w:val="single" w:sz="4" w:space="0" w:color="000000"/>
            </w:tcBorders>
            <w:shd w:val="clear" w:color="auto" w:fill="FAF9F9"/>
          </w:tcPr>
          <w:p>
            <w:pPr>
              <w:pStyle w:val="TableParagraph"/>
              <w:ind w:right="94"/>
              <w:jc w:val="right"/>
              <w:rPr>
                <w:sz w:val="19"/>
              </w:rPr>
            </w:pPr>
            <w:r>
              <w:rPr>
                <w:w w:val="111"/>
                <w:sz w:val="19"/>
              </w:rPr>
              <w:t>-</w:t>
            </w:r>
          </w:p>
        </w:tc>
        <w:tc>
          <w:tcPr>
            <w:tcW w:w="1644" w:type="dxa"/>
            <w:tcBorders>
              <w:left w:val="single" w:sz="4" w:space="0" w:color="000000"/>
              <w:right w:val="nil"/>
            </w:tcBorders>
            <w:shd w:val="clear" w:color="auto" w:fill="FAF9F9"/>
          </w:tcPr>
          <w:p>
            <w:pPr>
              <w:pStyle w:val="TableParagraph"/>
              <w:ind w:right="99"/>
              <w:jc w:val="right"/>
              <w:rPr>
                <w:sz w:val="19"/>
              </w:rPr>
            </w:pPr>
            <w:r>
              <w:rPr>
                <w:w w:val="111"/>
                <w:sz w:val="19"/>
              </w:rPr>
              <w:t>-</w:t>
            </w:r>
          </w:p>
        </w:tc>
      </w:tr>
      <w:tr>
        <w:trPr>
          <w:trHeight w:val="285" w:hRule="atLeast"/>
        </w:trPr>
        <w:tc>
          <w:tcPr>
            <w:tcW w:w="3430" w:type="dxa"/>
            <w:shd w:val="clear" w:color="auto" w:fill="F4F4F4"/>
          </w:tcPr>
          <w:p>
            <w:pPr>
              <w:pStyle w:val="TableParagraph"/>
              <w:ind w:left="112"/>
              <w:rPr>
                <w:sz w:val="10"/>
              </w:rPr>
            </w:pPr>
            <w:r>
              <w:rPr>
                <w:sz w:val="19"/>
              </w:rPr>
              <w:t>Receivables</w:t>
            </w:r>
            <w:r>
              <w:rPr>
                <w:position w:val="6"/>
                <w:sz w:val="10"/>
              </w:rPr>
              <w:t>(a)</w:t>
            </w:r>
          </w:p>
        </w:tc>
        <w:tc>
          <w:tcPr>
            <w:tcW w:w="1134" w:type="dxa"/>
            <w:shd w:val="clear" w:color="auto" w:fill="F4F4F4"/>
          </w:tcPr>
          <w:p>
            <w:pPr>
              <w:pStyle w:val="TableParagraph"/>
              <w:ind w:right="91"/>
              <w:jc w:val="right"/>
              <w:rPr>
                <w:sz w:val="19"/>
              </w:rPr>
            </w:pPr>
            <w:r>
              <w:rPr>
                <w:w w:val="95"/>
                <w:sz w:val="19"/>
              </w:rPr>
              <w:t>294,710</w:t>
            </w:r>
          </w:p>
        </w:tc>
        <w:tc>
          <w:tcPr>
            <w:tcW w:w="3118" w:type="dxa"/>
            <w:tcBorders>
              <w:right w:val="single" w:sz="4" w:space="0" w:color="000000"/>
            </w:tcBorders>
            <w:shd w:val="clear" w:color="auto" w:fill="F4F4F4"/>
          </w:tcPr>
          <w:p>
            <w:pPr>
              <w:pStyle w:val="TableParagraph"/>
              <w:ind w:right="96"/>
              <w:jc w:val="right"/>
              <w:rPr>
                <w:sz w:val="19"/>
              </w:rPr>
            </w:pPr>
            <w:r>
              <w:rPr>
                <w:w w:val="95"/>
                <w:sz w:val="19"/>
              </w:rPr>
              <w:t>266,065</w:t>
            </w:r>
          </w:p>
        </w:tc>
        <w:tc>
          <w:tcPr>
            <w:tcW w:w="1190" w:type="dxa"/>
            <w:tcBorders>
              <w:left w:val="single" w:sz="4" w:space="0" w:color="000000"/>
            </w:tcBorders>
            <w:shd w:val="clear" w:color="auto" w:fill="F4F4F4"/>
          </w:tcPr>
          <w:p>
            <w:pPr>
              <w:pStyle w:val="TableParagraph"/>
              <w:ind w:right="90"/>
              <w:jc w:val="right"/>
              <w:rPr>
                <w:sz w:val="19"/>
              </w:rPr>
            </w:pPr>
            <w:r>
              <w:rPr>
                <w:w w:val="95"/>
                <w:sz w:val="19"/>
              </w:rPr>
              <w:t>19,117</w:t>
            </w:r>
          </w:p>
        </w:tc>
        <w:tc>
          <w:tcPr>
            <w:tcW w:w="1190" w:type="dxa"/>
            <w:shd w:val="clear" w:color="auto" w:fill="F4F4F4"/>
          </w:tcPr>
          <w:p>
            <w:pPr>
              <w:pStyle w:val="TableParagraph"/>
              <w:ind w:right="90"/>
              <w:jc w:val="right"/>
              <w:rPr>
                <w:sz w:val="19"/>
              </w:rPr>
            </w:pPr>
            <w:r>
              <w:rPr>
                <w:w w:val="95"/>
                <w:sz w:val="19"/>
              </w:rPr>
              <w:t>4,045</w:t>
            </w:r>
          </w:p>
        </w:tc>
        <w:tc>
          <w:tcPr>
            <w:tcW w:w="1190" w:type="dxa"/>
            <w:shd w:val="clear" w:color="auto" w:fill="F4F4F4"/>
          </w:tcPr>
          <w:p>
            <w:pPr>
              <w:pStyle w:val="TableParagraph"/>
              <w:ind w:right="89"/>
              <w:jc w:val="right"/>
              <w:rPr>
                <w:sz w:val="19"/>
              </w:rPr>
            </w:pPr>
            <w:r>
              <w:rPr>
                <w:w w:val="95"/>
                <w:sz w:val="19"/>
              </w:rPr>
              <w:t>3,575</w:t>
            </w:r>
          </w:p>
        </w:tc>
        <w:tc>
          <w:tcPr>
            <w:tcW w:w="1190" w:type="dxa"/>
            <w:shd w:val="clear" w:color="auto" w:fill="F4F4F4"/>
          </w:tcPr>
          <w:p>
            <w:pPr>
              <w:pStyle w:val="TableParagraph"/>
              <w:ind w:right="89"/>
              <w:jc w:val="right"/>
              <w:rPr>
                <w:sz w:val="19"/>
              </w:rPr>
            </w:pPr>
            <w:r>
              <w:rPr>
                <w:w w:val="95"/>
                <w:sz w:val="19"/>
              </w:rPr>
              <w:t>1,908</w:t>
            </w:r>
          </w:p>
        </w:tc>
        <w:tc>
          <w:tcPr>
            <w:tcW w:w="1190" w:type="dxa"/>
            <w:tcBorders>
              <w:right w:val="single" w:sz="4" w:space="0" w:color="000000"/>
            </w:tcBorders>
            <w:shd w:val="clear" w:color="auto" w:fill="F4F4F4"/>
          </w:tcPr>
          <w:p>
            <w:pPr>
              <w:pStyle w:val="TableParagraph"/>
              <w:ind w:right="93"/>
              <w:jc w:val="right"/>
              <w:rPr>
                <w:sz w:val="19"/>
              </w:rPr>
            </w:pPr>
            <w:r>
              <w:rPr>
                <w:w w:val="111"/>
                <w:sz w:val="19"/>
              </w:rPr>
              <w:t>-</w:t>
            </w:r>
          </w:p>
        </w:tc>
        <w:tc>
          <w:tcPr>
            <w:tcW w:w="1644" w:type="dxa"/>
            <w:tcBorders>
              <w:left w:val="single" w:sz="4" w:space="0" w:color="000000"/>
              <w:right w:val="nil"/>
            </w:tcBorders>
            <w:shd w:val="clear" w:color="auto" w:fill="F4F4F4"/>
          </w:tcPr>
          <w:p>
            <w:pPr>
              <w:pStyle w:val="TableParagraph"/>
              <w:ind w:right="98"/>
              <w:jc w:val="right"/>
              <w:rPr>
                <w:sz w:val="19"/>
              </w:rPr>
            </w:pPr>
            <w:r>
              <w:rPr>
                <w:w w:val="111"/>
                <w:sz w:val="19"/>
              </w:rPr>
              <w:t>-</w:t>
            </w:r>
          </w:p>
        </w:tc>
      </w:tr>
      <w:tr>
        <w:trPr>
          <w:trHeight w:val="285" w:hRule="atLeast"/>
        </w:trPr>
        <w:tc>
          <w:tcPr>
            <w:tcW w:w="3430" w:type="dxa"/>
            <w:tcBorders>
              <w:right w:val="nil"/>
            </w:tcBorders>
            <w:shd w:val="clear" w:color="auto" w:fill="FAF9F9"/>
          </w:tcPr>
          <w:p>
            <w:pPr>
              <w:pStyle w:val="TableParagraph"/>
              <w:ind w:left="113"/>
              <w:rPr>
                <w:sz w:val="19"/>
              </w:rPr>
            </w:pPr>
            <w:r>
              <w:rPr>
                <w:sz w:val="19"/>
              </w:rPr>
              <w:t>Finance lease receivables</w:t>
            </w:r>
          </w:p>
        </w:tc>
        <w:tc>
          <w:tcPr>
            <w:tcW w:w="1134" w:type="dxa"/>
            <w:tcBorders>
              <w:left w:val="nil"/>
              <w:right w:val="nil"/>
            </w:tcBorders>
            <w:shd w:val="clear" w:color="auto" w:fill="FAF9F9"/>
          </w:tcPr>
          <w:p>
            <w:pPr>
              <w:pStyle w:val="TableParagraph"/>
              <w:ind w:right="101"/>
              <w:jc w:val="right"/>
              <w:rPr>
                <w:sz w:val="19"/>
              </w:rPr>
            </w:pPr>
            <w:r>
              <w:rPr>
                <w:w w:val="95"/>
                <w:sz w:val="19"/>
              </w:rPr>
              <w:t>1,797</w:t>
            </w:r>
          </w:p>
        </w:tc>
        <w:tc>
          <w:tcPr>
            <w:tcW w:w="3118" w:type="dxa"/>
            <w:tcBorders>
              <w:left w:val="nil"/>
              <w:right w:val="single" w:sz="4" w:space="0" w:color="000000"/>
            </w:tcBorders>
            <w:shd w:val="clear" w:color="auto" w:fill="FAF9F9"/>
          </w:tcPr>
          <w:p>
            <w:pPr>
              <w:pStyle w:val="TableParagraph"/>
              <w:ind w:right="96"/>
              <w:jc w:val="right"/>
              <w:rPr>
                <w:sz w:val="19"/>
              </w:rPr>
            </w:pPr>
            <w:r>
              <w:rPr>
                <w:w w:val="95"/>
                <w:sz w:val="19"/>
              </w:rPr>
              <w:t>1,772</w:t>
            </w:r>
          </w:p>
        </w:tc>
        <w:tc>
          <w:tcPr>
            <w:tcW w:w="1190" w:type="dxa"/>
            <w:tcBorders>
              <w:left w:val="single" w:sz="4" w:space="0" w:color="000000"/>
              <w:right w:val="nil"/>
            </w:tcBorders>
            <w:shd w:val="clear" w:color="auto" w:fill="FAF9F9"/>
          </w:tcPr>
          <w:p>
            <w:pPr>
              <w:pStyle w:val="TableParagraph"/>
              <w:ind w:right="101"/>
              <w:jc w:val="right"/>
              <w:rPr>
                <w:sz w:val="19"/>
              </w:rPr>
            </w:pPr>
            <w:r>
              <w:rPr>
                <w:w w:val="95"/>
                <w:sz w:val="19"/>
              </w:rPr>
              <w:t>25</w:t>
            </w:r>
          </w:p>
        </w:tc>
        <w:tc>
          <w:tcPr>
            <w:tcW w:w="1190" w:type="dxa"/>
            <w:tcBorders>
              <w:left w:val="nil"/>
              <w:right w:val="nil"/>
            </w:tcBorders>
            <w:shd w:val="clear" w:color="auto" w:fill="FAF9F9"/>
          </w:tcPr>
          <w:p>
            <w:pPr>
              <w:pStyle w:val="TableParagraph"/>
              <w:ind w:right="100"/>
              <w:jc w:val="right"/>
              <w:rPr>
                <w:sz w:val="19"/>
              </w:rPr>
            </w:pPr>
            <w:r>
              <w:rPr>
                <w:w w:val="111"/>
                <w:sz w:val="19"/>
              </w:rPr>
              <w:t>-</w:t>
            </w:r>
          </w:p>
        </w:tc>
        <w:tc>
          <w:tcPr>
            <w:tcW w:w="1190" w:type="dxa"/>
            <w:tcBorders>
              <w:left w:val="nil"/>
              <w:right w:val="nil"/>
            </w:tcBorders>
            <w:shd w:val="clear" w:color="auto" w:fill="FAF9F9"/>
          </w:tcPr>
          <w:p>
            <w:pPr>
              <w:pStyle w:val="TableParagraph"/>
              <w:ind w:right="100"/>
              <w:jc w:val="right"/>
              <w:rPr>
                <w:sz w:val="19"/>
              </w:rPr>
            </w:pPr>
            <w:r>
              <w:rPr>
                <w:w w:val="111"/>
                <w:sz w:val="19"/>
              </w:rPr>
              <w:t>-</w:t>
            </w:r>
          </w:p>
        </w:tc>
        <w:tc>
          <w:tcPr>
            <w:tcW w:w="1190" w:type="dxa"/>
            <w:tcBorders>
              <w:left w:val="nil"/>
              <w:right w:val="nil"/>
            </w:tcBorders>
            <w:shd w:val="clear" w:color="auto" w:fill="FAF9F9"/>
          </w:tcPr>
          <w:p>
            <w:pPr>
              <w:pStyle w:val="TableParagraph"/>
              <w:ind w:right="99"/>
              <w:jc w:val="right"/>
              <w:rPr>
                <w:sz w:val="19"/>
              </w:rPr>
            </w:pPr>
            <w:r>
              <w:rPr>
                <w:w w:val="111"/>
                <w:sz w:val="19"/>
              </w:rPr>
              <w:t>-</w:t>
            </w:r>
          </w:p>
        </w:tc>
        <w:tc>
          <w:tcPr>
            <w:tcW w:w="1190" w:type="dxa"/>
            <w:tcBorders>
              <w:left w:val="nil"/>
              <w:right w:val="single" w:sz="4" w:space="0" w:color="000000"/>
            </w:tcBorders>
            <w:shd w:val="clear" w:color="auto" w:fill="FAF9F9"/>
          </w:tcPr>
          <w:p>
            <w:pPr>
              <w:pStyle w:val="TableParagraph"/>
              <w:ind w:right="94"/>
              <w:jc w:val="right"/>
              <w:rPr>
                <w:sz w:val="19"/>
              </w:rPr>
            </w:pPr>
            <w:r>
              <w:rPr>
                <w:w w:val="111"/>
                <w:sz w:val="19"/>
              </w:rPr>
              <w:t>-</w:t>
            </w:r>
          </w:p>
        </w:tc>
        <w:tc>
          <w:tcPr>
            <w:tcW w:w="1644" w:type="dxa"/>
            <w:tcBorders>
              <w:left w:val="single" w:sz="4" w:space="0" w:color="000000"/>
              <w:right w:val="nil"/>
            </w:tcBorders>
            <w:shd w:val="clear" w:color="auto" w:fill="FAF9F9"/>
          </w:tcPr>
          <w:p>
            <w:pPr>
              <w:pStyle w:val="TableParagraph"/>
              <w:ind w:right="98"/>
              <w:jc w:val="right"/>
              <w:rPr>
                <w:sz w:val="19"/>
              </w:rPr>
            </w:pPr>
            <w:r>
              <w:rPr>
                <w:w w:val="111"/>
                <w:sz w:val="19"/>
              </w:rPr>
              <w:t>-</w:t>
            </w:r>
          </w:p>
        </w:tc>
      </w:tr>
      <w:tr>
        <w:trPr>
          <w:trHeight w:val="285" w:hRule="atLeast"/>
        </w:trPr>
        <w:tc>
          <w:tcPr>
            <w:tcW w:w="3430" w:type="dxa"/>
            <w:vMerge w:val="restart"/>
            <w:shd w:val="clear" w:color="auto" w:fill="FAF9F9"/>
          </w:tcPr>
          <w:p>
            <w:pPr>
              <w:pStyle w:val="TableParagraph"/>
              <w:ind w:left="113"/>
              <w:rPr>
                <w:sz w:val="19"/>
              </w:rPr>
            </w:pPr>
            <w:r>
              <w:rPr>
                <w:sz w:val="19"/>
              </w:rPr>
              <w:t>Amounts receivable for services</w:t>
            </w:r>
          </w:p>
        </w:tc>
        <w:tc>
          <w:tcPr>
            <w:tcW w:w="1134" w:type="dxa"/>
            <w:tcBorders>
              <w:bottom w:val="single" w:sz="4" w:space="0" w:color="000000"/>
            </w:tcBorders>
            <w:shd w:val="clear" w:color="auto" w:fill="F4F4F4"/>
          </w:tcPr>
          <w:p>
            <w:pPr>
              <w:pStyle w:val="TableParagraph"/>
              <w:ind w:right="91"/>
              <w:jc w:val="right"/>
              <w:rPr>
                <w:sz w:val="19"/>
              </w:rPr>
            </w:pPr>
            <w:r>
              <w:rPr>
                <w:w w:val="95"/>
                <w:sz w:val="19"/>
              </w:rPr>
              <w:t>411,714</w:t>
            </w:r>
          </w:p>
        </w:tc>
        <w:tc>
          <w:tcPr>
            <w:tcW w:w="3118" w:type="dxa"/>
            <w:tcBorders>
              <w:bottom w:val="single" w:sz="4" w:space="0" w:color="000000"/>
              <w:right w:val="single" w:sz="4" w:space="0" w:color="000000"/>
            </w:tcBorders>
            <w:shd w:val="clear" w:color="auto" w:fill="F4F4F4"/>
          </w:tcPr>
          <w:p>
            <w:pPr>
              <w:pStyle w:val="TableParagraph"/>
              <w:ind w:right="96"/>
              <w:jc w:val="right"/>
              <w:rPr>
                <w:sz w:val="19"/>
              </w:rPr>
            </w:pPr>
            <w:r>
              <w:rPr>
                <w:w w:val="95"/>
                <w:sz w:val="19"/>
              </w:rPr>
              <w:t>411,714</w:t>
            </w:r>
          </w:p>
        </w:tc>
        <w:tc>
          <w:tcPr>
            <w:tcW w:w="1190" w:type="dxa"/>
            <w:tcBorders>
              <w:left w:val="single" w:sz="4" w:space="0" w:color="000000"/>
              <w:bottom w:val="single" w:sz="4" w:space="0" w:color="000000"/>
            </w:tcBorders>
            <w:shd w:val="clear" w:color="auto" w:fill="F4F4F4"/>
          </w:tcPr>
          <w:p>
            <w:pPr>
              <w:pStyle w:val="TableParagraph"/>
              <w:ind w:right="91"/>
              <w:jc w:val="right"/>
              <w:rPr>
                <w:sz w:val="19"/>
              </w:rPr>
            </w:pPr>
            <w:r>
              <w:rPr>
                <w:w w:val="111"/>
                <w:sz w:val="19"/>
              </w:rPr>
              <w:t>-</w:t>
            </w:r>
          </w:p>
        </w:tc>
        <w:tc>
          <w:tcPr>
            <w:tcW w:w="1190" w:type="dxa"/>
            <w:tcBorders>
              <w:bottom w:val="single" w:sz="4" w:space="0" w:color="000000"/>
            </w:tcBorders>
            <w:shd w:val="clear" w:color="auto" w:fill="F4F4F4"/>
          </w:tcPr>
          <w:p>
            <w:pPr>
              <w:pStyle w:val="TableParagraph"/>
              <w:ind w:right="90"/>
              <w:jc w:val="right"/>
              <w:rPr>
                <w:sz w:val="19"/>
              </w:rPr>
            </w:pPr>
            <w:r>
              <w:rPr>
                <w:w w:val="111"/>
                <w:sz w:val="19"/>
              </w:rPr>
              <w:t>-</w:t>
            </w:r>
          </w:p>
        </w:tc>
        <w:tc>
          <w:tcPr>
            <w:tcW w:w="1190" w:type="dxa"/>
            <w:tcBorders>
              <w:bottom w:val="single" w:sz="4" w:space="0" w:color="000000"/>
            </w:tcBorders>
            <w:shd w:val="clear" w:color="auto" w:fill="F4F4F4"/>
          </w:tcPr>
          <w:p>
            <w:pPr>
              <w:pStyle w:val="TableParagraph"/>
              <w:ind w:right="90"/>
              <w:jc w:val="right"/>
              <w:rPr>
                <w:sz w:val="19"/>
              </w:rPr>
            </w:pPr>
            <w:r>
              <w:rPr>
                <w:w w:val="111"/>
                <w:sz w:val="19"/>
              </w:rPr>
              <w:t>-</w:t>
            </w:r>
          </w:p>
        </w:tc>
        <w:tc>
          <w:tcPr>
            <w:tcW w:w="1190" w:type="dxa"/>
            <w:tcBorders>
              <w:bottom w:val="single" w:sz="4" w:space="0" w:color="000000"/>
            </w:tcBorders>
            <w:shd w:val="clear" w:color="auto" w:fill="F4F4F4"/>
          </w:tcPr>
          <w:p>
            <w:pPr>
              <w:pStyle w:val="TableParagraph"/>
              <w:ind w:right="89"/>
              <w:jc w:val="right"/>
              <w:rPr>
                <w:sz w:val="19"/>
              </w:rPr>
            </w:pPr>
            <w:r>
              <w:rPr>
                <w:w w:val="111"/>
                <w:sz w:val="19"/>
              </w:rPr>
              <w:t>-</w:t>
            </w:r>
          </w:p>
        </w:tc>
        <w:tc>
          <w:tcPr>
            <w:tcW w:w="1190" w:type="dxa"/>
            <w:tcBorders>
              <w:bottom w:val="single" w:sz="4" w:space="0" w:color="000000"/>
              <w:right w:val="single" w:sz="4" w:space="0" w:color="000000"/>
            </w:tcBorders>
            <w:shd w:val="clear" w:color="auto" w:fill="F4F4F4"/>
          </w:tcPr>
          <w:p>
            <w:pPr>
              <w:pStyle w:val="TableParagraph"/>
              <w:ind w:right="94"/>
              <w:jc w:val="right"/>
              <w:rPr>
                <w:sz w:val="19"/>
              </w:rPr>
            </w:pPr>
            <w:r>
              <w:rPr>
                <w:w w:val="111"/>
                <w:sz w:val="19"/>
              </w:rPr>
              <w:t>-</w:t>
            </w:r>
          </w:p>
        </w:tc>
        <w:tc>
          <w:tcPr>
            <w:tcW w:w="1644" w:type="dxa"/>
            <w:tcBorders>
              <w:left w:val="single" w:sz="4" w:space="0" w:color="000000"/>
              <w:bottom w:val="single" w:sz="4" w:space="0" w:color="000000"/>
              <w:right w:val="nil"/>
            </w:tcBorders>
            <w:shd w:val="clear" w:color="auto" w:fill="F4F4F4"/>
          </w:tcPr>
          <w:p>
            <w:pPr>
              <w:pStyle w:val="TableParagraph"/>
              <w:ind w:right="99"/>
              <w:jc w:val="right"/>
              <w:rPr>
                <w:sz w:val="19"/>
              </w:rPr>
            </w:pPr>
            <w:r>
              <w:rPr>
                <w:w w:val="111"/>
                <w:sz w:val="19"/>
              </w:rPr>
              <w:t>-</w:t>
            </w:r>
          </w:p>
        </w:tc>
      </w:tr>
      <w:tr>
        <w:trPr>
          <w:trHeight w:val="253" w:hRule="atLeast"/>
        </w:trPr>
        <w:tc>
          <w:tcPr>
            <w:tcW w:w="3430" w:type="dxa"/>
            <w:vMerge/>
            <w:tcBorders>
              <w:top w:val="nil"/>
            </w:tcBorders>
            <w:shd w:val="clear" w:color="auto" w:fill="FAF9F9"/>
          </w:tcPr>
          <w:p>
            <w:pPr>
              <w:rPr>
                <w:sz w:val="2"/>
                <w:szCs w:val="2"/>
              </w:rPr>
            </w:pPr>
          </w:p>
        </w:tc>
        <w:tc>
          <w:tcPr>
            <w:tcW w:w="1134" w:type="dxa"/>
            <w:tcBorders>
              <w:top w:val="single" w:sz="4" w:space="0" w:color="000000"/>
              <w:bottom w:val="single" w:sz="34" w:space="0" w:color="FFFFFF"/>
              <w:right w:val="nil"/>
            </w:tcBorders>
            <w:shd w:val="clear" w:color="auto" w:fill="FAF9F9"/>
          </w:tcPr>
          <w:p>
            <w:pPr>
              <w:pStyle w:val="TableParagraph"/>
              <w:spacing w:line="201" w:lineRule="exact"/>
              <w:ind w:right="102"/>
              <w:jc w:val="right"/>
              <w:rPr>
                <w:b/>
                <w:sz w:val="19"/>
              </w:rPr>
            </w:pPr>
            <w:r>
              <w:rPr>
                <w:b/>
                <w:w w:val="95"/>
                <w:sz w:val="19"/>
              </w:rPr>
              <w:t>806,452</w:t>
            </w:r>
          </w:p>
        </w:tc>
        <w:tc>
          <w:tcPr>
            <w:tcW w:w="3118" w:type="dxa"/>
            <w:tcBorders>
              <w:top w:val="single" w:sz="4" w:space="0" w:color="000000"/>
              <w:left w:val="nil"/>
              <w:bottom w:val="single" w:sz="34" w:space="0" w:color="FFFFFF"/>
              <w:right w:val="single" w:sz="4" w:space="0" w:color="000000"/>
            </w:tcBorders>
            <w:shd w:val="clear" w:color="auto" w:fill="FAF9F9"/>
          </w:tcPr>
          <w:p>
            <w:pPr>
              <w:pStyle w:val="TableParagraph"/>
              <w:spacing w:line="201" w:lineRule="exact"/>
              <w:ind w:right="97"/>
              <w:jc w:val="right"/>
              <w:rPr>
                <w:b/>
                <w:sz w:val="19"/>
              </w:rPr>
            </w:pPr>
            <w:r>
              <w:rPr>
                <w:b/>
                <w:w w:val="95"/>
                <w:sz w:val="19"/>
              </w:rPr>
              <w:t>777,781</w:t>
            </w:r>
          </w:p>
        </w:tc>
        <w:tc>
          <w:tcPr>
            <w:tcW w:w="1190" w:type="dxa"/>
            <w:tcBorders>
              <w:top w:val="single" w:sz="4" w:space="0" w:color="000000"/>
              <w:left w:val="single" w:sz="4" w:space="0" w:color="000000"/>
              <w:bottom w:val="single" w:sz="34" w:space="0" w:color="FFFFFF"/>
              <w:right w:val="nil"/>
            </w:tcBorders>
            <w:shd w:val="clear" w:color="auto" w:fill="FAF9F9"/>
          </w:tcPr>
          <w:p>
            <w:pPr>
              <w:pStyle w:val="TableParagraph"/>
              <w:spacing w:line="201" w:lineRule="exact"/>
              <w:ind w:right="101"/>
              <w:jc w:val="right"/>
              <w:rPr>
                <w:b/>
                <w:sz w:val="19"/>
              </w:rPr>
            </w:pPr>
            <w:r>
              <w:rPr>
                <w:b/>
                <w:w w:val="95"/>
                <w:sz w:val="19"/>
              </w:rPr>
              <w:t>19,142</w:t>
            </w:r>
          </w:p>
        </w:tc>
        <w:tc>
          <w:tcPr>
            <w:tcW w:w="1190" w:type="dxa"/>
            <w:tcBorders>
              <w:top w:val="single" w:sz="4" w:space="0" w:color="000000"/>
              <w:left w:val="nil"/>
              <w:bottom w:val="single" w:sz="34" w:space="0" w:color="FFFFFF"/>
              <w:right w:val="nil"/>
            </w:tcBorders>
            <w:shd w:val="clear" w:color="auto" w:fill="FAF9F9"/>
          </w:tcPr>
          <w:p>
            <w:pPr>
              <w:pStyle w:val="TableParagraph"/>
              <w:spacing w:line="201" w:lineRule="exact"/>
              <w:ind w:right="101"/>
              <w:jc w:val="right"/>
              <w:rPr>
                <w:b/>
                <w:sz w:val="19"/>
              </w:rPr>
            </w:pPr>
            <w:r>
              <w:rPr>
                <w:b/>
                <w:w w:val="95"/>
                <w:sz w:val="19"/>
              </w:rPr>
              <w:t>4,045</w:t>
            </w:r>
          </w:p>
        </w:tc>
        <w:tc>
          <w:tcPr>
            <w:tcW w:w="1190" w:type="dxa"/>
            <w:tcBorders>
              <w:top w:val="single" w:sz="4" w:space="0" w:color="000000"/>
              <w:left w:val="nil"/>
              <w:bottom w:val="single" w:sz="34" w:space="0" w:color="FFFFFF"/>
              <w:right w:val="nil"/>
            </w:tcBorders>
            <w:shd w:val="clear" w:color="auto" w:fill="FAF9F9"/>
          </w:tcPr>
          <w:p>
            <w:pPr>
              <w:pStyle w:val="TableParagraph"/>
              <w:spacing w:line="201" w:lineRule="exact"/>
              <w:ind w:right="100"/>
              <w:jc w:val="right"/>
              <w:rPr>
                <w:b/>
                <w:sz w:val="19"/>
              </w:rPr>
            </w:pPr>
            <w:r>
              <w:rPr>
                <w:b/>
                <w:w w:val="95"/>
                <w:sz w:val="19"/>
              </w:rPr>
              <w:t>3,575</w:t>
            </w:r>
          </w:p>
        </w:tc>
        <w:tc>
          <w:tcPr>
            <w:tcW w:w="1190" w:type="dxa"/>
            <w:tcBorders>
              <w:top w:val="single" w:sz="4" w:space="0" w:color="000000"/>
              <w:left w:val="nil"/>
              <w:bottom w:val="single" w:sz="34" w:space="0" w:color="FFFFFF"/>
              <w:right w:val="nil"/>
            </w:tcBorders>
            <w:shd w:val="clear" w:color="auto" w:fill="FAF9F9"/>
          </w:tcPr>
          <w:p>
            <w:pPr>
              <w:pStyle w:val="TableParagraph"/>
              <w:spacing w:line="201" w:lineRule="exact"/>
              <w:ind w:right="99"/>
              <w:jc w:val="right"/>
              <w:rPr>
                <w:b/>
                <w:sz w:val="19"/>
              </w:rPr>
            </w:pPr>
            <w:r>
              <w:rPr>
                <w:b/>
                <w:w w:val="95"/>
                <w:sz w:val="19"/>
              </w:rPr>
              <w:t>1,908</w:t>
            </w:r>
          </w:p>
        </w:tc>
        <w:tc>
          <w:tcPr>
            <w:tcW w:w="1190" w:type="dxa"/>
            <w:tcBorders>
              <w:top w:val="single" w:sz="4" w:space="0" w:color="000000"/>
              <w:left w:val="nil"/>
              <w:bottom w:val="single" w:sz="34" w:space="0" w:color="FFFFFF"/>
              <w:right w:val="single" w:sz="4" w:space="0" w:color="000000"/>
            </w:tcBorders>
            <w:shd w:val="clear" w:color="auto" w:fill="FAF9F9"/>
          </w:tcPr>
          <w:p>
            <w:pPr>
              <w:pStyle w:val="TableParagraph"/>
              <w:spacing w:line="201" w:lineRule="exact"/>
              <w:ind w:right="94"/>
              <w:jc w:val="right"/>
              <w:rPr>
                <w:b/>
                <w:sz w:val="19"/>
              </w:rPr>
            </w:pPr>
            <w:r>
              <w:rPr>
                <w:b/>
                <w:w w:val="122"/>
                <w:sz w:val="19"/>
              </w:rPr>
              <w:t>-</w:t>
            </w:r>
          </w:p>
        </w:tc>
        <w:tc>
          <w:tcPr>
            <w:tcW w:w="1644" w:type="dxa"/>
            <w:tcBorders>
              <w:top w:val="single" w:sz="4" w:space="0" w:color="000000"/>
              <w:left w:val="single" w:sz="4" w:space="0" w:color="000000"/>
              <w:bottom w:val="single" w:sz="24" w:space="0" w:color="FFFFFF"/>
              <w:right w:val="nil"/>
            </w:tcBorders>
            <w:shd w:val="clear" w:color="auto" w:fill="FAF9F9"/>
          </w:tcPr>
          <w:p>
            <w:pPr>
              <w:pStyle w:val="TableParagraph"/>
              <w:spacing w:line="201" w:lineRule="exact"/>
              <w:ind w:right="99"/>
              <w:jc w:val="right"/>
              <w:rPr>
                <w:b/>
                <w:sz w:val="19"/>
              </w:rPr>
            </w:pPr>
            <w:r>
              <w:rPr>
                <w:b/>
                <w:w w:val="122"/>
                <w:sz w:val="19"/>
              </w:rPr>
              <w:t>-</w:t>
            </w:r>
          </w:p>
        </w:tc>
      </w:tr>
    </w:tbl>
    <w:p>
      <w:pPr>
        <w:pStyle w:val="BodyText"/>
        <w:spacing w:line="20" w:lineRule="exact"/>
        <w:ind w:left="13214"/>
        <w:rPr>
          <w:sz w:val="2"/>
        </w:rPr>
      </w:pPr>
      <w:r>
        <w:rPr>
          <w:sz w:val="2"/>
        </w:rPr>
        <w:pict>
          <v:group style="width:141.75pt;height:.550pt;mso-position-horizontal-relative:char;mso-position-vertical-relative:line" coordorigin="0,0" coordsize="2835,11">
            <v:line style="position:absolute" from="0,5" to="1191,5" stroked="true" strokeweight=".501pt" strokecolor="#000000">
              <v:stroke dashstyle="solid"/>
            </v:line>
            <v:line style="position:absolute" from="1191,5" to="2835,5" stroked="true" strokeweight=".501pt" strokecolor="#000000">
              <v:stroke dashstyle="solid"/>
            </v:line>
          </v:group>
        </w:pict>
      </w:r>
      <w:r>
        <w:rPr>
          <w:sz w:val="2"/>
        </w:rPr>
      </w:r>
    </w:p>
    <w:p>
      <w:pPr>
        <w:spacing w:before="85"/>
        <w:ind w:left="765" w:right="0" w:firstLine="0"/>
        <w:jc w:val="left"/>
        <w:rPr>
          <w:sz w:val="15"/>
        </w:rPr>
      </w:pPr>
      <w:r>
        <w:rPr>
          <w:sz w:val="15"/>
        </w:rPr>
        <w:t>(a) The amount of receivables excludes the GST recoverable from the ATO (statutory receivable).</w:t>
      </w:r>
    </w:p>
    <w:p>
      <w:pPr>
        <w:spacing w:after="0"/>
        <w:jc w:val="left"/>
        <w:rPr>
          <w:sz w:val="15"/>
        </w:rPr>
        <w:sectPr>
          <w:footerReference w:type="default" r:id="rId223"/>
          <w:pgSz w:w="16840" w:h="11910" w:orient="landscape"/>
          <w:pgMar w:footer="448" w:header="0" w:top="0" w:bottom="64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5"/>
        <w:rPr>
          <w:sz w:val="21"/>
        </w:rPr>
      </w:pPr>
    </w:p>
    <w:p>
      <w:pPr>
        <w:pStyle w:val="Heading1"/>
      </w:pPr>
      <w:r>
        <w:rPr/>
        <w:pict>
          <v:group style="position:absolute;margin-left:763.172119pt;margin-top:-3.594212pt;width:61.1pt;height:45.2pt;mso-position-horizontal-relative:page;mso-position-vertical-relative:paragraph;z-index:22000"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120.3pt;height:42.55pt;mso-position-horizontal-relative:page;mso-position-vertical-relative:paragraph;z-index:22048" coordorigin="0,-1147" coordsize="2406,851">
            <v:rect style="position:absolute;left:0;top:-1148;width:2406;height:851" filled="true" fillcolor="#aebd37" stroked="false">
              <v:fill type="solid"/>
            </v:rect>
            <v:shape style="position:absolute;left:0;top:-1148;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7421pt;width:360.85pt;height:42.55pt;mso-position-horizontal-relative:page;mso-position-vertical-relative:paragraph;z-index:22144" coordorigin="9622,-1147" coordsize="7217,851">
            <v:rect style="position:absolute;left:14432;top:-1148;width:2406;height:851" filled="true" fillcolor="#aebd37"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8;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8;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4"/>
        <w:rPr>
          <w:sz w:val="15"/>
        </w:rPr>
      </w:pPr>
    </w:p>
    <w:p>
      <w:pPr>
        <w:spacing w:before="103"/>
        <w:ind w:left="765" w:right="0" w:firstLine="0"/>
        <w:jc w:val="left"/>
        <w:rPr>
          <w:i/>
          <w:sz w:val="22"/>
        </w:rPr>
      </w:pPr>
      <w:r>
        <w:rPr>
          <w:i/>
          <w:sz w:val="22"/>
        </w:rPr>
        <w:t>Liquidity risk and interest rate exposure</w:t>
      </w:r>
    </w:p>
    <w:p>
      <w:pPr>
        <w:pStyle w:val="BodyText"/>
        <w:spacing w:line="249" w:lineRule="auto" w:before="11"/>
        <w:ind w:left="765" w:right="819"/>
      </w:pPr>
      <w:r>
        <w:rPr/>
        <w:t>The</w:t>
      </w:r>
      <w:r>
        <w:rPr>
          <w:spacing w:val="-32"/>
        </w:rPr>
        <w:t> </w:t>
      </w:r>
      <w:r>
        <w:rPr>
          <w:spacing w:val="-3"/>
        </w:rPr>
        <w:t>following</w:t>
      </w:r>
      <w:r>
        <w:rPr>
          <w:spacing w:val="-32"/>
        </w:rPr>
        <w:t> </w:t>
      </w:r>
      <w:r>
        <w:rPr>
          <w:spacing w:val="-3"/>
        </w:rPr>
        <w:t>table</w:t>
      </w:r>
      <w:r>
        <w:rPr>
          <w:spacing w:val="-32"/>
        </w:rPr>
        <w:t> </w:t>
      </w:r>
      <w:r>
        <w:rPr>
          <w:spacing w:val="-3"/>
        </w:rPr>
        <w:t>details</w:t>
      </w:r>
      <w:r>
        <w:rPr>
          <w:spacing w:val="-32"/>
        </w:rPr>
        <w:t> </w:t>
      </w:r>
      <w:r>
        <w:rPr/>
        <w:t>the</w:t>
      </w:r>
      <w:r>
        <w:rPr>
          <w:spacing w:val="-32"/>
        </w:rPr>
        <w:t> </w:t>
      </w:r>
      <w:r>
        <w:rPr>
          <w:spacing w:val="-5"/>
        </w:rPr>
        <w:t>Department’s</w:t>
      </w:r>
      <w:r>
        <w:rPr>
          <w:spacing w:val="-31"/>
        </w:rPr>
        <w:t> </w:t>
      </w:r>
      <w:r>
        <w:rPr>
          <w:spacing w:val="-4"/>
        </w:rPr>
        <w:t>interest</w:t>
      </w:r>
      <w:r>
        <w:rPr>
          <w:spacing w:val="-32"/>
        </w:rPr>
        <w:t> </w:t>
      </w:r>
      <w:r>
        <w:rPr>
          <w:spacing w:val="-3"/>
        </w:rPr>
        <w:t>rate</w:t>
      </w:r>
      <w:r>
        <w:rPr>
          <w:spacing w:val="-32"/>
        </w:rPr>
        <w:t> </w:t>
      </w:r>
      <w:r>
        <w:rPr>
          <w:spacing w:val="-4"/>
        </w:rPr>
        <w:t>exposure</w:t>
      </w:r>
      <w:r>
        <w:rPr>
          <w:spacing w:val="-32"/>
        </w:rPr>
        <w:t> </w:t>
      </w:r>
      <w:r>
        <w:rPr/>
        <w:t>and</w:t>
      </w:r>
      <w:r>
        <w:rPr>
          <w:spacing w:val="-32"/>
        </w:rPr>
        <w:t> </w:t>
      </w:r>
      <w:r>
        <w:rPr/>
        <w:t>the</w:t>
      </w:r>
      <w:r>
        <w:rPr>
          <w:spacing w:val="-31"/>
        </w:rPr>
        <w:t> </w:t>
      </w:r>
      <w:r>
        <w:rPr>
          <w:spacing w:val="-3"/>
        </w:rPr>
        <w:t>contractual</w:t>
      </w:r>
      <w:r>
        <w:rPr>
          <w:spacing w:val="-32"/>
        </w:rPr>
        <w:t> </w:t>
      </w:r>
      <w:r>
        <w:rPr>
          <w:spacing w:val="-3"/>
        </w:rPr>
        <w:t>maturity</w:t>
      </w:r>
      <w:r>
        <w:rPr>
          <w:spacing w:val="-32"/>
        </w:rPr>
        <w:t> </w:t>
      </w:r>
      <w:r>
        <w:rPr>
          <w:spacing w:val="-3"/>
        </w:rPr>
        <w:t>analysis</w:t>
      </w:r>
      <w:r>
        <w:rPr>
          <w:spacing w:val="-32"/>
        </w:rPr>
        <w:t> </w:t>
      </w:r>
      <w:r>
        <w:rPr/>
        <w:t>of</w:t>
      </w:r>
      <w:r>
        <w:rPr>
          <w:spacing w:val="-32"/>
        </w:rPr>
        <w:t> </w:t>
      </w:r>
      <w:r>
        <w:rPr>
          <w:spacing w:val="-3"/>
        </w:rPr>
        <w:t>financial</w:t>
      </w:r>
      <w:r>
        <w:rPr>
          <w:spacing w:val="-32"/>
        </w:rPr>
        <w:t> </w:t>
      </w:r>
      <w:r>
        <w:rPr>
          <w:spacing w:val="-3"/>
        </w:rPr>
        <w:t>assets</w:t>
      </w:r>
      <w:r>
        <w:rPr>
          <w:spacing w:val="-31"/>
        </w:rPr>
        <w:t> </w:t>
      </w:r>
      <w:r>
        <w:rPr/>
        <w:t>and</w:t>
      </w:r>
      <w:r>
        <w:rPr>
          <w:spacing w:val="-32"/>
        </w:rPr>
        <w:t> </w:t>
      </w:r>
      <w:r>
        <w:rPr>
          <w:spacing w:val="-3"/>
        </w:rPr>
        <w:t>financial</w:t>
      </w:r>
      <w:r>
        <w:rPr>
          <w:spacing w:val="-32"/>
        </w:rPr>
        <w:t> </w:t>
      </w:r>
      <w:r>
        <w:rPr>
          <w:spacing w:val="-3"/>
        </w:rPr>
        <w:t>liabilities.</w:t>
      </w:r>
      <w:r>
        <w:rPr>
          <w:spacing w:val="-32"/>
        </w:rPr>
        <w:t> </w:t>
      </w:r>
      <w:r>
        <w:rPr/>
        <w:t>The</w:t>
      </w:r>
      <w:r>
        <w:rPr>
          <w:spacing w:val="-32"/>
        </w:rPr>
        <w:t> </w:t>
      </w:r>
      <w:r>
        <w:rPr>
          <w:spacing w:val="-3"/>
        </w:rPr>
        <w:t>maturity</w:t>
      </w:r>
      <w:r>
        <w:rPr>
          <w:spacing w:val="-31"/>
        </w:rPr>
        <w:t> </w:t>
      </w:r>
      <w:r>
        <w:rPr>
          <w:spacing w:val="-3"/>
        </w:rPr>
        <w:t>analysis section</w:t>
      </w:r>
      <w:r>
        <w:rPr>
          <w:spacing w:val="-12"/>
        </w:rPr>
        <w:t> </w:t>
      </w:r>
      <w:r>
        <w:rPr>
          <w:spacing w:val="-3"/>
        </w:rPr>
        <w:t>includes</w:t>
      </w:r>
      <w:r>
        <w:rPr>
          <w:spacing w:val="-11"/>
        </w:rPr>
        <w:t> </w:t>
      </w:r>
      <w:r>
        <w:rPr>
          <w:spacing w:val="-4"/>
        </w:rPr>
        <w:t>interest</w:t>
      </w:r>
      <w:r>
        <w:rPr>
          <w:spacing w:val="-11"/>
        </w:rPr>
        <w:t> </w:t>
      </w:r>
      <w:r>
        <w:rPr/>
        <w:t>and</w:t>
      </w:r>
      <w:r>
        <w:rPr>
          <w:spacing w:val="-11"/>
        </w:rPr>
        <w:t> </w:t>
      </w:r>
      <w:r>
        <w:rPr>
          <w:spacing w:val="-3"/>
        </w:rPr>
        <w:t>principal</w:t>
      </w:r>
      <w:r>
        <w:rPr>
          <w:spacing w:val="-11"/>
        </w:rPr>
        <w:t> </w:t>
      </w:r>
      <w:r>
        <w:rPr>
          <w:spacing w:val="-3"/>
        </w:rPr>
        <w:t>cash</w:t>
      </w:r>
      <w:r>
        <w:rPr>
          <w:spacing w:val="-11"/>
        </w:rPr>
        <w:t> </w:t>
      </w:r>
      <w:r>
        <w:rPr>
          <w:spacing w:val="-3"/>
        </w:rPr>
        <w:t>flows.</w:t>
      </w:r>
      <w:r>
        <w:rPr>
          <w:spacing w:val="-12"/>
        </w:rPr>
        <w:t> </w:t>
      </w:r>
      <w:r>
        <w:rPr/>
        <w:t>The</w:t>
      </w:r>
      <w:r>
        <w:rPr>
          <w:spacing w:val="-11"/>
        </w:rPr>
        <w:t> </w:t>
      </w:r>
      <w:r>
        <w:rPr>
          <w:spacing w:val="-4"/>
        </w:rPr>
        <w:t>interest</w:t>
      </w:r>
      <w:r>
        <w:rPr>
          <w:spacing w:val="-11"/>
        </w:rPr>
        <w:t> </w:t>
      </w:r>
      <w:r>
        <w:rPr>
          <w:spacing w:val="-3"/>
        </w:rPr>
        <w:t>rate</w:t>
      </w:r>
      <w:r>
        <w:rPr>
          <w:spacing w:val="-11"/>
        </w:rPr>
        <w:t> </w:t>
      </w:r>
      <w:r>
        <w:rPr>
          <w:spacing w:val="-4"/>
        </w:rPr>
        <w:t>exposure</w:t>
      </w:r>
      <w:r>
        <w:rPr>
          <w:spacing w:val="-11"/>
        </w:rPr>
        <w:t> </w:t>
      </w:r>
      <w:r>
        <w:rPr>
          <w:spacing w:val="-3"/>
        </w:rPr>
        <w:t>section</w:t>
      </w:r>
      <w:r>
        <w:rPr>
          <w:spacing w:val="-11"/>
        </w:rPr>
        <w:t> </w:t>
      </w:r>
      <w:r>
        <w:rPr>
          <w:spacing w:val="-3"/>
        </w:rPr>
        <w:t>analyses</w:t>
      </w:r>
      <w:r>
        <w:rPr>
          <w:spacing w:val="-12"/>
        </w:rPr>
        <w:t> </w:t>
      </w:r>
      <w:r>
        <w:rPr>
          <w:spacing w:val="-3"/>
        </w:rPr>
        <w:t>only</w:t>
      </w:r>
      <w:r>
        <w:rPr>
          <w:spacing w:val="-11"/>
        </w:rPr>
        <w:t> </w:t>
      </w:r>
      <w:r>
        <w:rPr/>
        <w:t>the</w:t>
      </w:r>
      <w:r>
        <w:rPr>
          <w:spacing w:val="-11"/>
        </w:rPr>
        <w:t> </w:t>
      </w:r>
      <w:r>
        <w:rPr>
          <w:spacing w:val="-3"/>
        </w:rPr>
        <w:t>carrying</w:t>
      </w:r>
      <w:r>
        <w:rPr>
          <w:spacing w:val="-11"/>
        </w:rPr>
        <w:t> </w:t>
      </w:r>
      <w:r>
        <w:rPr>
          <w:spacing w:val="-3"/>
        </w:rPr>
        <w:t>amounts</w:t>
      </w:r>
      <w:r>
        <w:rPr>
          <w:spacing w:val="-11"/>
        </w:rPr>
        <w:t> </w:t>
      </w:r>
      <w:r>
        <w:rPr/>
        <w:t>of</w:t>
      </w:r>
      <w:r>
        <w:rPr>
          <w:spacing w:val="-11"/>
        </w:rPr>
        <w:t> </w:t>
      </w:r>
      <w:r>
        <w:rPr>
          <w:spacing w:val="-3"/>
        </w:rPr>
        <w:t>each</w:t>
      </w:r>
      <w:r>
        <w:rPr>
          <w:spacing w:val="-11"/>
        </w:rPr>
        <w:t> </w:t>
      </w:r>
      <w:r>
        <w:rPr>
          <w:spacing w:val="-3"/>
        </w:rPr>
        <w:t>item.</w:t>
      </w:r>
    </w:p>
    <w:p>
      <w:pPr>
        <w:pStyle w:val="BodyText"/>
        <w:spacing w:before="4"/>
        <w:rPr>
          <w:sz w:val="14"/>
        </w:rPr>
      </w:pPr>
    </w:p>
    <w:p>
      <w:pPr>
        <w:spacing w:before="107" w:after="44"/>
        <w:ind w:left="785" w:right="0" w:firstLine="0"/>
        <w:jc w:val="left"/>
        <w:rPr>
          <w:b/>
          <w:sz w:val="19"/>
        </w:rPr>
      </w:pPr>
      <w:r>
        <w:rPr>
          <w:b/>
          <w:sz w:val="19"/>
        </w:rPr>
        <w:t>Interest rate exposure and maturity analysis of financial assets and financials liabilities</w:t>
      </w: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764"/>
        <w:gridCol w:w="1099"/>
        <w:gridCol w:w="1042"/>
        <w:gridCol w:w="1042"/>
        <w:gridCol w:w="1042"/>
        <w:gridCol w:w="1042"/>
        <w:gridCol w:w="1042"/>
        <w:gridCol w:w="1042"/>
        <w:gridCol w:w="1042"/>
        <w:gridCol w:w="1042"/>
        <w:gridCol w:w="1042"/>
        <w:gridCol w:w="1042"/>
      </w:tblGrid>
      <w:tr>
        <w:trPr>
          <w:trHeight w:val="1454" w:hRule="atLeast"/>
        </w:trPr>
        <w:tc>
          <w:tcPr>
            <w:tcW w:w="9031" w:type="dxa"/>
            <w:gridSpan w:val="6"/>
            <w:tcBorders>
              <w:top w:val="nil"/>
              <w:bottom w:val="nil"/>
              <w:right w:val="single" w:sz="4" w:space="0" w:color="000000"/>
            </w:tcBorders>
            <w:shd w:val="clear" w:color="auto" w:fill="783A79"/>
          </w:tcPr>
          <w:p>
            <w:pPr>
              <w:pStyle w:val="TableParagraph"/>
              <w:tabs>
                <w:tab w:pos="6474" w:val="left" w:leader="none"/>
              </w:tabs>
              <w:spacing w:before="42"/>
              <w:ind w:left="3899"/>
              <w:rPr>
                <w:b/>
                <w:sz w:val="19"/>
              </w:rPr>
            </w:pPr>
            <w:r>
              <w:rPr>
                <w:b/>
                <w:color w:val="FFFFFF"/>
                <w:sz w:val="19"/>
              </w:rPr>
              <w:t>Weighted</w:t>
              <w:tab/>
              <w:t>Interest rate</w:t>
            </w:r>
            <w:r>
              <w:rPr>
                <w:b/>
                <w:color w:val="FFFFFF"/>
                <w:spacing w:val="1"/>
                <w:sz w:val="19"/>
              </w:rPr>
              <w:t> </w:t>
            </w:r>
            <w:r>
              <w:rPr>
                <w:b/>
                <w:color w:val="FFFFFF"/>
                <w:sz w:val="19"/>
              </w:rPr>
              <w:t>exposure</w:t>
            </w:r>
          </w:p>
          <w:p>
            <w:pPr>
              <w:pStyle w:val="TableParagraph"/>
              <w:tabs>
                <w:tab w:pos="6319" w:val="left" w:leader="none"/>
                <w:tab w:pos="7363" w:val="left" w:leader="none"/>
                <w:tab w:pos="8476" w:val="left" w:leader="none"/>
              </w:tabs>
              <w:spacing w:line="172" w:lineRule="auto" w:before="59"/>
              <w:ind w:left="3962" w:right="90" w:firstLine="45"/>
              <w:jc w:val="both"/>
              <w:rPr>
                <w:b/>
                <w:sz w:val="19"/>
              </w:rPr>
            </w:pPr>
            <w:r>
              <w:rPr>
                <w:b/>
                <w:color w:val="FFFFFF"/>
                <w:position w:val="10"/>
                <w:sz w:val="19"/>
              </w:rPr>
              <w:t>Average     </w:t>
            </w:r>
            <w:r>
              <w:rPr>
                <w:b/>
                <w:color w:val="FFFFFF"/>
                <w:sz w:val="19"/>
              </w:rPr>
              <w:t>Carrying         </w:t>
            </w:r>
            <w:r>
              <w:rPr>
                <w:b/>
                <w:color w:val="FFFFFF"/>
                <w:spacing w:val="7"/>
                <w:sz w:val="19"/>
              </w:rPr>
              <w:t> </w:t>
            </w:r>
            <w:r>
              <w:rPr>
                <w:b/>
                <w:color w:val="FFFFFF"/>
                <w:sz w:val="19"/>
              </w:rPr>
              <w:t>Fixed    </w:t>
            </w:r>
            <w:r>
              <w:rPr>
                <w:b/>
                <w:color w:val="FFFFFF"/>
                <w:spacing w:val="44"/>
                <w:sz w:val="19"/>
              </w:rPr>
              <w:t> </w:t>
            </w:r>
            <w:r>
              <w:rPr>
                <w:b/>
                <w:color w:val="FFFFFF"/>
                <w:sz w:val="19"/>
              </w:rPr>
              <w:t>Variable</w:t>
              <w:tab/>
            </w:r>
            <w:r>
              <w:rPr>
                <w:b/>
                <w:color w:val="FFFFFF"/>
                <w:spacing w:val="-5"/>
                <w:sz w:val="19"/>
              </w:rPr>
              <w:t>Non- </w:t>
            </w:r>
            <w:r>
              <w:rPr>
                <w:b/>
                <w:color w:val="FFFFFF"/>
                <w:position w:val="10"/>
                <w:sz w:val="19"/>
              </w:rPr>
              <w:t>Effective   </w:t>
            </w:r>
            <w:r>
              <w:rPr>
                <w:b/>
                <w:color w:val="FFFFFF"/>
                <w:sz w:val="19"/>
              </w:rPr>
              <w:t>Amount   Interest   Interest   </w:t>
            </w:r>
            <w:r>
              <w:rPr>
                <w:b/>
                <w:color w:val="FFFFFF"/>
                <w:spacing w:val="-3"/>
                <w:sz w:val="19"/>
              </w:rPr>
              <w:t>Interest   </w:t>
            </w:r>
            <w:r>
              <w:rPr>
                <w:b/>
                <w:color w:val="FFFFFF"/>
                <w:position w:val="10"/>
                <w:sz w:val="19"/>
              </w:rPr>
              <w:t>Interest</w:t>
              <w:tab/>
            </w:r>
            <w:r>
              <w:rPr>
                <w:b/>
                <w:color w:val="FFFFFF"/>
                <w:sz w:val="19"/>
              </w:rPr>
              <w:t>Rate</w:t>
              <w:tab/>
              <w:t>Rate</w:t>
            </w:r>
            <w:r>
              <w:rPr>
                <w:b/>
                <w:color w:val="FFFFFF"/>
                <w:spacing w:val="27"/>
                <w:sz w:val="19"/>
              </w:rPr>
              <w:t> </w:t>
            </w:r>
            <w:r>
              <w:rPr>
                <w:b/>
                <w:color w:val="FFFFFF"/>
                <w:sz w:val="19"/>
              </w:rPr>
              <w:t>Bearing</w:t>
            </w:r>
          </w:p>
          <w:p>
            <w:pPr>
              <w:pStyle w:val="TableParagraph"/>
              <w:spacing w:line="81" w:lineRule="exact" w:before="0"/>
              <w:ind w:left="4303" w:right="4240"/>
              <w:jc w:val="center"/>
              <w:rPr>
                <w:b/>
                <w:sz w:val="19"/>
              </w:rPr>
            </w:pPr>
            <w:r>
              <w:rPr>
                <w:b/>
                <w:color w:val="FFFFFF"/>
                <w:w w:val="105"/>
                <w:sz w:val="19"/>
              </w:rPr>
              <w:t>Rate</w:t>
            </w:r>
          </w:p>
          <w:p>
            <w:pPr>
              <w:pStyle w:val="TableParagraph"/>
              <w:tabs>
                <w:tab w:pos="5371" w:val="left" w:leader="none"/>
                <w:tab w:pos="6414" w:val="left" w:leader="none"/>
                <w:tab w:pos="7457" w:val="left" w:leader="none"/>
                <w:tab w:pos="8500" w:val="left" w:leader="none"/>
              </w:tabs>
              <w:spacing w:before="13"/>
              <w:ind w:left="4560"/>
              <w:rPr>
                <w:b/>
                <w:sz w:val="19"/>
              </w:rPr>
            </w:pPr>
            <w:r>
              <w:rPr>
                <w:b/>
                <w:color w:val="FFFFFF"/>
                <w:sz w:val="19"/>
              </w:rPr>
              <w:t>%</w:t>
              <w:tab/>
              <w:t>$000</w:t>
              <w:tab/>
              <w:t>$000</w:t>
              <w:tab/>
              <w:t>$000</w:t>
              <w:tab/>
              <w:t>$000</w:t>
            </w:r>
          </w:p>
        </w:tc>
        <w:tc>
          <w:tcPr>
            <w:tcW w:w="1042" w:type="dxa"/>
            <w:tcBorders>
              <w:top w:val="nil"/>
              <w:left w:val="single" w:sz="4" w:space="0" w:color="000000"/>
              <w:bottom w:val="nil"/>
              <w:right w:val="single" w:sz="4" w:space="0" w:color="000000"/>
            </w:tcBorders>
            <w:shd w:val="clear" w:color="auto" w:fill="783A79"/>
          </w:tcPr>
          <w:p>
            <w:pPr>
              <w:pStyle w:val="TableParagraph"/>
              <w:spacing w:before="1"/>
              <w:rPr>
                <w:b/>
                <w:sz w:val="32"/>
              </w:rPr>
            </w:pPr>
          </w:p>
          <w:p>
            <w:pPr>
              <w:pStyle w:val="TableParagraph"/>
              <w:spacing w:line="249" w:lineRule="auto" w:before="1"/>
              <w:ind w:left="229" w:right="72" w:hanging="39"/>
              <w:rPr>
                <w:b/>
                <w:sz w:val="19"/>
              </w:rPr>
            </w:pPr>
            <w:r>
              <w:rPr>
                <w:b/>
                <w:color w:val="FFFFFF"/>
                <w:sz w:val="19"/>
              </w:rPr>
              <w:t>Nominal </w:t>
            </w:r>
            <w:r>
              <w:rPr>
                <w:b/>
                <w:color w:val="FFFFFF"/>
                <w:w w:val="95"/>
                <w:sz w:val="19"/>
              </w:rPr>
              <w:t>Amount</w:t>
            </w:r>
          </w:p>
          <w:p>
            <w:pPr>
              <w:pStyle w:val="TableParagraph"/>
              <w:spacing w:before="5"/>
              <w:rPr>
                <w:b/>
                <w:sz w:val="31"/>
              </w:rPr>
            </w:pPr>
          </w:p>
          <w:p>
            <w:pPr>
              <w:pStyle w:val="TableParagraph"/>
              <w:spacing w:before="0"/>
              <w:ind w:left="518"/>
              <w:rPr>
                <w:b/>
                <w:sz w:val="19"/>
              </w:rPr>
            </w:pPr>
            <w:r>
              <w:rPr>
                <w:b/>
                <w:color w:val="FFFFFF"/>
                <w:sz w:val="19"/>
              </w:rPr>
              <w:t>$000</w:t>
            </w:r>
          </w:p>
        </w:tc>
        <w:tc>
          <w:tcPr>
            <w:tcW w:w="1042" w:type="dxa"/>
            <w:tcBorders>
              <w:top w:val="nil"/>
              <w:left w:val="single" w:sz="4" w:space="0" w:color="000000"/>
              <w:bottom w:val="nil"/>
              <w:right w:val="nil"/>
            </w:tcBorders>
            <w:shd w:val="clear" w:color="auto" w:fill="783A79"/>
          </w:tcPr>
          <w:p>
            <w:pPr>
              <w:pStyle w:val="TableParagraph"/>
              <w:spacing w:before="1"/>
              <w:rPr>
                <w:b/>
                <w:sz w:val="32"/>
              </w:rPr>
            </w:pPr>
          </w:p>
          <w:p>
            <w:pPr>
              <w:pStyle w:val="TableParagraph"/>
              <w:spacing w:line="249" w:lineRule="auto" w:before="1"/>
              <w:ind w:left="361" w:right="75" w:hanging="71"/>
              <w:rPr>
                <w:b/>
                <w:sz w:val="19"/>
              </w:rPr>
            </w:pPr>
            <w:r>
              <w:rPr>
                <w:b/>
                <w:color w:val="FFFFFF"/>
                <w:sz w:val="19"/>
              </w:rPr>
              <w:t>Up to </w:t>
            </w:r>
            <w:r>
              <w:rPr>
                <w:b/>
                <w:color w:val="FFFFFF"/>
                <w:spacing w:val="-18"/>
                <w:sz w:val="19"/>
              </w:rPr>
              <w:t>1 </w:t>
            </w:r>
            <w:r>
              <w:rPr>
                <w:b/>
                <w:color w:val="FFFFFF"/>
                <w:sz w:val="19"/>
              </w:rPr>
              <w:t>month</w:t>
            </w:r>
          </w:p>
          <w:p>
            <w:pPr>
              <w:pStyle w:val="TableParagraph"/>
              <w:spacing w:before="5"/>
              <w:rPr>
                <w:b/>
                <w:sz w:val="31"/>
              </w:rPr>
            </w:pPr>
          </w:p>
          <w:p>
            <w:pPr>
              <w:pStyle w:val="TableParagraph"/>
              <w:spacing w:before="0"/>
              <w:ind w:left="519"/>
              <w:rPr>
                <w:b/>
                <w:sz w:val="19"/>
              </w:rPr>
            </w:pPr>
            <w:r>
              <w:rPr>
                <w:b/>
                <w:color w:val="FFFFFF"/>
                <w:sz w:val="19"/>
              </w:rPr>
              <w:t>$000</w:t>
            </w:r>
          </w:p>
        </w:tc>
        <w:tc>
          <w:tcPr>
            <w:tcW w:w="3126" w:type="dxa"/>
            <w:gridSpan w:val="3"/>
            <w:tcBorders>
              <w:top w:val="nil"/>
              <w:left w:val="nil"/>
              <w:bottom w:val="nil"/>
              <w:right w:val="nil"/>
            </w:tcBorders>
            <w:shd w:val="clear" w:color="auto" w:fill="783A79"/>
          </w:tcPr>
          <w:p>
            <w:pPr>
              <w:pStyle w:val="TableParagraph"/>
              <w:spacing w:before="42"/>
              <w:ind w:left="930"/>
              <w:rPr>
                <w:b/>
                <w:sz w:val="19"/>
              </w:rPr>
            </w:pPr>
            <w:r>
              <w:rPr>
                <w:b/>
                <w:color w:val="FFFFFF"/>
                <w:sz w:val="19"/>
              </w:rPr>
              <w:t>Maturity dates</w:t>
            </w:r>
          </w:p>
          <w:p>
            <w:pPr>
              <w:pStyle w:val="TableParagraph"/>
              <w:tabs>
                <w:tab w:pos="1885" w:val="left" w:leader="none"/>
                <w:tab w:pos="2745" w:val="left" w:leader="none"/>
              </w:tabs>
              <w:spacing w:before="109"/>
              <w:ind w:left="659"/>
              <w:rPr>
                <w:b/>
                <w:sz w:val="19"/>
              </w:rPr>
            </w:pPr>
            <w:r>
              <w:rPr>
                <w:b/>
                <w:color w:val="FFFFFF"/>
                <w:w w:val="105"/>
                <w:sz w:val="19"/>
              </w:rPr>
              <w:t>1-3</w:t>
              <w:tab/>
              <w:t>3</w:t>
              <w:tab/>
              <w:t>1-5</w:t>
            </w:r>
          </w:p>
          <w:p>
            <w:pPr>
              <w:pStyle w:val="TableParagraph"/>
              <w:tabs>
                <w:tab w:pos="1308" w:val="left" w:leader="none"/>
                <w:tab w:pos="2541" w:val="left" w:leader="none"/>
              </w:tabs>
              <w:spacing w:line="249" w:lineRule="auto" w:before="10"/>
              <w:ind w:left="265" w:right="90"/>
              <w:jc w:val="center"/>
              <w:rPr>
                <w:b/>
                <w:sz w:val="19"/>
              </w:rPr>
            </w:pPr>
            <w:r>
              <w:rPr>
                <w:b/>
                <w:color w:val="FFFFFF"/>
                <w:sz w:val="19"/>
              </w:rPr>
              <w:t>months</w:t>
              <w:tab/>
              <w:t>months</w:t>
              <w:tab/>
            </w:r>
            <w:r>
              <w:rPr>
                <w:b/>
                <w:color w:val="FFFFFF"/>
                <w:spacing w:val="-4"/>
                <w:sz w:val="19"/>
              </w:rPr>
              <w:t>years </w:t>
            </w:r>
            <w:r>
              <w:rPr>
                <w:b/>
                <w:color w:val="FFFFFF"/>
                <w:sz w:val="19"/>
              </w:rPr>
              <w:t>to 1 year</w:t>
            </w:r>
          </w:p>
          <w:p>
            <w:pPr>
              <w:pStyle w:val="TableParagraph"/>
              <w:tabs>
                <w:tab w:pos="1476" w:val="left" w:leader="none"/>
                <w:tab w:pos="2519" w:val="left" w:leader="none"/>
              </w:tabs>
              <w:spacing w:before="133"/>
              <w:ind w:left="433"/>
              <w:jc w:val="center"/>
              <w:rPr>
                <w:b/>
                <w:sz w:val="19"/>
              </w:rPr>
            </w:pPr>
            <w:r>
              <w:rPr>
                <w:b/>
                <w:color w:val="FFFFFF"/>
                <w:sz w:val="19"/>
              </w:rPr>
              <w:t>$000</w:t>
              <w:tab/>
              <w:t>$000</w:t>
              <w:tab/>
              <w:t>$000</w:t>
            </w:r>
          </w:p>
        </w:tc>
        <w:tc>
          <w:tcPr>
            <w:tcW w:w="1042" w:type="dxa"/>
            <w:tcBorders>
              <w:top w:val="nil"/>
              <w:left w:val="nil"/>
              <w:bottom w:val="nil"/>
              <w:right w:val="nil"/>
            </w:tcBorders>
            <w:shd w:val="clear" w:color="auto" w:fill="783A79"/>
          </w:tcPr>
          <w:p>
            <w:pPr>
              <w:pStyle w:val="TableParagraph"/>
              <w:spacing w:before="1"/>
              <w:rPr>
                <w:b/>
                <w:sz w:val="32"/>
              </w:rPr>
            </w:pPr>
          </w:p>
          <w:p>
            <w:pPr>
              <w:pStyle w:val="TableParagraph"/>
              <w:spacing w:line="249" w:lineRule="auto" w:before="1"/>
              <w:ind w:left="391" w:right="88" w:firstLine="91"/>
              <w:jc w:val="both"/>
              <w:rPr>
                <w:b/>
                <w:sz w:val="19"/>
              </w:rPr>
            </w:pPr>
            <w:r>
              <w:rPr>
                <w:b/>
                <w:color w:val="FFFFFF"/>
                <w:sz w:val="19"/>
              </w:rPr>
              <w:t>More than 5 years</w:t>
            </w:r>
          </w:p>
          <w:p>
            <w:pPr>
              <w:pStyle w:val="TableParagraph"/>
              <w:spacing w:before="134"/>
              <w:ind w:left="528"/>
              <w:rPr>
                <w:b/>
                <w:sz w:val="19"/>
              </w:rPr>
            </w:pPr>
            <w:r>
              <w:rPr>
                <w:b/>
                <w:color w:val="FFFFFF"/>
                <w:sz w:val="19"/>
              </w:rPr>
              <w:t>$000</w:t>
            </w:r>
          </w:p>
        </w:tc>
      </w:tr>
      <w:tr>
        <w:trPr>
          <w:trHeight w:val="606" w:hRule="atLeast"/>
        </w:trPr>
        <w:tc>
          <w:tcPr>
            <w:tcW w:w="3764" w:type="dxa"/>
            <w:tcBorders>
              <w:top w:val="nil"/>
              <w:left w:val="nil"/>
              <w:bottom w:val="nil"/>
              <w:right w:val="nil"/>
            </w:tcBorders>
            <w:shd w:val="clear" w:color="auto" w:fill="FFFFFF"/>
          </w:tcPr>
          <w:p>
            <w:pPr>
              <w:pStyle w:val="TableParagraph"/>
              <w:spacing w:before="37"/>
              <w:ind w:left="123"/>
              <w:rPr>
                <w:b/>
                <w:sz w:val="19"/>
              </w:rPr>
            </w:pPr>
            <w:r>
              <w:rPr>
                <w:b/>
                <w:sz w:val="19"/>
              </w:rPr>
              <w:t>2017</w:t>
            </w:r>
          </w:p>
          <w:p>
            <w:pPr>
              <w:pStyle w:val="TableParagraph"/>
              <w:spacing w:before="87"/>
              <w:ind w:left="123"/>
              <w:rPr>
                <w:i/>
                <w:sz w:val="19"/>
              </w:rPr>
            </w:pPr>
            <w:r>
              <w:rPr>
                <w:i/>
                <w:color w:val="A7BE39"/>
                <w:sz w:val="19"/>
              </w:rPr>
              <w:t>Financial Assets</w:t>
            </w:r>
          </w:p>
        </w:tc>
        <w:tc>
          <w:tcPr>
            <w:tcW w:w="1099" w:type="dxa"/>
            <w:tcBorders>
              <w:top w:val="nil"/>
              <w:left w:val="nil"/>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single" w:sz="4" w:space="0" w:color="000000"/>
            </w:tcBorders>
            <w:shd w:val="clear" w:color="auto" w:fill="FFFFFF"/>
          </w:tcPr>
          <w:p>
            <w:pPr>
              <w:pStyle w:val="TableParagraph"/>
              <w:spacing w:before="0"/>
              <w:rPr>
                <w:rFonts w:ascii="Times New Roman"/>
                <w:sz w:val="20"/>
              </w:rPr>
            </w:pPr>
          </w:p>
        </w:tc>
        <w:tc>
          <w:tcPr>
            <w:tcW w:w="1042" w:type="dxa"/>
            <w:tcBorders>
              <w:top w:val="nil"/>
              <w:left w:val="single" w:sz="4" w:space="0" w:color="000000"/>
              <w:bottom w:val="nil"/>
              <w:right w:val="single" w:sz="4" w:space="0" w:color="000000"/>
            </w:tcBorders>
            <w:shd w:val="clear" w:color="auto" w:fill="FFFFFF"/>
          </w:tcPr>
          <w:p>
            <w:pPr>
              <w:pStyle w:val="TableParagraph"/>
              <w:spacing w:before="0"/>
              <w:rPr>
                <w:rFonts w:ascii="Times New Roman"/>
                <w:sz w:val="20"/>
              </w:rPr>
            </w:pPr>
          </w:p>
        </w:tc>
        <w:tc>
          <w:tcPr>
            <w:tcW w:w="1042" w:type="dxa"/>
            <w:tcBorders>
              <w:top w:val="nil"/>
              <w:left w:val="single" w:sz="4" w:space="0" w:color="000000"/>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nil"/>
            </w:tcBorders>
            <w:shd w:val="clear" w:color="auto" w:fill="FFFFFF"/>
          </w:tcPr>
          <w:p>
            <w:pPr>
              <w:pStyle w:val="TableParagraph"/>
              <w:spacing w:before="0"/>
              <w:rPr>
                <w:rFonts w:ascii="Times New Roman"/>
                <w:sz w:val="20"/>
              </w:rPr>
            </w:pPr>
          </w:p>
        </w:tc>
        <w:tc>
          <w:tcPr>
            <w:tcW w:w="1042" w:type="dxa"/>
            <w:tcBorders>
              <w:top w:val="nil"/>
              <w:left w:val="nil"/>
              <w:bottom w:val="nil"/>
              <w:right w:val="nil"/>
            </w:tcBorders>
            <w:shd w:val="clear" w:color="auto" w:fill="FFFFFF"/>
          </w:tcPr>
          <w:p>
            <w:pPr>
              <w:pStyle w:val="TableParagraph"/>
              <w:spacing w:before="0"/>
              <w:rPr>
                <w:rFonts w:ascii="Times New Roman"/>
                <w:sz w:val="20"/>
              </w:rPr>
            </w:pPr>
          </w:p>
        </w:tc>
      </w:tr>
      <w:tr>
        <w:trPr>
          <w:trHeight w:val="601" w:hRule="atLeast"/>
        </w:trPr>
        <w:tc>
          <w:tcPr>
            <w:tcW w:w="3764" w:type="dxa"/>
            <w:tcBorders>
              <w:top w:val="nil"/>
              <w:left w:val="nil"/>
              <w:bottom w:val="nil"/>
              <w:right w:val="nil"/>
            </w:tcBorders>
            <w:shd w:val="clear" w:color="auto" w:fill="FFFFFF"/>
          </w:tcPr>
          <w:p>
            <w:pPr>
              <w:pStyle w:val="TableParagraph"/>
              <w:spacing w:before="42"/>
              <w:ind w:left="123"/>
              <w:rPr>
                <w:sz w:val="19"/>
              </w:rPr>
            </w:pPr>
            <w:r>
              <w:rPr>
                <w:sz w:val="19"/>
              </w:rPr>
              <w:t>Cash and cash equivalents</w:t>
            </w:r>
          </w:p>
          <w:p>
            <w:pPr>
              <w:pStyle w:val="TableParagraph"/>
              <w:spacing w:before="87"/>
              <w:ind w:left="122"/>
              <w:rPr>
                <w:sz w:val="19"/>
              </w:rPr>
            </w:pPr>
            <w:r>
              <w:rPr>
                <w:sz w:val="19"/>
              </w:rPr>
              <w:t>Restricted cash and cash equivalents</w:t>
            </w:r>
          </w:p>
        </w:tc>
        <w:tc>
          <w:tcPr>
            <w:tcW w:w="1099" w:type="dxa"/>
            <w:tcBorders>
              <w:top w:val="nil"/>
              <w:left w:val="nil"/>
              <w:bottom w:val="nil"/>
              <w:right w:val="nil"/>
            </w:tcBorders>
            <w:shd w:val="clear" w:color="auto" w:fill="FFFFFF"/>
          </w:tcPr>
          <w:p>
            <w:pPr>
              <w:pStyle w:val="TableParagraph"/>
              <w:spacing w:before="42"/>
              <w:ind w:right="100"/>
              <w:jc w:val="right"/>
              <w:rPr>
                <w:sz w:val="19"/>
              </w:rPr>
            </w:pPr>
            <w:r>
              <w:rPr>
                <w:w w:val="95"/>
                <w:sz w:val="19"/>
              </w:rPr>
              <w:t>1.98</w:t>
            </w:r>
          </w:p>
          <w:p>
            <w:pPr>
              <w:pStyle w:val="TableParagraph"/>
              <w:spacing w:before="87"/>
              <w:ind w:right="100"/>
              <w:jc w:val="right"/>
              <w:rPr>
                <w:sz w:val="19"/>
              </w:rPr>
            </w:pPr>
            <w:r>
              <w:rPr>
                <w:w w:val="111"/>
                <w:sz w:val="19"/>
              </w:rPr>
              <w:t>-</w:t>
            </w:r>
          </w:p>
        </w:tc>
        <w:tc>
          <w:tcPr>
            <w:tcW w:w="1042" w:type="dxa"/>
            <w:tcBorders>
              <w:top w:val="nil"/>
              <w:left w:val="nil"/>
              <w:bottom w:val="nil"/>
              <w:right w:val="nil"/>
            </w:tcBorders>
            <w:shd w:val="clear" w:color="auto" w:fill="FFFFFF"/>
          </w:tcPr>
          <w:p>
            <w:pPr>
              <w:pStyle w:val="TableParagraph"/>
              <w:spacing w:before="42"/>
              <w:ind w:left="339" w:right="81"/>
              <w:jc w:val="center"/>
              <w:rPr>
                <w:sz w:val="19"/>
              </w:rPr>
            </w:pPr>
            <w:r>
              <w:rPr>
                <w:sz w:val="19"/>
              </w:rPr>
              <w:t>70,618</w:t>
            </w:r>
          </w:p>
          <w:p>
            <w:pPr>
              <w:pStyle w:val="TableParagraph"/>
              <w:spacing w:before="87"/>
              <w:ind w:left="444" w:right="81"/>
              <w:jc w:val="center"/>
              <w:rPr>
                <w:sz w:val="19"/>
              </w:rPr>
            </w:pPr>
            <w:r>
              <w:rPr>
                <w:sz w:val="19"/>
              </w:rPr>
              <w:t>3,569</w:t>
            </w:r>
          </w:p>
        </w:tc>
        <w:tc>
          <w:tcPr>
            <w:tcW w:w="1042" w:type="dxa"/>
            <w:tcBorders>
              <w:top w:val="nil"/>
              <w:left w:val="nil"/>
              <w:bottom w:val="nil"/>
              <w:right w:val="nil"/>
            </w:tcBorders>
            <w:shd w:val="clear" w:color="auto" w:fill="FFFFFF"/>
          </w:tcPr>
          <w:p>
            <w:pPr>
              <w:pStyle w:val="TableParagraph"/>
              <w:spacing w:before="42"/>
              <w:ind w:right="98"/>
              <w:jc w:val="right"/>
              <w:rPr>
                <w:sz w:val="19"/>
              </w:rPr>
            </w:pPr>
            <w:r>
              <w:rPr>
                <w:w w:val="111"/>
                <w:sz w:val="19"/>
              </w:rPr>
              <w:t>-</w:t>
            </w:r>
          </w:p>
          <w:p>
            <w:pPr>
              <w:pStyle w:val="TableParagraph"/>
              <w:spacing w:before="87"/>
              <w:ind w:right="98"/>
              <w:jc w:val="right"/>
              <w:rPr>
                <w:sz w:val="19"/>
              </w:rPr>
            </w:pPr>
            <w:r>
              <w:rPr>
                <w:w w:val="111"/>
                <w:sz w:val="19"/>
              </w:rPr>
              <w:t>-</w:t>
            </w:r>
          </w:p>
        </w:tc>
        <w:tc>
          <w:tcPr>
            <w:tcW w:w="1042" w:type="dxa"/>
            <w:tcBorders>
              <w:top w:val="nil"/>
              <w:left w:val="nil"/>
              <w:bottom w:val="nil"/>
              <w:right w:val="nil"/>
            </w:tcBorders>
            <w:shd w:val="clear" w:color="auto" w:fill="FFFFFF"/>
          </w:tcPr>
          <w:p>
            <w:pPr>
              <w:pStyle w:val="TableParagraph"/>
              <w:spacing w:before="42"/>
              <w:ind w:right="97"/>
              <w:jc w:val="right"/>
              <w:rPr>
                <w:sz w:val="19"/>
              </w:rPr>
            </w:pPr>
            <w:r>
              <w:rPr>
                <w:w w:val="95"/>
                <w:sz w:val="19"/>
              </w:rPr>
              <w:t>21,678</w:t>
            </w:r>
          </w:p>
          <w:p>
            <w:pPr>
              <w:pStyle w:val="TableParagraph"/>
              <w:spacing w:before="87"/>
              <w:ind w:right="97"/>
              <w:jc w:val="right"/>
              <w:rPr>
                <w:sz w:val="19"/>
              </w:rPr>
            </w:pPr>
            <w:r>
              <w:rPr>
                <w:w w:val="111"/>
                <w:sz w:val="19"/>
              </w:rPr>
              <w:t>-</w:t>
            </w:r>
          </w:p>
        </w:tc>
        <w:tc>
          <w:tcPr>
            <w:tcW w:w="1042" w:type="dxa"/>
            <w:tcBorders>
              <w:top w:val="nil"/>
              <w:left w:val="nil"/>
              <w:bottom w:val="nil"/>
              <w:right w:val="single" w:sz="4" w:space="0" w:color="000000"/>
            </w:tcBorders>
            <w:shd w:val="clear" w:color="auto" w:fill="FFFFFF"/>
          </w:tcPr>
          <w:p>
            <w:pPr>
              <w:pStyle w:val="TableParagraph"/>
              <w:spacing w:before="42"/>
              <w:ind w:left="342" w:right="72"/>
              <w:jc w:val="center"/>
              <w:rPr>
                <w:sz w:val="19"/>
              </w:rPr>
            </w:pPr>
            <w:r>
              <w:rPr>
                <w:sz w:val="19"/>
              </w:rPr>
              <w:t>48,940</w:t>
            </w:r>
          </w:p>
          <w:p>
            <w:pPr>
              <w:pStyle w:val="TableParagraph"/>
              <w:spacing w:before="87"/>
              <w:ind w:left="447" w:right="72"/>
              <w:jc w:val="center"/>
              <w:rPr>
                <w:sz w:val="19"/>
              </w:rPr>
            </w:pPr>
            <w:r>
              <w:rPr>
                <w:sz w:val="19"/>
              </w:rPr>
              <w:t>3,569</w:t>
            </w:r>
          </w:p>
        </w:tc>
        <w:tc>
          <w:tcPr>
            <w:tcW w:w="1042" w:type="dxa"/>
            <w:tcBorders>
              <w:top w:val="nil"/>
              <w:left w:val="single" w:sz="4" w:space="0" w:color="000000"/>
              <w:bottom w:val="nil"/>
              <w:right w:val="single" w:sz="4" w:space="0" w:color="000000"/>
            </w:tcBorders>
            <w:shd w:val="clear" w:color="auto" w:fill="FFFFFF"/>
          </w:tcPr>
          <w:p>
            <w:pPr>
              <w:pStyle w:val="TableParagraph"/>
              <w:spacing w:before="42"/>
              <w:ind w:left="338" w:right="71"/>
              <w:jc w:val="center"/>
              <w:rPr>
                <w:sz w:val="19"/>
              </w:rPr>
            </w:pPr>
            <w:r>
              <w:rPr>
                <w:sz w:val="19"/>
              </w:rPr>
              <w:t>70,618</w:t>
            </w:r>
          </w:p>
          <w:p>
            <w:pPr>
              <w:pStyle w:val="TableParagraph"/>
              <w:spacing w:before="87"/>
              <w:ind w:left="443" w:right="71"/>
              <w:jc w:val="center"/>
              <w:rPr>
                <w:sz w:val="19"/>
              </w:rPr>
            </w:pPr>
            <w:r>
              <w:rPr>
                <w:sz w:val="19"/>
              </w:rPr>
              <w:t>3,569</w:t>
            </w:r>
          </w:p>
        </w:tc>
        <w:tc>
          <w:tcPr>
            <w:tcW w:w="1042" w:type="dxa"/>
            <w:tcBorders>
              <w:top w:val="nil"/>
              <w:left w:val="single" w:sz="4" w:space="0" w:color="000000"/>
              <w:bottom w:val="nil"/>
              <w:right w:val="nil"/>
            </w:tcBorders>
            <w:shd w:val="clear" w:color="auto" w:fill="FFFFFF"/>
          </w:tcPr>
          <w:p>
            <w:pPr>
              <w:pStyle w:val="TableParagraph"/>
              <w:spacing w:before="42"/>
              <w:ind w:right="93"/>
              <w:jc w:val="right"/>
              <w:rPr>
                <w:sz w:val="19"/>
              </w:rPr>
            </w:pPr>
            <w:r>
              <w:rPr>
                <w:w w:val="95"/>
                <w:sz w:val="19"/>
              </w:rPr>
              <w:t>70,618</w:t>
            </w:r>
          </w:p>
          <w:p>
            <w:pPr>
              <w:pStyle w:val="TableParagraph"/>
              <w:spacing w:before="87"/>
              <w:ind w:right="94"/>
              <w:jc w:val="right"/>
              <w:rPr>
                <w:sz w:val="19"/>
              </w:rPr>
            </w:pPr>
            <w:r>
              <w:rPr>
                <w:w w:val="111"/>
                <w:sz w:val="19"/>
              </w:rPr>
              <w:t>-</w:t>
            </w:r>
          </w:p>
        </w:tc>
        <w:tc>
          <w:tcPr>
            <w:tcW w:w="1042" w:type="dxa"/>
            <w:tcBorders>
              <w:top w:val="nil"/>
              <w:left w:val="nil"/>
              <w:bottom w:val="nil"/>
              <w:right w:val="nil"/>
            </w:tcBorders>
            <w:shd w:val="clear" w:color="auto" w:fill="FFFFFF"/>
          </w:tcPr>
          <w:p>
            <w:pPr>
              <w:pStyle w:val="TableParagraph"/>
              <w:spacing w:before="42"/>
              <w:ind w:right="92"/>
              <w:jc w:val="right"/>
              <w:rPr>
                <w:sz w:val="19"/>
              </w:rPr>
            </w:pPr>
            <w:r>
              <w:rPr>
                <w:w w:val="111"/>
                <w:sz w:val="19"/>
              </w:rPr>
              <w:t>-</w:t>
            </w:r>
          </w:p>
          <w:p>
            <w:pPr>
              <w:pStyle w:val="TableParagraph"/>
              <w:spacing w:before="87"/>
              <w:ind w:right="92"/>
              <w:jc w:val="right"/>
              <w:rPr>
                <w:sz w:val="19"/>
              </w:rPr>
            </w:pPr>
            <w:r>
              <w:rPr>
                <w:w w:val="111"/>
                <w:sz w:val="19"/>
              </w:rPr>
              <w:t>-</w:t>
            </w:r>
          </w:p>
        </w:tc>
        <w:tc>
          <w:tcPr>
            <w:tcW w:w="1042" w:type="dxa"/>
            <w:tcBorders>
              <w:top w:val="nil"/>
              <w:left w:val="nil"/>
              <w:bottom w:val="nil"/>
              <w:right w:val="nil"/>
            </w:tcBorders>
            <w:shd w:val="clear" w:color="auto" w:fill="FFFFFF"/>
          </w:tcPr>
          <w:p>
            <w:pPr>
              <w:pStyle w:val="TableParagraph"/>
              <w:spacing w:before="42"/>
              <w:ind w:right="91"/>
              <w:jc w:val="right"/>
              <w:rPr>
                <w:sz w:val="19"/>
              </w:rPr>
            </w:pPr>
            <w:r>
              <w:rPr>
                <w:w w:val="111"/>
                <w:sz w:val="19"/>
              </w:rPr>
              <w:t>-</w:t>
            </w:r>
          </w:p>
          <w:p>
            <w:pPr>
              <w:pStyle w:val="TableParagraph"/>
              <w:spacing w:before="87"/>
              <w:ind w:right="91"/>
              <w:jc w:val="right"/>
              <w:rPr>
                <w:sz w:val="19"/>
              </w:rPr>
            </w:pPr>
            <w:r>
              <w:rPr>
                <w:w w:val="111"/>
                <w:sz w:val="19"/>
              </w:rPr>
              <w:t>-</w:t>
            </w:r>
          </w:p>
        </w:tc>
        <w:tc>
          <w:tcPr>
            <w:tcW w:w="1042" w:type="dxa"/>
            <w:tcBorders>
              <w:top w:val="nil"/>
              <w:left w:val="nil"/>
              <w:bottom w:val="nil"/>
              <w:right w:val="nil"/>
            </w:tcBorders>
            <w:shd w:val="clear" w:color="auto" w:fill="FFFFFF"/>
          </w:tcPr>
          <w:p>
            <w:pPr>
              <w:pStyle w:val="TableParagraph"/>
              <w:spacing w:before="42"/>
              <w:ind w:right="90"/>
              <w:jc w:val="right"/>
              <w:rPr>
                <w:sz w:val="19"/>
              </w:rPr>
            </w:pPr>
            <w:r>
              <w:rPr>
                <w:w w:val="111"/>
                <w:sz w:val="19"/>
              </w:rPr>
              <w:t>-</w:t>
            </w:r>
          </w:p>
          <w:p>
            <w:pPr>
              <w:pStyle w:val="TableParagraph"/>
              <w:spacing w:before="87"/>
              <w:ind w:right="90"/>
              <w:jc w:val="right"/>
              <w:rPr>
                <w:sz w:val="19"/>
              </w:rPr>
            </w:pPr>
            <w:r>
              <w:rPr>
                <w:w w:val="95"/>
                <w:sz w:val="19"/>
              </w:rPr>
              <w:t>3,171</w:t>
            </w:r>
          </w:p>
        </w:tc>
        <w:tc>
          <w:tcPr>
            <w:tcW w:w="1042" w:type="dxa"/>
            <w:tcBorders>
              <w:top w:val="nil"/>
              <w:left w:val="nil"/>
              <w:bottom w:val="nil"/>
              <w:right w:val="nil"/>
            </w:tcBorders>
            <w:shd w:val="clear" w:color="auto" w:fill="FFFFFF"/>
          </w:tcPr>
          <w:p>
            <w:pPr>
              <w:pStyle w:val="TableParagraph"/>
              <w:spacing w:before="42"/>
              <w:ind w:right="89"/>
              <w:jc w:val="right"/>
              <w:rPr>
                <w:sz w:val="19"/>
              </w:rPr>
            </w:pPr>
            <w:r>
              <w:rPr>
                <w:w w:val="111"/>
                <w:sz w:val="19"/>
              </w:rPr>
              <w:t>-</w:t>
            </w:r>
          </w:p>
          <w:p>
            <w:pPr>
              <w:pStyle w:val="TableParagraph"/>
              <w:spacing w:before="87"/>
              <w:ind w:right="89"/>
              <w:jc w:val="right"/>
              <w:rPr>
                <w:sz w:val="19"/>
              </w:rPr>
            </w:pPr>
            <w:r>
              <w:rPr>
                <w:w w:val="95"/>
                <w:sz w:val="19"/>
              </w:rPr>
              <w:t>398</w:t>
            </w:r>
          </w:p>
        </w:tc>
      </w:tr>
      <w:tr>
        <w:trPr>
          <w:trHeight w:val="280" w:hRule="atLeast"/>
        </w:trPr>
        <w:tc>
          <w:tcPr>
            <w:tcW w:w="3764" w:type="dxa"/>
            <w:tcBorders>
              <w:bottom w:val="nil"/>
            </w:tcBorders>
            <w:shd w:val="clear" w:color="auto" w:fill="F4F4F4"/>
          </w:tcPr>
          <w:p>
            <w:pPr>
              <w:pStyle w:val="TableParagraph"/>
              <w:ind w:left="112"/>
              <w:rPr>
                <w:sz w:val="10"/>
              </w:rPr>
            </w:pPr>
            <w:r>
              <w:rPr>
                <w:sz w:val="19"/>
              </w:rPr>
              <w:t>Receivables</w:t>
            </w:r>
            <w:r>
              <w:rPr>
                <w:position w:val="6"/>
                <w:sz w:val="10"/>
              </w:rPr>
              <w:t>(a)</w:t>
            </w:r>
          </w:p>
        </w:tc>
        <w:tc>
          <w:tcPr>
            <w:tcW w:w="1099" w:type="dxa"/>
            <w:tcBorders>
              <w:bottom w:val="nil"/>
            </w:tcBorders>
            <w:shd w:val="clear" w:color="auto" w:fill="F4F4F4"/>
          </w:tcPr>
          <w:p>
            <w:pPr>
              <w:pStyle w:val="TableParagraph"/>
              <w:ind w:right="90"/>
              <w:jc w:val="right"/>
              <w:rPr>
                <w:sz w:val="19"/>
              </w:rPr>
            </w:pPr>
            <w:r>
              <w:rPr>
                <w:w w:val="111"/>
                <w:sz w:val="19"/>
              </w:rPr>
              <w:t>-</w:t>
            </w:r>
          </w:p>
        </w:tc>
        <w:tc>
          <w:tcPr>
            <w:tcW w:w="1042" w:type="dxa"/>
            <w:tcBorders>
              <w:bottom w:val="nil"/>
            </w:tcBorders>
            <w:shd w:val="clear" w:color="auto" w:fill="F4F4F4"/>
          </w:tcPr>
          <w:p>
            <w:pPr>
              <w:pStyle w:val="TableParagraph"/>
              <w:ind w:right="89"/>
              <w:jc w:val="right"/>
              <w:rPr>
                <w:sz w:val="19"/>
              </w:rPr>
            </w:pPr>
            <w:r>
              <w:rPr>
                <w:w w:val="95"/>
                <w:sz w:val="19"/>
              </w:rPr>
              <w:t>178,379</w:t>
            </w:r>
          </w:p>
        </w:tc>
        <w:tc>
          <w:tcPr>
            <w:tcW w:w="1042" w:type="dxa"/>
            <w:tcBorders>
              <w:bottom w:val="nil"/>
            </w:tcBorders>
            <w:shd w:val="clear" w:color="auto" w:fill="F4F4F4"/>
          </w:tcPr>
          <w:p>
            <w:pPr>
              <w:pStyle w:val="TableParagraph"/>
              <w:ind w:right="87"/>
              <w:jc w:val="right"/>
              <w:rPr>
                <w:sz w:val="19"/>
              </w:rPr>
            </w:pPr>
            <w:r>
              <w:rPr>
                <w:w w:val="111"/>
                <w:sz w:val="19"/>
              </w:rPr>
              <w:t>-</w:t>
            </w:r>
          </w:p>
        </w:tc>
        <w:tc>
          <w:tcPr>
            <w:tcW w:w="1042" w:type="dxa"/>
            <w:tcBorders>
              <w:bottom w:val="nil"/>
            </w:tcBorders>
            <w:shd w:val="clear" w:color="auto" w:fill="F4F4F4"/>
          </w:tcPr>
          <w:p>
            <w:pPr>
              <w:pStyle w:val="TableParagraph"/>
              <w:ind w:right="86"/>
              <w:jc w:val="right"/>
              <w:rPr>
                <w:sz w:val="19"/>
              </w:rPr>
            </w:pPr>
            <w:r>
              <w:rPr>
                <w:w w:val="111"/>
                <w:sz w:val="19"/>
              </w:rPr>
              <w:t>-</w:t>
            </w:r>
          </w:p>
        </w:tc>
        <w:tc>
          <w:tcPr>
            <w:tcW w:w="1042" w:type="dxa"/>
            <w:tcBorders>
              <w:bottom w:val="nil"/>
              <w:right w:val="single" w:sz="4" w:space="0" w:color="000000"/>
            </w:tcBorders>
            <w:shd w:val="clear" w:color="auto" w:fill="F4F4F4"/>
          </w:tcPr>
          <w:p>
            <w:pPr>
              <w:pStyle w:val="TableParagraph"/>
              <w:ind w:right="90"/>
              <w:jc w:val="right"/>
              <w:rPr>
                <w:sz w:val="19"/>
              </w:rPr>
            </w:pPr>
            <w:r>
              <w:rPr>
                <w:w w:val="95"/>
                <w:sz w:val="19"/>
              </w:rPr>
              <w:t>178,379</w:t>
            </w:r>
          </w:p>
        </w:tc>
        <w:tc>
          <w:tcPr>
            <w:tcW w:w="1042" w:type="dxa"/>
            <w:vMerge w:val="restart"/>
            <w:tcBorders>
              <w:left w:val="single" w:sz="4" w:space="0" w:color="000000"/>
              <w:bottom w:val="single" w:sz="4" w:space="0" w:color="000000"/>
              <w:right w:val="single" w:sz="4" w:space="0" w:color="000000"/>
            </w:tcBorders>
            <w:shd w:val="clear" w:color="auto" w:fill="FAF9F9"/>
          </w:tcPr>
          <w:p>
            <w:pPr>
              <w:pStyle w:val="TableParagraph"/>
              <w:ind w:left="253"/>
              <w:rPr>
                <w:sz w:val="19"/>
              </w:rPr>
            </w:pPr>
            <w:r>
              <w:rPr>
                <w:sz w:val="19"/>
              </w:rPr>
              <w:t>178,379</w:t>
            </w:r>
          </w:p>
          <w:p>
            <w:pPr>
              <w:pStyle w:val="TableParagraph"/>
              <w:spacing w:before="87"/>
              <w:ind w:left="464"/>
              <w:rPr>
                <w:sz w:val="19"/>
              </w:rPr>
            </w:pPr>
            <w:r>
              <w:rPr>
                <w:sz w:val="19"/>
              </w:rPr>
              <w:t>1,091</w:t>
            </w:r>
          </w:p>
          <w:p>
            <w:pPr>
              <w:pStyle w:val="TableParagraph"/>
              <w:spacing w:before="88"/>
              <w:ind w:left="252"/>
              <w:rPr>
                <w:sz w:val="19"/>
              </w:rPr>
            </w:pPr>
            <w:r>
              <w:rPr>
                <w:sz w:val="19"/>
              </w:rPr>
              <w:t>464,146</w:t>
            </w:r>
          </w:p>
        </w:tc>
        <w:tc>
          <w:tcPr>
            <w:tcW w:w="1042" w:type="dxa"/>
            <w:tcBorders>
              <w:left w:val="single" w:sz="4" w:space="0" w:color="000000"/>
              <w:bottom w:val="nil"/>
            </w:tcBorders>
            <w:shd w:val="clear" w:color="auto" w:fill="F4F4F4"/>
          </w:tcPr>
          <w:p>
            <w:pPr>
              <w:pStyle w:val="TableParagraph"/>
              <w:ind w:right="83"/>
              <w:jc w:val="right"/>
              <w:rPr>
                <w:sz w:val="19"/>
              </w:rPr>
            </w:pPr>
            <w:r>
              <w:rPr>
                <w:w w:val="95"/>
                <w:sz w:val="19"/>
              </w:rPr>
              <w:t>175,018</w:t>
            </w:r>
          </w:p>
        </w:tc>
        <w:tc>
          <w:tcPr>
            <w:tcW w:w="1042" w:type="dxa"/>
            <w:tcBorders>
              <w:bottom w:val="nil"/>
            </w:tcBorders>
            <w:shd w:val="clear" w:color="auto" w:fill="F4F4F4"/>
          </w:tcPr>
          <w:p>
            <w:pPr>
              <w:pStyle w:val="TableParagraph"/>
              <w:ind w:right="82"/>
              <w:jc w:val="right"/>
              <w:rPr>
                <w:sz w:val="19"/>
              </w:rPr>
            </w:pPr>
            <w:r>
              <w:rPr>
                <w:w w:val="111"/>
                <w:sz w:val="19"/>
              </w:rPr>
              <w:t>-</w:t>
            </w:r>
          </w:p>
        </w:tc>
        <w:tc>
          <w:tcPr>
            <w:tcW w:w="1042" w:type="dxa"/>
            <w:tcBorders>
              <w:bottom w:val="nil"/>
            </w:tcBorders>
            <w:shd w:val="clear" w:color="auto" w:fill="F4F4F4"/>
          </w:tcPr>
          <w:p>
            <w:pPr>
              <w:pStyle w:val="TableParagraph"/>
              <w:ind w:right="81"/>
              <w:jc w:val="right"/>
              <w:rPr>
                <w:sz w:val="19"/>
              </w:rPr>
            </w:pPr>
            <w:r>
              <w:rPr>
                <w:w w:val="95"/>
                <w:sz w:val="19"/>
              </w:rPr>
              <w:t>1,413</w:t>
            </w:r>
          </w:p>
        </w:tc>
        <w:tc>
          <w:tcPr>
            <w:tcW w:w="1042" w:type="dxa"/>
            <w:tcBorders>
              <w:bottom w:val="nil"/>
            </w:tcBorders>
            <w:shd w:val="clear" w:color="auto" w:fill="F4F4F4"/>
          </w:tcPr>
          <w:p>
            <w:pPr>
              <w:pStyle w:val="TableParagraph"/>
              <w:ind w:right="80"/>
              <w:jc w:val="right"/>
              <w:rPr>
                <w:sz w:val="19"/>
              </w:rPr>
            </w:pPr>
            <w:r>
              <w:rPr>
                <w:w w:val="95"/>
                <w:sz w:val="19"/>
              </w:rPr>
              <w:t>1,948</w:t>
            </w:r>
          </w:p>
        </w:tc>
        <w:tc>
          <w:tcPr>
            <w:tcW w:w="1042" w:type="dxa"/>
            <w:tcBorders>
              <w:bottom w:val="nil"/>
              <w:right w:val="nil"/>
            </w:tcBorders>
            <w:shd w:val="clear" w:color="auto" w:fill="F4F4F4"/>
          </w:tcPr>
          <w:p>
            <w:pPr>
              <w:pStyle w:val="TableParagraph"/>
              <w:ind w:right="89"/>
              <w:jc w:val="right"/>
              <w:rPr>
                <w:sz w:val="19"/>
              </w:rPr>
            </w:pPr>
            <w:r>
              <w:rPr>
                <w:w w:val="111"/>
                <w:sz w:val="19"/>
              </w:rPr>
              <w:t>-</w:t>
            </w:r>
          </w:p>
        </w:tc>
      </w:tr>
      <w:tr>
        <w:trPr>
          <w:trHeight w:val="315" w:hRule="atLeast"/>
        </w:trPr>
        <w:tc>
          <w:tcPr>
            <w:tcW w:w="3764" w:type="dxa"/>
            <w:tcBorders>
              <w:top w:val="nil"/>
              <w:bottom w:val="nil"/>
              <w:right w:val="nil"/>
            </w:tcBorders>
            <w:shd w:val="clear" w:color="auto" w:fill="FAF9F9"/>
          </w:tcPr>
          <w:p>
            <w:pPr>
              <w:pStyle w:val="TableParagraph"/>
              <w:spacing w:before="47"/>
              <w:ind w:left="112"/>
              <w:rPr>
                <w:sz w:val="19"/>
              </w:rPr>
            </w:pPr>
            <w:r>
              <w:rPr>
                <w:sz w:val="19"/>
              </w:rPr>
              <w:t>Finance lease receivables</w:t>
            </w:r>
          </w:p>
        </w:tc>
        <w:tc>
          <w:tcPr>
            <w:tcW w:w="1099" w:type="dxa"/>
            <w:tcBorders>
              <w:top w:val="nil"/>
              <w:left w:val="nil"/>
              <w:bottom w:val="nil"/>
              <w:right w:val="nil"/>
            </w:tcBorders>
            <w:shd w:val="clear" w:color="auto" w:fill="FAF9F9"/>
          </w:tcPr>
          <w:p>
            <w:pPr>
              <w:pStyle w:val="TableParagraph"/>
              <w:spacing w:before="47"/>
              <w:ind w:right="100"/>
              <w:jc w:val="right"/>
              <w:rPr>
                <w:sz w:val="19"/>
              </w:rPr>
            </w:pPr>
            <w:r>
              <w:rPr>
                <w:w w:val="95"/>
                <w:sz w:val="19"/>
              </w:rPr>
              <w:t>4.52</w:t>
            </w:r>
          </w:p>
        </w:tc>
        <w:tc>
          <w:tcPr>
            <w:tcW w:w="1042" w:type="dxa"/>
            <w:tcBorders>
              <w:top w:val="nil"/>
              <w:left w:val="nil"/>
              <w:bottom w:val="nil"/>
              <w:right w:val="nil"/>
            </w:tcBorders>
            <w:shd w:val="clear" w:color="auto" w:fill="FAF9F9"/>
          </w:tcPr>
          <w:p>
            <w:pPr>
              <w:pStyle w:val="TableParagraph"/>
              <w:spacing w:before="47"/>
              <w:ind w:right="99"/>
              <w:jc w:val="right"/>
              <w:rPr>
                <w:sz w:val="19"/>
              </w:rPr>
            </w:pPr>
            <w:r>
              <w:rPr>
                <w:w w:val="95"/>
                <w:sz w:val="19"/>
              </w:rPr>
              <w:t>1,091</w:t>
            </w:r>
          </w:p>
        </w:tc>
        <w:tc>
          <w:tcPr>
            <w:tcW w:w="1042" w:type="dxa"/>
            <w:tcBorders>
              <w:top w:val="nil"/>
              <w:left w:val="nil"/>
              <w:bottom w:val="nil"/>
              <w:right w:val="nil"/>
            </w:tcBorders>
            <w:shd w:val="clear" w:color="auto" w:fill="FAF9F9"/>
          </w:tcPr>
          <w:p>
            <w:pPr>
              <w:pStyle w:val="TableParagraph"/>
              <w:spacing w:before="47"/>
              <w:ind w:right="98"/>
              <w:jc w:val="right"/>
              <w:rPr>
                <w:sz w:val="19"/>
              </w:rPr>
            </w:pPr>
            <w:r>
              <w:rPr>
                <w:w w:val="95"/>
                <w:sz w:val="19"/>
              </w:rPr>
              <w:t>1,091</w:t>
            </w:r>
          </w:p>
        </w:tc>
        <w:tc>
          <w:tcPr>
            <w:tcW w:w="1042" w:type="dxa"/>
            <w:tcBorders>
              <w:top w:val="nil"/>
              <w:left w:val="nil"/>
              <w:bottom w:val="nil"/>
              <w:right w:val="nil"/>
            </w:tcBorders>
            <w:shd w:val="clear" w:color="auto" w:fill="FAF9F9"/>
          </w:tcPr>
          <w:p>
            <w:pPr>
              <w:pStyle w:val="TableParagraph"/>
              <w:spacing w:before="47"/>
              <w:ind w:right="97"/>
              <w:jc w:val="right"/>
              <w:rPr>
                <w:sz w:val="19"/>
              </w:rPr>
            </w:pPr>
            <w:r>
              <w:rPr>
                <w:w w:val="111"/>
                <w:sz w:val="19"/>
              </w:rPr>
              <w:t>-</w:t>
            </w:r>
          </w:p>
        </w:tc>
        <w:tc>
          <w:tcPr>
            <w:tcW w:w="1042" w:type="dxa"/>
            <w:tcBorders>
              <w:top w:val="nil"/>
              <w:left w:val="nil"/>
              <w:bottom w:val="nil"/>
              <w:right w:val="single" w:sz="4" w:space="0" w:color="000000"/>
            </w:tcBorders>
            <w:shd w:val="clear" w:color="auto" w:fill="FAF9F9"/>
          </w:tcPr>
          <w:p>
            <w:pPr>
              <w:pStyle w:val="TableParagraph"/>
              <w:spacing w:before="47"/>
              <w:ind w:right="91"/>
              <w:jc w:val="right"/>
              <w:rPr>
                <w:sz w:val="19"/>
              </w:rPr>
            </w:pPr>
            <w:r>
              <w:rPr>
                <w:w w:val="111"/>
                <w:sz w:val="19"/>
              </w:rPr>
              <w:t>-</w:t>
            </w:r>
          </w:p>
        </w:tc>
        <w:tc>
          <w:tcPr>
            <w:tcW w:w="1042" w:type="dxa"/>
            <w:vMerge/>
            <w:tcBorders>
              <w:top w:val="nil"/>
              <w:left w:val="single" w:sz="4" w:space="0" w:color="000000"/>
              <w:bottom w:val="single" w:sz="4" w:space="0" w:color="000000"/>
              <w:right w:val="single" w:sz="4" w:space="0" w:color="000000"/>
            </w:tcBorders>
            <w:shd w:val="clear" w:color="auto" w:fill="FAF9F9"/>
          </w:tcPr>
          <w:p>
            <w:pPr>
              <w:rPr>
                <w:sz w:val="2"/>
                <w:szCs w:val="2"/>
              </w:rPr>
            </w:pPr>
          </w:p>
        </w:tc>
        <w:tc>
          <w:tcPr>
            <w:tcW w:w="1042" w:type="dxa"/>
            <w:tcBorders>
              <w:top w:val="nil"/>
              <w:left w:val="single" w:sz="4" w:space="0" w:color="000000"/>
              <w:bottom w:val="nil"/>
              <w:right w:val="nil"/>
            </w:tcBorders>
            <w:shd w:val="clear" w:color="auto" w:fill="FAF9F9"/>
          </w:tcPr>
          <w:p>
            <w:pPr>
              <w:pStyle w:val="TableParagraph"/>
              <w:spacing w:before="47"/>
              <w:ind w:right="93"/>
              <w:jc w:val="right"/>
              <w:rPr>
                <w:sz w:val="19"/>
              </w:rPr>
            </w:pPr>
            <w:r>
              <w:rPr>
                <w:w w:val="95"/>
                <w:sz w:val="19"/>
              </w:rPr>
              <w:t>22</w:t>
            </w:r>
          </w:p>
        </w:tc>
        <w:tc>
          <w:tcPr>
            <w:tcW w:w="1042" w:type="dxa"/>
            <w:tcBorders>
              <w:top w:val="nil"/>
              <w:left w:val="nil"/>
              <w:bottom w:val="nil"/>
              <w:right w:val="nil"/>
            </w:tcBorders>
            <w:shd w:val="clear" w:color="auto" w:fill="FAF9F9"/>
          </w:tcPr>
          <w:p>
            <w:pPr>
              <w:pStyle w:val="TableParagraph"/>
              <w:spacing w:before="47"/>
              <w:ind w:right="92"/>
              <w:jc w:val="right"/>
              <w:rPr>
                <w:sz w:val="19"/>
              </w:rPr>
            </w:pPr>
            <w:r>
              <w:rPr>
                <w:w w:val="95"/>
                <w:sz w:val="19"/>
              </w:rPr>
              <w:t>110</w:t>
            </w:r>
          </w:p>
        </w:tc>
        <w:tc>
          <w:tcPr>
            <w:tcW w:w="1042" w:type="dxa"/>
            <w:tcBorders>
              <w:top w:val="nil"/>
              <w:left w:val="nil"/>
              <w:bottom w:val="nil"/>
              <w:right w:val="nil"/>
            </w:tcBorders>
            <w:shd w:val="clear" w:color="auto" w:fill="FAF9F9"/>
          </w:tcPr>
          <w:p>
            <w:pPr>
              <w:pStyle w:val="TableParagraph"/>
              <w:spacing w:before="47"/>
              <w:ind w:right="91"/>
              <w:jc w:val="right"/>
              <w:rPr>
                <w:sz w:val="19"/>
              </w:rPr>
            </w:pPr>
            <w:r>
              <w:rPr>
                <w:w w:val="95"/>
                <w:sz w:val="19"/>
              </w:rPr>
              <w:t>362</w:t>
            </w:r>
          </w:p>
        </w:tc>
        <w:tc>
          <w:tcPr>
            <w:tcW w:w="1042" w:type="dxa"/>
            <w:tcBorders>
              <w:top w:val="nil"/>
              <w:left w:val="nil"/>
              <w:bottom w:val="nil"/>
              <w:right w:val="nil"/>
            </w:tcBorders>
            <w:shd w:val="clear" w:color="auto" w:fill="FAF9F9"/>
          </w:tcPr>
          <w:p>
            <w:pPr>
              <w:pStyle w:val="TableParagraph"/>
              <w:spacing w:before="47"/>
              <w:ind w:right="90"/>
              <w:jc w:val="right"/>
              <w:rPr>
                <w:sz w:val="19"/>
              </w:rPr>
            </w:pPr>
            <w:r>
              <w:rPr>
                <w:w w:val="95"/>
                <w:sz w:val="19"/>
              </w:rPr>
              <w:t>597</w:t>
            </w:r>
          </w:p>
        </w:tc>
        <w:tc>
          <w:tcPr>
            <w:tcW w:w="1042" w:type="dxa"/>
            <w:tcBorders>
              <w:top w:val="nil"/>
              <w:left w:val="nil"/>
              <w:bottom w:val="nil"/>
              <w:right w:val="nil"/>
            </w:tcBorders>
            <w:shd w:val="clear" w:color="auto" w:fill="FAF9F9"/>
          </w:tcPr>
          <w:p>
            <w:pPr>
              <w:pStyle w:val="TableParagraph"/>
              <w:spacing w:before="47"/>
              <w:ind w:right="89"/>
              <w:jc w:val="right"/>
              <w:rPr>
                <w:sz w:val="19"/>
              </w:rPr>
            </w:pPr>
            <w:r>
              <w:rPr>
                <w:w w:val="111"/>
                <w:sz w:val="19"/>
              </w:rPr>
              <w:t>-</w:t>
            </w:r>
          </w:p>
        </w:tc>
      </w:tr>
      <w:tr>
        <w:trPr>
          <w:trHeight w:val="285" w:hRule="atLeast"/>
        </w:trPr>
        <w:tc>
          <w:tcPr>
            <w:tcW w:w="3764" w:type="dxa"/>
            <w:vMerge w:val="restart"/>
            <w:tcBorders>
              <w:top w:val="nil"/>
              <w:left w:val="nil"/>
              <w:bottom w:val="nil"/>
              <w:right w:val="nil"/>
            </w:tcBorders>
            <w:shd w:val="clear" w:color="auto" w:fill="FFFFFF"/>
          </w:tcPr>
          <w:p>
            <w:pPr>
              <w:pStyle w:val="TableParagraph"/>
              <w:spacing w:before="27"/>
              <w:ind w:left="122"/>
              <w:rPr>
                <w:sz w:val="19"/>
              </w:rPr>
            </w:pPr>
            <w:r>
              <w:rPr>
                <w:sz w:val="19"/>
              </w:rPr>
              <w:t>Amounts receivable for services</w:t>
            </w:r>
          </w:p>
        </w:tc>
        <w:tc>
          <w:tcPr>
            <w:tcW w:w="1099" w:type="dxa"/>
            <w:vMerge w:val="restart"/>
            <w:tcBorders>
              <w:top w:val="nil"/>
              <w:left w:val="nil"/>
              <w:bottom w:val="nil"/>
              <w:right w:val="nil"/>
            </w:tcBorders>
            <w:shd w:val="clear" w:color="auto" w:fill="FFFFFF"/>
          </w:tcPr>
          <w:p>
            <w:pPr>
              <w:pStyle w:val="TableParagraph"/>
              <w:spacing w:before="27"/>
              <w:ind w:right="100"/>
              <w:jc w:val="right"/>
              <w:rPr>
                <w:sz w:val="19"/>
              </w:rPr>
            </w:pPr>
            <w:r>
              <w:rPr>
                <w:w w:val="111"/>
                <w:sz w:val="19"/>
              </w:rPr>
              <w:t>-</w:t>
            </w:r>
          </w:p>
        </w:tc>
        <w:tc>
          <w:tcPr>
            <w:tcW w:w="1042" w:type="dxa"/>
            <w:tcBorders>
              <w:top w:val="nil"/>
              <w:bottom w:val="single" w:sz="4" w:space="0" w:color="000000"/>
            </w:tcBorders>
            <w:shd w:val="clear" w:color="auto" w:fill="F4F4F4"/>
          </w:tcPr>
          <w:p>
            <w:pPr>
              <w:pStyle w:val="TableParagraph"/>
              <w:spacing w:before="27"/>
              <w:ind w:right="89"/>
              <w:jc w:val="right"/>
              <w:rPr>
                <w:sz w:val="19"/>
              </w:rPr>
            </w:pPr>
            <w:r>
              <w:rPr>
                <w:w w:val="95"/>
                <w:sz w:val="19"/>
              </w:rPr>
              <w:t>464,146</w:t>
            </w:r>
          </w:p>
        </w:tc>
        <w:tc>
          <w:tcPr>
            <w:tcW w:w="1042" w:type="dxa"/>
            <w:tcBorders>
              <w:top w:val="nil"/>
              <w:bottom w:val="single" w:sz="4" w:space="0" w:color="000000"/>
            </w:tcBorders>
            <w:shd w:val="clear" w:color="auto" w:fill="F4F4F4"/>
          </w:tcPr>
          <w:p>
            <w:pPr>
              <w:pStyle w:val="TableParagraph"/>
              <w:spacing w:before="27"/>
              <w:ind w:right="88"/>
              <w:jc w:val="right"/>
              <w:rPr>
                <w:sz w:val="19"/>
              </w:rPr>
            </w:pPr>
            <w:r>
              <w:rPr>
                <w:w w:val="111"/>
                <w:sz w:val="19"/>
              </w:rPr>
              <w:t>-</w:t>
            </w:r>
          </w:p>
        </w:tc>
        <w:tc>
          <w:tcPr>
            <w:tcW w:w="1042" w:type="dxa"/>
            <w:tcBorders>
              <w:top w:val="nil"/>
              <w:bottom w:val="single" w:sz="4" w:space="0" w:color="000000"/>
            </w:tcBorders>
            <w:shd w:val="clear" w:color="auto" w:fill="F4F4F4"/>
          </w:tcPr>
          <w:p>
            <w:pPr>
              <w:pStyle w:val="TableParagraph"/>
              <w:spacing w:before="27"/>
              <w:ind w:right="87"/>
              <w:jc w:val="right"/>
              <w:rPr>
                <w:sz w:val="19"/>
              </w:rPr>
            </w:pPr>
            <w:r>
              <w:rPr>
                <w:w w:val="111"/>
                <w:sz w:val="19"/>
              </w:rPr>
              <w:t>-</w:t>
            </w:r>
          </w:p>
        </w:tc>
        <w:tc>
          <w:tcPr>
            <w:tcW w:w="1042" w:type="dxa"/>
            <w:tcBorders>
              <w:top w:val="nil"/>
              <w:bottom w:val="single" w:sz="4" w:space="0" w:color="000000"/>
              <w:right w:val="single" w:sz="4" w:space="0" w:color="000000"/>
            </w:tcBorders>
            <w:shd w:val="clear" w:color="auto" w:fill="F4F4F4"/>
          </w:tcPr>
          <w:p>
            <w:pPr>
              <w:pStyle w:val="TableParagraph"/>
              <w:spacing w:before="27"/>
              <w:ind w:right="91"/>
              <w:jc w:val="right"/>
              <w:rPr>
                <w:sz w:val="19"/>
              </w:rPr>
            </w:pPr>
            <w:r>
              <w:rPr>
                <w:w w:val="95"/>
                <w:sz w:val="19"/>
              </w:rPr>
              <w:t>464,146</w:t>
            </w:r>
          </w:p>
        </w:tc>
        <w:tc>
          <w:tcPr>
            <w:tcW w:w="1042" w:type="dxa"/>
            <w:vMerge/>
            <w:tcBorders>
              <w:top w:val="nil"/>
              <w:left w:val="single" w:sz="4" w:space="0" w:color="000000"/>
              <w:bottom w:val="single" w:sz="4" w:space="0" w:color="000000"/>
              <w:right w:val="single" w:sz="4" w:space="0" w:color="000000"/>
            </w:tcBorders>
            <w:shd w:val="clear" w:color="auto" w:fill="FAF9F9"/>
          </w:tcPr>
          <w:p>
            <w:pPr>
              <w:rPr>
                <w:sz w:val="2"/>
                <w:szCs w:val="2"/>
              </w:rPr>
            </w:pPr>
          </w:p>
        </w:tc>
        <w:tc>
          <w:tcPr>
            <w:tcW w:w="1042" w:type="dxa"/>
            <w:tcBorders>
              <w:top w:val="nil"/>
              <w:left w:val="single" w:sz="4" w:space="0" w:color="000000"/>
              <w:bottom w:val="single" w:sz="4" w:space="0" w:color="000000"/>
            </w:tcBorders>
            <w:shd w:val="clear" w:color="auto" w:fill="F4F4F4"/>
          </w:tcPr>
          <w:p>
            <w:pPr>
              <w:pStyle w:val="TableParagraph"/>
              <w:spacing w:before="27"/>
              <w:ind w:right="84"/>
              <w:jc w:val="right"/>
              <w:rPr>
                <w:sz w:val="19"/>
              </w:rPr>
            </w:pPr>
            <w:r>
              <w:rPr>
                <w:w w:val="111"/>
                <w:sz w:val="19"/>
              </w:rPr>
              <w:t>-</w:t>
            </w:r>
          </w:p>
        </w:tc>
        <w:tc>
          <w:tcPr>
            <w:tcW w:w="1042" w:type="dxa"/>
            <w:tcBorders>
              <w:top w:val="nil"/>
              <w:bottom w:val="single" w:sz="4" w:space="0" w:color="000000"/>
            </w:tcBorders>
            <w:shd w:val="clear" w:color="auto" w:fill="F4F4F4"/>
          </w:tcPr>
          <w:p>
            <w:pPr>
              <w:pStyle w:val="TableParagraph"/>
              <w:spacing w:before="27"/>
              <w:ind w:right="83"/>
              <w:jc w:val="right"/>
              <w:rPr>
                <w:sz w:val="19"/>
              </w:rPr>
            </w:pPr>
            <w:r>
              <w:rPr>
                <w:w w:val="111"/>
                <w:sz w:val="19"/>
              </w:rPr>
              <w:t>-</w:t>
            </w:r>
          </w:p>
        </w:tc>
        <w:tc>
          <w:tcPr>
            <w:tcW w:w="1042" w:type="dxa"/>
            <w:tcBorders>
              <w:top w:val="nil"/>
              <w:bottom w:val="single" w:sz="4" w:space="0" w:color="000000"/>
            </w:tcBorders>
            <w:shd w:val="clear" w:color="auto" w:fill="F4F4F4"/>
          </w:tcPr>
          <w:p>
            <w:pPr>
              <w:pStyle w:val="TableParagraph"/>
              <w:spacing w:before="27"/>
              <w:ind w:right="82"/>
              <w:jc w:val="right"/>
              <w:rPr>
                <w:sz w:val="19"/>
              </w:rPr>
            </w:pPr>
            <w:r>
              <w:rPr>
                <w:w w:val="95"/>
                <w:sz w:val="19"/>
              </w:rPr>
              <w:t>2,250</w:t>
            </w:r>
          </w:p>
        </w:tc>
        <w:tc>
          <w:tcPr>
            <w:tcW w:w="1042" w:type="dxa"/>
            <w:tcBorders>
              <w:top w:val="nil"/>
              <w:bottom w:val="single" w:sz="4" w:space="0" w:color="000000"/>
            </w:tcBorders>
            <w:shd w:val="clear" w:color="auto" w:fill="F4F4F4"/>
          </w:tcPr>
          <w:p>
            <w:pPr>
              <w:pStyle w:val="TableParagraph"/>
              <w:spacing w:before="27"/>
              <w:ind w:right="82"/>
              <w:jc w:val="right"/>
              <w:rPr>
                <w:sz w:val="19"/>
              </w:rPr>
            </w:pPr>
            <w:r>
              <w:rPr>
                <w:w w:val="95"/>
                <w:sz w:val="19"/>
              </w:rPr>
              <w:t>4,699</w:t>
            </w:r>
          </w:p>
        </w:tc>
        <w:tc>
          <w:tcPr>
            <w:tcW w:w="1042" w:type="dxa"/>
            <w:tcBorders>
              <w:top w:val="nil"/>
              <w:bottom w:val="single" w:sz="4" w:space="0" w:color="000000"/>
              <w:right w:val="nil"/>
            </w:tcBorders>
            <w:shd w:val="clear" w:color="auto" w:fill="F4F4F4"/>
          </w:tcPr>
          <w:p>
            <w:pPr>
              <w:pStyle w:val="TableParagraph"/>
              <w:spacing w:before="27"/>
              <w:ind w:right="89"/>
              <w:jc w:val="right"/>
              <w:rPr>
                <w:sz w:val="19"/>
              </w:rPr>
            </w:pPr>
            <w:r>
              <w:rPr>
                <w:w w:val="95"/>
                <w:sz w:val="19"/>
              </w:rPr>
              <w:t>457,197</w:t>
            </w:r>
          </w:p>
        </w:tc>
      </w:tr>
      <w:tr>
        <w:trPr>
          <w:trHeight w:val="278" w:hRule="atLeast"/>
        </w:trPr>
        <w:tc>
          <w:tcPr>
            <w:tcW w:w="3764" w:type="dxa"/>
            <w:vMerge/>
            <w:tcBorders>
              <w:top w:val="nil"/>
              <w:left w:val="nil"/>
              <w:bottom w:val="nil"/>
              <w:right w:val="nil"/>
            </w:tcBorders>
            <w:shd w:val="clear" w:color="auto" w:fill="FFFFFF"/>
          </w:tcPr>
          <w:p>
            <w:pPr>
              <w:rPr>
                <w:sz w:val="2"/>
                <w:szCs w:val="2"/>
              </w:rPr>
            </w:pPr>
          </w:p>
        </w:tc>
        <w:tc>
          <w:tcPr>
            <w:tcW w:w="1099" w:type="dxa"/>
            <w:vMerge/>
            <w:tcBorders>
              <w:top w:val="nil"/>
              <w:left w:val="nil"/>
              <w:bottom w:val="nil"/>
              <w:right w:val="nil"/>
            </w:tcBorders>
            <w:shd w:val="clear" w:color="auto" w:fill="FFFFFF"/>
          </w:tcPr>
          <w:p>
            <w:pPr>
              <w:rPr>
                <w:sz w:val="2"/>
                <w:szCs w:val="2"/>
              </w:rPr>
            </w:pPr>
          </w:p>
        </w:tc>
        <w:tc>
          <w:tcPr>
            <w:tcW w:w="1042" w:type="dxa"/>
            <w:tcBorders>
              <w:top w:val="single" w:sz="4" w:space="0" w:color="000000"/>
              <w:left w:val="nil"/>
              <w:bottom w:val="double" w:sz="2" w:space="0" w:color="000000"/>
              <w:right w:val="nil"/>
            </w:tcBorders>
            <w:shd w:val="clear" w:color="auto" w:fill="FFFFFF"/>
          </w:tcPr>
          <w:p>
            <w:pPr>
              <w:pStyle w:val="TableParagraph"/>
              <w:spacing w:before="37"/>
              <w:ind w:right="100"/>
              <w:jc w:val="right"/>
              <w:rPr>
                <w:b/>
                <w:sz w:val="19"/>
              </w:rPr>
            </w:pPr>
            <w:r>
              <w:rPr>
                <w:b/>
                <w:w w:val="95"/>
                <w:sz w:val="19"/>
              </w:rPr>
              <w:t>717,803</w:t>
            </w:r>
          </w:p>
        </w:tc>
        <w:tc>
          <w:tcPr>
            <w:tcW w:w="1042" w:type="dxa"/>
            <w:tcBorders>
              <w:top w:val="single" w:sz="4" w:space="0" w:color="000000"/>
              <w:left w:val="nil"/>
              <w:bottom w:val="double" w:sz="2" w:space="0" w:color="000000"/>
              <w:right w:val="nil"/>
            </w:tcBorders>
            <w:shd w:val="clear" w:color="auto" w:fill="FFFFFF"/>
          </w:tcPr>
          <w:p>
            <w:pPr>
              <w:pStyle w:val="TableParagraph"/>
              <w:spacing w:before="37"/>
              <w:ind w:right="99"/>
              <w:jc w:val="right"/>
              <w:rPr>
                <w:b/>
                <w:sz w:val="19"/>
              </w:rPr>
            </w:pPr>
            <w:r>
              <w:rPr>
                <w:b/>
                <w:w w:val="95"/>
                <w:sz w:val="19"/>
              </w:rPr>
              <w:t>1,091</w:t>
            </w:r>
          </w:p>
        </w:tc>
        <w:tc>
          <w:tcPr>
            <w:tcW w:w="1042" w:type="dxa"/>
            <w:tcBorders>
              <w:top w:val="single" w:sz="4" w:space="0" w:color="000000"/>
              <w:left w:val="nil"/>
              <w:bottom w:val="double" w:sz="2" w:space="0" w:color="000000"/>
              <w:right w:val="nil"/>
            </w:tcBorders>
            <w:shd w:val="clear" w:color="auto" w:fill="FFFFFF"/>
          </w:tcPr>
          <w:p>
            <w:pPr>
              <w:pStyle w:val="TableParagraph"/>
              <w:spacing w:before="37"/>
              <w:ind w:right="97"/>
              <w:jc w:val="right"/>
              <w:rPr>
                <w:b/>
                <w:sz w:val="19"/>
              </w:rPr>
            </w:pPr>
            <w:r>
              <w:rPr>
                <w:b/>
                <w:w w:val="95"/>
                <w:sz w:val="19"/>
              </w:rPr>
              <w:t>21,678</w:t>
            </w:r>
          </w:p>
        </w:tc>
        <w:tc>
          <w:tcPr>
            <w:tcW w:w="1042" w:type="dxa"/>
            <w:tcBorders>
              <w:top w:val="single" w:sz="4" w:space="0" w:color="000000"/>
              <w:left w:val="nil"/>
              <w:bottom w:val="double" w:sz="2" w:space="0" w:color="000000"/>
              <w:right w:val="single" w:sz="4" w:space="0" w:color="000000"/>
            </w:tcBorders>
            <w:shd w:val="clear" w:color="auto" w:fill="FFFFFF"/>
          </w:tcPr>
          <w:p>
            <w:pPr>
              <w:pStyle w:val="TableParagraph"/>
              <w:spacing w:before="37"/>
              <w:ind w:right="91"/>
              <w:jc w:val="right"/>
              <w:rPr>
                <w:b/>
                <w:sz w:val="19"/>
              </w:rPr>
            </w:pPr>
            <w:r>
              <w:rPr>
                <w:b/>
                <w:w w:val="95"/>
                <w:sz w:val="19"/>
              </w:rPr>
              <w:t>695,034</w:t>
            </w:r>
          </w:p>
        </w:tc>
        <w:tc>
          <w:tcPr>
            <w:tcW w:w="1042" w:type="dxa"/>
            <w:tcBorders>
              <w:top w:val="single" w:sz="4" w:space="0" w:color="000000"/>
              <w:left w:val="single" w:sz="4" w:space="0" w:color="000000"/>
              <w:bottom w:val="double" w:sz="2" w:space="0" w:color="000000"/>
              <w:right w:val="single" w:sz="4" w:space="0" w:color="000000"/>
            </w:tcBorders>
            <w:shd w:val="clear" w:color="auto" w:fill="FAF9F9"/>
          </w:tcPr>
          <w:p>
            <w:pPr>
              <w:pStyle w:val="TableParagraph"/>
              <w:spacing w:before="37"/>
              <w:ind w:right="90"/>
              <w:jc w:val="right"/>
              <w:rPr>
                <w:b/>
                <w:sz w:val="19"/>
              </w:rPr>
            </w:pPr>
            <w:r>
              <w:rPr>
                <w:b/>
                <w:w w:val="95"/>
                <w:sz w:val="19"/>
              </w:rPr>
              <w:t>717,803</w:t>
            </w:r>
          </w:p>
        </w:tc>
        <w:tc>
          <w:tcPr>
            <w:tcW w:w="1042" w:type="dxa"/>
            <w:tcBorders>
              <w:top w:val="single" w:sz="4" w:space="0" w:color="000000"/>
              <w:left w:val="single" w:sz="4" w:space="0" w:color="000000"/>
              <w:bottom w:val="double" w:sz="2" w:space="0" w:color="000000"/>
              <w:right w:val="nil"/>
            </w:tcBorders>
            <w:shd w:val="clear" w:color="auto" w:fill="FAF9F9"/>
          </w:tcPr>
          <w:p>
            <w:pPr>
              <w:pStyle w:val="TableParagraph"/>
              <w:spacing w:before="37"/>
              <w:ind w:right="94"/>
              <w:jc w:val="right"/>
              <w:rPr>
                <w:b/>
                <w:sz w:val="19"/>
              </w:rPr>
            </w:pPr>
            <w:r>
              <w:rPr>
                <w:b/>
                <w:w w:val="95"/>
                <w:sz w:val="19"/>
              </w:rPr>
              <w:t>245,658</w:t>
            </w:r>
          </w:p>
        </w:tc>
        <w:tc>
          <w:tcPr>
            <w:tcW w:w="1042" w:type="dxa"/>
            <w:tcBorders>
              <w:top w:val="single" w:sz="4" w:space="0" w:color="000000"/>
              <w:left w:val="nil"/>
              <w:bottom w:val="double" w:sz="2" w:space="0" w:color="000000"/>
              <w:right w:val="nil"/>
            </w:tcBorders>
            <w:shd w:val="clear" w:color="auto" w:fill="FAF9F9"/>
          </w:tcPr>
          <w:p>
            <w:pPr>
              <w:pStyle w:val="TableParagraph"/>
              <w:spacing w:before="37"/>
              <w:ind w:right="93"/>
              <w:jc w:val="right"/>
              <w:rPr>
                <w:b/>
                <w:sz w:val="19"/>
              </w:rPr>
            </w:pPr>
            <w:r>
              <w:rPr>
                <w:b/>
                <w:w w:val="95"/>
                <w:sz w:val="19"/>
              </w:rPr>
              <w:t>110</w:t>
            </w:r>
          </w:p>
        </w:tc>
        <w:tc>
          <w:tcPr>
            <w:tcW w:w="1042" w:type="dxa"/>
            <w:tcBorders>
              <w:top w:val="single" w:sz="4" w:space="0" w:color="000000"/>
              <w:left w:val="nil"/>
              <w:bottom w:val="double" w:sz="2" w:space="0" w:color="000000"/>
              <w:right w:val="nil"/>
            </w:tcBorders>
            <w:shd w:val="clear" w:color="auto" w:fill="FAF9F9"/>
          </w:tcPr>
          <w:p>
            <w:pPr>
              <w:pStyle w:val="TableParagraph"/>
              <w:spacing w:before="37"/>
              <w:ind w:right="92"/>
              <w:jc w:val="right"/>
              <w:rPr>
                <w:b/>
                <w:sz w:val="19"/>
              </w:rPr>
            </w:pPr>
            <w:r>
              <w:rPr>
                <w:b/>
                <w:w w:val="95"/>
                <w:sz w:val="19"/>
              </w:rPr>
              <w:t>4,025</w:t>
            </w:r>
          </w:p>
        </w:tc>
        <w:tc>
          <w:tcPr>
            <w:tcW w:w="1042" w:type="dxa"/>
            <w:tcBorders>
              <w:top w:val="single" w:sz="4" w:space="0" w:color="000000"/>
              <w:left w:val="nil"/>
              <w:bottom w:val="double" w:sz="2" w:space="0" w:color="000000"/>
              <w:right w:val="nil"/>
            </w:tcBorders>
            <w:shd w:val="clear" w:color="auto" w:fill="FAF9F9"/>
          </w:tcPr>
          <w:p>
            <w:pPr>
              <w:pStyle w:val="TableParagraph"/>
              <w:spacing w:before="37"/>
              <w:ind w:right="91"/>
              <w:jc w:val="right"/>
              <w:rPr>
                <w:b/>
                <w:sz w:val="19"/>
              </w:rPr>
            </w:pPr>
            <w:r>
              <w:rPr>
                <w:b/>
                <w:w w:val="95"/>
                <w:sz w:val="19"/>
              </w:rPr>
              <w:t>10,415</w:t>
            </w:r>
          </w:p>
        </w:tc>
        <w:tc>
          <w:tcPr>
            <w:tcW w:w="1042" w:type="dxa"/>
            <w:tcBorders>
              <w:top w:val="single" w:sz="4" w:space="0" w:color="000000"/>
              <w:left w:val="nil"/>
              <w:bottom w:val="double" w:sz="2" w:space="0" w:color="000000"/>
              <w:right w:val="nil"/>
            </w:tcBorders>
            <w:shd w:val="clear" w:color="auto" w:fill="FAF9F9"/>
          </w:tcPr>
          <w:p>
            <w:pPr>
              <w:pStyle w:val="TableParagraph"/>
              <w:spacing w:before="37"/>
              <w:ind w:right="90"/>
              <w:jc w:val="right"/>
              <w:rPr>
                <w:b/>
                <w:sz w:val="19"/>
              </w:rPr>
            </w:pPr>
            <w:r>
              <w:rPr>
                <w:b/>
                <w:w w:val="95"/>
                <w:sz w:val="19"/>
              </w:rPr>
              <w:t>457,595</w:t>
            </w:r>
          </w:p>
        </w:tc>
      </w:tr>
      <w:tr>
        <w:trPr>
          <w:trHeight w:val="273" w:hRule="atLeast"/>
        </w:trPr>
        <w:tc>
          <w:tcPr>
            <w:tcW w:w="3764" w:type="dxa"/>
            <w:shd w:val="clear" w:color="auto" w:fill="F4F4F4"/>
          </w:tcPr>
          <w:p>
            <w:pPr>
              <w:pStyle w:val="TableParagraph"/>
              <w:spacing w:before="0"/>
              <w:rPr>
                <w:rFonts w:ascii="Times New Roman"/>
                <w:sz w:val="20"/>
              </w:rPr>
            </w:pPr>
          </w:p>
        </w:tc>
        <w:tc>
          <w:tcPr>
            <w:tcW w:w="1099" w:type="dxa"/>
            <w:shd w:val="clear" w:color="auto" w:fill="F4F4F4"/>
          </w:tcPr>
          <w:p>
            <w:pPr>
              <w:pStyle w:val="TableParagraph"/>
              <w:spacing w:before="0"/>
              <w:rPr>
                <w:rFonts w:ascii="Times New Roman"/>
                <w:sz w:val="20"/>
              </w:rPr>
            </w:pPr>
          </w:p>
        </w:tc>
        <w:tc>
          <w:tcPr>
            <w:tcW w:w="1042" w:type="dxa"/>
            <w:tcBorders>
              <w:top w:val="double" w:sz="2" w:space="0" w:color="000000"/>
            </w:tcBorders>
            <w:shd w:val="clear" w:color="auto" w:fill="F4F4F4"/>
          </w:tcPr>
          <w:p>
            <w:pPr>
              <w:pStyle w:val="TableParagraph"/>
              <w:spacing w:before="0"/>
              <w:rPr>
                <w:rFonts w:ascii="Times New Roman"/>
                <w:sz w:val="20"/>
              </w:rPr>
            </w:pPr>
          </w:p>
        </w:tc>
        <w:tc>
          <w:tcPr>
            <w:tcW w:w="1042" w:type="dxa"/>
            <w:tcBorders>
              <w:top w:val="double" w:sz="2" w:space="0" w:color="000000"/>
            </w:tcBorders>
            <w:shd w:val="clear" w:color="auto" w:fill="F4F4F4"/>
          </w:tcPr>
          <w:p>
            <w:pPr>
              <w:pStyle w:val="TableParagraph"/>
              <w:spacing w:before="0"/>
              <w:rPr>
                <w:rFonts w:ascii="Times New Roman"/>
                <w:sz w:val="20"/>
              </w:rPr>
            </w:pPr>
          </w:p>
        </w:tc>
        <w:tc>
          <w:tcPr>
            <w:tcW w:w="1042" w:type="dxa"/>
            <w:tcBorders>
              <w:top w:val="double" w:sz="2" w:space="0" w:color="000000"/>
            </w:tcBorders>
            <w:shd w:val="clear" w:color="auto" w:fill="F4F4F4"/>
          </w:tcPr>
          <w:p>
            <w:pPr>
              <w:pStyle w:val="TableParagraph"/>
              <w:spacing w:before="0"/>
              <w:rPr>
                <w:rFonts w:ascii="Times New Roman"/>
                <w:sz w:val="20"/>
              </w:rPr>
            </w:pPr>
          </w:p>
        </w:tc>
        <w:tc>
          <w:tcPr>
            <w:tcW w:w="1042" w:type="dxa"/>
            <w:tcBorders>
              <w:top w:val="double" w:sz="2" w:space="0" w:color="000000"/>
              <w:right w:val="single" w:sz="4" w:space="0" w:color="000000"/>
            </w:tcBorders>
            <w:shd w:val="clear" w:color="auto" w:fill="F4F4F4"/>
          </w:tcPr>
          <w:p>
            <w:pPr>
              <w:pStyle w:val="TableParagraph"/>
              <w:spacing w:before="0"/>
              <w:rPr>
                <w:rFonts w:ascii="Times New Roman"/>
                <w:sz w:val="20"/>
              </w:rPr>
            </w:pPr>
          </w:p>
        </w:tc>
        <w:tc>
          <w:tcPr>
            <w:tcW w:w="1042" w:type="dxa"/>
            <w:tcBorders>
              <w:top w:val="double" w:sz="2" w:space="0" w:color="000000"/>
              <w:left w:val="single" w:sz="4" w:space="0" w:color="000000"/>
              <w:right w:val="single" w:sz="4" w:space="0" w:color="000000"/>
            </w:tcBorders>
            <w:shd w:val="clear" w:color="auto" w:fill="F4F4F4"/>
          </w:tcPr>
          <w:p>
            <w:pPr>
              <w:pStyle w:val="TableParagraph"/>
              <w:spacing w:before="0"/>
              <w:rPr>
                <w:rFonts w:ascii="Times New Roman"/>
                <w:sz w:val="20"/>
              </w:rPr>
            </w:pPr>
          </w:p>
        </w:tc>
        <w:tc>
          <w:tcPr>
            <w:tcW w:w="1042" w:type="dxa"/>
            <w:tcBorders>
              <w:top w:val="double" w:sz="2" w:space="0" w:color="000000"/>
              <w:left w:val="single" w:sz="4" w:space="0" w:color="000000"/>
            </w:tcBorders>
            <w:shd w:val="clear" w:color="auto" w:fill="F4F4F4"/>
          </w:tcPr>
          <w:p>
            <w:pPr>
              <w:pStyle w:val="TableParagraph"/>
              <w:spacing w:before="0"/>
              <w:rPr>
                <w:rFonts w:ascii="Times New Roman"/>
                <w:sz w:val="20"/>
              </w:rPr>
            </w:pPr>
          </w:p>
        </w:tc>
        <w:tc>
          <w:tcPr>
            <w:tcW w:w="1042" w:type="dxa"/>
            <w:tcBorders>
              <w:top w:val="double" w:sz="2" w:space="0" w:color="000000"/>
            </w:tcBorders>
            <w:shd w:val="clear" w:color="auto" w:fill="F4F4F4"/>
          </w:tcPr>
          <w:p>
            <w:pPr>
              <w:pStyle w:val="TableParagraph"/>
              <w:spacing w:before="0"/>
              <w:rPr>
                <w:rFonts w:ascii="Times New Roman"/>
                <w:sz w:val="20"/>
              </w:rPr>
            </w:pPr>
          </w:p>
        </w:tc>
        <w:tc>
          <w:tcPr>
            <w:tcW w:w="1042" w:type="dxa"/>
            <w:tcBorders>
              <w:top w:val="double" w:sz="2" w:space="0" w:color="000000"/>
            </w:tcBorders>
            <w:shd w:val="clear" w:color="auto" w:fill="F4F4F4"/>
          </w:tcPr>
          <w:p>
            <w:pPr>
              <w:pStyle w:val="TableParagraph"/>
              <w:spacing w:before="0"/>
              <w:rPr>
                <w:rFonts w:ascii="Times New Roman"/>
                <w:sz w:val="20"/>
              </w:rPr>
            </w:pPr>
          </w:p>
        </w:tc>
        <w:tc>
          <w:tcPr>
            <w:tcW w:w="1042" w:type="dxa"/>
            <w:tcBorders>
              <w:top w:val="double" w:sz="2" w:space="0" w:color="000000"/>
            </w:tcBorders>
            <w:shd w:val="clear" w:color="auto" w:fill="F4F4F4"/>
          </w:tcPr>
          <w:p>
            <w:pPr>
              <w:pStyle w:val="TableParagraph"/>
              <w:spacing w:before="0"/>
              <w:rPr>
                <w:rFonts w:ascii="Times New Roman"/>
                <w:sz w:val="20"/>
              </w:rPr>
            </w:pPr>
          </w:p>
        </w:tc>
        <w:tc>
          <w:tcPr>
            <w:tcW w:w="1042" w:type="dxa"/>
            <w:tcBorders>
              <w:top w:val="double" w:sz="2" w:space="0" w:color="000000"/>
              <w:right w:val="nil"/>
            </w:tcBorders>
            <w:shd w:val="clear" w:color="auto" w:fill="F4F4F4"/>
          </w:tcPr>
          <w:p>
            <w:pPr>
              <w:pStyle w:val="TableParagraph"/>
              <w:spacing w:before="0"/>
              <w:rPr>
                <w:rFonts w:ascii="Times New Roman"/>
                <w:sz w:val="20"/>
              </w:rPr>
            </w:pPr>
          </w:p>
        </w:tc>
      </w:tr>
      <w:tr>
        <w:trPr>
          <w:trHeight w:val="285" w:hRule="atLeast"/>
        </w:trPr>
        <w:tc>
          <w:tcPr>
            <w:tcW w:w="9031" w:type="dxa"/>
            <w:gridSpan w:val="6"/>
            <w:tcBorders>
              <w:right w:val="single" w:sz="4" w:space="0" w:color="000000"/>
            </w:tcBorders>
            <w:shd w:val="clear" w:color="auto" w:fill="FAF9F9"/>
          </w:tcPr>
          <w:p>
            <w:pPr>
              <w:pStyle w:val="TableParagraph"/>
              <w:ind w:left="111"/>
              <w:rPr>
                <w:i/>
                <w:sz w:val="19"/>
              </w:rPr>
            </w:pPr>
            <w:r>
              <w:rPr>
                <w:i/>
                <w:color w:val="A7BE39"/>
                <w:sz w:val="19"/>
              </w:rPr>
              <w:t>Financial Liabilities</w:t>
            </w:r>
          </w:p>
        </w:tc>
        <w:tc>
          <w:tcPr>
            <w:tcW w:w="1042" w:type="dxa"/>
            <w:tcBorders>
              <w:left w:val="single" w:sz="4" w:space="0" w:color="000000"/>
              <w:right w:val="single" w:sz="4" w:space="0" w:color="000000"/>
            </w:tcBorders>
            <w:shd w:val="clear" w:color="auto" w:fill="FAF9F9"/>
          </w:tcPr>
          <w:p>
            <w:pPr>
              <w:pStyle w:val="TableParagraph"/>
              <w:spacing w:before="0"/>
              <w:rPr>
                <w:rFonts w:ascii="Times New Roman"/>
                <w:sz w:val="20"/>
              </w:rPr>
            </w:pPr>
          </w:p>
        </w:tc>
        <w:tc>
          <w:tcPr>
            <w:tcW w:w="5210" w:type="dxa"/>
            <w:gridSpan w:val="5"/>
            <w:tcBorders>
              <w:left w:val="single" w:sz="4" w:space="0" w:color="000000"/>
              <w:right w:val="nil"/>
            </w:tcBorders>
            <w:shd w:val="clear" w:color="auto" w:fill="FAF9F9"/>
          </w:tcPr>
          <w:p>
            <w:pPr>
              <w:pStyle w:val="TableParagraph"/>
              <w:spacing w:before="0"/>
              <w:rPr>
                <w:rFonts w:ascii="Times New Roman"/>
                <w:sz w:val="20"/>
              </w:rPr>
            </w:pPr>
          </w:p>
        </w:tc>
      </w:tr>
      <w:tr>
        <w:trPr>
          <w:trHeight w:val="285" w:hRule="atLeast"/>
        </w:trPr>
        <w:tc>
          <w:tcPr>
            <w:tcW w:w="3764" w:type="dxa"/>
            <w:shd w:val="clear" w:color="auto" w:fill="F4F4F4"/>
          </w:tcPr>
          <w:p>
            <w:pPr>
              <w:pStyle w:val="TableParagraph"/>
              <w:ind w:left="111"/>
              <w:rPr>
                <w:sz w:val="10"/>
              </w:rPr>
            </w:pPr>
            <w:r>
              <w:rPr>
                <w:sz w:val="19"/>
              </w:rPr>
              <w:t>Payables</w:t>
            </w:r>
            <w:r>
              <w:rPr>
                <w:position w:val="6"/>
                <w:sz w:val="10"/>
              </w:rPr>
              <w:t>(b)</w:t>
            </w:r>
          </w:p>
        </w:tc>
        <w:tc>
          <w:tcPr>
            <w:tcW w:w="1099" w:type="dxa"/>
            <w:shd w:val="clear" w:color="auto" w:fill="F4F4F4"/>
          </w:tcPr>
          <w:p>
            <w:pPr>
              <w:pStyle w:val="TableParagraph"/>
              <w:ind w:right="90"/>
              <w:jc w:val="right"/>
              <w:rPr>
                <w:sz w:val="19"/>
              </w:rPr>
            </w:pPr>
            <w:r>
              <w:rPr>
                <w:w w:val="111"/>
                <w:sz w:val="19"/>
              </w:rPr>
              <w:t>-</w:t>
            </w:r>
          </w:p>
        </w:tc>
        <w:tc>
          <w:tcPr>
            <w:tcW w:w="1042" w:type="dxa"/>
            <w:shd w:val="clear" w:color="auto" w:fill="F4F4F4"/>
          </w:tcPr>
          <w:p>
            <w:pPr>
              <w:pStyle w:val="TableParagraph"/>
              <w:ind w:right="89"/>
              <w:jc w:val="right"/>
              <w:rPr>
                <w:sz w:val="19"/>
              </w:rPr>
            </w:pPr>
            <w:r>
              <w:rPr>
                <w:w w:val="95"/>
                <w:sz w:val="19"/>
              </w:rPr>
              <w:t>113,347</w:t>
            </w:r>
          </w:p>
        </w:tc>
        <w:tc>
          <w:tcPr>
            <w:tcW w:w="1042" w:type="dxa"/>
            <w:shd w:val="clear" w:color="auto" w:fill="F4F4F4"/>
          </w:tcPr>
          <w:p>
            <w:pPr>
              <w:pStyle w:val="TableParagraph"/>
              <w:ind w:right="87"/>
              <w:jc w:val="right"/>
              <w:rPr>
                <w:sz w:val="19"/>
              </w:rPr>
            </w:pPr>
            <w:r>
              <w:rPr>
                <w:w w:val="111"/>
                <w:sz w:val="19"/>
              </w:rPr>
              <w:t>-</w:t>
            </w:r>
          </w:p>
        </w:tc>
        <w:tc>
          <w:tcPr>
            <w:tcW w:w="1042" w:type="dxa"/>
            <w:shd w:val="clear" w:color="auto" w:fill="F4F4F4"/>
          </w:tcPr>
          <w:p>
            <w:pPr>
              <w:pStyle w:val="TableParagraph"/>
              <w:ind w:right="86"/>
              <w:jc w:val="right"/>
              <w:rPr>
                <w:sz w:val="19"/>
              </w:rPr>
            </w:pPr>
            <w:r>
              <w:rPr>
                <w:w w:val="111"/>
                <w:sz w:val="19"/>
              </w:rPr>
              <w:t>-</w:t>
            </w:r>
          </w:p>
        </w:tc>
        <w:tc>
          <w:tcPr>
            <w:tcW w:w="1042" w:type="dxa"/>
            <w:tcBorders>
              <w:right w:val="single" w:sz="4" w:space="0" w:color="000000"/>
            </w:tcBorders>
            <w:shd w:val="clear" w:color="auto" w:fill="F4F4F4"/>
          </w:tcPr>
          <w:p>
            <w:pPr>
              <w:pStyle w:val="TableParagraph"/>
              <w:ind w:right="90"/>
              <w:jc w:val="right"/>
              <w:rPr>
                <w:sz w:val="19"/>
              </w:rPr>
            </w:pPr>
            <w:r>
              <w:rPr>
                <w:w w:val="95"/>
                <w:sz w:val="19"/>
              </w:rPr>
              <w:t>113,347</w:t>
            </w:r>
          </w:p>
        </w:tc>
        <w:tc>
          <w:tcPr>
            <w:tcW w:w="1042" w:type="dxa"/>
            <w:tcBorders>
              <w:left w:val="single" w:sz="4" w:space="0" w:color="000000"/>
              <w:right w:val="single" w:sz="4" w:space="0" w:color="000000"/>
            </w:tcBorders>
            <w:shd w:val="clear" w:color="auto" w:fill="F4F4F4"/>
          </w:tcPr>
          <w:p>
            <w:pPr>
              <w:pStyle w:val="TableParagraph"/>
              <w:ind w:right="89"/>
              <w:jc w:val="right"/>
              <w:rPr>
                <w:sz w:val="19"/>
              </w:rPr>
            </w:pPr>
            <w:r>
              <w:rPr>
                <w:w w:val="95"/>
                <w:sz w:val="19"/>
              </w:rPr>
              <w:t>113,347</w:t>
            </w:r>
          </w:p>
        </w:tc>
        <w:tc>
          <w:tcPr>
            <w:tcW w:w="1042" w:type="dxa"/>
            <w:tcBorders>
              <w:left w:val="single" w:sz="4" w:space="0" w:color="000000"/>
            </w:tcBorders>
            <w:shd w:val="clear" w:color="auto" w:fill="F4F4F4"/>
          </w:tcPr>
          <w:p>
            <w:pPr>
              <w:pStyle w:val="TableParagraph"/>
              <w:ind w:right="83"/>
              <w:jc w:val="right"/>
              <w:rPr>
                <w:sz w:val="19"/>
              </w:rPr>
            </w:pPr>
            <w:r>
              <w:rPr>
                <w:w w:val="95"/>
                <w:sz w:val="19"/>
              </w:rPr>
              <w:t>113,293</w:t>
            </w:r>
          </w:p>
        </w:tc>
        <w:tc>
          <w:tcPr>
            <w:tcW w:w="1042" w:type="dxa"/>
            <w:shd w:val="clear" w:color="auto" w:fill="F4F4F4"/>
          </w:tcPr>
          <w:p>
            <w:pPr>
              <w:pStyle w:val="TableParagraph"/>
              <w:ind w:right="82"/>
              <w:jc w:val="right"/>
              <w:rPr>
                <w:sz w:val="19"/>
              </w:rPr>
            </w:pPr>
            <w:r>
              <w:rPr>
                <w:w w:val="95"/>
                <w:sz w:val="19"/>
              </w:rPr>
              <w:t>17</w:t>
            </w:r>
          </w:p>
        </w:tc>
        <w:tc>
          <w:tcPr>
            <w:tcW w:w="1042" w:type="dxa"/>
            <w:shd w:val="clear" w:color="auto" w:fill="F4F4F4"/>
          </w:tcPr>
          <w:p>
            <w:pPr>
              <w:pStyle w:val="TableParagraph"/>
              <w:ind w:right="81"/>
              <w:jc w:val="right"/>
              <w:rPr>
                <w:sz w:val="19"/>
              </w:rPr>
            </w:pPr>
            <w:r>
              <w:rPr>
                <w:w w:val="95"/>
                <w:sz w:val="19"/>
              </w:rPr>
              <w:t>37</w:t>
            </w:r>
          </w:p>
        </w:tc>
        <w:tc>
          <w:tcPr>
            <w:tcW w:w="1042" w:type="dxa"/>
            <w:shd w:val="clear" w:color="auto" w:fill="F4F4F4"/>
          </w:tcPr>
          <w:p>
            <w:pPr>
              <w:pStyle w:val="TableParagraph"/>
              <w:ind w:right="80"/>
              <w:jc w:val="right"/>
              <w:rPr>
                <w:sz w:val="19"/>
              </w:rPr>
            </w:pPr>
            <w:r>
              <w:rPr>
                <w:w w:val="111"/>
                <w:sz w:val="19"/>
              </w:rPr>
              <w:t>-</w:t>
            </w:r>
          </w:p>
        </w:tc>
        <w:tc>
          <w:tcPr>
            <w:tcW w:w="1042" w:type="dxa"/>
            <w:tcBorders>
              <w:right w:val="nil"/>
            </w:tcBorders>
            <w:shd w:val="clear" w:color="auto" w:fill="F4F4F4"/>
          </w:tcPr>
          <w:p>
            <w:pPr>
              <w:pStyle w:val="TableParagraph"/>
              <w:ind w:right="89"/>
              <w:jc w:val="right"/>
              <w:rPr>
                <w:sz w:val="19"/>
              </w:rPr>
            </w:pPr>
            <w:r>
              <w:rPr>
                <w:w w:val="111"/>
                <w:sz w:val="19"/>
              </w:rPr>
              <w:t>-</w:t>
            </w:r>
          </w:p>
        </w:tc>
      </w:tr>
      <w:tr>
        <w:trPr>
          <w:trHeight w:val="285" w:hRule="atLeast"/>
        </w:trPr>
        <w:tc>
          <w:tcPr>
            <w:tcW w:w="3764" w:type="dxa"/>
            <w:tcBorders>
              <w:right w:val="nil"/>
            </w:tcBorders>
            <w:shd w:val="clear" w:color="auto" w:fill="FAF9F9"/>
          </w:tcPr>
          <w:p>
            <w:pPr>
              <w:pStyle w:val="TableParagraph"/>
              <w:ind w:left="112"/>
              <w:rPr>
                <w:sz w:val="19"/>
              </w:rPr>
            </w:pPr>
            <w:r>
              <w:rPr>
                <w:sz w:val="19"/>
              </w:rPr>
              <w:t>WATC borrowings</w:t>
            </w:r>
          </w:p>
        </w:tc>
        <w:tc>
          <w:tcPr>
            <w:tcW w:w="1099" w:type="dxa"/>
            <w:tcBorders>
              <w:left w:val="nil"/>
              <w:right w:val="nil"/>
            </w:tcBorders>
            <w:shd w:val="clear" w:color="auto" w:fill="FAF9F9"/>
          </w:tcPr>
          <w:p>
            <w:pPr>
              <w:pStyle w:val="TableParagraph"/>
              <w:ind w:right="100"/>
              <w:jc w:val="right"/>
              <w:rPr>
                <w:sz w:val="19"/>
              </w:rPr>
            </w:pPr>
            <w:r>
              <w:rPr>
                <w:w w:val="95"/>
                <w:sz w:val="19"/>
              </w:rPr>
              <w:t>2.52</w:t>
            </w:r>
          </w:p>
        </w:tc>
        <w:tc>
          <w:tcPr>
            <w:tcW w:w="1042" w:type="dxa"/>
            <w:tcBorders>
              <w:left w:val="nil"/>
              <w:right w:val="nil"/>
            </w:tcBorders>
            <w:shd w:val="clear" w:color="auto" w:fill="FAF9F9"/>
          </w:tcPr>
          <w:p>
            <w:pPr>
              <w:pStyle w:val="TableParagraph"/>
              <w:ind w:right="99"/>
              <w:jc w:val="right"/>
              <w:rPr>
                <w:sz w:val="19"/>
              </w:rPr>
            </w:pPr>
            <w:r>
              <w:rPr>
                <w:w w:val="95"/>
                <w:sz w:val="19"/>
              </w:rPr>
              <w:t>47,471</w:t>
            </w:r>
          </w:p>
        </w:tc>
        <w:tc>
          <w:tcPr>
            <w:tcW w:w="1042" w:type="dxa"/>
            <w:tcBorders>
              <w:left w:val="nil"/>
              <w:right w:val="nil"/>
            </w:tcBorders>
            <w:shd w:val="clear" w:color="auto" w:fill="FAF9F9"/>
          </w:tcPr>
          <w:p>
            <w:pPr>
              <w:pStyle w:val="TableParagraph"/>
              <w:ind w:right="98"/>
              <w:jc w:val="right"/>
              <w:rPr>
                <w:sz w:val="19"/>
              </w:rPr>
            </w:pPr>
            <w:r>
              <w:rPr>
                <w:w w:val="95"/>
                <w:sz w:val="19"/>
              </w:rPr>
              <w:t>47,471</w:t>
            </w:r>
          </w:p>
        </w:tc>
        <w:tc>
          <w:tcPr>
            <w:tcW w:w="1042" w:type="dxa"/>
            <w:tcBorders>
              <w:left w:val="nil"/>
              <w:right w:val="nil"/>
            </w:tcBorders>
            <w:shd w:val="clear" w:color="auto" w:fill="FAF9F9"/>
          </w:tcPr>
          <w:p>
            <w:pPr>
              <w:pStyle w:val="TableParagraph"/>
              <w:ind w:right="97"/>
              <w:jc w:val="right"/>
              <w:rPr>
                <w:sz w:val="19"/>
              </w:rPr>
            </w:pPr>
            <w:r>
              <w:rPr>
                <w:w w:val="111"/>
                <w:sz w:val="19"/>
              </w:rPr>
              <w:t>-</w:t>
            </w:r>
          </w:p>
        </w:tc>
        <w:tc>
          <w:tcPr>
            <w:tcW w:w="1042" w:type="dxa"/>
            <w:tcBorders>
              <w:left w:val="nil"/>
              <w:right w:val="single" w:sz="4" w:space="0" w:color="000000"/>
            </w:tcBorders>
            <w:shd w:val="clear" w:color="auto" w:fill="FAF9F9"/>
          </w:tcPr>
          <w:p>
            <w:pPr>
              <w:pStyle w:val="TableParagraph"/>
              <w:ind w:right="91"/>
              <w:jc w:val="right"/>
              <w:rPr>
                <w:sz w:val="19"/>
              </w:rPr>
            </w:pPr>
            <w:r>
              <w:rPr>
                <w:w w:val="111"/>
                <w:sz w:val="19"/>
              </w:rPr>
              <w:t>-</w:t>
            </w:r>
          </w:p>
        </w:tc>
        <w:tc>
          <w:tcPr>
            <w:tcW w:w="1042" w:type="dxa"/>
            <w:tcBorders>
              <w:left w:val="single" w:sz="4" w:space="0" w:color="000000"/>
              <w:right w:val="single" w:sz="4" w:space="0" w:color="000000"/>
            </w:tcBorders>
            <w:shd w:val="clear" w:color="auto" w:fill="FAF9F9"/>
          </w:tcPr>
          <w:p>
            <w:pPr>
              <w:pStyle w:val="TableParagraph"/>
              <w:ind w:right="90"/>
              <w:jc w:val="right"/>
              <w:rPr>
                <w:sz w:val="19"/>
              </w:rPr>
            </w:pPr>
            <w:r>
              <w:rPr>
                <w:w w:val="95"/>
                <w:sz w:val="19"/>
              </w:rPr>
              <w:t>47,471</w:t>
            </w:r>
          </w:p>
        </w:tc>
        <w:tc>
          <w:tcPr>
            <w:tcW w:w="1042" w:type="dxa"/>
            <w:tcBorders>
              <w:left w:val="single" w:sz="4" w:space="0" w:color="000000"/>
              <w:right w:val="nil"/>
            </w:tcBorders>
            <w:shd w:val="clear" w:color="auto" w:fill="FAF9F9"/>
          </w:tcPr>
          <w:p>
            <w:pPr>
              <w:pStyle w:val="TableParagraph"/>
              <w:ind w:right="93"/>
              <w:jc w:val="right"/>
              <w:rPr>
                <w:sz w:val="19"/>
              </w:rPr>
            </w:pPr>
            <w:r>
              <w:rPr>
                <w:w w:val="95"/>
                <w:sz w:val="19"/>
              </w:rPr>
              <w:t>1,922</w:t>
            </w:r>
          </w:p>
        </w:tc>
        <w:tc>
          <w:tcPr>
            <w:tcW w:w="1042" w:type="dxa"/>
            <w:tcBorders>
              <w:left w:val="nil"/>
              <w:right w:val="nil"/>
            </w:tcBorders>
            <w:shd w:val="clear" w:color="auto" w:fill="FAF9F9"/>
          </w:tcPr>
          <w:p>
            <w:pPr>
              <w:pStyle w:val="TableParagraph"/>
              <w:ind w:right="92"/>
              <w:jc w:val="right"/>
              <w:rPr>
                <w:sz w:val="19"/>
              </w:rPr>
            </w:pPr>
            <w:r>
              <w:rPr>
                <w:w w:val="95"/>
                <w:sz w:val="19"/>
              </w:rPr>
              <w:t>1,916</w:t>
            </w:r>
          </w:p>
        </w:tc>
        <w:tc>
          <w:tcPr>
            <w:tcW w:w="1042" w:type="dxa"/>
            <w:tcBorders>
              <w:left w:val="nil"/>
              <w:right w:val="nil"/>
            </w:tcBorders>
            <w:shd w:val="clear" w:color="auto" w:fill="FAF9F9"/>
          </w:tcPr>
          <w:p>
            <w:pPr>
              <w:pStyle w:val="TableParagraph"/>
              <w:ind w:right="91"/>
              <w:jc w:val="right"/>
              <w:rPr>
                <w:sz w:val="19"/>
              </w:rPr>
            </w:pPr>
            <w:r>
              <w:rPr>
                <w:w w:val="95"/>
                <w:sz w:val="19"/>
              </w:rPr>
              <w:t>14,578</w:t>
            </w:r>
          </w:p>
        </w:tc>
        <w:tc>
          <w:tcPr>
            <w:tcW w:w="1042" w:type="dxa"/>
            <w:tcBorders>
              <w:left w:val="nil"/>
              <w:right w:val="nil"/>
            </w:tcBorders>
            <w:shd w:val="clear" w:color="auto" w:fill="FAF9F9"/>
          </w:tcPr>
          <w:p>
            <w:pPr>
              <w:pStyle w:val="TableParagraph"/>
              <w:ind w:right="90"/>
              <w:jc w:val="right"/>
              <w:rPr>
                <w:sz w:val="19"/>
              </w:rPr>
            </w:pPr>
            <w:r>
              <w:rPr>
                <w:w w:val="95"/>
                <w:sz w:val="19"/>
              </w:rPr>
              <w:t>29,055</w:t>
            </w:r>
          </w:p>
        </w:tc>
        <w:tc>
          <w:tcPr>
            <w:tcW w:w="1042" w:type="dxa"/>
            <w:tcBorders>
              <w:left w:val="nil"/>
              <w:right w:val="nil"/>
            </w:tcBorders>
            <w:shd w:val="clear" w:color="auto" w:fill="FAF9F9"/>
          </w:tcPr>
          <w:p>
            <w:pPr>
              <w:pStyle w:val="TableParagraph"/>
              <w:ind w:right="89"/>
              <w:jc w:val="right"/>
              <w:rPr>
                <w:sz w:val="19"/>
              </w:rPr>
            </w:pPr>
            <w:r>
              <w:rPr>
                <w:w w:val="111"/>
                <w:sz w:val="19"/>
              </w:rPr>
              <w:t>-</w:t>
            </w:r>
          </w:p>
        </w:tc>
      </w:tr>
      <w:tr>
        <w:trPr>
          <w:trHeight w:val="290" w:hRule="atLeast"/>
        </w:trPr>
        <w:tc>
          <w:tcPr>
            <w:tcW w:w="3764" w:type="dxa"/>
            <w:tcBorders>
              <w:bottom w:val="nil"/>
            </w:tcBorders>
            <w:shd w:val="clear" w:color="auto" w:fill="F4F4F4"/>
          </w:tcPr>
          <w:p>
            <w:pPr>
              <w:pStyle w:val="TableParagraph"/>
              <w:ind w:left="112"/>
              <w:rPr>
                <w:sz w:val="19"/>
              </w:rPr>
            </w:pPr>
            <w:r>
              <w:rPr>
                <w:sz w:val="19"/>
              </w:rPr>
              <w:t>Heritage Maintenance Payments</w:t>
            </w:r>
          </w:p>
        </w:tc>
        <w:tc>
          <w:tcPr>
            <w:tcW w:w="1099" w:type="dxa"/>
            <w:tcBorders>
              <w:bottom w:val="nil"/>
            </w:tcBorders>
            <w:shd w:val="clear" w:color="auto" w:fill="F4F4F4"/>
          </w:tcPr>
          <w:p>
            <w:pPr>
              <w:pStyle w:val="TableParagraph"/>
              <w:ind w:right="90"/>
              <w:jc w:val="right"/>
              <w:rPr>
                <w:sz w:val="19"/>
              </w:rPr>
            </w:pPr>
            <w:r>
              <w:rPr>
                <w:w w:val="95"/>
                <w:sz w:val="19"/>
              </w:rPr>
              <w:t>12.46</w:t>
            </w:r>
          </w:p>
        </w:tc>
        <w:tc>
          <w:tcPr>
            <w:tcW w:w="1042" w:type="dxa"/>
            <w:tcBorders>
              <w:bottom w:val="single" w:sz="4" w:space="0" w:color="000000"/>
            </w:tcBorders>
            <w:shd w:val="clear" w:color="auto" w:fill="F4F4F4"/>
          </w:tcPr>
          <w:p>
            <w:pPr>
              <w:pStyle w:val="TableParagraph"/>
              <w:ind w:right="89"/>
              <w:jc w:val="right"/>
              <w:rPr>
                <w:sz w:val="19"/>
              </w:rPr>
            </w:pPr>
            <w:r>
              <w:rPr>
                <w:w w:val="95"/>
                <w:sz w:val="19"/>
              </w:rPr>
              <w:t>54,345</w:t>
            </w:r>
          </w:p>
        </w:tc>
        <w:tc>
          <w:tcPr>
            <w:tcW w:w="1042" w:type="dxa"/>
            <w:tcBorders>
              <w:bottom w:val="single" w:sz="4" w:space="0" w:color="000000"/>
            </w:tcBorders>
            <w:shd w:val="clear" w:color="auto" w:fill="F4F4F4"/>
          </w:tcPr>
          <w:p>
            <w:pPr>
              <w:pStyle w:val="TableParagraph"/>
              <w:ind w:right="88"/>
              <w:jc w:val="right"/>
              <w:rPr>
                <w:sz w:val="19"/>
              </w:rPr>
            </w:pPr>
            <w:r>
              <w:rPr>
                <w:w w:val="95"/>
                <w:sz w:val="19"/>
              </w:rPr>
              <w:t>54,345</w:t>
            </w:r>
          </w:p>
        </w:tc>
        <w:tc>
          <w:tcPr>
            <w:tcW w:w="1042" w:type="dxa"/>
            <w:tcBorders>
              <w:bottom w:val="single" w:sz="4" w:space="0" w:color="000000"/>
            </w:tcBorders>
            <w:shd w:val="clear" w:color="auto" w:fill="F4F4F4"/>
          </w:tcPr>
          <w:p>
            <w:pPr>
              <w:pStyle w:val="TableParagraph"/>
              <w:ind w:right="87"/>
              <w:jc w:val="right"/>
              <w:rPr>
                <w:sz w:val="19"/>
              </w:rPr>
            </w:pPr>
            <w:r>
              <w:rPr>
                <w:w w:val="111"/>
                <w:sz w:val="19"/>
              </w:rPr>
              <w:t>-</w:t>
            </w:r>
          </w:p>
        </w:tc>
        <w:tc>
          <w:tcPr>
            <w:tcW w:w="1042" w:type="dxa"/>
            <w:tcBorders>
              <w:bottom w:val="single" w:sz="4" w:space="0" w:color="000000"/>
              <w:right w:val="single" w:sz="4" w:space="0" w:color="000000"/>
            </w:tcBorders>
            <w:shd w:val="clear" w:color="auto" w:fill="F4F4F4"/>
          </w:tcPr>
          <w:p>
            <w:pPr>
              <w:pStyle w:val="TableParagraph"/>
              <w:ind w:right="91"/>
              <w:jc w:val="right"/>
              <w:rPr>
                <w:sz w:val="19"/>
              </w:rPr>
            </w:pPr>
            <w:r>
              <w:rPr>
                <w:w w:val="111"/>
                <w:sz w:val="19"/>
              </w:rPr>
              <w:t>-</w:t>
            </w:r>
          </w:p>
        </w:tc>
        <w:tc>
          <w:tcPr>
            <w:tcW w:w="1042" w:type="dxa"/>
            <w:tcBorders>
              <w:left w:val="single" w:sz="4" w:space="0" w:color="000000"/>
              <w:bottom w:val="single" w:sz="4" w:space="0" w:color="000000"/>
              <w:right w:val="single" w:sz="4" w:space="0" w:color="000000"/>
            </w:tcBorders>
            <w:shd w:val="clear" w:color="auto" w:fill="F4F4F4"/>
          </w:tcPr>
          <w:p>
            <w:pPr>
              <w:pStyle w:val="TableParagraph"/>
              <w:ind w:right="90"/>
              <w:jc w:val="right"/>
              <w:rPr>
                <w:sz w:val="19"/>
              </w:rPr>
            </w:pPr>
            <w:r>
              <w:rPr>
                <w:w w:val="95"/>
                <w:sz w:val="19"/>
              </w:rPr>
              <w:t>54,345</w:t>
            </w:r>
          </w:p>
        </w:tc>
        <w:tc>
          <w:tcPr>
            <w:tcW w:w="1042" w:type="dxa"/>
            <w:tcBorders>
              <w:left w:val="single" w:sz="4" w:space="0" w:color="000000"/>
              <w:bottom w:val="single" w:sz="4" w:space="0" w:color="000000"/>
            </w:tcBorders>
            <w:shd w:val="clear" w:color="auto" w:fill="F4F4F4"/>
          </w:tcPr>
          <w:p>
            <w:pPr>
              <w:pStyle w:val="TableParagraph"/>
              <w:ind w:right="84"/>
              <w:jc w:val="right"/>
              <w:rPr>
                <w:sz w:val="19"/>
              </w:rPr>
            </w:pPr>
            <w:r>
              <w:rPr>
                <w:w w:val="95"/>
                <w:sz w:val="19"/>
              </w:rPr>
              <w:t>464</w:t>
            </w:r>
          </w:p>
        </w:tc>
        <w:tc>
          <w:tcPr>
            <w:tcW w:w="1042" w:type="dxa"/>
            <w:tcBorders>
              <w:bottom w:val="single" w:sz="4" w:space="0" w:color="000000"/>
            </w:tcBorders>
            <w:shd w:val="clear" w:color="auto" w:fill="F4F4F4"/>
          </w:tcPr>
          <w:p>
            <w:pPr>
              <w:pStyle w:val="TableParagraph"/>
              <w:ind w:right="83"/>
              <w:jc w:val="right"/>
              <w:rPr>
                <w:sz w:val="19"/>
              </w:rPr>
            </w:pPr>
            <w:r>
              <w:rPr>
                <w:w w:val="95"/>
                <w:sz w:val="19"/>
              </w:rPr>
              <w:t>929</w:t>
            </w:r>
          </w:p>
        </w:tc>
        <w:tc>
          <w:tcPr>
            <w:tcW w:w="1042" w:type="dxa"/>
            <w:tcBorders>
              <w:bottom w:val="single" w:sz="4" w:space="0" w:color="000000"/>
            </w:tcBorders>
            <w:shd w:val="clear" w:color="auto" w:fill="F4F4F4"/>
          </w:tcPr>
          <w:p>
            <w:pPr>
              <w:pStyle w:val="TableParagraph"/>
              <w:ind w:right="82"/>
              <w:jc w:val="right"/>
              <w:rPr>
                <w:sz w:val="19"/>
              </w:rPr>
            </w:pPr>
            <w:r>
              <w:rPr>
                <w:w w:val="95"/>
                <w:sz w:val="19"/>
              </w:rPr>
              <w:t>4,231</w:t>
            </w:r>
          </w:p>
        </w:tc>
        <w:tc>
          <w:tcPr>
            <w:tcW w:w="1042" w:type="dxa"/>
            <w:tcBorders>
              <w:bottom w:val="single" w:sz="4" w:space="0" w:color="000000"/>
            </w:tcBorders>
            <w:shd w:val="clear" w:color="auto" w:fill="F4F4F4"/>
          </w:tcPr>
          <w:p>
            <w:pPr>
              <w:pStyle w:val="TableParagraph"/>
              <w:ind w:right="82"/>
              <w:jc w:val="right"/>
              <w:rPr>
                <w:sz w:val="19"/>
              </w:rPr>
            </w:pPr>
            <w:r>
              <w:rPr>
                <w:w w:val="95"/>
                <w:sz w:val="19"/>
              </w:rPr>
              <w:t>24,686</w:t>
            </w:r>
          </w:p>
        </w:tc>
        <w:tc>
          <w:tcPr>
            <w:tcW w:w="1042" w:type="dxa"/>
            <w:tcBorders>
              <w:bottom w:val="single" w:sz="4" w:space="0" w:color="000000"/>
              <w:right w:val="nil"/>
            </w:tcBorders>
            <w:shd w:val="clear" w:color="auto" w:fill="F4F4F4"/>
          </w:tcPr>
          <w:p>
            <w:pPr>
              <w:pStyle w:val="TableParagraph"/>
              <w:ind w:right="89"/>
              <w:jc w:val="right"/>
              <w:rPr>
                <w:sz w:val="19"/>
              </w:rPr>
            </w:pPr>
            <w:r>
              <w:rPr>
                <w:w w:val="95"/>
                <w:sz w:val="19"/>
              </w:rPr>
              <w:t>24,035</w:t>
            </w:r>
          </w:p>
        </w:tc>
      </w:tr>
      <w:tr>
        <w:trPr>
          <w:trHeight w:val="258" w:hRule="atLeast"/>
        </w:trPr>
        <w:tc>
          <w:tcPr>
            <w:tcW w:w="3764" w:type="dxa"/>
            <w:tcBorders>
              <w:top w:val="nil"/>
              <w:right w:val="nil"/>
            </w:tcBorders>
            <w:shd w:val="clear" w:color="auto" w:fill="FAF9F9"/>
          </w:tcPr>
          <w:p>
            <w:pPr>
              <w:pStyle w:val="TableParagraph"/>
              <w:spacing w:before="0"/>
              <w:rPr>
                <w:rFonts w:ascii="Times New Roman"/>
                <w:sz w:val="18"/>
              </w:rPr>
            </w:pPr>
          </w:p>
        </w:tc>
        <w:tc>
          <w:tcPr>
            <w:tcW w:w="1099" w:type="dxa"/>
            <w:tcBorders>
              <w:top w:val="nil"/>
              <w:left w:val="nil"/>
              <w:right w:val="nil"/>
            </w:tcBorders>
            <w:shd w:val="clear" w:color="auto" w:fill="FAF9F9"/>
          </w:tcPr>
          <w:p>
            <w:pPr>
              <w:pStyle w:val="TableParagraph"/>
              <w:spacing w:before="0"/>
              <w:rPr>
                <w:rFonts w:ascii="Times New Roman"/>
                <w:sz w:val="18"/>
              </w:rPr>
            </w:pPr>
          </w:p>
        </w:tc>
        <w:tc>
          <w:tcPr>
            <w:tcW w:w="1042"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100"/>
              <w:jc w:val="right"/>
              <w:rPr>
                <w:b/>
                <w:sz w:val="19"/>
              </w:rPr>
            </w:pPr>
            <w:r>
              <w:rPr>
                <w:b/>
                <w:w w:val="95"/>
                <w:sz w:val="19"/>
              </w:rPr>
              <w:t>215,163</w:t>
            </w:r>
          </w:p>
        </w:tc>
        <w:tc>
          <w:tcPr>
            <w:tcW w:w="1042"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9"/>
              <w:jc w:val="right"/>
              <w:rPr>
                <w:b/>
                <w:sz w:val="19"/>
              </w:rPr>
            </w:pPr>
            <w:r>
              <w:rPr>
                <w:b/>
                <w:w w:val="95"/>
                <w:sz w:val="19"/>
              </w:rPr>
              <w:t>101,816</w:t>
            </w:r>
          </w:p>
        </w:tc>
        <w:tc>
          <w:tcPr>
            <w:tcW w:w="1042"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7"/>
              <w:jc w:val="right"/>
              <w:rPr>
                <w:b/>
                <w:sz w:val="19"/>
              </w:rPr>
            </w:pPr>
            <w:r>
              <w:rPr>
                <w:b/>
                <w:w w:val="122"/>
                <w:sz w:val="19"/>
              </w:rPr>
              <w:t>-</w:t>
            </w:r>
          </w:p>
        </w:tc>
        <w:tc>
          <w:tcPr>
            <w:tcW w:w="1042" w:type="dxa"/>
            <w:tcBorders>
              <w:top w:val="single" w:sz="4" w:space="0" w:color="000000"/>
              <w:left w:val="nil"/>
              <w:bottom w:val="single" w:sz="34" w:space="0" w:color="FFFFFF"/>
              <w:right w:val="single" w:sz="4" w:space="0" w:color="000000"/>
            </w:tcBorders>
            <w:shd w:val="clear" w:color="auto" w:fill="FAF9F9"/>
          </w:tcPr>
          <w:p>
            <w:pPr>
              <w:pStyle w:val="TableParagraph"/>
              <w:spacing w:line="201" w:lineRule="exact" w:before="37"/>
              <w:ind w:right="91"/>
              <w:jc w:val="right"/>
              <w:rPr>
                <w:b/>
                <w:sz w:val="19"/>
              </w:rPr>
            </w:pPr>
            <w:r>
              <w:rPr>
                <w:b/>
                <w:w w:val="95"/>
                <w:sz w:val="19"/>
              </w:rPr>
              <w:t>113,347</w:t>
            </w:r>
          </w:p>
        </w:tc>
        <w:tc>
          <w:tcPr>
            <w:tcW w:w="1042" w:type="dxa"/>
            <w:tcBorders>
              <w:top w:val="single" w:sz="4" w:space="0" w:color="000000"/>
              <w:left w:val="single" w:sz="4" w:space="0" w:color="000000"/>
              <w:bottom w:val="single" w:sz="34" w:space="0" w:color="FFFFFF"/>
              <w:right w:val="single" w:sz="4" w:space="0" w:color="000000"/>
            </w:tcBorders>
            <w:shd w:val="clear" w:color="auto" w:fill="FAF9F9"/>
          </w:tcPr>
          <w:p>
            <w:pPr>
              <w:pStyle w:val="TableParagraph"/>
              <w:spacing w:line="201" w:lineRule="exact" w:before="37"/>
              <w:ind w:right="90"/>
              <w:jc w:val="right"/>
              <w:rPr>
                <w:b/>
                <w:sz w:val="19"/>
              </w:rPr>
            </w:pPr>
            <w:r>
              <w:rPr>
                <w:b/>
                <w:w w:val="95"/>
                <w:sz w:val="19"/>
              </w:rPr>
              <w:t>215,163</w:t>
            </w:r>
          </w:p>
        </w:tc>
        <w:tc>
          <w:tcPr>
            <w:tcW w:w="1042" w:type="dxa"/>
            <w:tcBorders>
              <w:top w:val="single" w:sz="4" w:space="0" w:color="000000"/>
              <w:left w:val="single" w:sz="4" w:space="0" w:color="000000"/>
              <w:bottom w:val="single" w:sz="34" w:space="0" w:color="FFFFFF"/>
              <w:right w:val="nil"/>
            </w:tcBorders>
            <w:shd w:val="clear" w:color="auto" w:fill="FAF9F9"/>
          </w:tcPr>
          <w:p>
            <w:pPr>
              <w:pStyle w:val="TableParagraph"/>
              <w:spacing w:line="201" w:lineRule="exact" w:before="37"/>
              <w:ind w:right="94"/>
              <w:jc w:val="right"/>
              <w:rPr>
                <w:b/>
                <w:sz w:val="19"/>
              </w:rPr>
            </w:pPr>
            <w:r>
              <w:rPr>
                <w:b/>
                <w:w w:val="95"/>
                <w:sz w:val="19"/>
              </w:rPr>
              <w:t>115,679</w:t>
            </w:r>
          </w:p>
        </w:tc>
        <w:tc>
          <w:tcPr>
            <w:tcW w:w="1042"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3"/>
              <w:jc w:val="right"/>
              <w:rPr>
                <w:b/>
                <w:sz w:val="19"/>
              </w:rPr>
            </w:pPr>
            <w:r>
              <w:rPr>
                <w:b/>
                <w:w w:val="95"/>
                <w:sz w:val="19"/>
              </w:rPr>
              <w:t>2,862</w:t>
            </w:r>
          </w:p>
        </w:tc>
        <w:tc>
          <w:tcPr>
            <w:tcW w:w="1042"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2"/>
              <w:jc w:val="right"/>
              <w:rPr>
                <w:b/>
                <w:sz w:val="19"/>
              </w:rPr>
            </w:pPr>
            <w:r>
              <w:rPr>
                <w:b/>
                <w:w w:val="95"/>
                <w:sz w:val="19"/>
              </w:rPr>
              <w:t>18,846</w:t>
            </w:r>
          </w:p>
        </w:tc>
        <w:tc>
          <w:tcPr>
            <w:tcW w:w="1042"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1"/>
              <w:jc w:val="right"/>
              <w:rPr>
                <w:b/>
                <w:sz w:val="19"/>
              </w:rPr>
            </w:pPr>
            <w:r>
              <w:rPr>
                <w:b/>
                <w:w w:val="95"/>
                <w:sz w:val="19"/>
              </w:rPr>
              <w:t>53,741</w:t>
            </w:r>
          </w:p>
        </w:tc>
        <w:tc>
          <w:tcPr>
            <w:tcW w:w="1042"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0"/>
              <w:jc w:val="right"/>
              <w:rPr>
                <w:b/>
                <w:sz w:val="19"/>
              </w:rPr>
            </w:pPr>
            <w:r>
              <w:rPr>
                <w:b/>
                <w:w w:val="95"/>
                <w:sz w:val="19"/>
              </w:rPr>
              <w:t>24,035</w:t>
            </w:r>
          </w:p>
        </w:tc>
      </w:tr>
    </w:tbl>
    <w:p>
      <w:pPr>
        <w:pStyle w:val="BodyText"/>
        <w:spacing w:line="20" w:lineRule="exact"/>
        <w:ind w:left="12936"/>
        <w:rPr>
          <w:sz w:val="2"/>
        </w:rPr>
      </w:pPr>
      <w:r>
        <w:rPr>
          <w:sz w:val="2"/>
        </w:rPr>
        <w:pict>
          <v:group style="width:156.5pt;height:.550pt;mso-position-horizontal-relative:char;mso-position-vertical-relative:line" coordorigin="0,0" coordsize="3130,11">
            <v:line style="position:absolute" from="0,5" to="1043,5" stroked="true" strokeweight=".501pt" strokecolor="#000000">
              <v:stroke dashstyle="solid"/>
            </v:line>
            <v:line style="position:absolute" from="1043,5" to="2086,5" stroked="true" strokeweight=".501pt" strokecolor="#000000">
              <v:stroke dashstyle="solid"/>
            </v:line>
            <v:line style="position:absolute" from="2086,5" to="3129,5" stroked="true" strokeweight=".501pt" strokecolor="#000000">
              <v:stroke dashstyle="solid"/>
            </v:line>
          </v:group>
        </w:pict>
      </w:r>
      <w:r>
        <w:rPr>
          <w:sz w:val="2"/>
        </w:rPr>
      </w:r>
    </w:p>
    <w:p>
      <w:pPr>
        <w:pStyle w:val="ListParagraph"/>
        <w:numPr>
          <w:ilvl w:val="0"/>
          <w:numId w:val="18"/>
        </w:numPr>
        <w:tabs>
          <w:tab w:pos="958" w:val="left" w:leader="none"/>
        </w:tabs>
        <w:spacing w:line="240" w:lineRule="auto" w:before="85" w:after="0"/>
        <w:ind w:left="957" w:right="0" w:hanging="192"/>
        <w:jc w:val="left"/>
        <w:rPr>
          <w:sz w:val="15"/>
        </w:rPr>
      </w:pPr>
      <w:r>
        <w:rPr>
          <w:sz w:val="15"/>
        </w:rPr>
        <w:t>The amount of receivables excludes GST recoverable from the </w:t>
      </w:r>
      <w:r>
        <w:rPr>
          <w:spacing w:val="-4"/>
          <w:sz w:val="15"/>
        </w:rPr>
        <w:t>ATO </w:t>
      </w:r>
      <w:r>
        <w:rPr>
          <w:sz w:val="15"/>
        </w:rPr>
        <w:t>(statutory</w:t>
      </w:r>
      <w:r>
        <w:rPr>
          <w:spacing w:val="-8"/>
          <w:sz w:val="15"/>
        </w:rPr>
        <w:t> </w:t>
      </w:r>
      <w:r>
        <w:rPr>
          <w:sz w:val="15"/>
        </w:rPr>
        <w:t>receivable).</w:t>
      </w:r>
    </w:p>
    <w:p>
      <w:pPr>
        <w:pStyle w:val="ListParagraph"/>
        <w:numPr>
          <w:ilvl w:val="0"/>
          <w:numId w:val="18"/>
        </w:numPr>
        <w:tabs>
          <w:tab w:pos="966" w:val="left" w:leader="none"/>
        </w:tabs>
        <w:spacing w:line="240" w:lineRule="auto" w:before="28" w:after="0"/>
        <w:ind w:left="965" w:right="0" w:hanging="200"/>
        <w:jc w:val="left"/>
        <w:rPr>
          <w:sz w:val="15"/>
        </w:rPr>
      </w:pPr>
      <w:r>
        <w:rPr>
          <w:sz w:val="15"/>
        </w:rPr>
        <w:t>The amount of payables excludes GST payable to the </w:t>
      </w:r>
      <w:r>
        <w:rPr>
          <w:spacing w:val="-4"/>
          <w:sz w:val="15"/>
        </w:rPr>
        <w:t>ATO </w:t>
      </w:r>
      <w:r>
        <w:rPr>
          <w:sz w:val="15"/>
        </w:rPr>
        <w:t>(statutory</w:t>
      </w:r>
      <w:r>
        <w:rPr>
          <w:spacing w:val="-5"/>
          <w:sz w:val="15"/>
        </w:rPr>
        <w:t> </w:t>
      </w:r>
      <w:r>
        <w:rPr>
          <w:sz w:val="15"/>
        </w:rPr>
        <w:t>payable).</w:t>
      </w:r>
    </w:p>
    <w:p>
      <w:pPr>
        <w:spacing w:after="0" w:line="240" w:lineRule="auto"/>
        <w:jc w:val="left"/>
        <w:rPr>
          <w:sz w:val="15"/>
        </w:rPr>
        <w:sectPr>
          <w:footerReference w:type="default" r:id="rId224"/>
          <w:pgSz w:w="16840" w:h="11910" w:orient="landscape"/>
          <w:pgMar w:footer="448" w:header="0" w:top="0" w:bottom="64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5"/>
        <w:rPr>
          <w:sz w:val="21"/>
        </w:rPr>
      </w:pPr>
    </w:p>
    <w:p>
      <w:pPr>
        <w:pStyle w:val="Heading1"/>
      </w:pPr>
      <w:r>
        <w:rPr/>
        <w:pict>
          <v:group style="position:absolute;margin-left:763.172119pt;margin-top:-3.594212pt;width:61.1pt;height:45.2pt;mso-position-horizontal-relative:page;mso-position-vertical-relative:paragraph;z-index:22312"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120.3pt;height:42.55pt;mso-position-horizontal-relative:page;mso-position-vertical-relative:paragraph;z-index:22360" coordorigin="0,-1147" coordsize="2406,851">
            <v:rect style="position:absolute;left:0;top:-1148;width:2406;height:851" filled="true" fillcolor="#aebd37" stroked="false">
              <v:fill type="solid"/>
            </v:rect>
            <v:line style="position:absolute" from="0,-1147" to="0,-297" stroked="true" strokeweight="0pt" strokecolor="#aebd37">
              <v:stroke dashstyle="solid"/>
            </v:line>
            <v:shape style="position:absolute;left:0;top:-1148;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7421pt;width:360.85pt;height:42.55pt;mso-position-horizontal-relative:page;mso-position-vertical-relative:paragraph;z-index:22456" coordorigin="9622,-1147" coordsize="7217,851">
            <v:rect style="position:absolute;left:14432;top:-1148;width:2406;height:851" filled="true" fillcolor="#aebd37"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8;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8;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11"/>
      </w:pPr>
    </w:p>
    <w:p>
      <w:pPr>
        <w:spacing w:before="107" w:after="45"/>
        <w:ind w:left="785" w:right="0" w:firstLine="0"/>
        <w:jc w:val="left"/>
        <w:rPr>
          <w:b/>
          <w:sz w:val="19"/>
        </w:rPr>
      </w:pPr>
      <w:r>
        <w:rPr>
          <w:b/>
          <w:sz w:val="19"/>
        </w:rPr>
        <w:t>Interest rate exposure and maturity analysis of financial assets and financials liabilities</w:t>
      </w: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197"/>
        <w:gridCol w:w="1099"/>
        <w:gridCol w:w="1156"/>
        <w:gridCol w:w="1043"/>
        <w:gridCol w:w="1156"/>
        <w:gridCol w:w="1156"/>
        <w:gridCol w:w="1156"/>
        <w:gridCol w:w="1156"/>
        <w:gridCol w:w="986"/>
        <w:gridCol w:w="1043"/>
        <w:gridCol w:w="1043"/>
        <w:gridCol w:w="1100"/>
      </w:tblGrid>
      <w:tr>
        <w:trPr>
          <w:trHeight w:val="1448" w:hRule="atLeast"/>
        </w:trPr>
        <w:tc>
          <w:tcPr>
            <w:tcW w:w="8807" w:type="dxa"/>
            <w:gridSpan w:val="6"/>
            <w:tcBorders>
              <w:top w:val="nil"/>
              <w:bottom w:val="nil"/>
              <w:right w:val="single" w:sz="4" w:space="0" w:color="000000"/>
            </w:tcBorders>
            <w:shd w:val="clear" w:color="auto" w:fill="783A79"/>
          </w:tcPr>
          <w:p>
            <w:pPr>
              <w:pStyle w:val="TableParagraph"/>
              <w:tabs>
                <w:tab w:pos="6134" w:val="left" w:leader="none"/>
              </w:tabs>
              <w:spacing w:before="42"/>
              <w:ind w:left="3332"/>
              <w:rPr>
                <w:b/>
                <w:sz w:val="19"/>
              </w:rPr>
            </w:pPr>
            <w:r>
              <w:rPr>
                <w:b/>
                <w:color w:val="FFFFFF"/>
                <w:sz w:val="19"/>
              </w:rPr>
              <w:t>Weighted</w:t>
              <w:tab/>
              <w:t>Interest rate</w:t>
            </w:r>
            <w:r>
              <w:rPr>
                <w:b/>
                <w:color w:val="FFFFFF"/>
                <w:spacing w:val="1"/>
                <w:sz w:val="19"/>
              </w:rPr>
              <w:t> </w:t>
            </w:r>
            <w:r>
              <w:rPr>
                <w:b/>
                <w:color w:val="FFFFFF"/>
                <w:sz w:val="19"/>
              </w:rPr>
              <w:t>exposure</w:t>
            </w:r>
          </w:p>
          <w:p>
            <w:pPr>
              <w:pStyle w:val="TableParagraph"/>
              <w:tabs>
                <w:tab w:pos="5866" w:val="left" w:leader="none"/>
                <w:tab w:pos="7023" w:val="left" w:leader="none"/>
                <w:tab w:pos="8249" w:val="left" w:leader="none"/>
              </w:tabs>
              <w:spacing w:line="172" w:lineRule="auto" w:before="59"/>
              <w:ind w:left="3395" w:right="93" w:firstLine="45"/>
              <w:jc w:val="both"/>
              <w:rPr>
                <w:b/>
                <w:sz w:val="19"/>
              </w:rPr>
            </w:pPr>
            <w:r>
              <w:rPr>
                <w:b/>
                <w:color w:val="FFFFFF"/>
                <w:position w:val="10"/>
                <w:sz w:val="19"/>
              </w:rPr>
              <w:t>Average       </w:t>
            </w:r>
            <w:r>
              <w:rPr>
                <w:b/>
                <w:color w:val="FFFFFF"/>
                <w:sz w:val="19"/>
              </w:rPr>
              <w:t>Carrying         </w:t>
            </w:r>
            <w:r>
              <w:rPr>
                <w:b/>
                <w:color w:val="FFFFFF"/>
                <w:spacing w:val="15"/>
                <w:sz w:val="19"/>
              </w:rPr>
              <w:t> </w:t>
            </w:r>
            <w:r>
              <w:rPr>
                <w:b/>
                <w:color w:val="FFFFFF"/>
                <w:sz w:val="19"/>
              </w:rPr>
              <w:t>Fixed      </w:t>
            </w:r>
            <w:r>
              <w:rPr>
                <w:b/>
                <w:color w:val="FFFFFF"/>
                <w:spacing w:val="51"/>
                <w:sz w:val="19"/>
              </w:rPr>
              <w:t> </w:t>
            </w:r>
            <w:r>
              <w:rPr>
                <w:b/>
                <w:color w:val="FFFFFF"/>
                <w:sz w:val="19"/>
              </w:rPr>
              <w:t>Variable</w:t>
              <w:tab/>
            </w:r>
            <w:r>
              <w:rPr>
                <w:b/>
                <w:color w:val="FFFFFF"/>
                <w:spacing w:val="-5"/>
                <w:sz w:val="19"/>
              </w:rPr>
              <w:t>Non- </w:t>
            </w:r>
            <w:r>
              <w:rPr>
                <w:b/>
                <w:color w:val="FFFFFF"/>
                <w:position w:val="10"/>
                <w:sz w:val="19"/>
              </w:rPr>
              <w:t>Effective     </w:t>
            </w:r>
            <w:r>
              <w:rPr>
                <w:b/>
                <w:color w:val="FFFFFF"/>
                <w:sz w:val="19"/>
              </w:rPr>
              <w:t>Amount     Interest     Interest     </w:t>
            </w:r>
            <w:r>
              <w:rPr>
                <w:b/>
                <w:color w:val="FFFFFF"/>
                <w:spacing w:val="-3"/>
                <w:sz w:val="19"/>
              </w:rPr>
              <w:t>Interest </w:t>
            </w:r>
            <w:r>
              <w:rPr>
                <w:b/>
                <w:color w:val="FFFFFF"/>
                <w:position w:val="10"/>
                <w:sz w:val="19"/>
              </w:rPr>
              <w:t>Interest</w:t>
              <w:tab/>
            </w:r>
            <w:r>
              <w:rPr>
                <w:b/>
                <w:color w:val="FFFFFF"/>
                <w:sz w:val="19"/>
              </w:rPr>
              <w:t>Rate</w:t>
              <w:tab/>
              <w:t>Rate</w:t>
            </w:r>
            <w:r>
              <w:rPr>
                <w:b/>
                <w:color w:val="FFFFFF"/>
                <w:spacing w:val="35"/>
                <w:sz w:val="19"/>
              </w:rPr>
              <w:t> </w:t>
            </w:r>
            <w:r>
              <w:rPr>
                <w:b/>
                <w:color w:val="FFFFFF"/>
                <w:sz w:val="19"/>
              </w:rPr>
              <w:t>Bearing</w:t>
            </w:r>
          </w:p>
          <w:p>
            <w:pPr>
              <w:pStyle w:val="TableParagraph"/>
              <w:spacing w:line="81" w:lineRule="exact" w:before="0"/>
              <w:ind w:left="3737" w:right="4582"/>
              <w:jc w:val="center"/>
              <w:rPr>
                <w:b/>
                <w:sz w:val="19"/>
              </w:rPr>
            </w:pPr>
            <w:r>
              <w:rPr>
                <w:b/>
                <w:color w:val="FFFFFF"/>
                <w:w w:val="105"/>
                <w:sz w:val="19"/>
              </w:rPr>
              <w:t>Rate</w:t>
            </w:r>
          </w:p>
          <w:p>
            <w:pPr>
              <w:pStyle w:val="TableParagraph"/>
              <w:tabs>
                <w:tab w:pos="4917" w:val="left" w:leader="none"/>
                <w:tab w:pos="5961" w:val="left" w:leader="none"/>
                <w:tab w:pos="7117" w:val="left" w:leader="none"/>
                <w:tab w:pos="8274" w:val="left" w:leader="none"/>
              </w:tabs>
              <w:spacing w:before="13"/>
              <w:ind w:left="3993"/>
              <w:rPr>
                <w:b/>
                <w:sz w:val="19"/>
              </w:rPr>
            </w:pPr>
            <w:r>
              <w:rPr>
                <w:b/>
                <w:color w:val="FFFFFF"/>
                <w:sz w:val="19"/>
              </w:rPr>
              <w:t>%</w:t>
              <w:tab/>
              <w:t>$000</w:t>
              <w:tab/>
              <w:t>$000</w:t>
              <w:tab/>
              <w:t>$000</w:t>
              <w:tab/>
              <w:t>$000</w:t>
            </w:r>
          </w:p>
        </w:tc>
        <w:tc>
          <w:tcPr>
            <w:tcW w:w="1156" w:type="dxa"/>
            <w:tcBorders>
              <w:top w:val="nil"/>
              <w:left w:val="single" w:sz="4" w:space="0" w:color="000000"/>
              <w:bottom w:val="nil"/>
              <w:right w:val="single" w:sz="4" w:space="0" w:color="000000"/>
            </w:tcBorders>
            <w:shd w:val="clear" w:color="auto" w:fill="783A79"/>
          </w:tcPr>
          <w:p>
            <w:pPr>
              <w:pStyle w:val="TableParagraph"/>
              <w:spacing w:before="1"/>
              <w:rPr>
                <w:b/>
                <w:sz w:val="32"/>
              </w:rPr>
            </w:pPr>
          </w:p>
          <w:p>
            <w:pPr>
              <w:pStyle w:val="TableParagraph"/>
              <w:spacing w:line="249" w:lineRule="auto" w:before="0"/>
              <w:ind w:left="340" w:right="75" w:hanging="39"/>
              <w:rPr>
                <w:b/>
                <w:sz w:val="19"/>
              </w:rPr>
            </w:pPr>
            <w:r>
              <w:rPr>
                <w:b/>
                <w:color w:val="FFFFFF"/>
                <w:sz w:val="19"/>
              </w:rPr>
              <w:t>Nominal </w:t>
            </w:r>
            <w:r>
              <w:rPr>
                <w:b/>
                <w:color w:val="FFFFFF"/>
                <w:w w:val="95"/>
                <w:sz w:val="19"/>
              </w:rPr>
              <w:t>Amount</w:t>
            </w:r>
          </w:p>
          <w:p>
            <w:pPr>
              <w:pStyle w:val="TableParagraph"/>
              <w:spacing w:before="5"/>
              <w:rPr>
                <w:b/>
                <w:sz w:val="31"/>
              </w:rPr>
            </w:pPr>
          </w:p>
          <w:p>
            <w:pPr>
              <w:pStyle w:val="TableParagraph"/>
              <w:spacing w:before="1"/>
              <w:ind w:left="628"/>
              <w:rPr>
                <w:b/>
                <w:sz w:val="19"/>
              </w:rPr>
            </w:pPr>
            <w:r>
              <w:rPr>
                <w:b/>
                <w:color w:val="FFFFFF"/>
                <w:sz w:val="19"/>
              </w:rPr>
              <w:t>$000</w:t>
            </w:r>
          </w:p>
        </w:tc>
        <w:tc>
          <w:tcPr>
            <w:tcW w:w="1156" w:type="dxa"/>
            <w:tcBorders>
              <w:top w:val="nil"/>
              <w:left w:val="single" w:sz="4" w:space="0" w:color="000000"/>
              <w:bottom w:val="nil"/>
              <w:right w:val="nil"/>
            </w:tcBorders>
            <w:shd w:val="clear" w:color="auto" w:fill="783A79"/>
          </w:tcPr>
          <w:p>
            <w:pPr>
              <w:pStyle w:val="TableParagraph"/>
              <w:spacing w:before="1"/>
              <w:rPr>
                <w:b/>
                <w:sz w:val="32"/>
              </w:rPr>
            </w:pPr>
          </w:p>
          <w:p>
            <w:pPr>
              <w:pStyle w:val="TableParagraph"/>
              <w:spacing w:line="249" w:lineRule="auto" w:before="0"/>
              <w:ind w:left="471" w:right="79" w:hanging="71"/>
              <w:rPr>
                <w:b/>
                <w:sz w:val="19"/>
              </w:rPr>
            </w:pPr>
            <w:r>
              <w:rPr>
                <w:b/>
                <w:color w:val="FFFFFF"/>
                <w:sz w:val="19"/>
              </w:rPr>
              <w:t>Up to </w:t>
            </w:r>
            <w:r>
              <w:rPr>
                <w:b/>
                <w:color w:val="FFFFFF"/>
                <w:spacing w:val="-18"/>
                <w:sz w:val="19"/>
              </w:rPr>
              <w:t>1 </w:t>
            </w:r>
            <w:r>
              <w:rPr>
                <w:b/>
                <w:color w:val="FFFFFF"/>
                <w:sz w:val="19"/>
              </w:rPr>
              <w:t>month</w:t>
            </w:r>
          </w:p>
          <w:p>
            <w:pPr>
              <w:pStyle w:val="TableParagraph"/>
              <w:spacing w:before="5"/>
              <w:rPr>
                <w:b/>
                <w:sz w:val="31"/>
              </w:rPr>
            </w:pPr>
          </w:p>
          <w:p>
            <w:pPr>
              <w:pStyle w:val="TableParagraph"/>
              <w:spacing w:before="1"/>
              <w:ind w:left="629"/>
              <w:rPr>
                <w:b/>
                <w:sz w:val="19"/>
              </w:rPr>
            </w:pPr>
            <w:r>
              <w:rPr>
                <w:b/>
                <w:color w:val="FFFFFF"/>
                <w:sz w:val="19"/>
              </w:rPr>
              <w:t>$000</w:t>
            </w:r>
          </w:p>
        </w:tc>
        <w:tc>
          <w:tcPr>
            <w:tcW w:w="3072" w:type="dxa"/>
            <w:gridSpan w:val="3"/>
            <w:tcBorders>
              <w:top w:val="nil"/>
              <w:left w:val="nil"/>
              <w:bottom w:val="nil"/>
              <w:right w:val="nil"/>
            </w:tcBorders>
            <w:shd w:val="clear" w:color="auto" w:fill="783A79"/>
          </w:tcPr>
          <w:p>
            <w:pPr>
              <w:pStyle w:val="TableParagraph"/>
              <w:spacing w:before="42"/>
              <w:ind w:left="869"/>
              <w:rPr>
                <w:b/>
                <w:sz w:val="19"/>
              </w:rPr>
            </w:pPr>
            <w:r>
              <w:rPr>
                <w:b/>
                <w:color w:val="FFFFFF"/>
                <w:sz w:val="19"/>
              </w:rPr>
              <w:t>Maturity dates</w:t>
            </w:r>
          </w:p>
          <w:p>
            <w:pPr>
              <w:pStyle w:val="TableParagraph"/>
              <w:tabs>
                <w:tab w:pos="1824" w:val="left" w:leader="none"/>
                <w:tab w:pos="2684" w:val="left" w:leader="none"/>
              </w:tabs>
              <w:spacing w:before="109"/>
              <w:ind w:left="598"/>
              <w:rPr>
                <w:b/>
                <w:sz w:val="19"/>
              </w:rPr>
            </w:pPr>
            <w:r>
              <w:rPr>
                <w:b/>
                <w:color w:val="FFFFFF"/>
                <w:w w:val="105"/>
                <w:sz w:val="19"/>
              </w:rPr>
              <w:t>1-3</w:t>
              <w:tab/>
              <w:t>3</w:t>
              <w:tab/>
              <w:t>1-5</w:t>
            </w:r>
          </w:p>
          <w:p>
            <w:pPr>
              <w:pStyle w:val="TableParagraph"/>
              <w:tabs>
                <w:tab w:pos="1247" w:val="left" w:leader="none"/>
                <w:tab w:pos="2480" w:val="left" w:leader="none"/>
              </w:tabs>
              <w:spacing w:line="249" w:lineRule="auto" w:before="9"/>
              <w:ind w:left="204" w:right="96"/>
              <w:jc w:val="center"/>
              <w:rPr>
                <w:b/>
                <w:sz w:val="19"/>
              </w:rPr>
            </w:pPr>
            <w:r>
              <w:rPr>
                <w:b/>
                <w:color w:val="FFFFFF"/>
                <w:sz w:val="19"/>
              </w:rPr>
              <w:t>months</w:t>
              <w:tab/>
              <w:t>months</w:t>
              <w:tab/>
            </w:r>
            <w:r>
              <w:rPr>
                <w:b/>
                <w:color w:val="FFFFFF"/>
                <w:spacing w:val="-4"/>
                <w:sz w:val="19"/>
              </w:rPr>
              <w:t>years </w:t>
            </w:r>
            <w:r>
              <w:rPr>
                <w:b/>
                <w:color w:val="FFFFFF"/>
                <w:sz w:val="19"/>
              </w:rPr>
              <w:t>to 1 year</w:t>
            </w:r>
          </w:p>
          <w:p>
            <w:pPr>
              <w:pStyle w:val="TableParagraph"/>
              <w:tabs>
                <w:tab w:pos="1409" w:val="left" w:leader="none"/>
                <w:tab w:pos="2452" w:val="left" w:leader="none"/>
              </w:tabs>
              <w:spacing w:before="134"/>
              <w:ind w:left="366"/>
              <w:jc w:val="center"/>
              <w:rPr>
                <w:b/>
                <w:sz w:val="19"/>
              </w:rPr>
            </w:pPr>
            <w:r>
              <w:rPr>
                <w:b/>
                <w:color w:val="FFFFFF"/>
                <w:sz w:val="19"/>
              </w:rPr>
              <w:t>$000</w:t>
              <w:tab/>
              <w:t>$000</w:t>
              <w:tab/>
              <w:t>$000</w:t>
            </w:r>
          </w:p>
        </w:tc>
        <w:tc>
          <w:tcPr>
            <w:tcW w:w="1100" w:type="dxa"/>
            <w:tcBorders>
              <w:top w:val="nil"/>
              <w:left w:val="nil"/>
              <w:bottom w:val="nil"/>
              <w:right w:val="nil"/>
            </w:tcBorders>
            <w:shd w:val="clear" w:color="auto" w:fill="783A79"/>
          </w:tcPr>
          <w:p>
            <w:pPr>
              <w:pStyle w:val="TableParagraph"/>
              <w:spacing w:before="1"/>
              <w:rPr>
                <w:b/>
                <w:sz w:val="32"/>
              </w:rPr>
            </w:pPr>
          </w:p>
          <w:p>
            <w:pPr>
              <w:pStyle w:val="TableParagraph"/>
              <w:spacing w:line="249" w:lineRule="auto" w:before="0"/>
              <w:ind w:left="441" w:right="96" w:firstLine="91"/>
              <w:jc w:val="both"/>
              <w:rPr>
                <w:b/>
                <w:sz w:val="19"/>
              </w:rPr>
            </w:pPr>
            <w:r>
              <w:rPr>
                <w:b/>
                <w:color w:val="FFFFFF"/>
                <w:sz w:val="19"/>
              </w:rPr>
              <w:t>More than 5 years</w:t>
            </w:r>
          </w:p>
          <w:p>
            <w:pPr>
              <w:pStyle w:val="TableParagraph"/>
              <w:spacing w:before="135"/>
              <w:ind w:left="578"/>
              <w:rPr>
                <w:b/>
                <w:sz w:val="19"/>
              </w:rPr>
            </w:pPr>
            <w:r>
              <w:rPr>
                <w:b/>
                <w:color w:val="FFFFFF"/>
                <w:sz w:val="19"/>
              </w:rPr>
              <w:t>$000</w:t>
            </w:r>
          </w:p>
        </w:tc>
      </w:tr>
      <w:tr>
        <w:trPr>
          <w:trHeight w:val="601" w:hRule="atLeast"/>
        </w:trPr>
        <w:tc>
          <w:tcPr>
            <w:tcW w:w="3197" w:type="dxa"/>
            <w:tcBorders>
              <w:top w:val="nil"/>
            </w:tcBorders>
            <w:shd w:val="clear" w:color="auto" w:fill="FAF9F9"/>
          </w:tcPr>
          <w:p>
            <w:pPr>
              <w:pStyle w:val="TableParagraph"/>
              <w:spacing w:before="42"/>
              <w:ind w:left="113"/>
              <w:rPr>
                <w:b/>
                <w:sz w:val="19"/>
              </w:rPr>
            </w:pPr>
            <w:r>
              <w:rPr>
                <w:b/>
                <w:sz w:val="19"/>
              </w:rPr>
              <w:t>2016</w:t>
            </w:r>
          </w:p>
          <w:p>
            <w:pPr>
              <w:pStyle w:val="TableParagraph"/>
              <w:spacing w:before="87"/>
              <w:ind w:left="113"/>
              <w:rPr>
                <w:i/>
                <w:sz w:val="19"/>
              </w:rPr>
            </w:pPr>
            <w:r>
              <w:rPr>
                <w:i/>
                <w:color w:val="A7BE39"/>
                <w:sz w:val="19"/>
              </w:rPr>
              <w:t>Financial Assets</w:t>
            </w:r>
          </w:p>
        </w:tc>
        <w:tc>
          <w:tcPr>
            <w:tcW w:w="1099" w:type="dxa"/>
            <w:tcBorders>
              <w:top w:val="nil"/>
            </w:tcBorders>
            <w:shd w:val="clear" w:color="auto" w:fill="FAF9F9"/>
          </w:tcPr>
          <w:p>
            <w:pPr>
              <w:pStyle w:val="TableParagraph"/>
              <w:spacing w:before="0"/>
              <w:rPr>
                <w:rFonts w:ascii="Times New Roman"/>
                <w:sz w:val="18"/>
              </w:rPr>
            </w:pPr>
          </w:p>
        </w:tc>
        <w:tc>
          <w:tcPr>
            <w:tcW w:w="1156" w:type="dxa"/>
            <w:tcBorders>
              <w:top w:val="nil"/>
            </w:tcBorders>
            <w:shd w:val="clear" w:color="auto" w:fill="FAF9F9"/>
          </w:tcPr>
          <w:p>
            <w:pPr>
              <w:pStyle w:val="TableParagraph"/>
              <w:spacing w:before="0"/>
              <w:rPr>
                <w:rFonts w:ascii="Times New Roman"/>
                <w:sz w:val="18"/>
              </w:rPr>
            </w:pPr>
          </w:p>
        </w:tc>
        <w:tc>
          <w:tcPr>
            <w:tcW w:w="1043" w:type="dxa"/>
            <w:tcBorders>
              <w:top w:val="nil"/>
            </w:tcBorders>
            <w:shd w:val="clear" w:color="auto" w:fill="FAF9F9"/>
          </w:tcPr>
          <w:p>
            <w:pPr>
              <w:pStyle w:val="TableParagraph"/>
              <w:spacing w:before="0"/>
              <w:rPr>
                <w:rFonts w:ascii="Times New Roman"/>
                <w:sz w:val="18"/>
              </w:rPr>
            </w:pPr>
          </w:p>
        </w:tc>
        <w:tc>
          <w:tcPr>
            <w:tcW w:w="1156" w:type="dxa"/>
            <w:tcBorders>
              <w:top w:val="nil"/>
            </w:tcBorders>
            <w:shd w:val="clear" w:color="auto" w:fill="FAF9F9"/>
          </w:tcPr>
          <w:p>
            <w:pPr>
              <w:pStyle w:val="TableParagraph"/>
              <w:spacing w:before="0"/>
              <w:rPr>
                <w:rFonts w:ascii="Times New Roman"/>
                <w:sz w:val="18"/>
              </w:rPr>
            </w:pPr>
          </w:p>
        </w:tc>
        <w:tc>
          <w:tcPr>
            <w:tcW w:w="1156" w:type="dxa"/>
            <w:tcBorders>
              <w:top w:val="nil"/>
              <w:right w:val="single" w:sz="4" w:space="0" w:color="000000"/>
            </w:tcBorders>
            <w:shd w:val="clear" w:color="auto" w:fill="FAF9F9"/>
          </w:tcPr>
          <w:p>
            <w:pPr>
              <w:pStyle w:val="TableParagraph"/>
              <w:spacing w:before="0"/>
              <w:rPr>
                <w:rFonts w:ascii="Times New Roman"/>
                <w:sz w:val="18"/>
              </w:rPr>
            </w:pPr>
          </w:p>
        </w:tc>
        <w:tc>
          <w:tcPr>
            <w:tcW w:w="1156" w:type="dxa"/>
            <w:tcBorders>
              <w:top w:val="nil"/>
              <w:left w:val="single" w:sz="4" w:space="0" w:color="000000"/>
              <w:right w:val="single" w:sz="4" w:space="0" w:color="000000"/>
            </w:tcBorders>
            <w:shd w:val="clear" w:color="auto" w:fill="FAF9F9"/>
          </w:tcPr>
          <w:p>
            <w:pPr>
              <w:pStyle w:val="TableParagraph"/>
              <w:spacing w:before="0"/>
              <w:rPr>
                <w:rFonts w:ascii="Times New Roman"/>
                <w:sz w:val="18"/>
              </w:rPr>
            </w:pPr>
          </w:p>
        </w:tc>
        <w:tc>
          <w:tcPr>
            <w:tcW w:w="1156" w:type="dxa"/>
            <w:tcBorders>
              <w:top w:val="nil"/>
              <w:left w:val="single" w:sz="4" w:space="0" w:color="000000"/>
            </w:tcBorders>
            <w:shd w:val="clear" w:color="auto" w:fill="FAF9F9"/>
          </w:tcPr>
          <w:p>
            <w:pPr>
              <w:pStyle w:val="TableParagraph"/>
              <w:spacing w:before="0"/>
              <w:rPr>
                <w:rFonts w:ascii="Times New Roman"/>
                <w:sz w:val="18"/>
              </w:rPr>
            </w:pPr>
          </w:p>
        </w:tc>
        <w:tc>
          <w:tcPr>
            <w:tcW w:w="986" w:type="dxa"/>
            <w:tcBorders>
              <w:top w:val="nil"/>
            </w:tcBorders>
            <w:shd w:val="clear" w:color="auto" w:fill="FAF9F9"/>
          </w:tcPr>
          <w:p>
            <w:pPr>
              <w:pStyle w:val="TableParagraph"/>
              <w:spacing w:before="0"/>
              <w:rPr>
                <w:rFonts w:ascii="Times New Roman"/>
                <w:sz w:val="18"/>
              </w:rPr>
            </w:pPr>
          </w:p>
        </w:tc>
        <w:tc>
          <w:tcPr>
            <w:tcW w:w="1043" w:type="dxa"/>
            <w:tcBorders>
              <w:top w:val="nil"/>
            </w:tcBorders>
            <w:shd w:val="clear" w:color="auto" w:fill="FAF9F9"/>
          </w:tcPr>
          <w:p>
            <w:pPr>
              <w:pStyle w:val="TableParagraph"/>
              <w:spacing w:before="0"/>
              <w:rPr>
                <w:rFonts w:ascii="Times New Roman"/>
                <w:sz w:val="18"/>
              </w:rPr>
            </w:pPr>
          </w:p>
        </w:tc>
        <w:tc>
          <w:tcPr>
            <w:tcW w:w="1043" w:type="dxa"/>
            <w:tcBorders>
              <w:top w:val="nil"/>
            </w:tcBorders>
            <w:shd w:val="clear" w:color="auto" w:fill="FAF9F9"/>
          </w:tcPr>
          <w:p>
            <w:pPr>
              <w:pStyle w:val="TableParagraph"/>
              <w:spacing w:before="0"/>
              <w:rPr>
                <w:rFonts w:ascii="Times New Roman"/>
                <w:sz w:val="18"/>
              </w:rPr>
            </w:pPr>
          </w:p>
        </w:tc>
        <w:tc>
          <w:tcPr>
            <w:tcW w:w="1100" w:type="dxa"/>
            <w:tcBorders>
              <w:top w:val="nil"/>
              <w:right w:val="nil"/>
            </w:tcBorders>
            <w:shd w:val="clear" w:color="auto" w:fill="FAF9F9"/>
          </w:tcPr>
          <w:p>
            <w:pPr>
              <w:pStyle w:val="TableParagraph"/>
              <w:spacing w:before="0"/>
              <w:rPr>
                <w:rFonts w:ascii="Times New Roman"/>
                <w:sz w:val="18"/>
              </w:rPr>
            </w:pPr>
          </w:p>
        </w:tc>
      </w:tr>
      <w:tr>
        <w:trPr>
          <w:trHeight w:val="591" w:hRule="atLeast"/>
        </w:trPr>
        <w:tc>
          <w:tcPr>
            <w:tcW w:w="3197" w:type="dxa"/>
            <w:shd w:val="clear" w:color="auto" w:fill="FAF9F9"/>
          </w:tcPr>
          <w:p>
            <w:pPr>
              <w:pStyle w:val="TableParagraph"/>
              <w:ind w:left="113"/>
              <w:rPr>
                <w:sz w:val="19"/>
              </w:rPr>
            </w:pPr>
            <w:r>
              <w:rPr>
                <w:sz w:val="19"/>
              </w:rPr>
              <w:t>Cash and cash equivalents</w:t>
            </w:r>
          </w:p>
          <w:p>
            <w:pPr>
              <w:pStyle w:val="TableParagraph"/>
              <w:spacing w:before="87"/>
              <w:ind w:left="113"/>
              <w:rPr>
                <w:sz w:val="19"/>
              </w:rPr>
            </w:pPr>
            <w:r>
              <w:rPr>
                <w:spacing w:val="-3"/>
                <w:sz w:val="19"/>
              </w:rPr>
              <w:t>Restricted cash </w:t>
            </w:r>
            <w:r>
              <w:rPr>
                <w:sz w:val="19"/>
              </w:rPr>
              <w:t>and </w:t>
            </w:r>
            <w:r>
              <w:rPr>
                <w:spacing w:val="-3"/>
                <w:sz w:val="19"/>
              </w:rPr>
              <w:t>cash equivalents</w:t>
            </w:r>
          </w:p>
        </w:tc>
        <w:tc>
          <w:tcPr>
            <w:tcW w:w="1099" w:type="dxa"/>
            <w:shd w:val="clear" w:color="auto" w:fill="FAF9F9"/>
          </w:tcPr>
          <w:p>
            <w:pPr>
              <w:pStyle w:val="TableParagraph"/>
              <w:ind w:right="89"/>
              <w:jc w:val="right"/>
              <w:rPr>
                <w:sz w:val="19"/>
              </w:rPr>
            </w:pPr>
            <w:r>
              <w:rPr>
                <w:w w:val="95"/>
                <w:sz w:val="19"/>
              </w:rPr>
              <w:t>2.26</w:t>
            </w:r>
          </w:p>
          <w:p>
            <w:pPr>
              <w:pStyle w:val="TableParagraph"/>
              <w:spacing w:before="87"/>
              <w:ind w:right="89"/>
              <w:jc w:val="right"/>
              <w:rPr>
                <w:sz w:val="19"/>
              </w:rPr>
            </w:pPr>
            <w:r>
              <w:rPr>
                <w:w w:val="111"/>
                <w:sz w:val="19"/>
              </w:rPr>
              <w:t>-</w:t>
            </w:r>
          </w:p>
        </w:tc>
        <w:tc>
          <w:tcPr>
            <w:tcW w:w="1156" w:type="dxa"/>
            <w:shd w:val="clear" w:color="auto" w:fill="FAF9F9"/>
          </w:tcPr>
          <w:p>
            <w:pPr>
              <w:pStyle w:val="TableParagraph"/>
              <w:ind w:left="463"/>
              <w:rPr>
                <w:sz w:val="19"/>
              </w:rPr>
            </w:pPr>
            <w:r>
              <w:rPr>
                <w:sz w:val="19"/>
              </w:rPr>
              <w:t>85,247</w:t>
            </w:r>
          </w:p>
          <w:p>
            <w:pPr>
              <w:pStyle w:val="TableParagraph"/>
              <w:spacing w:before="87"/>
              <w:ind w:left="463"/>
              <w:rPr>
                <w:sz w:val="19"/>
              </w:rPr>
            </w:pPr>
            <w:r>
              <w:rPr>
                <w:sz w:val="19"/>
              </w:rPr>
              <w:t>12,983</w:t>
            </w:r>
          </w:p>
        </w:tc>
        <w:tc>
          <w:tcPr>
            <w:tcW w:w="1043" w:type="dxa"/>
            <w:shd w:val="clear" w:color="auto" w:fill="FAF9F9"/>
          </w:tcPr>
          <w:p>
            <w:pPr>
              <w:pStyle w:val="TableParagraph"/>
              <w:ind w:right="89"/>
              <w:jc w:val="right"/>
              <w:rPr>
                <w:sz w:val="19"/>
              </w:rPr>
            </w:pPr>
            <w:r>
              <w:rPr>
                <w:w w:val="111"/>
                <w:sz w:val="19"/>
              </w:rPr>
              <w:t>-</w:t>
            </w:r>
          </w:p>
          <w:p>
            <w:pPr>
              <w:pStyle w:val="TableParagraph"/>
              <w:spacing w:before="87"/>
              <w:ind w:right="89"/>
              <w:jc w:val="right"/>
              <w:rPr>
                <w:sz w:val="19"/>
              </w:rPr>
            </w:pPr>
            <w:r>
              <w:rPr>
                <w:w w:val="111"/>
                <w:sz w:val="19"/>
              </w:rPr>
              <w:t>-</w:t>
            </w:r>
          </w:p>
        </w:tc>
        <w:tc>
          <w:tcPr>
            <w:tcW w:w="1156" w:type="dxa"/>
            <w:shd w:val="clear" w:color="auto" w:fill="FAF9F9"/>
          </w:tcPr>
          <w:p>
            <w:pPr>
              <w:pStyle w:val="TableParagraph"/>
              <w:ind w:right="88"/>
              <w:jc w:val="right"/>
              <w:rPr>
                <w:sz w:val="19"/>
              </w:rPr>
            </w:pPr>
            <w:r>
              <w:rPr>
                <w:w w:val="95"/>
                <w:sz w:val="19"/>
              </w:rPr>
              <w:t>7,393</w:t>
            </w:r>
          </w:p>
          <w:p>
            <w:pPr>
              <w:pStyle w:val="TableParagraph"/>
              <w:spacing w:before="87"/>
              <w:ind w:right="88"/>
              <w:jc w:val="right"/>
              <w:rPr>
                <w:sz w:val="19"/>
              </w:rPr>
            </w:pPr>
            <w:r>
              <w:rPr>
                <w:w w:val="111"/>
                <w:sz w:val="19"/>
              </w:rPr>
              <w:t>-</w:t>
            </w:r>
          </w:p>
        </w:tc>
        <w:tc>
          <w:tcPr>
            <w:tcW w:w="1156" w:type="dxa"/>
            <w:tcBorders>
              <w:right w:val="single" w:sz="4" w:space="0" w:color="000000"/>
            </w:tcBorders>
            <w:shd w:val="clear" w:color="auto" w:fill="FAF9F9"/>
          </w:tcPr>
          <w:p>
            <w:pPr>
              <w:pStyle w:val="TableParagraph"/>
              <w:ind w:left="464"/>
              <w:rPr>
                <w:sz w:val="19"/>
              </w:rPr>
            </w:pPr>
            <w:r>
              <w:rPr>
                <w:sz w:val="19"/>
              </w:rPr>
              <w:t>77,854</w:t>
            </w:r>
          </w:p>
          <w:p>
            <w:pPr>
              <w:pStyle w:val="TableParagraph"/>
              <w:spacing w:before="87"/>
              <w:ind w:left="464"/>
              <w:rPr>
                <w:sz w:val="19"/>
              </w:rPr>
            </w:pPr>
            <w:r>
              <w:rPr>
                <w:sz w:val="19"/>
              </w:rPr>
              <w:t>12,983</w:t>
            </w:r>
          </w:p>
        </w:tc>
        <w:tc>
          <w:tcPr>
            <w:tcW w:w="1156" w:type="dxa"/>
            <w:tcBorders>
              <w:left w:val="single" w:sz="4" w:space="0" w:color="000000"/>
              <w:right w:val="single" w:sz="4" w:space="0" w:color="000000"/>
            </w:tcBorders>
            <w:shd w:val="clear" w:color="auto" w:fill="FAF9F9"/>
          </w:tcPr>
          <w:p>
            <w:pPr>
              <w:pStyle w:val="TableParagraph"/>
              <w:ind w:left="470"/>
              <w:rPr>
                <w:sz w:val="19"/>
              </w:rPr>
            </w:pPr>
            <w:r>
              <w:rPr>
                <w:sz w:val="19"/>
              </w:rPr>
              <w:t>85,247</w:t>
            </w:r>
          </w:p>
          <w:p>
            <w:pPr>
              <w:pStyle w:val="TableParagraph"/>
              <w:spacing w:before="87"/>
              <w:ind w:left="470"/>
              <w:rPr>
                <w:sz w:val="19"/>
              </w:rPr>
            </w:pPr>
            <w:r>
              <w:rPr>
                <w:sz w:val="19"/>
              </w:rPr>
              <w:t>12,983</w:t>
            </w:r>
          </w:p>
        </w:tc>
        <w:tc>
          <w:tcPr>
            <w:tcW w:w="1156" w:type="dxa"/>
            <w:tcBorders>
              <w:left w:val="single" w:sz="4" w:space="0" w:color="000000"/>
            </w:tcBorders>
            <w:shd w:val="clear" w:color="auto" w:fill="FAF9F9"/>
          </w:tcPr>
          <w:p>
            <w:pPr>
              <w:pStyle w:val="TableParagraph"/>
              <w:ind w:right="87"/>
              <w:jc w:val="right"/>
              <w:rPr>
                <w:sz w:val="19"/>
              </w:rPr>
            </w:pPr>
            <w:r>
              <w:rPr>
                <w:w w:val="95"/>
                <w:sz w:val="19"/>
              </w:rPr>
              <w:t>85,247</w:t>
            </w:r>
          </w:p>
          <w:p>
            <w:pPr>
              <w:pStyle w:val="TableParagraph"/>
              <w:spacing w:before="87"/>
              <w:ind w:right="87"/>
              <w:jc w:val="right"/>
              <w:rPr>
                <w:sz w:val="19"/>
              </w:rPr>
            </w:pPr>
            <w:r>
              <w:rPr>
                <w:w w:val="111"/>
                <w:sz w:val="19"/>
              </w:rPr>
              <w:t>-</w:t>
            </w:r>
          </w:p>
        </w:tc>
        <w:tc>
          <w:tcPr>
            <w:tcW w:w="986" w:type="dxa"/>
            <w:shd w:val="clear" w:color="auto" w:fill="FAF9F9"/>
          </w:tcPr>
          <w:p>
            <w:pPr>
              <w:pStyle w:val="TableParagraph"/>
              <w:ind w:right="86"/>
              <w:jc w:val="right"/>
              <w:rPr>
                <w:sz w:val="19"/>
              </w:rPr>
            </w:pPr>
            <w:r>
              <w:rPr>
                <w:w w:val="111"/>
                <w:sz w:val="19"/>
              </w:rPr>
              <w:t>-</w:t>
            </w:r>
          </w:p>
          <w:p>
            <w:pPr>
              <w:pStyle w:val="TableParagraph"/>
              <w:spacing w:before="87"/>
              <w:ind w:right="86"/>
              <w:jc w:val="right"/>
              <w:rPr>
                <w:sz w:val="19"/>
              </w:rPr>
            </w:pPr>
            <w:r>
              <w:rPr>
                <w:w w:val="111"/>
                <w:sz w:val="19"/>
              </w:rPr>
              <w:t>-</w:t>
            </w:r>
          </w:p>
        </w:tc>
        <w:tc>
          <w:tcPr>
            <w:tcW w:w="1043" w:type="dxa"/>
            <w:shd w:val="clear" w:color="auto" w:fill="FAF9F9"/>
          </w:tcPr>
          <w:p>
            <w:pPr>
              <w:pStyle w:val="TableParagraph"/>
              <w:ind w:right="86"/>
              <w:jc w:val="right"/>
              <w:rPr>
                <w:sz w:val="19"/>
              </w:rPr>
            </w:pPr>
            <w:r>
              <w:rPr>
                <w:w w:val="111"/>
                <w:sz w:val="19"/>
              </w:rPr>
              <w:t>-</w:t>
            </w:r>
          </w:p>
          <w:p>
            <w:pPr>
              <w:pStyle w:val="TableParagraph"/>
              <w:spacing w:before="87"/>
              <w:ind w:right="86"/>
              <w:jc w:val="right"/>
              <w:rPr>
                <w:sz w:val="19"/>
              </w:rPr>
            </w:pPr>
            <w:r>
              <w:rPr>
                <w:w w:val="111"/>
                <w:sz w:val="19"/>
              </w:rPr>
              <w:t>-</w:t>
            </w:r>
          </w:p>
        </w:tc>
        <w:tc>
          <w:tcPr>
            <w:tcW w:w="1043" w:type="dxa"/>
            <w:shd w:val="clear" w:color="auto" w:fill="FAF9F9"/>
          </w:tcPr>
          <w:p>
            <w:pPr>
              <w:pStyle w:val="TableParagraph"/>
              <w:ind w:right="86"/>
              <w:jc w:val="right"/>
              <w:rPr>
                <w:sz w:val="19"/>
              </w:rPr>
            </w:pPr>
            <w:r>
              <w:rPr>
                <w:w w:val="111"/>
                <w:sz w:val="19"/>
              </w:rPr>
              <w:t>-</w:t>
            </w:r>
          </w:p>
          <w:p>
            <w:pPr>
              <w:pStyle w:val="TableParagraph"/>
              <w:spacing w:before="87"/>
              <w:ind w:right="86"/>
              <w:jc w:val="right"/>
              <w:rPr>
                <w:sz w:val="19"/>
              </w:rPr>
            </w:pPr>
            <w:r>
              <w:rPr>
                <w:w w:val="95"/>
                <w:sz w:val="19"/>
              </w:rPr>
              <w:t>12,983</w:t>
            </w:r>
          </w:p>
        </w:tc>
        <w:tc>
          <w:tcPr>
            <w:tcW w:w="1100" w:type="dxa"/>
            <w:tcBorders>
              <w:right w:val="nil"/>
            </w:tcBorders>
            <w:shd w:val="clear" w:color="auto" w:fill="FAF9F9"/>
          </w:tcPr>
          <w:p>
            <w:pPr>
              <w:pStyle w:val="TableParagraph"/>
              <w:ind w:right="96"/>
              <w:jc w:val="right"/>
              <w:rPr>
                <w:sz w:val="19"/>
              </w:rPr>
            </w:pPr>
            <w:r>
              <w:rPr>
                <w:w w:val="111"/>
                <w:sz w:val="19"/>
              </w:rPr>
              <w:t>-</w:t>
            </w:r>
          </w:p>
          <w:p>
            <w:pPr>
              <w:pStyle w:val="TableParagraph"/>
              <w:spacing w:before="87"/>
              <w:ind w:right="96"/>
              <w:jc w:val="right"/>
              <w:rPr>
                <w:sz w:val="19"/>
              </w:rPr>
            </w:pPr>
            <w:r>
              <w:rPr>
                <w:w w:val="111"/>
                <w:sz w:val="19"/>
              </w:rPr>
              <w:t>-</w:t>
            </w:r>
          </w:p>
        </w:tc>
      </w:tr>
      <w:tr>
        <w:trPr>
          <w:trHeight w:val="285" w:hRule="atLeast"/>
        </w:trPr>
        <w:tc>
          <w:tcPr>
            <w:tcW w:w="3197" w:type="dxa"/>
            <w:shd w:val="clear" w:color="auto" w:fill="F4F4F4"/>
          </w:tcPr>
          <w:p>
            <w:pPr>
              <w:pStyle w:val="TableParagraph"/>
              <w:ind w:left="113"/>
              <w:rPr>
                <w:sz w:val="10"/>
              </w:rPr>
            </w:pPr>
            <w:r>
              <w:rPr>
                <w:sz w:val="19"/>
              </w:rPr>
              <w:t>Receivables</w:t>
            </w:r>
            <w:r>
              <w:rPr>
                <w:position w:val="6"/>
                <w:sz w:val="10"/>
              </w:rPr>
              <w:t>(a)</w:t>
            </w:r>
          </w:p>
        </w:tc>
        <w:tc>
          <w:tcPr>
            <w:tcW w:w="1099" w:type="dxa"/>
            <w:shd w:val="clear" w:color="auto" w:fill="F4F4F4"/>
          </w:tcPr>
          <w:p>
            <w:pPr>
              <w:pStyle w:val="TableParagraph"/>
              <w:ind w:right="90"/>
              <w:jc w:val="right"/>
              <w:rPr>
                <w:sz w:val="19"/>
              </w:rPr>
            </w:pPr>
            <w:r>
              <w:rPr>
                <w:w w:val="111"/>
                <w:sz w:val="19"/>
              </w:rPr>
              <w:t>-</w:t>
            </w:r>
          </w:p>
        </w:tc>
        <w:tc>
          <w:tcPr>
            <w:tcW w:w="1156" w:type="dxa"/>
            <w:shd w:val="clear" w:color="auto" w:fill="F4F4F4"/>
          </w:tcPr>
          <w:p>
            <w:pPr>
              <w:pStyle w:val="TableParagraph"/>
              <w:ind w:right="89"/>
              <w:jc w:val="right"/>
              <w:rPr>
                <w:sz w:val="19"/>
              </w:rPr>
            </w:pPr>
            <w:r>
              <w:rPr>
                <w:w w:val="95"/>
                <w:sz w:val="19"/>
              </w:rPr>
              <w:t>294,710</w:t>
            </w:r>
          </w:p>
        </w:tc>
        <w:tc>
          <w:tcPr>
            <w:tcW w:w="1043" w:type="dxa"/>
            <w:shd w:val="clear" w:color="auto" w:fill="F4F4F4"/>
          </w:tcPr>
          <w:p>
            <w:pPr>
              <w:pStyle w:val="TableParagraph"/>
              <w:ind w:right="89"/>
              <w:jc w:val="right"/>
              <w:rPr>
                <w:sz w:val="19"/>
              </w:rPr>
            </w:pPr>
            <w:r>
              <w:rPr>
                <w:w w:val="111"/>
                <w:sz w:val="19"/>
              </w:rPr>
              <w:t>-</w:t>
            </w:r>
          </w:p>
        </w:tc>
        <w:tc>
          <w:tcPr>
            <w:tcW w:w="1156" w:type="dxa"/>
            <w:shd w:val="clear" w:color="auto" w:fill="F4F4F4"/>
          </w:tcPr>
          <w:p>
            <w:pPr>
              <w:pStyle w:val="TableParagraph"/>
              <w:ind w:right="88"/>
              <w:jc w:val="right"/>
              <w:rPr>
                <w:sz w:val="19"/>
              </w:rPr>
            </w:pPr>
            <w:r>
              <w:rPr>
                <w:w w:val="111"/>
                <w:sz w:val="19"/>
              </w:rPr>
              <w:t>-</w:t>
            </w:r>
          </w:p>
        </w:tc>
        <w:tc>
          <w:tcPr>
            <w:tcW w:w="1156" w:type="dxa"/>
            <w:tcBorders>
              <w:right w:val="single" w:sz="4" w:space="0" w:color="000000"/>
            </w:tcBorders>
            <w:shd w:val="clear" w:color="auto" w:fill="F4F4F4"/>
          </w:tcPr>
          <w:p>
            <w:pPr>
              <w:pStyle w:val="TableParagraph"/>
              <w:ind w:right="93"/>
              <w:jc w:val="right"/>
              <w:rPr>
                <w:sz w:val="19"/>
              </w:rPr>
            </w:pPr>
            <w:r>
              <w:rPr>
                <w:w w:val="95"/>
                <w:sz w:val="19"/>
              </w:rPr>
              <w:t>294,710</w:t>
            </w:r>
          </w:p>
        </w:tc>
        <w:tc>
          <w:tcPr>
            <w:tcW w:w="1156" w:type="dxa"/>
            <w:tcBorders>
              <w:left w:val="single" w:sz="4" w:space="0" w:color="000000"/>
              <w:right w:val="single" w:sz="4" w:space="0" w:color="000000"/>
            </w:tcBorders>
            <w:shd w:val="clear" w:color="auto" w:fill="F4F4F4"/>
          </w:tcPr>
          <w:p>
            <w:pPr>
              <w:pStyle w:val="TableParagraph"/>
              <w:ind w:right="92"/>
              <w:jc w:val="right"/>
              <w:rPr>
                <w:sz w:val="19"/>
              </w:rPr>
            </w:pPr>
            <w:r>
              <w:rPr>
                <w:w w:val="95"/>
                <w:sz w:val="19"/>
              </w:rPr>
              <w:t>294,710</w:t>
            </w:r>
          </w:p>
        </w:tc>
        <w:tc>
          <w:tcPr>
            <w:tcW w:w="1156" w:type="dxa"/>
            <w:tcBorders>
              <w:left w:val="single" w:sz="4" w:space="0" w:color="000000"/>
            </w:tcBorders>
            <w:shd w:val="clear" w:color="auto" w:fill="F4F4F4"/>
          </w:tcPr>
          <w:p>
            <w:pPr>
              <w:pStyle w:val="TableParagraph"/>
              <w:ind w:right="87"/>
              <w:jc w:val="right"/>
              <w:rPr>
                <w:sz w:val="19"/>
              </w:rPr>
            </w:pPr>
            <w:r>
              <w:rPr>
                <w:w w:val="95"/>
                <w:sz w:val="19"/>
              </w:rPr>
              <w:t>294,710</w:t>
            </w:r>
          </w:p>
        </w:tc>
        <w:tc>
          <w:tcPr>
            <w:tcW w:w="986" w:type="dxa"/>
            <w:shd w:val="clear" w:color="auto" w:fill="F4F4F4"/>
          </w:tcPr>
          <w:p>
            <w:pPr>
              <w:pStyle w:val="TableParagraph"/>
              <w:ind w:right="86"/>
              <w:jc w:val="right"/>
              <w:rPr>
                <w:sz w:val="19"/>
              </w:rPr>
            </w:pPr>
            <w:r>
              <w:rPr>
                <w:w w:val="111"/>
                <w:sz w:val="19"/>
              </w:rPr>
              <w:t>-</w:t>
            </w:r>
          </w:p>
        </w:tc>
        <w:tc>
          <w:tcPr>
            <w:tcW w:w="1043" w:type="dxa"/>
            <w:shd w:val="clear" w:color="auto" w:fill="F4F4F4"/>
          </w:tcPr>
          <w:p>
            <w:pPr>
              <w:pStyle w:val="TableParagraph"/>
              <w:ind w:right="86"/>
              <w:jc w:val="right"/>
              <w:rPr>
                <w:sz w:val="19"/>
              </w:rPr>
            </w:pPr>
            <w:r>
              <w:rPr>
                <w:w w:val="111"/>
                <w:sz w:val="19"/>
              </w:rPr>
              <w:t>-</w:t>
            </w:r>
          </w:p>
        </w:tc>
        <w:tc>
          <w:tcPr>
            <w:tcW w:w="1043" w:type="dxa"/>
            <w:shd w:val="clear" w:color="auto" w:fill="F4F4F4"/>
          </w:tcPr>
          <w:p>
            <w:pPr>
              <w:pStyle w:val="TableParagraph"/>
              <w:ind w:right="86"/>
              <w:jc w:val="right"/>
              <w:rPr>
                <w:sz w:val="19"/>
              </w:rPr>
            </w:pPr>
            <w:r>
              <w:rPr>
                <w:w w:val="111"/>
                <w:sz w:val="19"/>
              </w:rPr>
              <w:t>-</w:t>
            </w:r>
          </w:p>
        </w:tc>
        <w:tc>
          <w:tcPr>
            <w:tcW w:w="1100" w:type="dxa"/>
            <w:tcBorders>
              <w:right w:val="nil"/>
            </w:tcBorders>
            <w:shd w:val="clear" w:color="auto" w:fill="F4F4F4"/>
          </w:tcPr>
          <w:p>
            <w:pPr>
              <w:pStyle w:val="TableParagraph"/>
              <w:ind w:right="96"/>
              <w:jc w:val="right"/>
              <w:rPr>
                <w:sz w:val="19"/>
              </w:rPr>
            </w:pPr>
            <w:r>
              <w:rPr>
                <w:w w:val="111"/>
                <w:sz w:val="19"/>
              </w:rPr>
              <w:t>-</w:t>
            </w:r>
          </w:p>
        </w:tc>
      </w:tr>
      <w:tr>
        <w:trPr>
          <w:trHeight w:val="285" w:hRule="atLeast"/>
        </w:trPr>
        <w:tc>
          <w:tcPr>
            <w:tcW w:w="3197" w:type="dxa"/>
            <w:tcBorders>
              <w:right w:val="nil"/>
            </w:tcBorders>
            <w:shd w:val="clear" w:color="auto" w:fill="FAF9F9"/>
          </w:tcPr>
          <w:p>
            <w:pPr>
              <w:pStyle w:val="TableParagraph"/>
              <w:ind w:left="113"/>
              <w:rPr>
                <w:sz w:val="19"/>
              </w:rPr>
            </w:pPr>
            <w:r>
              <w:rPr>
                <w:sz w:val="19"/>
              </w:rPr>
              <w:t>Finance lease receivables</w:t>
            </w:r>
          </w:p>
        </w:tc>
        <w:tc>
          <w:tcPr>
            <w:tcW w:w="1099" w:type="dxa"/>
            <w:tcBorders>
              <w:left w:val="nil"/>
              <w:right w:val="nil"/>
            </w:tcBorders>
            <w:shd w:val="clear" w:color="auto" w:fill="FAF9F9"/>
          </w:tcPr>
          <w:p>
            <w:pPr>
              <w:pStyle w:val="TableParagraph"/>
              <w:ind w:right="100"/>
              <w:jc w:val="right"/>
              <w:rPr>
                <w:sz w:val="19"/>
              </w:rPr>
            </w:pPr>
            <w:r>
              <w:rPr>
                <w:w w:val="95"/>
                <w:sz w:val="19"/>
              </w:rPr>
              <w:t>4.93</w:t>
            </w:r>
          </w:p>
        </w:tc>
        <w:tc>
          <w:tcPr>
            <w:tcW w:w="1156" w:type="dxa"/>
            <w:tcBorders>
              <w:left w:val="nil"/>
              <w:right w:val="nil"/>
            </w:tcBorders>
            <w:shd w:val="clear" w:color="auto" w:fill="FAF9F9"/>
          </w:tcPr>
          <w:p>
            <w:pPr>
              <w:pStyle w:val="TableParagraph"/>
              <w:ind w:right="99"/>
              <w:jc w:val="right"/>
              <w:rPr>
                <w:sz w:val="19"/>
              </w:rPr>
            </w:pPr>
            <w:r>
              <w:rPr>
                <w:w w:val="95"/>
                <w:sz w:val="19"/>
              </w:rPr>
              <w:t>1,797</w:t>
            </w:r>
          </w:p>
        </w:tc>
        <w:tc>
          <w:tcPr>
            <w:tcW w:w="1043" w:type="dxa"/>
            <w:tcBorders>
              <w:left w:val="nil"/>
              <w:right w:val="nil"/>
            </w:tcBorders>
            <w:shd w:val="clear" w:color="auto" w:fill="FAF9F9"/>
          </w:tcPr>
          <w:p>
            <w:pPr>
              <w:pStyle w:val="TableParagraph"/>
              <w:ind w:right="99"/>
              <w:jc w:val="right"/>
              <w:rPr>
                <w:sz w:val="19"/>
              </w:rPr>
            </w:pPr>
            <w:r>
              <w:rPr>
                <w:w w:val="95"/>
                <w:sz w:val="19"/>
              </w:rPr>
              <w:t>1,797</w:t>
            </w:r>
          </w:p>
        </w:tc>
        <w:tc>
          <w:tcPr>
            <w:tcW w:w="1156" w:type="dxa"/>
            <w:tcBorders>
              <w:left w:val="nil"/>
              <w:right w:val="nil"/>
            </w:tcBorders>
            <w:shd w:val="clear" w:color="auto" w:fill="FAF9F9"/>
          </w:tcPr>
          <w:p>
            <w:pPr>
              <w:pStyle w:val="TableParagraph"/>
              <w:ind w:right="98"/>
              <w:jc w:val="right"/>
              <w:rPr>
                <w:sz w:val="19"/>
              </w:rPr>
            </w:pPr>
            <w:r>
              <w:rPr>
                <w:w w:val="111"/>
                <w:sz w:val="19"/>
              </w:rPr>
              <w:t>-</w:t>
            </w:r>
          </w:p>
        </w:tc>
        <w:tc>
          <w:tcPr>
            <w:tcW w:w="1156" w:type="dxa"/>
            <w:tcBorders>
              <w:left w:val="nil"/>
              <w:right w:val="single" w:sz="4" w:space="0" w:color="000000"/>
            </w:tcBorders>
            <w:shd w:val="clear" w:color="auto" w:fill="FAF9F9"/>
          </w:tcPr>
          <w:p>
            <w:pPr>
              <w:pStyle w:val="TableParagraph"/>
              <w:ind w:right="93"/>
              <w:jc w:val="right"/>
              <w:rPr>
                <w:sz w:val="19"/>
              </w:rPr>
            </w:pPr>
            <w:r>
              <w:rPr>
                <w:w w:val="111"/>
                <w:sz w:val="19"/>
              </w:rPr>
              <w:t>-</w:t>
            </w:r>
          </w:p>
        </w:tc>
        <w:tc>
          <w:tcPr>
            <w:tcW w:w="1156" w:type="dxa"/>
            <w:tcBorders>
              <w:left w:val="single" w:sz="4" w:space="0" w:color="000000"/>
              <w:right w:val="single" w:sz="4" w:space="0" w:color="000000"/>
            </w:tcBorders>
            <w:shd w:val="clear" w:color="auto" w:fill="FAF9F9"/>
          </w:tcPr>
          <w:p>
            <w:pPr>
              <w:pStyle w:val="TableParagraph"/>
              <w:ind w:right="92"/>
              <w:jc w:val="right"/>
              <w:rPr>
                <w:sz w:val="19"/>
              </w:rPr>
            </w:pPr>
            <w:r>
              <w:rPr>
                <w:w w:val="95"/>
                <w:sz w:val="19"/>
              </w:rPr>
              <w:t>1,797</w:t>
            </w:r>
          </w:p>
        </w:tc>
        <w:tc>
          <w:tcPr>
            <w:tcW w:w="1156" w:type="dxa"/>
            <w:tcBorders>
              <w:left w:val="single" w:sz="4" w:space="0" w:color="000000"/>
              <w:right w:val="nil"/>
            </w:tcBorders>
            <w:shd w:val="clear" w:color="auto" w:fill="FAF9F9"/>
          </w:tcPr>
          <w:p>
            <w:pPr>
              <w:pStyle w:val="TableParagraph"/>
              <w:ind w:right="97"/>
              <w:jc w:val="right"/>
              <w:rPr>
                <w:sz w:val="19"/>
              </w:rPr>
            </w:pPr>
            <w:r>
              <w:rPr>
                <w:w w:val="95"/>
                <w:sz w:val="19"/>
              </w:rPr>
              <w:t>24</w:t>
            </w:r>
          </w:p>
        </w:tc>
        <w:tc>
          <w:tcPr>
            <w:tcW w:w="986" w:type="dxa"/>
            <w:tcBorders>
              <w:left w:val="nil"/>
              <w:right w:val="nil"/>
            </w:tcBorders>
            <w:shd w:val="clear" w:color="auto" w:fill="FAF9F9"/>
          </w:tcPr>
          <w:p>
            <w:pPr>
              <w:pStyle w:val="TableParagraph"/>
              <w:ind w:right="96"/>
              <w:jc w:val="right"/>
              <w:rPr>
                <w:sz w:val="19"/>
              </w:rPr>
            </w:pPr>
            <w:r>
              <w:rPr>
                <w:w w:val="95"/>
                <w:sz w:val="19"/>
              </w:rPr>
              <w:t>124</w:t>
            </w:r>
          </w:p>
        </w:tc>
        <w:tc>
          <w:tcPr>
            <w:tcW w:w="1043" w:type="dxa"/>
            <w:tcBorders>
              <w:left w:val="nil"/>
              <w:right w:val="nil"/>
            </w:tcBorders>
            <w:shd w:val="clear" w:color="auto" w:fill="FAF9F9"/>
          </w:tcPr>
          <w:p>
            <w:pPr>
              <w:pStyle w:val="TableParagraph"/>
              <w:ind w:right="96"/>
              <w:jc w:val="right"/>
              <w:rPr>
                <w:sz w:val="19"/>
              </w:rPr>
            </w:pPr>
            <w:r>
              <w:rPr>
                <w:w w:val="95"/>
                <w:sz w:val="19"/>
              </w:rPr>
              <w:t>435</w:t>
            </w:r>
          </w:p>
        </w:tc>
        <w:tc>
          <w:tcPr>
            <w:tcW w:w="1043" w:type="dxa"/>
            <w:tcBorders>
              <w:left w:val="nil"/>
              <w:right w:val="nil"/>
            </w:tcBorders>
            <w:shd w:val="clear" w:color="auto" w:fill="FAF9F9"/>
          </w:tcPr>
          <w:p>
            <w:pPr>
              <w:pStyle w:val="TableParagraph"/>
              <w:ind w:right="96"/>
              <w:jc w:val="right"/>
              <w:rPr>
                <w:sz w:val="19"/>
              </w:rPr>
            </w:pPr>
            <w:r>
              <w:rPr>
                <w:w w:val="95"/>
                <w:sz w:val="19"/>
              </w:rPr>
              <w:t>1,214</w:t>
            </w:r>
          </w:p>
        </w:tc>
        <w:tc>
          <w:tcPr>
            <w:tcW w:w="1100" w:type="dxa"/>
            <w:tcBorders>
              <w:left w:val="nil"/>
              <w:right w:val="nil"/>
            </w:tcBorders>
            <w:shd w:val="clear" w:color="auto" w:fill="FAF9F9"/>
          </w:tcPr>
          <w:p>
            <w:pPr>
              <w:pStyle w:val="TableParagraph"/>
              <w:ind w:right="96"/>
              <w:jc w:val="right"/>
              <w:rPr>
                <w:sz w:val="19"/>
              </w:rPr>
            </w:pPr>
            <w:r>
              <w:rPr>
                <w:w w:val="111"/>
                <w:sz w:val="19"/>
              </w:rPr>
              <w:t>-</w:t>
            </w:r>
          </w:p>
        </w:tc>
      </w:tr>
      <w:tr>
        <w:trPr>
          <w:trHeight w:val="285" w:hRule="atLeast"/>
        </w:trPr>
        <w:tc>
          <w:tcPr>
            <w:tcW w:w="3197" w:type="dxa"/>
            <w:vMerge w:val="restart"/>
            <w:shd w:val="clear" w:color="auto" w:fill="FAF9F9"/>
          </w:tcPr>
          <w:p>
            <w:pPr>
              <w:pStyle w:val="TableParagraph"/>
              <w:ind w:left="113"/>
              <w:rPr>
                <w:sz w:val="19"/>
              </w:rPr>
            </w:pPr>
            <w:r>
              <w:rPr>
                <w:sz w:val="19"/>
              </w:rPr>
              <w:t>Amounts receivable for services</w:t>
            </w:r>
          </w:p>
        </w:tc>
        <w:tc>
          <w:tcPr>
            <w:tcW w:w="1099" w:type="dxa"/>
            <w:vMerge w:val="restart"/>
            <w:shd w:val="clear" w:color="auto" w:fill="FAF9F9"/>
          </w:tcPr>
          <w:p>
            <w:pPr>
              <w:pStyle w:val="TableParagraph"/>
              <w:ind w:right="90"/>
              <w:jc w:val="right"/>
              <w:rPr>
                <w:sz w:val="19"/>
              </w:rPr>
            </w:pPr>
            <w:r>
              <w:rPr>
                <w:w w:val="111"/>
                <w:sz w:val="19"/>
              </w:rPr>
              <w:t>-</w:t>
            </w:r>
          </w:p>
        </w:tc>
        <w:tc>
          <w:tcPr>
            <w:tcW w:w="1156" w:type="dxa"/>
            <w:tcBorders>
              <w:bottom w:val="single" w:sz="4" w:space="0" w:color="000000"/>
            </w:tcBorders>
            <w:shd w:val="clear" w:color="auto" w:fill="F4F4F4"/>
          </w:tcPr>
          <w:p>
            <w:pPr>
              <w:pStyle w:val="TableParagraph"/>
              <w:ind w:right="89"/>
              <w:jc w:val="right"/>
              <w:rPr>
                <w:sz w:val="19"/>
              </w:rPr>
            </w:pPr>
            <w:r>
              <w:rPr>
                <w:w w:val="95"/>
                <w:sz w:val="19"/>
              </w:rPr>
              <w:t>411,714</w:t>
            </w:r>
          </w:p>
        </w:tc>
        <w:tc>
          <w:tcPr>
            <w:tcW w:w="1043" w:type="dxa"/>
            <w:tcBorders>
              <w:bottom w:val="single" w:sz="4" w:space="0" w:color="000000"/>
            </w:tcBorders>
            <w:shd w:val="clear" w:color="auto" w:fill="F4F4F4"/>
          </w:tcPr>
          <w:p>
            <w:pPr>
              <w:pStyle w:val="TableParagraph"/>
              <w:ind w:right="89"/>
              <w:jc w:val="right"/>
              <w:rPr>
                <w:sz w:val="19"/>
              </w:rPr>
            </w:pPr>
            <w:r>
              <w:rPr>
                <w:w w:val="111"/>
                <w:sz w:val="19"/>
              </w:rPr>
              <w:t>-</w:t>
            </w:r>
          </w:p>
        </w:tc>
        <w:tc>
          <w:tcPr>
            <w:tcW w:w="1156" w:type="dxa"/>
            <w:tcBorders>
              <w:bottom w:val="single" w:sz="4" w:space="0" w:color="000000"/>
            </w:tcBorders>
            <w:shd w:val="clear" w:color="auto" w:fill="F4F4F4"/>
          </w:tcPr>
          <w:p>
            <w:pPr>
              <w:pStyle w:val="TableParagraph"/>
              <w:ind w:right="88"/>
              <w:jc w:val="right"/>
              <w:rPr>
                <w:sz w:val="19"/>
              </w:rPr>
            </w:pPr>
            <w:r>
              <w:rPr>
                <w:w w:val="111"/>
                <w:sz w:val="19"/>
              </w:rPr>
              <w:t>-</w:t>
            </w:r>
          </w:p>
        </w:tc>
        <w:tc>
          <w:tcPr>
            <w:tcW w:w="1156" w:type="dxa"/>
            <w:tcBorders>
              <w:bottom w:val="single" w:sz="4" w:space="0" w:color="000000"/>
              <w:right w:val="single" w:sz="4" w:space="0" w:color="000000"/>
            </w:tcBorders>
            <w:shd w:val="clear" w:color="auto" w:fill="F4F4F4"/>
          </w:tcPr>
          <w:p>
            <w:pPr>
              <w:pStyle w:val="TableParagraph"/>
              <w:ind w:right="93"/>
              <w:jc w:val="right"/>
              <w:rPr>
                <w:sz w:val="19"/>
              </w:rPr>
            </w:pPr>
            <w:r>
              <w:rPr>
                <w:w w:val="95"/>
                <w:sz w:val="19"/>
              </w:rPr>
              <w:t>411,714</w:t>
            </w:r>
          </w:p>
        </w:tc>
        <w:tc>
          <w:tcPr>
            <w:tcW w:w="1156" w:type="dxa"/>
            <w:tcBorders>
              <w:left w:val="single" w:sz="4" w:space="0" w:color="000000"/>
              <w:bottom w:val="single" w:sz="4" w:space="0" w:color="000000"/>
              <w:right w:val="single" w:sz="4" w:space="0" w:color="000000"/>
            </w:tcBorders>
            <w:shd w:val="clear" w:color="auto" w:fill="F4F4F4"/>
          </w:tcPr>
          <w:p>
            <w:pPr>
              <w:pStyle w:val="TableParagraph"/>
              <w:ind w:right="92"/>
              <w:jc w:val="right"/>
              <w:rPr>
                <w:sz w:val="19"/>
              </w:rPr>
            </w:pPr>
            <w:r>
              <w:rPr>
                <w:w w:val="95"/>
                <w:sz w:val="19"/>
              </w:rPr>
              <w:t>411,714</w:t>
            </w:r>
          </w:p>
        </w:tc>
        <w:tc>
          <w:tcPr>
            <w:tcW w:w="1156" w:type="dxa"/>
            <w:tcBorders>
              <w:left w:val="single" w:sz="4" w:space="0" w:color="000000"/>
              <w:bottom w:val="single" w:sz="4" w:space="0" w:color="000000"/>
            </w:tcBorders>
            <w:shd w:val="clear" w:color="auto" w:fill="F4F4F4"/>
          </w:tcPr>
          <w:p>
            <w:pPr>
              <w:pStyle w:val="TableParagraph"/>
              <w:ind w:right="87"/>
              <w:jc w:val="right"/>
              <w:rPr>
                <w:sz w:val="19"/>
              </w:rPr>
            </w:pPr>
            <w:r>
              <w:rPr>
                <w:w w:val="95"/>
                <w:sz w:val="19"/>
              </w:rPr>
              <w:t>200</w:t>
            </w:r>
          </w:p>
        </w:tc>
        <w:tc>
          <w:tcPr>
            <w:tcW w:w="986" w:type="dxa"/>
            <w:tcBorders>
              <w:bottom w:val="single" w:sz="4" w:space="0" w:color="000000"/>
            </w:tcBorders>
            <w:shd w:val="clear" w:color="auto" w:fill="F4F4F4"/>
          </w:tcPr>
          <w:p>
            <w:pPr>
              <w:pStyle w:val="TableParagraph"/>
              <w:ind w:right="86"/>
              <w:jc w:val="right"/>
              <w:rPr>
                <w:sz w:val="19"/>
              </w:rPr>
            </w:pPr>
            <w:r>
              <w:rPr>
                <w:w w:val="95"/>
                <w:sz w:val="19"/>
              </w:rPr>
              <w:t>200</w:t>
            </w:r>
          </w:p>
        </w:tc>
        <w:tc>
          <w:tcPr>
            <w:tcW w:w="1043" w:type="dxa"/>
            <w:tcBorders>
              <w:bottom w:val="single" w:sz="4" w:space="0" w:color="000000"/>
            </w:tcBorders>
            <w:shd w:val="clear" w:color="auto" w:fill="F4F4F4"/>
          </w:tcPr>
          <w:p>
            <w:pPr>
              <w:pStyle w:val="TableParagraph"/>
              <w:ind w:right="86"/>
              <w:jc w:val="right"/>
              <w:rPr>
                <w:sz w:val="19"/>
              </w:rPr>
            </w:pPr>
            <w:r>
              <w:rPr>
                <w:w w:val="95"/>
                <w:sz w:val="19"/>
              </w:rPr>
              <w:t>1,131</w:t>
            </w:r>
          </w:p>
        </w:tc>
        <w:tc>
          <w:tcPr>
            <w:tcW w:w="1043" w:type="dxa"/>
            <w:tcBorders>
              <w:bottom w:val="single" w:sz="4" w:space="0" w:color="000000"/>
            </w:tcBorders>
            <w:shd w:val="clear" w:color="auto" w:fill="F4F4F4"/>
          </w:tcPr>
          <w:p>
            <w:pPr>
              <w:pStyle w:val="TableParagraph"/>
              <w:ind w:right="86"/>
              <w:jc w:val="right"/>
              <w:rPr>
                <w:sz w:val="19"/>
              </w:rPr>
            </w:pPr>
            <w:r>
              <w:rPr>
                <w:w w:val="111"/>
                <w:sz w:val="19"/>
              </w:rPr>
              <w:t>-</w:t>
            </w:r>
          </w:p>
        </w:tc>
        <w:tc>
          <w:tcPr>
            <w:tcW w:w="1100" w:type="dxa"/>
            <w:tcBorders>
              <w:bottom w:val="single" w:sz="4" w:space="0" w:color="000000"/>
              <w:right w:val="nil"/>
            </w:tcBorders>
            <w:shd w:val="clear" w:color="auto" w:fill="F4F4F4"/>
          </w:tcPr>
          <w:p>
            <w:pPr>
              <w:pStyle w:val="TableParagraph"/>
              <w:ind w:right="96"/>
              <w:jc w:val="right"/>
              <w:rPr>
                <w:sz w:val="19"/>
              </w:rPr>
            </w:pPr>
            <w:r>
              <w:rPr>
                <w:w w:val="95"/>
                <w:sz w:val="19"/>
              </w:rPr>
              <w:t>410,183</w:t>
            </w:r>
          </w:p>
        </w:tc>
      </w:tr>
      <w:tr>
        <w:trPr>
          <w:trHeight w:val="273" w:hRule="atLeast"/>
        </w:trPr>
        <w:tc>
          <w:tcPr>
            <w:tcW w:w="3197" w:type="dxa"/>
            <w:vMerge/>
            <w:tcBorders>
              <w:top w:val="nil"/>
            </w:tcBorders>
            <w:shd w:val="clear" w:color="auto" w:fill="FAF9F9"/>
          </w:tcPr>
          <w:p>
            <w:pPr>
              <w:rPr>
                <w:sz w:val="2"/>
                <w:szCs w:val="2"/>
              </w:rPr>
            </w:pPr>
          </w:p>
        </w:tc>
        <w:tc>
          <w:tcPr>
            <w:tcW w:w="1099" w:type="dxa"/>
            <w:vMerge/>
            <w:tcBorders>
              <w:top w:val="nil"/>
            </w:tcBorders>
            <w:shd w:val="clear" w:color="auto" w:fill="FAF9F9"/>
          </w:tcPr>
          <w:p>
            <w:pPr>
              <w:rPr>
                <w:sz w:val="2"/>
                <w:szCs w:val="2"/>
              </w:rPr>
            </w:pPr>
          </w:p>
        </w:tc>
        <w:tc>
          <w:tcPr>
            <w:tcW w:w="1156" w:type="dxa"/>
            <w:tcBorders>
              <w:top w:val="single" w:sz="4" w:space="0" w:color="000000"/>
              <w:bottom w:val="double" w:sz="2" w:space="0" w:color="000000"/>
              <w:right w:val="nil"/>
            </w:tcBorders>
            <w:shd w:val="clear" w:color="auto" w:fill="FAF9F9"/>
          </w:tcPr>
          <w:p>
            <w:pPr>
              <w:pStyle w:val="TableParagraph"/>
              <w:ind w:right="99"/>
              <w:jc w:val="right"/>
              <w:rPr>
                <w:b/>
                <w:sz w:val="19"/>
              </w:rPr>
            </w:pPr>
            <w:r>
              <w:rPr>
                <w:b/>
                <w:w w:val="95"/>
                <w:sz w:val="19"/>
              </w:rPr>
              <w:t>806,451</w:t>
            </w:r>
          </w:p>
        </w:tc>
        <w:tc>
          <w:tcPr>
            <w:tcW w:w="1043" w:type="dxa"/>
            <w:tcBorders>
              <w:top w:val="single" w:sz="4" w:space="0" w:color="000000"/>
              <w:left w:val="nil"/>
              <w:bottom w:val="double" w:sz="2" w:space="0" w:color="000000"/>
              <w:right w:val="nil"/>
            </w:tcBorders>
            <w:shd w:val="clear" w:color="auto" w:fill="FAF9F9"/>
          </w:tcPr>
          <w:p>
            <w:pPr>
              <w:pStyle w:val="TableParagraph"/>
              <w:ind w:right="99"/>
              <w:jc w:val="right"/>
              <w:rPr>
                <w:b/>
                <w:sz w:val="19"/>
              </w:rPr>
            </w:pPr>
            <w:r>
              <w:rPr>
                <w:b/>
                <w:w w:val="95"/>
                <w:sz w:val="19"/>
              </w:rPr>
              <w:t>1,797</w:t>
            </w:r>
          </w:p>
        </w:tc>
        <w:tc>
          <w:tcPr>
            <w:tcW w:w="1156" w:type="dxa"/>
            <w:tcBorders>
              <w:top w:val="single" w:sz="4" w:space="0" w:color="000000"/>
              <w:left w:val="nil"/>
              <w:bottom w:val="double" w:sz="2" w:space="0" w:color="000000"/>
              <w:right w:val="nil"/>
            </w:tcBorders>
            <w:shd w:val="clear" w:color="auto" w:fill="FAF9F9"/>
          </w:tcPr>
          <w:p>
            <w:pPr>
              <w:pStyle w:val="TableParagraph"/>
              <w:ind w:right="98"/>
              <w:jc w:val="right"/>
              <w:rPr>
                <w:b/>
                <w:sz w:val="19"/>
              </w:rPr>
            </w:pPr>
            <w:r>
              <w:rPr>
                <w:b/>
                <w:w w:val="95"/>
                <w:sz w:val="19"/>
              </w:rPr>
              <w:t>7,393</w:t>
            </w:r>
          </w:p>
        </w:tc>
        <w:tc>
          <w:tcPr>
            <w:tcW w:w="1156" w:type="dxa"/>
            <w:tcBorders>
              <w:top w:val="single" w:sz="4" w:space="0" w:color="000000"/>
              <w:left w:val="nil"/>
              <w:bottom w:val="double" w:sz="2" w:space="0" w:color="000000"/>
              <w:right w:val="single" w:sz="4" w:space="0" w:color="000000"/>
            </w:tcBorders>
            <w:shd w:val="clear" w:color="auto" w:fill="FAF9F9"/>
          </w:tcPr>
          <w:p>
            <w:pPr>
              <w:pStyle w:val="TableParagraph"/>
              <w:ind w:right="93"/>
              <w:jc w:val="right"/>
              <w:rPr>
                <w:b/>
                <w:sz w:val="19"/>
              </w:rPr>
            </w:pPr>
            <w:r>
              <w:rPr>
                <w:b/>
                <w:w w:val="95"/>
                <w:sz w:val="19"/>
              </w:rPr>
              <w:t>797,261</w:t>
            </w:r>
          </w:p>
        </w:tc>
        <w:tc>
          <w:tcPr>
            <w:tcW w:w="1156" w:type="dxa"/>
            <w:tcBorders>
              <w:top w:val="single" w:sz="4" w:space="0" w:color="000000"/>
              <w:left w:val="single" w:sz="4" w:space="0" w:color="000000"/>
              <w:bottom w:val="double" w:sz="2" w:space="0" w:color="000000"/>
              <w:right w:val="single" w:sz="4" w:space="0" w:color="000000"/>
            </w:tcBorders>
            <w:shd w:val="clear" w:color="auto" w:fill="FAF9F9"/>
          </w:tcPr>
          <w:p>
            <w:pPr>
              <w:pStyle w:val="TableParagraph"/>
              <w:ind w:right="92"/>
              <w:jc w:val="right"/>
              <w:rPr>
                <w:b/>
                <w:sz w:val="19"/>
              </w:rPr>
            </w:pPr>
            <w:r>
              <w:rPr>
                <w:b/>
                <w:w w:val="95"/>
                <w:sz w:val="19"/>
              </w:rPr>
              <w:t>806,451</w:t>
            </w:r>
          </w:p>
        </w:tc>
        <w:tc>
          <w:tcPr>
            <w:tcW w:w="1156" w:type="dxa"/>
            <w:tcBorders>
              <w:top w:val="single" w:sz="4" w:space="0" w:color="000000"/>
              <w:left w:val="single" w:sz="4" w:space="0" w:color="000000"/>
              <w:bottom w:val="double" w:sz="2" w:space="0" w:color="000000"/>
              <w:right w:val="nil"/>
            </w:tcBorders>
            <w:shd w:val="clear" w:color="auto" w:fill="FAF9F9"/>
          </w:tcPr>
          <w:p>
            <w:pPr>
              <w:pStyle w:val="TableParagraph"/>
              <w:ind w:right="97"/>
              <w:jc w:val="right"/>
              <w:rPr>
                <w:b/>
                <w:sz w:val="19"/>
              </w:rPr>
            </w:pPr>
            <w:r>
              <w:rPr>
                <w:b/>
                <w:w w:val="95"/>
                <w:sz w:val="19"/>
              </w:rPr>
              <w:t>380,181</w:t>
            </w:r>
          </w:p>
        </w:tc>
        <w:tc>
          <w:tcPr>
            <w:tcW w:w="986" w:type="dxa"/>
            <w:tcBorders>
              <w:top w:val="single" w:sz="4" w:space="0" w:color="000000"/>
              <w:left w:val="nil"/>
              <w:bottom w:val="double" w:sz="2" w:space="0" w:color="000000"/>
              <w:right w:val="nil"/>
            </w:tcBorders>
            <w:shd w:val="clear" w:color="auto" w:fill="FAF9F9"/>
          </w:tcPr>
          <w:p>
            <w:pPr>
              <w:pStyle w:val="TableParagraph"/>
              <w:ind w:right="96"/>
              <w:jc w:val="right"/>
              <w:rPr>
                <w:b/>
                <w:sz w:val="19"/>
              </w:rPr>
            </w:pPr>
            <w:r>
              <w:rPr>
                <w:b/>
                <w:w w:val="95"/>
                <w:sz w:val="19"/>
              </w:rPr>
              <w:t>324</w:t>
            </w:r>
          </w:p>
        </w:tc>
        <w:tc>
          <w:tcPr>
            <w:tcW w:w="1043" w:type="dxa"/>
            <w:tcBorders>
              <w:top w:val="single" w:sz="4" w:space="0" w:color="000000"/>
              <w:left w:val="nil"/>
              <w:bottom w:val="double" w:sz="2" w:space="0" w:color="000000"/>
              <w:right w:val="nil"/>
            </w:tcBorders>
            <w:shd w:val="clear" w:color="auto" w:fill="FAF9F9"/>
          </w:tcPr>
          <w:p>
            <w:pPr>
              <w:pStyle w:val="TableParagraph"/>
              <w:ind w:right="96"/>
              <w:jc w:val="right"/>
              <w:rPr>
                <w:b/>
                <w:sz w:val="19"/>
              </w:rPr>
            </w:pPr>
            <w:r>
              <w:rPr>
                <w:b/>
                <w:w w:val="95"/>
                <w:sz w:val="19"/>
              </w:rPr>
              <w:t>1,566</w:t>
            </w:r>
          </w:p>
        </w:tc>
        <w:tc>
          <w:tcPr>
            <w:tcW w:w="1043" w:type="dxa"/>
            <w:tcBorders>
              <w:top w:val="single" w:sz="4" w:space="0" w:color="000000"/>
              <w:left w:val="nil"/>
              <w:bottom w:val="double" w:sz="2" w:space="0" w:color="000000"/>
              <w:right w:val="nil"/>
            </w:tcBorders>
            <w:shd w:val="clear" w:color="auto" w:fill="FAF9F9"/>
          </w:tcPr>
          <w:p>
            <w:pPr>
              <w:pStyle w:val="TableParagraph"/>
              <w:ind w:right="96"/>
              <w:jc w:val="right"/>
              <w:rPr>
                <w:b/>
                <w:sz w:val="19"/>
              </w:rPr>
            </w:pPr>
            <w:r>
              <w:rPr>
                <w:b/>
                <w:w w:val="95"/>
                <w:sz w:val="19"/>
              </w:rPr>
              <w:t>14,197</w:t>
            </w:r>
          </w:p>
        </w:tc>
        <w:tc>
          <w:tcPr>
            <w:tcW w:w="1100" w:type="dxa"/>
            <w:tcBorders>
              <w:top w:val="single" w:sz="4" w:space="0" w:color="000000"/>
              <w:left w:val="nil"/>
              <w:bottom w:val="double" w:sz="2" w:space="0" w:color="000000"/>
              <w:right w:val="nil"/>
            </w:tcBorders>
            <w:shd w:val="clear" w:color="auto" w:fill="FAF9F9"/>
          </w:tcPr>
          <w:p>
            <w:pPr>
              <w:pStyle w:val="TableParagraph"/>
              <w:ind w:right="96"/>
              <w:jc w:val="right"/>
              <w:rPr>
                <w:b/>
                <w:sz w:val="19"/>
              </w:rPr>
            </w:pPr>
            <w:r>
              <w:rPr>
                <w:b/>
                <w:w w:val="95"/>
                <w:sz w:val="19"/>
              </w:rPr>
              <w:t>410,183</w:t>
            </w:r>
          </w:p>
        </w:tc>
      </w:tr>
      <w:tr>
        <w:trPr>
          <w:trHeight w:val="273" w:hRule="atLeast"/>
        </w:trPr>
        <w:tc>
          <w:tcPr>
            <w:tcW w:w="3197" w:type="dxa"/>
            <w:shd w:val="clear" w:color="auto" w:fill="F4F4F4"/>
          </w:tcPr>
          <w:p>
            <w:pPr>
              <w:pStyle w:val="TableParagraph"/>
              <w:spacing w:before="0"/>
              <w:rPr>
                <w:rFonts w:ascii="Times New Roman"/>
                <w:sz w:val="18"/>
              </w:rPr>
            </w:pPr>
          </w:p>
        </w:tc>
        <w:tc>
          <w:tcPr>
            <w:tcW w:w="1099" w:type="dxa"/>
            <w:shd w:val="clear" w:color="auto" w:fill="F4F4F4"/>
          </w:tcPr>
          <w:p>
            <w:pPr>
              <w:pStyle w:val="TableParagraph"/>
              <w:spacing w:before="0"/>
              <w:rPr>
                <w:rFonts w:ascii="Times New Roman"/>
                <w:sz w:val="18"/>
              </w:rPr>
            </w:pPr>
          </w:p>
        </w:tc>
        <w:tc>
          <w:tcPr>
            <w:tcW w:w="1156" w:type="dxa"/>
            <w:tcBorders>
              <w:top w:val="double" w:sz="2" w:space="0" w:color="000000"/>
            </w:tcBorders>
            <w:shd w:val="clear" w:color="auto" w:fill="F4F4F4"/>
          </w:tcPr>
          <w:p>
            <w:pPr>
              <w:pStyle w:val="TableParagraph"/>
              <w:spacing w:before="0"/>
              <w:rPr>
                <w:rFonts w:ascii="Times New Roman"/>
                <w:sz w:val="18"/>
              </w:rPr>
            </w:pPr>
          </w:p>
        </w:tc>
        <w:tc>
          <w:tcPr>
            <w:tcW w:w="1043" w:type="dxa"/>
            <w:tcBorders>
              <w:top w:val="double" w:sz="2" w:space="0" w:color="000000"/>
            </w:tcBorders>
            <w:shd w:val="clear" w:color="auto" w:fill="F4F4F4"/>
          </w:tcPr>
          <w:p>
            <w:pPr>
              <w:pStyle w:val="TableParagraph"/>
              <w:spacing w:before="0"/>
              <w:rPr>
                <w:rFonts w:ascii="Times New Roman"/>
                <w:sz w:val="18"/>
              </w:rPr>
            </w:pPr>
          </w:p>
        </w:tc>
        <w:tc>
          <w:tcPr>
            <w:tcW w:w="1156" w:type="dxa"/>
            <w:tcBorders>
              <w:top w:val="double" w:sz="2" w:space="0" w:color="000000"/>
            </w:tcBorders>
            <w:shd w:val="clear" w:color="auto" w:fill="F4F4F4"/>
          </w:tcPr>
          <w:p>
            <w:pPr>
              <w:pStyle w:val="TableParagraph"/>
              <w:spacing w:before="0"/>
              <w:rPr>
                <w:rFonts w:ascii="Times New Roman"/>
                <w:sz w:val="18"/>
              </w:rPr>
            </w:pPr>
          </w:p>
        </w:tc>
        <w:tc>
          <w:tcPr>
            <w:tcW w:w="1156" w:type="dxa"/>
            <w:tcBorders>
              <w:top w:val="double" w:sz="2" w:space="0" w:color="000000"/>
              <w:right w:val="single" w:sz="4" w:space="0" w:color="000000"/>
            </w:tcBorders>
            <w:shd w:val="clear" w:color="auto" w:fill="F4F4F4"/>
          </w:tcPr>
          <w:p>
            <w:pPr>
              <w:pStyle w:val="TableParagraph"/>
              <w:spacing w:before="0"/>
              <w:rPr>
                <w:rFonts w:ascii="Times New Roman"/>
                <w:sz w:val="18"/>
              </w:rPr>
            </w:pPr>
          </w:p>
        </w:tc>
        <w:tc>
          <w:tcPr>
            <w:tcW w:w="1156" w:type="dxa"/>
            <w:tcBorders>
              <w:top w:val="double" w:sz="2" w:space="0" w:color="000000"/>
              <w:left w:val="single" w:sz="4" w:space="0" w:color="000000"/>
              <w:right w:val="single" w:sz="4" w:space="0" w:color="000000"/>
            </w:tcBorders>
            <w:shd w:val="clear" w:color="auto" w:fill="F4F4F4"/>
          </w:tcPr>
          <w:p>
            <w:pPr>
              <w:pStyle w:val="TableParagraph"/>
              <w:spacing w:before="0"/>
              <w:rPr>
                <w:rFonts w:ascii="Times New Roman"/>
                <w:sz w:val="18"/>
              </w:rPr>
            </w:pPr>
          </w:p>
        </w:tc>
        <w:tc>
          <w:tcPr>
            <w:tcW w:w="1156" w:type="dxa"/>
            <w:tcBorders>
              <w:top w:val="double" w:sz="2" w:space="0" w:color="000000"/>
              <w:left w:val="single" w:sz="4" w:space="0" w:color="000000"/>
            </w:tcBorders>
            <w:shd w:val="clear" w:color="auto" w:fill="F4F4F4"/>
          </w:tcPr>
          <w:p>
            <w:pPr>
              <w:pStyle w:val="TableParagraph"/>
              <w:spacing w:before="0"/>
              <w:rPr>
                <w:rFonts w:ascii="Times New Roman"/>
                <w:sz w:val="18"/>
              </w:rPr>
            </w:pPr>
          </w:p>
        </w:tc>
        <w:tc>
          <w:tcPr>
            <w:tcW w:w="986" w:type="dxa"/>
            <w:tcBorders>
              <w:top w:val="double" w:sz="2" w:space="0" w:color="000000"/>
            </w:tcBorders>
            <w:shd w:val="clear" w:color="auto" w:fill="F4F4F4"/>
          </w:tcPr>
          <w:p>
            <w:pPr>
              <w:pStyle w:val="TableParagraph"/>
              <w:spacing w:before="0"/>
              <w:rPr>
                <w:rFonts w:ascii="Times New Roman"/>
                <w:sz w:val="18"/>
              </w:rPr>
            </w:pPr>
          </w:p>
        </w:tc>
        <w:tc>
          <w:tcPr>
            <w:tcW w:w="1043" w:type="dxa"/>
            <w:tcBorders>
              <w:top w:val="double" w:sz="2" w:space="0" w:color="000000"/>
            </w:tcBorders>
            <w:shd w:val="clear" w:color="auto" w:fill="F4F4F4"/>
          </w:tcPr>
          <w:p>
            <w:pPr>
              <w:pStyle w:val="TableParagraph"/>
              <w:spacing w:before="0"/>
              <w:rPr>
                <w:rFonts w:ascii="Times New Roman"/>
                <w:sz w:val="18"/>
              </w:rPr>
            </w:pPr>
          </w:p>
        </w:tc>
        <w:tc>
          <w:tcPr>
            <w:tcW w:w="1043" w:type="dxa"/>
            <w:tcBorders>
              <w:top w:val="double" w:sz="2" w:space="0" w:color="000000"/>
            </w:tcBorders>
            <w:shd w:val="clear" w:color="auto" w:fill="F4F4F4"/>
          </w:tcPr>
          <w:p>
            <w:pPr>
              <w:pStyle w:val="TableParagraph"/>
              <w:spacing w:before="0"/>
              <w:rPr>
                <w:rFonts w:ascii="Times New Roman"/>
                <w:sz w:val="18"/>
              </w:rPr>
            </w:pPr>
          </w:p>
        </w:tc>
        <w:tc>
          <w:tcPr>
            <w:tcW w:w="1100" w:type="dxa"/>
            <w:tcBorders>
              <w:top w:val="double" w:sz="2" w:space="0" w:color="000000"/>
              <w:right w:val="nil"/>
            </w:tcBorders>
            <w:shd w:val="clear" w:color="auto" w:fill="F4F4F4"/>
          </w:tcPr>
          <w:p>
            <w:pPr>
              <w:pStyle w:val="TableParagraph"/>
              <w:spacing w:before="0"/>
              <w:rPr>
                <w:rFonts w:ascii="Times New Roman"/>
                <w:sz w:val="18"/>
              </w:rPr>
            </w:pPr>
          </w:p>
        </w:tc>
      </w:tr>
      <w:tr>
        <w:trPr>
          <w:trHeight w:val="285" w:hRule="atLeast"/>
        </w:trPr>
        <w:tc>
          <w:tcPr>
            <w:tcW w:w="8807" w:type="dxa"/>
            <w:gridSpan w:val="6"/>
            <w:tcBorders>
              <w:right w:val="single" w:sz="4" w:space="0" w:color="000000"/>
            </w:tcBorders>
            <w:shd w:val="clear" w:color="auto" w:fill="FAF9F9"/>
          </w:tcPr>
          <w:p>
            <w:pPr>
              <w:pStyle w:val="TableParagraph"/>
              <w:ind w:left="113"/>
              <w:rPr>
                <w:i/>
                <w:sz w:val="19"/>
              </w:rPr>
            </w:pPr>
            <w:r>
              <w:rPr>
                <w:i/>
                <w:color w:val="A7BE39"/>
                <w:sz w:val="19"/>
              </w:rPr>
              <w:t>Financial Liabilities</w:t>
            </w:r>
          </w:p>
        </w:tc>
        <w:tc>
          <w:tcPr>
            <w:tcW w:w="1156" w:type="dxa"/>
            <w:tcBorders>
              <w:left w:val="single" w:sz="4" w:space="0" w:color="000000"/>
              <w:right w:val="single" w:sz="4" w:space="0" w:color="000000"/>
            </w:tcBorders>
            <w:shd w:val="clear" w:color="auto" w:fill="FAF9F9"/>
          </w:tcPr>
          <w:p>
            <w:pPr>
              <w:pStyle w:val="TableParagraph"/>
              <w:spacing w:before="0"/>
              <w:rPr>
                <w:rFonts w:ascii="Times New Roman"/>
                <w:sz w:val="18"/>
              </w:rPr>
            </w:pPr>
          </w:p>
        </w:tc>
        <w:tc>
          <w:tcPr>
            <w:tcW w:w="5328" w:type="dxa"/>
            <w:gridSpan w:val="5"/>
            <w:tcBorders>
              <w:left w:val="single" w:sz="4" w:space="0" w:color="000000"/>
              <w:right w:val="nil"/>
            </w:tcBorders>
            <w:shd w:val="clear" w:color="auto" w:fill="FAF9F9"/>
          </w:tcPr>
          <w:p>
            <w:pPr>
              <w:pStyle w:val="TableParagraph"/>
              <w:spacing w:before="0"/>
              <w:rPr>
                <w:rFonts w:ascii="Times New Roman"/>
                <w:sz w:val="18"/>
              </w:rPr>
            </w:pPr>
          </w:p>
        </w:tc>
      </w:tr>
      <w:tr>
        <w:trPr>
          <w:trHeight w:val="285" w:hRule="atLeast"/>
        </w:trPr>
        <w:tc>
          <w:tcPr>
            <w:tcW w:w="3197" w:type="dxa"/>
            <w:shd w:val="clear" w:color="auto" w:fill="F4F4F4"/>
          </w:tcPr>
          <w:p>
            <w:pPr>
              <w:pStyle w:val="TableParagraph"/>
              <w:ind w:left="113"/>
              <w:rPr>
                <w:sz w:val="10"/>
              </w:rPr>
            </w:pPr>
            <w:r>
              <w:rPr>
                <w:sz w:val="19"/>
              </w:rPr>
              <w:t>Payables</w:t>
            </w:r>
            <w:r>
              <w:rPr>
                <w:position w:val="6"/>
                <w:sz w:val="10"/>
              </w:rPr>
              <w:t>(b)</w:t>
            </w:r>
          </w:p>
        </w:tc>
        <w:tc>
          <w:tcPr>
            <w:tcW w:w="1099" w:type="dxa"/>
            <w:shd w:val="clear" w:color="auto" w:fill="F4F4F4"/>
          </w:tcPr>
          <w:p>
            <w:pPr>
              <w:pStyle w:val="TableParagraph"/>
              <w:ind w:right="90"/>
              <w:jc w:val="right"/>
              <w:rPr>
                <w:sz w:val="19"/>
              </w:rPr>
            </w:pPr>
            <w:r>
              <w:rPr>
                <w:w w:val="111"/>
                <w:sz w:val="19"/>
              </w:rPr>
              <w:t>-</w:t>
            </w:r>
          </w:p>
        </w:tc>
        <w:tc>
          <w:tcPr>
            <w:tcW w:w="1156" w:type="dxa"/>
            <w:shd w:val="clear" w:color="auto" w:fill="F4F4F4"/>
          </w:tcPr>
          <w:p>
            <w:pPr>
              <w:pStyle w:val="TableParagraph"/>
              <w:ind w:right="89"/>
              <w:jc w:val="right"/>
              <w:rPr>
                <w:sz w:val="19"/>
              </w:rPr>
            </w:pPr>
            <w:r>
              <w:rPr>
                <w:w w:val="95"/>
                <w:sz w:val="19"/>
              </w:rPr>
              <w:t>274,032</w:t>
            </w:r>
          </w:p>
        </w:tc>
        <w:tc>
          <w:tcPr>
            <w:tcW w:w="1043" w:type="dxa"/>
            <w:shd w:val="clear" w:color="auto" w:fill="F4F4F4"/>
          </w:tcPr>
          <w:p>
            <w:pPr>
              <w:pStyle w:val="TableParagraph"/>
              <w:ind w:right="89"/>
              <w:jc w:val="right"/>
              <w:rPr>
                <w:sz w:val="19"/>
              </w:rPr>
            </w:pPr>
            <w:r>
              <w:rPr>
                <w:w w:val="111"/>
                <w:sz w:val="19"/>
              </w:rPr>
              <w:t>-</w:t>
            </w:r>
          </w:p>
        </w:tc>
        <w:tc>
          <w:tcPr>
            <w:tcW w:w="1156" w:type="dxa"/>
            <w:shd w:val="clear" w:color="auto" w:fill="F4F4F4"/>
          </w:tcPr>
          <w:p>
            <w:pPr>
              <w:pStyle w:val="TableParagraph"/>
              <w:ind w:right="88"/>
              <w:jc w:val="right"/>
              <w:rPr>
                <w:sz w:val="19"/>
              </w:rPr>
            </w:pPr>
            <w:r>
              <w:rPr>
                <w:w w:val="111"/>
                <w:sz w:val="19"/>
              </w:rPr>
              <w:t>-</w:t>
            </w:r>
          </w:p>
        </w:tc>
        <w:tc>
          <w:tcPr>
            <w:tcW w:w="1156" w:type="dxa"/>
            <w:tcBorders>
              <w:right w:val="single" w:sz="4" w:space="0" w:color="000000"/>
            </w:tcBorders>
            <w:shd w:val="clear" w:color="auto" w:fill="F4F4F4"/>
          </w:tcPr>
          <w:p>
            <w:pPr>
              <w:pStyle w:val="TableParagraph"/>
              <w:ind w:right="93"/>
              <w:jc w:val="right"/>
              <w:rPr>
                <w:sz w:val="19"/>
              </w:rPr>
            </w:pPr>
            <w:r>
              <w:rPr>
                <w:w w:val="95"/>
                <w:sz w:val="19"/>
              </w:rPr>
              <w:t>274,032</w:t>
            </w:r>
          </w:p>
        </w:tc>
        <w:tc>
          <w:tcPr>
            <w:tcW w:w="1156" w:type="dxa"/>
            <w:tcBorders>
              <w:left w:val="single" w:sz="4" w:space="0" w:color="000000"/>
              <w:right w:val="single" w:sz="4" w:space="0" w:color="000000"/>
            </w:tcBorders>
            <w:shd w:val="clear" w:color="auto" w:fill="F4F4F4"/>
          </w:tcPr>
          <w:p>
            <w:pPr>
              <w:pStyle w:val="TableParagraph"/>
              <w:ind w:right="92"/>
              <w:jc w:val="right"/>
              <w:rPr>
                <w:sz w:val="19"/>
              </w:rPr>
            </w:pPr>
            <w:r>
              <w:rPr>
                <w:w w:val="95"/>
                <w:sz w:val="19"/>
              </w:rPr>
              <w:t>274,032</w:t>
            </w:r>
          </w:p>
        </w:tc>
        <w:tc>
          <w:tcPr>
            <w:tcW w:w="1156" w:type="dxa"/>
            <w:tcBorders>
              <w:left w:val="single" w:sz="4" w:space="0" w:color="000000"/>
            </w:tcBorders>
            <w:shd w:val="clear" w:color="auto" w:fill="F4F4F4"/>
          </w:tcPr>
          <w:p>
            <w:pPr>
              <w:pStyle w:val="TableParagraph"/>
              <w:ind w:right="87"/>
              <w:jc w:val="right"/>
              <w:rPr>
                <w:sz w:val="19"/>
              </w:rPr>
            </w:pPr>
            <w:r>
              <w:rPr>
                <w:w w:val="95"/>
                <w:sz w:val="19"/>
              </w:rPr>
              <w:t>273,713</w:t>
            </w:r>
          </w:p>
        </w:tc>
        <w:tc>
          <w:tcPr>
            <w:tcW w:w="986" w:type="dxa"/>
            <w:shd w:val="clear" w:color="auto" w:fill="F4F4F4"/>
          </w:tcPr>
          <w:p>
            <w:pPr>
              <w:pStyle w:val="TableParagraph"/>
              <w:ind w:right="86"/>
              <w:jc w:val="right"/>
              <w:rPr>
                <w:sz w:val="19"/>
              </w:rPr>
            </w:pPr>
            <w:r>
              <w:rPr>
                <w:w w:val="95"/>
                <w:sz w:val="19"/>
              </w:rPr>
              <w:t>316</w:t>
            </w:r>
          </w:p>
        </w:tc>
        <w:tc>
          <w:tcPr>
            <w:tcW w:w="1043" w:type="dxa"/>
            <w:shd w:val="clear" w:color="auto" w:fill="F4F4F4"/>
          </w:tcPr>
          <w:p>
            <w:pPr>
              <w:pStyle w:val="TableParagraph"/>
              <w:ind w:right="86"/>
              <w:jc w:val="right"/>
              <w:rPr>
                <w:sz w:val="19"/>
              </w:rPr>
            </w:pPr>
            <w:r>
              <w:rPr>
                <w:w w:val="111"/>
                <w:sz w:val="19"/>
              </w:rPr>
              <w:t>-</w:t>
            </w:r>
          </w:p>
        </w:tc>
        <w:tc>
          <w:tcPr>
            <w:tcW w:w="1043" w:type="dxa"/>
            <w:shd w:val="clear" w:color="auto" w:fill="F4F4F4"/>
          </w:tcPr>
          <w:p>
            <w:pPr>
              <w:pStyle w:val="TableParagraph"/>
              <w:ind w:right="86"/>
              <w:jc w:val="right"/>
              <w:rPr>
                <w:sz w:val="19"/>
              </w:rPr>
            </w:pPr>
            <w:r>
              <w:rPr>
                <w:w w:val="99"/>
                <w:sz w:val="19"/>
              </w:rPr>
              <w:t>3</w:t>
            </w:r>
          </w:p>
        </w:tc>
        <w:tc>
          <w:tcPr>
            <w:tcW w:w="1100" w:type="dxa"/>
            <w:tcBorders>
              <w:right w:val="nil"/>
            </w:tcBorders>
            <w:shd w:val="clear" w:color="auto" w:fill="F4F4F4"/>
          </w:tcPr>
          <w:p>
            <w:pPr>
              <w:pStyle w:val="TableParagraph"/>
              <w:ind w:right="96"/>
              <w:jc w:val="right"/>
              <w:rPr>
                <w:sz w:val="19"/>
              </w:rPr>
            </w:pPr>
            <w:r>
              <w:rPr>
                <w:w w:val="111"/>
                <w:sz w:val="19"/>
              </w:rPr>
              <w:t>-</w:t>
            </w:r>
          </w:p>
        </w:tc>
      </w:tr>
      <w:tr>
        <w:trPr>
          <w:trHeight w:val="285" w:hRule="atLeast"/>
        </w:trPr>
        <w:tc>
          <w:tcPr>
            <w:tcW w:w="3197" w:type="dxa"/>
            <w:tcBorders>
              <w:right w:val="nil"/>
            </w:tcBorders>
            <w:shd w:val="clear" w:color="auto" w:fill="FAF9F9"/>
          </w:tcPr>
          <w:p>
            <w:pPr>
              <w:pStyle w:val="TableParagraph"/>
              <w:ind w:left="113"/>
              <w:rPr>
                <w:sz w:val="19"/>
              </w:rPr>
            </w:pPr>
            <w:r>
              <w:rPr>
                <w:sz w:val="19"/>
              </w:rPr>
              <w:t>WATC borrowings</w:t>
            </w:r>
          </w:p>
        </w:tc>
        <w:tc>
          <w:tcPr>
            <w:tcW w:w="1099" w:type="dxa"/>
            <w:tcBorders>
              <w:left w:val="nil"/>
              <w:right w:val="nil"/>
            </w:tcBorders>
            <w:shd w:val="clear" w:color="auto" w:fill="FAF9F9"/>
          </w:tcPr>
          <w:p>
            <w:pPr>
              <w:pStyle w:val="TableParagraph"/>
              <w:ind w:right="100"/>
              <w:jc w:val="right"/>
              <w:rPr>
                <w:sz w:val="19"/>
              </w:rPr>
            </w:pPr>
            <w:r>
              <w:rPr>
                <w:w w:val="95"/>
                <w:sz w:val="19"/>
              </w:rPr>
              <w:t>2.79</w:t>
            </w:r>
          </w:p>
        </w:tc>
        <w:tc>
          <w:tcPr>
            <w:tcW w:w="1156" w:type="dxa"/>
            <w:tcBorders>
              <w:left w:val="nil"/>
              <w:right w:val="nil"/>
            </w:tcBorders>
            <w:shd w:val="clear" w:color="auto" w:fill="FAF9F9"/>
          </w:tcPr>
          <w:p>
            <w:pPr>
              <w:pStyle w:val="TableParagraph"/>
              <w:ind w:right="99"/>
              <w:jc w:val="right"/>
              <w:rPr>
                <w:sz w:val="19"/>
              </w:rPr>
            </w:pPr>
            <w:r>
              <w:rPr>
                <w:w w:val="95"/>
                <w:sz w:val="19"/>
              </w:rPr>
              <w:t>75,236</w:t>
            </w:r>
          </w:p>
        </w:tc>
        <w:tc>
          <w:tcPr>
            <w:tcW w:w="1043" w:type="dxa"/>
            <w:tcBorders>
              <w:left w:val="nil"/>
              <w:right w:val="nil"/>
            </w:tcBorders>
            <w:shd w:val="clear" w:color="auto" w:fill="FAF9F9"/>
          </w:tcPr>
          <w:p>
            <w:pPr>
              <w:pStyle w:val="TableParagraph"/>
              <w:ind w:right="99"/>
              <w:jc w:val="right"/>
              <w:rPr>
                <w:sz w:val="19"/>
              </w:rPr>
            </w:pPr>
            <w:r>
              <w:rPr>
                <w:w w:val="95"/>
                <w:sz w:val="19"/>
              </w:rPr>
              <w:t>75,236</w:t>
            </w:r>
          </w:p>
        </w:tc>
        <w:tc>
          <w:tcPr>
            <w:tcW w:w="1156" w:type="dxa"/>
            <w:tcBorders>
              <w:left w:val="nil"/>
              <w:right w:val="nil"/>
            </w:tcBorders>
            <w:shd w:val="clear" w:color="auto" w:fill="FAF9F9"/>
          </w:tcPr>
          <w:p>
            <w:pPr>
              <w:pStyle w:val="TableParagraph"/>
              <w:ind w:right="98"/>
              <w:jc w:val="right"/>
              <w:rPr>
                <w:sz w:val="19"/>
              </w:rPr>
            </w:pPr>
            <w:r>
              <w:rPr>
                <w:w w:val="111"/>
                <w:sz w:val="19"/>
              </w:rPr>
              <w:t>-</w:t>
            </w:r>
          </w:p>
        </w:tc>
        <w:tc>
          <w:tcPr>
            <w:tcW w:w="1156" w:type="dxa"/>
            <w:tcBorders>
              <w:left w:val="nil"/>
              <w:right w:val="single" w:sz="4" w:space="0" w:color="000000"/>
            </w:tcBorders>
            <w:shd w:val="clear" w:color="auto" w:fill="FAF9F9"/>
          </w:tcPr>
          <w:p>
            <w:pPr>
              <w:pStyle w:val="TableParagraph"/>
              <w:ind w:right="93"/>
              <w:jc w:val="right"/>
              <w:rPr>
                <w:sz w:val="19"/>
              </w:rPr>
            </w:pPr>
            <w:r>
              <w:rPr>
                <w:w w:val="111"/>
                <w:sz w:val="19"/>
              </w:rPr>
              <w:t>-</w:t>
            </w:r>
          </w:p>
        </w:tc>
        <w:tc>
          <w:tcPr>
            <w:tcW w:w="1156" w:type="dxa"/>
            <w:tcBorders>
              <w:left w:val="single" w:sz="4" w:space="0" w:color="000000"/>
              <w:right w:val="single" w:sz="4" w:space="0" w:color="000000"/>
            </w:tcBorders>
            <w:shd w:val="clear" w:color="auto" w:fill="FAF9F9"/>
          </w:tcPr>
          <w:p>
            <w:pPr>
              <w:pStyle w:val="TableParagraph"/>
              <w:ind w:right="92"/>
              <w:jc w:val="right"/>
              <w:rPr>
                <w:sz w:val="19"/>
              </w:rPr>
            </w:pPr>
            <w:r>
              <w:rPr>
                <w:w w:val="95"/>
                <w:sz w:val="19"/>
              </w:rPr>
              <w:t>75,236</w:t>
            </w:r>
          </w:p>
        </w:tc>
        <w:tc>
          <w:tcPr>
            <w:tcW w:w="1156" w:type="dxa"/>
            <w:tcBorders>
              <w:left w:val="single" w:sz="4" w:space="0" w:color="000000"/>
              <w:right w:val="nil"/>
            </w:tcBorders>
            <w:shd w:val="clear" w:color="auto" w:fill="FAF9F9"/>
          </w:tcPr>
          <w:p>
            <w:pPr>
              <w:pStyle w:val="TableParagraph"/>
              <w:ind w:right="97"/>
              <w:jc w:val="right"/>
              <w:rPr>
                <w:sz w:val="19"/>
              </w:rPr>
            </w:pPr>
            <w:r>
              <w:rPr>
                <w:w w:val="95"/>
                <w:sz w:val="19"/>
              </w:rPr>
              <w:t>1,694</w:t>
            </w:r>
          </w:p>
        </w:tc>
        <w:tc>
          <w:tcPr>
            <w:tcW w:w="986" w:type="dxa"/>
            <w:tcBorders>
              <w:left w:val="nil"/>
              <w:right w:val="nil"/>
            </w:tcBorders>
            <w:shd w:val="clear" w:color="auto" w:fill="FAF9F9"/>
          </w:tcPr>
          <w:p>
            <w:pPr>
              <w:pStyle w:val="TableParagraph"/>
              <w:ind w:right="96"/>
              <w:jc w:val="right"/>
              <w:rPr>
                <w:sz w:val="19"/>
              </w:rPr>
            </w:pPr>
            <w:r>
              <w:rPr>
                <w:w w:val="95"/>
                <w:sz w:val="19"/>
              </w:rPr>
              <w:t>3,838</w:t>
            </w:r>
          </w:p>
        </w:tc>
        <w:tc>
          <w:tcPr>
            <w:tcW w:w="1043" w:type="dxa"/>
            <w:tcBorders>
              <w:left w:val="nil"/>
              <w:right w:val="nil"/>
            </w:tcBorders>
            <w:shd w:val="clear" w:color="auto" w:fill="FAF9F9"/>
          </w:tcPr>
          <w:p>
            <w:pPr>
              <w:pStyle w:val="TableParagraph"/>
              <w:ind w:right="96"/>
              <w:jc w:val="right"/>
              <w:rPr>
                <w:sz w:val="19"/>
              </w:rPr>
            </w:pPr>
            <w:r>
              <w:rPr>
                <w:w w:val="95"/>
                <w:sz w:val="19"/>
              </w:rPr>
              <w:t>19,349</w:t>
            </w:r>
          </w:p>
        </w:tc>
        <w:tc>
          <w:tcPr>
            <w:tcW w:w="1043" w:type="dxa"/>
            <w:tcBorders>
              <w:left w:val="nil"/>
              <w:right w:val="nil"/>
            </w:tcBorders>
            <w:shd w:val="clear" w:color="auto" w:fill="FAF9F9"/>
          </w:tcPr>
          <w:p>
            <w:pPr>
              <w:pStyle w:val="TableParagraph"/>
              <w:ind w:right="96"/>
              <w:jc w:val="right"/>
              <w:rPr>
                <w:sz w:val="19"/>
              </w:rPr>
            </w:pPr>
            <w:r>
              <w:rPr>
                <w:w w:val="95"/>
                <w:sz w:val="19"/>
              </w:rPr>
              <w:t>50,356</w:t>
            </w:r>
          </w:p>
        </w:tc>
        <w:tc>
          <w:tcPr>
            <w:tcW w:w="1100" w:type="dxa"/>
            <w:tcBorders>
              <w:left w:val="nil"/>
              <w:right w:val="nil"/>
            </w:tcBorders>
            <w:shd w:val="clear" w:color="auto" w:fill="FAF9F9"/>
          </w:tcPr>
          <w:p>
            <w:pPr>
              <w:pStyle w:val="TableParagraph"/>
              <w:ind w:right="96"/>
              <w:jc w:val="right"/>
              <w:rPr>
                <w:sz w:val="19"/>
              </w:rPr>
            </w:pPr>
            <w:r>
              <w:rPr>
                <w:w w:val="111"/>
                <w:sz w:val="19"/>
              </w:rPr>
              <w:t>-</w:t>
            </w:r>
          </w:p>
        </w:tc>
      </w:tr>
      <w:tr>
        <w:trPr>
          <w:trHeight w:val="290" w:hRule="atLeast"/>
        </w:trPr>
        <w:tc>
          <w:tcPr>
            <w:tcW w:w="3197" w:type="dxa"/>
            <w:tcBorders>
              <w:bottom w:val="nil"/>
            </w:tcBorders>
            <w:shd w:val="clear" w:color="auto" w:fill="F4F4F4"/>
          </w:tcPr>
          <w:p>
            <w:pPr>
              <w:pStyle w:val="TableParagraph"/>
              <w:ind w:left="113"/>
              <w:rPr>
                <w:sz w:val="19"/>
              </w:rPr>
            </w:pPr>
            <w:r>
              <w:rPr>
                <w:sz w:val="19"/>
              </w:rPr>
              <w:t>Heritage Maintenance Payments</w:t>
            </w:r>
          </w:p>
        </w:tc>
        <w:tc>
          <w:tcPr>
            <w:tcW w:w="1099" w:type="dxa"/>
            <w:tcBorders>
              <w:bottom w:val="nil"/>
            </w:tcBorders>
            <w:shd w:val="clear" w:color="auto" w:fill="F4F4F4"/>
          </w:tcPr>
          <w:p>
            <w:pPr>
              <w:pStyle w:val="TableParagraph"/>
              <w:ind w:right="90"/>
              <w:jc w:val="right"/>
              <w:rPr>
                <w:sz w:val="19"/>
              </w:rPr>
            </w:pPr>
            <w:r>
              <w:rPr>
                <w:w w:val="95"/>
                <w:sz w:val="19"/>
              </w:rPr>
              <w:t>12.46</w:t>
            </w:r>
          </w:p>
        </w:tc>
        <w:tc>
          <w:tcPr>
            <w:tcW w:w="1156" w:type="dxa"/>
            <w:tcBorders>
              <w:bottom w:val="single" w:sz="4" w:space="0" w:color="000000"/>
            </w:tcBorders>
            <w:shd w:val="clear" w:color="auto" w:fill="F4F4F4"/>
          </w:tcPr>
          <w:p>
            <w:pPr>
              <w:pStyle w:val="TableParagraph"/>
              <w:ind w:right="89"/>
              <w:jc w:val="right"/>
              <w:rPr>
                <w:sz w:val="19"/>
              </w:rPr>
            </w:pPr>
            <w:r>
              <w:rPr>
                <w:w w:val="95"/>
                <w:sz w:val="19"/>
              </w:rPr>
              <w:t>53,080</w:t>
            </w:r>
          </w:p>
        </w:tc>
        <w:tc>
          <w:tcPr>
            <w:tcW w:w="1043" w:type="dxa"/>
            <w:tcBorders>
              <w:bottom w:val="single" w:sz="4" w:space="0" w:color="000000"/>
            </w:tcBorders>
            <w:shd w:val="clear" w:color="auto" w:fill="F4F4F4"/>
          </w:tcPr>
          <w:p>
            <w:pPr>
              <w:pStyle w:val="TableParagraph"/>
              <w:ind w:right="89"/>
              <w:jc w:val="right"/>
              <w:rPr>
                <w:sz w:val="19"/>
              </w:rPr>
            </w:pPr>
            <w:r>
              <w:rPr>
                <w:w w:val="95"/>
                <w:sz w:val="19"/>
              </w:rPr>
              <w:t>53,080</w:t>
            </w:r>
          </w:p>
        </w:tc>
        <w:tc>
          <w:tcPr>
            <w:tcW w:w="1156" w:type="dxa"/>
            <w:tcBorders>
              <w:bottom w:val="single" w:sz="4" w:space="0" w:color="000000"/>
            </w:tcBorders>
            <w:shd w:val="clear" w:color="auto" w:fill="F4F4F4"/>
          </w:tcPr>
          <w:p>
            <w:pPr>
              <w:pStyle w:val="TableParagraph"/>
              <w:ind w:right="88"/>
              <w:jc w:val="right"/>
              <w:rPr>
                <w:sz w:val="19"/>
              </w:rPr>
            </w:pPr>
            <w:r>
              <w:rPr>
                <w:w w:val="111"/>
                <w:sz w:val="19"/>
              </w:rPr>
              <w:t>-</w:t>
            </w:r>
          </w:p>
        </w:tc>
        <w:tc>
          <w:tcPr>
            <w:tcW w:w="1156" w:type="dxa"/>
            <w:tcBorders>
              <w:bottom w:val="single" w:sz="4" w:space="0" w:color="000000"/>
              <w:right w:val="single" w:sz="4" w:space="0" w:color="000000"/>
            </w:tcBorders>
            <w:shd w:val="clear" w:color="auto" w:fill="F4F4F4"/>
          </w:tcPr>
          <w:p>
            <w:pPr>
              <w:pStyle w:val="TableParagraph"/>
              <w:ind w:right="93"/>
              <w:jc w:val="right"/>
              <w:rPr>
                <w:sz w:val="19"/>
              </w:rPr>
            </w:pPr>
            <w:r>
              <w:rPr>
                <w:w w:val="111"/>
                <w:sz w:val="19"/>
              </w:rPr>
              <w:t>-</w:t>
            </w:r>
          </w:p>
        </w:tc>
        <w:tc>
          <w:tcPr>
            <w:tcW w:w="1156" w:type="dxa"/>
            <w:tcBorders>
              <w:left w:val="single" w:sz="4" w:space="0" w:color="000000"/>
              <w:bottom w:val="single" w:sz="4" w:space="0" w:color="000000"/>
              <w:right w:val="single" w:sz="4" w:space="0" w:color="000000"/>
            </w:tcBorders>
            <w:shd w:val="clear" w:color="auto" w:fill="F4F4F4"/>
          </w:tcPr>
          <w:p>
            <w:pPr>
              <w:pStyle w:val="TableParagraph"/>
              <w:ind w:right="92"/>
              <w:jc w:val="right"/>
              <w:rPr>
                <w:sz w:val="19"/>
              </w:rPr>
            </w:pPr>
            <w:r>
              <w:rPr>
                <w:w w:val="95"/>
                <w:sz w:val="19"/>
              </w:rPr>
              <w:t>53,080</w:t>
            </w:r>
          </w:p>
        </w:tc>
        <w:tc>
          <w:tcPr>
            <w:tcW w:w="1156" w:type="dxa"/>
            <w:tcBorders>
              <w:left w:val="single" w:sz="4" w:space="0" w:color="000000"/>
              <w:bottom w:val="single" w:sz="4" w:space="0" w:color="000000"/>
            </w:tcBorders>
            <w:shd w:val="clear" w:color="auto" w:fill="F4F4F4"/>
          </w:tcPr>
          <w:p>
            <w:pPr>
              <w:pStyle w:val="TableParagraph"/>
              <w:ind w:right="87"/>
              <w:jc w:val="right"/>
              <w:rPr>
                <w:sz w:val="19"/>
              </w:rPr>
            </w:pPr>
            <w:r>
              <w:rPr>
                <w:w w:val="95"/>
                <w:sz w:val="19"/>
              </w:rPr>
              <w:t>448</w:t>
            </w:r>
          </w:p>
        </w:tc>
        <w:tc>
          <w:tcPr>
            <w:tcW w:w="986" w:type="dxa"/>
            <w:tcBorders>
              <w:bottom w:val="single" w:sz="4" w:space="0" w:color="000000"/>
            </w:tcBorders>
            <w:shd w:val="clear" w:color="auto" w:fill="F4F4F4"/>
          </w:tcPr>
          <w:p>
            <w:pPr>
              <w:pStyle w:val="TableParagraph"/>
              <w:ind w:right="86"/>
              <w:jc w:val="right"/>
              <w:rPr>
                <w:sz w:val="19"/>
              </w:rPr>
            </w:pPr>
            <w:r>
              <w:rPr>
                <w:w w:val="95"/>
                <w:sz w:val="19"/>
              </w:rPr>
              <w:t>895</w:t>
            </w:r>
          </w:p>
        </w:tc>
        <w:tc>
          <w:tcPr>
            <w:tcW w:w="1043" w:type="dxa"/>
            <w:tcBorders>
              <w:bottom w:val="single" w:sz="4" w:space="0" w:color="000000"/>
            </w:tcBorders>
            <w:shd w:val="clear" w:color="auto" w:fill="F4F4F4"/>
          </w:tcPr>
          <w:p>
            <w:pPr>
              <w:pStyle w:val="TableParagraph"/>
              <w:ind w:right="86"/>
              <w:jc w:val="right"/>
              <w:rPr>
                <w:sz w:val="19"/>
              </w:rPr>
            </w:pPr>
            <w:r>
              <w:rPr>
                <w:w w:val="95"/>
                <w:sz w:val="19"/>
              </w:rPr>
              <w:t>4,077</w:t>
            </w:r>
          </w:p>
        </w:tc>
        <w:tc>
          <w:tcPr>
            <w:tcW w:w="1043" w:type="dxa"/>
            <w:tcBorders>
              <w:bottom w:val="single" w:sz="4" w:space="0" w:color="000000"/>
            </w:tcBorders>
            <w:shd w:val="clear" w:color="auto" w:fill="F4F4F4"/>
          </w:tcPr>
          <w:p>
            <w:pPr>
              <w:pStyle w:val="TableParagraph"/>
              <w:ind w:right="86"/>
              <w:jc w:val="right"/>
              <w:rPr>
                <w:sz w:val="19"/>
              </w:rPr>
            </w:pPr>
            <w:r>
              <w:rPr>
                <w:w w:val="95"/>
                <w:sz w:val="19"/>
              </w:rPr>
              <w:t>23,794</w:t>
            </w:r>
          </w:p>
        </w:tc>
        <w:tc>
          <w:tcPr>
            <w:tcW w:w="1100" w:type="dxa"/>
            <w:tcBorders>
              <w:bottom w:val="single" w:sz="4" w:space="0" w:color="000000"/>
              <w:right w:val="nil"/>
            </w:tcBorders>
            <w:shd w:val="clear" w:color="auto" w:fill="F4F4F4"/>
          </w:tcPr>
          <w:p>
            <w:pPr>
              <w:pStyle w:val="TableParagraph"/>
              <w:ind w:right="96"/>
              <w:jc w:val="right"/>
              <w:rPr>
                <w:sz w:val="19"/>
              </w:rPr>
            </w:pPr>
            <w:r>
              <w:rPr>
                <w:w w:val="95"/>
                <w:sz w:val="19"/>
              </w:rPr>
              <w:t>23,866</w:t>
            </w:r>
          </w:p>
        </w:tc>
      </w:tr>
      <w:tr>
        <w:trPr>
          <w:trHeight w:val="258" w:hRule="atLeast"/>
        </w:trPr>
        <w:tc>
          <w:tcPr>
            <w:tcW w:w="3197" w:type="dxa"/>
            <w:tcBorders>
              <w:top w:val="nil"/>
              <w:right w:val="nil"/>
            </w:tcBorders>
            <w:shd w:val="clear" w:color="auto" w:fill="FAF9F9"/>
          </w:tcPr>
          <w:p>
            <w:pPr>
              <w:pStyle w:val="TableParagraph"/>
              <w:spacing w:before="0"/>
              <w:rPr>
                <w:rFonts w:ascii="Times New Roman"/>
                <w:sz w:val="18"/>
              </w:rPr>
            </w:pPr>
          </w:p>
        </w:tc>
        <w:tc>
          <w:tcPr>
            <w:tcW w:w="1099" w:type="dxa"/>
            <w:tcBorders>
              <w:top w:val="nil"/>
              <w:left w:val="nil"/>
              <w:right w:val="nil"/>
            </w:tcBorders>
            <w:shd w:val="clear" w:color="auto" w:fill="FAF9F9"/>
          </w:tcPr>
          <w:p>
            <w:pPr>
              <w:pStyle w:val="TableParagraph"/>
              <w:spacing w:before="0"/>
              <w:rPr>
                <w:rFonts w:ascii="Times New Roman"/>
                <w:sz w:val="18"/>
              </w:rPr>
            </w:pPr>
          </w:p>
        </w:tc>
        <w:tc>
          <w:tcPr>
            <w:tcW w:w="1156"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9"/>
              <w:jc w:val="right"/>
              <w:rPr>
                <w:b/>
                <w:sz w:val="19"/>
              </w:rPr>
            </w:pPr>
            <w:r>
              <w:rPr>
                <w:b/>
                <w:w w:val="95"/>
                <w:sz w:val="19"/>
              </w:rPr>
              <w:t>402,348</w:t>
            </w:r>
          </w:p>
        </w:tc>
        <w:tc>
          <w:tcPr>
            <w:tcW w:w="1043"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9"/>
              <w:jc w:val="right"/>
              <w:rPr>
                <w:b/>
                <w:sz w:val="19"/>
              </w:rPr>
            </w:pPr>
            <w:r>
              <w:rPr>
                <w:b/>
                <w:w w:val="95"/>
                <w:sz w:val="19"/>
              </w:rPr>
              <w:t>128,316</w:t>
            </w:r>
          </w:p>
        </w:tc>
        <w:tc>
          <w:tcPr>
            <w:tcW w:w="1156"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8"/>
              <w:jc w:val="right"/>
              <w:rPr>
                <w:b/>
                <w:sz w:val="19"/>
              </w:rPr>
            </w:pPr>
            <w:r>
              <w:rPr>
                <w:b/>
                <w:w w:val="122"/>
                <w:sz w:val="19"/>
              </w:rPr>
              <w:t>-</w:t>
            </w:r>
          </w:p>
        </w:tc>
        <w:tc>
          <w:tcPr>
            <w:tcW w:w="1156" w:type="dxa"/>
            <w:tcBorders>
              <w:top w:val="single" w:sz="4" w:space="0" w:color="000000"/>
              <w:left w:val="nil"/>
              <w:bottom w:val="single" w:sz="34" w:space="0" w:color="FFFFFF"/>
              <w:right w:val="single" w:sz="4" w:space="0" w:color="000000"/>
            </w:tcBorders>
            <w:shd w:val="clear" w:color="auto" w:fill="FAF9F9"/>
          </w:tcPr>
          <w:p>
            <w:pPr>
              <w:pStyle w:val="TableParagraph"/>
              <w:spacing w:line="201" w:lineRule="exact" w:before="37"/>
              <w:ind w:right="93"/>
              <w:jc w:val="right"/>
              <w:rPr>
                <w:b/>
                <w:sz w:val="19"/>
              </w:rPr>
            </w:pPr>
            <w:r>
              <w:rPr>
                <w:b/>
                <w:w w:val="95"/>
                <w:sz w:val="19"/>
              </w:rPr>
              <w:t>274,032</w:t>
            </w:r>
          </w:p>
        </w:tc>
        <w:tc>
          <w:tcPr>
            <w:tcW w:w="1156" w:type="dxa"/>
            <w:tcBorders>
              <w:top w:val="single" w:sz="4" w:space="0" w:color="000000"/>
              <w:left w:val="single" w:sz="4" w:space="0" w:color="000000"/>
              <w:bottom w:val="single" w:sz="34" w:space="0" w:color="FFFFFF"/>
              <w:right w:val="single" w:sz="4" w:space="0" w:color="000000"/>
            </w:tcBorders>
            <w:shd w:val="clear" w:color="auto" w:fill="FAF9F9"/>
          </w:tcPr>
          <w:p>
            <w:pPr>
              <w:pStyle w:val="TableParagraph"/>
              <w:spacing w:line="201" w:lineRule="exact" w:before="37"/>
              <w:ind w:right="92"/>
              <w:jc w:val="right"/>
              <w:rPr>
                <w:b/>
                <w:sz w:val="19"/>
              </w:rPr>
            </w:pPr>
            <w:r>
              <w:rPr>
                <w:b/>
                <w:w w:val="95"/>
                <w:sz w:val="19"/>
              </w:rPr>
              <w:t>402,348</w:t>
            </w:r>
          </w:p>
        </w:tc>
        <w:tc>
          <w:tcPr>
            <w:tcW w:w="1156" w:type="dxa"/>
            <w:tcBorders>
              <w:top w:val="single" w:sz="4" w:space="0" w:color="000000"/>
              <w:left w:val="single" w:sz="4" w:space="0" w:color="000000"/>
              <w:bottom w:val="single" w:sz="34" w:space="0" w:color="FFFFFF"/>
              <w:right w:val="nil"/>
            </w:tcBorders>
            <w:shd w:val="clear" w:color="auto" w:fill="FAF9F9"/>
          </w:tcPr>
          <w:p>
            <w:pPr>
              <w:pStyle w:val="TableParagraph"/>
              <w:spacing w:line="201" w:lineRule="exact" w:before="37"/>
              <w:ind w:right="97"/>
              <w:jc w:val="right"/>
              <w:rPr>
                <w:b/>
                <w:sz w:val="19"/>
              </w:rPr>
            </w:pPr>
            <w:r>
              <w:rPr>
                <w:b/>
                <w:w w:val="95"/>
                <w:sz w:val="19"/>
              </w:rPr>
              <w:t>275,855</w:t>
            </w:r>
          </w:p>
        </w:tc>
        <w:tc>
          <w:tcPr>
            <w:tcW w:w="986"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6"/>
              <w:jc w:val="right"/>
              <w:rPr>
                <w:b/>
                <w:sz w:val="19"/>
              </w:rPr>
            </w:pPr>
            <w:r>
              <w:rPr>
                <w:b/>
                <w:w w:val="95"/>
                <w:sz w:val="19"/>
              </w:rPr>
              <w:t>5,049</w:t>
            </w:r>
          </w:p>
        </w:tc>
        <w:tc>
          <w:tcPr>
            <w:tcW w:w="1043" w:type="dxa"/>
            <w:tcBorders>
              <w:top w:val="single" w:sz="4" w:space="0" w:color="000000"/>
              <w:left w:val="nil"/>
              <w:bottom w:val="single" w:sz="34" w:space="0" w:color="FFFFFF"/>
              <w:right w:val="nil"/>
            </w:tcBorders>
            <w:shd w:val="clear" w:color="auto" w:fill="FAF9F9"/>
          </w:tcPr>
          <w:p>
            <w:pPr>
              <w:pStyle w:val="TableParagraph"/>
              <w:spacing w:line="201" w:lineRule="exact" w:before="37"/>
              <w:ind w:right="96"/>
              <w:jc w:val="right"/>
              <w:rPr>
                <w:b/>
                <w:sz w:val="19"/>
              </w:rPr>
            </w:pPr>
            <w:r>
              <w:rPr>
                <w:b/>
                <w:w w:val="95"/>
                <w:sz w:val="19"/>
              </w:rPr>
              <w:t>23,426</w:t>
            </w:r>
          </w:p>
        </w:tc>
        <w:tc>
          <w:tcPr>
            <w:tcW w:w="1043" w:type="dxa"/>
            <w:tcBorders>
              <w:top w:val="single" w:sz="4" w:space="0" w:color="000000"/>
              <w:left w:val="nil"/>
              <w:bottom w:val="single" w:sz="24" w:space="0" w:color="FFFFFF"/>
              <w:right w:val="nil"/>
            </w:tcBorders>
            <w:shd w:val="clear" w:color="auto" w:fill="FAF9F9"/>
          </w:tcPr>
          <w:p>
            <w:pPr>
              <w:pStyle w:val="TableParagraph"/>
              <w:spacing w:line="201" w:lineRule="exact" w:before="37"/>
              <w:ind w:right="96"/>
              <w:jc w:val="right"/>
              <w:rPr>
                <w:b/>
                <w:sz w:val="19"/>
              </w:rPr>
            </w:pPr>
            <w:r>
              <w:rPr>
                <w:b/>
                <w:w w:val="95"/>
                <w:sz w:val="19"/>
              </w:rPr>
              <w:t>74,153</w:t>
            </w:r>
          </w:p>
        </w:tc>
        <w:tc>
          <w:tcPr>
            <w:tcW w:w="1100" w:type="dxa"/>
            <w:tcBorders>
              <w:top w:val="single" w:sz="4" w:space="0" w:color="000000"/>
              <w:left w:val="nil"/>
              <w:bottom w:val="single" w:sz="24" w:space="0" w:color="FFFFFF"/>
              <w:right w:val="nil"/>
            </w:tcBorders>
            <w:shd w:val="clear" w:color="auto" w:fill="FAF9F9"/>
          </w:tcPr>
          <w:p>
            <w:pPr>
              <w:pStyle w:val="TableParagraph"/>
              <w:spacing w:line="201" w:lineRule="exact" w:before="37"/>
              <w:ind w:right="96"/>
              <w:jc w:val="right"/>
              <w:rPr>
                <w:b/>
                <w:sz w:val="19"/>
              </w:rPr>
            </w:pPr>
            <w:r>
              <w:rPr>
                <w:b/>
                <w:w w:val="95"/>
                <w:sz w:val="19"/>
              </w:rPr>
              <w:t>23,866</w:t>
            </w:r>
          </w:p>
        </w:tc>
      </w:tr>
    </w:tbl>
    <w:p>
      <w:pPr>
        <w:pStyle w:val="BodyText"/>
        <w:spacing w:line="20" w:lineRule="exact"/>
        <w:ind w:left="13923"/>
        <w:rPr>
          <w:sz w:val="2"/>
        </w:rPr>
      </w:pPr>
      <w:r>
        <w:rPr>
          <w:sz w:val="2"/>
        </w:rPr>
        <w:pict>
          <v:group style="width:107.15pt;height:.550pt;mso-position-horizontal-relative:char;mso-position-vertical-relative:line" coordorigin="0,0" coordsize="2143,11">
            <v:line style="position:absolute" from="0,5" to="1043,5" stroked="true" strokeweight=".501pt" strokecolor="#000000">
              <v:stroke dashstyle="solid"/>
            </v:line>
            <v:line style="position:absolute" from="1043,5" to="2143,5" stroked="true" strokeweight=".501pt" strokecolor="#000000">
              <v:stroke dashstyle="solid"/>
            </v:line>
          </v:group>
        </w:pict>
      </w:r>
      <w:r>
        <w:rPr>
          <w:sz w:val="2"/>
        </w:rPr>
      </w:r>
    </w:p>
    <w:p>
      <w:pPr>
        <w:pStyle w:val="BodyText"/>
        <w:spacing w:before="4"/>
        <w:rPr>
          <w:b/>
          <w:sz w:val="27"/>
        </w:rPr>
      </w:pPr>
    </w:p>
    <w:p>
      <w:pPr>
        <w:pStyle w:val="ListParagraph"/>
        <w:numPr>
          <w:ilvl w:val="0"/>
          <w:numId w:val="19"/>
        </w:numPr>
        <w:tabs>
          <w:tab w:pos="958" w:val="left" w:leader="none"/>
        </w:tabs>
        <w:spacing w:line="240" w:lineRule="auto" w:before="0" w:after="0"/>
        <w:ind w:left="957" w:right="0" w:hanging="192"/>
        <w:jc w:val="left"/>
        <w:rPr>
          <w:sz w:val="15"/>
        </w:rPr>
      </w:pPr>
      <w:r>
        <w:rPr>
          <w:sz w:val="15"/>
        </w:rPr>
        <w:t>The amount of receivables excludes GST recoverable from the </w:t>
      </w:r>
      <w:r>
        <w:rPr>
          <w:spacing w:val="-4"/>
          <w:sz w:val="15"/>
        </w:rPr>
        <w:t>ATO </w:t>
      </w:r>
      <w:r>
        <w:rPr>
          <w:sz w:val="15"/>
        </w:rPr>
        <w:t>(statutory</w:t>
      </w:r>
      <w:r>
        <w:rPr>
          <w:spacing w:val="-8"/>
          <w:sz w:val="15"/>
        </w:rPr>
        <w:t> </w:t>
      </w:r>
      <w:r>
        <w:rPr>
          <w:sz w:val="15"/>
        </w:rPr>
        <w:t>receivable).</w:t>
      </w:r>
    </w:p>
    <w:p>
      <w:pPr>
        <w:pStyle w:val="ListParagraph"/>
        <w:numPr>
          <w:ilvl w:val="0"/>
          <w:numId w:val="19"/>
        </w:numPr>
        <w:tabs>
          <w:tab w:pos="966" w:val="left" w:leader="none"/>
        </w:tabs>
        <w:spacing w:line="240" w:lineRule="auto" w:before="27" w:after="0"/>
        <w:ind w:left="965" w:right="0" w:hanging="200"/>
        <w:jc w:val="left"/>
        <w:rPr>
          <w:sz w:val="15"/>
        </w:rPr>
      </w:pPr>
      <w:r>
        <w:rPr>
          <w:sz w:val="15"/>
        </w:rPr>
        <w:t>The amount of payables excludes GST payable to the </w:t>
      </w:r>
      <w:r>
        <w:rPr>
          <w:spacing w:val="-4"/>
          <w:sz w:val="15"/>
        </w:rPr>
        <w:t>ATO </w:t>
      </w:r>
      <w:r>
        <w:rPr>
          <w:sz w:val="15"/>
        </w:rPr>
        <w:t>(statutory</w:t>
      </w:r>
      <w:r>
        <w:rPr>
          <w:spacing w:val="-5"/>
          <w:sz w:val="15"/>
        </w:rPr>
        <w:t> </w:t>
      </w:r>
      <w:r>
        <w:rPr>
          <w:sz w:val="15"/>
        </w:rPr>
        <w:t>payable).</w:t>
      </w:r>
    </w:p>
    <w:p>
      <w:pPr>
        <w:spacing w:after="0" w:line="240" w:lineRule="auto"/>
        <w:jc w:val="left"/>
        <w:rPr>
          <w:sz w:val="15"/>
        </w:rPr>
        <w:sectPr>
          <w:footerReference w:type="default" r:id="rId225"/>
          <w:pgSz w:w="16840" w:h="11910" w:orient="landscape"/>
          <w:pgMar w:footer="448" w:header="0" w:top="0" w:bottom="64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5"/>
        <w:rPr>
          <w:sz w:val="21"/>
        </w:rPr>
      </w:pPr>
    </w:p>
    <w:p>
      <w:pPr>
        <w:pStyle w:val="Heading1"/>
      </w:pPr>
      <w:r>
        <w:rPr/>
        <w:pict>
          <v:group style="position:absolute;margin-left:763.172119pt;margin-top:-3.594212pt;width:61.1pt;height:45.2pt;mso-position-horizontal-relative:page;mso-position-vertical-relative:paragraph;z-index:22624"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120.3pt;height:42.55pt;mso-position-horizontal-relative:page;mso-position-vertical-relative:paragraph;z-index:22672" coordorigin="0,-1147" coordsize="2406,851">
            <v:rect style="position:absolute;left:0;top:-1148;width:2406;height:851" filled="true" fillcolor="#aebd37" stroked="false">
              <v:fill type="solid"/>
            </v:rect>
            <v:shape style="position:absolute;left:0;top:-1148;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7421pt;width:360.85pt;height:42.55pt;mso-position-horizontal-relative:page;mso-position-vertical-relative:paragraph;z-index:22768" coordorigin="9622,-1147" coordsize="7217,851">
            <v:rect style="position:absolute;left:14432;top:-1148;width:2406;height:851" filled="true" fillcolor="#aebd37"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8;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8;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4"/>
        <w:rPr>
          <w:sz w:val="15"/>
        </w:rPr>
      </w:pPr>
    </w:p>
    <w:p>
      <w:pPr>
        <w:spacing w:after="0"/>
        <w:rPr>
          <w:sz w:val="15"/>
        </w:rPr>
        <w:sectPr>
          <w:footerReference w:type="default" r:id="rId226"/>
          <w:pgSz w:w="16840" w:h="11910" w:orient="landscape"/>
          <w:pgMar w:footer="448" w:header="0" w:top="0" w:bottom="640" w:left="0" w:right="0"/>
        </w:sectPr>
      </w:pPr>
    </w:p>
    <w:p>
      <w:pPr>
        <w:spacing w:before="103"/>
        <w:ind w:left="765" w:right="0" w:firstLine="0"/>
        <w:jc w:val="left"/>
        <w:rPr>
          <w:i/>
          <w:sz w:val="22"/>
        </w:rPr>
      </w:pPr>
      <w:r>
        <w:rPr>
          <w:i/>
          <w:sz w:val="22"/>
        </w:rPr>
        <w:t>Interest rate sensitivity analysis</w:t>
      </w:r>
    </w:p>
    <w:p>
      <w:pPr>
        <w:pStyle w:val="BodyText"/>
        <w:spacing w:line="249" w:lineRule="auto" w:before="11"/>
        <w:ind w:left="765" w:right="-10"/>
      </w:pPr>
      <w:r>
        <w:rPr/>
        <w:t>The following table represents a summary of the interest rate sensitivity of the </w:t>
      </w:r>
      <w:r>
        <w:rPr>
          <w:spacing w:val="-3"/>
        </w:rPr>
        <w:t>Department’s </w:t>
      </w:r>
      <w:r>
        <w:rPr/>
        <w:t>financial assets and liabilities at the end of the reporting period</w:t>
      </w:r>
      <w:r>
        <w:rPr>
          <w:spacing w:val="-12"/>
        </w:rPr>
        <w:t> </w:t>
      </w:r>
      <w:r>
        <w:rPr/>
        <w:t>on</w:t>
      </w:r>
      <w:r>
        <w:rPr>
          <w:spacing w:val="-11"/>
        </w:rPr>
        <w:t> </w:t>
      </w:r>
      <w:r>
        <w:rPr/>
        <w:t>the</w:t>
      </w:r>
      <w:r>
        <w:rPr>
          <w:spacing w:val="-11"/>
        </w:rPr>
        <w:t> </w:t>
      </w:r>
      <w:r>
        <w:rPr/>
        <w:t>surplus</w:t>
      </w:r>
      <w:r>
        <w:rPr>
          <w:spacing w:val="-11"/>
        </w:rPr>
        <w:t> </w:t>
      </w:r>
      <w:r>
        <w:rPr/>
        <w:t>for</w:t>
      </w:r>
      <w:r>
        <w:rPr>
          <w:spacing w:val="-11"/>
        </w:rPr>
        <w:t> </w:t>
      </w:r>
      <w:r>
        <w:rPr/>
        <w:t>the</w:t>
      </w:r>
      <w:r>
        <w:rPr>
          <w:spacing w:val="-12"/>
        </w:rPr>
        <w:t> </w:t>
      </w:r>
      <w:r>
        <w:rPr/>
        <w:t>period</w:t>
      </w:r>
      <w:r>
        <w:rPr>
          <w:spacing w:val="-11"/>
        </w:rPr>
        <w:t> </w:t>
      </w:r>
      <w:r>
        <w:rPr/>
        <w:t>and</w:t>
      </w:r>
      <w:r>
        <w:rPr>
          <w:spacing w:val="-11"/>
        </w:rPr>
        <w:t> </w:t>
      </w:r>
      <w:r>
        <w:rPr/>
        <w:t>equity</w:t>
      </w:r>
      <w:r>
        <w:rPr>
          <w:spacing w:val="-11"/>
        </w:rPr>
        <w:t> </w:t>
      </w:r>
      <w:r>
        <w:rPr/>
        <w:t>for</w:t>
      </w:r>
      <w:r>
        <w:rPr>
          <w:spacing w:val="-11"/>
        </w:rPr>
        <w:t> </w:t>
      </w:r>
      <w:r>
        <w:rPr/>
        <w:t>a</w:t>
      </w:r>
      <w:r>
        <w:rPr>
          <w:spacing w:val="-11"/>
        </w:rPr>
        <w:t> </w:t>
      </w:r>
      <w:r>
        <w:rPr/>
        <w:t>one</w:t>
      </w:r>
      <w:r>
        <w:rPr>
          <w:spacing w:val="-12"/>
        </w:rPr>
        <w:t> </w:t>
      </w:r>
      <w:r>
        <w:rPr/>
        <w:t>per</w:t>
      </w:r>
      <w:r>
        <w:rPr>
          <w:spacing w:val="-11"/>
        </w:rPr>
        <w:t> </w:t>
      </w:r>
      <w:r>
        <w:rPr/>
        <w:t>cent</w:t>
      </w:r>
      <w:r>
        <w:rPr>
          <w:spacing w:val="-11"/>
        </w:rPr>
        <w:t> </w:t>
      </w:r>
      <w:r>
        <w:rPr/>
        <w:t>change</w:t>
      </w:r>
      <w:r>
        <w:rPr>
          <w:spacing w:val="-11"/>
        </w:rPr>
        <w:t> </w:t>
      </w:r>
      <w:r>
        <w:rPr/>
        <w:t>in interest</w:t>
      </w:r>
      <w:r>
        <w:rPr>
          <w:spacing w:val="-18"/>
        </w:rPr>
        <w:t> </w:t>
      </w:r>
      <w:r>
        <w:rPr/>
        <w:t>rates.</w:t>
      </w:r>
      <w:r>
        <w:rPr>
          <w:spacing w:val="-17"/>
        </w:rPr>
        <w:t> </w:t>
      </w:r>
      <w:r>
        <w:rPr/>
        <w:t>It</w:t>
      </w:r>
      <w:r>
        <w:rPr>
          <w:spacing w:val="-17"/>
        </w:rPr>
        <w:t> </w:t>
      </w:r>
      <w:r>
        <w:rPr/>
        <w:t>is</w:t>
      </w:r>
      <w:r>
        <w:rPr>
          <w:spacing w:val="-18"/>
        </w:rPr>
        <w:t> </w:t>
      </w:r>
      <w:r>
        <w:rPr/>
        <w:t>assumed</w:t>
      </w:r>
      <w:r>
        <w:rPr>
          <w:spacing w:val="-17"/>
        </w:rPr>
        <w:t> </w:t>
      </w:r>
      <w:r>
        <w:rPr/>
        <w:t>that</w:t>
      </w:r>
      <w:r>
        <w:rPr>
          <w:spacing w:val="-17"/>
        </w:rPr>
        <w:t> </w:t>
      </w:r>
      <w:r>
        <w:rPr/>
        <w:t>the</w:t>
      </w:r>
      <w:r>
        <w:rPr>
          <w:spacing w:val="-18"/>
        </w:rPr>
        <w:t> </w:t>
      </w:r>
      <w:r>
        <w:rPr/>
        <w:t>change</w:t>
      </w:r>
      <w:r>
        <w:rPr>
          <w:spacing w:val="-17"/>
        </w:rPr>
        <w:t> </w:t>
      </w:r>
      <w:r>
        <w:rPr/>
        <w:t>in</w:t>
      </w:r>
      <w:r>
        <w:rPr>
          <w:spacing w:val="-17"/>
        </w:rPr>
        <w:t> </w:t>
      </w:r>
      <w:r>
        <w:rPr/>
        <w:t>interest</w:t>
      </w:r>
      <w:r>
        <w:rPr>
          <w:spacing w:val="-18"/>
        </w:rPr>
        <w:t> </w:t>
      </w:r>
      <w:r>
        <w:rPr/>
        <w:t>rates</w:t>
      </w:r>
      <w:r>
        <w:rPr>
          <w:spacing w:val="-17"/>
        </w:rPr>
        <w:t> </w:t>
      </w:r>
      <w:r>
        <w:rPr/>
        <w:t>is</w:t>
      </w:r>
      <w:r>
        <w:rPr>
          <w:spacing w:val="-17"/>
        </w:rPr>
        <w:t> </w:t>
      </w:r>
      <w:r>
        <w:rPr/>
        <w:t>held</w:t>
      </w:r>
      <w:r>
        <w:rPr>
          <w:spacing w:val="-18"/>
        </w:rPr>
        <w:t> </w:t>
      </w:r>
      <w:r>
        <w:rPr>
          <w:spacing w:val="-3"/>
        </w:rPr>
        <w:t>constant </w:t>
      </w:r>
      <w:r>
        <w:rPr/>
        <w:t>throughout the reporting</w:t>
      </w:r>
      <w:r>
        <w:rPr>
          <w:spacing w:val="-3"/>
        </w:rPr>
        <w:t> </w:t>
      </w:r>
      <w:r>
        <w:rPr/>
        <w:t>period.</w:t>
      </w:r>
    </w:p>
    <w:p>
      <w:pPr>
        <w:spacing w:before="103"/>
        <w:ind w:left="638" w:right="0" w:firstLine="0"/>
        <w:jc w:val="left"/>
        <w:rPr>
          <w:i/>
          <w:sz w:val="22"/>
        </w:rPr>
      </w:pPr>
      <w:r>
        <w:rPr/>
        <w:br w:type="column"/>
      </w:r>
      <w:r>
        <w:rPr>
          <w:i/>
          <w:sz w:val="22"/>
        </w:rPr>
        <w:t>Fair values</w:t>
      </w:r>
    </w:p>
    <w:p>
      <w:pPr>
        <w:pStyle w:val="BodyText"/>
        <w:spacing w:line="249" w:lineRule="auto" w:before="11"/>
        <w:ind w:left="638" w:right="635"/>
      </w:pPr>
      <w:r>
        <w:rPr/>
        <w:t>All financial assets and liabilities recognised in the Statement of Financial Position, whether they are carried at cost or fair value, are recognised at amounts that represent a reasonable approximation of fair value unless otherwise stated in the applicable notes.</w:t>
      </w:r>
    </w:p>
    <w:p>
      <w:pPr>
        <w:pStyle w:val="BodyText"/>
        <w:spacing w:before="8"/>
        <w:rPr>
          <w:sz w:val="23"/>
        </w:rPr>
      </w:pPr>
    </w:p>
    <w:p>
      <w:pPr>
        <w:pStyle w:val="Heading4"/>
        <w:spacing w:before="0"/>
        <w:ind w:left="638"/>
      </w:pPr>
      <w:r>
        <w:rPr/>
        <w:pict>
          <v:shape style="position:absolute;margin-left:38.2677pt;margin-top:16.408384pt;width:371.85pt;height:92.6pt;mso-position-horizontal-relative:page;mso-position-vertical-relative:paragraph;z-index:22792"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551"/>
                    <w:gridCol w:w="1020"/>
                    <w:gridCol w:w="963"/>
                    <w:gridCol w:w="963"/>
                    <w:gridCol w:w="963"/>
                    <w:gridCol w:w="963"/>
                  </w:tblGrid>
                  <w:tr>
                    <w:trPr>
                      <w:trHeight w:val="844" w:hRule="atLeast"/>
                    </w:trPr>
                    <w:tc>
                      <w:tcPr>
                        <w:tcW w:w="7423" w:type="dxa"/>
                        <w:gridSpan w:val="6"/>
                        <w:tcBorders>
                          <w:top w:val="nil"/>
                          <w:bottom w:val="nil"/>
                          <w:right w:val="nil"/>
                        </w:tcBorders>
                        <w:shd w:val="clear" w:color="auto" w:fill="783A79"/>
                      </w:tcPr>
                      <w:p>
                        <w:pPr>
                          <w:pStyle w:val="TableParagraph"/>
                          <w:tabs>
                            <w:tab w:pos="3732" w:val="left" w:leader="none"/>
                            <w:tab w:pos="3764" w:val="left" w:leader="none"/>
                            <w:tab w:pos="4819" w:val="left" w:leader="none"/>
                            <w:tab w:pos="5659" w:val="left" w:leader="none"/>
                            <w:tab w:pos="6747" w:val="left" w:leader="none"/>
                          </w:tabs>
                          <w:spacing w:line="247" w:lineRule="auto" w:before="42"/>
                          <w:ind w:left="2768" w:right="97" w:hanging="85"/>
                          <w:rPr>
                            <w:b/>
                            <w:sz w:val="19"/>
                          </w:rPr>
                        </w:pPr>
                        <w:r>
                          <w:rPr>
                            <w:b/>
                            <w:color w:val="FFFFFF"/>
                            <w:sz w:val="19"/>
                          </w:rPr>
                          <w:t>Carrying</w:t>
                          <w:tab/>
                          <w:tab/>
                          <w:t>-100</w:t>
                        </w:r>
                        <w:r>
                          <w:rPr>
                            <w:b/>
                            <w:color w:val="FFFFFF"/>
                            <w:spacing w:val="-1"/>
                            <w:sz w:val="19"/>
                          </w:rPr>
                          <w:t> </w:t>
                        </w:r>
                        <w:r>
                          <w:rPr>
                            <w:b/>
                            <w:color w:val="FFFFFF"/>
                            <w:sz w:val="19"/>
                          </w:rPr>
                          <w:t>basis points</w:t>
                          <w:tab/>
                          <w:t>+100 basis points </w:t>
                        </w:r>
                        <w:r>
                          <w:rPr>
                            <w:b/>
                            <w:color w:val="FFFFFF"/>
                            <w:position w:val="8"/>
                            <w:sz w:val="19"/>
                          </w:rPr>
                          <w:t>amount</w:t>
                          <w:tab/>
                        </w:r>
                        <w:r>
                          <w:rPr>
                            <w:b/>
                            <w:color w:val="FFFFFF"/>
                            <w:sz w:val="19"/>
                          </w:rPr>
                          <w:t>Surplus</w:t>
                          <w:tab/>
                          <w:t>Equity</w:t>
                          <w:tab/>
                          <w:t>Surplus</w:t>
                          <w:tab/>
                        </w:r>
                        <w:r>
                          <w:rPr>
                            <w:b/>
                            <w:color w:val="FFFFFF"/>
                            <w:spacing w:val="-3"/>
                            <w:w w:val="95"/>
                            <w:sz w:val="19"/>
                          </w:rPr>
                          <w:t>Equity</w:t>
                        </w:r>
                      </w:p>
                      <w:p>
                        <w:pPr>
                          <w:pStyle w:val="TableParagraph"/>
                          <w:tabs>
                            <w:tab w:pos="3035" w:val="left" w:leader="none"/>
                            <w:tab w:pos="3999" w:val="left" w:leader="none"/>
                            <w:tab w:pos="4963" w:val="left" w:leader="none"/>
                            <w:tab w:pos="5927" w:val="left" w:leader="none"/>
                            <w:tab w:pos="6890" w:val="left" w:leader="none"/>
                          </w:tabs>
                          <w:spacing w:before="4"/>
                          <w:ind w:left="113"/>
                          <w:rPr>
                            <w:b/>
                            <w:sz w:val="19"/>
                          </w:rPr>
                        </w:pPr>
                        <w:r>
                          <w:rPr>
                            <w:b/>
                            <w:color w:val="FFFFFF"/>
                            <w:sz w:val="19"/>
                          </w:rPr>
                          <w:t>2017</w:t>
                          <w:tab/>
                          <w:t>$000</w:t>
                          <w:tab/>
                          <w:t>$000</w:t>
                          <w:tab/>
                          <w:t>$000</w:t>
                          <w:tab/>
                          <w:t>$000</w:t>
                          <w:tab/>
                          <w:t>$000</w:t>
                        </w:r>
                      </w:p>
                    </w:tc>
                  </w:tr>
                  <w:tr>
                    <w:trPr>
                      <w:trHeight w:val="322" w:hRule="atLeast"/>
                    </w:trPr>
                    <w:tc>
                      <w:tcPr>
                        <w:tcW w:w="2551" w:type="dxa"/>
                        <w:tcBorders>
                          <w:top w:val="nil"/>
                          <w:bottom w:val="nil"/>
                        </w:tcBorders>
                        <w:shd w:val="clear" w:color="auto" w:fill="F4F4F4"/>
                      </w:tcPr>
                      <w:p>
                        <w:pPr>
                          <w:pStyle w:val="TableParagraph"/>
                          <w:spacing w:before="37"/>
                          <w:ind w:left="113"/>
                          <w:rPr>
                            <w:i/>
                            <w:sz w:val="19"/>
                          </w:rPr>
                        </w:pPr>
                        <w:r>
                          <w:rPr>
                            <w:i/>
                            <w:color w:val="A7BE39"/>
                            <w:sz w:val="19"/>
                          </w:rPr>
                          <w:t>Financial Assets</w:t>
                        </w:r>
                      </w:p>
                    </w:tc>
                    <w:tc>
                      <w:tcPr>
                        <w:tcW w:w="1020" w:type="dxa"/>
                        <w:tcBorders>
                          <w:top w:val="nil"/>
                          <w:bottom w:val="nil"/>
                        </w:tcBorders>
                        <w:shd w:val="clear" w:color="auto" w:fill="F4F4F4"/>
                      </w:tcPr>
                      <w:p>
                        <w:pPr>
                          <w:pStyle w:val="TableParagraph"/>
                          <w:spacing w:before="0"/>
                          <w:rPr>
                            <w:rFonts w:ascii="Times New Roman"/>
                            <w:sz w:val="22"/>
                          </w:rPr>
                        </w:pPr>
                      </w:p>
                    </w:tc>
                    <w:tc>
                      <w:tcPr>
                        <w:tcW w:w="963" w:type="dxa"/>
                        <w:tcBorders>
                          <w:top w:val="nil"/>
                          <w:bottom w:val="nil"/>
                        </w:tcBorders>
                        <w:shd w:val="clear" w:color="auto" w:fill="F4F4F4"/>
                      </w:tcPr>
                      <w:p>
                        <w:pPr>
                          <w:pStyle w:val="TableParagraph"/>
                          <w:spacing w:before="0"/>
                          <w:rPr>
                            <w:rFonts w:ascii="Times New Roman"/>
                            <w:sz w:val="22"/>
                          </w:rPr>
                        </w:pPr>
                      </w:p>
                    </w:tc>
                    <w:tc>
                      <w:tcPr>
                        <w:tcW w:w="963" w:type="dxa"/>
                        <w:tcBorders>
                          <w:top w:val="nil"/>
                          <w:bottom w:val="nil"/>
                        </w:tcBorders>
                        <w:shd w:val="clear" w:color="auto" w:fill="F4F4F4"/>
                      </w:tcPr>
                      <w:p>
                        <w:pPr>
                          <w:pStyle w:val="TableParagraph"/>
                          <w:spacing w:before="0"/>
                          <w:rPr>
                            <w:rFonts w:ascii="Times New Roman"/>
                            <w:sz w:val="22"/>
                          </w:rPr>
                        </w:pPr>
                      </w:p>
                    </w:tc>
                    <w:tc>
                      <w:tcPr>
                        <w:tcW w:w="963" w:type="dxa"/>
                        <w:tcBorders>
                          <w:top w:val="nil"/>
                          <w:bottom w:val="nil"/>
                        </w:tcBorders>
                        <w:shd w:val="clear" w:color="auto" w:fill="F4F4F4"/>
                      </w:tcPr>
                      <w:p>
                        <w:pPr>
                          <w:pStyle w:val="TableParagraph"/>
                          <w:spacing w:before="0"/>
                          <w:rPr>
                            <w:rFonts w:ascii="Times New Roman"/>
                            <w:sz w:val="22"/>
                          </w:rPr>
                        </w:pPr>
                      </w:p>
                    </w:tc>
                    <w:tc>
                      <w:tcPr>
                        <w:tcW w:w="963" w:type="dxa"/>
                        <w:tcBorders>
                          <w:top w:val="nil"/>
                          <w:bottom w:val="nil"/>
                          <w:right w:val="nil"/>
                        </w:tcBorders>
                        <w:shd w:val="clear" w:color="auto" w:fill="F4F4F4"/>
                      </w:tcPr>
                      <w:p>
                        <w:pPr>
                          <w:pStyle w:val="TableParagraph"/>
                          <w:spacing w:before="0"/>
                          <w:rPr>
                            <w:rFonts w:ascii="Times New Roman"/>
                            <w:sz w:val="22"/>
                          </w:rPr>
                        </w:pPr>
                      </w:p>
                    </w:tc>
                  </w:tr>
                  <w:tr>
                    <w:trPr>
                      <w:trHeight w:val="317" w:hRule="atLeast"/>
                    </w:trPr>
                    <w:tc>
                      <w:tcPr>
                        <w:tcW w:w="2551" w:type="dxa"/>
                        <w:tcBorders>
                          <w:top w:val="nil"/>
                        </w:tcBorders>
                        <w:shd w:val="clear" w:color="auto" w:fill="FAF9F9"/>
                      </w:tcPr>
                      <w:p>
                        <w:pPr>
                          <w:pStyle w:val="TableParagraph"/>
                          <w:spacing w:before="42"/>
                          <w:ind w:left="113"/>
                          <w:rPr>
                            <w:sz w:val="19"/>
                          </w:rPr>
                        </w:pPr>
                        <w:r>
                          <w:rPr>
                            <w:sz w:val="19"/>
                          </w:rPr>
                          <w:t>Cash and cash equivalents</w:t>
                        </w:r>
                      </w:p>
                    </w:tc>
                    <w:tc>
                      <w:tcPr>
                        <w:tcW w:w="1020" w:type="dxa"/>
                        <w:tcBorders>
                          <w:top w:val="nil"/>
                          <w:bottom w:val="single" w:sz="4" w:space="0" w:color="58595B"/>
                        </w:tcBorders>
                        <w:shd w:val="clear" w:color="auto" w:fill="FAF9F9"/>
                      </w:tcPr>
                      <w:p>
                        <w:pPr>
                          <w:pStyle w:val="TableParagraph"/>
                          <w:spacing w:before="42"/>
                          <w:ind w:right="90"/>
                          <w:jc w:val="right"/>
                          <w:rPr>
                            <w:sz w:val="19"/>
                          </w:rPr>
                        </w:pPr>
                        <w:r>
                          <w:rPr>
                            <w:w w:val="95"/>
                            <w:sz w:val="19"/>
                          </w:rPr>
                          <w:t>21,678</w:t>
                        </w:r>
                      </w:p>
                    </w:tc>
                    <w:tc>
                      <w:tcPr>
                        <w:tcW w:w="963" w:type="dxa"/>
                        <w:tcBorders>
                          <w:top w:val="nil"/>
                          <w:bottom w:val="single" w:sz="4" w:space="0" w:color="58595B"/>
                        </w:tcBorders>
                        <w:shd w:val="clear" w:color="auto" w:fill="FAF9F9"/>
                      </w:tcPr>
                      <w:p>
                        <w:pPr>
                          <w:pStyle w:val="TableParagraph"/>
                          <w:spacing w:before="42"/>
                          <w:ind w:right="89"/>
                          <w:jc w:val="right"/>
                          <w:rPr>
                            <w:sz w:val="19"/>
                          </w:rPr>
                        </w:pPr>
                        <w:r>
                          <w:rPr>
                            <w:w w:val="90"/>
                            <w:sz w:val="19"/>
                          </w:rPr>
                          <w:t>(217)</w:t>
                        </w:r>
                      </w:p>
                    </w:tc>
                    <w:tc>
                      <w:tcPr>
                        <w:tcW w:w="963" w:type="dxa"/>
                        <w:tcBorders>
                          <w:top w:val="nil"/>
                          <w:bottom w:val="single" w:sz="4" w:space="0" w:color="58595B"/>
                        </w:tcBorders>
                        <w:shd w:val="clear" w:color="auto" w:fill="FAF9F9"/>
                      </w:tcPr>
                      <w:p>
                        <w:pPr>
                          <w:pStyle w:val="TableParagraph"/>
                          <w:spacing w:before="42"/>
                          <w:ind w:right="88"/>
                          <w:jc w:val="right"/>
                          <w:rPr>
                            <w:sz w:val="19"/>
                          </w:rPr>
                        </w:pPr>
                        <w:r>
                          <w:rPr>
                            <w:w w:val="90"/>
                            <w:sz w:val="19"/>
                          </w:rPr>
                          <w:t>(217)</w:t>
                        </w:r>
                      </w:p>
                    </w:tc>
                    <w:tc>
                      <w:tcPr>
                        <w:tcW w:w="963" w:type="dxa"/>
                        <w:tcBorders>
                          <w:top w:val="nil"/>
                          <w:bottom w:val="single" w:sz="4" w:space="0" w:color="58595B"/>
                        </w:tcBorders>
                        <w:shd w:val="clear" w:color="auto" w:fill="FAF9F9"/>
                      </w:tcPr>
                      <w:p>
                        <w:pPr>
                          <w:pStyle w:val="TableParagraph"/>
                          <w:spacing w:before="42"/>
                          <w:ind w:right="87"/>
                          <w:jc w:val="right"/>
                          <w:rPr>
                            <w:sz w:val="19"/>
                          </w:rPr>
                        </w:pPr>
                        <w:r>
                          <w:rPr>
                            <w:w w:val="95"/>
                            <w:sz w:val="19"/>
                          </w:rPr>
                          <w:t>217</w:t>
                        </w:r>
                      </w:p>
                    </w:tc>
                    <w:tc>
                      <w:tcPr>
                        <w:tcW w:w="963" w:type="dxa"/>
                        <w:tcBorders>
                          <w:top w:val="nil"/>
                          <w:bottom w:val="single" w:sz="4" w:space="0" w:color="58595B"/>
                          <w:right w:val="nil"/>
                        </w:tcBorders>
                        <w:shd w:val="clear" w:color="auto" w:fill="FAF9F9"/>
                      </w:tcPr>
                      <w:p>
                        <w:pPr>
                          <w:pStyle w:val="TableParagraph"/>
                          <w:spacing w:before="42"/>
                          <w:ind w:right="97"/>
                          <w:jc w:val="right"/>
                          <w:rPr>
                            <w:sz w:val="19"/>
                          </w:rPr>
                        </w:pPr>
                        <w:r>
                          <w:rPr>
                            <w:w w:val="95"/>
                            <w:sz w:val="19"/>
                          </w:rPr>
                          <w:t>217</w:t>
                        </w:r>
                      </w:p>
                    </w:tc>
                  </w:tr>
                  <w:tr>
                    <w:trPr>
                      <w:trHeight w:val="287" w:hRule="atLeast"/>
                    </w:trPr>
                    <w:tc>
                      <w:tcPr>
                        <w:tcW w:w="2551" w:type="dxa"/>
                        <w:shd w:val="clear" w:color="auto" w:fill="F4F4F4"/>
                      </w:tcPr>
                      <w:p>
                        <w:pPr>
                          <w:pStyle w:val="TableParagraph"/>
                          <w:ind w:left="113"/>
                          <w:rPr>
                            <w:sz w:val="19"/>
                          </w:rPr>
                        </w:pPr>
                        <w:r>
                          <w:rPr>
                            <w:sz w:val="19"/>
                          </w:rPr>
                          <w:t>Total increase/(decrease)</w:t>
                        </w:r>
                      </w:p>
                    </w:tc>
                    <w:tc>
                      <w:tcPr>
                        <w:tcW w:w="1020" w:type="dxa"/>
                        <w:tcBorders>
                          <w:top w:val="single" w:sz="4" w:space="0" w:color="58595B"/>
                          <w:bottom w:val="single" w:sz="24" w:space="0" w:color="FFFFFF"/>
                        </w:tcBorders>
                        <w:shd w:val="clear" w:color="auto" w:fill="F4F4F4"/>
                      </w:tcPr>
                      <w:p>
                        <w:pPr>
                          <w:pStyle w:val="TableParagraph"/>
                          <w:ind w:right="90"/>
                          <w:jc w:val="right"/>
                          <w:rPr>
                            <w:sz w:val="19"/>
                          </w:rPr>
                        </w:pPr>
                        <w:r>
                          <w:rPr>
                            <w:w w:val="95"/>
                            <w:sz w:val="19"/>
                          </w:rPr>
                          <w:t>21,678</w:t>
                        </w:r>
                      </w:p>
                    </w:tc>
                    <w:tc>
                      <w:tcPr>
                        <w:tcW w:w="963" w:type="dxa"/>
                        <w:tcBorders>
                          <w:top w:val="single" w:sz="4" w:space="0" w:color="58595B"/>
                          <w:bottom w:val="single" w:sz="24" w:space="0" w:color="FFFFFF"/>
                        </w:tcBorders>
                        <w:shd w:val="clear" w:color="auto" w:fill="F4F4F4"/>
                      </w:tcPr>
                      <w:p>
                        <w:pPr>
                          <w:pStyle w:val="TableParagraph"/>
                          <w:ind w:right="89"/>
                          <w:jc w:val="right"/>
                          <w:rPr>
                            <w:sz w:val="19"/>
                          </w:rPr>
                        </w:pPr>
                        <w:r>
                          <w:rPr>
                            <w:w w:val="90"/>
                            <w:sz w:val="19"/>
                          </w:rPr>
                          <w:t>(217)</w:t>
                        </w:r>
                      </w:p>
                    </w:tc>
                    <w:tc>
                      <w:tcPr>
                        <w:tcW w:w="963" w:type="dxa"/>
                        <w:tcBorders>
                          <w:top w:val="single" w:sz="4" w:space="0" w:color="58595B"/>
                          <w:bottom w:val="single" w:sz="24" w:space="0" w:color="FFFFFF"/>
                        </w:tcBorders>
                        <w:shd w:val="clear" w:color="auto" w:fill="F4F4F4"/>
                      </w:tcPr>
                      <w:p>
                        <w:pPr>
                          <w:pStyle w:val="TableParagraph"/>
                          <w:ind w:right="88"/>
                          <w:jc w:val="right"/>
                          <w:rPr>
                            <w:sz w:val="19"/>
                          </w:rPr>
                        </w:pPr>
                        <w:r>
                          <w:rPr>
                            <w:w w:val="90"/>
                            <w:sz w:val="19"/>
                          </w:rPr>
                          <w:t>(217)</w:t>
                        </w:r>
                      </w:p>
                    </w:tc>
                    <w:tc>
                      <w:tcPr>
                        <w:tcW w:w="963" w:type="dxa"/>
                        <w:tcBorders>
                          <w:top w:val="single" w:sz="4" w:space="0" w:color="58595B"/>
                          <w:bottom w:val="single" w:sz="24" w:space="0" w:color="FFFFFF"/>
                        </w:tcBorders>
                        <w:shd w:val="clear" w:color="auto" w:fill="F4F4F4"/>
                      </w:tcPr>
                      <w:p>
                        <w:pPr>
                          <w:pStyle w:val="TableParagraph"/>
                          <w:ind w:right="87"/>
                          <w:jc w:val="right"/>
                          <w:rPr>
                            <w:sz w:val="19"/>
                          </w:rPr>
                        </w:pPr>
                        <w:r>
                          <w:rPr>
                            <w:w w:val="95"/>
                            <w:sz w:val="19"/>
                          </w:rPr>
                          <w:t>217</w:t>
                        </w:r>
                      </w:p>
                    </w:tc>
                    <w:tc>
                      <w:tcPr>
                        <w:tcW w:w="963" w:type="dxa"/>
                        <w:tcBorders>
                          <w:top w:val="single" w:sz="4" w:space="0" w:color="58595B"/>
                          <w:bottom w:val="single" w:sz="24" w:space="0" w:color="FFFFFF"/>
                          <w:right w:val="nil"/>
                        </w:tcBorders>
                        <w:shd w:val="clear" w:color="auto" w:fill="F4F4F4"/>
                      </w:tcPr>
                      <w:p>
                        <w:pPr>
                          <w:pStyle w:val="TableParagraph"/>
                          <w:ind w:right="96"/>
                          <w:jc w:val="right"/>
                          <w:rPr>
                            <w:sz w:val="19"/>
                          </w:rPr>
                        </w:pPr>
                        <w:r>
                          <w:rPr>
                            <w:w w:val="95"/>
                            <w:sz w:val="19"/>
                          </w:rPr>
                          <w:t>217</w:t>
                        </w:r>
                      </w:p>
                    </w:tc>
                  </w:tr>
                </w:tbl>
                <w:p>
                  <w:pPr>
                    <w:pStyle w:val="BodyText"/>
                  </w:pPr>
                </w:p>
              </w:txbxContent>
            </v:textbox>
            <w10:wrap type="none"/>
          </v:shape>
        </w:pict>
      </w:r>
      <w:r>
        <w:rPr>
          <w:color w:val="6F2770"/>
        </w:rPr>
        <w:t>Note 41. Remuneration of auditor</w:t>
      </w:r>
    </w:p>
    <w:p>
      <w:pPr>
        <w:pStyle w:val="BodyText"/>
        <w:spacing w:line="249" w:lineRule="auto" w:before="245"/>
        <w:ind w:left="638" w:right="635"/>
      </w:pPr>
      <w:r>
        <w:rPr/>
        <w:t>Remuneration</w:t>
      </w:r>
      <w:r>
        <w:rPr>
          <w:spacing w:val="-26"/>
        </w:rPr>
        <w:t> </w:t>
      </w:r>
      <w:r>
        <w:rPr/>
        <w:t>paid</w:t>
      </w:r>
      <w:r>
        <w:rPr>
          <w:spacing w:val="-25"/>
        </w:rPr>
        <w:t> </w:t>
      </w:r>
      <w:r>
        <w:rPr/>
        <w:t>or</w:t>
      </w:r>
      <w:r>
        <w:rPr>
          <w:spacing w:val="-25"/>
        </w:rPr>
        <w:t> </w:t>
      </w:r>
      <w:r>
        <w:rPr/>
        <w:t>payable</w:t>
      </w:r>
      <w:r>
        <w:rPr>
          <w:spacing w:val="-26"/>
        </w:rPr>
        <w:t> </w:t>
      </w:r>
      <w:r>
        <w:rPr/>
        <w:t>to</w:t>
      </w:r>
      <w:r>
        <w:rPr>
          <w:spacing w:val="-25"/>
        </w:rPr>
        <w:t> </w:t>
      </w:r>
      <w:r>
        <w:rPr/>
        <w:t>the</w:t>
      </w:r>
      <w:r>
        <w:rPr>
          <w:spacing w:val="-25"/>
        </w:rPr>
        <w:t> </w:t>
      </w:r>
      <w:r>
        <w:rPr/>
        <w:t>Auditor</w:t>
      </w:r>
      <w:r>
        <w:rPr>
          <w:spacing w:val="-25"/>
        </w:rPr>
        <w:t> </w:t>
      </w:r>
      <w:r>
        <w:rPr/>
        <w:t>General</w:t>
      </w:r>
      <w:r>
        <w:rPr>
          <w:spacing w:val="-26"/>
        </w:rPr>
        <w:t> </w:t>
      </w:r>
      <w:r>
        <w:rPr/>
        <w:t>in</w:t>
      </w:r>
      <w:r>
        <w:rPr>
          <w:spacing w:val="-25"/>
        </w:rPr>
        <w:t> </w:t>
      </w:r>
      <w:r>
        <w:rPr>
          <w:spacing w:val="-3"/>
        </w:rPr>
        <w:t>respect</w:t>
      </w:r>
      <w:r>
        <w:rPr>
          <w:spacing w:val="-25"/>
        </w:rPr>
        <w:t> </w:t>
      </w:r>
      <w:r>
        <w:rPr/>
        <w:t>of</w:t>
      </w:r>
      <w:r>
        <w:rPr>
          <w:spacing w:val="-26"/>
        </w:rPr>
        <w:t> </w:t>
      </w:r>
      <w:r>
        <w:rPr/>
        <w:t>the</w:t>
      </w:r>
      <w:r>
        <w:rPr>
          <w:spacing w:val="-25"/>
        </w:rPr>
        <w:t> </w:t>
      </w:r>
      <w:r>
        <w:rPr/>
        <w:t>audit</w:t>
      </w:r>
      <w:r>
        <w:rPr>
          <w:spacing w:val="-25"/>
        </w:rPr>
        <w:t> </w:t>
      </w:r>
      <w:r>
        <w:rPr>
          <w:spacing w:val="-2"/>
        </w:rPr>
        <w:t>for </w:t>
      </w:r>
      <w:r>
        <w:rPr/>
        <w:t>the </w:t>
      </w:r>
      <w:r>
        <w:rPr>
          <w:spacing w:val="-3"/>
        </w:rPr>
        <w:t>current </w:t>
      </w:r>
      <w:r>
        <w:rPr/>
        <w:t>financial year is as</w:t>
      </w:r>
      <w:r>
        <w:rPr>
          <w:spacing w:val="-31"/>
        </w:rPr>
        <w:t> </w:t>
      </w:r>
      <w:r>
        <w:rPr/>
        <w:t>follows:</w:t>
      </w:r>
    </w:p>
    <w:p>
      <w:pPr>
        <w:spacing w:after="0" w:line="249" w:lineRule="auto"/>
        <w:sectPr>
          <w:type w:val="continuous"/>
          <w:pgSz w:w="16840" w:h="11910" w:orient="landscape"/>
          <w:pgMar w:top="0" w:bottom="0" w:left="0" w:right="0"/>
          <w:cols w:num="2" w:equalWidth="0">
            <w:col w:w="7953" w:space="40"/>
            <w:col w:w="8847"/>
          </w:cols>
        </w:sectPr>
      </w:pPr>
    </w:p>
    <w:p>
      <w:pPr>
        <w:pStyle w:val="BodyText"/>
        <w:spacing w:before="5"/>
        <w:rPr>
          <w:sz w:val="29"/>
        </w:rPr>
      </w:pPr>
      <w:r>
        <w:rPr/>
        <w:pict>
          <v:group style="position:absolute;margin-left:166.326797pt;margin-top:437.902191pt;width:243.8pt;height:.550pt;mso-position-horizontal-relative:page;mso-position-vertical-relative:page;z-index:22576" coordorigin="3327,8758" coordsize="4876,11">
            <v:line style="position:absolute" from="3327,8763" to="4347,8763" stroked="true" strokeweight=".501pt" strokecolor="#000000">
              <v:stroke dashstyle="solid"/>
            </v:line>
            <v:line style="position:absolute" from="4347,8763" to="5311,8763" stroked="true" strokeweight=".501pt" strokecolor="#000000">
              <v:stroke dashstyle="solid"/>
            </v:line>
            <v:line style="position:absolute" from="5311,8763" to="6275,8763" stroked="true" strokeweight=".501pt" strokecolor="#000000">
              <v:stroke dashstyle="solid"/>
            </v:line>
            <v:line style="position:absolute" from="6275,8763" to="7238,8763" stroked="true" strokeweight=".501pt" strokecolor="#000000">
              <v:stroke dashstyle="solid"/>
            </v:line>
            <v:line style="position:absolute" from="7238,8763" to="8202,8763" stroked="true" strokeweight=".501pt" strokecolor="#000000">
              <v:stroke dashstyle="solid"/>
            </v:line>
            <w10:wrap type="none"/>
          </v:group>
        </w:pict>
      </w:r>
    </w:p>
    <w:p>
      <w:pPr>
        <w:tabs>
          <w:tab w:pos="8631" w:val="left" w:leader="none"/>
        </w:tabs>
        <w:spacing w:line="240" w:lineRule="auto"/>
        <w:ind w:left="765" w:right="0" w:firstLine="0"/>
        <w:rPr>
          <w:sz w:val="20"/>
        </w:rPr>
      </w:pPr>
      <w:r>
        <w:rPr>
          <w:sz w:val="20"/>
        </w:rPr>
        <w:pict>
          <v:shape style="width:371.85pt;height:92.6pt;mso-position-horizontal-relative:char;mso-position-vertical-relative:line" type="#_x0000_t202" filled="false" stroked="false">
            <w10:anchorlock/>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551"/>
                    <w:gridCol w:w="1020"/>
                    <w:gridCol w:w="963"/>
                    <w:gridCol w:w="963"/>
                    <w:gridCol w:w="963"/>
                    <w:gridCol w:w="963"/>
                  </w:tblGrid>
                  <w:tr>
                    <w:trPr>
                      <w:trHeight w:val="844" w:hRule="atLeast"/>
                    </w:trPr>
                    <w:tc>
                      <w:tcPr>
                        <w:tcW w:w="7423" w:type="dxa"/>
                        <w:gridSpan w:val="6"/>
                        <w:tcBorders>
                          <w:top w:val="nil"/>
                          <w:bottom w:val="nil"/>
                          <w:right w:val="nil"/>
                        </w:tcBorders>
                        <w:shd w:val="clear" w:color="auto" w:fill="783A79"/>
                      </w:tcPr>
                      <w:p>
                        <w:pPr>
                          <w:pStyle w:val="TableParagraph"/>
                          <w:tabs>
                            <w:tab w:pos="3732" w:val="left" w:leader="none"/>
                            <w:tab w:pos="3764" w:val="left" w:leader="none"/>
                            <w:tab w:pos="4819" w:val="left" w:leader="none"/>
                            <w:tab w:pos="5659" w:val="left" w:leader="none"/>
                            <w:tab w:pos="6747" w:val="left" w:leader="none"/>
                          </w:tabs>
                          <w:spacing w:line="247" w:lineRule="auto" w:before="42"/>
                          <w:ind w:left="2768" w:right="97" w:hanging="85"/>
                          <w:rPr>
                            <w:b/>
                            <w:sz w:val="19"/>
                          </w:rPr>
                        </w:pPr>
                        <w:r>
                          <w:rPr>
                            <w:b/>
                            <w:color w:val="FFFFFF"/>
                            <w:sz w:val="19"/>
                          </w:rPr>
                          <w:t>Carrying</w:t>
                          <w:tab/>
                          <w:tab/>
                          <w:t>-100</w:t>
                        </w:r>
                        <w:r>
                          <w:rPr>
                            <w:b/>
                            <w:color w:val="FFFFFF"/>
                            <w:spacing w:val="-1"/>
                            <w:sz w:val="19"/>
                          </w:rPr>
                          <w:t> </w:t>
                        </w:r>
                        <w:r>
                          <w:rPr>
                            <w:b/>
                            <w:color w:val="FFFFFF"/>
                            <w:sz w:val="19"/>
                          </w:rPr>
                          <w:t>basis points</w:t>
                          <w:tab/>
                          <w:t>+100 basis points </w:t>
                        </w:r>
                        <w:r>
                          <w:rPr>
                            <w:b/>
                            <w:color w:val="FFFFFF"/>
                            <w:position w:val="8"/>
                            <w:sz w:val="19"/>
                          </w:rPr>
                          <w:t>amount</w:t>
                          <w:tab/>
                        </w:r>
                        <w:r>
                          <w:rPr>
                            <w:b/>
                            <w:color w:val="FFFFFF"/>
                            <w:sz w:val="19"/>
                          </w:rPr>
                          <w:t>Surplus</w:t>
                          <w:tab/>
                          <w:t>Equity</w:t>
                          <w:tab/>
                          <w:t>Surplus</w:t>
                          <w:tab/>
                        </w:r>
                        <w:r>
                          <w:rPr>
                            <w:b/>
                            <w:color w:val="FFFFFF"/>
                            <w:spacing w:val="-3"/>
                            <w:w w:val="95"/>
                            <w:sz w:val="19"/>
                          </w:rPr>
                          <w:t>Equity</w:t>
                        </w:r>
                      </w:p>
                      <w:p>
                        <w:pPr>
                          <w:pStyle w:val="TableParagraph"/>
                          <w:tabs>
                            <w:tab w:pos="3035" w:val="left" w:leader="none"/>
                            <w:tab w:pos="3999" w:val="left" w:leader="none"/>
                            <w:tab w:pos="4963" w:val="left" w:leader="none"/>
                            <w:tab w:pos="5927" w:val="left" w:leader="none"/>
                            <w:tab w:pos="6890" w:val="left" w:leader="none"/>
                          </w:tabs>
                          <w:spacing w:before="4"/>
                          <w:ind w:left="113"/>
                          <w:rPr>
                            <w:b/>
                            <w:sz w:val="19"/>
                          </w:rPr>
                        </w:pPr>
                        <w:r>
                          <w:rPr>
                            <w:b/>
                            <w:color w:val="FFFFFF"/>
                            <w:sz w:val="19"/>
                          </w:rPr>
                          <w:t>2016</w:t>
                          <w:tab/>
                          <w:t>$000</w:t>
                          <w:tab/>
                          <w:t>$000</w:t>
                          <w:tab/>
                          <w:t>$000</w:t>
                          <w:tab/>
                          <w:t>$000</w:t>
                          <w:tab/>
                          <w:t>$000</w:t>
                        </w:r>
                      </w:p>
                    </w:tc>
                  </w:tr>
                  <w:tr>
                    <w:trPr>
                      <w:trHeight w:val="639" w:hRule="atLeast"/>
                    </w:trPr>
                    <w:tc>
                      <w:tcPr>
                        <w:tcW w:w="2551" w:type="dxa"/>
                        <w:tcBorders>
                          <w:top w:val="nil"/>
                        </w:tcBorders>
                        <w:shd w:val="clear" w:color="auto" w:fill="FAF9F9"/>
                      </w:tcPr>
                      <w:p>
                        <w:pPr>
                          <w:pStyle w:val="TableParagraph"/>
                          <w:spacing w:before="37"/>
                          <w:ind w:left="113"/>
                          <w:rPr>
                            <w:i/>
                            <w:sz w:val="19"/>
                          </w:rPr>
                        </w:pPr>
                        <w:r>
                          <w:rPr>
                            <w:i/>
                            <w:color w:val="A7BE39"/>
                            <w:sz w:val="19"/>
                          </w:rPr>
                          <w:t>Financial Assets</w:t>
                        </w:r>
                      </w:p>
                      <w:p>
                        <w:pPr>
                          <w:pStyle w:val="TableParagraph"/>
                          <w:spacing w:before="109"/>
                          <w:ind w:left="113"/>
                          <w:rPr>
                            <w:sz w:val="19"/>
                          </w:rPr>
                        </w:pPr>
                        <w:r>
                          <w:rPr>
                            <w:sz w:val="19"/>
                          </w:rPr>
                          <w:t>Cash and cash equivalents</w:t>
                        </w:r>
                      </w:p>
                    </w:tc>
                    <w:tc>
                      <w:tcPr>
                        <w:tcW w:w="1020" w:type="dxa"/>
                        <w:tcBorders>
                          <w:top w:val="nil"/>
                          <w:bottom w:val="single" w:sz="4" w:space="0" w:color="000000"/>
                        </w:tcBorders>
                        <w:shd w:val="clear" w:color="auto" w:fill="FAF9F9"/>
                      </w:tcPr>
                      <w:p>
                        <w:pPr>
                          <w:pStyle w:val="TableParagraph"/>
                          <w:spacing w:before="8"/>
                          <w:rPr>
                            <w:sz w:val="31"/>
                          </w:rPr>
                        </w:pPr>
                      </w:p>
                      <w:p>
                        <w:pPr>
                          <w:pStyle w:val="TableParagraph"/>
                          <w:spacing w:before="0"/>
                          <w:ind w:right="90"/>
                          <w:jc w:val="right"/>
                          <w:rPr>
                            <w:sz w:val="19"/>
                          </w:rPr>
                        </w:pPr>
                        <w:r>
                          <w:rPr>
                            <w:w w:val="95"/>
                            <w:sz w:val="19"/>
                          </w:rPr>
                          <w:t>7,393</w:t>
                        </w:r>
                      </w:p>
                    </w:tc>
                    <w:tc>
                      <w:tcPr>
                        <w:tcW w:w="963" w:type="dxa"/>
                        <w:tcBorders>
                          <w:top w:val="nil"/>
                          <w:bottom w:val="single" w:sz="4" w:space="0" w:color="000000"/>
                        </w:tcBorders>
                        <w:shd w:val="clear" w:color="auto" w:fill="FAF9F9"/>
                      </w:tcPr>
                      <w:p>
                        <w:pPr>
                          <w:pStyle w:val="TableParagraph"/>
                          <w:spacing w:before="8"/>
                          <w:rPr>
                            <w:sz w:val="31"/>
                          </w:rPr>
                        </w:pPr>
                      </w:p>
                      <w:p>
                        <w:pPr>
                          <w:pStyle w:val="TableParagraph"/>
                          <w:spacing w:before="0"/>
                          <w:ind w:right="89"/>
                          <w:jc w:val="right"/>
                          <w:rPr>
                            <w:sz w:val="19"/>
                          </w:rPr>
                        </w:pPr>
                        <w:r>
                          <w:rPr>
                            <w:w w:val="85"/>
                            <w:sz w:val="19"/>
                          </w:rPr>
                          <w:t>(74)</w:t>
                        </w:r>
                      </w:p>
                    </w:tc>
                    <w:tc>
                      <w:tcPr>
                        <w:tcW w:w="963" w:type="dxa"/>
                        <w:tcBorders>
                          <w:top w:val="nil"/>
                          <w:bottom w:val="single" w:sz="4" w:space="0" w:color="000000"/>
                        </w:tcBorders>
                        <w:shd w:val="clear" w:color="auto" w:fill="FAF9F9"/>
                      </w:tcPr>
                      <w:p>
                        <w:pPr>
                          <w:pStyle w:val="TableParagraph"/>
                          <w:spacing w:before="8"/>
                          <w:rPr>
                            <w:sz w:val="31"/>
                          </w:rPr>
                        </w:pPr>
                      </w:p>
                      <w:p>
                        <w:pPr>
                          <w:pStyle w:val="TableParagraph"/>
                          <w:spacing w:before="0"/>
                          <w:ind w:right="88"/>
                          <w:jc w:val="right"/>
                          <w:rPr>
                            <w:sz w:val="19"/>
                          </w:rPr>
                        </w:pPr>
                        <w:r>
                          <w:rPr>
                            <w:w w:val="85"/>
                            <w:sz w:val="19"/>
                          </w:rPr>
                          <w:t>(74)</w:t>
                        </w:r>
                      </w:p>
                    </w:tc>
                    <w:tc>
                      <w:tcPr>
                        <w:tcW w:w="963" w:type="dxa"/>
                        <w:tcBorders>
                          <w:top w:val="nil"/>
                          <w:bottom w:val="single" w:sz="4" w:space="0" w:color="000000"/>
                        </w:tcBorders>
                        <w:shd w:val="clear" w:color="auto" w:fill="FAF9F9"/>
                      </w:tcPr>
                      <w:p>
                        <w:pPr>
                          <w:pStyle w:val="TableParagraph"/>
                          <w:spacing w:before="8"/>
                          <w:rPr>
                            <w:sz w:val="31"/>
                          </w:rPr>
                        </w:pPr>
                      </w:p>
                      <w:p>
                        <w:pPr>
                          <w:pStyle w:val="TableParagraph"/>
                          <w:spacing w:before="0"/>
                          <w:ind w:right="87"/>
                          <w:jc w:val="right"/>
                          <w:rPr>
                            <w:sz w:val="19"/>
                          </w:rPr>
                        </w:pPr>
                        <w:r>
                          <w:rPr>
                            <w:w w:val="85"/>
                            <w:sz w:val="19"/>
                          </w:rPr>
                          <w:t>(74)</w:t>
                        </w:r>
                      </w:p>
                    </w:tc>
                    <w:tc>
                      <w:tcPr>
                        <w:tcW w:w="963" w:type="dxa"/>
                        <w:tcBorders>
                          <w:top w:val="nil"/>
                          <w:bottom w:val="single" w:sz="4" w:space="0" w:color="000000"/>
                          <w:right w:val="nil"/>
                        </w:tcBorders>
                        <w:shd w:val="clear" w:color="auto" w:fill="FAF9F9"/>
                      </w:tcPr>
                      <w:p>
                        <w:pPr>
                          <w:pStyle w:val="TableParagraph"/>
                          <w:spacing w:before="8"/>
                          <w:rPr>
                            <w:sz w:val="31"/>
                          </w:rPr>
                        </w:pPr>
                      </w:p>
                      <w:p>
                        <w:pPr>
                          <w:pStyle w:val="TableParagraph"/>
                          <w:spacing w:before="0"/>
                          <w:ind w:right="97"/>
                          <w:jc w:val="right"/>
                          <w:rPr>
                            <w:sz w:val="19"/>
                          </w:rPr>
                        </w:pPr>
                        <w:r>
                          <w:rPr>
                            <w:w w:val="85"/>
                            <w:sz w:val="19"/>
                          </w:rPr>
                          <w:t>(74)</w:t>
                        </w:r>
                      </w:p>
                    </w:tc>
                  </w:tr>
                  <w:tr>
                    <w:trPr>
                      <w:trHeight w:val="287" w:hRule="atLeast"/>
                    </w:trPr>
                    <w:tc>
                      <w:tcPr>
                        <w:tcW w:w="2551" w:type="dxa"/>
                        <w:shd w:val="clear" w:color="auto" w:fill="F4F4F4"/>
                      </w:tcPr>
                      <w:p>
                        <w:pPr>
                          <w:pStyle w:val="TableParagraph"/>
                          <w:ind w:left="113"/>
                          <w:rPr>
                            <w:sz w:val="19"/>
                          </w:rPr>
                        </w:pPr>
                        <w:r>
                          <w:rPr>
                            <w:sz w:val="19"/>
                          </w:rPr>
                          <w:t>Total increase/(decrease)</w:t>
                        </w:r>
                      </w:p>
                    </w:tc>
                    <w:tc>
                      <w:tcPr>
                        <w:tcW w:w="1020" w:type="dxa"/>
                        <w:tcBorders>
                          <w:top w:val="single" w:sz="4" w:space="0" w:color="000000"/>
                          <w:bottom w:val="single" w:sz="24" w:space="0" w:color="FFFFFF"/>
                        </w:tcBorders>
                        <w:shd w:val="clear" w:color="auto" w:fill="F4F4F4"/>
                      </w:tcPr>
                      <w:p>
                        <w:pPr>
                          <w:pStyle w:val="TableParagraph"/>
                          <w:ind w:right="90"/>
                          <w:jc w:val="right"/>
                          <w:rPr>
                            <w:sz w:val="19"/>
                          </w:rPr>
                        </w:pPr>
                        <w:r>
                          <w:rPr>
                            <w:w w:val="95"/>
                            <w:sz w:val="19"/>
                          </w:rPr>
                          <w:t>7,393</w:t>
                        </w:r>
                      </w:p>
                    </w:tc>
                    <w:tc>
                      <w:tcPr>
                        <w:tcW w:w="963" w:type="dxa"/>
                        <w:tcBorders>
                          <w:top w:val="single" w:sz="4" w:space="0" w:color="000000"/>
                          <w:bottom w:val="single" w:sz="24" w:space="0" w:color="FFFFFF"/>
                        </w:tcBorders>
                        <w:shd w:val="clear" w:color="auto" w:fill="F4F4F4"/>
                      </w:tcPr>
                      <w:p>
                        <w:pPr>
                          <w:pStyle w:val="TableParagraph"/>
                          <w:ind w:right="89"/>
                          <w:jc w:val="right"/>
                          <w:rPr>
                            <w:sz w:val="19"/>
                          </w:rPr>
                        </w:pPr>
                        <w:r>
                          <w:rPr>
                            <w:w w:val="85"/>
                            <w:sz w:val="19"/>
                          </w:rPr>
                          <w:t>(74)</w:t>
                        </w:r>
                      </w:p>
                    </w:tc>
                    <w:tc>
                      <w:tcPr>
                        <w:tcW w:w="963" w:type="dxa"/>
                        <w:tcBorders>
                          <w:top w:val="single" w:sz="4" w:space="0" w:color="000000"/>
                          <w:bottom w:val="single" w:sz="24" w:space="0" w:color="FFFFFF"/>
                        </w:tcBorders>
                        <w:shd w:val="clear" w:color="auto" w:fill="F4F4F4"/>
                      </w:tcPr>
                      <w:p>
                        <w:pPr>
                          <w:pStyle w:val="TableParagraph"/>
                          <w:ind w:right="88"/>
                          <w:jc w:val="right"/>
                          <w:rPr>
                            <w:sz w:val="19"/>
                          </w:rPr>
                        </w:pPr>
                        <w:r>
                          <w:rPr>
                            <w:w w:val="85"/>
                            <w:sz w:val="19"/>
                          </w:rPr>
                          <w:t>(74)</w:t>
                        </w:r>
                      </w:p>
                    </w:tc>
                    <w:tc>
                      <w:tcPr>
                        <w:tcW w:w="963" w:type="dxa"/>
                        <w:tcBorders>
                          <w:top w:val="single" w:sz="4" w:space="0" w:color="000000"/>
                          <w:bottom w:val="single" w:sz="24" w:space="0" w:color="FFFFFF"/>
                        </w:tcBorders>
                        <w:shd w:val="clear" w:color="auto" w:fill="F4F4F4"/>
                      </w:tcPr>
                      <w:p>
                        <w:pPr>
                          <w:pStyle w:val="TableParagraph"/>
                          <w:ind w:right="87"/>
                          <w:jc w:val="right"/>
                          <w:rPr>
                            <w:sz w:val="19"/>
                          </w:rPr>
                        </w:pPr>
                        <w:r>
                          <w:rPr>
                            <w:w w:val="85"/>
                            <w:sz w:val="19"/>
                          </w:rPr>
                          <w:t>(74)</w:t>
                        </w:r>
                      </w:p>
                    </w:tc>
                    <w:tc>
                      <w:tcPr>
                        <w:tcW w:w="963" w:type="dxa"/>
                        <w:tcBorders>
                          <w:top w:val="single" w:sz="4" w:space="0" w:color="000000"/>
                          <w:bottom w:val="single" w:sz="24" w:space="0" w:color="FFFFFF"/>
                          <w:right w:val="nil"/>
                        </w:tcBorders>
                        <w:shd w:val="clear" w:color="auto" w:fill="F4F4F4"/>
                      </w:tcPr>
                      <w:p>
                        <w:pPr>
                          <w:pStyle w:val="TableParagraph"/>
                          <w:ind w:right="96"/>
                          <w:jc w:val="right"/>
                          <w:rPr>
                            <w:sz w:val="19"/>
                          </w:rPr>
                        </w:pPr>
                        <w:r>
                          <w:rPr>
                            <w:w w:val="85"/>
                            <w:sz w:val="19"/>
                          </w:rPr>
                          <w:t>(74)</w:t>
                        </w:r>
                      </w:p>
                    </w:tc>
                  </w:tr>
                </w:tbl>
                <w:p>
                  <w:pPr>
                    <w:pStyle w:val="BodyText"/>
                  </w:pPr>
                </w:p>
              </w:txbxContent>
            </v:textbox>
          </v:shape>
        </w:pict>
      </w:r>
      <w:r>
        <w:rPr>
          <w:sz w:val="20"/>
        </w:rPr>
      </w:r>
      <w:r>
        <w:rPr>
          <w:sz w:val="20"/>
        </w:rPr>
        <w:tab/>
      </w:r>
      <w:r>
        <w:rPr>
          <w:position w:val="144"/>
          <w:sz w:val="20"/>
        </w:rPr>
        <w:pict>
          <v:shape style="width:369.95pt;height:71.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2"/>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2"/>
                            <w:sz w:val="19"/>
                          </w:rPr>
                          <w:t>$000</w:t>
                        </w:r>
                      </w:p>
                    </w:tc>
                  </w:tr>
                  <w:tr>
                    <w:trPr>
                      <w:trHeight w:val="518" w:hRule="atLeast"/>
                    </w:trPr>
                    <w:tc>
                      <w:tcPr>
                        <w:tcW w:w="5131" w:type="dxa"/>
                        <w:tcBorders>
                          <w:bottom w:val="single" w:sz="8" w:space="0" w:color="FFFFFF"/>
                        </w:tcBorders>
                        <w:shd w:val="clear" w:color="auto" w:fill="F4F4F4"/>
                      </w:tcPr>
                      <w:p>
                        <w:pPr>
                          <w:pStyle w:val="TableParagraph"/>
                          <w:spacing w:line="249" w:lineRule="auto" w:before="37"/>
                          <w:ind w:left="113" w:right="387"/>
                          <w:rPr>
                            <w:sz w:val="19"/>
                          </w:rPr>
                        </w:pPr>
                        <w:r>
                          <w:rPr>
                            <w:sz w:val="19"/>
                          </w:rPr>
                          <w:t>Auditing</w:t>
                        </w:r>
                        <w:r>
                          <w:rPr>
                            <w:spacing w:val="-19"/>
                            <w:sz w:val="19"/>
                          </w:rPr>
                          <w:t> </w:t>
                        </w:r>
                        <w:r>
                          <w:rPr>
                            <w:sz w:val="19"/>
                          </w:rPr>
                          <w:t>the</w:t>
                        </w:r>
                        <w:r>
                          <w:rPr>
                            <w:spacing w:val="-19"/>
                            <w:sz w:val="19"/>
                          </w:rPr>
                          <w:t> </w:t>
                        </w:r>
                        <w:r>
                          <w:rPr>
                            <w:sz w:val="19"/>
                          </w:rPr>
                          <w:t>accounts,</w:t>
                        </w:r>
                        <w:r>
                          <w:rPr>
                            <w:spacing w:val="-19"/>
                            <w:sz w:val="19"/>
                          </w:rPr>
                          <w:t> </w:t>
                        </w:r>
                        <w:r>
                          <w:rPr>
                            <w:sz w:val="19"/>
                          </w:rPr>
                          <w:t>controls,</w:t>
                        </w:r>
                        <w:r>
                          <w:rPr>
                            <w:spacing w:val="-19"/>
                            <w:sz w:val="19"/>
                          </w:rPr>
                          <w:t> </w:t>
                        </w:r>
                        <w:r>
                          <w:rPr>
                            <w:sz w:val="19"/>
                          </w:rPr>
                          <w:t>financial</w:t>
                        </w:r>
                        <w:r>
                          <w:rPr>
                            <w:spacing w:val="-19"/>
                            <w:sz w:val="19"/>
                          </w:rPr>
                          <w:t> </w:t>
                        </w:r>
                        <w:r>
                          <w:rPr>
                            <w:sz w:val="19"/>
                          </w:rPr>
                          <w:t>statements</w:t>
                        </w:r>
                        <w:r>
                          <w:rPr>
                            <w:spacing w:val="-19"/>
                            <w:sz w:val="19"/>
                          </w:rPr>
                          <w:t> </w:t>
                        </w:r>
                        <w:r>
                          <w:rPr>
                            <w:spacing w:val="-6"/>
                            <w:sz w:val="19"/>
                          </w:rPr>
                          <w:t>and </w:t>
                        </w:r>
                        <w:r>
                          <w:rPr>
                            <w:sz w:val="19"/>
                          </w:rPr>
                          <w:t>key performance</w:t>
                        </w:r>
                        <w:r>
                          <w:rPr>
                            <w:spacing w:val="-3"/>
                            <w:sz w:val="19"/>
                          </w:rPr>
                          <w:t> </w:t>
                        </w:r>
                        <w:r>
                          <w:rPr>
                            <w:sz w:val="19"/>
                          </w:rPr>
                          <w:t>indicators</w:t>
                        </w:r>
                      </w:p>
                    </w:tc>
                    <w:tc>
                      <w:tcPr>
                        <w:tcW w:w="1134" w:type="dxa"/>
                        <w:tcBorders>
                          <w:bottom w:val="single" w:sz="4" w:space="0" w:color="000000"/>
                        </w:tcBorders>
                        <w:shd w:val="clear" w:color="auto" w:fill="DFE1B8"/>
                      </w:tcPr>
                      <w:p>
                        <w:pPr>
                          <w:pStyle w:val="TableParagraph"/>
                          <w:spacing w:before="37"/>
                          <w:ind w:right="111"/>
                          <w:jc w:val="right"/>
                          <w:rPr>
                            <w:sz w:val="19"/>
                          </w:rPr>
                        </w:pPr>
                        <w:r>
                          <w:rPr>
                            <w:w w:val="95"/>
                            <w:sz w:val="19"/>
                          </w:rPr>
                          <w:t>376</w:t>
                        </w:r>
                      </w:p>
                    </w:tc>
                    <w:tc>
                      <w:tcPr>
                        <w:tcW w:w="1134" w:type="dxa"/>
                        <w:tcBorders>
                          <w:bottom w:val="single" w:sz="4" w:space="0" w:color="000000"/>
                        </w:tcBorders>
                        <w:shd w:val="clear" w:color="auto" w:fill="F4F4F4"/>
                      </w:tcPr>
                      <w:p>
                        <w:pPr>
                          <w:pStyle w:val="TableParagraph"/>
                          <w:spacing w:before="37"/>
                          <w:ind w:right="111"/>
                          <w:jc w:val="right"/>
                          <w:rPr>
                            <w:sz w:val="19"/>
                          </w:rPr>
                        </w:pPr>
                        <w:r>
                          <w:rPr>
                            <w:w w:val="95"/>
                            <w:sz w:val="19"/>
                          </w:rPr>
                          <w:t>370</w:t>
                        </w:r>
                      </w:p>
                    </w:tc>
                  </w:tr>
                  <w:tr>
                    <w:trPr>
                      <w:trHeight w:val="287" w:hRule="atLeast"/>
                    </w:trPr>
                    <w:tc>
                      <w:tcPr>
                        <w:tcW w:w="5131"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134" w:type="dxa"/>
                        <w:tcBorders>
                          <w:top w:val="single" w:sz="4" w:space="0" w:color="000000"/>
                          <w:bottom w:val="single" w:sz="24" w:space="0" w:color="FFFFFF"/>
                        </w:tcBorders>
                        <w:shd w:val="clear" w:color="auto" w:fill="E1E4BB"/>
                      </w:tcPr>
                      <w:p>
                        <w:pPr>
                          <w:pStyle w:val="TableParagraph"/>
                          <w:ind w:right="111"/>
                          <w:jc w:val="right"/>
                          <w:rPr>
                            <w:sz w:val="19"/>
                          </w:rPr>
                        </w:pPr>
                        <w:r>
                          <w:rPr>
                            <w:w w:val="95"/>
                            <w:sz w:val="19"/>
                          </w:rPr>
                          <w:t>376</w:t>
                        </w:r>
                      </w:p>
                    </w:tc>
                    <w:tc>
                      <w:tcPr>
                        <w:tcW w:w="1134" w:type="dxa"/>
                        <w:tcBorders>
                          <w:top w:val="single" w:sz="4" w:space="0" w:color="000000"/>
                          <w:bottom w:val="single" w:sz="24" w:space="0" w:color="FFFFFF"/>
                        </w:tcBorders>
                        <w:shd w:val="clear" w:color="auto" w:fill="FAF9F9"/>
                      </w:tcPr>
                      <w:p>
                        <w:pPr>
                          <w:pStyle w:val="TableParagraph"/>
                          <w:ind w:right="111"/>
                          <w:jc w:val="right"/>
                          <w:rPr>
                            <w:sz w:val="19"/>
                          </w:rPr>
                        </w:pPr>
                        <w:r>
                          <w:rPr>
                            <w:w w:val="95"/>
                            <w:sz w:val="19"/>
                          </w:rPr>
                          <w:t>370</w:t>
                        </w:r>
                      </w:p>
                    </w:tc>
                  </w:tr>
                </w:tbl>
                <w:p>
                  <w:pPr>
                    <w:pStyle w:val="BodyText"/>
                  </w:pPr>
                </w:p>
              </w:txbxContent>
            </v:textbox>
          </v:shape>
        </w:pict>
      </w:r>
      <w:r>
        <w:rPr>
          <w:position w:val="144"/>
          <w:sz w:val="20"/>
        </w:rPr>
      </w:r>
    </w:p>
    <w:p>
      <w:pPr>
        <w:spacing w:after="0" w:line="240" w:lineRule="auto"/>
        <w:rPr>
          <w:sz w:val="20"/>
        </w:rPr>
        <w:sectPr>
          <w:type w:val="continuous"/>
          <w:pgSz w:w="16840" w:h="11910" w:orient="landscape"/>
          <w:pgMar w:top="0" w:bottom="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pPr>
    </w:p>
    <w:p>
      <w:pPr>
        <w:pStyle w:val="Heading1"/>
        <w:spacing w:before="93"/>
      </w:pPr>
      <w:r>
        <w:rPr/>
        <w:pict>
          <v:group style="position:absolute;margin-left:763.172119pt;margin-top:-3.544212pt;width:61.1pt;height:45.2pt;mso-position-horizontal-relative:page;mso-position-vertical-relative:paragraph;z-index:22960"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23008" coordorigin="0,-1146" coordsize="2406,851">
            <v:rect style="position:absolute;left:0;top:-1147;width:2406;height:851" filled="true" fillcolor="#aebd37" stroked="false">
              <v:fill type="solid"/>
            </v:rect>
            <v:line style="position:absolute" from="0,-1146" to="0,-296" stroked="true" strokeweight="0pt" strokecolor="#aebd37">
              <v:stroke dashstyle="solid"/>
            </v:line>
            <v:shape style="position:absolute;left:0;top:-1147;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23104"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spacing w:before="29"/>
      </w:pPr>
      <w:r>
        <w:rPr>
          <w:color w:val="A7BE39"/>
        </w:rPr>
        <w:t>For the year ended 30 June 2017</w:t>
      </w:r>
    </w:p>
    <w:p>
      <w:pPr>
        <w:pStyle w:val="Heading5"/>
        <w:spacing w:line="261" w:lineRule="auto" w:before="257"/>
        <w:ind w:right="9900"/>
      </w:pPr>
      <w:r>
        <w:rPr/>
        <w:pict>
          <v:shape style="position:absolute;margin-left:431.574799pt;margin-top:16.434401pt;width:371.45pt;height:179.4pt;mso-position-horizontal-relative:page;mso-position-vertical-relative:paragraph;z-index:23128"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305" w:hRule="atLeast"/>
                    </w:trPr>
                    <w:tc>
                      <w:tcPr>
                        <w:tcW w:w="5131" w:type="dxa"/>
                        <w:tcBorders>
                          <w:left w:val="single" w:sz="8" w:space="0" w:color="FFFFFF"/>
                        </w:tcBorders>
                        <w:shd w:val="clear" w:color="auto" w:fill="783A79"/>
                      </w:tcPr>
                      <w:p>
                        <w:pPr>
                          <w:pStyle w:val="TableParagraph"/>
                          <w:spacing w:before="42"/>
                          <w:ind w:left="113"/>
                          <w:rPr>
                            <w:b/>
                            <w:sz w:val="19"/>
                          </w:rPr>
                        </w:pPr>
                        <w:r>
                          <w:rPr>
                            <w:b/>
                            <w:color w:val="FFFFFF"/>
                            <w:sz w:val="19"/>
                          </w:rPr>
                          <w:t>Compensation Band ($)</w:t>
                        </w:r>
                      </w:p>
                    </w:tc>
                    <w:tc>
                      <w:tcPr>
                        <w:tcW w:w="1134" w:type="dxa"/>
                        <w:shd w:val="clear" w:color="auto" w:fill="783A79"/>
                      </w:tcPr>
                      <w:p>
                        <w:pPr>
                          <w:pStyle w:val="TableParagraph"/>
                          <w:spacing w:before="42"/>
                          <w:ind w:right="101"/>
                          <w:jc w:val="right"/>
                          <w:rPr>
                            <w:b/>
                            <w:sz w:val="19"/>
                          </w:rPr>
                        </w:pPr>
                        <w:r>
                          <w:rPr>
                            <w:b/>
                            <w:color w:val="FFFFFF"/>
                            <w:w w:val="95"/>
                            <w:sz w:val="19"/>
                          </w:rPr>
                          <w:t>2017</w:t>
                        </w:r>
                      </w:p>
                    </w:tc>
                    <w:tc>
                      <w:tcPr>
                        <w:tcW w:w="1134" w:type="dxa"/>
                        <w:shd w:val="clear" w:color="auto" w:fill="783A79"/>
                      </w:tcPr>
                      <w:p>
                        <w:pPr>
                          <w:pStyle w:val="TableParagraph"/>
                          <w:spacing w:before="42"/>
                          <w:ind w:right="101"/>
                          <w:jc w:val="right"/>
                          <w:rPr>
                            <w:b/>
                            <w:sz w:val="19"/>
                          </w:rPr>
                        </w:pPr>
                        <w:r>
                          <w:rPr>
                            <w:b/>
                            <w:color w:val="FFFFFF"/>
                            <w:w w:val="95"/>
                            <w:sz w:val="19"/>
                          </w:rPr>
                          <w:t>2016</w:t>
                        </w:r>
                      </w:p>
                    </w:tc>
                  </w:tr>
                  <w:tr>
                    <w:trPr>
                      <w:trHeight w:val="317" w:hRule="atLeast"/>
                    </w:trPr>
                    <w:tc>
                      <w:tcPr>
                        <w:tcW w:w="5131" w:type="dxa"/>
                        <w:tcBorders>
                          <w:left w:val="single" w:sz="8" w:space="0" w:color="FFFFFF"/>
                          <w:bottom w:val="single" w:sz="8" w:space="0" w:color="FFFFFF"/>
                        </w:tcBorders>
                        <w:shd w:val="clear" w:color="auto" w:fill="F4F4F4"/>
                      </w:tcPr>
                      <w:p>
                        <w:pPr>
                          <w:pStyle w:val="TableParagraph"/>
                          <w:spacing w:before="42"/>
                          <w:ind w:left="113"/>
                          <w:rPr>
                            <w:sz w:val="19"/>
                          </w:rPr>
                        </w:pPr>
                        <w:r>
                          <w:rPr>
                            <w:sz w:val="19"/>
                          </w:rPr>
                          <w:t>60,001 - 70,000</w:t>
                        </w:r>
                      </w:p>
                    </w:tc>
                    <w:tc>
                      <w:tcPr>
                        <w:tcW w:w="1134" w:type="dxa"/>
                        <w:shd w:val="clear" w:color="auto" w:fill="E1E4BB"/>
                      </w:tcPr>
                      <w:p>
                        <w:pPr>
                          <w:pStyle w:val="TableParagraph"/>
                          <w:spacing w:before="42"/>
                          <w:ind w:right="101"/>
                          <w:jc w:val="right"/>
                          <w:rPr>
                            <w:sz w:val="19"/>
                          </w:rPr>
                        </w:pPr>
                        <w:r>
                          <w:rPr>
                            <w:w w:val="111"/>
                            <w:sz w:val="19"/>
                          </w:rPr>
                          <w:t>-</w:t>
                        </w:r>
                      </w:p>
                    </w:tc>
                    <w:tc>
                      <w:tcPr>
                        <w:tcW w:w="1134" w:type="dxa"/>
                        <w:tcBorders>
                          <w:bottom w:val="single" w:sz="8" w:space="0" w:color="FFFFFF"/>
                          <w:right w:val="single" w:sz="8" w:space="0" w:color="FFFFFF"/>
                        </w:tcBorders>
                        <w:shd w:val="clear" w:color="auto" w:fill="F4F4F4"/>
                      </w:tcPr>
                      <w:p>
                        <w:pPr>
                          <w:pStyle w:val="TableParagraph"/>
                          <w:spacing w:before="42"/>
                          <w:ind w:right="91"/>
                          <w:jc w:val="right"/>
                          <w:rPr>
                            <w:sz w:val="19"/>
                          </w:rPr>
                        </w:pPr>
                        <w:r>
                          <w:rPr>
                            <w:w w:val="99"/>
                            <w:sz w:val="19"/>
                          </w:rPr>
                          <w:t>1</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80,001 - 90,000</w:t>
                        </w:r>
                      </w:p>
                    </w:tc>
                    <w:tc>
                      <w:tcPr>
                        <w:tcW w:w="1134" w:type="dxa"/>
                        <w:shd w:val="clear" w:color="auto" w:fill="E1E4BB"/>
                      </w:tcPr>
                      <w:p>
                        <w:pPr>
                          <w:pStyle w:val="TableParagraph"/>
                          <w:ind w:right="101"/>
                          <w:jc w:val="right"/>
                          <w:rPr>
                            <w:sz w:val="19"/>
                          </w:rPr>
                        </w:pPr>
                        <w:r>
                          <w:rPr>
                            <w:w w:val="111"/>
                            <w:sz w:val="19"/>
                          </w:rPr>
                          <w:t>-</w:t>
                        </w:r>
                      </w:p>
                    </w:tc>
                    <w:tc>
                      <w:tcPr>
                        <w:tcW w:w="113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99"/>
                            <w:sz w:val="19"/>
                          </w:rPr>
                          <w:t>1</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120,001 - 130,000</w:t>
                        </w:r>
                      </w:p>
                    </w:tc>
                    <w:tc>
                      <w:tcPr>
                        <w:tcW w:w="1134" w:type="dxa"/>
                        <w:shd w:val="clear" w:color="auto" w:fill="E1E4BB"/>
                      </w:tcPr>
                      <w:p>
                        <w:pPr>
                          <w:pStyle w:val="TableParagraph"/>
                          <w:ind w:right="101"/>
                          <w:jc w:val="right"/>
                          <w:rPr>
                            <w:sz w:val="19"/>
                          </w:rPr>
                        </w:pPr>
                        <w:r>
                          <w:rPr>
                            <w:w w:val="111"/>
                            <w:sz w:val="19"/>
                          </w:rPr>
                          <w:t>-</w:t>
                        </w:r>
                      </w:p>
                    </w:tc>
                    <w:tc>
                      <w:tcPr>
                        <w:tcW w:w="1134"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9"/>
                            <w:sz w:val="19"/>
                          </w:rPr>
                          <w:t>2</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210,001 - 220,000</w:t>
                        </w:r>
                      </w:p>
                    </w:tc>
                    <w:tc>
                      <w:tcPr>
                        <w:tcW w:w="1134" w:type="dxa"/>
                        <w:shd w:val="clear" w:color="auto" w:fill="E1E4BB"/>
                      </w:tcPr>
                      <w:p>
                        <w:pPr>
                          <w:pStyle w:val="TableParagraph"/>
                          <w:ind w:right="101"/>
                          <w:jc w:val="right"/>
                          <w:rPr>
                            <w:sz w:val="19"/>
                          </w:rPr>
                        </w:pPr>
                        <w:r>
                          <w:rPr>
                            <w:w w:val="99"/>
                            <w:sz w:val="19"/>
                          </w:rPr>
                          <w:t>2</w:t>
                        </w:r>
                      </w:p>
                    </w:tc>
                    <w:tc>
                      <w:tcPr>
                        <w:tcW w:w="113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111"/>
                            <w:sz w:val="19"/>
                          </w:rPr>
                          <w:t>-</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270,001 - 280,000</w:t>
                        </w:r>
                      </w:p>
                    </w:tc>
                    <w:tc>
                      <w:tcPr>
                        <w:tcW w:w="1134" w:type="dxa"/>
                        <w:shd w:val="clear" w:color="auto" w:fill="E1E4BB"/>
                      </w:tcPr>
                      <w:p>
                        <w:pPr>
                          <w:pStyle w:val="TableParagraph"/>
                          <w:ind w:right="101"/>
                          <w:jc w:val="right"/>
                          <w:rPr>
                            <w:sz w:val="19"/>
                          </w:rPr>
                        </w:pPr>
                        <w:r>
                          <w:rPr>
                            <w:w w:val="111"/>
                            <w:sz w:val="19"/>
                          </w:rPr>
                          <w:t>-</w:t>
                        </w:r>
                      </w:p>
                    </w:tc>
                    <w:tc>
                      <w:tcPr>
                        <w:tcW w:w="1134"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9"/>
                            <w:sz w:val="19"/>
                          </w:rPr>
                          <w:t>2</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290,001 - 300,000</w:t>
                        </w:r>
                      </w:p>
                    </w:tc>
                    <w:tc>
                      <w:tcPr>
                        <w:tcW w:w="1134" w:type="dxa"/>
                        <w:shd w:val="clear" w:color="auto" w:fill="E1E4BB"/>
                      </w:tcPr>
                      <w:p>
                        <w:pPr>
                          <w:pStyle w:val="TableParagraph"/>
                          <w:ind w:right="101"/>
                          <w:jc w:val="right"/>
                          <w:rPr>
                            <w:sz w:val="19"/>
                          </w:rPr>
                        </w:pPr>
                        <w:r>
                          <w:rPr>
                            <w:w w:val="99"/>
                            <w:sz w:val="19"/>
                          </w:rPr>
                          <w:t>2</w:t>
                        </w:r>
                      </w:p>
                    </w:tc>
                    <w:tc>
                      <w:tcPr>
                        <w:tcW w:w="113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111"/>
                            <w:sz w:val="19"/>
                          </w:rPr>
                          <w:t>-</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350,001 - 360,000</w:t>
                        </w:r>
                      </w:p>
                    </w:tc>
                    <w:tc>
                      <w:tcPr>
                        <w:tcW w:w="1134" w:type="dxa"/>
                        <w:shd w:val="clear" w:color="auto" w:fill="E1E4BB"/>
                      </w:tcPr>
                      <w:p>
                        <w:pPr>
                          <w:pStyle w:val="TableParagraph"/>
                          <w:ind w:right="101"/>
                          <w:jc w:val="right"/>
                          <w:rPr>
                            <w:sz w:val="19"/>
                          </w:rPr>
                        </w:pPr>
                        <w:r>
                          <w:rPr>
                            <w:w w:val="111"/>
                            <w:sz w:val="19"/>
                          </w:rPr>
                          <w:t>-</w:t>
                        </w:r>
                      </w:p>
                    </w:tc>
                    <w:tc>
                      <w:tcPr>
                        <w:tcW w:w="1134"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9"/>
                            <w:sz w:val="19"/>
                          </w:rPr>
                          <w:t>1</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400,001 - 410,000</w:t>
                        </w:r>
                      </w:p>
                    </w:tc>
                    <w:tc>
                      <w:tcPr>
                        <w:tcW w:w="1134" w:type="dxa"/>
                        <w:shd w:val="clear" w:color="auto" w:fill="E1E4BB"/>
                      </w:tcPr>
                      <w:p>
                        <w:pPr>
                          <w:pStyle w:val="TableParagraph"/>
                          <w:ind w:right="101"/>
                          <w:jc w:val="right"/>
                          <w:rPr>
                            <w:sz w:val="19"/>
                          </w:rPr>
                        </w:pPr>
                        <w:r>
                          <w:rPr>
                            <w:w w:val="99"/>
                            <w:sz w:val="19"/>
                          </w:rPr>
                          <w:t>3</w:t>
                        </w:r>
                      </w:p>
                    </w:tc>
                    <w:tc>
                      <w:tcPr>
                        <w:tcW w:w="113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111"/>
                            <w:sz w:val="19"/>
                          </w:rPr>
                          <w:t>-</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420,001 - 430,000</w:t>
                        </w:r>
                      </w:p>
                    </w:tc>
                    <w:tc>
                      <w:tcPr>
                        <w:tcW w:w="1134" w:type="dxa"/>
                        <w:shd w:val="clear" w:color="auto" w:fill="E1E4BB"/>
                      </w:tcPr>
                      <w:p>
                        <w:pPr>
                          <w:pStyle w:val="TableParagraph"/>
                          <w:ind w:right="101"/>
                          <w:jc w:val="right"/>
                          <w:rPr>
                            <w:sz w:val="19"/>
                          </w:rPr>
                        </w:pPr>
                        <w:r>
                          <w:rPr>
                            <w:w w:val="111"/>
                            <w:sz w:val="19"/>
                          </w:rPr>
                          <w:t>-</w:t>
                        </w:r>
                      </w:p>
                    </w:tc>
                    <w:tc>
                      <w:tcPr>
                        <w:tcW w:w="1134"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9"/>
                            <w:sz w:val="19"/>
                          </w:rPr>
                          <w:t>1</w:t>
                        </w:r>
                      </w:p>
                    </w:tc>
                  </w:tr>
                  <w:tr>
                    <w:trPr>
                      <w:trHeight w:val="307" w:hRule="atLeast"/>
                    </w:trPr>
                    <w:tc>
                      <w:tcPr>
                        <w:tcW w:w="5131"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430,001 - 440,000</w:t>
                        </w:r>
                      </w:p>
                    </w:tc>
                    <w:tc>
                      <w:tcPr>
                        <w:tcW w:w="1134" w:type="dxa"/>
                        <w:shd w:val="clear" w:color="auto" w:fill="E1E4BB"/>
                      </w:tcPr>
                      <w:p>
                        <w:pPr>
                          <w:pStyle w:val="TableParagraph"/>
                          <w:ind w:right="101"/>
                          <w:jc w:val="right"/>
                          <w:rPr>
                            <w:sz w:val="19"/>
                          </w:rPr>
                        </w:pPr>
                        <w:r>
                          <w:rPr>
                            <w:w w:val="111"/>
                            <w:sz w:val="19"/>
                          </w:rPr>
                          <w:t>-</w:t>
                        </w:r>
                      </w:p>
                    </w:tc>
                    <w:tc>
                      <w:tcPr>
                        <w:tcW w:w="113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99"/>
                            <w:sz w:val="19"/>
                          </w:rPr>
                          <w:t>1</w:t>
                        </w:r>
                      </w:p>
                    </w:tc>
                  </w:tr>
                </w:tbl>
                <w:p>
                  <w:pPr>
                    <w:pStyle w:val="BodyText"/>
                  </w:pPr>
                </w:p>
              </w:txbxContent>
            </v:textbox>
            <w10:wrap type="none"/>
          </v:shape>
        </w:pict>
      </w:r>
      <w:r>
        <w:rPr>
          <w:color w:val="6F2770"/>
        </w:rPr>
        <w:t>Note</w:t>
      </w:r>
      <w:r>
        <w:rPr>
          <w:color w:val="6F2770"/>
          <w:spacing w:val="-32"/>
        </w:rPr>
        <w:t> </w:t>
      </w:r>
      <w:r>
        <w:rPr>
          <w:color w:val="6F2770"/>
        </w:rPr>
        <w:t>42.</w:t>
      </w:r>
      <w:r>
        <w:rPr>
          <w:color w:val="6F2770"/>
          <w:spacing w:val="-32"/>
        </w:rPr>
        <w:t> </w:t>
      </w:r>
      <w:r>
        <w:rPr>
          <w:color w:val="6F2770"/>
        </w:rPr>
        <w:t>Compensation</w:t>
      </w:r>
      <w:r>
        <w:rPr>
          <w:color w:val="6F2770"/>
          <w:spacing w:val="-32"/>
        </w:rPr>
        <w:t> </w:t>
      </w:r>
      <w:r>
        <w:rPr>
          <w:color w:val="6F2770"/>
        </w:rPr>
        <w:t>of</w:t>
      </w:r>
      <w:r>
        <w:rPr>
          <w:color w:val="6F2770"/>
          <w:spacing w:val="-32"/>
        </w:rPr>
        <w:t> </w:t>
      </w:r>
      <w:r>
        <w:rPr>
          <w:color w:val="6F2770"/>
        </w:rPr>
        <w:t>Key</w:t>
      </w:r>
      <w:r>
        <w:rPr>
          <w:color w:val="6F2770"/>
          <w:spacing w:val="-32"/>
        </w:rPr>
        <w:t> </w:t>
      </w:r>
      <w:r>
        <w:rPr>
          <w:color w:val="6F2770"/>
        </w:rPr>
        <w:t>Management Personnel</w:t>
      </w:r>
    </w:p>
    <w:p>
      <w:pPr>
        <w:pStyle w:val="BodyText"/>
        <w:spacing w:line="249" w:lineRule="auto" w:before="220"/>
        <w:ind w:left="765" w:right="8665"/>
      </w:pPr>
      <w:r>
        <w:rPr/>
        <w:t>The Department has determined that key management personnel include Ministers and senior </w:t>
      </w:r>
      <w:r>
        <w:rPr>
          <w:spacing w:val="-3"/>
        </w:rPr>
        <w:t>officers </w:t>
      </w:r>
      <w:r>
        <w:rPr/>
        <w:t>of the Department. </w:t>
      </w:r>
      <w:r>
        <w:rPr>
          <w:spacing w:val="-5"/>
        </w:rPr>
        <w:t>However, </w:t>
      </w:r>
      <w:r>
        <w:rPr/>
        <w:t>the Department is not</w:t>
      </w:r>
      <w:r>
        <w:rPr>
          <w:spacing w:val="-21"/>
        </w:rPr>
        <w:t> </w:t>
      </w:r>
      <w:r>
        <w:rPr/>
        <w:t>obligated</w:t>
      </w:r>
      <w:r>
        <w:rPr>
          <w:spacing w:val="-20"/>
        </w:rPr>
        <w:t> </w:t>
      </w:r>
      <w:r>
        <w:rPr/>
        <w:t>to</w:t>
      </w:r>
      <w:r>
        <w:rPr>
          <w:spacing w:val="-21"/>
        </w:rPr>
        <w:t> </w:t>
      </w:r>
      <w:r>
        <w:rPr/>
        <w:t>compensate</w:t>
      </w:r>
      <w:r>
        <w:rPr>
          <w:spacing w:val="-20"/>
        </w:rPr>
        <w:t> </w:t>
      </w:r>
      <w:r>
        <w:rPr/>
        <w:t>Ministers</w:t>
      </w:r>
      <w:r>
        <w:rPr>
          <w:spacing w:val="-20"/>
        </w:rPr>
        <w:t> </w:t>
      </w:r>
      <w:r>
        <w:rPr/>
        <w:t>and</w:t>
      </w:r>
      <w:r>
        <w:rPr>
          <w:spacing w:val="-21"/>
        </w:rPr>
        <w:t> </w:t>
      </w:r>
      <w:r>
        <w:rPr>
          <w:spacing w:val="-3"/>
        </w:rPr>
        <w:t>therefore</w:t>
      </w:r>
      <w:r>
        <w:rPr>
          <w:spacing w:val="-20"/>
        </w:rPr>
        <w:t> </w:t>
      </w:r>
      <w:r>
        <w:rPr>
          <w:spacing w:val="-3"/>
        </w:rPr>
        <w:t>disclosures</w:t>
      </w:r>
      <w:r>
        <w:rPr>
          <w:spacing w:val="-20"/>
        </w:rPr>
        <w:t> </w:t>
      </w:r>
      <w:r>
        <w:rPr/>
        <w:t>in</w:t>
      </w:r>
      <w:r>
        <w:rPr>
          <w:spacing w:val="-21"/>
        </w:rPr>
        <w:t> </w:t>
      </w:r>
      <w:r>
        <w:rPr>
          <w:spacing w:val="-3"/>
        </w:rPr>
        <w:t>relation</w:t>
      </w:r>
      <w:r>
        <w:rPr>
          <w:spacing w:val="-20"/>
        </w:rPr>
        <w:t> </w:t>
      </w:r>
      <w:r>
        <w:rPr/>
        <w:t>to </w:t>
      </w:r>
      <w:r>
        <w:rPr>
          <w:spacing w:val="-5"/>
        </w:rPr>
        <w:t>Minister’s</w:t>
      </w:r>
      <w:r>
        <w:rPr>
          <w:spacing w:val="-29"/>
        </w:rPr>
        <w:t> </w:t>
      </w:r>
      <w:r>
        <w:rPr/>
        <w:t>compensation</w:t>
      </w:r>
      <w:r>
        <w:rPr>
          <w:spacing w:val="-28"/>
        </w:rPr>
        <w:t> </w:t>
      </w:r>
      <w:r>
        <w:rPr/>
        <w:t>may</w:t>
      </w:r>
      <w:r>
        <w:rPr>
          <w:spacing w:val="-28"/>
        </w:rPr>
        <w:t> </w:t>
      </w:r>
      <w:r>
        <w:rPr/>
        <w:t>be</w:t>
      </w:r>
      <w:r>
        <w:rPr>
          <w:spacing w:val="-29"/>
        </w:rPr>
        <w:t> </w:t>
      </w:r>
      <w:r>
        <w:rPr/>
        <w:t>found</w:t>
      </w:r>
      <w:r>
        <w:rPr>
          <w:spacing w:val="-28"/>
        </w:rPr>
        <w:t> </w:t>
      </w:r>
      <w:r>
        <w:rPr/>
        <w:t>in</w:t>
      </w:r>
      <w:r>
        <w:rPr>
          <w:spacing w:val="-28"/>
        </w:rPr>
        <w:t> </w:t>
      </w:r>
      <w:r>
        <w:rPr/>
        <w:t>the</w:t>
      </w:r>
      <w:r>
        <w:rPr>
          <w:spacing w:val="-28"/>
        </w:rPr>
        <w:t> </w:t>
      </w:r>
      <w:r>
        <w:rPr/>
        <w:t>Annual</w:t>
      </w:r>
      <w:r>
        <w:rPr>
          <w:spacing w:val="-29"/>
        </w:rPr>
        <w:t> </w:t>
      </w:r>
      <w:r>
        <w:rPr/>
        <w:t>Report</w:t>
      </w:r>
      <w:r>
        <w:rPr>
          <w:spacing w:val="-28"/>
        </w:rPr>
        <w:t> </w:t>
      </w:r>
      <w:r>
        <w:rPr/>
        <w:t>on</w:t>
      </w:r>
      <w:r>
        <w:rPr>
          <w:spacing w:val="-28"/>
        </w:rPr>
        <w:t> </w:t>
      </w:r>
      <w:r>
        <w:rPr/>
        <w:t>State</w:t>
      </w:r>
      <w:r>
        <w:rPr>
          <w:spacing w:val="-29"/>
        </w:rPr>
        <w:t> </w:t>
      </w:r>
      <w:r>
        <w:rPr/>
        <w:t>Finances.</w:t>
      </w:r>
    </w:p>
    <w:p>
      <w:pPr>
        <w:pStyle w:val="BodyText"/>
        <w:spacing w:before="3"/>
        <w:rPr>
          <w:sz w:val="23"/>
        </w:rPr>
      </w:pPr>
    </w:p>
    <w:p>
      <w:pPr>
        <w:pStyle w:val="BodyText"/>
        <w:spacing w:line="249" w:lineRule="auto"/>
        <w:ind w:left="765" w:right="8665"/>
      </w:pPr>
      <w:r>
        <w:rPr>
          <w:spacing w:val="-7"/>
        </w:rPr>
        <w:t>Total</w:t>
      </w:r>
      <w:r>
        <w:rPr>
          <w:spacing w:val="-24"/>
        </w:rPr>
        <w:t> </w:t>
      </w:r>
      <w:r>
        <w:rPr/>
        <w:t>compensation</w:t>
      </w:r>
      <w:r>
        <w:rPr>
          <w:spacing w:val="-24"/>
        </w:rPr>
        <w:t> </w:t>
      </w:r>
      <w:r>
        <w:rPr/>
        <w:t>of</w:t>
      </w:r>
      <w:r>
        <w:rPr>
          <w:spacing w:val="-24"/>
        </w:rPr>
        <w:t> </w:t>
      </w:r>
      <w:r>
        <w:rPr/>
        <w:t>senior</w:t>
      </w:r>
      <w:r>
        <w:rPr>
          <w:spacing w:val="-24"/>
        </w:rPr>
        <w:t> </w:t>
      </w:r>
      <w:r>
        <w:rPr>
          <w:spacing w:val="-3"/>
        </w:rPr>
        <w:t>officers</w:t>
      </w:r>
      <w:r>
        <w:rPr>
          <w:spacing w:val="-23"/>
        </w:rPr>
        <w:t> </w:t>
      </w:r>
      <w:r>
        <w:rPr/>
        <w:t>of</w:t>
      </w:r>
      <w:r>
        <w:rPr>
          <w:spacing w:val="-24"/>
        </w:rPr>
        <w:t> </w:t>
      </w:r>
      <w:r>
        <w:rPr/>
        <w:t>the</w:t>
      </w:r>
      <w:r>
        <w:rPr>
          <w:spacing w:val="-24"/>
        </w:rPr>
        <w:t> </w:t>
      </w:r>
      <w:r>
        <w:rPr/>
        <w:t>Department</w:t>
      </w:r>
      <w:r>
        <w:rPr>
          <w:spacing w:val="-24"/>
        </w:rPr>
        <w:t> </w:t>
      </w:r>
      <w:r>
        <w:rPr/>
        <w:t>for</w:t>
      </w:r>
      <w:r>
        <w:rPr>
          <w:spacing w:val="-23"/>
        </w:rPr>
        <w:t> </w:t>
      </w:r>
      <w:r>
        <w:rPr/>
        <w:t>the</w:t>
      </w:r>
      <w:r>
        <w:rPr>
          <w:spacing w:val="-24"/>
        </w:rPr>
        <w:t> </w:t>
      </w:r>
      <w:r>
        <w:rPr>
          <w:spacing w:val="-3"/>
        </w:rPr>
        <w:t>reporting</w:t>
      </w:r>
      <w:r>
        <w:rPr>
          <w:spacing w:val="-24"/>
        </w:rPr>
        <w:t> </w:t>
      </w:r>
      <w:r>
        <w:rPr>
          <w:spacing w:val="-2"/>
        </w:rPr>
        <w:t>period </w:t>
      </w:r>
      <w:r>
        <w:rPr/>
        <w:t>is </w:t>
      </w:r>
      <w:r>
        <w:rPr>
          <w:spacing w:val="-3"/>
        </w:rPr>
        <w:t>presented </w:t>
      </w:r>
      <w:r>
        <w:rPr/>
        <w:t>within the following</w:t>
      </w:r>
      <w:r>
        <w:rPr>
          <w:spacing w:val="-22"/>
        </w:rPr>
        <w:t> </w:t>
      </w:r>
      <w:r>
        <w:rPr>
          <w:spacing w:val="-2"/>
        </w:rPr>
        <w:t>bands: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p>
    <w:tbl>
      <w:tblPr>
        <w:tblW w:w="0" w:type="auto"/>
        <w:jc w:val="left"/>
        <w:tblInd w:w="8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1"/>
        <w:gridCol w:w="1134"/>
        <w:gridCol w:w="1134"/>
      </w:tblGrid>
      <w:tr>
        <w:trPr>
          <w:trHeight w:val="543" w:hRule="atLeast"/>
        </w:trPr>
        <w:tc>
          <w:tcPr>
            <w:tcW w:w="7399" w:type="dxa"/>
            <w:gridSpan w:val="3"/>
            <w:shd w:val="clear" w:color="auto" w:fill="783A79"/>
          </w:tcPr>
          <w:p>
            <w:pPr>
              <w:pStyle w:val="TableParagraph"/>
              <w:tabs>
                <w:tab w:pos="1133" w:val="left" w:leader="none"/>
              </w:tabs>
              <w:spacing w:before="47"/>
              <w:ind w:right="111"/>
              <w:jc w:val="right"/>
              <w:rPr>
                <w:b/>
                <w:sz w:val="19"/>
              </w:rPr>
            </w:pPr>
            <w:r>
              <w:rPr>
                <w:b/>
                <w:color w:val="FFFFFF"/>
                <w:sz w:val="19"/>
              </w:rPr>
              <w:t>2017</w:t>
              <w:tab/>
            </w:r>
            <w:r>
              <w:rPr>
                <w:b/>
                <w:color w:val="FFFFFF"/>
                <w:spacing w:val="-1"/>
                <w:sz w:val="19"/>
              </w:rPr>
              <w:t>2016</w:t>
            </w:r>
          </w:p>
          <w:p>
            <w:pPr>
              <w:pStyle w:val="TableParagraph"/>
              <w:tabs>
                <w:tab w:pos="1133" w:val="left" w:leader="none"/>
              </w:tabs>
              <w:spacing w:before="10"/>
              <w:ind w:right="111"/>
              <w:jc w:val="right"/>
              <w:rPr>
                <w:b/>
                <w:sz w:val="19"/>
              </w:rPr>
            </w:pPr>
            <w:r>
              <w:rPr>
                <w:b/>
                <w:color w:val="FFFFFF"/>
                <w:sz w:val="19"/>
              </w:rPr>
              <w:t>$000</w:t>
              <w:tab/>
            </w:r>
            <w:r>
              <w:rPr>
                <w:b/>
                <w:color w:val="FFFFFF"/>
                <w:spacing w:val="-1"/>
                <w:sz w:val="19"/>
              </w:rPr>
              <w:t>$000</w:t>
            </w:r>
          </w:p>
        </w:tc>
      </w:tr>
      <w:tr>
        <w:trPr>
          <w:trHeight w:val="312" w:hRule="atLeast"/>
        </w:trPr>
        <w:tc>
          <w:tcPr>
            <w:tcW w:w="5131" w:type="dxa"/>
            <w:tcBorders>
              <w:bottom w:val="single" w:sz="8" w:space="0" w:color="FFFFFF"/>
            </w:tcBorders>
            <w:shd w:val="clear" w:color="auto" w:fill="F4F4F4"/>
          </w:tcPr>
          <w:p>
            <w:pPr>
              <w:pStyle w:val="TableParagraph"/>
              <w:spacing w:before="37"/>
              <w:ind w:left="113"/>
              <w:rPr>
                <w:sz w:val="19"/>
              </w:rPr>
            </w:pPr>
            <w:r>
              <w:rPr>
                <w:sz w:val="19"/>
              </w:rPr>
              <w:t>Short term employee benefits</w:t>
            </w:r>
          </w:p>
        </w:tc>
        <w:tc>
          <w:tcPr>
            <w:tcW w:w="1134" w:type="dxa"/>
            <w:vMerge w:val="restart"/>
            <w:tcBorders>
              <w:bottom w:val="single" w:sz="4" w:space="0" w:color="000000"/>
            </w:tcBorders>
            <w:shd w:val="clear" w:color="auto" w:fill="DFE1B8"/>
          </w:tcPr>
          <w:p>
            <w:pPr>
              <w:pStyle w:val="TableParagraph"/>
              <w:spacing w:before="37"/>
              <w:ind w:right="111"/>
              <w:jc w:val="right"/>
              <w:rPr>
                <w:sz w:val="19"/>
              </w:rPr>
            </w:pPr>
            <w:r>
              <w:rPr>
                <w:w w:val="95"/>
                <w:sz w:val="19"/>
              </w:rPr>
              <w:t>1,775</w:t>
            </w:r>
          </w:p>
          <w:p>
            <w:pPr>
              <w:pStyle w:val="TableParagraph"/>
              <w:spacing w:before="109"/>
              <w:ind w:right="111"/>
              <w:jc w:val="right"/>
              <w:rPr>
                <w:sz w:val="19"/>
              </w:rPr>
            </w:pPr>
            <w:r>
              <w:rPr>
                <w:w w:val="95"/>
                <w:sz w:val="19"/>
              </w:rPr>
              <w:t>228</w:t>
            </w:r>
          </w:p>
          <w:p>
            <w:pPr>
              <w:pStyle w:val="TableParagraph"/>
              <w:spacing w:before="109"/>
              <w:ind w:right="111"/>
              <w:jc w:val="right"/>
              <w:rPr>
                <w:sz w:val="19"/>
              </w:rPr>
            </w:pPr>
            <w:r>
              <w:rPr>
                <w:w w:val="95"/>
                <w:sz w:val="19"/>
              </w:rPr>
              <w:t>239</w:t>
            </w:r>
          </w:p>
          <w:p>
            <w:pPr>
              <w:pStyle w:val="TableParagraph"/>
              <w:spacing w:before="108"/>
              <w:ind w:right="111"/>
              <w:jc w:val="right"/>
              <w:rPr>
                <w:sz w:val="19"/>
              </w:rPr>
            </w:pPr>
            <w:r>
              <w:rPr>
                <w:w w:val="111"/>
                <w:sz w:val="19"/>
              </w:rPr>
              <w:t>-</w:t>
            </w:r>
          </w:p>
        </w:tc>
        <w:tc>
          <w:tcPr>
            <w:tcW w:w="1134" w:type="dxa"/>
            <w:tcBorders>
              <w:bottom w:val="single" w:sz="8" w:space="0" w:color="FFFFFF"/>
            </w:tcBorders>
            <w:shd w:val="clear" w:color="auto" w:fill="F4F4F4"/>
          </w:tcPr>
          <w:p>
            <w:pPr>
              <w:pStyle w:val="TableParagraph"/>
              <w:spacing w:before="37"/>
              <w:ind w:right="111"/>
              <w:jc w:val="right"/>
              <w:rPr>
                <w:sz w:val="19"/>
              </w:rPr>
            </w:pPr>
            <w:r>
              <w:rPr>
                <w:w w:val="95"/>
                <w:sz w:val="19"/>
              </w:rPr>
              <w:t>1,743</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Post employment benefits</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8" w:space="0" w:color="FFFFFF"/>
            </w:tcBorders>
            <w:shd w:val="clear" w:color="auto" w:fill="FAF9F9"/>
          </w:tcPr>
          <w:p>
            <w:pPr>
              <w:pStyle w:val="TableParagraph"/>
              <w:ind w:right="111"/>
              <w:jc w:val="right"/>
              <w:rPr>
                <w:sz w:val="19"/>
              </w:rPr>
            </w:pPr>
            <w:r>
              <w:rPr>
                <w:w w:val="95"/>
                <w:sz w:val="19"/>
              </w:rPr>
              <w:t>226</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sz w:val="19"/>
              </w:rPr>
            </w:pPr>
            <w:r>
              <w:rPr>
                <w:sz w:val="19"/>
              </w:rPr>
              <w:t>Other long term benefits</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8" w:space="0" w:color="FFFFFF"/>
            </w:tcBorders>
            <w:shd w:val="clear" w:color="auto" w:fill="F4F4F4"/>
          </w:tcPr>
          <w:p>
            <w:pPr>
              <w:pStyle w:val="TableParagraph"/>
              <w:ind w:right="111"/>
              <w:jc w:val="right"/>
              <w:rPr>
                <w:sz w:val="19"/>
              </w:rPr>
            </w:pPr>
            <w:r>
              <w:rPr>
                <w:w w:val="95"/>
                <w:sz w:val="19"/>
              </w:rPr>
              <w:t>204</w:t>
            </w:r>
          </w:p>
        </w:tc>
      </w:tr>
      <w:tr>
        <w:trPr>
          <w:trHeight w:val="307" w:hRule="atLeast"/>
        </w:trPr>
        <w:tc>
          <w:tcPr>
            <w:tcW w:w="5131" w:type="dxa"/>
            <w:tcBorders>
              <w:top w:val="single" w:sz="8" w:space="0" w:color="FFFFFF"/>
              <w:bottom w:val="single" w:sz="8" w:space="0" w:color="FFFFFF"/>
            </w:tcBorders>
            <w:shd w:val="clear" w:color="auto" w:fill="FAF9F9"/>
          </w:tcPr>
          <w:p>
            <w:pPr>
              <w:pStyle w:val="TableParagraph"/>
              <w:ind w:left="113"/>
              <w:rPr>
                <w:sz w:val="19"/>
              </w:rPr>
            </w:pPr>
            <w:r>
              <w:rPr>
                <w:sz w:val="19"/>
              </w:rPr>
              <w:t>Termination benefits</w:t>
            </w:r>
          </w:p>
        </w:tc>
        <w:tc>
          <w:tcPr>
            <w:tcW w:w="1134" w:type="dxa"/>
            <w:vMerge/>
            <w:tcBorders>
              <w:top w:val="nil"/>
              <w:bottom w:val="single" w:sz="4" w:space="0" w:color="000000"/>
            </w:tcBorders>
            <w:shd w:val="clear" w:color="auto" w:fill="DFE1B8"/>
          </w:tcPr>
          <w:p>
            <w:pPr>
              <w:rPr>
                <w:sz w:val="2"/>
                <w:szCs w:val="2"/>
              </w:rPr>
            </w:pPr>
          </w:p>
        </w:tc>
        <w:tc>
          <w:tcPr>
            <w:tcW w:w="1134" w:type="dxa"/>
            <w:tcBorders>
              <w:top w:val="single" w:sz="8" w:space="0" w:color="FFFFFF"/>
              <w:bottom w:val="single" w:sz="4" w:space="0" w:color="000000"/>
            </w:tcBorders>
            <w:shd w:val="clear" w:color="auto" w:fill="FAF9F9"/>
          </w:tcPr>
          <w:p>
            <w:pPr>
              <w:pStyle w:val="TableParagraph"/>
              <w:ind w:right="111"/>
              <w:jc w:val="right"/>
              <w:rPr>
                <w:sz w:val="19"/>
              </w:rPr>
            </w:pPr>
            <w:r>
              <w:rPr>
                <w:w w:val="111"/>
                <w:sz w:val="19"/>
              </w:rPr>
              <w:t>-</w:t>
            </w:r>
          </w:p>
        </w:tc>
      </w:tr>
      <w:tr>
        <w:trPr>
          <w:trHeight w:val="307" w:hRule="atLeast"/>
        </w:trPr>
        <w:tc>
          <w:tcPr>
            <w:tcW w:w="5131" w:type="dxa"/>
            <w:tcBorders>
              <w:top w:val="single" w:sz="8" w:space="0" w:color="FFFFFF"/>
              <w:bottom w:val="single" w:sz="8" w:space="0" w:color="FFFFFF"/>
            </w:tcBorders>
            <w:shd w:val="clear" w:color="auto" w:fill="F4F4F4"/>
          </w:tcPr>
          <w:p>
            <w:pPr>
              <w:pStyle w:val="TableParagraph"/>
              <w:ind w:left="113"/>
              <w:rPr>
                <w:b/>
                <w:sz w:val="19"/>
              </w:rPr>
            </w:pPr>
            <w:r>
              <w:rPr>
                <w:b/>
                <w:sz w:val="19"/>
              </w:rPr>
              <w:t>Total compensation of senior officers</w:t>
            </w:r>
          </w:p>
        </w:tc>
        <w:tc>
          <w:tcPr>
            <w:tcW w:w="1134" w:type="dxa"/>
            <w:tcBorders>
              <w:top w:val="single" w:sz="4" w:space="0" w:color="000000"/>
              <w:bottom w:val="single" w:sz="6" w:space="0" w:color="000000"/>
            </w:tcBorders>
            <w:shd w:val="clear" w:color="auto" w:fill="DFE1B8"/>
          </w:tcPr>
          <w:p>
            <w:pPr>
              <w:pStyle w:val="TableParagraph"/>
              <w:ind w:left="544"/>
              <w:rPr>
                <w:b/>
                <w:sz w:val="19"/>
              </w:rPr>
            </w:pPr>
            <w:r>
              <w:rPr>
                <w:b/>
                <w:sz w:val="19"/>
              </w:rPr>
              <w:t>2,242</w:t>
            </w:r>
          </w:p>
        </w:tc>
        <w:tc>
          <w:tcPr>
            <w:tcW w:w="1134" w:type="dxa"/>
            <w:tcBorders>
              <w:top w:val="single" w:sz="4" w:space="0" w:color="000000"/>
              <w:bottom w:val="single" w:sz="6" w:space="0" w:color="000000"/>
            </w:tcBorders>
            <w:shd w:val="clear" w:color="auto" w:fill="F4F4F4"/>
          </w:tcPr>
          <w:p>
            <w:pPr>
              <w:pStyle w:val="TableParagraph"/>
              <w:ind w:right="111"/>
              <w:jc w:val="right"/>
              <w:rPr>
                <w:b/>
                <w:sz w:val="19"/>
              </w:rPr>
            </w:pPr>
            <w:r>
              <w:rPr>
                <w:b/>
                <w:w w:val="95"/>
                <w:sz w:val="19"/>
              </w:rPr>
              <w:t>2,173</w:t>
            </w:r>
          </w:p>
        </w:tc>
      </w:tr>
    </w:tbl>
    <w:p>
      <w:pPr>
        <w:pStyle w:val="BodyText"/>
        <w:spacing w:line="20" w:lineRule="exact"/>
        <w:ind w:left="13757"/>
        <w:rPr>
          <w:sz w:val="2"/>
        </w:rPr>
      </w:pPr>
      <w:r>
        <w:rPr>
          <w:sz w:val="2"/>
        </w:rPr>
        <w:pict>
          <v:group style="width:113.4pt;height:.550pt;mso-position-horizontal-relative:char;mso-position-vertical-relative:line" coordorigin="0,0" coordsize="2268,11">
            <v:line style="position:absolute" from="0,5" to="1134,5" stroked="true" strokeweight=".501pt" strokecolor="#000000">
              <v:stroke dashstyle="solid"/>
            </v:line>
            <v:line style="position:absolute" from="1134,5" to="2268,5" stroked="true" strokeweight=".501pt" strokecolor="#000000">
              <v:stroke dashstyle="solid"/>
            </v:line>
          </v:group>
        </w:pict>
      </w:r>
      <w:r>
        <w:rPr>
          <w:sz w:val="2"/>
        </w:rPr>
      </w:r>
    </w:p>
    <w:p>
      <w:pPr>
        <w:spacing w:after="0" w:line="20" w:lineRule="exact"/>
        <w:rPr>
          <w:sz w:val="2"/>
        </w:rPr>
        <w:sectPr>
          <w:footerReference w:type="default" r:id="rId227"/>
          <w:pgSz w:w="16840" w:h="11910" w:orient="landscape"/>
          <w:pgMar w:footer="448" w:header="0" w:top="0" w:bottom="640" w:left="0" w:right="0"/>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23224"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23344"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23368"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10"/>
        <w:rPr>
          <w:sz w:val="12"/>
        </w:rPr>
      </w:pPr>
    </w:p>
    <w:p>
      <w:pPr>
        <w:spacing w:after="0"/>
        <w:rPr>
          <w:sz w:val="12"/>
        </w:rPr>
        <w:sectPr>
          <w:footerReference w:type="default" r:id="rId228"/>
          <w:pgSz w:w="16840" w:h="11910" w:orient="landscape"/>
          <w:pgMar w:footer="448" w:header="0" w:top="0" w:bottom="640" w:left="0" w:right="0"/>
        </w:sectPr>
      </w:pPr>
    </w:p>
    <w:p>
      <w:pPr>
        <w:pStyle w:val="Heading5"/>
      </w:pPr>
      <w:r>
        <w:rPr>
          <w:color w:val="6F2770"/>
        </w:rPr>
        <w:t>Note 43. Related Party Transactions</w:t>
      </w:r>
    </w:p>
    <w:p>
      <w:pPr>
        <w:pStyle w:val="BodyText"/>
        <w:spacing w:line="249" w:lineRule="auto" w:before="254"/>
        <w:ind w:left="765" w:right="16"/>
      </w:pPr>
      <w:r>
        <w:rPr/>
        <w:t>The</w:t>
      </w:r>
      <w:r>
        <w:rPr>
          <w:spacing w:val="-16"/>
        </w:rPr>
        <w:t> </w:t>
      </w:r>
      <w:r>
        <w:rPr/>
        <w:t>Department</w:t>
      </w:r>
      <w:r>
        <w:rPr>
          <w:spacing w:val="-15"/>
        </w:rPr>
        <w:t> </w:t>
      </w:r>
      <w:r>
        <w:rPr/>
        <w:t>is</w:t>
      </w:r>
      <w:r>
        <w:rPr>
          <w:spacing w:val="-15"/>
        </w:rPr>
        <w:t> </w:t>
      </w:r>
      <w:r>
        <w:rPr/>
        <w:t>a</w:t>
      </w:r>
      <w:r>
        <w:rPr>
          <w:spacing w:val="-15"/>
        </w:rPr>
        <w:t> </w:t>
      </w:r>
      <w:r>
        <w:rPr/>
        <w:t>wholly-owned</w:t>
      </w:r>
      <w:r>
        <w:rPr>
          <w:spacing w:val="-15"/>
        </w:rPr>
        <w:t> </w:t>
      </w:r>
      <w:r>
        <w:rPr/>
        <w:t>public</w:t>
      </w:r>
      <w:r>
        <w:rPr>
          <w:spacing w:val="-15"/>
        </w:rPr>
        <w:t> </w:t>
      </w:r>
      <w:r>
        <w:rPr/>
        <w:t>sector</w:t>
      </w:r>
      <w:r>
        <w:rPr>
          <w:spacing w:val="-15"/>
        </w:rPr>
        <w:t> </w:t>
      </w:r>
      <w:r>
        <w:rPr/>
        <w:t>entity</w:t>
      </w:r>
      <w:r>
        <w:rPr>
          <w:spacing w:val="-15"/>
        </w:rPr>
        <w:t> </w:t>
      </w:r>
      <w:r>
        <w:rPr/>
        <w:t>that</w:t>
      </w:r>
      <w:r>
        <w:rPr>
          <w:spacing w:val="-15"/>
        </w:rPr>
        <w:t> </w:t>
      </w:r>
      <w:r>
        <w:rPr/>
        <w:t>is</w:t>
      </w:r>
      <w:r>
        <w:rPr>
          <w:spacing w:val="-15"/>
        </w:rPr>
        <w:t> </w:t>
      </w:r>
      <w:r>
        <w:rPr/>
        <w:t>controlled</w:t>
      </w:r>
      <w:r>
        <w:rPr>
          <w:spacing w:val="-15"/>
        </w:rPr>
        <w:t> </w:t>
      </w:r>
      <w:r>
        <w:rPr/>
        <w:t>by</w:t>
      </w:r>
      <w:r>
        <w:rPr>
          <w:spacing w:val="-15"/>
        </w:rPr>
        <w:t> </w:t>
      </w:r>
      <w:r>
        <w:rPr>
          <w:spacing w:val="-6"/>
        </w:rPr>
        <w:t>the </w:t>
      </w:r>
      <w:r>
        <w:rPr/>
        <w:t>State of Western</w:t>
      </w:r>
      <w:r>
        <w:rPr>
          <w:spacing w:val="-4"/>
        </w:rPr>
        <w:t> </w:t>
      </w:r>
      <w:r>
        <w:rPr/>
        <w:t>Australia.</w:t>
      </w:r>
    </w:p>
    <w:p>
      <w:pPr>
        <w:pStyle w:val="BodyText"/>
        <w:spacing w:before="1"/>
        <w:rPr>
          <w:sz w:val="23"/>
        </w:rPr>
      </w:pPr>
    </w:p>
    <w:p>
      <w:pPr>
        <w:pStyle w:val="BodyText"/>
        <w:ind w:left="765"/>
      </w:pPr>
      <w:r>
        <w:rPr/>
        <w:t>Related parties of the Department include:</w:t>
      </w:r>
    </w:p>
    <w:p>
      <w:pPr>
        <w:pStyle w:val="ListParagraph"/>
        <w:numPr>
          <w:ilvl w:val="0"/>
          <w:numId w:val="20"/>
        </w:numPr>
        <w:tabs>
          <w:tab w:pos="937" w:val="left" w:leader="none"/>
        </w:tabs>
        <w:spacing w:line="249" w:lineRule="auto" w:before="11" w:after="0"/>
        <w:ind w:left="948" w:right="1214" w:hanging="183"/>
        <w:jc w:val="left"/>
        <w:rPr>
          <w:sz w:val="22"/>
        </w:rPr>
      </w:pPr>
      <w:r>
        <w:rPr>
          <w:sz w:val="22"/>
        </w:rPr>
        <w:t>all</w:t>
      </w:r>
      <w:r>
        <w:rPr>
          <w:spacing w:val="-22"/>
          <w:sz w:val="22"/>
        </w:rPr>
        <w:t> </w:t>
      </w:r>
      <w:r>
        <w:rPr>
          <w:sz w:val="22"/>
        </w:rPr>
        <w:t>Ministers</w:t>
      </w:r>
      <w:r>
        <w:rPr>
          <w:spacing w:val="-22"/>
          <w:sz w:val="22"/>
        </w:rPr>
        <w:t> </w:t>
      </w:r>
      <w:r>
        <w:rPr>
          <w:sz w:val="22"/>
        </w:rPr>
        <w:t>and</w:t>
      </w:r>
      <w:r>
        <w:rPr>
          <w:spacing w:val="-22"/>
          <w:sz w:val="22"/>
        </w:rPr>
        <w:t> </w:t>
      </w:r>
      <w:r>
        <w:rPr>
          <w:sz w:val="22"/>
        </w:rPr>
        <w:t>their</w:t>
      </w:r>
      <w:r>
        <w:rPr>
          <w:spacing w:val="-22"/>
          <w:sz w:val="22"/>
        </w:rPr>
        <w:t> </w:t>
      </w:r>
      <w:r>
        <w:rPr>
          <w:sz w:val="22"/>
        </w:rPr>
        <w:t>close</w:t>
      </w:r>
      <w:r>
        <w:rPr>
          <w:spacing w:val="-22"/>
          <w:sz w:val="22"/>
        </w:rPr>
        <w:t> </w:t>
      </w:r>
      <w:r>
        <w:rPr>
          <w:sz w:val="22"/>
        </w:rPr>
        <w:t>family</w:t>
      </w:r>
      <w:r>
        <w:rPr>
          <w:spacing w:val="-22"/>
          <w:sz w:val="22"/>
        </w:rPr>
        <w:t> </w:t>
      </w:r>
      <w:r>
        <w:rPr>
          <w:sz w:val="22"/>
        </w:rPr>
        <w:t>members,</w:t>
      </w:r>
      <w:r>
        <w:rPr>
          <w:spacing w:val="-22"/>
          <w:sz w:val="22"/>
        </w:rPr>
        <w:t> </w:t>
      </w:r>
      <w:r>
        <w:rPr>
          <w:sz w:val="22"/>
        </w:rPr>
        <w:t>and</w:t>
      </w:r>
      <w:r>
        <w:rPr>
          <w:spacing w:val="-22"/>
          <w:sz w:val="22"/>
        </w:rPr>
        <w:t> </w:t>
      </w:r>
      <w:r>
        <w:rPr>
          <w:sz w:val="22"/>
        </w:rPr>
        <w:t>their</w:t>
      </w:r>
      <w:r>
        <w:rPr>
          <w:spacing w:val="-22"/>
          <w:sz w:val="22"/>
        </w:rPr>
        <w:t> </w:t>
      </w:r>
      <w:r>
        <w:rPr>
          <w:spacing w:val="-3"/>
          <w:sz w:val="22"/>
        </w:rPr>
        <w:t>controlled </w:t>
      </w:r>
      <w:r>
        <w:rPr>
          <w:sz w:val="22"/>
        </w:rPr>
        <w:t>or jointly controlled</w:t>
      </w:r>
      <w:r>
        <w:rPr>
          <w:spacing w:val="-5"/>
          <w:sz w:val="22"/>
        </w:rPr>
        <w:t> </w:t>
      </w:r>
      <w:r>
        <w:rPr>
          <w:sz w:val="22"/>
        </w:rPr>
        <w:t>entities;</w:t>
      </w:r>
    </w:p>
    <w:p>
      <w:pPr>
        <w:pStyle w:val="ListParagraph"/>
        <w:numPr>
          <w:ilvl w:val="0"/>
          <w:numId w:val="20"/>
        </w:numPr>
        <w:tabs>
          <w:tab w:pos="937" w:val="left" w:leader="none"/>
        </w:tabs>
        <w:spacing w:line="249" w:lineRule="auto" w:before="2" w:after="0"/>
        <w:ind w:left="948" w:right="749" w:hanging="183"/>
        <w:jc w:val="left"/>
        <w:rPr>
          <w:sz w:val="22"/>
        </w:rPr>
      </w:pPr>
      <w:r>
        <w:rPr>
          <w:sz w:val="22"/>
        </w:rPr>
        <w:t>all</w:t>
      </w:r>
      <w:r>
        <w:rPr>
          <w:spacing w:val="-23"/>
          <w:sz w:val="22"/>
        </w:rPr>
        <w:t> </w:t>
      </w:r>
      <w:r>
        <w:rPr>
          <w:sz w:val="22"/>
        </w:rPr>
        <w:t>senior</w:t>
      </w:r>
      <w:r>
        <w:rPr>
          <w:spacing w:val="-22"/>
          <w:sz w:val="22"/>
        </w:rPr>
        <w:t> </w:t>
      </w:r>
      <w:r>
        <w:rPr>
          <w:sz w:val="22"/>
        </w:rPr>
        <w:t>officers</w:t>
      </w:r>
      <w:r>
        <w:rPr>
          <w:spacing w:val="-22"/>
          <w:sz w:val="22"/>
        </w:rPr>
        <w:t> </w:t>
      </w:r>
      <w:r>
        <w:rPr>
          <w:sz w:val="22"/>
        </w:rPr>
        <w:t>and</w:t>
      </w:r>
      <w:r>
        <w:rPr>
          <w:spacing w:val="-22"/>
          <w:sz w:val="22"/>
        </w:rPr>
        <w:t> </w:t>
      </w:r>
      <w:r>
        <w:rPr>
          <w:sz w:val="22"/>
        </w:rPr>
        <w:t>their</w:t>
      </w:r>
      <w:r>
        <w:rPr>
          <w:spacing w:val="-22"/>
          <w:sz w:val="22"/>
        </w:rPr>
        <w:t> </w:t>
      </w:r>
      <w:r>
        <w:rPr>
          <w:sz w:val="22"/>
        </w:rPr>
        <w:t>close</w:t>
      </w:r>
      <w:r>
        <w:rPr>
          <w:spacing w:val="-22"/>
          <w:sz w:val="22"/>
        </w:rPr>
        <w:t> </w:t>
      </w:r>
      <w:r>
        <w:rPr>
          <w:sz w:val="22"/>
        </w:rPr>
        <w:t>family</w:t>
      </w:r>
      <w:r>
        <w:rPr>
          <w:spacing w:val="-22"/>
          <w:sz w:val="22"/>
        </w:rPr>
        <w:t> </w:t>
      </w:r>
      <w:r>
        <w:rPr>
          <w:sz w:val="22"/>
        </w:rPr>
        <w:t>members,</w:t>
      </w:r>
      <w:r>
        <w:rPr>
          <w:spacing w:val="-23"/>
          <w:sz w:val="22"/>
        </w:rPr>
        <w:t> </w:t>
      </w:r>
      <w:r>
        <w:rPr>
          <w:sz w:val="22"/>
        </w:rPr>
        <w:t>and</w:t>
      </w:r>
      <w:r>
        <w:rPr>
          <w:spacing w:val="-22"/>
          <w:sz w:val="22"/>
        </w:rPr>
        <w:t> </w:t>
      </w:r>
      <w:r>
        <w:rPr>
          <w:sz w:val="22"/>
        </w:rPr>
        <w:t>their</w:t>
      </w:r>
      <w:r>
        <w:rPr>
          <w:spacing w:val="-22"/>
          <w:sz w:val="22"/>
        </w:rPr>
        <w:t> </w:t>
      </w:r>
      <w:r>
        <w:rPr>
          <w:spacing w:val="-3"/>
          <w:sz w:val="22"/>
        </w:rPr>
        <w:t>controlled </w:t>
      </w:r>
      <w:r>
        <w:rPr>
          <w:sz w:val="22"/>
        </w:rPr>
        <w:t>or jointly controlled</w:t>
      </w:r>
      <w:r>
        <w:rPr>
          <w:spacing w:val="-5"/>
          <w:sz w:val="22"/>
        </w:rPr>
        <w:t> </w:t>
      </w:r>
      <w:r>
        <w:rPr>
          <w:sz w:val="22"/>
        </w:rPr>
        <w:t>entities;</w:t>
      </w:r>
    </w:p>
    <w:p>
      <w:pPr>
        <w:pStyle w:val="ListParagraph"/>
        <w:numPr>
          <w:ilvl w:val="0"/>
          <w:numId w:val="20"/>
        </w:numPr>
        <w:tabs>
          <w:tab w:pos="937" w:val="left" w:leader="none"/>
        </w:tabs>
        <w:spacing w:line="249" w:lineRule="auto" w:before="2" w:after="0"/>
        <w:ind w:left="948" w:right="965" w:hanging="183"/>
        <w:jc w:val="left"/>
        <w:rPr>
          <w:sz w:val="22"/>
        </w:rPr>
      </w:pPr>
      <w:r>
        <w:rPr>
          <w:sz w:val="22"/>
        </w:rPr>
        <w:t>other</w:t>
      </w:r>
      <w:r>
        <w:rPr>
          <w:spacing w:val="-23"/>
          <w:sz w:val="22"/>
        </w:rPr>
        <w:t> </w:t>
      </w:r>
      <w:r>
        <w:rPr>
          <w:sz w:val="22"/>
        </w:rPr>
        <w:t>departments</w:t>
      </w:r>
      <w:r>
        <w:rPr>
          <w:spacing w:val="-22"/>
          <w:sz w:val="22"/>
        </w:rPr>
        <w:t> </w:t>
      </w:r>
      <w:r>
        <w:rPr>
          <w:sz w:val="22"/>
        </w:rPr>
        <w:t>and</w:t>
      </w:r>
      <w:r>
        <w:rPr>
          <w:spacing w:val="-23"/>
          <w:sz w:val="22"/>
        </w:rPr>
        <w:t> </w:t>
      </w:r>
      <w:r>
        <w:rPr>
          <w:sz w:val="22"/>
        </w:rPr>
        <w:t>statutory</w:t>
      </w:r>
      <w:r>
        <w:rPr>
          <w:spacing w:val="-22"/>
          <w:sz w:val="22"/>
        </w:rPr>
        <w:t> </w:t>
      </w:r>
      <w:r>
        <w:rPr>
          <w:sz w:val="22"/>
        </w:rPr>
        <w:t>authorities,</w:t>
      </w:r>
      <w:r>
        <w:rPr>
          <w:spacing w:val="-23"/>
          <w:sz w:val="22"/>
        </w:rPr>
        <w:t> </w:t>
      </w:r>
      <w:r>
        <w:rPr>
          <w:sz w:val="22"/>
        </w:rPr>
        <w:t>including</w:t>
      </w:r>
      <w:r>
        <w:rPr>
          <w:spacing w:val="-22"/>
          <w:sz w:val="22"/>
        </w:rPr>
        <w:t> </w:t>
      </w:r>
      <w:r>
        <w:rPr>
          <w:sz w:val="22"/>
        </w:rPr>
        <w:t>their</w:t>
      </w:r>
      <w:r>
        <w:rPr>
          <w:spacing w:val="-23"/>
          <w:sz w:val="22"/>
        </w:rPr>
        <w:t> </w:t>
      </w:r>
      <w:r>
        <w:rPr>
          <w:sz w:val="22"/>
        </w:rPr>
        <w:t>related bodies,</w:t>
      </w:r>
      <w:r>
        <w:rPr>
          <w:spacing w:val="-19"/>
          <w:sz w:val="22"/>
        </w:rPr>
        <w:t> </w:t>
      </w:r>
      <w:r>
        <w:rPr>
          <w:sz w:val="22"/>
        </w:rPr>
        <w:t>that</w:t>
      </w:r>
      <w:r>
        <w:rPr>
          <w:spacing w:val="-18"/>
          <w:sz w:val="22"/>
        </w:rPr>
        <w:t> </w:t>
      </w:r>
      <w:r>
        <w:rPr>
          <w:sz w:val="22"/>
        </w:rPr>
        <w:t>are</w:t>
      </w:r>
      <w:r>
        <w:rPr>
          <w:spacing w:val="-18"/>
          <w:sz w:val="22"/>
        </w:rPr>
        <w:t> </w:t>
      </w:r>
      <w:r>
        <w:rPr>
          <w:sz w:val="22"/>
        </w:rPr>
        <w:t>included</w:t>
      </w:r>
      <w:r>
        <w:rPr>
          <w:spacing w:val="-19"/>
          <w:sz w:val="22"/>
        </w:rPr>
        <w:t> </w:t>
      </w:r>
      <w:r>
        <w:rPr>
          <w:sz w:val="22"/>
        </w:rPr>
        <w:t>in</w:t>
      </w:r>
      <w:r>
        <w:rPr>
          <w:spacing w:val="-18"/>
          <w:sz w:val="22"/>
        </w:rPr>
        <w:t> </w:t>
      </w:r>
      <w:r>
        <w:rPr>
          <w:sz w:val="22"/>
        </w:rPr>
        <w:t>the</w:t>
      </w:r>
      <w:r>
        <w:rPr>
          <w:spacing w:val="-18"/>
          <w:sz w:val="22"/>
        </w:rPr>
        <w:t> </w:t>
      </w:r>
      <w:r>
        <w:rPr>
          <w:sz w:val="22"/>
        </w:rPr>
        <w:t>whole-of-government</w:t>
      </w:r>
      <w:r>
        <w:rPr>
          <w:spacing w:val="-19"/>
          <w:sz w:val="22"/>
        </w:rPr>
        <w:t> </w:t>
      </w:r>
      <w:r>
        <w:rPr>
          <w:spacing w:val="-2"/>
          <w:sz w:val="22"/>
        </w:rPr>
        <w:t>consolidated </w:t>
      </w:r>
      <w:r>
        <w:rPr>
          <w:sz w:val="22"/>
        </w:rPr>
        <w:t>financial</w:t>
      </w:r>
      <w:r>
        <w:rPr>
          <w:spacing w:val="-2"/>
          <w:sz w:val="22"/>
        </w:rPr>
        <w:t> </w:t>
      </w:r>
      <w:r>
        <w:rPr>
          <w:sz w:val="22"/>
        </w:rPr>
        <w:t>statements;</w:t>
      </w:r>
    </w:p>
    <w:p>
      <w:pPr>
        <w:pStyle w:val="ListParagraph"/>
        <w:numPr>
          <w:ilvl w:val="0"/>
          <w:numId w:val="20"/>
        </w:numPr>
        <w:tabs>
          <w:tab w:pos="937" w:val="left" w:leader="none"/>
        </w:tabs>
        <w:spacing w:line="249" w:lineRule="auto" w:before="2" w:after="0"/>
        <w:ind w:left="948" w:right="1205" w:hanging="183"/>
        <w:jc w:val="left"/>
        <w:rPr>
          <w:sz w:val="22"/>
        </w:rPr>
      </w:pPr>
      <w:r>
        <w:rPr>
          <w:sz w:val="22"/>
        </w:rPr>
        <w:t>associates</w:t>
      </w:r>
      <w:r>
        <w:rPr>
          <w:spacing w:val="-19"/>
          <w:sz w:val="22"/>
        </w:rPr>
        <w:t> </w:t>
      </w:r>
      <w:r>
        <w:rPr>
          <w:sz w:val="22"/>
        </w:rPr>
        <w:t>and</w:t>
      </w:r>
      <w:r>
        <w:rPr>
          <w:spacing w:val="-18"/>
          <w:sz w:val="22"/>
        </w:rPr>
        <w:t> </w:t>
      </w:r>
      <w:r>
        <w:rPr>
          <w:sz w:val="22"/>
        </w:rPr>
        <w:t>joint</w:t>
      </w:r>
      <w:r>
        <w:rPr>
          <w:spacing w:val="-19"/>
          <w:sz w:val="22"/>
        </w:rPr>
        <w:t> </w:t>
      </w:r>
      <w:r>
        <w:rPr>
          <w:sz w:val="22"/>
        </w:rPr>
        <w:t>ventures</w:t>
      </w:r>
      <w:r>
        <w:rPr>
          <w:spacing w:val="-18"/>
          <w:sz w:val="22"/>
        </w:rPr>
        <w:t> </w:t>
      </w:r>
      <w:r>
        <w:rPr>
          <w:sz w:val="22"/>
        </w:rPr>
        <w:t>of</w:t>
      </w:r>
      <w:r>
        <w:rPr>
          <w:spacing w:val="-19"/>
          <w:sz w:val="22"/>
        </w:rPr>
        <w:t> </w:t>
      </w:r>
      <w:r>
        <w:rPr>
          <w:sz w:val="22"/>
        </w:rPr>
        <w:t>an</w:t>
      </w:r>
      <w:r>
        <w:rPr>
          <w:spacing w:val="-18"/>
          <w:sz w:val="22"/>
        </w:rPr>
        <w:t> </w:t>
      </w:r>
      <w:r>
        <w:rPr>
          <w:sz w:val="22"/>
        </w:rPr>
        <w:t>entity</w:t>
      </w:r>
      <w:r>
        <w:rPr>
          <w:spacing w:val="-18"/>
          <w:sz w:val="22"/>
        </w:rPr>
        <w:t> </w:t>
      </w:r>
      <w:r>
        <w:rPr>
          <w:sz w:val="22"/>
        </w:rPr>
        <w:t>that</w:t>
      </w:r>
      <w:r>
        <w:rPr>
          <w:spacing w:val="-19"/>
          <w:sz w:val="22"/>
        </w:rPr>
        <w:t> </w:t>
      </w:r>
      <w:r>
        <w:rPr>
          <w:sz w:val="22"/>
        </w:rPr>
        <w:t>are</w:t>
      </w:r>
      <w:r>
        <w:rPr>
          <w:spacing w:val="-18"/>
          <w:sz w:val="22"/>
        </w:rPr>
        <w:t> </w:t>
      </w:r>
      <w:r>
        <w:rPr>
          <w:sz w:val="22"/>
        </w:rPr>
        <w:t>included</w:t>
      </w:r>
      <w:r>
        <w:rPr>
          <w:spacing w:val="-19"/>
          <w:sz w:val="22"/>
        </w:rPr>
        <w:t> </w:t>
      </w:r>
      <w:r>
        <w:rPr>
          <w:sz w:val="22"/>
        </w:rPr>
        <w:t>in</w:t>
      </w:r>
      <w:r>
        <w:rPr>
          <w:spacing w:val="-18"/>
          <w:sz w:val="22"/>
        </w:rPr>
        <w:t> </w:t>
      </w:r>
      <w:r>
        <w:rPr>
          <w:spacing w:val="-6"/>
          <w:sz w:val="22"/>
        </w:rPr>
        <w:t>the </w:t>
      </w:r>
      <w:r>
        <w:rPr>
          <w:sz w:val="22"/>
        </w:rPr>
        <w:t>whole-of-government</w:t>
      </w:r>
      <w:r>
        <w:rPr>
          <w:spacing w:val="-16"/>
          <w:sz w:val="22"/>
        </w:rPr>
        <w:t> </w:t>
      </w:r>
      <w:r>
        <w:rPr>
          <w:sz w:val="22"/>
        </w:rPr>
        <w:t>consolidated</w:t>
      </w:r>
      <w:r>
        <w:rPr>
          <w:spacing w:val="-15"/>
          <w:sz w:val="22"/>
        </w:rPr>
        <w:t> </w:t>
      </w:r>
      <w:r>
        <w:rPr>
          <w:sz w:val="22"/>
        </w:rPr>
        <w:t>financial</w:t>
      </w:r>
      <w:r>
        <w:rPr>
          <w:spacing w:val="-15"/>
          <w:sz w:val="22"/>
        </w:rPr>
        <w:t> </w:t>
      </w:r>
      <w:r>
        <w:rPr>
          <w:sz w:val="22"/>
        </w:rPr>
        <w:t>statements;</w:t>
      </w:r>
      <w:r>
        <w:rPr>
          <w:spacing w:val="-15"/>
          <w:sz w:val="22"/>
        </w:rPr>
        <w:t> </w:t>
      </w:r>
      <w:r>
        <w:rPr>
          <w:sz w:val="22"/>
        </w:rPr>
        <w:t>and</w:t>
      </w:r>
    </w:p>
    <w:p>
      <w:pPr>
        <w:pStyle w:val="ListParagraph"/>
        <w:numPr>
          <w:ilvl w:val="0"/>
          <w:numId w:val="20"/>
        </w:numPr>
        <w:tabs>
          <w:tab w:pos="937" w:val="left" w:leader="none"/>
        </w:tabs>
        <w:spacing w:line="240" w:lineRule="auto" w:before="2" w:after="0"/>
        <w:ind w:left="936" w:right="0" w:hanging="171"/>
        <w:jc w:val="left"/>
        <w:rPr>
          <w:sz w:val="22"/>
        </w:rPr>
      </w:pPr>
      <w:r>
        <w:rPr>
          <w:sz w:val="22"/>
        </w:rPr>
        <w:t>the Government Employees Superannuation Board</w:t>
      </w:r>
      <w:r>
        <w:rPr>
          <w:spacing w:val="-38"/>
          <w:sz w:val="22"/>
        </w:rPr>
        <w:t> </w:t>
      </w:r>
      <w:r>
        <w:rPr>
          <w:sz w:val="22"/>
        </w:rPr>
        <w:t>(GESB).</w:t>
      </w:r>
    </w:p>
    <w:p>
      <w:pPr>
        <w:pStyle w:val="BodyText"/>
        <w:spacing w:before="11"/>
        <w:rPr>
          <w:sz w:val="23"/>
        </w:rPr>
      </w:pPr>
    </w:p>
    <w:p>
      <w:pPr>
        <w:pStyle w:val="Heading6"/>
      </w:pPr>
      <w:r>
        <w:rPr/>
        <w:t>Significant transactions with Government related entities</w:t>
      </w:r>
    </w:p>
    <w:p>
      <w:pPr>
        <w:pStyle w:val="BodyText"/>
        <w:spacing w:before="11"/>
        <w:ind w:left="765"/>
      </w:pPr>
      <w:r>
        <w:rPr/>
        <w:t>Significant transactions include:</w:t>
      </w:r>
    </w:p>
    <w:p>
      <w:pPr>
        <w:pStyle w:val="ListParagraph"/>
        <w:numPr>
          <w:ilvl w:val="0"/>
          <w:numId w:val="20"/>
        </w:numPr>
        <w:tabs>
          <w:tab w:pos="937" w:val="left" w:leader="none"/>
        </w:tabs>
        <w:spacing w:line="249" w:lineRule="auto" w:before="11" w:after="0"/>
        <w:ind w:left="948" w:right="1038" w:hanging="183"/>
        <w:jc w:val="left"/>
        <w:rPr>
          <w:sz w:val="22"/>
        </w:rPr>
      </w:pPr>
      <w:r>
        <w:rPr>
          <w:sz w:val="22"/>
        </w:rPr>
        <w:t>Managed building works revenue for the planning, </w:t>
      </w:r>
      <w:r>
        <w:rPr>
          <w:spacing w:val="-3"/>
          <w:sz w:val="22"/>
        </w:rPr>
        <w:t>delivery, </w:t>
      </w:r>
      <w:r>
        <w:rPr>
          <w:sz w:val="22"/>
        </w:rPr>
        <w:t>management</w:t>
      </w:r>
      <w:r>
        <w:rPr>
          <w:spacing w:val="-28"/>
          <w:sz w:val="22"/>
        </w:rPr>
        <w:t> </w:t>
      </w:r>
      <w:r>
        <w:rPr>
          <w:sz w:val="22"/>
        </w:rPr>
        <w:t>and</w:t>
      </w:r>
      <w:r>
        <w:rPr>
          <w:spacing w:val="-27"/>
          <w:sz w:val="22"/>
        </w:rPr>
        <w:t> </w:t>
      </w:r>
      <w:r>
        <w:rPr>
          <w:sz w:val="22"/>
        </w:rPr>
        <w:t>maintenance</w:t>
      </w:r>
      <w:r>
        <w:rPr>
          <w:spacing w:val="-28"/>
          <w:sz w:val="22"/>
        </w:rPr>
        <w:t> </w:t>
      </w:r>
      <w:r>
        <w:rPr>
          <w:sz w:val="22"/>
        </w:rPr>
        <w:t>of</w:t>
      </w:r>
      <w:r>
        <w:rPr>
          <w:spacing w:val="-27"/>
          <w:sz w:val="22"/>
        </w:rPr>
        <w:t> </w:t>
      </w:r>
      <w:r>
        <w:rPr>
          <w:sz w:val="22"/>
        </w:rPr>
        <w:t>government</w:t>
      </w:r>
      <w:r>
        <w:rPr>
          <w:spacing w:val="-28"/>
          <w:sz w:val="22"/>
        </w:rPr>
        <w:t> </w:t>
      </w:r>
      <w:r>
        <w:rPr>
          <w:sz w:val="22"/>
        </w:rPr>
        <w:t>buildings</w:t>
      </w:r>
      <w:r>
        <w:rPr>
          <w:spacing w:val="-27"/>
          <w:sz w:val="22"/>
        </w:rPr>
        <w:t> </w:t>
      </w:r>
      <w:r>
        <w:rPr>
          <w:sz w:val="22"/>
        </w:rPr>
        <w:t>(Note</w:t>
      </w:r>
      <w:r>
        <w:rPr>
          <w:spacing w:val="-27"/>
          <w:sz w:val="22"/>
        </w:rPr>
        <w:t> </w:t>
      </w:r>
      <w:r>
        <w:rPr>
          <w:spacing w:val="-6"/>
          <w:sz w:val="22"/>
        </w:rPr>
        <w:t>14)</w:t>
      </w:r>
    </w:p>
    <w:p>
      <w:pPr>
        <w:pStyle w:val="ListParagraph"/>
        <w:numPr>
          <w:ilvl w:val="0"/>
          <w:numId w:val="20"/>
        </w:numPr>
        <w:tabs>
          <w:tab w:pos="937" w:val="left" w:leader="none"/>
        </w:tabs>
        <w:spacing w:line="240" w:lineRule="auto" w:before="2" w:after="0"/>
        <w:ind w:left="936" w:right="0" w:hanging="171"/>
        <w:jc w:val="left"/>
        <w:rPr>
          <w:sz w:val="22"/>
        </w:rPr>
      </w:pPr>
      <w:r>
        <w:rPr>
          <w:sz w:val="22"/>
        </w:rPr>
        <w:t>Vehicle</w:t>
      </w:r>
      <w:r>
        <w:rPr>
          <w:spacing w:val="-39"/>
          <w:sz w:val="22"/>
        </w:rPr>
        <w:t> </w:t>
      </w:r>
      <w:r>
        <w:rPr>
          <w:sz w:val="22"/>
        </w:rPr>
        <w:t>fleet</w:t>
      </w:r>
      <w:r>
        <w:rPr>
          <w:spacing w:val="-38"/>
          <w:sz w:val="22"/>
        </w:rPr>
        <w:t> </w:t>
      </w:r>
      <w:r>
        <w:rPr>
          <w:sz w:val="22"/>
        </w:rPr>
        <w:t>lease</w:t>
      </w:r>
      <w:r>
        <w:rPr>
          <w:spacing w:val="-38"/>
          <w:sz w:val="22"/>
        </w:rPr>
        <w:t> </w:t>
      </w:r>
      <w:r>
        <w:rPr>
          <w:sz w:val="22"/>
        </w:rPr>
        <w:t>rental</w:t>
      </w:r>
      <w:r>
        <w:rPr>
          <w:spacing w:val="-38"/>
          <w:sz w:val="22"/>
        </w:rPr>
        <w:t> </w:t>
      </w:r>
      <w:r>
        <w:rPr>
          <w:sz w:val="22"/>
        </w:rPr>
        <w:t>revenue</w:t>
      </w:r>
      <w:r>
        <w:rPr>
          <w:spacing w:val="-38"/>
          <w:sz w:val="22"/>
        </w:rPr>
        <w:t> </w:t>
      </w:r>
      <w:r>
        <w:rPr>
          <w:sz w:val="22"/>
        </w:rPr>
        <w:t>from</w:t>
      </w:r>
      <w:r>
        <w:rPr>
          <w:spacing w:val="-39"/>
          <w:sz w:val="22"/>
        </w:rPr>
        <w:t> </w:t>
      </w:r>
      <w:r>
        <w:rPr>
          <w:sz w:val="22"/>
        </w:rPr>
        <w:t>vehicle</w:t>
      </w:r>
      <w:r>
        <w:rPr>
          <w:spacing w:val="-38"/>
          <w:sz w:val="22"/>
        </w:rPr>
        <w:t> </w:t>
      </w:r>
      <w:r>
        <w:rPr>
          <w:sz w:val="22"/>
        </w:rPr>
        <w:t>leasing</w:t>
      </w:r>
      <w:r>
        <w:rPr>
          <w:spacing w:val="-38"/>
          <w:sz w:val="22"/>
        </w:rPr>
        <w:t> </w:t>
      </w:r>
      <w:r>
        <w:rPr>
          <w:sz w:val="22"/>
        </w:rPr>
        <w:t>arrangements</w:t>
      </w:r>
      <w:r>
        <w:rPr>
          <w:spacing w:val="-38"/>
          <w:sz w:val="22"/>
        </w:rPr>
        <w:t> </w:t>
      </w:r>
      <w:r>
        <w:rPr>
          <w:sz w:val="22"/>
        </w:rPr>
        <w:t>(Note</w:t>
      </w:r>
      <w:r>
        <w:rPr>
          <w:spacing w:val="-38"/>
          <w:sz w:val="22"/>
        </w:rPr>
        <w:t> </w:t>
      </w:r>
      <w:r>
        <w:rPr>
          <w:spacing w:val="-7"/>
          <w:sz w:val="22"/>
        </w:rPr>
        <w:t>14)</w:t>
      </w:r>
    </w:p>
    <w:p>
      <w:pPr>
        <w:pStyle w:val="ListParagraph"/>
        <w:numPr>
          <w:ilvl w:val="0"/>
          <w:numId w:val="20"/>
        </w:numPr>
        <w:tabs>
          <w:tab w:pos="937" w:val="left" w:leader="none"/>
        </w:tabs>
        <w:spacing w:line="240" w:lineRule="auto" w:before="11" w:after="0"/>
        <w:ind w:left="936" w:right="0" w:hanging="171"/>
        <w:jc w:val="left"/>
        <w:rPr>
          <w:sz w:val="22"/>
        </w:rPr>
      </w:pPr>
      <w:r>
        <w:rPr>
          <w:sz w:val="22"/>
        </w:rPr>
        <w:t>Rental income for government office accommodation (Note</w:t>
      </w:r>
      <w:r>
        <w:rPr>
          <w:spacing w:val="-44"/>
          <w:sz w:val="22"/>
        </w:rPr>
        <w:t> </w:t>
      </w:r>
      <w:r>
        <w:rPr>
          <w:sz w:val="22"/>
        </w:rPr>
        <w:t>14)</w:t>
      </w:r>
    </w:p>
    <w:p>
      <w:pPr>
        <w:pStyle w:val="ListParagraph"/>
        <w:numPr>
          <w:ilvl w:val="0"/>
          <w:numId w:val="3"/>
        </w:numPr>
        <w:tabs>
          <w:tab w:pos="568" w:val="left" w:leader="none"/>
        </w:tabs>
        <w:spacing w:line="240" w:lineRule="auto" w:before="131" w:after="0"/>
        <w:ind w:left="567" w:right="0" w:hanging="172"/>
        <w:jc w:val="left"/>
        <w:rPr>
          <w:sz w:val="22"/>
        </w:rPr>
      </w:pPr>
      <w:r>
        <w:rPr>
          <w:w w:val="94"/>
          <w:sz w:val="22"/>
        </w:rPr>
        <w:br w:type="column"/>
      </w:r>
      <w:r>
        <w:rPr>
          <w:sz w:val="22"/>
        </w:rPr>
        <w:t>Provide vehicle finance leases (Note</w:t>
      </w:r>
      <w:r>
        <w:rPr>
          <w:spacing w:val="-14"/>
          <w:sz w:val="22"/>
        </w:rPr>
        <w:t> </w:t>
      </w:r>
      <w:r>
        <w:rPr>
          <w:sz w:val="22"/>
        </w:rPr>
        <w:t>21)</w:t>
      </w:r>
    </w:p>
    <w:p>
      <w:pPr>
        <w:pStyle w:val="ListParagraph"/>
        <w:numPr>
          <w:ilvl w:val="0"/>
          <w:numId w:val="3"/>
        </w:numPr>
        <w:tabs>
          <w:tab w:pos="568" w:val="left" w:leader="none"/>
        </w:tabs>
        <w:spacing w:line="240" w:lineRule="auto" w:before="11" w:after="0"/>
        <w:ind w:left="567" w:right="0" w:hanging="172"/>
        <w:jc w:val="left"/>
        <w:rPr>
          <w:sz w:val="22"/>
        </w:rPr>
      </w:pPr>
      <w:r>
        <w:rPr>
          <w:sz w:val="22"/>
        </w:rPr>
        <w:t>Remuneration</w:t>
      </w:r>
      <w:r>
        <w:rPr>
          <w:spacing w:val="-8"/>
          <w:sz w:val="22"/>
        </w:rPr>
        <w:t> </w:t>
      </w:r>
      <w:r>
        <w:rPr>
          <w:sz w:val="22"/>
        </w:rPr>
        <w:t>for</w:t>
      </w:r>
      <w:r>
        <w:rPr>
          <w:spacing w:val="-7"/>
          <w:sz w:val="22"/>
        </w:rPr>
        <w:t> </w:t>
      </w:r>
      <w:r>
        <w:rPr>
          <w:sz w:val="22"/>
        </w:rPr>
        <w:t>services</w:t>
      </w:r>
      <w:r>
        <w:rPr>
          <w:spacing w:val="-7"/>
          <w:sz w:val="22"/>
        </w:rPr>
        <w:t> </w:t>
      </w:r>
      <w:r>
        <w:rPr>
          <w:sz w:val="22"/>
        </w:rPr>
        <w:t>provided</w:t>
      </w:r>
      <w:r>
        <w:rPr>
          <w:spacing w:val="-8"/>
          <w:sz w:val="22"/>
        </w:rPr>
        <w:t> </w:t>
      </w:r>
      <w:r>
        <w:rPr>
          <w:sz w:val="22"/>
        </w:rPr>
        <w:t>by</w:t>
      </w:r>
      <w:r>
        <w:rPr>
          <w:spacing w:val="-7"/>
          <w:sz w:val="22"/>
        </w:rPr>
        <w:t> </w:t>
      </w:r>
      <w:r>
        <w:rPr>
          <w:sz w:val="22"/>
        </w:rPr>
        <w:t>the</w:t>
      </w:r>
      <w:r>
        <w:rPr>
          <w:spacing w:val="-7"/>
          <w:sz w:val="22"/>
        </w:rPr>
        <w:t> </w:t>
      </w:r>
      <w:r>
        <w:rPr>
          <w:sz w:val="22"/>
        </w:rPr>
        <w:t>Auditor</w:t>
      </w:r>
      <w:r>
        <w:rPr>
          <w:spacing w:val="-8"/>
          <w:sz w:val="22"/>
        </w:rPr>
        <w:t> </w:t>
      </w:r>
      <w:r>
        <w:rPr>
          <w:sz w:val="22"/>
        </w:rPr>
        <w:t>General</w:t>
      </w:r>
      <w:r>
        <w:rPr>
          <w:spacing w:val="-7"/>
          <w:sz w:val="22"/>
        </w:rPr>
        <w:t> </w:t>
      </w:r>
      <w:r>
        <w:rPr>
          <w:sz w:val="22"/>
        </w:rPr>
        <w:t>(Note</w:t>
      </w:r>
      <w:r>
        <w:rPr>
          <w:spacing w:val="-7"/>
          <w:sz w:val="22"/>
        </w:rPr>
        <w:t> </w:t>
      </w:r>
      <w:r>
        <w:rPr>
          <w:sz w:val="22"/>
        </w:rPr>
        <w:t>41)</w:t>
      </w:r>
    </w:p>
    <w:p>
      <w:pPr>
        <w:pStyle w:val="ListParagraph"/>
        <w:numPr>
          <w:ilvl w:val="0"/>
          <w:numId w:val="3"/>
        </w:numPr>
        <w:tabs>
          <w:tab w:pos="568" w:val="left" w:leader="none"/>
        </w:tabs>
        <w:spacing w:line="240" w:lineRule="auto" w:before="11" w:after="0"/>
        <w:ind w:left="567" w:right="0" w:hanging="172"/>
        <w:jc w:val="left"/>
        <w:rPr>
          <w:sz w:val="22"/>
        </w:rPr>
      </w:pPr>
      <w:r>
        <w:rPr>
          <w:sz w:val="22"/>
        </w:rPr>
        <w:t>Provide</w:t>
      </w:r>
      <w:r>
        <w:rPr>
          <w:spacing w:val="-11"/>
          <w:sz w:val="22"/>
        </w:rPr>
        <w:t> </w:t>
      </w:r>
      <w:r>
        <w:rPr>
          <w:sz w:val="22"/>
        </w:rPr>
        <w:t>accommodation</w:t>
      </w:r>
      <w:r>
        <w:rPr>
          <w:spacing w:val="-11"/>
          <w:sz w:val="22"/>
        </w:rPr>
        <w:t> </w:t>
      </w:r>
      <w:r>
        <w:rPr>
          <w:sz w:val="22"/>
        </w:rPr>
        <w:t>leasing</w:t>
      </w:r>
      <w:r>
        <w:rPr>
          <w:spacing w:val="-11"/>
          <w:sz w:val="22"/>
        </w:rPr>
        <w:t> </w:t>
      </w:r>
      <w:r>
        <w:rPr>
          <w:sz w:val="22"/>
        </w:rPr>
        <w:t>services</w:t>
      </w:r>
      <w:r>
        <w:rPr>
          <w:spacing w:val="-11"/>
          <w:sz w:val="22"/>
        </w:rPr>
        <w:t> </w:t>
      </w:r>
      <w:r>
        <w:rPr>
          <w:sz w:val="22"/>
        </w:rPr>
        <w:t>and</w:t>
      </w:r>
      <w:r>
        <w:rPr>
          <w:spacing w:val="-10"/>
          <w:sz w:val="22"/>
        </w:rPr>
        <w:t> </w:t>
      </w:r>
      <w:r>
        <w:rPr>
          <w:sz w:val="22"/>
        </w:rPr>
        <w:t>fitouts</w:t>
      </w:r>
      <w:r>
        <w:rPr>
          <w:spacing w:val="-11"/>
          <w:sz w:val="22"/>
        </w:rPr>
        <w:t> </w:t>
      </w:r>
      <w:r>
        <w:rPr>
          <w:sz w:val="22"/>
        </w:rPr>
        <w:t>free</w:t>
      </w:r>
      <w:r>
        <w:rPr>
          <w:spacing w:val="-11"/>
          <w:sz w:val="22"/>
        </w:rPr>
        <w:t> </w:t>
      </w:r>
      <w:r>
        <w:rPr>
          <w:sz w:val="22"/>
        </w:rPr>
        <w:t>of</w:t>
      </w:r>
      <w:r>
        <w:rPr>
          <w:spacing w:val="-11"/>
          <w:sz w:val="22"/>
        </w:rPr>
        <w:t> </w:t>
      </w:r>
      <w:r>
        <w:rPr>
          <w:sz w:val="22"/>
        </w:rPr>
        <w:t>charge</w:t>
      </w:r>
      <w:r>
        <w:rPr>
          <w:spacing w:val="-10"/>
          <w:sz w:val="22"/>
        </w:rPr>
        <w:t> </w:t>
      </w:r>
      <w:r>
        <w:rPr>
          <w:sz w:val="22"/>
        </w:rPr>
        <w:t>(Note</w:t>
      </w:r>
      <w:r>
        <w:rPr>
          <w:spacing w:val="-11"/>
          <w:sz w:val="22"/>
        </w:rPr>
        <w:t> </w:t>
      </w:r>
      <w:r>
        <w:rPr>
          <w:sz w:val="22"/>
        </w:rPr>
        <w:t>35)</w:t>
      </w:r>
    </w:p>
    <w:p>
      <w:pPr>
        <w:pStyle w:val="ListParagraph"/>
        <w:numPr>
          <w:ilvl w:val="0"/>
          <w:numId w:val="3"/>
        </w:numPr>
        <w:tabs>
          <w:tab w:pos="568" w:val="left" w:leader="none"/>
        </w:tabs>
        <w:spacing w:line="240" w:lineRule="auto" w:before="11" w:after="0"/>
        <w:ind w:left="567" w:right="0" w:hanging="172"/>
        <w:jc w:val="left"/>
        <w:rPr>
          <w:sz w:val="22"/>
        </w:rPr>
      </w:pPr>
      <w:r>
        <w:rPr>
          <w:sz w:val="22"/>
        </w:rPr>
        <w:t>Loan</w:t>
      </w:r>
      <w:r>
        <w:rPr>
          <w:spacing w:val="-10"/>
          <w:sz w:val="22"/>
        </w:rPr>
        <w:t> </w:t>
      </w:r>
      <w:r>
        <w:rPr>
          <w:sz w:val="22"/>
        </w:rPr>
        <w:t>facility</w:t>
      </w:r>
      <w:r>
        <w:rPr>
          <w:spacing w:val="-9"/>
          <w:sz w:val="22"/>
        </w:rPr>
        <w:t> </w:t>
      </w:r>
      <w:r>
        <w:rPr>
          <w:sz w:val="22"/>
        </w:rPr>
        <w:t>from</w:t>
      </w:r>
      <w:r>
        <w:rPr>
          <w:spacing w:val="-10"/>
          <w:sz w:val="22"/>
        </w:rPr>
        <w:t> </w:t>
      </w:r>
      <w:r>
        <w:rPr>
          <w:sz w:val="22"/>
        </w:rPr>
        <w:t>the</w:t>
      </w:r>
      <w:r>
        <w:rPr>
          <w:spacing w:val="-9"/>
          <w:sz w:val="22"/>
        </w:rPr>
        <w:t> </w:t>
      </w:r>
      <w:r>
        <w:rPr>
          <w:sz w:val="22"/>
        </w:rPr>
        <w:t>Western</w:t>
      </w:r>
      <w:r>
        <w:rPr>
          <w:spacing w:val="-9"/>
          <w:sz w:val="22"/>
        </w:rPr>
        <w:t> </w:t>
      </w:r>
      <w:r>
        <w:rPr>
          <w:sz w:val="22"/>
        </w:rPr>
        <w:t>Australian</w:t>
      </w:r>
      <w:r>
        <w:rPr>
          <w:spacing w:val="-10"/>
          <w:sz w:val="22"/>
        </w:rPr>
        <w:t> </w:t>
      </w:r>
      <w:r>
        <w:rPr>
          <w:spacing w:val="-4"/>
          <w:sz w:val="22"/>
        </w:rPr>
        <w:t>Treasury</w:t>
      </w:r>
      <w:r>
        <w:rPr>
          <w:spacing w:val="-9"/>
          <w:sz w:val="22"/>
        </w:rPr>
        <w:t> </w:t>
      </w:r>
      <w:r>
        <w:rPr>
          <w:sz w:val="22"/>
        </w:rPr>
        <w:t>Corporation</w:t>
      </w:r>
      <w:r>
        <w:rPr>
          <w:spacing w:val="-9"/>
          <w:sz w:val="22"/>
        </w:rPr>
        <w:t> </w:t>
      </w:r>
      <w:r>
        <w:rPr>
          <w:sz w:val="22"/>
        </w:rPr>
        <w:t>(Note</w:t>
      </w:r>
      <w:r>
        <w:rPr>
          <w:spacing w:val="-10"/>
          <w:sz w:val="22"/>
        </w:rPr>
        <w:t> </w:t>
      </w:r>
      <w:r>
        <w:rPr>
          <w:sz w:val="22"/>
        </w:rPr>
        <w:t>29)</w:t>
      </w:r>
    </w:p>
    <w:p>
      <w:pPr>
        <w:pStyle w:val="ListParagraph"/>
        <w:numPr>
          <w:ilvl w:val="0"/>
          <w:numId w:val="3"/>
        </w:numPr>
        <w:tabs>
          <w:tab w:pos="568" w:val="left" w:leader="none"/>
        </w:tabs>
        <w:spacing w:line="249" w:lineRule="auto" w:before="11" w:after="0"/>
        <w:ind w:left="579" w:right="2388" w:hanging="184"/>
        <w:jc w:val="left"/>
        <w:rPr>
          <w:sz w:val="22"/>
        </w:rPr>
      </w:pPr>
      <w:r>
        <w:rPr>
          <w:sz w:val="22"/>
        </w:rPr>
        <w:t>Services</w:t>
      </w:r>
      <w:r>
        <w:rPr>
          <w:spacing w:val="-22"/>
          <w:sz w:val="22"/>
        </w:rPr>
        <w:t> </w:t>
      </w:r>
      <w:r>
        <w:rPr>
          <w:sz w:val="22"/>
        </w:rPr>
        <w:t>received</w:t>
      </w:r>
      <w:r>
        <w:rPr>
          <w:spacing w:val="-21"/>
          <w:sz w:val="22"/>
        </w:rPr>
        <w:t> </w:t>
      </w:r>
      <w:r>
        <w:rPr>
          <w:sz w:val="22"/>
        </w:rPr>
        <w:t>free</w:t>
      </w:r>
      <w:r>
        <w:rPr>
          <w:spacing w:val="-21"/>
          <w:sz w:val="22"/>
        </w:rPr>
        <w:t> </w:t>
      </w:r>
      <w:r>
        <w:rPr>
          <w:sz w:val="22"/>
        </w:rPr>
        <w:t>of</w:t>
      </w:r>
      <w:r>
        <w:rPr>
          <w:spacing w:val="-22"/>
          <w:sz w:val="22"/>
        </w:rPr>
        <w:t> </w:t>
      </w:r>
      <w:r>
        <w:rPr>
          <w:sz w:val="22"/>
        </w:rPr>
        <w:t>charge</w:t>
      </w:r>
      <w:r>
        <w:rPr>
          <w:spacing w:val="-21"/>
          <w:sz w:val="22"/>
        </w:rPr>
        <w:t> </w:t>
      </w:r>
      <w:r>
        <w:rPr>
          <w:sz w:val="22"/>
        </w:rPr>
        <w:t>from</w:t>
      </w:r>
      <w:r>
        <w:rPr>
          <w:spacing w:val="-21"/>
          <w:sz w:val="22"/>
        </w:rPr>
        <w:t> </w:t>
      </w:r>
      <w:r>
        <w:rPr>
          <w:sz w:val="22"/>
        </w:rPr>
        <w:t>the</w:t>
      </w:r>
      <w:r>
        <w:rPr>
          <w:spacing w:val="-22"/>
          <w:sz w:val="22"/>
        </w:rPr>
        <w:t> </w:t>
      </w:r>
      <w:r>
        <w:rPr>
          <w:sz w:val="22"/>
        </w:rPr>
        <w:t>Department</w:t>
      </w:r>
      <w:r>
        <w:rPr>
          <w:spacing w:val="-21"/>
          <w:sz w:val="22"/>
        </w:rPr>
        <w:t> </w:t>
      </w:r>
      <w:r>
        <w:rPr>
          <w:sz w:val="22"/>
        </w:rPr>
        <w:t>of</w:t>
      </w:r>
      <w:r>
        <w:rPr>
          <w:spacing w:val="-21"/>
          <w:sz w:val="22"/>
        </w:rPr>
        <w:t> </w:t>
      </w:r>
      <w:r>
        <w:rPr>
          <w:spacing w:val="-6"/>
          <w:sz w:val="22"/>
        </w:rPr>
        <w:t>the </w:t>
      </w:r>
      <w:r>
        <w:rPr>
          <w:sz w:val="22"/>
        </w:rPr>
        <w:t>Attorney General, Landgate, Department of </w:t>
      </w:r>
      <w:r>
        <w:rPr>
          <w:spacing w:val="-6"/>
          <w:sz w:val="22"/>
        </w:rPr>
        <w:t>Treasury, </w:t>
      </w:r>
      <w:r>
        <w:rPr>
          <w:sz w:val="22"/>
        </w:rPr>
        <w:t>Department of the Premier and Cabinet and the Department of Water (Note</w:t>
      </w:r>
      <w:r>
        <w:rPr>
          <w:spacing w:val="-10"/>
          <w:sz w:val="22"/>
        </w:rPr>
        <w:t> </w:t>
      </w:r>
      <w:r>
        <w:rPr>
          <w:sz w:val="22"/>
        </w:rPr>
        <w:t>17)</w:t>
      </w:r>
    </w:p>
    <w:p>
      <w:pPr>
        <w:pStyle w:val="ListParagraph"/>
        <w:numPr>
          <w:ilvl w:val="0"/>
          <w:numId w:val="3"/>
        </w:numPr>
        <w:tabs>
          <w:tab w:pos="568" w:val="left" w:leader="none"/>
        </w:tabs>
        <w:spacing w:line="240" w:lineRule="auto" w:before="4" w:after="0"/>
        <w:ind w:left="567" w:right="0" w:hanging="172"/>
        <w:jc w:val="left"/>
        <w:rPr>
          <w:sz w:val="22"/>
        </w:rPr>
      </w:pPr>
      <w:r>
        <w:rPr>
          <w:sz w:val="22"/>
        </w:rPr>
        <w:t>Service appropriations (Note</w:t>
      </w:r>
      <w:r>
        <w:rPr>
          <w:spacing w:val="-5"/>
          <w:sz w:val="22"/>
        </w:rPr>
        <w:t> </w:t>
      </w:r>
      <w:r>
        <w:rPr>
          <w:sz w:val="22"/>
        </w:rPr>
        <w:t>17)</w:t>
      </w:r>
    </w:p>
    <w:p>
      <w:pPr>
        <w:pStyle w:val="ListParagraph"/>
        <w:numPr>
          <w:ilvl w:val="0"/>
          <w:numId w:val="3"/>
        </w:numPr>
        <w:tabs>
          <w:tab w:pos="568" w:val="left" w:leader="none"/>
        </w:tabs>
        <w:spacing w:line="249" w:lineRule="auto" w:before="11" w:after="0"/>
        <w:ind w:left="579" w:right="3294" w:hanging="184"/>
        <w:jc w:val="left"/>
        <w:rPr>
          <w:sz w:val="22"/>
        </w:rPr>
      </w:pPr>
      <w:r>
        <w:rPr>
          <w:sz w:val="22"/>
        </w:rPr>
        <w:t>Insurance</w:t>
      </w:r>
      <w:r>
        <w:rPr>
          <w:spacing w:val="-32"/>
          <w:sz w:val="22"/>
        </w:rPr>
        <w:t> </w:t>
      </w:r>
      <w:r>
        <w:rPr>
          <w:sz w:val="22"/>
        </w:rPr>
        <w:t>payments</w:t>
      </w:r>
      <w:r>
        <w:rPr>
          <w:spacing w:val="-32"/>
          <w:sz w:val="22"/>
        </w:rPr>
        <w:t> </w:t>
      </w:r>
      <w:r>
        <w:rPr>
          <w:sz w:val="22"/>
        </w:rPr>
        <w:t>to</w:t>
      </w:r>
      <w:r>
        <w:rPr>
          <w:spacing w:val="-32"/>
          <w:sz w:val="22"/>
        </w:rPr>
        <w:t> </w:t>
      </w:r>
      <w:r>
        <w:rPr>
          <w:sz w:val="22"/>
        </w:rPr>
        <w:t>the</w:t>
      </w:r>
      <w:r>
        <w:rPr>
          <w:spacing w:val="-31"/>
          <w:sz w:val="22"/>
        </w:rPr>
        <w:t> </w:t>
      </w:r>
      <w:r>
        <w:rPr>
          <w:sz w:val="22"/>
        </w:rPr>
        <w:t>Insurance</w:t>
      </w:r>
      <w:r>
        <w:rPr>
          <w:spacing w:val="-32"/>
          <w:sz w:val="22"/>
        </w:rPr>
        <w:t> </w:t>
      </w:r>
      <w:r>
        <w:rPr>
          <w:sz w:val="22"/>
        </w:rPr>
        <w:t>Commission of Western Australia (Note</w:t>
      </w:r>
      <w:r>
        <w:rPr>
          <w:spacing w:val="-15"/>
          <w:sz w:val="22"/>
        </w:rPr>
        <w:t> </w:t>
      </w:r>
      <w:r>
        <w:rPr>
          <w:sz w:val="22"/>
        </w:rPr>
        <w:t>8)</w:t>
      </w:r>
    </w:p>
    <w:p>
      <w:pPr>
        <w:pStyle w:val="ListParagraph"/>
        <w:numPr>
          <w:ilvl w:val="0"/>
          <w:numId w:val="3"/>
        </w:numPr>
        <w:tabs>
          <w:tab w:pos="568" w:val="left" w:leader="none"/>
        </w:tabs>
        <w:spacing w:line="240" w:lineRule="auto" w:before="2" w:after="0"/>
        <w:ind w:left="567" w:right="0" w:hanging="172"/>
        <w:jc w:val="left"/>
        <w:rPr>
          <w:sz w:val="22"/>
        </w:rPr>
      </w:pPr>
      <w:r>
        <w:rPr>
          <w:sz w:val="22"/>
        </w:rPr>
        <w:t>Capital appropriations (Note</w:t>
      </w:r>
      <w:r>
        <w:rPr>
          <w:spacing w:val="-5"/>
          <w:sz w:val="22"/>
        </w:rPr>
        <w:t> </w:t>
      </w:r>
      <w:r>
        <w:rPr>
          <w:sz w:val="22"/>
        </w:rPr>
        <w:t>33)</w:t>
      </w:r>
    </w:p>
    <w:p>
      <w:pPr>
        <w:pStyle w:val="BodyText"/>
        <w:spacing w:before="10"/>
        <w:rPr>
          <w:sz w:val="23"/>
        </w:rPr>
      </w:pPr>
    </w:p>
    <w:p>
      <w:pPr>
        <w:pStyle w:val="Heading6"/>
        <w:ind w:left="395"/>
      </w:pPr>
      <w:r>
        <w:rPr/>
        <w:t>Material transactions with other related parties:</w:t>
      </w:r>
    </w:p>
    <w:p>
      <w:pPr>
        <w:pStyle w:val="BodyText"/>
        <w:spacing w:line="249" w:lineRule="auto" w:before="11"/>
        <w:ind w:left="395" w:right="824"/>
      </w:pPr>
      <w:r>
        <w:rPr/>
        <w:t>During</w:t>
      </w:r>
      <w:r>
        <w:rPr>
          <w:spacing w:val="-25"/>
        </w:rPr>
        <w:t> </w:t>
      </w:r>
      <w:r>
        <w:rPr/>
        <w:t>the</w:t>
      </w:r>
      <w:r>
        <w:rPr>
          <w:spacing w:val="-24"/>
        </w:rPr>
        <w:t> </w:t>
      </w:r>
      <w:r>
        <w:rPr>
          <w:spacing w:val="-5"/>
        </w:rPr>
        <w:t>year,</w:t>
      </w:r>
      <w:r>
        <w:rPr>
          <w:spacing w:val="-24"/>
        </w:rPr>
        <w:t> </w:t>
      </w:r>
      <w:r>
        <w:rPr/>
        <w:t>the</w:t>
      </w:r>
      <w:r>
        <w:rPr>
          <w:spacing w:val="-24"/>
        </w:rPr>
        <w:t> </w:t>
      </w:r>
      <w:r>
        <w:rPr/>
        <w:t>Department</w:t>
      </w:r>
      <w:r>
        <w:rPr>
          <w:spacing w:val="-24"/>
        </w:rPr>
        <w:t> </w:t>
      </w:r>
      <w:r>
        <w:rPr/>
        <w:t>paid</w:t>
      </w:r>
      <w:r>
        <w:rPr>
          <w:spacing w:val="-24"/>
        </w:rPr>
        <w:t> </w:t>
      </w:r>
      <w:r>
        <w:rPr/>
        <w:t>$9,659,669</w:t>
      </w:r>
      <w:r>
        <w:rPr>
          <w:spacing w:val="-25"/>
        </w:rPr>
        <w:t> </w:t>
      </w:r>
      <w:r>
        <w:rPr/>
        <w:t>in</w:t>
      </w:r>
      <w:r>
        <w:rPr>
          <w:spacing w:val="-24"/>
        </w:rPr>
        <w:t> </w:t>
      </w:r>
      <w:r>
        <w:rPr/>
        <w:t>employee</w:t>
      </w:r>
      <w:r>
        <w:rPr>
          <w:spacing w:val="-24"/>
        </w:rPr>
        <w:t> </w:t>
      </w:r>
      <w:r>
        <w:rPr/>
        <w:t>superannuation contributions</w:t>
      </w:r>
      <w:r>
        <w:rPr>
          <w:spacing w:val="-9"/>
        </w:rPr>
        <w:t> </w:t>
      </w:r>
      <w:r>
        <w:rPr/>
        <w:t>to</w:t>
      </w:r>
      <w:r>
        <w:rPr>
          <w:spacing w:val="-8"/>
        </w:rPr>
        <w:t> </w:t>
      </w:r>
      <w:r>
        <w:rPr/>
        <w:t>the</w:t>
      </w:r>
      <w:r>
        <w:rPr>
          <w:spacing w:val="-9"/>
        </w:rPr>
        <w:t> </w:t>
      </w:r>
      <w:r>
        <w:rPr/>
        <w:t>Government</w:t>
      </w:r>
      <w:r>
        <w:rPr>
          <w:spacing w:val="-8"/>
        </w:rPr>
        <w:t> </w:t>
      </w:r>
      <w:r>
        <w:rPr/>
        <w:t>Employees</w:t>
      </w:r>
      <w:r>
        <w:rPr>
          <w:spacing w:val="-9"/>
        </w:rPr>
        <w:t> </w:t>
      </w:r>
      <w:r>
        <w:rPr/>
        <w:t>Superannuation</w:t>
      </w:r>
      <w:r>
        <w:rPr>
          <w:spacing w:val="-8"/>
        </w:rPr>
        <w:t> </w:t>
      </w:r>
      <w:r>
        <w:rPr/>
        <w:t>Board.</w:t>
      </w:r>
    </w:p>
    <w:p>
      <w:pPr>
        <w:pStyle w:val="BodyText"/>
        <w:spacing w:before="2"/>
        <w:rPr>
          <w:sz w:val="23"/>
        </w:rPr>
      </w:pPr>
    </w:p>
    <w:p>
      <w:pPr>
        <w:pStyle w:val="BodyText"/>
        <w:spacing w:line="249" w:lineRule="auto"/>
        <w:ind w:left="395" w:right="1303"/>
      </w:pPr>
      <w:r>
        <w:rPr/>
        <w:t>The</w:t>
      </w:r>
      <w:r>
        <w:rPr>
          <w:spacing w:val="-23"/>
        </w:rPr>
        <w:t> </w:t>
      </w:r>
      <w:r>
        <w:rPr/>
        <w:t>Department</w:t>
      </w:r>
      <w:r>
        <w:rPr>
          <w:spacing w:val="-22"/>
        </w:rPr>
        <w:t> </w:t>
      </w:r>
      <w:r>
        <w:rPr/>
        <w:t>of</w:t>
      </w:r>
      <w:r>
        <w:rPr>
          <w:spacing w:val="-22"/>
        </w:rPr>
        <w:t> </w:t>
      </w:r>
      <w:r>
        <w:rPr/>
        <w:t>Finance</w:t>
      </w:r>
      <w:r>
        <w:rPr>
          <w:spacing w:val="-23"/>
        </w:rPr>
        <w:t> </w:t>
      </w:r>
      <w:r>
        <w:rPr/>
        <w:t>had</w:t>
      </w:r>
      <w:r>
        <w:rPr>
          <w:spacing w:val="-22"/>
        </w:rPr>
        <w:t> </w:t>
      </w:r>
      <w:r>
        <w:rPr/>
        <w:t>no</w:t>
      </w:r>
      <w:r>
        <w:rPr>
          <w:spacing w:val="-22"/>
        </w:rPr>
        <w:t> </w:t>
      </w:r>
      <w:r>
        <w:rPr/>
        <w:t>material</w:t>
      </w:r>
      <w:r>
        <w:rPr>
          <w:spacing w:val="-23"/>
        </w:rPr>
        <w:t> </w:t>
      </w:r>
      <w:r>
        <w:rPr/>
        <w:t>related</w:t>
      </w:r>
      <w:r>
        <w:rPr>
          <w:spacing w:val="-22"/>
        </w:rPr>
        <w:t> </w:t>
      </w:r>
      <w:r>
        <w:rPr/>
        <w:t>party</w:t>
      </w:r>
      <w:r>
        <w:rPr>
          <w:spacing w:val="-22"/>
        </w:rPr>
        <w:t> </w:t>
      </w:r>
      <w:r>
        <w:rPr/>
        <w:t>transaction</w:t>
      </w:r>
      <w:r>
        <w:rPr>
          <w:spacing w:val="-23"/>
        </w:rPr>
        <w:t> </w:t>
      </w:r>
      <w:r>
        <w:rPr>
          <w:spacing w:val="-5"/>
        </w:rPr>
        <w:t>with </w:t>
      </w:r>
      <w:r>
        <w:rPr/>
        <w:t>Ministers/senior</w:t>
      </w:r>
      <w:r>
        <w:rPr>
          <w:spacing w:val="-22"/>
        </w:rPr>
        <w:t> </w:t>
      </w:r>
      <w:r>
        <w:rPr/>
        <w:t>officers</w:t>
      </w:r>
      <w:r>
        <w:rPr>
          <w:spacing w:val="-21"/>
        </w:rPr>
        <w:t> </w:t>
      </w:r>
      <w:r>
        <w:rPr/>
        <w:t>or</w:t>
      </w:r>
      <w:r>
        <w:rPr>
          <w:spacing w:val="-21"/>
        </w:rPr>
        <w:t> </w:t>
      </w:r>
      <w:r>
        <w:rPr/>
        <w:t>their</w:t>
      </w:r>
      <w:r>
        <w:rPr>
          <w:spacing w:val="-21"/>
        </w:rPr>
        <w:t> </w:t>
      </w:r>
      <w:r>
        <w:rPr/>
        <w:t>close</w:t>
      </w:r>
      <w:r>
        <w:rPr>
          <w:spacing w:val="-21"/>
        </w:rPr>
        <w:t> </w:t>
      </w:r>
      <w:r>
        <w:rPr/>
        <w:t>family</w:t>
      </w:r>
      <w:r>
        <w:rPr>
          <w:spacing w:val="-21"/>
        </w:rPr>
        <w:t> </w:t>
      </w:r>
      <w:r>
        <w:rPr/>
        <w:t>members</w:t>
      </w:r>
      <w:r>
        <w:rPr>
          <w:spacing w:val="-21"/>
        </w:rPr>
        <w:t> </w:t>
      </w:r>
      <w:r>
        <w:rPr/>
        <w:t>or</w:t>
      </w:r>
      <w:r>
        <w:rPr>
          <w:spacing w:val="-21"/>
        </w:rPr>
        <w:t> </w:t>
      </w:r>
      <w:r>
        <w:rPr/>
        <w:t>their</w:t>
      </w:r>
      <w:r>
        <w:rPr>
          <w:spacing w:val="-21"/>
        </w:rPr>
        <w:t> </w:t>
      </w:r>
      <w:r>
        <w:rPr/>
        <w:t>controlled (or jointly controlled) entities for</w:t>
      </w:r>
      <w:r>
        <w:rPr>
          <w:spacing w:val="-18"/>
        </w:rPr>
        <w:t> </w:t>
      </w:r>
      <w:r>
        <w:rPr/>
        <w:t>disclosure.</w:t>
      </w:r>
    </w:p>
    <w:p>
      <w:pPr>
        <w:spacing w:after="0" w:line="249" w:lineRule="auto"/>
        <w:sectPr>
          <w:type w:val="continuous"/>
          <w:pgSz w:w="16840" w:h="11910" w:orient="landscape"/>
          <w:pgMar w:top="0" w:bottom="0" w:left="0" w:right="0"/>
          <w:cols w:num="2" w:equalWidth="0">
            <w:col w:w="8196" w:space="40"/>
            <w:col w:w="8604"/>
          </w:cols>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pPr>
    </w:p>
    <w:p>
      <w:pPr>
        <w:pStyle w:val="Heading1"/>
        <w:spacing w:before="93"/>
      </w:pPr>
      <w:r>
        <w:rPr/>
        <w:pict>
          <v:group style="position:absolute;margin-left:763.172119pt;margin-top:-3.544212pt;width:61.1pt;height:45.2pt;mso-position-horizontal-relative:page;mso-position-vertical-relative:paragraph;z-index:23512"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b/>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23560" coordorigin="0,-1146" coordsize="2406,851">
            <v:rect style="position:absolute;left:0;top:-1147;width:2406;height:851" filled="true" fillcolor="#aebd37" stroked="false">
              <v:fill type="solid"/>
            </v:rect>
            <v:line style="position:absolute" from="0,-1146" to="0,-296" stroked="true" strokeweight="0pt" strokecolor="#aebd37">
              <v:stroke dashstyle="solid"/>
            </v:line>
            <v:shape style="position:absolute;left:0;top:-1147;width:2406;height:851" type="#_x0000_t202" filled="false"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23656"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b/>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spacing w:before="29"/>
      </w:pPr>
      <w:r>
        <w:rPr>
          <w:color w:val="A7BE39"/>
        </w:rPr>
        <w:t>For the year ended 30 June 2017</w:t>
      </w:r>
    </w:p>
    <w:p>
      <w:pPr>
        <w:pStyle w:val="Heading5"/>
        <w:spacing w:before="257"/>
      </w:pPr>
      <w:r>
        <w:rPr>
          <w:color w:val="6F2770"/>
        </w:rPr>
        <w:t>Note 44. Explanatory Statement</w:t>
      </w:r>
    </w:p>
    <w:p>
      <w:pPr>
        <w:pStyle w:val="BodyText"/>
        <w:spacing w:line="249" w:lineRule="auto" w:before="254"/>
        <w:ind w:left="765" w:right="961"/>
      </w:pPr>
      <w:r>
        <w:rPr/>
        <w:t>All</w:t>
      </w:r>
      <w:r>
        <w:rPr>
          <w:spacing w:val="-20"/>
        </w:rPr>
        <w:t> </w:t>
      </w:r>
      <w:r>
        <w:rPr/>
        <w:t>variances</w:t>
      </w:r>
      <w:r>
        <w:rPr>
          <w:spacing w:val="-20"/>
        </w:rPr>
        <w:t> </w:t>
      </w:r>
      <w:r>
        <w:rPr/>
        <w:t>between</w:t>
      </w:r>
      <w:r>
        <w:rPr>
          <w:spacing w:val="-20"/>
        </w:rPr>
        <w:t> </w:t>
      </w:r>
      <w:r>
        <w:rPr/>
        <w:t>estimates</w:t>
      </w:r>
      <w:r>
        <w:rPr>
          <w:spacing w:val="-20"/>
        </w:rPr>
        <w:t> </w:t>
      </w:r>
      <w:r>
        <w:rPr/>
        <w:t>(original</w:t>
      </w:r>
      <w:r>
        <w:rPr>
          <w:spacing w:val="-20"/>
        </w:rPr>
        <w:t> </w:t>
      </w:r>
      <w:r>
        <w:rPr/>
        <w:t>budget)</w:t>
      </w:r>
      <w:r>
        <w:rPr>
          <w:spacing w:val="-20"/>
        </w:rPr>
        <w:t> </w:t>
      </w:r>
      <w:r>
        <w:rPr/>
        <w:t>and</w:t>
      </w:r>
      <w:r>
        <w:rPr>
          <w:spacing w:val="-20"/>
        </w:rPr>
        <w:t> </w:t>
      </w:r>
      <w:r>
        <w:rPr/>
        <w:t>actual</w:t>
      </w:r>
      <w:r>
        <w:rPr>
          <w:spacing w:val="-20"/>
        </w:rPr>
        <w:t> </w:t>
      </w:r>
      <w:r>
        <w:rPr/>
        <w:t>results</w:t>
      </w:r>
      <w:r>
        <w:rPr>
          <w:spacing w:val="-19"/>
        </w:rPr>
        <w:t> </w:t>
      </w:r>
      <w:r>
        <w:rPr/>
        <w:t>for</w:t>
      </w:r>
      <w:r>
        <w:rPr>
          <w:spacing w:val="-20"/>
        </w:rPr>
        <w:t> </w:t>
      </w:r>
      <w:r>
        <w:rPr/>
        <w:t>2017,</w:t>
      </w:r>
      <w:r>
        <w:rPr>
          <w:spacing w:val="-20"/>
        </w:rPr>
        <w:t> </w:t>
      </w:r>
      <w:r>
        <w:rPr/>
        <w:t>and</w:t>
      </w:r>
      <w:r>
        <w:rPr>
          <w:spacing w:val="-20"/>
        </w:rPr>
        <w:t> </w:t>
      </w:r>
      <w:r>
        <w:rPr/>
        <w:t>between</w:t>
      </w:r>
      <w:r>
        <w:rPr>
          <w:spacing w:val="-20"/>
        </w:rPr>
        <w:t> </w:t>
      </w:r>
      <w:r>
        <w:rPr/>
        <w:t>the</w:t>
      </w:r>
      <w:r>
        <w:rPr>
          <w:spacing w:val="-20"/>
        </w:rPr>
        <w:t> </w:t>
      </w:r>
      <w:r>
        <w:rPr/>
        <w:t>actual</w:t>
      </w:r>
      <w:r>
        <w:rPr>
          <w:spacing w:val="-20"/>
        </w:rPr>
        <w:t> </w:t>
      </w:r>
      <w:r>
        <w:rPr/>
        <w:t>results</w:t>
      </w:r>
      <w:r>
        <w:rPr>
          <w:spacing w:val="-20"/>
        </w:rPr>
        <w:t> </w:t>
      </w:r>
      <w:r>
        <w:rPr/>
        <w:t>for</w:t>
      </w:r>
      <w:r>
        <w:rPr>
          <w:spacing w:val="-20"/>
        </w:rPr>
        <w:t> </w:t>
      </w:r>
      <w:r>
        <w:rPr/>
        <w:t>2017</w:t>
      </w:r>
      <w:r>
        <w:rPr>
          <w:spacing w:val="-20"/>
        </w:rPr>
        <w:t> </w:t>
      </w:r>
      <w:r>
        <w:rPr/>
        <w:t>and</w:t>
      </w:r>
      <w:r>
        <w:rPr>
          <w:spacing w:val="-19"/>
        </w:rPr>
        <w:t> </w:t>
      </w:r>
      <w:r>
        <w:rPr/>
        <w:t>2016</w:t>
      </w:r>
      <w:r>
        <w:rPr>
          <w:spacing w:val="-20"/>
        </w:rPr>
        <w:t> </w:t>
      </w:r>
      <w:r>
        <w:rPr/>
        <w:t>are</w:t>
      </w:r>
      <w:r>
        <w:rPr>
          <w:spacing w:val="-20"/>
        </w:rPr>
        <w:t> </w:t>
      </w:r>
      <w:r>
        <w:rPr/>
        <w:t>shown</w:t>
      </w:r>
      <w:r>
        <w:rPr>
          <w:spacing w:val="-20"/>
        </w:rPr>
        <w:t> </w:t>
      </w:r>
      <w:r>
        <w:rPr>
          <w:spacing w:val="-3"/>
        </w:rPr>
        <w:t>below.</w:t>
      </w:r>
      <w:r>
        <w:rPr>
          <w:spacing w:val="-20"/>
        </w:rPr>
        <w:t> </w:t>
      </w:r>
      <w:r>
        <w:rPr/>
        <w:t>Narratives</w:t>
      </w:r>
      <w:r>
        <w:rPr>
          <w:spacing w:val="-20"/>
        </w:rPr>
        <w:t> </w:t>
      </w:r>
      <w:r>
        <w:rPr>
          <w:spacing w:val="-9"/>
        </w:rPr>
        <w:t>are </w:t>
      </w:r>
      <w:r>
        <w:rPr/>
        <w:t>provided</w:t>
      </w:r>
      <w:r>
        <w:rPr>
          <w:spacing w:val="-4"/>
        </w:rPr>
        <w:t> </w:t>
      </w:r>
      <w:r>
        <w:rPr/>
        <w:t>for</w:t>
      </w:r>
      <w:r>
        <w:rPr>
          <w:spacing w:val="-3"/>
        </w:rPr>
        <w:t> </w:t>
      </w:r>
      <w:r>
        <w:rPr/>
        <w:t>key</w:t>
      </w:r>
      <w:r>
        <w:rPr>
          <w:spacing w:val="-4"/>
        </w:rPr>
        <w:t> </w:t>
      </w:r>
      <w:r>
        <w:rPr/>
        <w:t>variations</w:t>
      </w:r>
      <w:r>
        <w:rPr>
          <w:spacing w:val="-3"/>
        </w:rPr>
        <w:t> </w:t>
      </w:r>
      <w:r>
        <w:rPr/>
        <w:t>selected</w:t>
      </w:r>
      <w:r>
        <w:rPr>
          <w:spacing w:val="-4"/>
        </w:rPr>
        <w:t> </w:t>
      </w:r>
      <w:r>
        <w:rPr/>
        <w:t>from</w:t>
      </w:r>
      <w:r>
        <w:rPr>
          <w:spacing w:val="-3"/>
        </w:rPr>
        <w:t> </w:t>
      </w:r>
      <w:r>
        <w:rPr/>
        <w:t>observed</w:t>
      </w:r>
      <w:r>
        <w:rPr>
          <w:spacing w:val="-4"/>
        </w:rPr>
        <w:t> </w:t>
      </w:r>
      <w:r>
        <w:rPr/>
        <w:t>major</w:t>
      </w:r>
      <w:r>
        <w:rPr>
          <w:spacing w:val="-3"/>
        </w:rPr>
        <w:t> </w:t>
      </w:r>
      <w:r>
        <w:rPr/>
        <w:t>variances,</w:t>
      </w:r>
      <w:r>
        <w:rPr>
          <w:spacing w:val="-3"/>
        </w:rPr>
        <w:t> </w:t>
      </w:r>
      <w:r>
        <w:rPr/>
        <w:t>which</w:t>
      </w:r>
      <w:r>
        <w:rPr>
          <w:spacing w:val="-4"/>
        </w:rPr>
        <w:t> </w:t>
      </w:r>
      <w:r>
        <w:rPr/>
        <w:t>are</w:t>
      </w:r>
      <w:r>
        <w:rPr>
          <w:spacing w:val="-3"/>
        </w:rPr>
        <w:t> </w:t>
      </w:r>
      <w:r>
        <w:rPr/>
        <w:t>generally</w:t>
      </w:r>
      <w:r>
        <w:rPr>
          <w:spacing w:val="-4"/>
        </w:rPr>
        <w:t> </w:t>
      </w:r>
      <w:r>
        <w:rPr/>
        <w:t>greater</w:t>
      </w:r>
      <w:r>
        <w:rPr>
          <w:spacing w:val="-3"/>
        </w:rPr>
        <w:t> </w:t>
      </w:r>
      <w:r>
        <w:rPr/>
        <w:t>than:</w:t>
      </w:r>
    </w:p>
    <w:p>
      <w:pPr>
        <w:pStyle w:val="ListParagraph"/>
        <w:numPr>
          <w:ilvl w:val="1"/>
          <w:numId w:val="3"/>
        </w:numPr>
        <w:tabs>
          <w:tab w:pos="937" w:val="left" w:leader="none"/>
        </w:tabs>
        <w:spacing w:line="240" w:lineRule="auto" w:before="2" w:after="0"/>
        <w:ind w:left="936" w:right="0" w:hanging="171"/>
        <w:jc w:val="left"/>
        <w:rPr>
          <w:sz w:val="22"/>
        </w:rPr>
      </w:pPr>
      <w:r>
        <w:rPr>
          <w:sz w:val="22"/>
        </w:rPr>
        <w:t>5% and $23.6 million for the Statements of Comprehensive Income and Cash Flows;</w:t>
      </w:r>
      <w:r>
        <w:rPr>
          <w:spacing w:val="-23"/>
          <w:sz w:val="22"/>
        </w:rPr>
        <w:t> </w:t>
      </w:r>
      <w:r>
        <w:rPr>
          <w:sz w:val="22"/>
        </w:rPr>
        <w:t>and</w:t>
      </w:r>
    </w:p>
    <w:p>
      <w:pPr>
        <w:pStyle w:val="ListParagraph"/>
        <w:numPr>
          <w:ilvl w:val="1"/>
          <w:numId w:val="3"/>
        </w:numPr>
        <w:tabs>
          <w:tab w:pos="937" w:val="left" w:leader="none"/>
        </w:tabs>
        <w:spacing w:line="240" w:lineRule="auto" w:before="11" w:after="0"/>
        <w:ind w:left="936" w:right="0" w:hanging="171"/>
        <w:jc w:val="left"/>
        <w:rPr>
          <w:sz w:val="22"/>
        </w:rPr>
      </w:pPr>
      <w:r>
        <w:rPr>
          <w:sz w:val="22"/>
        </w:rPr>
        <w:t>5% and $25.0 million for the Statement of Financial</w:t>
      </w:r>
      <w:r>
        <w:rPr>
          <w:spacing w:val="-10"/>
          <w:sz w:val="22"/>
        </w:rPr>
        <w:t> </w:t>
      </w:r>
      <w:r>
        <w:rPr>
          <w:sz w:val="22"/>
        </w:rPr>
        <w:t>Position.</w:t>
      </w:r>
    </w:p>
    <w:p>
      <w:pPr>
        <w:pStyle w:val="BodyText"/>
        <w:rPr>
          <w:sz w:val="25"/>
        </w:rPr>
      </w:pPr>
    </w:p>
    <w:p>
      <w:pPr>
        <w:spacing w:before="108" w:after="45"/>
        <w:ind w:left="765" w:right="0" w:firstLine="0"/>
        <w:jc w:val="left"/>
        <w:rPr>
          <w:b/>
          <w:sz w:val="19"/>
        </w:rPr>
      </w:pPr>
      <w:r>
        <w:rPr>
          <w:b/>
          <w:sz w:val="19"/>
        </w:rPr>
        <w:t>Statement of Comprehensive Income (Controlled Operations)</w:t>
      </w: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6"/>
        <w:gridCol w:w="1548"/>
        <w:gridCol w:w="1548"/>
        <w:gridCol w:w="1548"/>
        <w:gridCol w:w="1548"/>
        <w:gridCol w:w="1548"/>
        <w:gridCol w:w="1661"/>
      </w:tblGrid>
      <w:tr>
        <w:trPr>
          <w:trHeight w:val="1217" w:hRule="atLeast"/>
        </w:trPr>
        <w:tc>
          <w:tcPr>
            <w:tcW w:w="7444" w:type="dxa"/>
            <w:gridSpan w:val="2"/>
            <w:shd w:val="clear" w:color="auto" w:fill="783A79"/>
          </w:tcPr>
          <w:p>
            <w:pPr>
              <w:pStyle w:val="TableParagraph"/>
              <w:spacing w:before="42"/>
              <w:ind w:right="138"/>
              <w:jc w:val="right"/>
              <w:rPr>
                <w:b/>
                <w:sz w:val="19"/>
              </w:rPr>
            </w:pPr>
            <w:r>
              <w:rPr>
                <w:b/>
                <w:color w:val="FFFFFF"/>
                <w:sz w:val="19"/>
              </w:rPr>
              <w:t>Variance Note</w:t>
            </w:r>
          </w:p>
        </w:tc>
        <w:tc>
          <w:tcPr>
            <w:tcW w:w="1548" w:type="dxa"/>
            <w:shd w:val="clear" w:color="auto" w:fill="783A79"/>
          </w:tcPr>
          <w:p>
            <w:pPr>
              <w:pStyle w:val="TableParagraph"/>
              <w:spacing w:before="42"/>
              <w:ind w:left="160"/>
              <w:rPr>
                <w:b/>
                <w:sz w:val="19"/>
              </w:rPr>
            </w:pPr>
            <w:r>
              <w:rPr>
                <w:b/>
                <w:color w:val="FFFFFF"/>
                <w:sz w:val="19"/>
              </w:rPr>
              <w:t>Estimate</w:t>
            </w:r>
            <w:r>
              <w:rPr>
                <w:b/>
                <w:color w:val="FFFFFF"/>
                <w:spacing w:val="6"/>
                <w:sz w:val="19"/>
              </w:rPr>
              <w:t> </w:t>
            </w:r>
            <w:r>
              <w:rPr>
                <w:b/>
                <w:color w:val="FFFFFF"/>
                <w:sz w:val="19"/>
              </w:rPr>
              <w:t>2017</w:t>
            </w:r>
          </w:p>
          <w:p>
            <w:pPr>
              <w:pStyle w:val="TableParagraph"/>
              <w:spacing w:before="0"/>
              <w:rPr>
                <w:b/>
                <w:sz w:val="22"/>
              </w:rPr>
            </w:pPr>
          </w:p>
          <w:p>
            <w:pPr>
              <w:pStyle w:val="TableParagraph"/>
              <w:spacing w:before="0"/>
              <w:rPr>
                <w:b/>
                <w:sz w:val="22"/>
              </w:rPr>
            </w:pPr>
          </w:p>
          <w:p>
            <w:pPr>
              <w:pStyle w:val="TableParagraph"/>
              <w:spacing w:before="188"/>
              <w:ind w:left="1011"/>
              <w:rPr>
                <w:b/>
                <w:sz w:val="19"/>
              </w:rPr>
            </w:pPr>
            <w:r>
              <w:rPr>
                <w:b/>
                <w:color w:val="FFFFFF"/>
                <w:sz w:val="19"/>
              </w:rPr>
              <w:t>$000</w:t>
            </w:r>
          </w:p>
        </w:tc>
        <w:tc>
          <w:tcPr>
            <w:tcW w:w="1548" w:type="dxa"/>
            <w:shd w:val="clear" w:color="auto" w:fill="783A79"/>
          </w:tcPr>
          <w:p>
            <w:pPr>
              <w:pStyle w:val="TableParagraph"/>
              <w:spacing w:before="42"/>
              <w:ind w:left="381"/>
              <w:rPr>
                <w:b/>
                <w:sz w:val="19"/>
              </w:rPr>
            </w:pPr>
            <w:r>
              <w:rPr>
                <w:b/>
                <w:color w:val="FFFFFF"/>
                <w:sz w:val="19"/>
              </w:rPr>
              <w:t>Actual</w:t>
            </w:r>
            <w:r>
              <w:rPr>
                <w:b/>
                <w:color w:val="FFFFFF"/>
                <w:spacing w:val="-4"/>
                <w:sz w:val="19"/>
              </w:rPr>
              <w:t> </w:t>
            </w:r>
            <w:r>
              <w:rPr>
                <w:b/>
                <w:color w:val="FFFFFF"/>
                <w:sz w:val="19"/>
              </w:rPr>
              <w:t>2017</w:t>
            </w:r>
          </w:p>
          <w:p>
            <w:pPr>
              <w:pStyle w:val="TableParagraph"/>
              <w:spacing w:before="0"/>
              <w:rPr>
                <w:b/>
                <w:sz w:val="22"/>
              </w:rPr>
            </w:pPr>
          </w:p>
          <w:p>
            <w:pPr>
              <w:pStyle w:val="TableParagraph"/>
              <w:spacing w:before="0"/>
              <w:rPr>
                <w:b/>
                <w:sz w:val="22"/>
              </w:rPr>
            </w:pPr>
          </w:p>
          <w:p>
            <w:pPr>
              <w:pStyle w:val="TableParagraph"/>
              <w:spacing w:before="188"/>
              <w:ind w:left="1011"/>
              <w:rPr>
                <w:b/>
                <w:sz w:val="19"/>
              </w:rPr>
            </w:pPr>
            <w:r>
              <w:rPr>
                <w:b/>
                <w:color w:val="FFFFFF"/>
                <w:sz w:val="19"/>
              </w:rPr>
              <w:t>$000</w:t>
            </w:r>
          </w:p>
        </w:tc>
        <w:tc>
          <w:tcPr>
            <w:tcW w:w="1548" w:type="dxa"/>
            <w:shd w:val="clear" w:color="auto" w:fill="783A79"/>
          </w:tcPr>
          <w:p>
            <w:pPr>
              <w:pStyle w:val="TableParagraph"/>
              <w:spacing w:before="42"/>
              <w:ind w:left="381"/>
              <w:rPr>
                <w:b/>
                <w:sz w:val="19"/>
              </w:rPr>
            </w:pPr>
            <w:r>
              <w:rPr>
                <w:b/>
                <w:color w:val="FFFFFF"/>
                <w:sz w:val="19"/>
              </w:rPr>
              <w:t>Actual</w:t>
            </w:r>
            <w:r>
              <w:rPr>
                <w:b/>
                <w:color w:val="FFFFFF"/>
                <w:spacing w:val="-4"/>
                <w:sz w:val="19"/>
              </w:rPr>
              <w:t> </w:t>
            </w:r>
            <w:r>
              <w:rPr>
                <w:b/>
                <w:color w:val="FFFFFF"/>
                <w:sz w:val="19"/>
              </w:rPr>
              <w:t>2016</w:t>
            </w:r>
          </w:p>
          <w:p>
            <w:pPr>
              <w:pStyle w:val="TableParagraph"/>
              <w:spacing w:before="0"/>
              <w:rPr>
                <w:b/>
                <w:sz w:val="22"/>
              </w:rPr>
            </w:pPr>
          </w:p>
          <w:p>
            <w:pPr>
              <w:pStyle w:val="TableParagraph"/>
              <w:spacing w:before="0"/>
              <w:rPr>
                <w:b/>
                <w:sz w:val="22"/>
              </w:rPr>
            </w:pPr>
          </w:p>
          <w:p>
            <w:pPr>
              <w:pStyle w:val="TableParagraph"/>
              <w:spacing w:before="188"/>
              <w:ind w:left="1011"/>
              <w:rPr>
                <w:b/>
                <w:sz w:val="19"/>
              </w:rPr>
            </w:pPr>
            <w:r>
              <w:rPr>
                <w:b/>
                <w:color w:val="FFFFFF"/>
                <w:sz w:val="19"/>
              </w:rPr>
              <w:t>$000</w:t>
            </w:r>
          </w:p>
        </w:tc>
        <w:tc>
          <w:tcPr>
            <w:tcW w:w="1548" w:type="dxa"/>
            <w:shd w:val="clear" w:color="auto" w:fill="783A79"/>
          </w:tcPr>
          <w:p>
            <w:pPr>
              <w:pStyle w:val="TableParagraph"/>
              <w:spacing w:line="249" w:lineRule="auto" w:before="42"/>
              <w:ind w:left="258" w:right="112" w:firstLine="393"/>
              <w:jc w:val="right"/>
              <w:rPr>
                <w:b/>
                <w:sz w:val="19"/>
              </w:rPr>
            </w:pPr>
            <w:r>
              <w:rPr>
                <w:b/>
                <w:color w:val="FFFFFF"/>
                <w:spacing w:val="-2"/>
                <w:sz w:val="19"/>
              </w:rPr>
              <w:t>Variance </w:t>
            </w:r>
            <w:r>
              <w:rPr>
                <w:b/>
                <w:color w:val="FFFFFF"/>
                <w:sz w:val="19"/>
              </w:rPr>
              <w:t>between estimate</w:t>
            </w:r>
            <w:r>
              <w:rPr>
                <w:b/>
                <w:color w:val="FFFFFF"/>
                <w:spacing w:val="14"/>
                <w:sz w:val="19"/>
              </w:rPr>
              <w:t> </w:t>
            </w:r>
            <w:r>
              <w:rPr>
                <w:b/>
                <w:color w:val="FFFFFF"/>
                <w:spacing w:val="-6"/>
                <w:sz w:val="19"/>
              </w:rPr>
              <w:t>and</w:t>
            </w:r>
          </w:p>
          <w:p>
            <w:pPr>
              <w:pStyle w:val="TableParagraph"/>
              <w:spacing w:before="2"/>
              <w:ind w:right="112"/>
              <w:jc w:val="right"/>
              <w:rPr>
                <w:b/>
                <w:sz w:val="19"/>
              </w:rPr>
            </w:pPr>
            <w:r>
              <w:rPr>
                <w:b/>
                <w:color w:val="FFFFFF"/>
                <w:sz w:val="19"/>
              </w:rPr>
              <w:t>actual</w:t>
            </w:r>
          </w:p>
          <w:p>
            <w:pPr>
              <w:pStyle w:val="TableParagraph"/>
              <w:spacing w:before="10"/>
              <w:ind w:right="112"/>
              <w:jc w:val="right"/>
              <w:rPr>
                <w:b/>
                <w:sz w:val="19"/>
              </w:rPr>
            </w:pPr>
            <w:r>
              <w:rPr>
                <w:b/>
                <w:color w:val="FFFFFF"/>
                <w:w w:val="95"/>
                <w:sz w:val="19"/>
              </w:rPr>
              <w:t>$000</w:t>
            </w:r>
          </w:p>
        </w:tc>
        <w:tc>
          <w:tcPr>
            <w:tcW w:w="1661" w:type="dxa"/>
            <w:shd w:val="clear" w:color="auto" w:fill="783A79"/>
          </w:tcPr>
          <w:p>
            <w:pPr>
              <w:pStyle w:val="TableParagraph"/>
              <w:spacing w:line="249" w:lineRule="auto" w:before="42"/>
              <w:ind w:left="152" w:right="112" w:firstLine="612"/>
              <w:jc w:val="both"/>
              <w:rPr>
                <w:b/>
                <w:sz w:val="19"/>
              </w:rPr>
            </w:pPr>
            <w:r>
              <w:rPr>
                <w:b/>
                <w:color w:val="FFFFFF"/>
                <w:spacing w:val="-2"/>
                <w:sz w:val="19"/>
              </w:rPr>
              <w:t>Variance </w:t>
            </w:r>
            <w:r>
              <w:rPr>
                <w:b/>
                <w:color w:val="FFFFFF"/>
                <w:sz w:val="19"/>
              </w:rPr>
              <w:t>between actual results for</w:t>
            </w:r>
            <w:r>
              <w:rPr>
                <w:b/>
                <w:color w:val="FFFFFF"/>
                <w:spacing w:val="-12"/>
                <w:sz w:val="19"/>
              </w:rPr>
              <w:t> </w:t>
            </w:r>
            <w:r>
              <w:rPr>
                <w:b/>
                <w:color w:val="FFFFFF"/>
                <w:spacing w:val="-4"/>
                <w:sz w:val="19"/>
              </w:rPr>
              <w:t>2017</w:t>
            </w:r>
          </w:p>
          <w:p>
            <w:pPr>
              <w:pStyle w:val="TableParagraph"/>
              <w:spacing w:before="2"/>
              <w:ind w:right="112"/>
              <w:jc w:val="right"/>
              <w:rPr>
                <w:b/>
                <w:sz w:val="19"/>
              </w:rPr>
            </w:pPr>
            <w:r>
              <w:rPr>
                <w:b/>
                <w:color w:val="FFFFFF"/>
                <w:sz w:val="19"/>
              </w:rPr>
              <w:t>and</w:t>
            </w:r>
            <w:r>
              <w:rPr>
                <w:b/>
                <w:color w:val="FFFFFF"/>
                <w:spacing w:val="-1"/>
                <w:sz w:val="19"/>
              </w:rPr>
              <w:t> </w:t>
            </w:r>
            <w:r>
              <w:rPr>
                <w:b/>
                <w:color w:val="FFFFFF"/>
                <w:sz w:val="19"/>
              </w:rPr>
              <w:t>2016</w:t>
            </w:r>
          </w:p>
          <w:p>
            <w:pPr>
              <w:pStyle w:val="TableParagraph"/>
              <w:spacing w:before="10"/>
              <w:ind w:right="112"/>
              <w:jc w:val="right"/>
              <w:rPr>
                <w:b/>
                <w:sz w:val="19"/>
              </w:rPr>
            </w:pPr>
            <w:r>
              <w:rPr>
                <w:b/>
                <w:color w:val="FFFFFF"/>
                <w:w w:val="95"/>
                <w:sz w:val="19"/>
              </w:rPr>
              <w:t>$000</w:t>
            </w:r>
          </w:p>
        </w:tc>
      </w:tr>
      <w:tr>
        <w:trPr>
          <w:trHeight w:val="312" w:hRule="atLeast"/>
        </w:trPr>
        <w:tc>
          <w:tcPr>
            <w:tcW w:w="5896" w:type="dxa"/>
            <w:shd w:val="clear" w:color="auto" w:fill="FFFFFF"/>
          </w:tcPr>
          <w:p>
            <w:pPr>
              <w:pStyle w:val="TableParagraph"/>
              <w:spacing w:before="42"/>
              <w:ind w:left="113"/>
              <w:rPr>
                <w:sz w:val="19"/>
              </w:rPr>
            </w:pPr>
            <w:r>
              <w:rPr>
                <w:sz w:val="19"/>
              </w:rPr>
              <w:t>Employee benefits expense</w:t>
            </w:r>
          </w:p>
        </w:tc>
        <w:tc>
          <w:tcPr>
            <w:tcW w:w="1548" w:type="dxa"/>
            <w:shd w:val="clear" w:color="auto" w:fill="FFFFFF"/>
          </w:tcPr>
          <w:p>
            <w:pPr>
              <w:pStyle w:val="TableParagraph"/>
              <w:spacing w:before="42"/>
              <w:jc w:val="center"/>
              <w:rPr>
                <w:sz w:val="19"/>
              </w:rPr>
            </w:pPr>
            <w:hyperlink w:history="true" w:anchor="_bookmark54">
              <w:r>
                <w:rPr>
                  <w:color w:val="A7BE39"/>
                  <w:w w:val="99"/>
                  <w:sz w:val="19"/>
                  <w:u w:val="single" w:color="A7BE39"/>
                </w:rPr>
                <w:t>1</w:t>
              </w:r>
            </w:hyperlink>
          </w:p>
        </w:tc>
        <w:tc>
          <w:tcPr>
            <w:tcW w:w="1548" w:type="dxa"/>
            <w:shd w:val="clear" w:color="auto" w:fill="FFFFFF"/>
          </w:tcPr>
          <w:p>
            <w:pPr>
              <w:pStyle w:val="TableParagraph"/>
              <w:spacing w:before="42"/>
              <w:ind w:right="111"/>
              <w:jc w:val="right"/>
              <w:rPr>
                <w:sz w:val="19"/>
              </w:rPr>
            </w:pPr>
            <w:r>
              <w:rPr>
                <w:w w:val="95"/>
                <w:sz w:val="19"/>
              </w:rPr>
              <w:t>151,264</w:t>
            </w:r>
          </w:p>
        </w:tc>
        <w:tc>
          <w:tcPr>
            <w:tcW w:w="1548" w:type="dxa"/>
            <w:shd w:val="clear" w:color="auto" w:fill="E1E4BB"/>
          </w:tcPr>
          <w:p>
            <w:pPr>
              <w:pStyle w:val="TableParagraph"/>
              <w:spacing w:before="42"/>
              <w:ind w:right="112"/>
              <w:jc w:val="right"/>
              <w:rPr>
                <w:sz w:val="19"/>
              </w:rPr>
            </w:pPr>
            <w:r>
              <w:rPr>
                <w:w w:val="95"/>
                <w:sz w:val="19"/>
              </w:rPr>
              <w:t>114,499</w:t>
            </w:r>
          </w:p>
        </w:tc>
        <w:tc>
          <w:tcPr>
            <w:tcW w:w="1548" w:type="dxa"/>
            <w:shd w:val="clear" w:color="auto" w:fill="FFFFFF"/>
          </w:tcPr>
          <w:p>
            <w:pPr>
              <w:pStyle w:val="TableParagraph"/>
              <w:spacing w:before="42"/>
              <w:ind w:right="112"/>
              <w:jc w:val="right"/>
              <w:rPr>
                <w:sz w:val="19"/>
              </w:rPr>
            </w:pPr>
            <w:r>
              <w:rPr>
                <w:w w:val="95"/>
                <w:sz w:val="19"/>
              </w:rPr>
              <w:t>129,453</w:t>
            </w:r>
          </w:p>
        </w:tc>
        <w:tc>
          <w:tcPr>
            <w:tcW w:w="1548" w:type="dxa"/>
            <w:shd w:val="clear" w:color="auto" w:fill="FFFFFF"/>
          </w:tcPr>
          <w:p>
            <w:pPr>
              <w:pStyle w:val="TableParagraph"/>
              <w:spacing w:before="42"/>
              <w:ind w:right="112"/>
              <w:jc w:val="right"/>
              <w:rPr>
                <w:sz w:val="19"/>
              </w:rPr>
            </w:pPr>
            <w:r>
              <w:rPr>
                <w:w w:val="95"/>
                <w:sz w:val="19"/>
              </w:rPr>
              <w:t>(36,765)</w:t>
            </w:r>
          </w:p>
        </w:tc>
        <w:tc>
          <w:tcPr>
            <w:tcW w:w="1661" w:type="dxa"/>
            <w:shd w:val="clear" w:color="auto" w:fill="FFFFFF"/>
          </w:tcPr>
          <w:p>
            <w:pPr>
              <w:pStyle w:val="TableParagraph"/>
              <w:spacing w:before="42"/>
              <w:ind w:right="112"/>
              <w:jc w:val="right"/>
              <w:rPr>
                <w:sz w:val="19"/>
              </w:rPr>
            </w:pPr>
            <w:r>
              <w:rPr>
                <w:w w:val="95"/>
                <w:sz w:val="19"/>
              </w:rPr>
              <w:t>(14,954)</w:t>
            </w:r>
          </w:p>
        </w:tc>
      </w:tr>
      <w:tr>
        <w:trPr>
          <w:trHeight w:val="341" w:hRule="atLeast"/>
        </w:trPr>
        <w:tc>
          <w:tcPr>
            <w:tcW w:w="5896" w:type="dxa"/>
            <w:shd w:val="clear" w:color="auto" w:fill="FFFFFF"/>
          </w:tcPr>
          <w:p>
            <w:pPr>
              <w:pStyle w:val="TableParagraph"/>
              <w:spacing w:before="57"/>
              <w:ind w:left="113"/>
              <w:rPr>
                <w:sz w:val="19"/>
              </w:rPr>
            </w:pPr>
            <w:r>
              <w:rPr>
                <w:sz w:val="19"/>
              </w:rPr>
              <w:t>Supplies and services</w:t>
            </w:r>
          </w:p>
        </w:tc>
        <w:tc>
          <w:tcPr>
            <w:tcW w:w="1548" w:type="dxa"/>
            <w:shd w:val="clear" w:color="auto" w:fill="FFFFFF"/>
          </w:tcPr>
          <w:p>
            <w:pPr>
              <w:pStyle w:val="TableParagraph"/>
              <w:spacing w:before="57"/>
              <w:jc w:val="center"/>
              <w:rPr>
                <w:sz w:val="19"/>
              </w:rPr>
            </w:pPr>
            <w:hyperlink w:history="true" w:anchor="_bookmark54">
              <w:r>
                <w:rPr>
                  <w:color w:val="A7BE39"/>
                  <w:w w:val="99"/>
                  <w:sz w:val="19"/>
                  <w:u w:val="single" w:color="A7BE39"/>
                </w:rPr>
                <w:t>2</w:t>
              </w:r>
            </w:hyperlink>
          </w:p>
        </w:tc>
        <w:tc>
          <w:tcPr>
            <w:tcW w:w="1548" w:type="dxa"/>
            <w:shd w:val="clear" w:color="auto" w:fill="FFFFFF"/>
          </w:tcPr>
          <w:p>
            <w:pPr>
              <w:pStyle w:val="TableParagraph"/>
              <w:spacing w:before="57"/>
              <w:ind w:right="111"/>
              <w:jc w:val="right"/>
              <w:rPr>
                <w:sz w:val="19"/>
              </w:rPr>
            </w:pPr>
            <w:r>
              <w:rPr>
                <w:w w:val="95"/>
                <w:sz w:val="19"/>
              </w:rPr>
              <w:t>1,072,727</w:t>
            </w:r>
          </w:p>
        </w:tc>
        <w:tc>
          <w:tcPr>
            <w:tcW w:w="1548" w:type="dxa"/>
            <w:shd w:val="clear" w:color="auto" w:fill="E1E4BB"/>
          </w:tcPr>
          <w:p>
            <w:pPr>
              <w:pStyle w:val="TableParagraph"/>
              <w:spacing w:before="57"/>
              <w:ind w:right="112"/>
              <w:jc w:val="right"/>
              <w:rPr>
                <w:sz w:val="19"/>
              </w:rPr>
            </w:pPr>
            <w:r>
              <w:rPr>
                <w:w w:val="95"/>
                <w:sz w:val="19"/>
              </w:rPr>
              <w:t>971,330</w:t>
            </w:r>
          </w:p>
        </w:tc>
        <w:tc>
          <w:tcPr>
            <w:tcW w:w="1548" w:type="dxa"/>
            <w:shd w:val="clear" w:color="auto" w:fill="FFFFFF"/>
          </w:tcPr>
          <w:p>
            <w:pPr>
              <w:pStyle w:val="TableParagraph"/>
              <w:spacing w:before="57"/>
              <w:ind w:right="112"/>
              <w:jc w:val="right"/>
              <w:rPr>
                <w:sz w:val="19"/>
              </w:rPr>
            </w:pPr>
            <w:r>
              <w:rPr>
                <w:w w:val="95"/>
                <w:sz w:val="19"/>
              </w:rPr>
              <w:t>870,487</w:t>
            </w:r>
          </w:p>
        </w:tc>
        <w:tc>
          <w:tcPr>
            <w:tcW w:w="1548" w:type="dxa"/>
            <w:shd w:val="clear" w:color="auto" w:fill="FFFFFF"/>
          </w:tcPr>
          <w:p>
            <w:pPr>
              <w:pStyle w:val="TableParagraph"/>
              <w:spacing w:before="57"/>
              <w:ind w:right="112"/>
              <w:jc w:val="right"/>
              <w:rPr>
                <w:sz w:val="19"/>
              </w:rPr>
            </w:pPr>
            <w:r>
              <w:rPr>
                <w:w w:val="95"/>
                <w:sz w:val="19"/>
              </w:rPr>
              <w:t>(101,397)</w:t>
            </w:r>
          </w:p>
        </w:tc>
        <w:tc>
          <w:tcPr>
            <w:tcW w:w="1661" w:type="dxa"/>
            <w:shd w:val="clear" w:color="auto" w:fill="FFFFFF"/>
          </w:tcPr>
          <w:p>
            <w:pPr>
              <w:pStyle w:val="TableParagraph"/>
              <w:spacing w:before="57"/>
              <w:ind w:right="112"/>
              <w:jc w:val="right"/>
              <w:rPr>
                <w:sz w:val="19"/>
              </w:rPr>
            </w:pPr>
            <w:r>
              <w:rPr>
                <w:w w:val="95"/>
                <w:sz w:val="19"/>
              </w:rPr>
              <w:t>100,843</w:t>
            </w:r>
          </w:p>
        </w:tc>
      </w:tr>
      <w:tr>
        <w:trPr>
          <w:trHeight w:val="312" w:hRule="atLeast"/>
        </w:trPr>
        <w:tc>
          <w:tcPr>
            <w:tcW w:w="5896" w:type="dxa"/>
            <w:shd w:val="clear" w:color="auto" w:fill="FFFFFF"/>
          </w:tcPr>
          <w:p>
            <w:pPr>
              <w:pStyle w:val="TableParagraph"/>
              <w:spacing w:before="42"/>
              <w:ind w:left="113"/>
              <w:rPr>
                <w:sz w:val="19"/>
              </w:rPr>
            </w:pPr>
            <w:r>
              <w:rPr>
                <w:sz w:val="19"/>
              </w:rPr>
              <w:t>Depreciation and amortisation expense</w:t>
            </w:r>
          </w:p>
        </w:tc>
        <w:tc>
          <w:tcPr>
            <w:tcW w:w="1548" w:type="dxa"/>
            <w:vMerge w:val="restart"/>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42"/>
              <w:ind w:right="111"/>
              <w:jc w:val="right"/>
              <w:rPr>
                <w:sz w:val="19"/>
              </w:rPr>
            </w:pPr>
            <w:r>
              <w:rPr>
                <w:w w:val="95"/>
                <w:sz w:val="19"/>
              </w:rPr>
              <w:t>93,155</w:t>
            </w:r>
          </w:p>
        </w:tc>
        <w:tc>
          <w:tcPr>
            <w:tcW w:w="1548" w:type="dxa"/>
            <w:shd w:val="clear" w:color="auto" w:fill="E1E4BB"/>
          </w:tcPr>
          <w:p>
            <w:pPr>
              <w:pStyle w:val="TableParagraph"/>
              <w:spacing w:before="42"/>
              <w:ind w:right="111"/>
              <w:jc w:val="right"/>
              <w:rPr>
                <w:sz w:val="19"/>
              </w:rPr>
            </w:pPr>
            <w:r>
              <w:rPr>
                <w:w w:val="95"/>
                <w:sz w:val="19"/>
              </w:rPr>
              <w:t>71,513</w:t>
            </w:r>
          </w:p>
        </w:tc>
        <w:tc>
          <w:tcPr>
            <w:tcW w:w="1548" w:type="dxa"/>
            <w:shd w:val="clear" w:color="auto" w:fill="FFFFFF"/>
          </w:tcPr>
          <w:p>
            <w:pPr>
              <w:pStyle w:val="TableParagraph"/>
              <w:spacing w:before="42"/>
              <w:ind w:right="112"/>
              <w:jc w:val="right"/>
              <w:rPr>
                <w:sz w:val="19"/>
              </w:rPr>
            </w:pPr>
            <w:r>
              <w:rPr>
                <w:w w:val="95"/>
                <w:sz w:val="19"/>
              </w:rPr>
              <w:t>79,031</w:t>
            </w:r>
          </w:p>
        </w:tc>
        <w:tc>
          <w:tcPr>
            <w:tcW w:w="1548" w:type="dxa"/>
            <w:shd w:val="clear" w:color="auto" w:fill="FFFFFF"/>
          </w:tcPr>
          <w:p>
            <w:pPr>
              <w:pStyle w:val="TableParagraph"/>
              <w:spacing w:before="42"/>
              <w:ind w:right="112"/>
              <w:jc w:val="right"/>
              <w:rPr>
                <w:sz w:val="19"/>
              </w:rPr>
            </w:pPr>
            <w:r>
              <w:rPr>
                <w:w w:val="95"/>
                <w:sz w:val="19"/>
              </w:rPr>
              <w:t>(21,642)</w:t>
            </w:r>
          </w:p>
        </w:tc>
        <w:tc>
          <w:tcPr>
            <w:tcW w:w="1661" w:type="dxa"/>
            <w:shd w:val="clear" w:color="auto" w:fill="FFFFFF"/>
          </w:tcPr>
          <w:p>
            <w:pPr>
              <w:pStyle w:val="TableParagraph"/>
              <w:spacing w:before="42"/>
              <w:ind w:right="112"/>
              <w:jc w:val="right"/>
              <w:rPr>
                <w:sz w:val="19"/>
              </w:rPr>
            </w:pPr>
            <w:r>
              <w:rPr>
                <w:w w:val="90"/>
                <w:sz w:val="19"/>
              </w:rPr>
              <w:t>(7,518)</w:t>
            </w:r>
          </w:p>
        </w:tc>
      </w:tr>
      <w:tr>
        <w:trPr>
          <w:trHeight w:val="341" w:hRule="atLeast"/>
        </w:trPr>
        <w:tc>
          <w:tcPr>
            <w:tcW w:w="5896" w:type="dxa"/>
            <w:shd w:val="clear" w:color="auto" w:fill="FFFFFF"/>
          </w:tcPr>
          <w:p>
            <w:pPr>
              <w:pStyle w:val="TableParagraph"/>
              <w:spacing w:before="57"/>
              <w:ind w:left="113"/>
              <w:rPr>
                <w:sz w:val="19"/>
              </w:rPr>
            </w:pPr>
            <w:r>
              <w:rPr>
                <w:sz w:val="19"/>
              </w:rPr>
              <w:t>Finance costs</w:t>
            </w:r>
          </w:p>
        </w:tc>
        <w:tc>
          <w:tcPr>
            <w:tcW w:w="1548" w:type="dxa"/>
            <w:vMerge/>
            <w:tcBorders>
              <w:top w:val="nil"/>
            </w:tcBorders>
            <w:shd w:val="clear" w:color="auto" w:fill="FFFFFF"/>
          </w:tcPr>
          <w:p>
            <w:pPr>
              <w:rPr>
                <w:sz w:val="2"/>
                <w:szCs w:val="2"/>
              </w:rPr>
            </w:pPr>
          </w:p>
        </w:tc>
        <w:tc>
          <w:tcPr>
            <w:tcW w:w="1548" w:type="dxa"/>
            <w:shd w:val="clear" w:color="auto" w:fill="FFFFFF"/>
          </w:tcPr>
          <w:p>
            <w:pPr>
              <w:pStyle w:val="TableParagraph"/>
              <w:spacing w:before="57"/>
              <w:ind w:right="111"/>
              <w:jc w:val="right"/>
              <w:rPr>
                <w:sz w:val="19"/>
              </w:rPr>
            </w:pPr>
            <w:r>
              <w:rPr>
                <w:w w:val="95"/>
                <w:sz w:val="19"/>
              </w:rPr>
              <w:t>9,186</w:t>
            </w:r>
          </w:p>
        </w:tc>
        <w:tc>
          <w:tcPr>
            <w:tcW w:w="1548" w:type="dxa"/>
            <w:shd w:val="clear" w:color="auto" w:fill="E1E4BB"/>
          </w:tcPr>
          <w:p>
            <w:pPr>
              <w:pStyle w:val="TableParagraph"/>
              <w:spacing w:before="57"/>
              <w:ind w:right="111"/>
              <w:jc w:val="right"/>
              <w:rPr>
                <w:sz w:val="19"/>
              </w:rPr>
            </w:pPr>
            <w:r>
              <w:rPr>
                <w:w w:val="95"/>
                <w:sz w:val="19"/>
              </w:rPr>
              <w:t>8,615</w:t>
            </w:r>
          </w:p>
        </w:tc>
        <w:tc>
          <w:tcPr>
            <w:tcW w:w="1548" w:type="dxa"/>
            <w:shd w:val="clear" w:color="auto" w:fill="FFFFFF"/>
          </w:tcPr>
          <w:p>
            <w:pPr>
              <w:pStyle w:val="TableParagraph"/>
              <w:spacing w:before="57"/>
              <w:ind w:right="112"/>
              <w:jc w:val="right"/>
              <w:rPr>
                <w:sz w:val="19"/>
              </w:rPr>
            </w:pPr>
            <w:r>
              <w:rPr>
                <w:w w:val="95"/>
                <w:sz w:val="19"/>
              </w:rPr>
              <w:t>9,003</w:t>
            </w:r>
          </w:p>
        </w:tc>
        <w:tc>
          <w:tcPr>
            <w:tcW w:w="1548" w:type="dxa"/>
            <w:shd w:val="clear" w:color="auto" w:fill="FFFFFF"/>
          </w:tcPr>
          <w:p>
            <w:pPr>
              <w:pStyle w:val="TableParagraph"/>
              <w:spacing w:before="57"/>
              <w:ind w:right="112"/>
              <w:jc w:val="right"/>
              <w:rPr>
                <w:sz w:val="19"/>
              </w:rPr>
            </w:pPr>
            <w:r>
              <w:rPr>
                <w:w w:val="90"/>
                <w:sz w:val="19"/>
              </w:rPr>
              <w:t>(571)</w:t>
            </w:r>
          </w:p>
        </w:tc>
        <w:tc>
          <w:tcPr>
            <w:tcW w:w="1661" w:type="dxa"/>
            <w:shd w:val="clear" w:color="auto" w:fill="FFFFFF"/>
          </w:tcPr>
          <w:p>
            <w:pPr>
              <w:pStyle w:val="TableParagraph"/>
              <w:spacing w:before="57"/>
              <w:ind w:right="112"/>
              <w:jc w:val="right"/>
              <w:rPr>
                <w:sz w:val="19"/>
              </w:rPr>
            </w:pPr>
            <w:r>
              <w:rPr>
                <w:w w:val="90"/>
                <w:sz w:val="19"/>
              </w:rPr>
              <w:t>(388)</w:t>
            </w:r>
          </w:p>
        </w:tc>
      </w:tr>
      <w:tr>
        <w:trPr>
          <w:trHeight w:val="312" w:hRule="atLeast"/>
        </w:trPr>
        <w:tc>
          <w:tcPr>
            <w:tcW w:w="5896" w:type="dxa"/>
            <w:shd w:val="clear" w:color="auto" w:fill="FFFFFF"/>
          </w:tcPr>
          <w:p>
            <w:pPr>
              <w:pStyle w:val="TableParagraph"/>
              <w:spacing w:before="42"/>
              <w:ind w:left="113"/>
              <w:rPr>
                <w:sz w:val="19"/>
              </w:rPr>
            </w:pPr>
            <w:r>
              <w:rPr>
                <w:sz w:val="19"/>
              </w:rPr>
              <w:t>Accommodation expenses</w:t>
            </w:r>
          </w:p>
        </w:tc>
        <w:tc>
          <w:tcPr>
            <w:tcW w:w="1548" w:type="dxa"/>
            <w:vMerge w:val="restart"/>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42"/>
              <w:ind w:right="111"/>
              <w:jc w:val="right"/>
              <w:rPr>
                <w:sz w:val="19"/>
              </w:rPr>
            </w:pPr>
            <w:r>
              <w:rPr>
                <w:w w:val="95"/>
                <w:sz w:val="19"/>
              </w:rPr>
              <w:t>26,110</w:t>
            </w:r>
          </w:p>
        </w:tc>
        <w:tc>
          <w:tcPr>
            <w:tcW w:w="1548" w:type="dxa"/>
            <w:shd w:val="clear" w:color="auto" w:fill="E1E4BB"/>
          </w:tcPr>
          <w:p>
            <w:pPr>
              <w:pStyle w:val="TableParagraph"/>
              <w:spacing w:before="42"/>
              <w:ind w:right="111"/>
              <w:jc w:val="right"/>
              <w:rPr>
                <w:sz w:val="19"/>
              </w:rPr>
            </w:pPr>
            <w:r>
              <w:rPr>
                <w:w w:val="95"/>
                <w:sz w:val="19"/>
              </w:rPr>
              <w:t>42,236</w:t>
            </w:r>
          </w:p>
        </w:tc>
        <w:tc>
          <w:tcPr>
            <w:tcW w:w="1548" w:type="dxa"/>
            <w:shd w:val="clear" w:color="auto" w:fill="FFFFFF"/>
          </w:tcPr>
          <w:p>
            <w:pPr>
              <w:pStyle w:val="TableParagraph"/>
              <w:spacing w:before="42"/>
              <w:ind w:right="111"/>
              <w:jc w:val="right"/>
              <w:rPr>
                <w:sz w:val="19"/>
              </w:rPr>
            </w:pPr>
            <w:r>
              <w:rPr>
                <w:w w:val="95"/>
                <w:sz w:val="19"/>
              </w:rPr>
              <w:t>38,894</w:t>
            </w:r>
          </w:p>
        </w:tc>
        <w:tc>
          <w:tcPr>
            <w:tcW w:w="1548" w:type="dxa"/>
            <w:shd w:val="clear" w:color="auto" w:fill="FFFFFF"/>
          </w:tcPr>
          <w:p>
            <w:pPr>
              <w:pStyle w:val="TableParagraph"/>
              <w:spacing w:before="42"/>
              <w:ind w:right="112"/>
              <w:jc w:val="right"/>
              <w:rPr>
                <w:sz w:val="19"/>
              </w:rPr>
            </w:pPr>
            <w:r>
              <w:rPr>
                <w:w w:val="95"/>
                <w:sz w:val="19"/>
              </w:rPr>
              <w:t>16,126</w:t>
            </w:r>
          </w:p>
        </w:tc>
        <w:tc>
          <w:tcPr>
            <w:tcW w:w="1661" w:type="dxa"/>
            <w:shd w:val="clear" w:color="auto" w:fill="FFFFFF"/>
          </w:tcPr>
          <w:p>
            <w:pPr>
              <w:pStyle w:val="TableParagraph"/>
              <w:spacing w:before="42"/>
              <w:ind w:right="111"/>
              <w:jc w:val="right"/>
              <w:rPr>
                <w:sz w:val="19"/>
              </w:rPr>
            </w:pPr>
            <w:r>
              <w:rPr>
                <w:w w:val="95"/>
                <w:sz w:val="19"/>
              </w:rPr>
              <w:t>3,342</w:t>
            </w:r>
          </w:p>
        </w:tc>
      </w:tr>
      <w:tr>
        <w:trPr>
          <w:trHeight w:val="341" w:hRule="atLeast"/>
        </w:trPr>
        <w:tc>
          <w:tcPr>
            <w:tcW w:w="5896" w:type="dxa"/>
            <w:shd w:val="clear" w:color="auto" w:fill="FFFFFF"/>
          </w:tcPr>
          <w:p>
            <w:pPr>
              <w:pStyle w:val="TableParagraph"/>
              <w:spacing w:before="57"/>
              <w:ind w:left="114"/>
              <w:rPr>
                <w:sz w:val="19"/>
              </w:rPr>
            </w:pPr>
            <w:r>
              <w:rPr>
                <w:sz w:val="19"/>
              </w:rPr>
              <w:t>Grants and subsidies</w:t>
            </w:r>
          </w:p>
        </w:tc>
        <w:tc>
          <w:tcPr>
            <w:tcW w:w="1548" w:type="dxa"/>
            <w:vMerge/>
            <w:tcBorders>
              <w:top w:val="nil"/>
            </w:tcBorders>
            <w:shd w:val="clear" w:color="auto" w:fill="FFFFFF"/>
          </w:tcPr>
          <w:p>
            <w:pPr>
              <w:rPr>
                <w:sz w:val="2"/>
                <w:szCs w:val="2"/>
              </w:rPr>
            </w:pPr>
          </w:p>
        </w:tc>
        <w:tc>
          <w:tcPr>
            <w:tcW w:w="1548" w:type="dxa"/>
            <w:shd w:val="clear" w:color="auto" w:fill="FFFFFF"/>
          </w:tcPr>
          <w:p>
            <w:pPr>
              <w:pStyle w:val="TableParagraph"/>
              <w:spacing w:before="57"/>
              <w:ind w:right="111"/>
              <w:jc w:val="right"/>
              <w:rPr>
                <w:sz w:val="19"/>
              </w:rPr>
            </w:pPr>
            <w:r>
              <w:rPr>
                <w:w w:val="95"/>
                <w:sz w:val="19"/>
              </w:rPr>
              <w:t>6,308</w:t>
            </w:r>
          </w:p>
        </w:tc>
        <w:tc>
          <w:tcPr>
            <w:tcW w:w="1548" w:type="dxa"/>
            <w:shd w:val="clear" w:color="auto" w:fill="E1E4BB"/>
          </w:tcPr>
          <w:p>
            <w:pPr>
              <w:pStyle w:val="TableParagraph"/>
              <w:spacing w:before="57"/>
              <w:ind w:right="111"/>
              <w:jc w:val="right"/>
              <w:rPr>
                <w:sz w:val="19"/>
              </w:rPr>
            </w:pPr>
            <w:r>
              <w:rPr>
                <w:w w:val="95"/>
                <w:sz w:val="19"/>
              </w:rPr>
              <w:t>754</w:t>
            </w:r>
          </w:p>
        </w:tc>
        <w:tc>
          <w:tcPr>
            <w:tcW w:w="1548" w:type="dxa"/>
            <w:shd w:val="clear" w:color="auto" w:fill="FFFFFF"/>
          </w:tcPr>
          <w:p>
            <w:pPr>
              <w:pStyle w:val="TableParagraph"/>
              <w:spacing w:before="57"/>
              <w:ind w:right="111"/>
              <w:jc w:val="right"/>
              <w:rPr>
                <w:sz w:val="19"/>
              </w:rPr>
            </w:pPr>
            <w:r>
              <w:rPr>
                <w:w w:val="95"/>
                <w:sz w:val="19"/>
              </w:rPr>
              <w:t>3,761</w:t>
            </w:r>
          </w:p>
        </w:tc>
        <w:tc>
          <w:tcPr>
            <w:tcW w:w="1548" w:type="dxa"/>
            <w:shd w:val="clear" w:color="auto" w:fill="FFFFFF"/>
          </w:tcPr>
          <w:p>
            <w:pPr>
              <w:pStyle w:val="TableParagraph"/>
              <w:spacing w:before="57"/>
              <w:ind w:right="111"/>
              <w:jc w:val="right"/>
              <w:rPr>
                <w:sz w:val="19"/>
              </w:rPr>
            </w:pPr>
            <w:r>
              <w:rPr>
                <w:w w:val="90"/>
                <w:sz w:val="19"/>
              </w:rPr>
              <w:t>(5,554)</w:t>
            </w:r>
          </w:p>
        </w:tc>
        <w:tc>
          <w:tcPr>
            <w:tcW w:w="1661" w:type="dxa"/>
            <w:shd w:val="clear" w:color="auto" w:fill="FFFFFF"/>
          </w:tcPr>
          <w:p>
            <w:pPr>
              <w:pStyle w:val="TableParagraph"/>
              <w:spacing w:before="57"/>
              <w:ind w:right="111"/>
              <w:jc w:val="right"/>
              <w:rPr>
                <w:sz w:val="19"/>
              </w:rPr>
            </w:pPr>
            <w:r>
              <w:rPr>
                <w:w w:val="90"/>
                <w:sz w:val="19"/>
              </w:rPr>
              <w:t>(3,007)</w:t>
            </w:r>
          </w:p>
        </w:tc>
      </w:tr>
      <w:tr>
        <w:trPr>
          <w:trHeight w:val="312" w:hRule="atLeast"/>
        </w:trPr>
        <w:tc>
          <w:tcPr>
            <w:tcW w:w="5896" w:type="dxa"/>
            <w:shd w:val="clear" w:color="auto" w:fill="FFFFFF"/>
          </w:tcPr>
          <w:p>
            <w:pPr>
              <w:pStyle w:val="TableParagraph"/>
              <w:spacing w:before="42"/>
              <w:ind w:left="114"/>
              <w:rPr>
                <w:sz w:val="19"/>
              </w:rPr>
            </w:pPr>
            <w:r>
              <w:rPr>
                <w:sz w:val="19"/>
              </w:rPr>
              <w:t>Loss on disposal of non-current assets</w:t>
            </w: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42"/>
              <w:ind w:right="110"/>
              <w:jc w:val="right"/>
              <w:rPr>
                <w:sz w:val="19"/>
              </w:rPr>
            </w:pPr>
            <w:r>
              <w:rPr>
                <w:w w:val="111"/>
                <w:sz w:val="19"/>
              </w:rPr>
              <w:t>-</w:t>
            </w:r>
          </w:p>
        </w:tc>
        <w:tc>
          <w:tcPr>
            <w:tcW w:w="1548" w:type="dxa"/>
            <w:shd w:val="clear" w:color="auto" w:fill="E1E4BB"/>
          </w:tcPr>
          <w:p>
            <w:pPr>
              <w:pStyle w:val="TableParagraph"/>
              <w:spacing w:before="42"/>
              <w:ind w:right="111"/>
              <w:jc w:val="right"/>
              <w:rPr>
                <w:sz w:val="19"/>
              </w:rPr>
            </w:pPr>
            <w:r>
              <w:rPr>
                <w:w w:val="95"/>
                <w:sz w:val="19"/>
              </w:rPr>
              <w:t>10</w:t>
            </w:r>
          </w:p>
        </w:tc>
        <w:tc>
          <w:tcPr>
            <w:tcW w:w="1548" w:type="dxa"/>
            <w:shd w:val="clear" w:color="auto" w:fill="FFFFFF"/>
          </w:tcPr>
          <w:p>
            <w:pPr>
              <w:pStyle w:val="TableParagraph"/>
              <w:spacing w:before="42"/>
              <w:ind w:right="111"/>
              <w:jc w:val="right"/>
              <w:rPr>
                <w:sz w:val="19"/>
              </w:rPr>
            </w:pPr>
            <w:r>
              <w:rPr>
                <w:w w:val="99"/>
                <w:sz w:val="19"/>
              </w:rPr>
              <w:t>1</w:t>
            </w:r>
          </w:p>
        </w:tc>
        <w:tc>
          <w:tcPr>
            <w:tcW w:w="1548" w:type="dxa"/>
            <w:shd w:val="clear" w:color="auto" w:fill="FFFFFF"/>
          </w:tcPr>
          <w:p>
            <w:pPr>
              <w:pStyle w:val="TableParagraph"/>
              <w:spacing w:before="42"/>
              <w:ind w:right="111"/>
              <w:jc w:val="right"/>
              <w:rPr>
                <w:sz w:val="19"/>
              </w:rPr>
            </w:pPr>
            <w:r>
              <w:rPr>
                <w:w w:val="95"/>
                <w:sz w:val="19"/>
              </w:rPr>
              <w:t>10</w:t>
            </w:r>
          </w:p>
        </w:tc>
        <w:tc>
          <w:tcPr>
            <w:tcW w:w="1661" w:type="dxa"/>
            <w:shd w:val="clear" w:color="auto" w:fill="FFFFFF"/>
          </w:tcPr>
          <w:p>
            <w:pPr>
              <w:pStyle w:val="TableParagraph"/>
              <w:spacing w:before="42"/>
              <w:ind w:right="111"/>
              <w:jc w:val="right"/>
              <w:rPr>
                <w:sz w:val="19"/>
              </w:rPr>
            </w:pPr>
            <w:r>
              <w:rPr>
                <w:w w:val="99"/>
                <w:sz w:val="19"/>
              </w:rPr>
              <w:t>9</w:t>
            </w:r>
          </w:p>
        </w:tc>
      </w:tr>
      <w:tr>
        <w:trPr>
          <w:trHeight w:val="331" w:hRule="atLeast"/>
        </w:trPr>
        <w:tc>
          <w:tcPr>
            <w:tcW w:w="5896" w:type="dxa"/>
            <w:shd w:val="clear" w:color="auto" w:fill="FFFFFF"/>
          </w:tcPr>
          <w:p>
            <w:pPr>
              <w:pStyle w:val="TableParagraph"/>
              <w:spacing w:before="57"/>
              <w:ind w:left="114"/>
              <w:rPr>
                <w:sz w:val="19"/>
              </w:rPr>
            </w:pPr>
            <w:r>
              <w:rPr>
                <w:sz w:val="19"/>
              </w:rPr>
              <w:t>Other expenses</w:t>
            </w:r>
          </w:p>
        </w:tc>
        <w:tc>
          <w:tcPr>
            <w:tcW w:w="1548" w:type="dxa"/>
            <w:shd w:val="clear" w:color="auto" w:fill="FFFFFF"/>
          </w:tcPr>
          <w:p>
            <w:pPr>
              <w:pStyle w:val="TableParagraph"/>
              <w:spacing w:before="57"/>
              <w:jc w:val="center"/>
              <w:rPr>
                <w:sz w:val="19"/>
              </w:rPr>
            </w:pPr>
            <w:hyperlink w:history="true" w:anchor="_bookmark54">
              <w:r>
                <w:rPr>
                  <w:color w:val="A7BE39"/>
                  <w:w w:val="99"/>
                  <w:sz w:val="19"/>
                  <w:u w:val="single" w:color="A7BE39"/>
                </w:rPr>
                <w:t>3</w:t>
              </w:r>
            </w:hyperlink>
          </w:p>
        </w:tc>
        <w:tc>
          <w:tcPr>
            <w:tcW w:w="1548" w:type="dxa"/>
            <w:tcBorders>
              <w:bottom w:val="single" w:sz="4" w:space="0" w:color="58595B"/>
            </w:tcBorders>
            <w:shd w:val="clear" w:color="auto" w:fill="FFFFFF"/>
          </w:tcPr>
          <w:p>
            <w:pPr>
              <w:pStyle w:val="TableParagraph"/>
              <w:spacing w:before="57"/>
              <w:ind w:right="111"/>
              <w:jc w:val="right"/>
              <w:rPr>
                <w:sz w:val="19"/>
              </w:rPr>
            </w:pPr>
            <w:r>
              <w:rPr>
                <w:w w:val="95"/>
                <w:sz w:val="19"/>
              </w:rPr>
              <w:t>1,012</w:t>
            </w:r>
          </w:p>
        </w:tc>
        <w:tc>
          <w:tcPr>
            <w:tcW w:w="1548" w:type="dxa"/>
            <w:tcBorders>
              <w:bottom w:val="single" w:sz="4" w:space="0" w:color="58595B"/>
            </w:tcBorders>
            <w:shd w:val="clear" w:color="auto" w:fill="E1E4BB"/>
          </w:tcPr>
          <w:p>
            <w:pPr>
              <w:pStyle w:val="TableParagraph"/>
              <w:spacing w:before="57"/>
              <w:ind w:right="112"/>
              <w:jc w:val="right"/>
              <w:rPr>
                <w:sz w:val="19"/>
              </w:rPr>
            </w:pPr>
            <w:r>
              <w:rPr>
                <w:w w:val="95"/>
                <w:sz w:val="19"/>
              </w:rPr>
              <w:t>34,021</w:t>
            </w:r>
          </w:p>
        </w:tc>
        <w:tc>
          <w:tcPr>
            <w:tcW w:w="1548" w:type="dxa"/>
            <w:tcBorders>
              <w:bottom w:val="single" w:sz="4" w:space="0" w:color="58595B"/>
            </w:tcBorders>
            <w:shd w:val="clear" w:color="auto" w:fill="FFFFFF"/>
          </w:tcPr>
          <w:p>
            <w:pPr>
              <w:pStyle w:val="TableParagraph"/>
              <w:spacing w:before="57"/>
              <w:ind w:right="112"/>
              <w:jc w:val="right"/>
              <w:rPr>
                <w:sz w:val="19"/>
              </w:rPr>
            </w:pPr>
            <w:r>
              <w:rPr>
                <w:w w:val="95"/>
                <w:sz w:val="19"/>
              </w:rPr>
              <w:t>51,783</w:t>
            </w:r>
          </w:p>
        </w:tc>
        <w:tc>
          <w:tcPr>
            <w:tcW w:w="1548" w:type="dxa"/>
            <w:tcBorders>
              <w:bottom w:val="single" w:sz="4" w:space="0" w:color="58595B"/>
            </w:tcBorders>
            <w:shd w:val="clear" w:color="auto" w:fill="FFFFFF"/>
          </w:tcPr>
          <w:p>
            <w:pPr>
              <w:pStyle w:val="TableParagraph"/>
              <w:spacing w:before="57"/>
              <w:ind w:right="112"/>
              <w:jc w:val="right"/>
              <w:rPr>
                <w:sz w:val="19"/>
              </w:rPr>
            </w:pPr>
            <w:r>
              <w:rPr>
                <w:w w:val="95"/>
                <w:sz w:val="19"/>
              </w:rPr>
              <w:t>33,009</w:t>
            </w:r>
          </w:p>
        </w:tc>
        <w:tc>
          <w:tcPr>
            <w:tcW w:w="1661" w:type="dxa"/>
            <w:tcBorders>
              <w:bottom w:val="single" w:sz="4" w:space="0" w:color="58595B"/>
            </w:tcBorders>
            <w:shd w:val="clear" w:color="auto" w:fill="FFFFFF"/>
          </w:tcPr>
          <w:p>
            <w:pPr>
              <w:pStyle w:val="TableParagraph"/>
              <w:spacing w:before="57"/>
              <w:ind w:right="112"/>
              <w:jc w:val="right"/>
              <w:rPr>
                <w:sz w:val="19"/>
              </w:rPr>
            </w:pPr>
            <w:r>
              <w:rPr>
                <w:w w:val="95"/>
                <w:sz w:val="19"/>
              </w:rPr>
              <w:t>(17,762)</w:t>
            </w:r>
          </w:p>
        </w:tc>
      </w:tr>
      <w:tr>
        <w:trPr>
          <w:trHeight w:val="307" w:hRule="atLeast"/>
        </w:trPr>
        <w:tc>
          <w:tcPr>
            <w:tcW w:w="5896" w:type="dxa"/>
            <w:tcBorders>
              <w:top w:val="single" w:sz="8" w:space="0" w:color="FFFFFF"/>
              <w:bottom w:val="single" w:sz="8" w:space="0" w:color="FFFFFF"/>
              <w:right w:val="single" w:sz="8" w:space="0" w:color="FFFFFF"/>
            </w:tcBorders>
            <w:shd w:val="clear" w:color="auto" w:fill="F4F4F4"/>
          </w:tcPr>
          <w:p>
            <w:pPr>
              <w:pStyle w:val="TableParagraph"/>
              <w:ind w:left="113"/>
              <w:rPr>
                <w:b/>
                <w:sz w:val="19"/>
              </w:rPr>
            </w:pPr>
            <w:r>
              <w:rPr>
                <w:b/>
                <w:sz w:val="19"/>
              </w:rPr>
              <w:t>Total cost of services</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4" w:space="0" w:color="58595B"/>
              <w:left w:val="single" w:sz="8" w:space="0" w:color="FFFFFF"/>
              <w:bottom w:val="single" w:sz="4" w:space="0" w:color="000000"/>
            </w:tcBorders>
            <w:shd w:val="clear" w:color="auto" w:fill="F4F4F4"/>
          </w:tcPr>
          <w:p>
            <w:pPr>
              <w:pStyle w:val="TableParagraph"/>
              <w:ind w:right="111"/>
              <w:jc w:val="right"/>
              <w:rPr>
                <w:b/>
                <w:sz w:val="19"/>
              </w:rPr>
            </w:pPr>
            <w:r>
              <w:rPr>
                <w:b/>
                <w:w w:val="95"/>
                <w:sz w:val="19"/>
              </w:rPr>
              <w:t>1,359,762</w:t>
            </w:r>
          </w:p>
        </w:tc>
        <w:tc>
          <w:tcPr>
            <w:tcW w:w="1548" w:type="dxa"/>
            <w:tcBorders>
              <w:top w:val="single" w:sz="4" w:space="0" w:color="58595B"/>
              <w:bottom w:val="single" w:sz="4" w:space="0" w:color="000000"/>
            </w:tcBorders>
            <w:shd w:val="clear" w:color="auto" w:fill="DFE1B8"/>
          </w:tcPr>
          <w:p>
            <w:pPr>
              <w:pStyle w:val="TableParagraph"/>
              <w:ind w:right="111"/>
              <w:jc w:val="right"/>
              <w:rPr>
                <w:b/>
                <w:sz w:val="19"/>
              </w:rPr>
            </w:pPr>
            <w:r>
              <w:rPr>
                <w:b/>
                <w:w w:val="95"/>
                <w:sz w:val="19"/>
              </w:rPr>
              <w:t>1,242,978</w:t>
            </w:r>
          </w:p>
        </w:tc>
        <w:tc>
          <w:tcPr>
            <w:tcW w:w="1548" w:type="dxa"/>
            <w:tcBorders>
              <w:top w:val="single" w:sz="4" w:space="0" w:color="58595B"/>
              <w:bottom w:val="single" w:sz="4" w:space="0" w:color="000000"/>
              <w:right w:val="single" w:sz="8" w:space="0" w:color="FFFFFF"/>
            </w:tcBorders>
            <w:shd w:val="clear" w:color="auto" w:fill="F4F4F4"/>
          </w:tcPr>
          <w:p>
            <w:pPr>
              <w:pStyle w:val="TableParagraph"/>
              <w:ind w:right="102"/>
              <w:jc w:val="right"/>
              <w:rPr>
                <w:b/>
                <w:sz w:val="19"/>
              </w:rPr>
            </w:pPr>
            <w:r>
              <w:rPr>
                <w:b/>
                <w:w w:val="95"/>
                <w:sz w:val="19"/>
              </w:rPr>
              <w:t>1,182,413</w:t>
            </w:r>
          </w:p>
        </w:tc>
        <w:tc>
          <w:tcPr>
            <w:tcW w:w="1548" w:type="dxa"/>
            <w:tcBorders>
              <w:top w:val="single" w:sz="4" w:space="0" w:color="58595B"/>
              <w:left w:val="single" w:sz="8" w:space="0" w:color="FFFFFF"/>
              <w:bottom w:val="single" w:sz="4" w:space="0" w:color="000000"/>
              <w:right w:val="single" w:sz="8" w:space="0" w:color="FFFFFF"/>
            </w:tcBorders>
            <w:shd w:val="clear" w:color="auto" w:fill="F4F4F4"/>
          </w:tcPr>
          <w:p>
            <w:pPr>
              <w:pStyle w:val="TableParagraph"/>
              <w:ind w:right="102"/>
              <w:jc w:val="right"/>
              <w:rPr>
                <w:b/>
                <w:sz w:val="19"/>
              </w:rPr>
            </w:pPr>
            <w:r>
              <w:rPr>
                <w:b/>
                <w:w w:val="95"/>
                <w:sz w:val="19"/>
              </w:rPr>
              <w:t>(116,784)</w:t>
            </w:r>
          </w:p>
        </w:tc>
        <w:tc>
          <w:tcPr>
            <w:tcW w:w="1661" w:type="dxa"/>
            <w:tcBorders>
              <w:top w:val="single" w:sz="4" w:space="0" w:color="58595B"/>
              <w:left w:val="single" w:sz="8" w:space="0" w:color="FFFFFF"/>
              <w:bottom w:val="single" w:sz="4" w:space="0" w:color="000000"/>
            </w:tcBorders>
            <w:shd w:val="clear" w:color="auto" w:fill="F4F4F4"/>
          </w:tcPr>
          <w:p>
            <w:pPr>
              <w:pStyle w:val="TableParagraph"/>
              <w:ind w:right="112"/>
              <w:jc w:val="right"/>
              <w:rPr>
                <w:b/>
                <w:sz w:val="19"/>
              </w:rPr>
            </w:pPr>
            <w:r>
              <w:rPr>
                <w:b/>
                <w:w w:val="95"/>
                <w:sz w:val="19"/>
              </w:rPr>
              <w:t>60,565</w:t>
            </w:r>
          </w:p>
        </w:tc>
      </w:tr>
    </w:tbl>
    <w:p>
      <w:pPr>
        <w:spacing w:after="0"/>
        <w:jc w:val="right"/>
        <w:rPr>
          <w:sz w:val="19"/>
        </w:rPr>
        <w:sectPr>
          <w:footerReference w:type="default" r:id="rId229"/>
          <w:pgSz w:w="16840" w:h="11910" w:orient="landscape"/>
          <w:pgMar w:footer="448" w:header="0" w:top="0" w:bottom="64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b/>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5"/>
        <w:rPr>
          <w:b/>
          <w:sz w:val="21"/>
        </w:rPr>
      </w:pPr>
    </w:p>
    <w:p>
      <w:pPr>
        <w:pStyle w:val="Heading1"/>
      </w:pPr>
      <w:r>
        <w:rPr/>
        <w:pict>
          <v:group style="position:absolute;margin-left:763.172119pt;margin-top:-3.594212pt;width:61.1pt;height:45.2pt;mso-position-horizontal-relative:page;mso-position-vertical-relative:paragraph;z-index:23800"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120.3pt;height:42.55pt;mso-position-horizontal-relative:page;mso-position-vertical-relative:paragraph;z-index:23848" coordorigin="0,-1147" coordsize="2406,851">
            <v:rect style="position:absolute;left:0;top:-1148;width:2406;height:851" filled="true" fillcolor="#aebd37" stroked="false">
              <v:fill type="solid"/>
            </v:rect>
            <v:shape style="position:absolute;left:0;top:-1148;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7421pt;width:360.85pt;height:42.55pt;mso-position-horizontal-relative:page;mso-position-vertical-relative:paragraph;z-index:23944" coordorigin="9622,-1147" coordsize="7217,851">
            <v:rect style="position:absolute;left:14432;top:-1148;width:2406;height:851" filled="true" fillcolor="#aebd37"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8;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8;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6" w:after="1"/>
        <w:rPr>
          <w:sz w:val="28"/>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6"/>
        <w:gridCol w:w="1548"/>
        <w:gridCol w:w="1548"/>
        <w:gridCol w:w="1558"/>
        <w:gridCol w:w="1538"/>
        <w:gridCol w:w="1548"/>
        <w:gridCol w:w="1661"/>
      </w:tblGrid>
      <w:tr>
        <w:trPr>
          <w:trHeight w:val="1227" w:hRule="atLeast"/>
        </w:trPr>
        <w:tc>
          <w:tcPr>
            <w:tcW w:w="7444" w:type="dxa"/>
            <w:gridSpan w:val="2"/>
            <w:shd w:val="clear" w:color="auto" w:fill="783A79"/>
          </w:tcPr>
          <w:p>
            <w:pPr>
              <w:pStyle w:val="TableParagraph"/>
              <w:spacing w:before="52"/>
              <w:ind w:right="138"/>
              <w:jc w:val="right"/>
              <w:rPr>
                <w:b/>
                <w:sz w:val="19"/>
              </w:rPr>
            </w:pPr>
            <w:r>
              <w:rPr>
                <w:b/>
                <w:color w:val="FFFFFF"/>
                <w:sz w:val="19"/>
              </w:rPr>
              <w:t>Variance Note</w:t>
            </w:r>
          </w:p>
        </w:tc>
        <w:tc>
          <w:tcPr>
            <w:tcW w:w="1548" w:type="dxa"/>
            <w:shd w:val="clear" w:color="auto" w:fill="783A79"/>
          </w:tcPr>
          <w:p>
            <w:pPr>
              <w:pStyle w:val="TableParagraph"/>
              <w:spacing w:before="52"/>
              <w:ind w:left="160"/>
              <w:rPr>
                <w:b/>
                <w:sz w:val="19"/>
              </w:rPr>
            </w:pPr>
            <w:r>
              <w:rPr>
                <w:b/>
                <w:color w:val="FFFFFF"/>
                <w:sz w:val="19"/>
              </w:rPr>
              <w:t>Estimate</w:t>
            </w:r>
            <w:r>
              <w:rPr>
                <w:b/>
                <w:color w:val="FFFFFF"/>
                <w:spacing w:val="6"/>
                <w:sz w:val="19"/>
              </w:rPr>
              <w:t> </w:t>
            </w:r>
            <w:r>
              <w:rPr>
                <w:b/>
                <w:color w:val="FFFFFF"/>
                <w:sz w:val="19"/>
              </w:rPr>
              <w:t>2017</w:t>
            </w:r>
          </w:p>
          <w:p>
            <w:pPr>
              <w:pStyle w:val="TableParagraph"/>
              <w:spacing w:before="0"/>
              <w:rPr>
                <w:sz w:val="22"/>
              </w:rPr>
            </w:pPr>
          </w:p>
          <w:p>
            <w:pPr>
              <w:pStyle w:val="TableParagraph"/>
              <w:spacing w:before="0"/>
              <w:rPr>
                <w:sz w:val="22"/>
              </w:rPr>
            </w:pPr>
          </w:p>
          <w:p>
            <w:pPr>
              <w:pStyle w:val="TableParagraph"/>
              <w:spacing w:before="188"/>
              <w:ind w:left="1011"/>
              <w:rPr>
                <w:b/>
                <w:sz w:val="19"/>
              </w:rPr>
            </w:pPr>
            <w:r>
              <w:rPr>
                <w:b/>
                <w:color w:val="FFFFFF"/>
                <w:sz w:val="19"/>
              </w:rPr>
              <w:t>$000</w:t>
            </w:r>
          </w:p>
        </w:tc>
        <w:tc>
          <w:tcPr>
            <w:tcW w:w="1558" w:type="dxa"/>
            <w:shd w:val="clear" w:color="auto" w:fill="783A79"/>
          </w:tcPr>
          <w:p>
            <w:pPr>
              <w:pStyle w:val="TableParagraph"/>
              <w:spacing w:before="52"/>
              <w:ind w:left="381"/>
              <w:rPr>
                <w:b/>
                <w:sz w:val="19"/>
              </w:rPr>
            </w:pPr>
            <w:r>
              <w:rPr>
                <w:b/>
                <w:color w:val="FFFFFF"/>
                <w:sz w:val="19"/>
              </w:rPr>
              <w:t>Actual</w:t>
            </w:r>
            <w:r>
              <w:rPr>
                <w:b/>
                <w:color w:val="FFFFFF"/>
                <w:spacing w:val="-4"/>
                <w:sz w:val="19"/>
              </w:rPr>
              <w:t> </w:t>
            </w:r>
            <w:r>
              <w:rPr>
                <w:b/>
                <w:color w:val="FFFFFF"/>
                <w:sz w:val="19"/>
              </w:rPr>
              <w:t>2017</w:t>
            </w:r>
          </w:p>
          <w:p>
            <w:pPr>
              <w:pStyle w:val="TableParagraph"/>
              <w:spacing w:before="0"/>
              <w:rPr>
                <w:sz w:val="22"/>
              </w:rPr>
            </w:pPr>
          </w:p>
          <w:p>
            <w:pPr>
              <w:pStyle w:val="TableParagraph"/>
              <w:spacing w:before="0"/>
              <w:rPr>
                <w:sz w:val="22"/>
              </w:rPr>
            </w:pPr>
          </w:p>
          <w:p>
            <w:pPr>
              <w:pStyle w:val="TableParagraph"/>
              <w:spacing w:before="188"/>
              <w:ind w:left="1011"/>
              <w:rPr>
                <w:b/>
                <w:sz w:val="19"/>
              </w:rPr>
            </w:pPr>
            <w:r>
              <w:rPr>
                <w:b/>
                <w:color w:val="FFFFFF"/>
                <w:sz w:val="19"/>
              </w:rPr>
              <w:t>$000</w:t>
            </w:r>
          </w:p>
        </w:tc>
        <w:tc>
          <w:tcPr>
            <w:tcW w:w="1538" w:type="dxa"/>
            <w:shd w:val="clear" w:color="auto" w:fill="783A79"/>
          </w:tcPr>
          <w:p>
            <w:pPr>
              <w:pStyle w:val="TableParagraph"/>
              <w:spacing w:before="52"/>
              <w:ind w:left="371"/>
              <w:rPr>
                <w:b/>
                <w:sz w:val="19"/>
              </w:rPr>
            </w:pPr>
            <w:r>
              <w:rPr>
                <w:b/>
                <w:color w:val="FFFFFF"/>
                <w:sz w:val="19"/>
              </w:rPr>
              <w:t>Actual</w:t>
            </w:r>
            <w:r>
              <w:rPr>
                <w:b/>
                <w:color w:val="FFFFFF"/>
                <w:spacing w:val="-4"/>
                <w:sz w:val="19"/>
              </w:rPr>
              <w:t> </w:t>
            </w:r>
            <w:r>
              <w:rPr>
                <w:b/>
                <w:color w:val="FFFFFF"/>
                <w:sz w:val="19"/>
              </w:rPr>
              <w:t>2016</w:t>
            </w:r>
          </w:p>
          <w:p>
            <w:pPr>
              <w:pStyle w:val="TableParagraph"/>
              <w:spacing w:before="0"/>
              <w:rPr>
                <w:sz w:val="22"/>
              </w:rPr>
            </w:pPr>
          </w:p>
          <w:p>
            <w:pPr>
              <w:pStyle w:val="TableParagraph"/>
              <w:spacing w:before="0"/>
              <w:rPr>
                <w:sz w:val="22"/>
              </w:rPr>
            </w:pPr>
          </w:p>
          <w:p>
            <w:pPr>
              <w:pStyle w:val="TableParagraph"/>
              <w:spacing w:before="188"/>
              <w:ind w:left="1001"/>
              <w:rPr>
                <w:b/>
                <w:sz w:val="19"/>
              </w:rPr>
            </w:pPr>
            <w:r>
              <w:rPr>
                <w:b/>
                <w:color w:val="FFFFFF"/>
                <w:sz w:val="19"/>
              </w:rPr>
              <w:t>$000</w:t>
            </w:r>
          </w:p>
        </w:tc>
        <w:tc>
          <w:tcPr>
            <w:tcW w:w="1548" w:type="dxa"/>
            <w:shd w:val="clear" w:color="auto" w:fill="783A79"/>
          </w:tcPr>
          <w:p>
            <w:pPr>
              <w:pStyle w:val="TableParagraph"/>
              <w:spacing w:line="249" w:lineRule="auto" w:before="52"/>
              <w:ind w:left="258" w:right="112" w:firstLine="393"/>
              <w:jc w:val="right"/>
              <w:rPr>
                <w:b/>
                <w:sz w:val="19"/>
              </w:rPr>
            </w:pPr>
            <w:r>
              <w:rPr>
                <w:b/>
                <w:color w:val="FFFFFF"/>
                <w:spacing w:val="-2"/>
                <w:sz w:val="19"/>
              </w:rPr>
              <w:t>Variance </w:t>
            </w:r>
            <w:r>
              <w:rPr>
                <w:b/>
                <w:color w:val="FFFFFF"/>
                <w:sz w:val="19"/>
              </w:rPr>
              <w:t>between estimate</w:t>
            </w:r>
            <w:r>
              <w:rPr>
                <w:b/>
                <w:color w:val="FFFFFF"/>
                <w:spacing w:val="14"/>
                <w:sz w:val="19"/>
              </w:rPr>
              <w:t> </w:t>
            </w:r>
            <w:r>
              <w:rPr>
                <w:b/>
                <w:color w:val="FFFFFF"/>
                <w:spacing w:val="-6"/>
                <w:sz w:val="19"/>
              </w:rPr>
              <w:t>and</w:t>
            </w:r>
          </w:p>
          <w:p>
            <w:pPr>
              <w:pStyle w:val="TableParagraph"/>
              <w:spacing w:before="3"/>
              <w:ind w:right="112"/>
              <w:jc w:val="right"/>
              <w:rPr>
                <w:b/>
                <w:sz w:val="19"/>
              </w:rPr>
            </w:pPr>
            <w:r>
              <w:rPr>
                <w:b/>
                <w:color w:val="FFFFFF"/>
                <w:sz w:val="19"/>
              </w:rPr>
              <w:t>actual</w:t>
            </w:r>
          </w:p>
          <w:p>
            <w:pPr>
              <w:pStyle w:val="TableParagraph"/>
              <w:spacing w:before="9"/>
              <w:ind w:right="112"/>
              <w:jc w:val="right"/>
              <w:rPr>
                <w:b/>
                <w:sz w:val="19"/>
              </w:rPr>
            </w:pPr>
            <w:r>
              <w:rPr>
                <w:b/>
                <w:color w:val="FFFFFF"/>
                <w:w w:val="95"/>
                <w:sz w:val="19"/>
              </w:rPr>
              <w:t>$000</w:t>
            </w:r>
          </w:p>
        </w:tc>
        <w:tc>
          <w:tcPr>
            <w:tcW w:w="1661" w:type="dxa"/>
            <w:shd w:val="clear" w:color="auto" w:fill="783A79"/>
          </w:tcPr>
          <w:p>
            <w:pPr>
              <w:pStyle w:val="TableParagraph"/>
              <w:spacing w:line="249" w:lineRule="auto" w:before="52"/>
              <w:ind w:left="152" w:right="112" w:firstLine="612"/>
              <w:jc w:val="both"/>
              <w:rPr>
                <w:b/>
                <w:sz w:val="19"/>
              </w:rPr>
            </w:pPr>
            <w:r>
              <w:rPr>
                <w:b/>
                <w:color w:val="FFFFFF"/>
                <w:spacing w:val="-2"/>
                <w:sz w:val="19"/>
              </w:rPr>
              <w:t>Variance </w:t>
            </w:r>
            <w:r>
              <w:rPr>
                <w:b/>
                <w:color w:val="FFFFFF"/>
                <w:sz w:val="19"/>
              </w:rPr>
              <w:t>between actual results for</w:t>
            </w:r>
            <w:r>
              <w:rPr>
                <w:b/>
                <w:color w:val="FFFFFF"/>
                <w:spacing w:val="-12"/>
                <w:sz w:val="19"/>
              </w:rPr>
              <w:t> </w:t>
            </w:r>
            <w:r>
              <w:rPr>
                <w:b/>
                <w:color w:val="FFFFFF"/>
                <w:spacing w:val="-4"/>
                <w:sz w:val="19"/>
              </w:rPr>
              <w:t>2017</w:t>
            </w:r>
          </w:p>
          <w:p>
            <w:pPr>
              <w:pStyle w:val="TableParagraph"/>
              <w:spacing w:before="3"/>
              <w:ind w:right="112"/>
              <w:jc w:val="right"/>
              <w:rPr>
                <w:b/>
                <w:sz w:val="19"/>
              </w:rPr>
            </w:pPr>
            <w:r>
              <w:rPr>
                <w:b/>
                <w:color w:val="FFFFFF"/>
                <w:sz w:val="19"/>
              </w:rPr>
              <w:t>and</w:t>
            </w:r>
            <w:r>
              <w:rPr>
                <w:b/>
                <w:color w:val="FFFFFF"/>
                <w:spacing w:val="-1"/>
                <w:sz w:val="19"/>
              </w:rPr>
              <w:t> </w:t>
            </w:r>
            <w:r>
              <w:rPr>
                <w:b/>
                <w:color w:val="FFFFFF"/>
                <w:sz w:val="19"/>
              </w:rPr>
              <w:t>2016</w:t>
            </w:r>
          </w:p>
          <w:p>
            <w:pPr>
              <w:pStyle w:val="TableParagraph"/>
              <w:spacing w:before="9"/>
              <w:ind w:right="112"/>
              <w:jc w:val="right"/>
              <w:rPr>
                <w:b/>
                <w:sz w:val="19"/>
              </w:rPr>
            </w:pPr>
            <w:r>
              <w:rPr>
                <w:b/>
                <w:color w:val="FFFFFF"/>
                <w:w w:val="95"/>
                <w:sz w:val="19"/>
              </w:rPr>
              <w:t>$000</w:t>
            </w:r>
          </w:p>
        </w:tc>
      </w:tr>
      <w:tr>
        <w:trPr>
          <w:trHeight w:val="649" w:hRule="atLeast"/>
        </w:trPr>
        <w:tc>
          <w:tcPr>
            <w:tcW w:w="5896" w:type="dxa"/>
            <w:shd w:val="clear" w:color="auto" w:fill="FFFFFF"/>
          </w:tcPr>
          <w:p>
            <w:pPr>
              <w:pStyle w:val="TableParagraph"/>
              <w:spacing w:before="42"/>
              <w:ind w:left="113"/>
              <w:rPr>
                <w:b/>
                <w:sz w:val="19"/>
              </w:rPr>
            </w:pPr>
            <w:r>
              <w:rPr>
                <w:b/>
                <w:sz w:val="19"/>
              </w:rPr>
              <w:t>Income</w:t>
            </w:r>
          </w:p>
          <w:p>
            <w:pPr>
              <w:pStyle w:val="TableParagraph"/>
              <w:spacing w:before="109"/>
              <w:ind w:left="113"/>
              <w:rPr>
                <w:i/>
                <w:sz w:val="19"/>
              </w:rPr>
            </w:pPr>
            <w:r>
              <w:rPr>
                <w:i/>
                <w:sz w:val="19"/>
              </w:rPr>
              <w:t>Revenue</w:t>
            </w: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0"/>
              <w:rPr>
                <w:rFonts w:ascii="Times New Roman"/>
                <w:sz w:val="20"/>
              </w:rPr>
            </w:pPr>
          </w:p>
        </w:tc>
        <w:tc>
          <w:tcPr>
            <w:tcW w:w="1558" w:type="dxa"/>
            <w:vMerge w:val="restart"/>
            <w:tcBorders>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191"/>
              <w:ind w:right="122"/>
              <w:jc w:val="right"/>
              <w:rPr>
                <w:sz w:val="19"/>
              </w:rPr>
            </w:pPr>
            <w:r>
              <w:rPr>
                <w:w w:val="95"/>
                <w:sz w:val="19"/>
              </w:rPr>
              <w:t>1,058,030</w:t>
            </w:r>
          </w:p>
          <w:p>
            <w:pPr>
              <w:pStyle w:val="TableParagraph"/>
              <w:spacing w:before="108"/>
              <w:ind w:right="121"/>
              <w:jc w:val="right"/>
              <w:rPr>
                <w:sz w:val="19"/>
              </w:rPr>
            </w:pPr>
            <w:r>
              <w:rPr>
                <w:w w:val="95"/>
                <w:sz w:val="19"/>
              </w:rPr>
              <w:t>3,492</w:t>
            </w:r>
          </w:p>
          <w:p>
            <w:pPr>
              <w:pStyle w:val="TableParagraph"/>
              <w:spacing w:before="109"/>
              <w:ind w:right="121"/>
              <w:jc w:val="right"/>
              <w:rPr>
                <w:sz w:val="19"/>
              </w:rPr>
            </w:pPr>
            <w:r>
              <w:rPr>
                <w:w w:val="95"/>
                <w:sz w:val="19"/>
              </w:rPr>
              <w:t>473</w:t>
            </w:r>
          </w:p>
          <w:p>
            <w:pPr>
              <w:pStyle w:val="TableParagraph"/>
              <w:spacing w:before="109"/>
              <w:ind w:right="121"/>
              <w:jc w:val="right"/>
              <w:rPr>
                <w:sz w:val="19"/>
              </w:rPr>
            </w:pPr>
            <w:r>
              <w:rPr>
                <w:spacing w:val="-1"/>
                <w:sz w:val="19"/>
              </w:rPr>
              <w:t>10,615</w:t>
            </w:r>
          </w:p>
        </w:tc>
        <w:tc>
          <w:tcPr>
            <w:tcW w:w="1538" w:type="dxa"/>
            <w:vMerge w:val="restart"/>
            <w:tcBorders>
              <w:bottom w:val="single" w:sz="4" w:space="0" w:color="000000"/>
            </w:tcBorders>
            <w:shd w:val="clear" w:color="auto" w:fill="FFFFFF"/>
          </w:tcPr>
          <w:p>
            <w:pPr>
              <w:pStyle w:val="TableParagraph"/>
              <w:spacing w:before="0"/>
              <w:rPr>
                <w:sz w:val="22"/>
              </w:rPr>
            </w:pPr>
          </w:p>
          <w:p>
            <w:pPr>
              <w:pStyle w:val="TableParagraph"/>
              <w:spacing w:before="0"/>
              <w:rPr>
                <w:sz w:val="22"/>
              </w:rPr>
            </w:pPr>
          </w:p>
          <w:p>
            <w:pPr>
              <w:pStyle w:val="TableParagraph"/>
              <w:spacing w:before="191"/>
              <w:ind w:right="112"/>
              <w:jc w:val="right"/>
              <w:rPr>
                <w:sz w:val="19"/>
              </w:rPr>
            </w:pPr>
            <w:r>
              <w:rPr>
                <w:w w:val="95"/>
                <w:sz w:val="19"/>
              </w:rPr>
              <w:t>947,333</w:t>
            </w:r>
          </w:p>
          <w:p>
            <w:pPr>
              <w:pStyle w:val="TableParagraph"/>
              <w:spacing w:before="108"/>
              <w:ind w:right="112"/>
              <w:jc w:val="right"/>
              <w:rPr>
                <w:sz w:val="19"/>
              </w:rPr>
            </w:pPr>
            <w:r>
              <w:rPr>
                <w:w w:val="95"/>
                <w:sz w:val="19"/>
              </w:rPr>
              <w:t>1,684</w:t>
            </w:r>
          </w:p>
          <w:p>
            <w:pPr>
              <w:pStyle w:val="TableParagraph"/>
              <w:spacing w:before="109"/>
              <w:ind w:right="112"/>
              <w:jc w:val="right"/>
              <w:rPr>
                <w:sz w:val="19"/>
              </w:rPr>
            </w:pPr>
            <w:r>
              <w:rPr>
                <w:w w:val="95"/>
                <w:sz w:val="19"/>
              </w:rPr>
              <w:t>219</w:t>
            </w:r>
          </w:p>
          <w:p>
            <w:pPr>
              <w:pStyle w:val="TableParagraph"/>
              <w:spacing w:before="109"/>
              <w:ind w:right="111"/>
              <w:jc w:val="right"/>
              <w:rPr>
                <w:sz w:val="19"/>
              </w:rPr>
            </w:pPr>
            <w:r>
              <w:rPr>
                <w:w w:val="95"/>
                <w:sz w:val="19"/>
              </w:rPr>
              <w:t>8,443</w:t>
            </w:r>
          </w:p>
        </w:tc>
        <w:tc>
          <w:tcPr>
            <w:tcW w:w="1548" w:type="dxa"/>
            <w:vMerge w:val="restart"/>
            <w:tcBorders>
              <w:bottom w:val="single" w:sz="4" w:space="0" w:color="000000"/>
            </w:tcBorders>
            <w:shd w:val="clear" w:color="auto" w:fill="FFFFFF"/>
          </w:tcPr>
          <w:p>
            <w:pPr>
              <w:pStyle w:val="TableParagraph"/>
              <w:spacing w:before="0"/>
              <w:rPr>
                <w:sz w:val="22"/>
              </w:rPr>
            </w:pPr>
          </w:p>
          <w:p>
            <w:pPr>
              <w:pStyle w:val="TableParagraph"/>
              <w:spacing w:before="0"/>
              <w:rPr>
                <w:sz w:val="22"/>
              </w:rPr>
            </w:pPr>
          </w:p>
          <w:p>
            <w:pPr>
              <w:pStyle w:val="TableParagraph"/>
              <w:spacing w:before="191"/>
              <w:ind w:right="112"/>
              <w:jc w:val="right"/>
              <w:rPr>
                <w:sz w:val="19"/>
              </w:rPr>
            </w:pPr>
            <w:r>
              <w:rPr>
                <w:spacing w:val="-1"/>
                <w:w w:val="95"/>
                <w:sz w:val="19"/>
              </w:rPr>
              <w:t>(102,344)</w:t>
            </w:r>
          </w:p>
          <w:p>
            <w:pPr>
              <w:pStyle w:val="TableParagraph"/>
              <w:spacing w:before="108"/>
              <w:ind w:right="112"/>
              <w:jc w:val="right"/>
              <w:rPr>
                <w:sz w:val="19"/>
              </w:rPr>
            </w:pPr>
            <w:r>
              <w:rPr>
                <w:w w:val="95"/>
                <w:sz w:val="19"/>
              </w:rPr>
              <w:t>3,492</w:t>
            </w:r>
          </w:p>
          <w:p>
            <w:pPr>
              <w:pStyle w:val="TableParagraph"/>
              <w:spacing w:before="109"/>
              <w:ind w:right="112"/>
              <w:jc w:val="right"/>
              <w:rPr>
                <w:sz w:val="19"/>
              </w:rPr>
            </w:pPr>
            <w:r>
              <w:rPr>
                <w:w w:val="95"/>
                <w:sz w:val="19"/>
              </w:rPr>
              <w:t>317</w:t>
            </w:r>
          </w:p>
          <w:p>
            <w:pPr>
              <w:pStyle w:val="TableParagraph"/>
              <w:spacing w:before="109"/>
              <w:ind w:right="112"/>
              <w:jc w:val="right"/>
              <w:rPr>
                <w:sz w:val="19"/>
              </w:rPr>
            </w:pPr>
            <w:r>
              <w:rPr>
                <w:w w:val="95"/>
                <w:sz w:val="19"/>
              </w:rPr>
              <w:t>704</w:t>
            </w:r>
          </w:p>
        </w:tc>
        <w:tc>
          <w:tcPr>
            <w:tcW w:w="1661" w:type="dxa"/>
            <w:vMerge w:val="restart"/>
            <w:tcBorders>
              <w:bottom w:val="single" w:sz="4" w:space="0" w:color="000000"/>
            </w:tcBorders>
            <w:shd w:val="clear" w:color="auto" w:fill="FFFFFF"/>
          </w:tcPr>
          <w:p>
            <w:pPr>
              <w:pStyle w:val="TableParagraph"/>
              <w:spacing w:before="0"/>
              <w:rPr>
                <w:sz w:val="22"/>
              </w:rPr>
            </w:pPr>
          </w:p>
          <w:p>
            <w:pPr>
              <w:pStyle w:val="TableParagraph"/>
              <w:spacing w:before="0"/>
              <w:rPr>
                <w:sz w:val="22"/>
              </w:rPr>
            </w:pPr>
          </w:p>
          <w:p>
            <w:pPr>
              <w:pStyle w:val="TableParagraph"/>
              <w:spacing w:before="191"/>
              <w:ind w:right="112"/>
              <w:jc w:val="right"/>
              <w:rPr>
                <w:sz w:val="19"/>
              </w:rPr>
            </w:pPr>
            <w:r>
              <w:rPr>
                <w:w w:val="95"/>
                <w:sz w:val="19"/>
              </w:rPr>
              <w:t>110,697</w:t>
            </w:r>
          </w:p>
          <w:p>
            <w:pPr>
              <w:pStyle w:val="TableParagraph"/>
              <w:spacing w:before="108"/>
              <w:ind w:right="112"/>
              <w:jc w:val="right"/>
              <w:rPr>
                <w:sz w:val="19"/>
              </w:rPr>
            </w:pPr>
            <w:r>
              <w:rPr>
                <w:w w:val="95"/>
                <w:sz w:val="19"/>
              </w:rPr>
              <w:t>1,808</w:t>
            </w:r>
          </w:p>
          <w:p>
            <w:pPr>
              <w:pStyle w:val="TableParagraph"/>
              <w:spacing w:before="109"/>
              <w:ind w:right="112"/>
              <w:jc w:val="right"/>
              <w:rPr>
                <w:sz w:val="19"/>
              </w:rPr>
            </w:pPr>
            <w:r>
              <w:rPr>
                <w:w w:val="95"/>
                <w:sz w:val="19"/>
              </w:rPr>
              <w:t>254</w:t>
            </w:r>
          </w:p>
          <w:p>
            <w:pPr>
              <w:pStyle w:val="TableParagraph"/>
              <w:spacing w:before="109"/>
              <w:ind w:right="111"/>
              <w:jc w:val="right"/>
              <w:rPr>
                <w:sz w:val="19"/>
              </w:rPr>
            </w:pPr>
            <w:r>
              <w:rPr>
                <w:w w:val="95"/>
                <w:sz w:val="19"/>
              </w:rPr>
              <w:t>2,172</w:t>
            </w:r>
          </w:p>
        </w:tc>
      </w:tr>
      <w:tr>
        <w:trPr>
          <w:trHeight w:val="644" w:hRule="atLeast"/>
        </w:trPr>
        <w:tc>
          <w:tcPr>
            <w:tcW w:w="5896" w:type="dxa"/>
            <w:shd w:val="clear" w:color="auto" w:fill="FFFFFF"/>
          </w:tcPr>
          <w:p>
            <w:pPr>
              <w:pStyle w:val="TableParagraph"/>
              <w:spacing w:before="37"/>
              <w:ind w:left="113"/>
              <w:rPr>
                <w:sz w:val="19"/>
              </w:rPr>
            </w:pPr>
            <w:r>
              <w:rPr>
                <w:sz w:val="19"/>
              </w:rPr>
              <w:t>User charges and fees</w:t>
            </w:r>
          </w:p>
          <w:p>
            <w:pPr>
              <w:pStyle w:val="TableParagraph"/>
              <w:spacing w:before="109"/>
              <w:ind w:left="113"/>
              <w:rPr>
                <w:sz w:val="19"/>
              </w:rPr>
            </w:pPr>
            <w:r>
              <w:rPr>
                <w:sz w:val="19"/>
              </w:rPr>
              <w:t>Commonwealth grants and contributions</w:t>
            </w:r>
          </w:p>
        </w:tc>
        <w:tc>
          <w:tcPr>
            <w:tcW w:w="1548" w:type="dxa"/>
            <w:shd w:val="clear" w:color="auto" w:fill="FFFFFF"/>
          </w:tcPr>
          <w:p>
            <w:pPr>
              <w:pStyle w:val="TableParagraph"/>
              <w:spacing w:before="37"/>
              <w:jc w:val="center"/>
              <w:rPr>
                <w:sz w:val="19"/>
              </w:rPr>
            </w:pPr>
            <w:hyperlink w:history="true" w:anchor="_bookmark53">
              <w:r>
                <w:rPr>
                  <w:color w:val="A7BE39"/>
                  <w:w w:val="99"/>
                  <w:sz w:val="19"/>
                  <w:u w:val="single" w:color="A7BE39"/>
                </w:rPr>
                <w:t>4</w:t>
              </w:r>
            </w:hyperlink>
          </w:p>
        </w:tc>
        <w:tc>
          <w:tcPr>
            <w:tcW w:w="1548" w:type="dxa"/>
            <w:shd w:val="clear" w:color="auto" w:fill="FFFFFF"/>
          </w:tcPr>
          <w:p>
            <w:pPr>
              <w:pStyle w:val="TableParagraph"/>
              <w:spacing w:before="37"/>
              <w:ind w:right="111"/>
              <w:jc w:val="right"/>
              <w:rPr>
                <w:sz w:val="19"/>
              </w:rPr>
            </w:pPr>
            <w:r>
              <w:rPr>
                <w:w w:val="95"/>
                <w:sz w:val="19"/>
              </w:rPr>
              <w:t>1,160,374</w:t>
            </w:r>
          </w:p>
          <w:p>
            <w:pPr>
              <w:pStyle w:val="TableParagraph"/>
              <w:spacing w:before="109"/>
              <w:ind w:right="111"/>
              <w:jc w:val="right"/>
              <w:rPr>
                <w:sz w:val="19"/>
              </w:rPr>
            </w:pPr>
            <w:r>
              <w:rPr>
                <w:w w:val="111"/>
                <w:sz w:val="19"/>
              </w:rPr>
              <w:t>-</w:t>
            </w:r>
          </w:p>
        </w:tc>
        <w:tc>
          <w:tcPr>
            <w:tcW w:w="1558" w:type="dxa"/>
            <w:vMerge/>
            <w:tcBorders>
              <w:top w:val="nil"/>
              <w:bottom w:val="single" w:sz="4" w:space="0" w:color="000000"/>
            </w:tcBorders>
            <w:shd w:val="clear" w:color="auto" w:fill="E1E4BB"/>
          </w:tcPr>
          <w:p>
            <w:pPr>
              <w:rPr>
                <w:sz w:val="2"/>
                <w:szCs w:val="2"/>
              </w:rPr>
            </w:pPr>
          </w:p>
        </w:tc>
        <w:tc>
          <w:tcPr>
            <w:tcW w:w="1538" w:type="dxa"/>
            <w:vMerge/>
            <w:tcBorders>
              <w:top w:val="nil"/>
              <w:bottom w:val="single" w:sz="4" w:space="0" w:color="000000"/>
            </w:tcBorders>
            <w:shd w:val="clear" w:color="auto" w:fill="FFFFFF"/>
          </w:tcPr>
          <w:p>
            <w:pPr>
              <w:rPr>
                <w:sz w:val="2"/>
                <w:szCs w:val="2"/>
              </w:rPr>
            </w:pPr>
          </w:p>
        </w:tc>
        <w:tc>
          <w:tcPr>
            <w:tcW w:w="1548" w:type="dxa"/>
            <w:vMerge/>
            <w:tcBorders>
              <w:top w:val="nil"/>
              <w:bottom w:val="single" w:sz="4" w:space="0" w:color="000000"/>
            </w:tcBorders>
            <w:shd w:val="clear" w:color="auto" w:fill="FFFFFF"/>
          </w:tcPr>
          <w:p>
            <w:pPr>
              <w:rPr>
                <w:sz w:val="2"/>
                <w:szCs w:val="2"/>
              </w:rPr>
            </w:pPr>
          </w:p>
        </w:tc>
        <w:tc>
          <w:tcPr>
            <w:tcW w:w="1661" w:type="dxa"/>
            <w:vMerge/>
            <w:tcBorders>
              <w:top w:val="nil"/>
              <w:bottom w:val="single" w:sz="4" w:space="0" w:color="000000"/>
            </w:tcBorders>
            <w:shd w:val="clear" w:color="auto" w:fill="FFFFFF"/>
          </w:tcPr>
          <w:p>
            <w:pPr>
              <w:rPr>
                <w:sz w:val="2"/>
                <w:szCs w:val="2"/>
              </w:rPr>
            </w:pPr>
          </w:p>
        </w:tc>
      </w:tr>
      <w:tr>
        <w:trPr>
          <w:trHeight w:val="644" w:hRule="atLeast"/>
        </w:trPr>
        <w:tc>
          <w:tcPr>
            <w:tcW w:w="5896" w:type="dxa"/>
            <w:shd w:val="clear" w:color="auto" w:fill="FFFFFF"/>
          </w:tcPr>
          <w:p>
            <w:pPr>
              <w:pStyle w:val="TableParagraph"/>
              <w:spacing w:before="37"/>
              <w:ind w:left="113"/>
              <w:rPr>
                <w:sz w:val="19"/>
              </w:rPr>
            </w:pPr>
            <w:r>
              <w:rPr>
                <w:sz w:val="19"/>
              </w:rPr>
              <w:t>Interest revenue</w:t>
            </w:r>
          </w:p>
          <w:p>
            <w:pPr>
              <w:pStyle w:val="TableParagraph"/>
              <w:spacing w:before="109"/>
              <w:ind w:left="113"/>
              <w:rPr>
                <w:sz w:val="19"/>
              </w:rPr>
            </w:pPr>
            <w:r>
              <w:rPr>
                <w:sz w:val="19"/>
              </w:rPr>
              <w:t>Other revenue</w:t>
            </w:r>
          </w:p>
        </w:tc>
        <w:tc>
          <w:tcPr>
            <w:tcW w:w="1548" w:type="dxa"/>
            <w:shd w:val="clear" w:color="auto" w:fill="FFFFFF"/>
          </w:tcPr>
          <w:p>
            <w:pPr>
              <w:pStyle w:val="TableParagraph"/>
              <w:spacing w:before="0"/>
              <w:rPr>
                <w:rFonts w:ascii="Times New Roman"/>
                <w:sz w:val="20"/>
              </w:rPr>
            </w:pPr>
          </w:p>
        </w:tc>
        <w:tc>
          <w:tcPr>
            <w:tcW w:w="1548" w:type="dxa"/>
            <w:tcBorders>
              <w:bottom w:val="single" w:sz="4" w:space="0" w:color="000000"/>
            </w:tcBorders>
            <w:shd w:val="clear" w:color="auto" w:fill="FFFFFF"/>
          </w:tcPr>
          <w:p>
            <w:pPr>
              <w:pStyle w:val="TableParagraph"/>
              <w:spacing w:before="37"/>
              <w:ind w:right="111"/>
              <w:jc w:val="right"/>
              <w:rPr>
                <w:sz w:val="19"/>
              </w:rPr>
            </w:pPr>
            <w:r>
              <w:rPr>
                <w:w w:val="95"/>
                <w:sz w:val="19"/>
              </w:rPr>
              <w:t>156</w:t>
            </w:r>
          </w:p>
          <w:p>
            <w:pPr>
              <w:pStyle w:val="TableParagraph"/>
              <w:spacing w:before="109"/>
              <w:ind w:right="111"/>
              <w:jc w:val="right"/>
              <w:rPr>
                <w:sz w:val="19"/>
              </w:rPr>
            </w:pPr>
            <w:r>
              <w:rPr>
                <w:w w:val="95"/>
                <w:sz w:val="19"/>
              </w:rPr>
              <w:t>9,911</w:t>
            </w:r>
          </w:p>
        </w:tc>
        <w:tc>
          <w:tcPr>
            <w:tcW w:w="1558" w:type="dxa"/>
            <w:vMerge/>
            <w:tcBorders>
              <w:top w:val="nil"/>
              <w:bottom w:val="single" w:sz="4" w:space="0" w:color="000000"/>
            </w:tcBorders>
            <w:shd w:val="clear" w:color="auto" w:fill="E1E4BB"/>
          </w:tcPr>
          <w:p>
            <w:pPr>
              <w:rPr>
                <w:sz w:val="2"/>
                <w:szCs w:val="2"/>
              </w:rPr>
            </w:pPr>
          </w:p>
        </w:tc>
        <w:tc>
          <w:tcPr>
            <w:tcW w:w="1538" w:type="dxa"/>
            <w:vMerge/>
            <w:tcBorders>
              <w:top w:val="nil"/>
              <w:bottom w:val="single" w:sz="4" w:space="0" w:color="000000"/>
            </w:tcBorders>
            <w:shd w:val="clear" w:color="auto" w:fill="FFFFFF"/>
          </w:tcPr>
          <w:p>
            <w:pPr>
              <w:rPr>
                <w:sz w:val="2"/>
                <w:szCs w:val="2"/>
              </w:rPr>
            </w:pPr>
          </w:p>
        </w:tc>
        <w:tc>
          <w:tcPr>
            <w:tcW w:w="1548" w:type="dxa"/>
            <w:vMerge/>
            <w:tcBorders>
              <w:top w:val="nil"/>
              <w:bottom w:val="single" w:sz="4" w:space="0" w:color="000000"/>
            </w:tcBorders>
            <w:shd w:val="clear" w:color="auto" w:fill="FFFFFF"/>
          </w:tcPr>
          <w:p>
            <w:pPr>
              <w:rPr>
                <w:sz w:val="2"/>
                <w:szCs w:val="2"/>
              </w:rPr>
            </w:pPr>
          </w:p>
        </w:tc>
        <w:tc>
          <w:tcPr>
            <w:tcW w:w="1661" w:type="dxa"/>
            <w:vMerge/>
            <w:tcBorders>
              <w:top w:val="nil"/>
              <w:bottom w:val="single" w:sz="4" w:space="0" w:color="000000"/>
            </w:tcBorders>
            <w:shd w:val="clear" w:color="auto" w:fill="FFFFFF"/>
          </w:tcPr>
          <w:p>
            <w:pPr>
              <w:rPr>
                <w:sz w:val="2"/>
                <w:szCs w:val="2"/>
              </w:rPr>
            </w:pPr>
          </w:p>
        </w:tc>
      </w:tr>
      <w:tr>
        <w:trPr>
          <w:trHeight w:val="317" w:hRule="atLeast"/>
        </w:trPr>
        <w:tc>
          <w:tcPr>
            <w:tcW w:w="5896" w:type="dxa"/>
            <w:vMerge w:val="restart"/>
            <w:shd w:val="clear" w:color="auto" w:fill="FFFFFF"/>
          </w:tcPr>
          <w:p>
            <w:pPr>
              <w:pStyle w:val="TableParagraph"/>
              <w:spacing w:before="37"/>
              <w:ind w:left="114"/>
              <w:rPr>
                <w:b/>
                <w:sz w:val="19"/>
              </w:rPr>
            </w:pPr>
            <w:r>
              <w:rPr>
                <w:b/>
                <w:sz w:val="19"/>
              </w:rPr>
              <w:t>Total revenue</w:t>
            </w:r>
          </w:p>
        </w:tc>
        <w:tc>
          <w:tcPr>
            <w:tcW w:w="1548" w:type="dxa"/>
            <w:vMerge w:val="restart"/>
            <w:shd w:val="clear" w:color="auto" w:fill="FFFFFF"/>
          </w:tcPr>
          <w:p>
            <w:pPr>
              <w:pStyle w:val="TableParagraph"/>
              <w:spacing w:before="0"/>
              <w:rPr>
                <w:rFonts w:ascii="Times New Roman"/>
                <w:sz w:val="20"/>
              </w:rPr>
            </w:pPr>
          </w:p>
        </w:tc>
        <w:tc>
          <w:tcPr>
            <w:tcW w:w="1548" w:type="dxa"/>
            <w:tcBorders>
              <w:top w:val="single" w:sz="4" w:space="0" w:color="000000"/>
              <w:left w:val="single" w:sz="8" w:space="0" w:color="FFFFFF"/>
              <w:bottom w:val="single" w:sz="4" w:space="0" w:color="000000"/>
            </w:tcBorders>
            <w:shd w:val="clear" w:color="auto" w:fill="F4F4F4"/>
          </w:tcPr>
          <w:p>
            <w:pPr>
              <w:pStyle w:val="TableParagraph"/>
              <w:spacing w:before="37"/>
              <w:ind w:right="111"/>
              <w:jc w:val="right"/>
              <w:rPr>
                <w:b/>
                <w:sz w:val="19"/>
              </w:rPr>
            </w:pPr>
            <w:r>
              <w:rPr>
                <w:b/>
                <w:w w:val="95"/>
                <w:sz w:val="19"/>
              </w:rPr>
              <w:t>1,170,441</w:t>
            </w:r>
          </w:p>
        </w:tc>
        <w:tc>
          <w:tcPr>
            <w:tcW w:w="1558" w:type="dxa"/>
            <w:tcBorders>
              <w:top w:val="single" w:sz="4" w:space="0" w:color="000000"/>
              <w:bottom w:val="single" w:sz="4" w:space="0" w:color="000000"/>
            </w:tcBorders>
            <w:shd w:val="clear" w:color="auto" w:fill="DFE1B8"/>
          </w:tcPr>
          <w:p>
            <w:pPr>
              <w:pStyle w:val="TableParagraph"/>
              <w:spacing w:before="37"/>
              <w:ind w:right="121"/>
              <w:jc w:val="right"/>
              <w:rPr>
                <w:b/>
                <w:sz w:val="19"/>
              </w:rPr>
            </w:pPr>
            <w:r>
              <w:rPr>
                <w:b/>
                <w:w w:val="95"/>
                <w:sz w:val="19"/>
              </w:rPr>
              <w:t>1,072,610</w:t>
            </w:r>
          </w:p>
        </w:tc>
        <w:tc>
          <w:tcPr>
            <w:tcW w:w="1538" w:type="dxa"/>
            <w:tcBorders>
              <w:top w:val="single" w:sz="4" w:space="0" w:color="000000"/>
              <w:bottom w:val="single" w:sz="4" w:space="0" w:color="000000"/>
            </w:tcBorders>
            <w:shd w:val="clear" w:color="auto" w:fill="F4F4F4"/>
          </w:tcPr>
          <w:p>
            <w:pPr>
              <w:pStyle w:val="TableParagraph"/>
              <w:spacing w:before="37"/>
              <w:ind w:right="111"/>
              <w:jc w:val="right"/>
              <w:rPr>
                <w:b/>
                <w:sz w:val="19"/>
              </w:rPr>
            </w:pPr>
            <w:r>
              <w:rPr>
                <w:b/>
                <w:w w:val="95"/>
                <w:sz w:val="19"/>
              </w:rPr>
              <w:t>957,679</w:t>
            </w:r>
          </w:p>
        </w:tc>
        <w:tc>
          <w:tcPr>
            <w:tcW w:w="1548" w:type="dxa"/>
            <w:tcBorders>
              <w:top w:val="single" w:sz="4" w:space="0" w:color="000000"/>
              <w:bottom w:val="single" w:sz="4" w:space="0" w:color="000000"/>
            </w:tcBorders>
            <w:shd w:val="clear" w:color="auto" w:fill="F4F4F4"/>
          </w:tcPr>
          <w:p>
            <w:pPr>
              <w:pStyle w:val="TableParagraph"/>
              <w:spacing w:before="37"/>
              <w:ind w:right="111"/>
              <w:jc w:val="right"/>
              <w:rPr>
                <w:b/>
                <w:sz w:val="19"/>
              </w:rPr>
            </w:pPr>
            <w:r>
              <w:rPr>
                <w:b/>
                <w:w w:val="95"/>
                <w:sz w:val="19"/>
              </w:rPr>
              <w:t>(97,831)</w:t>
            </w:r>
          </w:p>
        </w:tc>
        <w:tc>
          <w:tcPr>
            <w:tcW w:w="1661" w:type="dxa"/>
            <w:tcBorders>
              <w:top w:val="single" w:sz="4" w:space="0" w:color="000000"/>
              <w:bottom w:val="single" w:sz="4" w:space="0" w:color="000000"/>
            </w:tcBorders>
            <w:shd w:val="clear" w:color="auto" w:fill="F4F4F4"/>
          </w:tcPr>
          <w:p>
            <w:pPr>
              <w:pStyle w:val="TableParagraph"/>
              <w:spacing w:before="37"/>
              <w:ind w:right="111"/>
              <w:jc w:val="right"/>
              <w:rPr>
                <w:b/>
                <w:sz w:val="19"/>
              </w:rPr>
            </w:pPr>
            <w:r>
              <w:rPr>
                <w:b/>
                <w:w w:val="95"/>
                <w:sz w:val="19"/>
              </w:rPr>
              <w:t>114,931</w:t>
            </w:r>
          </w:p>
        </w:tc>
      </w:tr>
      <w:tr>
        <w:trPr>
          <w:trHeight w:val="312" w:hRule="atLeast"/>
        </w:trPr>
        <w:tc>
          <w:tcPr>
            <w:tcW w:w="5896" w:type="dxa"/>
            <w:vMerge/>
            <w:tcBorders>
              <w:top w:val="nil"/>
            </w:tcBorders>
            <w:shd w:val="clear" w:color="auto" w:fill="FFFFFF"/>
          </w:tcPr>
          <w:p>
            <w:pPr>
              <w:rPr>
                <w:sz w:val="2"/>
                <w:szCs w:val="2"/>
              </w:rPr>
            </w:pPr>
          </w:p>
        </w:tc>
        <w:tc>
          <w:tcPr>
            <w:tcW w:w="1548" w:type="dxa"/>
            <w:vMerge/>
            <w:tcBorders>
              <w:top w:val="nil"/>
            </w:tcBorders>
            <w:shd w:val="clear" w:color="auto" w:fill="FFFFFF"/>
          </w:tcPr>
          <w:p>
            <w:pPr>
              <w:rPr>
                <w:sz w:val="2"/>
                <w:szCs w:val="2"/>
              </w:rPr>
            </w:pPr>
          </w:p>
        </w:tc>
        <w:tc>
          <w:tcPr>
            <w:tcW w:w="1548" w:type="dxa"/>
            <w:tcBorders>
              <w:top w:val="single" w:sz="4" w:space="0" w:color="000000"/>
              <w:left w:val="single" w:sz="8" w:space="0" w:color="FFFFFF"/>
              <w:bottom w:val="single" w:sz="8" w:space="0" w:color="FFFFFF"/>
            </w:tcBorders>
            <w:shd w:val="clear" w:color="auto" w:fill="FAF9F9"/>
          </w:tcPr>
          <w:p>
            <w:pPr>
              <w:pStyle w:val="TableParagraph"/>
              <w:spacing w:before="0"/>
              <w:rPr>
                <w:rFonts w:ascii="Times New Roman"/>
                <w:sz w:val="20"/>
              </w:rPr>
            </w:pPr>
          </w:p>
        </w:tc>
        <w:tc>
          <w:tcPr>
            <w:tcW w:w="1558" w:type="dxa"/>
            <w:vMerge w:val="restart"/>
            <w:tcBorders>
              <w:top w:val="single" w:sz="4" w:space="0" w:color="000000"/>
              <w:bottom w:val="single" w:sz="4" w:space="0" w:color="000000"/>
            </w:tcBorders>
            <w:shd w:val="clear" w:color="auto" w:fill="DFE1B8"/>
          </w:tcPr>
          <w:p>
            <w:pPr>
              <w:pStyle w:val="TableParagraph"/>
              <w:spacing w:before="0"/>
              <w:rPr>
                <w:sz w:val="22"/>
              </w:rPr>
            </w:pPr>
          </w:p>
          <w:p>
            <w:pPr>
              <w:pStyle w:val="TableParagraph"/>
              <w:spacing w:before="0"/>
              <w:rPr>
                <w:sz w:val="22"/>
              </w:rPr>
            </w:pPr>
          </w:p>
          <w:p>
            <w:pPr>
              <w:pStyle w:val="TableParagraph"/>
              <w:spacing w:before="186"/>
              <w:ind w:right="121"/>
              <w:jc w:val="right"/>
              <w:rPr>
                <w:sz w:val="19"/>
              </w:rPr>
            </w:pPr>
            <w:r>
              <w:rPr>
                <w:w w:val="95"/>
                <w:sz w:val="19"/>
              </w:rPr>
              <w:t>631</w:t>
            </w:r>
          </w:p>
        </w:tc>
        <w:tc>
          <w:tcPr>
            <w:tcW w:w="1538" w:type="dxa"/>
            <w:vMerge w:val="restart"/>
            <w:tcBorders>
              <w:top w:val="single" w:sz="4" w:space="0" w:color="000000"/>
              <w:bottom w:val="single" w:sz="4" w:space="0" w:color="000000"/>
            </w:tcBorders>
            <w:shd w:val="clear" w:color="auto" w:fill="F4F4F4"/>
          </w:tcPr>
          <w:p>
            <w:pPr>
              <w:pStyle w:val="TableParagraph"/>
              <w:spacing w:before="0"/>
              <w:rPr>
                <w:sz w:val="22"/>
              </w:rPr>
            </w:pPr>
          </w:p>
          <w:p>
            <w:pPr>
              <w:pStyle w:val="TableParagraph"/>
              <w:spacing w:before="0"/>
              <w:rPr>
                <w:sz w:val="22"/>
              </w:rPr>
            </w:pPr>
          </w:p>
          <w:p>
            <w:pPr>
              <w:pStyle w:val="TableParagraph"/>
              <w:spacing w:before="186"/>
              <w:ind w:right="111"/>
              <w:jc w:val="right"/>
              <w:rPr>
                <w:sz w:val="19"/>
              </w:rPr>
            </w:pPr>
            <w:r>
              <w:rPr>
                <w:w w:val="95"/>
                <w:sz w:val="19"/>
              </w:rPr>
              <w:t>666</w:t>
            </w:r>
          </w:p>
        </w:tc>
        <w:tc>
          <w:tcPr>
            <w:tcW w:w="1548" w:type="dxa"/>
            <w:vMerge w:val="restart"/>
            <w:tcBorders>
              <w:top w:val="single" w:sz="4" w:space="0" w:color="000000"/>
              <w:bottom w:val="single" w:sz="4" w:space="0" w:color="000000"/>
            </w:tcBorders>
            <w:shd w:val="clear" w:color="auto" w:fill="F4F4F4"/>
          </w:tcPr>
          <w:p>
            <w:pPr>
              <w:pStyle w:val="TableParagraph"/>
              <w:spacing w:before="0"/>
              <w:rPr>
                <w:sz w:val="22"/>
              </w:rPr>
            </w:pPr>
          </w:p>
          <w:p>
            <w:pPr>
              <w:pStyle w:val="TableParagraph"/>
              <w:spacing w:before="0"/>
              <w:rPr>
                <w:sz w:val="22"/>
              </w:rPr>
            </w:pPr>
          </w:p>
          <w:p>
            <w:pPr>
              <w:pStyle w:val="TableParagraph"/>
              <w:spacing w:before="186"/>
              <w:ind w:left="1025"/>
              <w:rPr>
                <w:sz w:val="19"/>
              </w:rPr>
            </w:pPr>
            <w:r>
              <w:rPr>
                <w:sz w:val="19"/>
              </w:rPr>
              <w:t>(369)</w:t>
            </w:r>
          </w:p>
        </w:tc>
        <w:tc>
          <w:tcPr>
            <w:tcW w:w="1661" w:type="dxa"/>
            <w:vMerge w:val="restart"/>
            <w:tcBorders>
              <w:top w:val="single" w:sz="4" w:space="0" w:color="000000"/>
              <w:bottom w:val="single" w:sz="4" w:space="0" w:color="000000"/>
            </w:tcBorders>
            <w:shd w:val="clear" w:color="auto" w:fill="F4F4F4"/>
          </w:tcPr>
          <w:p>
            <w:pPr>
              <w:pStyle w:val="TableParagraph"/>
              <w:spacing w:before="0"/>
              <w:rPr>
                <w:sz w:val="22"/>
              </w:rPr>
            </w:pPr>
          </w:p>
          <w:p>
            <w:pPr>
              <w:pStyle w:val="TableParagraph"/>
              <w:spacing w:before="0"/>
              <w:rPr>
                <w:sz w:val="22"/>
              </w:rPr>
            </w:pPr>
          </w:p>
          <w:p>
            <w:pPr>
              <w:pStyle w:val="TableParagraph"/>
              <w:spacing w:before="186"/>
              <w:ind w:right="111"/>
              <w:jc w:val="right"/>
              <w:rPr>
                <w:sz w:val="19"/>
              </w:rPr>
            </w:pPr>
            <w:r>
              <w:rPr>
                <w:w w:val="85"/>
                <w:sz w:val="19"/>
              </w:rPr>
              <w:t>(35)</w:t>
            </w:r>
          </w:p>
        </w:tc>
      </w:tr>
      <w:tr>
        <w:trPr>
          <w:trHeight w:val="639" w:hRule="atLeast"/>
        </w:trPr>
        <w:tc>
          <w:tcPr>
            <w:tcW w:w="5896" w:type="dxa"/>
            <w:shd w:val="clear" w:color="auto" w:fill="FFFFFF"/>
          </w:tcPr>
          <w:p>
            <w:pPr>
              <w:pStyle w:val="TableParagraph"/>
              <w:ind w:left="114"/>
              <w:rPr>
                <w:i/>
                <w:sz w:val="19"/>
              </w:rPr>
            </w:pPr>
            <w:r>
              <w:rPr>
                <w:i/>
                <w:sz w:val="19"/>
              </w:rPr>
              <w:t>Gains</w:t>
            </w:r>
          </w:p>
          <w:p>
            <w:pPr>
              <w:pStyle w:val="TableParagraph"/>
              <w:spacing w:before="109"/>
              <w:ind w:left="114"/>
              <w:rPr>
                <w:sz w:val="19"/>
              </w:rPr>
            </w:pPr>
            <w:r>
              <w:rPr>
                <w:sz w:val="19"/>
              </w:rPr>
              <w:t>Gain on disposal of non-current assets</w:t>
            </w:r>
          </w:p>
        </w:tc>
        <w:tc>
          <w:tcPr>
            <w:tcW w:w="1548" w:type="dxa"/>
            <w:shd w:val="clear" w:color="auto" w:fill="FFFFFF"/>
          </w:tcPr>
          <w:p>
            <w:pPr>
              <w:pStyle w:val="TableParagraph"/>
              <w:spacing w:before="0"/>
              <w:rPr>
                <w:rFonts w:ascii="Times New Roman"/>
                <w:sz w:val="20"/>
              </w:rPr>
            </w:pPr>
          </w:p>
        </w:tc>
        <w:tc>
          <w:tcPr>
            <w:tcW w:w="1548" w:type="dxa"/>
            <w:tcBorders>
              <w:bottom w:val="single" w:sz="4" w:space="0" w:color="000000"/>
            </w:tcBorders>
            <w:shd w:val="clear" w:color="auto" w:fill="FFFFFF"/>
          </w:tcPr>
          <w:p>
            <w:pPr>
              <w:pStyle w:val="TableParagraph"/>
              <w:spacing w:before="3"/>
              <w:rPr>
                <w:sz w:val="31"/>
              </w:rPr>
            </w:pPr>
          </w:p>
          <w:p>
            <w:pPr>
              <w:pStyle w:val="TableParagraph"/>
              <w:spacing w:before="0"/>
              <w:ind w:right="110"/>
              <w:jc w:val="right"/>
              <w:rPr>
                <w:sz w:val="19"/>
              </w:rPr>
            </w:pPr>
            <w:r>
              <w:rPr>
                <w:w w:val="95"/>
                <w:sz w:val="19"/>
              </w:rPr>
              <w:t>1,000</w:t>
            </w:r>
          </w:p>
        </w:tc>
        <w:tc>
          <w:tcPr>
            <w:tcW w:w="1558" w:type="dxa"/>
            <w:vMerge/>
            <w:tcBorders>
              <w:top w:val="nil"/>
              <w:bottom w:val="single" w:sz="4" w:space="0" w:color="000000"/>
            </w:tcBorders>
            <w:shd w:val="clear" w:color="auto" w:fill="DFE1B8"/>
          </w:tcPr>
          <w:p>
            <w:pPr>
              <w:rPr>
                <w:sz w:val="2"/>
                <w:szCs w:val="2"/>
              </w:rPr>
            </w:pPr>
          </w:p>
        </w:tc>
        <w:tc>
          <w:tcPr>
            <w:tcW w:w="1538" w:type="dxa"/>
            <w:vMerge/>
            <w:tcBorders>
              <w:top w:val="nil"/>
              <w:bottom w:val="single" w:sz="4" w:space="0" w:color="000000"/>
            </w:tcBorders>
            <w:shd w:val="clear" w:color="auto" w:fill="F4F4F4"/>
          </w:tcPr>
          <w:p>
            <w:pPr>
              <w:rPr>
                <w:sz w:val="2"/>
                <w:szCs w:val="2"/>
              </w:rPr>
            </w:pPr>
          </w:p>
        </w:tc>
        <w:tc>
          <w:tcPr>
            <w:tcW w:w="1548" w:type="dxa"/>
            <w:vMerge/>
            <w:tcBorders>
              <w:top w:val="nil"/>
              <w:bottom w:val="single" w:sz="4" w:space="0" w:color="000000"/>
            </w:tcBorders>
            <w:shd w:val="clear" w:color="auto" w:fill="F4F4F4"/>
          </w:tcPr>
          <w:p>
            <w:pPr>
              <w:rPr>
                <w:sz w:val="2"/>
                <w:szCs w:val="2"/>
              </w:rPr>
            </w:pPr>
          </w:p>
        </w:tc>
        <w:tc>
          <w:tcPr>
            <w:tcW w:w="1661" w:type="dxa"/>
            <w:vMerge/>
            <w:tcBorders>
              <w:top w:val="nil"/>
              <w:bottom w:val="single" w:sz="4" w:space="0" w:color="000000"/>
            </w:tcBorders>
            <w:shd w:val="clear" w:color="auto" w:fill="F4F4F4"/>
          </w:tcPr>
          <w:p>
            <w:pPr>
              <w:rPr>
                <w:sz w:val="2"/>
                <w:szCs w:val="2"/>
              </w:rPr>
            </w:pPr>
          </w:p>
        </w:tc>
      </w:tr>
      <w:tr>
        <w:trPr>
          <w:trHeight w:val="317" w:hRule="atLeast"/>
        </w:trPr>
        <w:tc>
          <w:tcPr>
            <w:tcW w:w="5896" w:type="dxa"/>
            <w:vMerge w:val="restart"/>
            <w:shd w:val="clear" w:color="auto" w:fill="FFFFFF"/>
          </w:tcPr>
          <w:p>
            <w:pPr>
              <w:pStyle w:val="TableParagraph"/>
              <w:spacing w:before="37"/>
              <w:ind w:left="114"/>
              <w:rPr>
                <w:b/>
                <w:sz w:val="19"/>
              </w:rPr>
            </w:pPr>
            <w:r>
              <w:rPr>
                <w:b/>
                <w:sz w:val="19"/>
              </w:rPr>
              <w:t>Total gains</w:t>
            </w:r>
          </w:p>
          <w:p>
            <w:pPr>
              <w:pStyle w:val="TableParagraph"/>
              <w:spacing w:before="109"/>
              <w:ind w:left="114"/>
              <w:rPr>
                <w:b/>
                <w:sz w:val="19"/>
              </w:rPr>
            </w:pPr>
            <w:r>
              <w:rPr>
                <w:b/>
                <w:sz w:val="19"/>
              </w:rPr>
              <w:t>Total income other than income from State Government</w:t>
            </w:r>
          </w:p>
        </w:tc>
        <w:tc>
          <w:tcPr>
            <w:tcW w:w="1548" w:type="dxa"/>
            <w:vMerge w:val="restart"/>
            <w:shd w:val="clear" w:color="auto" w:fill="FFFFFF"/>
          </w:tcPr>
          <w:p>
            <w:pPr>
              <w:pStyle w:val="TableParagraph"/>
              <w:spacing w:before="0"/>
              <w:rPr>
                <w:rFonts w:ascii="Times New Roman"/>
                <w:sz w:val="20"/>
              </w:rPr>
            </w:pPr>
          </w:p>
        </w:tc>
        <w:tc>
          <w:tcPr>
            <w:tcW w:w="1548" w:type="dxa"/>
            <w:tcBorders>
              <w:top w:val="single" w:sz="4" w:space="0" w:color="000000"/>
              <w:left w:val="single" w:sz="8" w:space="0" w:color="FFFFFF"/>
              <w:bottom w:val="single" w:sz="4" w:space="0" w:color="000000"/>
            </w:tcBorders>
            <w:shd w:val="clear" w:color="auto" w:fill="F4F4F4"/>
          </w:tcPr>
          <w:p>
            <w:pPr>
              <w:pStyle w:val="TableParagraph"/>
              <w:spacing w:before="37"/>
              <w:ind w:right="110"/>
              <w:jc w:val="right"/>
              <w:rPr>
                <w:b/>
                <w:sz w:val="19"/>
              </w:rPr>
            </w:pPr>
            <w:r>
              <w:rPr>
                <w:b/>
                <w:w w:val="95"/>
                <w:sz w:val="19"/>
              </w:rPr>
              <w:t>1,000</w:t>
            </w:r>
          </w:p>
        </w:tc>
        <w:tc>
          <w:tcPr>
            <w:tcW w:w="1558" w:type="dxa"/>
            <w:tcBorders>
              <w:top w:val="single" w:sz="4" w:space="0" w:color="000000"/>
              <w:bottom w:val="single" w:sz="4" w:space="0" w:color="000000"/>
            </w:tcBorders>
            <w:shd w:val="clear" w:color="auto" w:fill="DFE1B8"/>
          </w:tcPr>
          <w:p>
            <w:pPr>
              <w:pStyle w:val="TableParagraph"/>
              <w:spacing w:before="37"/>
              <w:ind w:right="121"/>
              <w:jc w:val="right"/>
              <w:rPr>
                <w:b/>
                <w:sz w:val="19"/>
              </w:rPr>
            </w:pPr>
            <w:r>
              <w:rPr>
                <w:b/>
                <w:w w:val="95"/>
                <w:sz w:val="19"/>
              </w:rPr>
              <w:t>631</w:t>
            </w:r>
          </w:p>
        </w:tc>
        <w:tc>
          <w:tcPr>
            <w:tcW w:w="1538" w:type="dxa"/>
            <w:tcBorders>
              <w:top w:val="single" w:sz="4" w:space="0" w:color="000000"/>
              <w:bottom w:val="single" w:sz="4" w:space="0" w:color="000000"/>
            </w:tcBorders>
            <w:shd w:val="clear" w:color="auto" w:fill="F4F4F4"/>
          </w:tcPr>
          <w:p>
            <w:pPr>
              <w:pStyle w:val="TableParagraph"/>
              <w:spacing w:before="37"/>
              <w:ind w:right="111"/>
              <w:jc w:val="right"/>
              <w:rPr>
                <w:b/>
                <w:sz w:val="19"/>
              </w:rPr>
            </w:pPr>
            <w:r>
              <w:rPr>
                <w:b/>
                <w:w w:val="95"/>
                <w:sz w:val="19"/>
              </w:rPr>
              <w:t>666</w:t>
            </w:r>
          </w:p>
        </w:tc>
        <w:tc>
          <w:tcPr>
            <w:tcW w:w="1548" w:type="dxa"/>
            <w:tcBorders>
              <w:top w:val="single" w:sz="4" w:space="0" w:color="000000"/>
              <w:bottom w:val="single" w:sz="4" w:space="0" w:color="000000"/>
            </w:tcBorders>
            <w:shd w:val="clear" w:color="auto" w:fill="F4F4F4"/>
          </w:tcPr>
          <w:p>
            <w:pPr>
              <w:pStyle w:val="TableParagraph"/>
              <w:spacing w:before="37"/>
              <w:ind w:right="111"/>
              <w:jc w:val="right"/>
              <w:rPr>
                <w:b/>
                <w:sz w:val="19"/>
              </w:rPr>
            </w:pPr>
            <w:r>
              <w:rPr>
                <w:b/>
                <w:w w:val="95"/>
                <w:sz w:val="19"/>
              </w:rPr>
              <w:t>(369)</w:t>
            </w:r>
          </w:p>
        </w:tc>
        <w:tc>
          <w:tcPr>
            <w:tcW w:w="1661" w:type="dxa"/>
            <w:tcBorders>
              <w:top w:val="single" w:sz="4" w:space="0" w:color="000000"/>
              <w:bottom w:val="single" w:sz="4" w:space="0" w:color="000000"/>
            </w:tcBorders>
            <w:shd w:val="clear" w:color="auto" w:fill="F4F4F4"/>
          </w:tcPr>
          <w:p>
            <w:pPr>
              <w:pStyle w:val="TableParagraph"/>
              <w:spacing w:before="37"/>
              <w:ind w:right="111"/>
              <w:jc w:val="right"/>
              <w:rPr>
                <w:b/>
                <w:sz w:val="19"/>
              </w:rPr>
            </w:pPr>
            <w:r>
              <w:rPr>
                <w:b/>
                <w:w w:val="95"/>
                <w:sz w:val="19"/>
              </w:rPr>
              <w:t>(35)</w:t>
            </w:r>
          </w:p>
        </w:tc>
      </w:tr>
      <w:tr>
        <w:trPr>
          <w:trHeight w:val="317" w:hRule="atLeast"/>
        </w:trPr>
        <w:tc>
          <w:tcPr>
            <w:tcW w:w="5896" w:type="dxa"/>
            <w:vMerge/>
            <w:tcBorders>
              <w:top w:val="nil"/>
            </w:tcBorders>
            <w:shd w:val="clear" w:color="auto" w:fill="FFFFFF"/>
          </w:tcPr>
          <w:p>
            <w:pPr>
              <w:rPr>
                <w:sz w:val="2"/>
                <w:szCs w:val="2"/>
              </w:rPr>
            </w:pPr>
          </w:p>
        </w:tc>
        <w:tc>
          <w:tcPr>
            <w:tcW w:w="1548" w:type="dxa"/>
            <w:vMerge/>
            <w:tcBorders>
              <w:top w:val="nil"/>
            </w:tcBorders>
            <w:shd w:val="clear" w:color="auto" w:fill="FFFFFF"/>
          </w:tcPr>
          <w:p>
            <w:pPr>
              <w:rPr>
                <w:sz w:val="2"/>
                <w:szCs w:val="2"/>
              </w:rPr>
            </w:pPr>
          </w:p>
        </w:tc>
        <w:tc>
          <w:tcPr>
            <w:tcW w:w="1548" w:type="dxa"/>
            <w:tcBorders>
              <w:top w:val="single" w:sz="4" w:space="0" w:color="000000"/>
              <w:left w:val="single" w:sz="8" w:space="0" w:color="FFFFFF"/>
              <w:bottom w:val="single" w:sz="4" w:space="0" w:color="000000"/>
            </w:tcBorders>
            <w:shd w:val="clear" w:color="auto" w:fill="FAF9F9"/>
          </w:tcPr>
          <w:p>
            <w:pPr>
              <w:pStyle w:val="TableParagraph"/>
              <w:spacing w:before="37"/>
              <w:ind w:right="110"/>
              <w:jc w:val="right"/>
              <w:rPr>
                <w:b/>
                <w:sz w:val="19"/>
              </w:rPr>
            </w:pPr>
            <w:r>
              <w:rPr>
                <w:b/>
                <w:w w:val="95"/>
                <w:sz w:val="19"/>
              </w:rPr>
              <w:t>1,171,441</w:t>
            </w:r>
          </w:p>
        </w:tc>
        <w:tc>
          <w:tcPr>
            <w:tcW w:w="1558" w:type="dxa"/>
            <w:tcBorders>
              <w:top w:val="single" w:sz="4" w:space="0" w:color="000000"/>
              <w:bottom w:val="single" w:sz="4" w:space="0" w:color="000000"/>
            </w:tcBorders>
            <w:shd w:val="clear" w:color="auto" w:fill="E1E4BB"/>
          </w:tcPr>
          <w:p>
            <w:pPr>
              <w:pStyle w:val="TableParagraph"/>
              <w:spacing w:before="37"/>
              <w:ind w:right="120"/>
              <w:jc w:val="right"/>
              <w:rPr>
                <w:b/>
                <w:sz w:val="19"/>
              </w:rPr>
            </w:pPr>
            <w:r>
              <w:rPr>
                <w:b/>
                <w:w w:val="95"/>
                <w:sz w:val="19"/>
              </w:rPr>
              <w:t>1,073,241</w:t>
            </w:r>
          </w:p>
        </w:tc>
        <w:tc>
          <w:tcPr>
            <w:tcW w:w="1538" w:type="dxa"/>
            <w:tcBorders>
              <w:top w:val="single" w:sz="4" w:space="0" w:color="000000"/>
              <w:bottom w:val="single" w:sz="4" w:space="0" w:color="000000"/>
            </w:tcBorders>
            <w:shd w:val="clear" w:color="auto" w:fill="FAF9F9"/>
          </w:tcPr>
          <w:p>
            <w:pPr>
              <w:pStyle w:val="TableParagraph"/>
              <w:spacing w:before="37"/>
              <w:ind w:right="111"/>
              <w:jc w:val="right"/>
              <w:rPr>
                <w:b/>
                <w:sz w:val="19"/>
              </w:rPr>
            </w:pPr>
            <w:r>
              <w:rPr>
                <w:b/>
                <w:w w:val="95"/>
                <w:sz w:val="19"/>
              </w:rPr>
              <w:t>958,345</w:t>
            </w:r>
          </w:p>
        </w:tc>
        <w:tc>
          <w:tcPr>
            <w:tcW w:w="1548" w:type="dxa"/>
            <w:tcBorders>
              <w:top w:val="single" w:sz="4" w:space="0" w:color="000000"/>
              <w:bottom w:val="single" w:sz="4" w:space="0" w:color="000000"/>
            </w:tcBorders>
            <w:shd w:val="clear" w:color="auto" w:fill="FAF9F9"/>
          </w:tcPr>
          <w:p>
            <w:pPr>
              <w:pStyle w:val="TableParagraph"/>
              <w:spacing w:before="37"/>
              <w:ind w:right="111"/>
              <w:jc w:val="right"/>
              <w:rPr>
                <w:b/>
                <w:sz w:val="19"/>
              </w:rPr>
            </w:pPr>
            <w:r>
              <w:rPr>
                <w:b/>
                <w:w w:val="95"/>
                <w:sz w:val="19"/>
              </w:rPr>
              <w:t>(98,200)</w:t>
            </w:r>
          </w:p>
        </w:tc>
        <w:tc>
          <w:tcPr>
            <w:tcW w:w="1661" w:type="dxa"/>
            <w:tcBorders>
              <w:top w:val="single" w:sz="4" w:space="0" w:color="000000"/>
              <w:bottom w:val="single" w:sz="4" w:space="0" w:color="000000"/>
            </w:tcBorders>
            <w:shd w:val="clear" w:color="auto" w:fill="FAF9F9"/>
          </w:tcPr>
          <w:p>
            <w:pPr>
              <w:pStyle w:val="TableParagraph"/>
              <w:spacing w:before="37"/>
              <w:ind w:right="111"/>
              <w:jc w:val="right"/>
              <w:rPr>
                <w:b/>
                <w:sz w:val="19"/>
              </w:rPr>
            </w:pPr>
            <w:r>
              <w:rPr>
                <w:b/>
                <w:w w:val="95"/>
                <w:sz w:val="19"/>
              </w:rPr>
              <w:t>114,896</w:t>
            </w:r>
          </w:p>
        </w:tc>
      </w:tr>
      <w:tr>
        <w:trPr>
          <w:trHeight w:val="317" w:hRule="atLeast"/>
        </w:trPr>
        <w:tc>
          <w:tcPr>
            <w:tcW w:w="5896" w:type="dxa"/>
            <w:vMerge w:val="restart"/>
            <w:shd w:val="clear" w:color="auto" w:fill="FFFFFF"/>
          </w:tcPr>
          <w:p>
            <w:pPr>
              <w:pStyle w:val="TableParagraph"/>
              <w:spacing w:before="37"/>
              <w:ind w:left="114"/>
              <w:rPr>
                <w:b/>
                <w:sz w:val="19"/>
              </w:rPr>
            </w:pPr>
            <w:r>
              <w:rPr>
                <w:b/>
                <w:sz w:val="19"/>
              </w:rPr>
              <w:t>NET COST OF SERVICES</w:t>
            </w:r>
          </w:p>
        </w:tc>
        <w:tc>
          <w:tcPr>
            <w:tcW w:w="1548" w:type="dxa"/>
            <w:vMerge w:val="restart"/>
            <w:shd w:val="clear" w:color="auto" w:fill="FFFFFF"/>
          </w:tcPr>
          <w:p>
            <w:pPr>
              <w:pStyle w:val="TableParagraph"/>
              <w:spacing w:before="0"/>
              <w:rPr>
                <w:rFonts w:ascii="Times New Roman"/>
                <w:sz w:val="20"/>
              </w:rPr>
            </w:pPr>
          </w:p>
        </w:tc>
        <w:tc>
          <w:tcPr>
            <w:tcW w:w="1548" w:type="dxa"/>
            <w:tcBorders>
              <w:top w:val="single" w:sz="4" w:space="0" w:color="000000"/>
              <w:left w:val="single" w:sz="8" w:space="0" w:color="FFFFFF"/>
              <w:bottom w:val="single" w:sz="4" w:space="0" w:color="000000"/>
            </w:tcBorders>
            <w:shd w:val="clear" w:color="auto" w:fill="F4F4F4"/>
          </w:tcPr>
          <w:p>
            <w:pPr>
              <w:pStyle w:val="TableParagraph"/>
              <w:spacing w:before="37"/>
              <w:ind w:right="110"/>
              <w:jc w:val="right"/>
              <w:rPr>
                <w:b/>
                <w:sz w:val="19"/>
              </w:rPr>
            </w:pPr>
            <w:r>
              <w:rPr>
                <w:b/>
                <w:w w:val="95"/>
                <w:sz w:val="19"/>
              </w:rPr>
              <w:t>(188,321)</w:t>
            </w:r>
          </w:p>
        </w:tc>
        <w:tc>
          <w:tcPr>
            <w:tcW w:w="1558" w:type="dxa"/>
            <w:tcBorders>
              <w:top w:val="single" w:sz="4" w:space="0" w:color="000000"/>
              <w:bottom w:val="single" w:sz="4" w:space="0" w:color="000000"/>
            </w:tcBorders>
            <w:shd w:val="clear" w:color="auto" w:fill="DFE1B8"/>
          </w:tcPr>
          <w:p>
            <w:pPr>
              <w:pStyle w:val="TableParagraph"/>
              <w:spacing w:before="37"/>
              <w:ind w:right="120"/>
              <w:jc w:val="right"/>
              <w:rPr>
                <w:b/>
                <w:sz w:val="19"/>
              </w:rPr>
            </w:pPr>
            <w:r>
              <w:rPr>
                <w:b/>
                <w:w w:val="95"/>
                <w:sz w:val="19"/>
              </w:rPr>
              <w:t>(169,737)</w:t>
            </w:r>
          </w:p>
        </w:tc>
        <w:tc>
          <w:tcPr>
            <w:tcW w:w="1538" w:type="dxa"/>
            <w:tcBorders>
              <w:top w:val="single" w:sz="4" w:space="0" w:color="000000"/>
              <w:bottom w:val="single" w:sz="4" w:space="0" w:color="000000"/>
            </w:tcBorders>
            <w:shd w:val="clear" w:color="auto" w:fill="F4F4F4"/>
          </w:tcPr>
          <w:p>
            <w:pPr>
              <w:pStyle w:val="TableParagraph"/>
              <w:spacing w:before="37"/>
              <w:ind w:right="110"/>
              <w:jc w:val="right"/>
              <w:rPr>
                <w:b/>
                <w:sz w:val="19"/>
              </w:rPr>
            </w:pPr>
            <w:r>
              <w:rPr>
                <w:b/>
                <w:w w:val="95"/>
                <w:sz w:val="19"/>
              </w:rPr>
              <w:t>(224,068)</w:t>
            </w:r>
          </w:p>
        </w:tc>
        <w:tc>
          <w:tcPr>
            <w:tcW w:w="1548" w:type="dxa"/>
            <w:tcBorders>
              <w:top w:val="single" w:sz="4" w:space="0" w:color="000000"/>
              <w:bottom w:val="single" w:sz="4" w:space="0" w:color="000000"/>
            </w:tcBorders>
            <w:shd w:val="clear" w:color="auto" w:fill="F4F4F4"/>
          </w:tcPr>
          <w:p>
            <w:pPr>
              <w:pStyle w:val="TableParagraph"/>
              <w:spacing w:before="37"/>
              <w:ind w:right="111"/>
              <w:jc w:val="right"/>
              <w:rPr>
                <w:b/>
                <w:sz w:val="19"/>
              </w:rPr>
            </w:pPr>
            <w:r>
              <w:rPr>
                <w:b/>
                <w:w w:val="95"/>
                <w:sz w:val="19"/>
              </w:rPr>
              <w:t>18,584</w:t>
            </w:r>
          </w:p>
        </w:tc>
        <w:tc>
          <w:tcPr>
            <w:tcW w:w="1661" w:type="dxa"/>
            <w:tcBorders>
              <w:top w:val="single" w:sz="4" w:space="0" w:color="000000"/>
              <w:bottom w:val="single" w:sz="4" w:space="0" w:color="000000"/>
            </w:tcBorders>
            <w:shd w:val="clear" w:color="auto" w:fill="F4F4F4"/>
          </w:tcPr>
          <w:p>
            <w:pPr>
              <w:pStyle w:val="TableParagraph"/>
              <w:spacing w:before="37"/>
              <w:ind w:right="110"/>
              <w:jc w:val="right"/>
              <w:rPr>
                <w:b/>
                <w:sz w:val="19"/>
              </w:rPr>
            </w:pPr>
            <w:r>
              <w:rPr>
                <w:b/>
                <w:w w:val="95"/>
                <w:sz w:val="19"/>
              </w:rPr>
              <w:t>54,331</w:t>
            </w:r>
          </w:p>
        </w:tc>
      </w:tr>
      <w:tr>
        <w:trPr>
          <w:trHeight w:val="312" w:hRule="atLeast"/>
        </w:trPr>
        <w:tc>
          <w:tcPr>
            <w:tcW w:w="5896" w:type="dxa"/>
            <w:vMerge/>
            <w:tcBorders>
              <w:top w:val="nil"/>
            </w:tcBorders>
            <w:shd w:val="clear" w:color="auto" w:fill="FFFFFF"/>
          </w:tcPr>
          <w:p>
            <w:pPr>
              <w:rPr>
                <w:sz w:val="2"/>
                <w:szCs w:val="2"/>
              </w:rPr>
            </w:pPr>
          </w:p>
        </w:tc>
        <w:tc>
          <w:tcPr>
            <w:tcW w:w="1548" w:type="dxa"/>
            <w:vMerge/>
            <w:tcBorders>
              <w:top w:val="nil"/>
            </w:tcBorders>
            <w:shd w:val="clear" w:color="auto" w:fill="FFFFFF"/>
          </w:tcPr>
          <w:p>
            <w:pPr>
              <w:rPr>
                <w:sz w:val="2"/>
                <w:szCs w:val="2"/>
              </w:rPr>
            </w:pPr>
          </w:p>
        </w:tc>
        <w:tc>
          <w:tcPr>
            <w:tcW w:w="1548" w:type="dxa"/>
            <w:tcBorders>
              <w:top w:val="single" w:sz="4" w:space="0" w:color="000000"/>
              <w:left w:val="single" w:sz="8" w:space="0" w:color="FFFFFF"/>
              <w:bottom w:val="single" w:sz="8" w:space="0" w:color="FFFFFF"/>
            </w:tcBorders>
            <w:shd w:val="clear" w:color="auto" w:fill="FAF9F9"/>
          </w:tcPr>
          <w:p>
            <w:pPr>
              <w:pStyle w:val="TableParagraph"/>
              <w:spacing w:before="0"/>
              <w:rPr>
                <w:rFonts w:ascii="Times New Roman"/>
                <w:sz w:val="20"/>
              </w:rPr>
            </w:pPr>
          </w:p>
        </w:tc>
        <w:tc>
          <w:tcPr>
            <w:tcW w:w="1558" w:type="dxa"/>
            <w:vMerge w:val="restart"/>
            <w:tcBorders>
              <w:top w:val="single" w:sz="4" w:space="0" w:color="000000"/>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186"/>
              <w:ind w:right="120"/>
              <w:jc w:val="right"/>
              <w:rPr>
                <w:sz w:val="19"/>
              </w:rPr>
            </w:pPr>
            <w:r>
              <w:rPr>
                <w:w w:val="95"/>
                <w:sz w:val="19"/>
              </w:rPr>
              <w:t>167,150</w:t>
            </w:r>
          </w:p>
          <w:p>
            <w:pPr>
              <w:pStyle w:val="TableParagraph"/>
              <w:spacing w:before="109"/>
              <w:ind w:right="120"/>
              <w:jc w:val="right"/>
              <w:rPr>
                <w:sz w:val="19"/>
              </w:rPr>
            </w:pPr>
            <w:r>
              <w:rPr>
                <w:spacing w:val="-1"/>
                <w:sz w:val="19"/>
              </w:rPr>
              <w:t>13,303</w:t>
            </w:r>
          </w:p>
          <w:p>
            <w:pPr>
              <w:pStyle w:val="TableParagraph"/>
              <w:spacing w:before="108"/>
              <w:ind w:right="120"/>
              <w:jc w:val="right"/>
              <w:rPr>
                <w:sz w:val="19"/>
              </w:rPr>
            </w:pPr>
            <w:r>
              <w:rPr>
                <w:w w:val="95"/>
                <w:sz w:val="19"/>
              </w:rPr>
              <w:t>125</w:t>
            </w:r>
          </w:p>
        </w:tc>
        <w:tc>
          <w:tcPr>
            <w:tcW w:w="1538" w:type="dxa"/>
            <w:vMerge w:val="restart"/>
            <w:tcBorders>
              <w:top w:val="single" w:sz="4" w:space="0" w:color="000000"/>
              <w:bottom w:val="single" w:sz="4" w:space="0" w:color="000000"/>
            </w:tcBorders>
            <w:shd w:val="clear" w:color="auto" w:fill="FAF9F9"/>
          </w:tcPr>
          <w:p>
            <w:pPr>
              <w:pStyle w:val="TableParagraph"/>
              <w:spacing w:before="0"/>
              <w:rPr>
                <w:sz w:val="22"/>
              </w:rPr>
            </w:pPr>
          </w:p>
          <w:p>
            <w:pPr>
              <w:pStyle w:val="TableParagraph"/>
              <w:spacing w:before="0"/>
              <w:rPr>
                <w:sz w:val="22"/>
              </w:rPr>
            </w:pPr>
          </w:p>
          <w:p>
            <w:pPr>
              <w:pStyle w:val="TableParagraph"/>
              <w:spacing w:before="186"/>
              <w:ind w:right="110"/>
              <w:jc w:val="right"/>
              <w:rPr>
                <w:sz w:val="19"/>
              </w:rPr>
            </w:pPr>
            <w:r>
              <w:rPr>
                <w:w w:val="95"/>
                <w:sz w:val="19"/>
              </w:rPr>
              <w:t>188,932</w:t>
            </w:r>
          </w:p>
          <w:p>
            <w:pPr>
              <w:pStyle w:val="TableParagraph"/>
              <w:spacing w:before="109"/>
              <w:ind w:right="110"/>
              <w:jc w:val="right"/>
              <w:rPr>
                <w:sz w:val="19"/>
              </w:rPr>
            </w:pPr>
            <w:r>
              <w:rPr>
                <w:spacing w:val="-1"/>
                <w:sz w:val="19"/>
              </w:rPr>
              <w:t>14,518</w:t>
            </w:r>
          </w:p>
          <w:p>
            <w:pPr>
              <w:pStyle w:val="TableParagraph"/>
              <w:spacing w:before="108"/>
              <w:ind w:right="110"/>
              <w:jc w:val="right"/>
              <w:rPr>
                <w:sz w:val="19"/>
              </w:rPr>
            </w:pPr>
            <w:r>
              <w:rPr>
                <w:w w:val="95"/>
                <w:sz w:val="19"/>
              </w:rPr>
              <w:t>127</w:t>
            </w:r>
          </w:p>
        </w:tc>
        <w:tc>
          <w:tcPr>
            <w:tcW w:w="1548" w:type="dxa"/>
            <w:vMerge w:val="restart"/>
            <w:tcBorders>
              <w:top w:val="single" w:sz="4" w:space="0" w:color="000000"/>
              <w:bottom w:val="single" w:sz="4" w:space="0" w:color="000000"/>
            </w:tcBorders>
            <w:shd w:val="clear" w:color="auto" w:fill="FAF9F9"/>
          </w:tcPr>
          <w:p>
            <w:pPr>
              <w:pStyle w:val="TableParagraph"/>
              <w:spacing w:before="0"/>
              <w:rPr>
                <w:sz w:val="22"/>
              </w:rPr>
            </w:pPr>
          </w:p>
          <w:p>
            <w:pPr>
              <w:pStyle w:val="TableParagraph"/>
              <w:spacing w:before="0"/>
              <w:rPr>
                <w:sz w:val="22"/>
              </w:rPr>
            </w:pPr>
          </w:p>
          <w:p>
            <w:pPr>
              <w:pStyle w:val="TableParagraph"/>
              <w:spacing w:before="186"/>
              <w:ind w:right="110"/>
              <w:jc w:val="right"/>
              <w:rPr>
                <w:sz w:val="19"/>
              </w:rPr>
            </w:pPr>
            <w:r>
              <w:rPr>
                <w:spacing w:val="-1"/>
                <w:w w:val="95"/>
                <w:sz w:val="19"/>
              </w:rPr>
              <w:t>(10,633)</w:t>
            </w:r>
          </w:p>
          <w:p>
            <w:pPr>
              <w:pStyle w:val="TableParagraph"/>
              <w:spacing w:before="109"/>
              <w:ind w:right="110"/>
              <w:jc w:val="right"/>
              <w:rPr>
                <w:sz w:val="19"/>
              </w:rPr>
            </w:pPr>
            <w:r>
              <w:rPr>
                <w:w w:val="90"/>
                <w:sz w:val="19"/>
              </w:rPr>
              <w:t>(1,216)</w:t>
            </w:r>
          </w:p>
          <w:p>
            <w:pPr>
              <w:pStyle w:val="TableParagraph"/>
              <w:spacing w:before="108"/>
              <w:ind w:right="110"/>
              <w:jc w:val="right"/>
              <w:rPr>
                <w:sz w:val="19"/>
              </w:rPr>
            </w:pPr>
            <w:r>
              <w:rPr>
                <w:w w:val="85"/>
                <w:sz w:val="19"/>
              </w:rPr>
              <w:t>(16)</w:t>
            </w:r>
          </w:p>
        </w:tc>
        <w:tc>
          <w:tcPr>
            <w:tcW w:w="1661" w:type="dxa"/>
            <w:vMerge w:val="restart"/>
            <w:tcBorders>
              <w:top w:val="single" w:sz="4" w:space="0" w:color="000000"/>
              <w:bottom w:val="single" w:sz="4" w:space="0" w:color="000000"/>
            </w:tcBorders>
            <w:shd w:val="clear" w:color="auto" w:fill="FAF9F9"/>
          </w:tcPr>
          <w:p>
            <w:pPr>
              <w:pStyle w:val="TableParagraph"/>
              <w:spacing w:before="0"/>
              <w:rPr>
                <w:sz w:val="22"/>
              </w:rPr>
            </w:pPr>
          </w:p>
          <w:p>
            <w:pPr>
              <w:pStyle w:val="TableParagraph"/>
              <w:spacing w:before="0"/>
              <w:rPr>
                <w:sz w:val="22"/>
              </w:rPr>
            </w:pPr>
          </w:p>
          <w:p>
            <w:pPr>
              <w:pStyle w:val="TableParagraph"/>
              <w:spacing w:before="186"/>
              <w:ind w:right="110"/>
              <w:jc w:val="right"/>
              <w:rPr>
                <w:sz w:val="19"/>
              </w:rPr>
            </w:pPr>
            <w:r>
              <w:rPr>
                <w:spacing w:val="-1"/>
                <w:w w:val="95"/>
                <w:sz w:val="19"/>
              </w:rPr>
              <w:t>(21,782)</w:t>
            </w:r>
          </w:p>
          <w:p>
            <w:pPr>
              <w:pStyle w:val="TableParagraph"/>
              <w:spacing w:before="109"/>
              <w:ind w:right="110"/>
              <w:jc w:val="right"/>
              <w:rPr>
                <w:sz w:val="19"/>
              </w:rPr>
            </w:pPr>
            <w:r>
              <w:rPr>
                <w:w w:val="90"/>
                <w:sz w:val="19"/>
              </w:rPr>
              <w:t>(1,215)</w:t>
            </w:r>
          </w:p>
          <w:p>
            <w:pPr>
              <w:pStyle w:val="TableParagraph"/>
              <w:spacing w:before="108"/>
              <w:ind w:right="110"/>
              <w:jc w:val="right"/>
              <w:rPr>
                <w:sz w:val="19"/>
              </w:rPr>
            </w:pPr>
            <w:r>
              <w:rPr>
                <w:w w:val="80"/>
                <w:sz w:val="19"/>
              </w:rPr>
              <w:t>(2)</w:t>
            </w:r>
          </w:p>
        </w:tc>
      </w:tr>
      <w:tr>
        <w:trPr>
          <w:trHeight w:val="639" w:hRule="atLeast"/>
        </w:trPr>
        <w:tc>
          <w:tcPr>
            <w:tcW w:w="5896" w:type="dxa"/>
            <w:shd w:val="clear" w:color="auto" w:fill="FFFFFF"/>
          </w:tcPr>
          <w:p>
            <w:pPr>
              <w:pStyle w:val="TableParagraph"/>
              <w:ind w:left="115"/>
              <w:rPr>
                <w:b/>
                <w:sz w:val="19"/>
              </w:rPr>
            </w:pPr>
            <w:r>
              <w:rPr>
                <w:b/>
                <w:sz w:val="19"/>
              </w:rPr>
              <w:t>Income from State Government</w:t>
            </w:r>
          </w:p>
          <w:p>
            <w:pPr>
              <w:pStyle w:val="TableParagraph"/>
              <w:spacing w:before="109"/>
              <w:ind w:left="115"/>
              <w:rPr>
                <w:sz w:val="19"/>
              </w:rPr>
            </w:pPr>
            <w:r>
              <w:rPr>
                <w:sz w:val="19"/>
              </w:rPr>
              <w:t>Service appropriations</w:t>
            </w: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3"/>
              <w:rPr>
                <w:sz w:val="31"/>
              </w:rPr>
            </w:pPr>
          </w:p>
          <w:p>
            <w:pPr>
              <w:pStyle w:val="TableParagraph"/>
              <w:spacing w:before="0"/>
              <w:ind w:right="110"/>
              <w:jc w:val="right"/>
              <w:rPr>
                <w:sz w:val="19"/>
              </w:rPr>
            </w:pPr>
            <w:r>
              <w:rPr>
                <w:w w:val="95"/>
                <w:sz w:val="19"/>
              </w:rPr>
              <w:t>177,783</w:t>
            </w:r>
          </w:p>
        </w:tc>
        <w:tc>
          <w:tcPr>
            <w:tcW w:w="1558" w:type="dxa"/>
            <w:vMerge/>
            <w:tcBorders>
              <w:top w:val="nil"/>
              <w:bottom w:val="single" w:sz="4" w:space="0" w:color="000000"/>
            </w:tcBorders>
            <w:shd w:val="clear" w:color="auto" w:fill="E1E4BB"/>
          </w:tcPr>
          <w:p>
            <w:pPr>
              <w:rPr>
                <w:sz w:val="2"/>
                <w:szCs w:val="2"/>
              </w:rPr>
            </w:pPr>
          </w:p>
        </w:tc>
        <w:tc>
          <w:tcPr>
            <w:tcW w:w="1538" w:type="dxa"/>
            <w:vMerge/>
            <w:tcBorders>
              <w:top w:val="nil"/>
              <w:bottom w:val="single" w:sz="4" w:space="0" w:color="000000"/>
            </w:tcBorders>
            <w:shd w:val="clear" w:color="auto" w:fill="FAF9F9"/>
          </w:tcPr>
          <w:p>
            <w:pPr>
              <w:rPr>
                <w:sz w:val="2"/>
                <w:szCs w:val="2"/>
              </w:rPr>
            </w:pPr>
          </w:p>
        </w:tc>
        <w:tc>
          <w:tcPr>
            <w:tcW w:w="1548" w:type="dxa"/>
            <w:vMerge/>
            <w:tcBorders>
              <w:top w:val="nil"/>
              <w:bottom w:val="single" w:sz="4" w:space="0" w:color="000000"/>
            </w:tcBorders>
            <w:shd w:val="clear" w:color="auto" w:fill="FAF9F9"/>
          </w:tcPr>
          <w:p>
            <w:pPr>
              <w:rPr>
                <w:sz w:val="2"/>
                <w:szCs w:val="2"/>
              </w:rPr>
            </w:pPr>
          </w:p>
        </w:tc>
        <w:tc>
          <w:tcPr>
            <w:tcW w:w="1661" w:type="dxa"/>
            <w:vMerge/>
            <w:tcBorders>
              <w:top w:val="nil"/>
              <w:bottom w:val="single" w:sz="4" w:space="0" w:color="000000"/>
            </w:tcBorders>
            <w:shd w:val="clear" w:color="auto" w:fill="FAF9F9"/>
          </w:tcPr>
          <w:p>
            <w:pPr>
              <w:rPr>
                <w:sz w:val="2"/>
                <w:szCs w:val="2"/>
              </w:rPr>
            </w:pPr>
          </w:p>
        </w:tc>
      </w:tr>
      <w:tr>
        <w:trPr>
          <w:trHeight w:val="639" w:hRule="atLeast"/>
        </w:trPr>
        <w:tc>
          <w:tcPr>
            <w:tcW w:w="5896" w:type="dxa"/>
            <w:shd w:val="clear" w:color="auto" w:fill="FFFFFF"/>
          </w:tcPr>
          <w:p>
            <w:pPr>
              <w:pStyle w:val="TableParagraph"/>
              <w:spacing w:before="38"/>
              <w:ind w:left="115"/>
              <w:rPr>
                <w:sz w:val="19"/>
              </w:rPr>
            </w:pPr>
            <w:r>
              <w:rPr>
                <w:sz w:val="19"/>
              </w:rPr>
              <w:t>Services received free of charge</w:t>
            </w:r>
          </w:p>
          <w:p>
            <w:pPr>
              <w:pStyle w:val="TableParagraph"/>
              <w:spacing w:before="108"/>
              <w:ind w:left="115"/>
              <w:rPr>
                <w:sz w:val="19"/>
              </w:rPr>
            </w:pPr>
            <w:r>
              <w:rPr>
                <w:sz w:val="19"/>
              </w:rPr>
              <w:t>Royalties for Regions Fund</w:t>
            </w:r>
          </w:p>
        </w:tc>
        <w:tc>
          <w:tcPr>
            <w:tcW w:w="1548" w:type="dxa"/>
            <w:shd w:val="clear" w:color="auto" w:fill="FFFFFF"/>
          </w:tcPr>
          <w:p>
            <w:pPr>
              <w:pStyle w:val="TableParagraph"/>
              <w:spacing w:before="0"/>
              <w:rPr>
                <w:rFonts w:ascii="Times New Roman"/>
                <w:sz w:val="20"/>
              </w:rPr>
            </w:pPr>
          </w:p>
        </w:tc>
        <w:tc>
          <w:tcPr>
            <w:tcW w:w="1548" w:type="dxa"/>
            <w:tcBorders>
              <w:bottom w:val="single" w:sz="4" w:space="0" w:color="000000"/>
            </w:tcBorders>
            <w:shd w:val="clear" w:color="auto" w:fill="FFFFFF"/>
          </w:tcPr>
          <w:p>
            <w:pPr>
              <w:pStyle w:val="TableParagraph"/>
              <w:spacing w:before="38"/>
              <w:ind w:right="111"/>
              <w:jc w:val="right"/>
              <w:rPr>
                <w:sz w:val="19"/>
              </w:rPr>
            </w:pPr>
            <w:r>
              <w:rPr>
                <w:spacing w:val="-1"/>
                <w:sz w:val="19"/>
              </w:rPr>
              <w:t>14,519</w:t>
            </w:r>
          </w:p>
          <w:p>
            <w:pPr>
              <w:pStyle w:val="TableParagraph"/>
              <w:spacing w:before="108"/>
              <w:ind w:right="109"/>
              <w:jc w:val="right"/>
              <w:rPr>
                <w:sz w:val="19"/>
              </w:rPr>
            </w:pPr>
            <w:r>
              <w:rPr>
                <w:w w:val="95"/>
                <w:sz w:val="19"/>
              </w:rPr>
              <w:t>141</w:t>
            </w:r>
          </w:p>
        </w:tc>
        <w:tc>
          <w:tcPr>
            <w:tcW w:w="1558" w:type="dxa"/>
            <w:vMerge/>
            <w:tcBorders>
              <w:top w:val="nil"/>
              <w:bottom w:val="single" w:sz="4" w:space="0" w:color="000000"/>
            </w:tcBorders>
            <w:shd w:val="clear" w:color="auto" w:fill="E1E4BB"/>
          </w:tcPr>
          <w:p>
            <w:pPr>
              <w:rPr>
                <w:sz w:val="2"/>
                <w:szCs w:val="2"/>
              </w:rPr>
            </w:pPr>
          </w:p>
        </w:tc>
        <w:tc>
          <w:tcPr>
            <w:tcW w:w="1538" w:type="dxa"/>
            <w:vMerge/>
            <w:tcBorders>
              <w:top w:val="nil"/>
              <w:bottom w:val="single" w:sz="4" w:space="0" w:color="000000"/>
            </w:tcBorders>
            <w:shd w:val="clear" w:color="auto" w:fill="FAF9F9"/>
          </w:tcPr>
          <w:p>
            <w:pPr>
              <w:rPr>
                <w:sz w:val="2"/>
                <w:szCs w:val="2"/>
              </w:rPr>
            </w:pPr>
          </w:p>
        </w:tc>
        <w:tc>
          <w:tcPr>
            <w:tcW w:w="1548" w:type="dxa"/>
            <w:vMerge/>
            <w:tcBorders>
              <w:top w:val="nil"/>
              <w:bottom w:val="single" w:sz="4" w:space="0" w:color="000000"/>
            </w:tcBorders>
            <w:shd w:val="clear" w:color="auto" w:fill="FAF9F9"/>
          </w:tcPr>
          <w:p>
            <w:pPr>
              <w:rPr>
                <w:sz w:val="2"/>
                <w:szCs w:val="2"/>
              </w:rPr>
            </w:pPr>
          </w:p>
        </w:tc>
        <w:tc>
          <w:tcPr>
            <w:tcW w:w="1661" w:type="dxa"/>
            <w:vMerge/>
            <w:tcBorders>
              <w:top w:val="nil"/>
              <w:bottom w:val="single" w:sz="4" w:space="0" w:color="000000"/>
            </w:tcBorders>
            <w:shd w:val="clear" w:color="auto" w:fill="FAF9F9"/>
          </w:tcPr>
          <w:p>
            <w:pPr>
              <w:rPr>
                <w:sz w:val="2"/>
                <w:szCs w:val="2"/>
              </w:rPr>
            </w:pPr>
          </w:p>
        </w:tc>
      </w:tr>
      <w:tr>
        <w:trPr>
          <w:trHeight w:val="307" w:hRule="atLeast"/>
        </w:trPr>
        <w:tc>
          <w:tcPr>
            <w:tcW w:w="5896" w:type="dxa"/>
            <w:tcBorders>
              <w:top w:val="single" w:sz="8" w:space="0" w:color="FFFFFF"/>
              <w:bottom w:val="single" w:sz="8" w:space="0" w:color="FFFFFF"/>
              <w:right w:val="single" w:sz="8" w:space="0" w:color="FFFFFF"/>
            </w:tcBorders>
            <w:shd w:val="clear" w:color="auto" w:fill="F4F4F4"/>
          </w:tcPr>
          <w:p>
            <w:pPr>
              <w:pStyle w:val="TableParagraph"/>
              <w:spacing w:before="33"/>
              <w:ind w:left="115"/>
              <w:rPr>
                <w:b/>
                <w:sz w:val="19"/>
              </w:rPr>
            </w:pPr>
            <w:r>
              <w:rPr>
                <w:b/>
                <w:sz w:val="19"/>
              </w:rPr>
              <w:t>Total income from State Government</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4" w:space="0" w:color="000000"/>
              <w:left w:val="single" w:sz="8" w:space="0" w:color="FFFFFF"/>
              <w:bottom w:val="single" w:sz="4" w:space="0" w:color="000000"/>
            </w:tcBorders>
            <w:shd w:val="clear" w:color="auto" w:fill="F4F4F4"/>
          </w:tcPr>
          <w:p>
            <w:pPr>
              <w:pStyle w:val="TableParagraph"/>
              <w:spacing w:before="33"/>
              <w:ind w:right="109"/>
              <w:jc w:val="right"/>
              <w:rPr>
                <w:b/>
                <w:sz w:val="19"/>
              </w:rPr>
            </w:pPr>
            <w:r>
              <w:rPr>
                <w:b/>
                <w:w w:val="95"/>
                <w:sz w:val="19"/>
              </w:rPr>
              <w:t>192,443</w:t>
            </w:r>
          </w:p>
        </w:tc>
        <w:tc>
          <w:tcPr>
            <w:tcW w:w="1558" w:type="dxa"/>
            <w:tcBorders>
              <w:top w:val="single" w:sz="4" w:space="0" w:color="000000"/>
              <w:bottom w:val="single" w:sz="4" w:space="0" w:color="000000"/>
            </w:tcBorders>
            <w:shd w:val="clear" w:color="auto" w:fill="DFE1B8"/>
          </w:tcPr>
          <w:p>
            <w:pPr>
              <w:pStyle w:val="TableParagraph"/>
              <w:spacing w:before="33"/>
              <w:ind w:right="119"/>
              <w:jc w:val="right"/>
              <w:rPr>
                <w:b/>
                <w:sz w:val="19"/>
              </w:rPr>
            </w:pPr>
            <w:r>
              <w:rPr>
                <w:b/>
                <w:w w:val="95"/>
                <w:sz w:val="19"/>
              </w:rPr>
              <w:t>180,578</w:t>
            </w:r>
          </w:p>
        </w:tc>
        <w:tc>
          <w:tcPr>
            <w:tcW w:w="1538" w:type="dxa"/>
            <w:tcBorders>
              <w:top w:val="single" w:sz="4" w:space="0" w:color="000000"/>
              <w:bottom w:val="single" w:sz="4" w:space="0" w:color="000000"/>
              <w:right w:val="single" w:sz="8" w:space="0" w:color="FFFFFF"/>
            </w:tcBorders>
            <w:shd w:val="clear" w:color="auto" w:fill="F4F4F4"/>
          </w:tcPr>
          <w:p>
            <w:pPr>
              <w:pStyle w:val="TableParagraph"/>
              <w:spacing w:before="33"/>
              <w:ind w:right="100"/>
              <w:jc w:val="right"/>
              <w:rPr>
                <w:b/>
                <w:sz w:val="19"/>
              </w:rPr>
            </w:pPr>
            <w:r>
              <w:rPr>
                <w:b/>
                <w:w w:val="95"/>
                <w:sz w:val="19"/>
              </w:rPr>
              <w:t>203,577</w:t>
            </w:r>
          </w:p>
        </w:tc>
        <w:tc>
          <w:tcPr>
            <w:tcW w:w="1548" w:type="dxa"/>
            <w:tcBorders>
              <w:top w:val="single" w:sz="4" w:space="0" w:color="000000"/>
              <w:left w:val="single" w:sz="8" w:space="0" w:color="FFFFFF"/>
              <w:bottom w:val="single" w:sz="4" w:space="0" w:color="000000"/>
              <w:right w:val="single" w:sz="8" w:space="0" w:color="FFFFFF"/>
            </w:tcBorders>
            <w:shd w:val="clear" w:color="auto" w:fill="F4F4F4"/>
          </w:tcPr>
          <w:p>
            <w:pPr>
              <w:pStyle w:val="TableParagraph"/>
              <w:spacing w:before="33"/>
              <w:ind w:right="100"/>
              <w:jc w:val="right"/>
              <w:rPr>
                <w:b/>
                <w:sz w:val="19"/>
              </w:rPr>
            </w:pPr>
            <w:r>
              <w:rPr>
                <w:b/>
                <w:w w:val="95"/>
                <w:sz w:val="19"/>
              </w:rPr>
              <w:t>(11,865)</w:t>
            </w:r>
          </w:p>
        </w:tc>
        <w:tc>
          <w:tcPr>
            <w:tcW w:w="1661" w:type="dxa"/>
            <w:tcBorders>
              <w:top w:val="single" w:sz="4" w:space="0" w:color="000000"/>
              <w:left w:val="single" w:sz="8" w:space="0" w:color="FFFFFF"/>
              <w:bottom w:val="single" w:sz="4" w:space="0" w:color="000000"/>
            </w:tcBorders>
            <w:shd w:val="clear" w:color="auto" w:fill="F4F4F4"/>
          </w:tcPr>
          <w:p>
            <w:pPr>
              <w:pStyle w:val="TableParagraph"/>
              <w:spacing w:before="33"/>
              <w:ind w:right="110"/>
              <w:jc w:val="right"/>
              <w:rPr>
                <w:b/>
                <w:sz w:val="19"/>
              </w:rPr>
            </w:pPr>
            <w:r>
              <w:rPr>
                <w:b/>
                <w:w w:val="95"/>
                <w:sz w:val="19"/>
              </w:rPr>
              <w:t>(22,999)</w:t>
            </w:r>
          </w:p>
        </w:tc>
      </w:tr>
    </w:tbl>
    <w:p>
      <w:pPr>
        <w:spacing w:after="0"/>
        <w:jc w:val="right"/>
        <w:rPr>
          <w:sz w:val="19"/>
        </w:rPr>
        <w:sectPr>
          <w:footerReference w:type="default" r:id="rId230"/>
          <w:pgSz w:w="16840" w:h="11910" w:orient="landscape"/>
          <w:pgMar w:footer="448" w:header="0" w:top="0" w:bottom="640" w:left="0" w:right="0"/>
        </w:sectPr>
      </w:pPr>
    </w:p>
    <w:p>
      <w:pPr>
        <w:pStyle w:val="BodyText"/>
        <w:ind w:left="2397"/>
        <w:rPr>
          <w:sz w:val="20"/>
        </w:rPr>
      </w:pPr>
      <w:bookmarkStart w:name="_bookmark54" w:id="54"/>
      <w:bookmarkEnd w:id="54"/>
      <w:r>
        <w:rPr/>
      </w: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pPr>
    </w:p>
    <w:p>
      <w:pPr>
        <w:spacing w:before="93"/>
        <w:ind w:left="765" w:right="0" w:firstLine="0"/>
        <w:jc w:val="left"/>
        <w:rPr>
          <w:sz w:val="72"/>
        </w:rPr>
      </w:pPr>
      <w:r>
        <w:rPr/>
        <w:pict>
          <v:group style="position:absolute;margin-left:763.172119pt;margin-top:-3.544212pt;width:61.1pt;height:45.2pt;mso-position-horizontal-relative:page;mso-position-vertical-relative:paragraph;z-index:24112"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24160" coordorigin="0,-1146" coordsize="2406,851">
            <v:rect style="position:absolute;left:0;top:-1147;width:2406;height:851" filled="true" fillcolor="#aebd37" stroked="false">
              <v:fill type="solid"/>
            </v:rect>
            <v:line style="position:absolute" from="0,-1146" to="0,-296" stroked="true" strokeweight="0pt" strokecolor="#aebd37">
              <v:stroke dashstyle="solid"/>
            </v:line>
            <v:shape style="position:absolute;left:0;top:-1147;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24256"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sz w:val="72"/>
        </w:rPr>
        <w:t>Notes </w:t>
      </w:r>
      <w:r>
        <w:rPr>
          <w:color w:val="6F2770"/>
          <w:spacing w:val="-17"/>
          <w:sz w:val="72"/>
        </w:rPr>
        <w:t>to </w:t>
      </w:r>
      <w:r>
        <w:rPr>
          <w:color w:val="6F2770"/>
          <w:spacing w:val="-10"/>
          <w:sz w:val="72"/>
        </w:rPr>
        <w:t>the </w:t>
      </w:r>
      <w:r>
        <w:rPr>
          <w:color w:val="6F2770"/>
          <w:spacing w:val="-14"/>
          <w:sz w:val="72"/>
        </w:rPr>
        <w:t>Financial</w:t>
      </w:r>
      <w:r>
        <w:rPr>
          <w:color w:val="6F2770"/>
          <w:spacing w:val="-89"/>
          <w:sz w:val="72"/>
        </w:rPr>
        <w:t> </w:t>
      </w:r>
      <w:r>
        <w:rPr>
          <w:color w:val="6F2770"/>
          <w:spacing w:val="-17"/>
          <w:sz w:val="72"/>
        </w:rPr>
        <w:t>Statements</w:t>
      </w:r>
    </w:p>
    <w:p>
      <w:pPr>
        <w:spacing w:before="29"/>
        <w:ind w:left="765" w:right="0" w:firstLine="0"/>
        <w:jc w:val="left"/>
        <w:rPr>
          <w:sz w:val="36"/>
        </w:rPr>
      </w:pPr>
      <w:r>
        <w:rPr>
          <w:color w:val="A7BE39"/>
          <w:sz w:val="36"/>
        </w:rPr>
        <w:t>For the year ended 30 June 2017</w:t>
      </w:r>
    </w:p>
    <w:p>
      <w:pPr>
        <w:pStyle w:val="BodyText"/>
        <w:spacing w:before="7"/>
        <w:rPr>
          <w:sz w:val="28"/>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6"/>
        <w:gridCol w:w="1548"/>
        <w:gridCol w:w="1548"/>
        <w:gridCol w:w="1558"/>
        <w:gridCol w:w="1538"/>
        <w:gridCol w:w="1548"/>
        <w:gridCol w:w="1661"/>
      </w:tblGrid>
      <w:tr>
        <w:trPr>
          <w:trHeight w:val="1222" w:hRule="atLeast"/>
        </w:trPr>
        <w:tc>
          <w:tcPr>
            <w:tcW w:w="7444" w:type="dxa"/>
            <w:gridSpan w:val="2"/>
            <w:shd w:val="clear" w:color="auto" w:fill="783A79"/>
          </w:tcPr>
          <w:p>
            <w:pPr>
              <w:pStyle w:val="TableParagraph"/>
              <w:spacing w:before="47"/>
              <w:ind w:right="138"/>
              <w:jc w:val="right"/>
              <w:rPr>
                <w:b/>
                <w:sz w:val="19"/>
              </w:rPr>
            </w:pPr>
            <w:r>
              <w:rPr>
                <w:b/>
                <w:color w:val="FFFFFF"/>
                <w:sz w:val="19"/>
              </w:rPr>
              <w:t>Variance Note</w:t>
            </w:r>
          </w:p>
        </w:tc>
        <w:tc>
          <w:tcPr>
            <w:tcW w:w="1548" w:type="dxa"/>
            <w:shd w:val="clear" w:color="auto" w:fill="783A79"/>
          </w:tcPr>
          <w:p>
            <w:pPr>
              <w:pStyle w:val="TableParagraph"/>
              <w:spacing w:before="47"/>
              <w:ind w:left="160"/>
              <w:rPr>
                <w:b/>
                <w:sz w:val="19"/>
              </w:rPr>
            </w:pPr>
            <w:r>
              <w:rPr>
                <w:b/>
                <w:color w:val="FFFFFF"/>
                <w:sz w:val="19"/>
              </w:rPr>
              <w:t>Estimate</w:t>
            </w:r>
            <w:r>
              <w:rPr>
                <w:b/>
                <w:color w:val="FFFFFF"/>
                <w:spacing w:val="6"/>
                <w:sz w:val="19"/>
              </w:rPr>
              <w:t> </w:t>
            </w:r>
            <w:r>
              <w:rPr>
                <w:b/>
                <w:color w:val="FFFFFF"/>
                <w:sz w:val="19"/>
              </w:rPr>
              <w:t>2017</w:t>
            </w:r>
          </w:p>
          <w:p>
            <w:pPr>
              <w:pStyle w:val="TableParagraph"/>
              <w:spacing w:before="0"/>
              <w:rPr>
                <w:sz w:val="22"/>
              </w:rPr>
            </w:pPr>
          </w:p>
          <w:p>
            <w:pPr>
              <w:pStyle w:val="TableParagraph"/>
              <w:spacing w:before="0"/>
              <w:rPr>
                <w:sz w:val="22"/>
              </w:rPr>
            </w:pPr>
          </w:p>
          <w:p>
            <w:pPr>
              <w:pStyle w:val="TableParagraph"/>
              <w:spacing w:before="188"/>
              <w:ind w:left="1011"/>
              <w:rPr>
                <w:b/>
                <w:sz w:val="19"/>
              </w:rPr>
            </w:pPr>
            <w:r>
              <w:rPr>
                <w:b/>
                <w:color w:val="FFFFFF"/>
                <w:sz w:val="19"/>
              </w:rPr>
              <w:t>$000</w:t>
            </w:r>
          </w:p>
        </w:tc>
        <w:tc>
          <w:tcPr>
            <w:tcW w:w="1558" w:type="dxa"/>
            <w:shd w:val="clear" w:color="auto" w:fill="783A79"/>
          </w:tcPr>
          <w:p>
            <w:pPr>
              <w:pStyle w:val="TableParagraph"/>
              <w:spacing w:before="47"/>
              <w:ind w:left="381"/>
              <w:rPr>
                <w:b/>
                <w:sz w:val="19"/>
              </w:rPr>
            </w:pPr>
            <w:r>
              <w:rPr>
                <w:b/>
                <w:color w:val="FFFFFF"/>
                <w:sz w:val="19"/>
              </w:rPr>
              <w:t>Actual</w:t>
            </w:r>
            <w:r>
              <w:rPr>
                <w:b/>
                <w:color w:val="FFFFFF"/>
                <w:spacing w:val="-4"/>
                <w:sz w:val="19"/>
              </w:rPr>
              <w:t> </w:t>
            </w:r>
            <w:r>
              <w:rPr>
                <w:b/>
                <w:color w:val="FFFFFF"/>
                <w:sz w:val="19"/>
              </w:rPr>
              <w:t>2017</w:t>
            </w:r>
          </w:p>
          <w:p>
            <w:pPr>
              <w:pStyle w:val="TableParagraph"/>
              <w:spacing w:before="0"/>
              <w:rPr>
                <w:sz w:val="22"/>
              </w:rPr>
            </w:pPr>
          </w:p>
          <w:p>
            <w:pPr>
              <w:pStyle w:val="TableParagraph"/>
              <w:spacing w:before="0"/>
              <w:rPr>
                <w:sz w:val="22"/>
              </w:rPr>
            </w:pPr>
          </w:p>
          <w:p>
            <w:pPr>
              <w:pStyle w:val="TableParagraph"/>
              <w:spacing w:before="188"/>
              <w:ind w:left="1011"/>
              <w:rPr>
                <w:b/>
                <w:sz w:val="19"/>
              </w:rPr>
            </w:pPr>
            <w:r>
              <w:rPr>
                <w:b/>
                <w:color w:val="FFFFFF"/>
                <w:sz w:val="19"/>
              </w:rPr>
              <w:t>$000</w:t>
            </w:r>
          </w:p>
        </w:tc>
        <w:tc>
          <w:tcPr>
            <w:tcW w:w="1538" w:type="dxa"/>
            <w:shd w:val="clear" w:color="auto" w:fill="783A79"/>
          </w:tcPr>
          <w:p>
            <w:pPr>
              <w:pStyle w:val="TableParagraph"/>
              <w:spacing w:before="47"/>
              <w:ind w:left="371"/>
              <w:rPr>
                <w:b/>
                <w:sz w:val="19"/>
              </w:rPr>
            </w:pPr>
            <w:r>
              <w:rPr>
                <w:b/>
                <w:color w:val="FFFFFF"/>
                <w:sz w:val="19"/>
              </w:rPr>
              <w:t>Actual</w:t>
            </w:r>
            <w:r>
              <w:rPr>
                <w:b/>
                <w:color w:val="FFFFFF"/>
                <w:spacing w:val="-4"/>
                <w:sz w:val="19"/>
              </w:rPr>
              <w:t> </w:t>
            </w:r>
            <w:r>
              <w:rPr>
                <w:b/>
                <w:color w:val="FFFFFF"/>
                <w:sz w:val="19"/>
              </w:rPr>
              <w:t>2016</w:t>
            </w:r>
          </w:p>
          <w:p>
            <w:pPr>
              <w:pStyle w:val="TableParagraph"/>
              <w:spacing w:before="0"/>
              <w:rPr>
                <w:sz w:val="22"/>
              </w:rPr>
            </w:pPr>
          </w:p>
          <w:p>
            <w:pPr>
              <w:pStyle w:val="TableParagraph"/>
              <w:spacing w:before="0"/>
              <w:rPr>
                <w:sz w:val="22"/>
              </w:rPr>
            </w:pPr>
          </w:p>
          <w:p>
            <w:pPr>
              <w:pStyle w:val="TableParagraph"/>
              <w:spacing w:before="188"/>
              <w:ind w:left="1001"/>
              <w:rPr>
                <w:b/>
                <w:sz w:val="19"/>
              </w:rPr>
            </w:pPr>
            <w:r>
              <w:rPr>
                <w:b/>
                <w:color w:val="FFFFFF"/>
                <w:sz w:val="19"/>
              </w:rPr>
              <w:t>$000</w:t>
            </w:r>
          </w:p>
        </w:tc>
        <w:tc>
          <w:tcPr>
            <w:tcW w:w="1548" w:type="dxa"/>
            <w:shd w:val="clear" w:color="auto" w:fill="783A79"/>
          </w:tcPr>
          <w:p>
            <w:pPr>
              <w:pStyle w:val="TableParagraph"/>
              <w:spacing w:line="249" w:lineRule="auto" w:before="47"/>
              <w:ind w:left="258" w:right="112" w:firstLine="393"/>
              <w:jc w:val="right"/>
              <w:rPr>
                <w:b/>
                <w:sz w:val="19"/>
              </w:rPr>
            </w:pPr>
            <w:r>
              <w:rPr>
                <w:b/>
                <w:color w:val="FFFFFF"/>
                <w:spacing w:val="-2"/>
                <w:sz w:val="19"/>
              </w:rPr>
              <w:t>Variance </w:t>
            </w:r>
            <w:r>
              <w:rPr>
                <w:b/>
                <w:color w:val="FFFFFF"/>
                <w:sz w:val="19"/>
              </w:rPr>
              <w:t>between estimate</w:t>
            </w:r>
            <w:r>
              <w:rPr>
                <w:b/>
                <w:color w:val="FFFFFF"/>
                <w:spacing w:val="14"/>
                <w:sz w:val="19"/>
              </w:rPr>
              <w:t> </w:t>
            </w:r>
            <w:r>
              <w:rPr>
                <w:b/>
                <w:color w:val="FFFFFF"/>
                <w:spacing w:val="-6"/>
                <w:sz w:val="19"/>
              </w:rPr>
              <w:t>and</w:t>
            </w:r>
          </w:p>
          <w:p>
            <w:pPr>
              <w:pStyle w:val="TableParagraph"/>
              <w:spacing w:before="3"/>
              <w:ind w:right="112"/>
              <w:jc w:val="right"/>
              <w:rPr>
                <w:b/>
                <w:sz w:val="19"/>
              </w:rPr>
            </w:pPr>
            <w:r>
              <w:rPr>
                <w:b/>
                <w:color w:val="FFFFFF"/>
                <w:sz w:val="19"/>
              </w:rPr>
              <w:t>actual</w:t>
            </w:r>
          </w:p>
          <w:p>
            <w:pPr>
              <w:pStyle w:val="TableParagraph"/>
              <w:spacing w:before="9"/>
              <w:ind w:right="112"/>
              <w:jc w:val="right"/>
              <w:rPr>
                <w:b/>
                <w:sz w:val="19"/>
              </w:rPr>
            </w:pPr>
            <w:r>
              <w:rPr>
                <w:b/>
                <w:color w:val="FFFFFF"/>
                <w:w w:val="95"/>
                <w:sz w:val="19"/>
              </w:rPr>
              <w:t>$000</w:t>
            </w:r>
          </w:p>
        </w:tc>
        <w:tc>
          <w:tcPr>
            <w:tcW w:w="1661" w:type="dxa"/>
            <w:shd w:val="clear" w:color="auto" w:fill="783A79"/>
          </w:tcPr>
          <w:p>
            <w:pPr>
              <w:pStyle w:val="TableParagraph"/>
              <w:spacing w:line="249" w:lineRule="auto" w:before="47"/>
              <w:ind w:left="152" w:right="112" w:firstLine="612"/>
              <w:jc w:val="both"/>
              <w:rPr>
                <w:b/>
                <w:sz w:val="19"/>
              </w:rPr>
            </w:pPr>
            <w:r>
              <w:rPr>
                <w:b/>
                <w:color w:val="FFFFFF"/>
                <w:spacing w:val="-2"/>
                <w:sz w:val="19"/>
              </w:rPr>
              <w:t>Variance </w:t>
            </w:r>
            <w:r>
              <w:rPr>
                <w:b/>
                <w:color w:val="FFFFFF"/>
                <w:sz w:val="19"/>
              </w:rPr>
              <w:t>between actual results for</w:t>
            </w:r>
            <w:r>
              <w:rPr>
                <w:b/>
                <w:color w:val="FFFFFF"/>
                <w:spacing w:val="-12"/>
                <w:sz w:val="19"/>
              </w:rPr>
              <w:t> </w:t>
            </w:r>
            <w:r>
              <w:rPr>
                <w:b/>
                <w:color w:val="FFFFFF"/>
                <w:spacing w:val="-4"/>
                <w:sz w:val="19"/>
              </w:rPr>
              <w:t>2017</w:t>
            </w:r>
          </w:p>
          <w:p>
            <w:pPr>
              <w:pStyle w:val="TableParagraph"/>
              <w:spacing w:before="3"/>
              <w:ind w:right="112"/>
              <w:jc w:val="right"/>
              <w:rPr>
                <w:b/>
                <w:sz w:val="19"/>
              </w:rPr>
            </w:pPr>
            <w:r>
              <w:rPr>
                <w:b/>
                <w:color w:val="FFFFFF"/>
                <w:sz w:val="19"/>
              </w:rPr>
              <w:t>and</w:t>
            </w:r>
            <w:r>
              <w:rPr>
                <w:b/>
                <w:color w:val="FFFFFF"/>
                <w:spacing w:val="-1"/>
                <w:sz w:val="19"/>
              </w:rPr>
              <w:t> </w:t>
            </w:r>
            <w:r>
              <w:rPr>
                <w:b/>
                <w:color w:val="FFFFFF"/>
                <w:sz w:val="19"/>
              </w:rPr>
              <w:t>2016</w:t>
            </w:r>
          </w:p>
          <w:p>
            <w:pPr>
              <w:pStyle w:val="TableParagraph"/>
              <w:spacing w:before="9"/>
              <w:ind w:right="112"/>
              <w:jc w:val="right"/>
              <w:rPr>
                <w:b/>
                <w:sz w:val="19"/>
              </w:rPr>
            </w:pPr>
            <w:r>
              <w:rPr>
                <w:b/>
                <w:color w:val="FFFFFF"/>
                <w:w w:val="95"/>
                <w:sz w:val="19"/>
              </w:rPr>
              <w:t>$000</w:t>
            </w:r>
          </w:p>
        </w:tc>
      </w:tr>
      <w:tr>
        <w:trPr>
          <w:trHeight w:val="322" w:hRule="atLeast"/>
        </w:trPr>
        <w:tc>
          <w:tcPr>
            <w:tcW w:w="5896" w:type="dxa"/>
            <w:vMerge w:val="restart"/>
            <w:shd w:val="clear" w:color="auto" w:fill="FFFFFF"/>
          </w:tcPr>
          <w:p>
            <w:pPr>
              <w:pStyle w:val="TableParagraph"/>
              <w:spacing w:before="42"/>
              <w:ind w:left="113"/>
              <w:rPr>
                <w:b/>
                <w:sz w:val="19"/>
              </w:rPr>
            </w:pPr>
            <w:r>
              <w:rPr>
                <w:b/>
                <w:sz w:val="19"/>
              </w:rPr>
              <w:t>SURPLUS/(DEFICIT) FOR THE PERIOD</w:t>
            </w:r>
          </w:p>
        </w:tc>
        <w:tc>
          <w:tcPr>
            <w:tcW w:w="1548" w:type="dxa"/>
            <w:vMerge w:val="restart"/>
            <w:shd w:val="clear" w:color="auto" w:fill="FFFFFF"/>
          </w:tcPr>
          <w:p>
            <w:pPr>
              <w:pStyle w:val="TableParagraph"/>
              <w:spacing w:before="0"/>
              <w:rPr>
                <w:rFonts w:ascii="Times New Roman"/>
                <w:sz w:val="20"/>
              </w:rPr>
            </w:pPr>
          </w:p>
        </w:tc>
        <w:tc>
          <w:tcPr>
            <w:tcW w:w="1548" w:type="dxa"/>
            <w:tcBorders>
              <w:left w:val="single" w:sz="8" w:space="0" w:color="FFFFFF"/>
              <w:bottom w:val="single" w:sz="4" w:space="0" w:color="000000"/>
            </w:tcBorders>
            <w:shd w:val="clear" w:color="auto" w:fill="F4F4F4"/>
          </w:tcPr>
          <w:p>
            <w:pPr>
              <w:pStyle w:val="TableParagraph"/>
              <w:spacing w:before="42"/>
              <w:ind w:right="111"/>
              <w:jc w:val="right"/>
              <w:rPr>
                <w:b/>
                <w:sz w:val="19"/>
              </w:rPr>
            </w:pPr>
            <w:r>
              <w:rPr>
                <w:b/>
                <w:w w:val="95"/>
                <w:sz w:val="19"/>
              </w:rPr>
              <w:t>4,122</w:t>
            </w:r>
          </w:p>
        </w:tc>
        <w:tc>
          <w:tcPr>
            <w:tcW w:w="1558" w:type="dxa"/>
            <w:tcBorders>
              <w:bottom w:val="single" w:sz="4" w:space="0" w:color="000000"/>
            </w:tcBorders>
            <w:shd w:val="clear" w:color="auto" w:fill="DFE1B8"/>
          </w:tcPr>
          <w:p>
            <w:pPr>
              <w:pStyle w:val="TableParagraph"/>
              <w:spacing w:before="42"/>
              <w:ind w:right="121"/>
              <w:jc w:val="right"/>
              <w:rPr>
                <w:b/>
                <w:sz w:val="19"/>
              </w:rPr>
            </w:pPr>
            <w:r>
              <w:rPr>
                <w:b/>
                <w:w w:val="95"/>
                <w:sz w:val="19"/>
              </w:rPr>
              <w:t>10,841</w:t>
            </w:r>
          </w:p>
        </w:tc>
        <w:tc>
          <w:tcPr>
            <w:tcW w:w="1538" w:type="dxa"/>
            <w:tcBorders>
              <w:bottom w:val="single" w:sz="4" w:space="0" w:color="000000"/>
              <w:right w:val="single" w:sz="8" w:space="0" w:color="FFFFFF"/>
            </w:tcBorders>
            <w:shd w:val="clear" w:color="auto" w:fill="F4F4F4"/>
          </w:tcPr>
          <w:p>
            <w:pPr>
              <w:pStyle w:val="TableParagraph"/>
              <w:spacing w:before="42"/>
              <w:ind w:right="102"/>
              <w:jc w:val="right"/>
              <w:rPr>
                <w:b/>
                <w:sz w:val="19"/>
              </w:rPr>
            </w:pPr>
            <w:r>
              <w:rPr>
                <w:b/>
                <w:w w:val="95"/>
                <w:sz w:val="19"/>
              </w:rPr>
              <w:t>(20,491)</w:t>
            </w:r>
          </w:p>
        </w:tc>
        <w:tc>
          <w:tcPr>
            <w:tcW w:w="1548" w:type="dxa"/>
            <w:tcBorders>
              <w:left w:val="single" w:sz="8" w:space="0" w:color="FFFFFF"/>
              <w:bottom w:val="single" w:sz="4" w:space="0" w:color="000000"/>
              <w:right w:val="single" w:sz="8" w:space="0" w:color="FFFFFF"/>
            </w:tcBorders>
            <w:shd w:val="clear" w:color="auto" w:fill="F4F4F4"/>
          </w:tcPr>
          <w:p>
            <w:pPr>
              <w:pStyle w:val="TableParagraph"/>
              <w:spacing w:before="42"/>
              <w:ind w:right="102"/>
              <w:jc w:val="right"/>
              <w:rPr>
                <w:b/>
                <w:sz w:val="19"/>
              </w:rPr>
            </w:pPr>
            <w:r>
              <w:rPr>
                <w:b/>
                <w:w w:val="95"/>
                <w:sz w:val="19"/>
              </w:rPr>
              <w:t>6,719</w:t>
            </w:r>
          </w:p>
        </w:tc>
        <w:tc>
          <w:tcPr>
            <w:tcW w:w="1661" w:type="dxa"/>
            <w:tcBorders>
              <w:left w:val="single" w:sz="8" w:space="0" w:color="FFFFFF"/>
              <w:bottom w:val="single" w:sz="4" w:space="0" w:color="000000"/>
            </w:tcBorders>
            <w:shd w:val="clear" w:color="auto" w:fill="F4F4F4"/>
          </w:tcPr>
          <w:p>
            <w:pPr>
              <w:pStyle w:val="TableParagraph"/>
              <w:spacing w:before="42"/>
              <w:ind w:right="112"/>
              <w:jc w:val="right"/>
              <w:rPr>
                <w:b/>
                <w:sz w:val="19"/>
              </w:rPr>
            </w:pPr>
            <w:r>
              <w:rPr>
                <w:b/>
                <w:w w:val="95"/>
                <w:sz w:val="19"/>
              </w:rPr>
              <w:t>31,332</w:t>
            </w:r>
          </w:p>
        </w:tc>
      </w:tr>
      <w:tr>
        <w:trPr>
          <w:trHeight w:val="312" w:hRule="atLeast"/>
        </w:trPr>
        <w:tc>
          <w:tcPr>
            <w:tcW w:w="5896" w:type="dxa"/>
            <w:vMerge/>
            <w:tcBorders>
              <w:top w:val="nil"/>
            </w:tcBorders>
            <w:shd w:val="clear" w:color="auto" w:fill="FFFFFF"/>
          </w:tcPr>
          <w:p>
            <w:pPr>
              <w:rPr>
                <w:sz w:val="2"/>
                <w:szCs w:val="2"/>
              </w:rPr>
            </w:pPr>
          </w:p>
        </w:tc>
        <w:tc>
          <w:tcPr>
            <w:tcW w:w="1548" w:type="dxa"/>
            <w:vMerge/>
            <w:tcBorders>
              <w:top w:val="nil"/>
            </w:tcBorders>
            <w:shd w:val="clear" w:color="auto" w:fill="FFFFFF"/>
          </w:tcPr>
          <w:p>
            <w:pPr>
              <w:rPr>
                <w:sz w:val="2"/>
                <w:szCs w:val="2"/>
              </w:rPr>
            </w:pPr>
          </w:p>
        </w:tc>
        <w:tc>
          <w:tcPr>
            <w:tcW w:w="1548" w:type="dxa"/>
            <w:tcBorders>
              <w:top w:val="single" w:sz="4" w:space="0" w:color="000000"/>
              <w:left w:val="single" w:sz="8" w:space="0" w:color="FFFFFF"/>
              <w:bottom w:val="single" w:sz="8" w:space="0" w:color="FFFFFF"/>
            </w:tcBorders>
            <w:shd w:val="clear" w:color="auto" w:fill="FAF9F9"/>
          </w:tcPr>
          <w:p>
            <w:pPr>
              <w:pStyle w:val="TableParagraph"/>
              <w:spacing w:before="0"/>
              <w:rPr>
                <w:rFonts w:ascii="Times New Roman"/>
                <w:sz w:val="20"/>
              </w:rPr>
            </w:pPr>
          </w:p>
        </w:tc>
        <w:tc>
          <w:tcPr>
            <w:tcW w:w="1558" w:type="dxa"/>
            <w:vMerge w:val="restart"/>
            <w:tcBorders>
              <w:top w:val="single" w:sz="4" w:space="0" w:color="000000"/>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7"/>
              <w:rPr>
                <w:sz w:val="22"/>
              </w:rPr>
            </w:pPr>
          </w:p>
          <w:p>
            <w:pPr>
              <w:pStyle w:val="TableParagraph"/>
              <w:spacing w:before="0"/>
              <w:ind w:right="121"/>
              <w:jc w:val="right"/>
              <w:rPr>
                <w:sz w:val="19"/>
              </w:rPr>
            </w:pPr>
            <w:r>
              <w:rPr>
                <w:w w:val="111"/>
                <w:sz w:val="19"/>
              </w:rPr>
              <w:t>-</w:t>
            </w:r>
          </w:p>
        </w:tc>
        <w:tc>
          <w:tcPr>
            <w:tcW w:w="4747" w:type="dxa"/>
            <w:gridSpan w:val="3"/>
            <w:tcBorders>
              <w:top w:val="single" w:sz="4" w:space="0" w:color="000000"/>
              <w:bottom w:val="single" w:sz="8" w:space="0" w:color="FFFFFF"/>
            </w:tcBorders>
            <w:shd w:val="clear" w:color="auto" w:fill="FAF9F9"/>
          </w:tcPr>
          <w:p>
            <w:pPr>
              <w:pStyle w:val="TableParagraph"/>
              <w:spacing w:before="0"/>
              <w:rPr>
                <w:rFonts w:ascii="Times New Roman"/>
                <w:sz w:val="20"/>
              </w:rPr>
            </w:pPr>
          </w:p>
        </w:tc>
      </w:tr>
      <w:tr>
        <w:trPr>
          <w:trHeight w:val="634" w:hRule="atLeast"/>
        </w:trPr>
        <w:tc>
          <w:tcPr>
            <w:tcW w:w="5896" w:type="dxa"/>
            <w:shd w:val="clear" w:color="auto" w:fill="FFFFFF"/>
          </w:tcPr>
          <w:p>
            <w:pPr>
              <w:pStyle w:val="TableParagraph"/>
              <w:ind w:left="113"/>
              <w:rPr>
                <w:b/>
                <w:sz w:val="19"/>
              </w:rPr>
            </w:pPr>
            <w:r>
              <w:rPr>
                <w:b/>
                <w:sz w:val="19"/>
              </w:rPr>
              <w:t>OTHER COMPREHENSIVE INCOME</w:t>
            </w:r>
          </w:p>
          <w:p>
            <w:pPr>
              <w:pStyle w:val="TableParagraph"/>
              <w:spacing w:before="109"/>
              <w:ind w:left="113"/>
              <w:rPr>
                <w:b/>
                <w:sz w:val="19"/>
              </w:rPr>
            </w:pPr>
            <w:r>
              <w:rPr>
                <w:b/>
                <w:sz w:val="19"/>
              </w:rPr>
              <w:t>Items not reclassified subsequently to profit or loss</w:t>
            </w: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0"/>
              <w:rPr>
                <w:rFonts w:ascii="Times New Roman"/>
                <w:sz w:val="20"/>
              </w:rPr>
            </w:pPr>
          </w:p>
        </w:tc>
        <w:tc>
          <w:tcPr>
            <w:tcW w:w="1558" w:type="dxa"/>
            <w:vMerge/>
            <w:tcBorders>
              <w:top w:val="nil"/>
              <w:bottom w:val="single" w:sz="4" w:space="0" w:color="000000"/>
            </w:tcBorders>
            <w:shd w:val="clear" w:color="auto" w:fill="E1E4BB"/>
          </w:tcPr>
          <w:p>
            <w:pPr>
              <w:rPr>
                <w:sz w:val="2"/>
                <w:szCs w:val="2"/>
              </w:rPr>
            </w:pPr>
          </w:p>
        </w:tc>
        <w:tc>
          <w:tcPr>
            <w:tcW w:w="1538" w:type="dxa"/>
            <w:tcBorders>
              <w:top w:val="single" w:sz="8" w:space="0" w:color="FFFFFF"/>
              <w:bottom w:val="single" w:sz="8" w:space="0" w:color="FFFFFF"/>
              <w:right w:val="single" w:sz="8" w:space="0" w:color="FFFFFF"/>
            </w:tcBorders>
            <w:shd w:val="clear" w:color="auto" w:fill="FAF9F9"/>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right w:val="single" w:sz="8" w:space="0" w:color="FFFFFF"/>
            </w:tcBorders>
            <w:shd w:val="clear" w:color="auto" w:fill="FAF9F9"/>
          </w:tcPr>
          <w:p>
            <w:pPr>
              <w:pStyle w:val="TableParagraph"/>
              <w:spacing w:before="0"/>
              <w:rPr>
                <w:rFonts w:ascii="Times New Roman"/>
                <w:sz w:val="20"/>
              </w:rPr>
            </w:pPr>
          </w:p>
        </w:tc>
        <w:tc>
          <w:tcPr>
            <w:tcW w:w="1661" w:type="dxa"/>
            <w:tcBorders>
              <w:top w:val="single" w:sz="8" w:space="0" w:color="FFFFFF"/>
              <w:left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312" w:hRule="atLeast"/>
        </w:trPr>
        <w:tc>
          <w:tcPr>
            <w:tcW w:w="5896" w:type="dxa"/>
            <w:vMerge w:val="restart"/>
            <w:shd w:val="clear" w:color="auto" w:fill="FFFFFF"/>
          </w:tcPr>
          <w:p>
            <w:pPr>
              <w:pStyle w:val="TableParagraph"/>
              <w:ind w:left="113"/>
              <w:rPr>
                <w:sz w:val="19"/>
              </w:rPr>
            </w:pPr>
            <w:r>
              <w:rPr>
                <w:sz w:val="19"/>
              </w:rPr>
              <w:t>Changes in the revaluation surplus</w:t>
            </w:r>
          </w:p>
          <w:p>
            <w:pPr>
              <w:pStyle w:val="TableParagraph"/>
              <w:spacing w:before="109"/>
              <w:ind w:left="114"/>
              <w:rPr>
                <w:b/>
                <w:sz w:val="19"/>
              </w:rPr>
            </w:pPr>
            <w:r>
              <w:rPr>
                <w:b/>
                <w:sz w:val="19"/>
              </w:rPr>
              <w:t>Total other comprehensive income</w:t>
            </w:r>
          </w:p>
        </w:tc>
        <w:tc>
          <w:tcPr>
            <w:tcW w:w="1548" w:type="dxa"/>
            <w:vMerge w:val="restart"/>
            <w:shd w:val="clear" w:color="auto" w:fill="FFFFFF"/>
          </w:tcPr>
          <w:p>
            <w:pPr>
              <w:pStyle w:val="TableParagraph"/>
              <w:spacing w:before="0"/>
              <w:rPr>
                <w:rFonts w:ascii="Times New Roman"/>
                <w:sz w:val="20"/>
              </w:rPr>
            </w:pPr>
          </w:p>
        </w:tc>
        <w:tc>
          <w:tcPr>
            <w:tcW w:w="1548" w:type="dxa"/>
            <w:tcBorders>
              <w:top w:val="single" w:sz="8" w:space="0" w:color="FFFFFF"/>
              <w:left w:val="single" w:sz="8" w:space="0" w:color="FFFFFF"/>
              <w:bottom w:val="single" w:sz="4" w:space="0" w:color="000000"/>
            </w:tcBorders>
            <w:shd w:val="clear" w:color="auto" w:fill="F4F4F4"/>
          </w:tcPr>
          <w:p>
            <w:pPr>
              <w:pStyle w:val="TableParagraph"/>
              <w:ind w:right="111"/>
              <w:jc w:val="right"/>
              <w:rPr>
                <w:sz w:val="19"/>
              </w:rPr>
            </w:pPr>
            <w:r>
              <w:rPr>
                <w:w w:val="111"/>
                <w:sz w:val="19"/>
              </w:rPr>
              <w:t>-</w:t>
            </w:r>
          </w:p>
        </w:tc>
        <w:tc>
          <w:tcPr>
            <w:tcW w:w="1558" w:type="dxa"/>
            <w:vMerge/>
            <w:tcBorders>
              <w:top w:val="nil"/>
              <w:bottom w:val="single" w:sz="4" w:space="0" w:color="000000"/>
            </w:tcBorders>
            <w:shd w:val="clear" w:color="auto" w:fill="E1E4BB"/>
          </w:tcPr>
          <w:p>
            <w:pPr>
              <w:rPr>
                <w:sz w:val="2"/>
                <w:szCs w:val="2"/>
              </w:rPr>
            </w:pPr>
          </w:p>
        </w:tc>
        <w:tc>
          <w:tcPr>
            <w:tcW w:w="1538" w:type="dxa"/>
            <w:tcBorders>
              <w:top w:val="single" w:sz="8" w:space="0" w:color="FFFFFF"/>
              <w:bottom w:val="single" w:sz="4" w:space="0" w:color="000000"/>
              <w:right w:val="single" w:sz="8" w:space="0" w:color="FFFFFF"/>
            </w:tcBorders>
            <w:shd w:val="clear" w:color="auto" w:fill="F4F4F4"/>
          </w:tcPr>
          <w:p>
            <w:pPr>
              <w:pStyle w:val="TableParagraph"/>
              <w:ind w:right="101"/>
              <w:jc w:val="right"/>
              <w:rPr>
                <w:sz w:val="19"/>
              </w:rPr>
            </w:pPr>
            <w:r>
              <w:rPr>
                <w:w w:val="95"/>
                <w:sz w:val="19"/>
              </w:rPr>
              <w:t>(18,665)</w:t>
            </w:r>
          </w:p>
        </w:tc>
        <w:tc>
          <w:tcPr>
            <w:tcW w:w="1548" w:type="dxa"/>
            <w:tcBorders>
              <w:top w:val="single" w:sz="8" w:space="0" w:color="FFFFFF"/>
              <w:left w:val="single" w:sz="8" w:space="0" w:color="FFFFFF"/>
              <w:bottom w:val="single" w:sz="4" w:space="0" w:color="000000"/>
              <w:right w:val="single" w:sz="8" w:space="0" w:color="FFFFFF"/>
            </w:tcBorders>
            <w:shd w:val="clear" w:color="auto" w:fill="F4F4F4"/>
          </w:tcPr>
          <w:p>
            <w:pPr>
              <w:pStyle w:val="TableParagraph"/>
              <w:ind w:right="102"/>
              <w:jc w:val="right"/>
              <w:rPr>
                <w:sz w:val="19"/>
              </w:rPr>
            </w:pPr>
            <w:r>
              <w:rPr>
                <w:w w:val="111"/>
                <w:sz w:val="19"/>
              </w:rPr>
              <w:t>-</w:t>
            </w:r>
          </w:p>
        </w:tc>
        <w:tc>
          <w:tcPr>
            <w:tcW w:w="1661" w:type="dxa"/>
            <w:tcBorders>
              <w:top w:val="single" w:sz="8" w:space="0" w:color="FFFFFF"/>
              <w:left w:val="single" w:sz="8" w:space="0" w:color="FFFFFF"/>
              <w:bottom w:val="single" w:sz="4" w:space="0" w:color="000000"/>
            </w:tcBorders>
            <w:shd w:val="clear" w:color="auto" w:fill="F4F4F4"/>
          </w:tcPr>
          <w:p>
            <w:pPr>
              <w:pStyle w:val="TableParagraph"/>
              <w:ind w:right="112"/>
              <w:jc w:val="right"/>
              <w:rPr>
                <w:sz w:val="19"/>
              </w:rPr>
            </w:pPr>
            <w:r>
              <w:rPr>
                <w:w w:val="95"/>
                <w:sz w:val="19"/>
              </w:rPr>
              <w:t>18,665</w:t>
            </w:r>
          </w:p>
        </w:tc>
      </w:tr>
      <w:tr>
        <w:trPr>
          <w:trHeight w:val="312" w:hRule="atLeast"/>
        </w:trPr>
        <w:tc>
          <w:tcPr>
            <w:tcW w:w="5896" w:type="dxa"/>
            <w:vMerge/>
            <w:tcBorders>
              <w:top w:val="nil"/>
            </w:tcBorders>
            <w:shd w:val="clear" w:color="auto" w:fill="FFFFFF"/>
          </w:tcPr>
          <w:p>
            <w:pPr>
              <w:rPr>
                <w:sz w:val="2"/>
                <w:szCs w:val="2"/>
              </w:rPr>
            </w:pPr>
          </w:p>
        </w:tc>
        <w:tc>
          <w:tcPr>
            <w:tcW w:w="1548" w:type="dxa"/>
            <w:vMerge/>
            <w:tcBorders>
              <w:top w:val="nil"/>
            </w:tcBorders>
            <w:shd w:val="clear" w:color="auto" w:fill="FFFFFF"/>
          </w:tcPr>
          <w:p>
            <w:pPr>
              <w:rPr>
                <w:sz w:val="2"/>
                <w:szCs w:val="2"/>
              </w:rPr>
            </w:pPr>
          </w:p>
        </w:tc>
        <w:tc>
          <w:tcPr>
            <w:tcW w:w="1548" w:type="dxa"/>
            <w:tcBorders>
              <w:top w:val="single" w:sz="4" w:space="0" w:color="000000"/>
              <w:left w:val="single" w:sz="8" w:space="0" w:color="FFFFFF"/>
              <w:bottom w:val="single" w:sz="4" w:space="0" w:color="000000"/>
            </w:tcBorders>
            <w:shd w:val="clear" w:color="auto" w:fill="FAF9F9"/>
          </w:tcPr>
          <w:p>
            <w:pPr>
              <w:pStyle w:val="TableParagraph"/>
              <w:spacing w:before="37"/>
              <w:ind w:right="111"/>
              <w:jc w:val="right"/>
              <w:rPr>
                <w:b/>
                <w:sz w:val="19"/>
              </w:rPr>
            </w:pPr>
            <w:r>
              <w:rPr>
                <w:b/>
                <w:w w:val="122"/>
                <w:sz w:val="19"/>
              </w:rPr>
              <w:t>-</w:t>
            </w:r>
          </w:p>
        </w:tc>
        <w:tc>
          <w:tcPr>
            <w:tcW w:w="1558" w:type="dxa"/>
            <w:tcBorders>
              <w:top w:val="single" w:sz="4" w:space="0" w:color="000000"/>
              <w:bottom w:val="single" w:sz="4" w:space="0" w:color="000000"/>
            </w:tcBorders>
            <w:shd w:val="clear" w:color="auto" w:fill="E1E4BB"/>
          </w:tcPr>
          <w:p>
            <w:pPr>
              <w:pStyle w:val="TableParagraph"/>
              <w:spacing w:before="37"/>
              <w:ind w:right="121"/>
              <w:jc w:val="right"/>
              <w:rPr>
                <w:b/>
                <w:sz w:val="19"/>
              </w:rPr>
            </w:pPr>
            <w:r>
              <w:rPr>
                <w:b/>
                <w:w w:val="122"/>
                <w:sz w:val="19"/>
              </w:rPr>
              <w:t>-</w:t>
            </w:r>
          </w:p>
        </w:tc>
        <w:tc>
          <w:tcPr>
            <w:tcW w:w="1538" w:type="dxa"/>
            <w:tcBorders>
              <w:top w:val="single" w:sz="4" w:space="0" w:color="000000"/>
              <w:bottom w:val="single" w:sz="4" w:space="0" w:color="000000"/>
            </w:tcBorders>
            <w:shd w:val="clear" w:color="auto" w:fill="FAF9F9"/>
          </w:tcPr>
          <w:p>
            <w:pPr>
              <w:pStyle w:val="TableParagraph"/>
              <w:spacing w:before="37"/>
              <w:ind w:right="111"/>
              <w:jc w:val="right"/>
              <w:rPr>
                <w:b/>
                <w:sz w:val="19"/>
              </w:rPr>
            </w:pPr>
            <w:r>
              <w:rPr>
                <w:b/>
                <w:w w:val="95"/>
                <w:sz w:val="19"/>
              </w:rPr>
              <w:t>(18,665)</w:t>
            </w:r>
          </w:p>
        </w:tc>
        <w:tc>
          <w:tcPr>
            <w:tcW w:w="1548" w:type="dxa"/>
            <w:tcBorders>
              <w:top w:val="single" w:sz="4" w:space="0" w:color="000000"/>
              <w:bottom w:val="single" w:sz="4" w:space="0" w:color="000000"/>
            </w:tcBorders>
            <w:shd w:val="clear" w:color="auto" w:fill="FAF9F9"/>
          </w:tcPr>
          <w:p>
            <w:pPr>
              <w:pStyle w:val="TableParagraph"/>
              <w:spacing w:before="37"/>
              <w:ind w:right="112"/>
              <w:jc w:val="right"/>
              <w:rPr>
                <w:b/>
                <w:sz w:val="19"/>
              </w:rPr>
            </w:pPr>
            <w:r>
              <w:rPr>
                <w:b/>
                <w:w w:val="122"/>
                <w:sz w:val="19"/>
              </w:rPr>
              <w:t>-</w:t>
            </w:r>
          </w:p>
        </w:tc>
        <w:tc>
          <w:tcPr>
            <w:tcW w:w="1661" w:type="dxa"/>
            <w:tcBorders>
              <w:top w:val="single" w:sz="4" w:space="0" w:color="000000"/>
              <w:bottom w:val="single" w:sz="4" w:space="0" w:color="000000"/>
            </w:tcBorders>
            <w:shd w:val="clear" w:color="auto" w:fill="FAF9F9"/>
          </w:tcPr>
          <w:p>
            <w:pPr>
              <w:pStyle w:val="TableParagraph"/>
              <w:spacing w:before="37"/>
              <w:ind w:right="111"/>
              <w:jc w:val="right"/>
              <w:rPr>
                <w:b/>
                <w:sz w:val="19"/>
              </w:rPr>
            </w:pPr>
            <w:r>
              <w:rPr>
                <w:b/>
                <w:w w:val="95"/>
                <w:sz w:val="19"/>
              </w:rPr>
              <w:t>18,665</w:t>
            </w:r>
          </w:p>
        </w:tc>
      </w:tr>
      <w:tr>
        <w:trPr>
          <w:trHeight w:val="277" w:hRule="atLeast"/>
        </w:trPr>
        <w:tc>
          <w:tcPr>
            <w:tcW w:w="5896" w:type="dxa"/>
            <w:tcBorders>
              <w:top w:val="single" w:sz="8" w:space="0" w:color="FFFFFF"/>
              <w:bottom w:val="single" w:sz="8" w:space="0" w:color="FFFFFF"/>
              <w:right w:val="single" w:sz="8" w:space="0" w:color="FFFFFF"/>
            </w:tcBorders>
            <w:shd w:val="clear" w:color="auto" w:fill="F4F4F4"/>
          </w:tcPr>
          <w:p>
            <w:pPr>
              <w:pStyle w:val="TableParagraph"/>
              <w:ind w:left="114"/>
              <w:rPr>
                <w:b/>
                <w:sz w:val="19"/>
              </w:rPr>
            </w:pPr>
            <w:r>
              <w:rPr>
                <w:b/>
                <w:sz w:val="19"/>
              </w:rPr>
              <w:t>TOTAL COMPREHENSIVE INCOME FOR THE PERIOD</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4" w:space="0" w:color="000000"/>
              <w:left w:val="single" w:sz="8" w:space="0" w:color="FFFFFF"/>
              <w:bottom w:val="single" w:sz="24" w:space="0" w:color="FFFFFF"/>
            </w:tcBorders>
            <w:shd w:val="clear" w:color="auto" w:fill="F4F4F4"/>
          </w:tcPr>
          <w:p>
            <w:pPr>
              <w:pStyle w:val="TableParagraph"/>
              <w:ind w:right="111"/>
              <w:jc w:val="right"/>
              <w:rPr>
                <w:b/>
                <w:sz w:val="19"/>
              </w:rPr>
            </w:pPr>
            <w:r>
              <w:rPr>
                <w:b/>
                <w:w w:val="95"/>
                <w:sz w:val="19"/>
              </w:rPr>
              <w:t>4,122</w:t>
            </w:r>
          </w:p>
        </w:tc>
        <w:tc>
          <w:tcPr>
            <w:tcW w:w="1558" w:type="dxa"/>
            <w:tcBorders>
              <w:top w:val="single" w:sz="4" w:space="0" w:color="000000"/>
              <w:bottom w:val="single" w:sz="24" w:space="0" w:color="FFFFFF"/>
            </w:tcBorders>
            <w:shd w:val="clear" w:color="auto" w:fill="DFE1B8"/>
          </w:tcPr>
          <w:p>
            <w:pPr>
              <w:pStyle w:val="TableParagraph"/>
              <w:ind w:right="121"/>
              <w:jc w:val="right"/>
              <w:rPr>
                <w:b/>
                <w:sz w:val="19"/>
              </w:rPr>
            </w:pPr>
            <w:r>
              <w:rPr>
                <w:b/>
                <w:w w:val="95"/>
                <w:sz w:val="19"/>
              </w:rPr>
              <w:t>10,841</w:t>
            </w:r>
          </w:p>
        </w:tc>
        <w:tc>
          <w:tcPr>
            <w:tcW w:w="1538" w:type="dxa"/>
            <w:tcBorders>
              <w:top w:val="single" w:sz="4" w:space="0" w:color="000000"/>
              <w:bottom w:val="single" w:sz="24" w:space="0" w:color="FFFFFF"/>
              <w:right w:val="single" w:sz="8" w:space="0" w:color="FFFFFF"/>
            </w:tcBorders>
            <w:shd w:val="clear" w:color="auto" w:fill="F4F4F4"/>
          </w:tcPr>
          <w:p>
            <w:pPr>
              <w:pStyle w:val="TableParagraph"/>
              <w:ind w:right="101"/>
              <w:jc w:val="right"/>
              <w:rPr>
                <w:b/>
                <w:sz w:val="19"/>
              </w:rPr>
            </w:pPr>
            <w:r>
              <w:rPr>
                <w:b/>
                <w:w w:val="95"/>
                <w:sz w:val="19"/>
              </w:rPr>
              <w:t>(39,156)</w:t>
            </w:r>
          </w:p>
        </w:tc>
        <w:tc>
          <w:tcPr>
            <w:tcW w:w="1548"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ind w:right="101"/>
              <w:jc w:val="right"/>
              <w:rPr>
                <w:b/>
                <w:sz w:val="19"/>
              </w:rPr>
            </w:pPr>
            <w:r>
              <w:rPr>
                <w:b/>
                <w:w w:val="95"/>
                <w:sz w:val="19"/>
              </w:rPr>
              <w:t>6,719</w:t>
            </w:r>
          </w:p>
        </w:tc>
        <w:tc>
          <w:tcPr>
            <w:tcW w:w="1661" w:type="dxa"/>
            <w:tcBorders>
              <w:top w:val="single" w:sz="4" w:space="0" w:color="000000"/>
              <w:left w:val="single" w:sz="8" w:space="0" w:color="FFFFFF"/>
              <w:bottom w:val="single" w:sz="24" w:space="0" w:color="FFFFFF"/>
            </w:tcBorders>
            <w:shd w:val="clear" w:color="auto" w:fill="F4F4F4"/>
          </w:tcPr>
          <w:p>
            <w:pPr>
              <w:pStyle w:val="TableParagraph"/>
              <w:ind w:right="111"/>
              <w:jc w:val="right"/>
              <w:rPr>
                <w:b/>
                <w:sz w:val="19"/>
              </w:rPr>
            </w:pPr>
            <w:r>
              <w:rPr>
                <w:b/>
                <w:w w:val="95"/>
                <w:sz w:val="19"/>
              </w:rPr>
              <w:t>49,997</w:t>
            </w:r>
          </w:p>
        </w:tc>
      </w:tr>
    </w:tbl>
    <w:p>
      <w:pPr>
        <w:pStyle w:val="BodyText"/>
        <w:spacing w:line="20" w:lineRule="exact"/>
        <w:ind w:left="12847"/>
        <w:rPr>
          <w:sz w:val="2"/>
        </w:rPr>
      </w:pPr>
      <w:r>
        <w:rPr>
          <w:sz w:val="2"/>
        </w:rPr>
        <w:pict>
          <v:group style="width:160.450pt;height:.550pt;mso-position-horizontal-relative:char;mso-position-vertical-relative:line" coordorigin="0,0" coordsize="3209,11">
            <v:line style="position:absolute" from="0,5" to="1548,5" stroked="true" strokeweight=".501pt" strokecolor="#000000">
              <v:stroke dashstyle="solid"/>
            </v:line>
            <v:line style="position:absolute" from="1548,5" to="3209,5" stroked="true" strokeweight=".501pt" strokecolor="#000000">
              <v:stroke dashstyle="solid"/>
            </v:line>
          </v:group>
        </w:pict>
      </w:r>
      <w:r>
        <w:rPr>
          <w:sz w:val="2"/>
        </w:rPr>
      </w:r>
    </w:p>
    <w:p>
      <w:pPr>
        <w:spacing w:before="230"/>
        <w:ind w:left="766" w:right="0" w:firstLine="0"/>
        <w:jc w:val="left"/>
        <w:rPr>
          <w:i/>
          <w:sz w:val="19"/>
        </w:rPr>
      </w:pPr>
      <w:r>
        <w:rPr>
          <w:i/>
          <w:color w:val="6F2770"/>
          <w:sz w:val="19"/>
        </w:rPr>
        <w:t>Major Estimate and Actual (2017) Variance Narratives</w:t>
      </w:r>
    </w:p>
    <w:p>
      <w:pPr>
        <w:pStyle w:val="ListParagraph"/>
        <w:numPr>
          <w:ilvl w:val="0"/>
          <w:numId w:val="21"/>
        </w:numPr>
        <w:tabs>
          <w:tab w:pos="978" w:val="left" w:leader="none"/>
        </w:tabs>
        <w:spacing w:line="249" w:lineRule="auto" w:before="9" w:after="0"/>
        <w:ind w:left="977" w:right="2564" w:hanging="211"/>
        <w:jc w:val="left"/>
        <w:rPr>
          <w:sz w:val="19"/>
        </w:rPr>
      </w:pPr>
      <w:r>
        <w:rPr>
          <w:sz w:val="19"/>
        </w:rPr>
        <w:t>The</w:t>
      </w:r>
      <w:r>
        <w:rPr>
          <w:spacing w:val="-20"/>
          <w:sz w:val="19"/>
        </w:rPr>
        <w:t> </w:t>
      </w:r>
      <w:r>
        <w:rPr>
          <w:sz w:val="19"/>
        </w:rPr>
        <w:t>Department</w:t>
      </w:r>
      <w:r>
        <w:rPr>
          <w:spacing w:val="-20"/>
          <w:sz w:val="19"/>
        </w:rPr>
        <w:t> </w:t>
      </w:r>
      <w:r>
        <w:rPr>
          <w:sz w:val="19"/>
        </w:rPr>
        <w:t>achieved</w:t>
      </w:r>
      <w:r>
        <w:rPr>
          <w:spacing w:val="-20"/>
          <w:sz w:val="19"/>
        </w:rPr>
        <w:t> </w:t>
      </w:r>
      <w:r>
        <w:rPr>
          <w:sz w:val="19"/>
        </w:rPr>
        <w:t>its</w:t>
      </w:r>
      <w:r>
        <w:rPr>
          <w:spacing w:val="-19"/>
          <w:sz w:val="19"/>
        </w:rPr>
        <w:t> </w:t>
      </w:r>
      <w:r>
        <w:rPr>
          <w:sz w:val="19"/>
        </w:rPr>
        <w:t>2017-18</w:t>
      </w:r>
      <w:r>
        <w:rPr>
          <w:spacing w:val="-20"/>
          <w:sz w:val="19"/>
        </w:rPr>
        <w:t> </w:t>
      </w:r>
      <w:r>
        <w:rPr>
          <w:sz w:val="19"/>
        </w:rPr>
        <w:t>Agency</w:t>
      </w:r>
      <w:r>
        <w:rPr>
          <w:spacing w:val="-20"/>
          <w:sz w:val="19"/>
        </w:rPr>
        <w:t> </w:t>
      </w:r>
      <w:r>
        <w:rPr>
          <w:sz w:val="19"/>
        </w:rPr>
        <w:t>Expenditure</w:t>
      </w:r>
      <w:r>
        <w:rPr>
          <w:spacing w:val="-20"/>
          <w:sz w:val="19"/>
        </w:rPr>
        <w:t> </w:t>
      </w:r>
      <w:r>
        <w:rPr>
          <w:sz w:val="19"/>
        </w:rPr>
        <w:t>review</w:t>
      </w:r>
      <w:r>
        <w:rPr>
          <w:spacing w:val="-19"/>
          <w:sz w:val="19"/>
        </w:rPr>
        <w:t> </w:t>
      </w:r>
      <w:r>
        <w:rPr>
          <w:sz w:val="19"/>
        </w:rPr>
        <w:t>targets</w:t>
      </w:r>
      <w:r>
        <w:rPr>
          <w:spacing w:val="-20"/>
          <w:sz w:val="19"/>
        </w:rPr>
        <w:t> </w:t>
      </w:r>
      <w:r>
        <w:rPr>
          <w:sz w:val="19"/>
        </w:rPr>
        <w:t>during</w:t>
      </w:r>
      <w:r>
        <w:rPr>
          <w:spacing w:val="-20"/>
          <w:sz w:val="19"/>
        </w:rPr>
        <w:t> </w:t>
      </w:r>
      <w:r>
        <w:rPr>
          <w:sz w:val="19"/>
        </w:rPr>
        <w:t>2016-17.</w:t>
      </w:r>
      <w:r>
        <w:rPr>
          <w:spacing w:val="-20"/>
          <w:sz w:val="19"/>
        </w:rPr>
        <w:t> </w:t>
      </w:r>
      <w:r>
        <w:rPr>
          <w:sz w:val="19"/>
        </w:rPr>
        <w:t>This</w:t>
      </w:r>
      <w:r>
        <w:rPr>
          <w:spacing w:val="-19"/>
          <w:sz w:val="19"/>
        </w:rPr>
        <w:t> </w:t>
      </w:r>
      <w:r>
        <w:rPr>
          <w:sz w:val="19"/>
        </w:rPr>
        <w:t>resulted</w:t>
      </w:r>
      <w:r>
        <w:rPr>
          <w:spacing w:val="-20"/>
          <w:sz w:val="19"/>
        </w:rPr>
        <w:t> </w:t>
      </w:r>
      <w:r>
        <w:rPr>
          <w:sz w:val="19"/>
        </w:rPr>
        <w:t>in</w:t>
      </w:r>
      <w:r>
        <w:rPr>
          <w:spacing w:val="-20"/>
          <w:sz w:val="19"/>
        </w:rPr>
        <w:t> </w:t>
      </w:r>
      <w:r>
        <w:rPr>
          <w:sz w:val="19"/>
        </w:rPr>
        <w:t>staff</w:t>
      </w:r>
      <w:r>
        <w:rPr>
          <w:spacing w:val="-19"/>
          <w:sz w:val="19"/>
        </w:rPr>
        <w:t> </w:t>
      </w:r>
      <w:r>
        <w:rPr>
          <w:sz w:val="19"/>
        </w:rPr>
        <w:t>savings</w:t>
      </w:r>
      <w:r>
        <w:rPr>
          <w:spacing w:val="-20"/>
          <w:sz w:val="19"/>
        </w:rPr>
        <w:t> </w:t>
      </w:r>
      <w:r>
        <w:rPr>
          <w:sz w:val="19"/>
        </w:rPr>
        <w:t>leading</w:t>
      </w:r>
      <w:r>
        <w:rPr>
          <w:spacing w:val="-20"/>
          <w:sz w:val="19"/>
        </w:rPr>
        <w:t> </w:t>
      </w:r>
      <w:r>
        <w:rPr>
          <w:sz w:val="19"/>
        </w:rPr>
        <w:t>to</w:t>
      </w:r>
      <w:r>
        <w:rPr>
          <w:spacing w:val="-20"/>
          <w:sz w:val="19"/>
        </w:rPr>
        <w:t> </w:t>
      </w:r>
      <w:r>
        <w:rPr>
          <w:sz w:val="19"/>
        </w:rPr>
        <w:t>a</w:t>
      </w:r>
      <w:r>
        <w:rPr>
          <w:spacing w:val="-19"/>
          <w:sz w:val="19"/>
        </w:rPr>
        <w:t> </w:t>
      </w:r>
      <w:r>
        <w:rPr>
          <w:sz w:val="19"/>
        </w:rPr>
        <w:t>reduction</w:t>
      </w:r>
      <w:r>
        <w:rPr>
          <w:spacing w:val="-20"/>
          <w:sz w:val="19"/>
        </w:rPr>
        <w:t> </w:t>
      </w:r>
      <w:r>
        <w:rPr>
          <w:sz w:val="19"/>
        </w:rPr>
        <w:t>in</w:t>
      </w:r>
      <w:r>
        <w:rPr>
          <w:spacing w:val="-20"/>
          <w:sz w:val="19"/>
        </w:rPr>
        <w:t> </w:t>
      </w:r>
      <w:r>
        <w:rPr>
          <w:sz w:val="19"/>
        </w:rPr>
        <w:t>employee</w:t>
      </w:r>
      <w:r>
        <w:rPr>
          <w:spacing w:val="-20"/>
          <w:sz w:val="19"/>
        </w:rPr>
        <w:t> </w:t>
      </w:r>
      <w:r>
        <w:rPr>
          <w:sz w:val="19"/>
        </w:rPr>
        <w:t>benefits. In</w:t>
      </w:r>
      <w:r>
        <w:rPr>
          <w:spacing w:val="-4"/>
          <w:sz w:val="19"/>
        </w:rPr>
        <w:t> </w:t>
      </w:r>
      <w:r>
        <w:rPr>
          <w:sz w:val="19"/>
        </w:rPr>
        <w:t>addition,</w:t>
      </w:r>
      <w:r>
        <w:rPr>
          <w:spacing w:val="-4"/>
          <w:sz w:val="19"/>
        </w:rPr>
        <w:t> </w:t>
      </w:r>
      <w:r>
        <w:rPr>
          <w:sz w:val="19"/>
        </w:rPr>
        <w:t>the</w:t>
      </w:r>
      <w:r>
        <w:rPr>
          <w:spacing w:val="-3"/>
          <w:sz w:val="19"/>
        </w:rPr>
        <w:t> </w:t>
      </w:r>
      <w:r>
        <w:rPr>
          <w:sz w:val="19"/>
        </w:rPr>
        <w:t>Department</w:t>
      </w:r>
      <w:r>
        <w:rPr>
          <w:spacing w:val="-4"/>
          <w:sz w:val="19"/>
        </w:rPr>
        <w:t> </w:t>
      </w:r>
      <w:r>
        <w:rPr>
          <w:sz w:val="19"/>
        </w:rPr>
        <w:t>devolved</w:t>
      </w:r>
      <w:r>
        <w:rPr>
          <w:spacing w:val="-3"/>
          <w:sz w:val="19"/>
        </w:rPr>
        <w:t> </w:t>
      </w:r>
      <w:r>
        <w:rPr>
          <w:sz w:val="19"/>
        </w:rPr>
        <w:t>Government</w:t>
      </w:r>
      <w:r>
        <w:rPr>
          <w:spacing w:val="-4"/>
          <w:sz w:val="19"/>
        </w:rPr>
        <w:t> </w:t>
      </w:r>
      <w:r>
        <w:rPr>
          <w:sz w:val="19"/>
        </w:rPr>
        <w:t>Procurement</w:t>
      </w:r>
      <w:r>
        <w:rPr>
          <w:spacing w:val="-3"/>
          <w:sz w:val="19"/>
        </w:rPr>
        <w:t> </w:t>
      </w:r>
      <w:r>
        <w:rPr>
          <w:sz w:val="19"/>
        </w:rPr>
        <w:t>staff</w:t>
      </w:r>
      <w:r>
        <w:rPr>
          <w:spacing w:val="-4"/>
          <w:sz w:val="19"/>
        </w:rPr>
        <w:t> </w:t>
      </w:r>
      <w:r>
        <w:rPr>
          <w:sz w:val="19"/>
        </w:rPr>
        <w:t>to</w:t>
      </w:r>
      <w:r>
        <w:rPr>
          <w:spacing w:val="-3"/>
          <w:sz w:val="19"/>
        </w:rPr>
        <w:t> </w:t>
      </w:r>
      <w:r>
        <w:rPr>
          <w:sz w:val="19"/>
        </w:rPr>
        <w:t>agencies</w:t>
      </w:r>
      <w:r>
        <w:rPr>
          <w:spacing w:val="-4"/>
          <w:sz w:val="19"/>
        </w:rPr>
        <w:t> </w:t>
      </w:r>
      <w:r>
        <w:rPr>
          <w:sz w:val="19"/>
        </w:rPr>
        <w:t>to</w:t>
      </w:r>
      <w:r>
        <w:rPr>
          <w:spacing w:val="-3"/>
          <w:sz w:val="19"/>
        </w:rPr>
        <w:t> </w:t>
      </w:r>
      <w:r>
        <w:rPr>
          <w:sz w:val="19"/>
        </w:rPr>
        <w:t>manage</w:t>
      </w:r>
      <w:r>
        <w:rPr>
          <w:spacing w:val="-4"/>
          <w:sz w:val="19"/>
        </w:rPr>
        <w:t> </w:t>
      </w:r>
      <w:r>
        <w:rPr>
          <w:sz w:val="19"/>
        </w:rPr>
        <w:t>procurement</w:t>
      </w:r>
      <w:r>
        <w:rPr>
          <w:spacing w:val="-3"/>
          <w:sz w:val="19"/>
        </w:rPr>
        <w:t> </w:t>
      </w:r>
      <w:r>
        <w:rPr>
          <w:sz w:val="19"/>
        </w:rPr>
        <w:t>under</w:t>
      </w:r>
      <w:r>
        <w:rPr>
          <w:spacing w:val="-4"/>
          <w:sz w:val="19"/>
        </w:rPr>
        <w:t> </w:t>
      </w:r>
      <w:r>
        <w:rPr>
          <w:sz w:val="19"/>
        </w:rPr>
        <w:t>$250,000.</w:t>
      </w:r>
    </w:p>
    <w:p>
      <w:pPr>
        <w:pStyle w:val="ListParagraph"/>
        <w:numPr>
          <w:ilvl w:val="0"/>
          <w:numId w:val="21"/>
        </w:numPr>
        <w:tabs>
          <w:tab w:pos="978" w:val="left" w:leader="none"/>
        </w:tabs>
        <w:spacing w:line="240" w:lineRule="auto" w:before="2" w:after="0"/>
        <w:ind w:left="977" w:right="0" w:hanging="211"/>
        <w:jc w:val="left"/>
        <w:rPr>
          <w:sz w:val="19"/>
        </w:rPr>
      </w:pPr>
      <w:r>
        <w:rPr>
          <w:sz w:val="19"/>
        </w:rPr>
        <w:t>Capital</w:t>
      </w:r>
      <w:r>
        <w:rPr>
          <w:spacing w:val="-11"/>
          <w:sz w:val="19"/>
        </w:rPr>
        <w:t> </w:t>
      </w:r>
      <w:r>
        <w:rPr>
          <w:sz w:val="19"/>
        </w:rPr>
        <w:t>works</w:t>
      </w:r>
      <w:r>
        <w:rPr>
          <w:spacing w:val="-10"/>
          <w:sz w:val="19"/>
        </w:rPr>
        <w:t> </w:t>
      </w:r>
      <w:r>
        <w:rPr>
          <w:sz w:val="19"/>
        </w:rPr>
        <w:t>expenditure</w:t>
      </w:r>
      <w:r>
        <w:rPr>
          <w:spacing w:val="-10"/>
          <w:sz w:val="19"/>
        </w:rPr>
        <w:t> </w:t>
      </w:r>
      <w:r>
        <w:rPr>
          <w:sz w:val="19"/>
        </w:rPr>
        <w:t>for</w:t>
      </w:r>
      <w:r>
        <w:rPr>
          <w:spacing w:val="-10"/>
          <w:sz w:val="19"/>
        </w:rPr>
        <w:t> </w:t>
      </w:r>
      <w:r>
        <w:rPr>
          <w:sz w:val="19"/>
        </w:rPr>
        <w:t>2017</w:t>
      </w:r>
      <w:r>
        <w:rPr>
          <w:spacing w:val="-10"/>
          <w:sz w:val="19"/>
        </w:rPr>
        <w:t> </w:t>
      </w:r>
      <w:r>
        <w:rPr>
          <w:sz w:val="19"/>
        </w:rPr>
        <w:t>managed</w:t>
      </w:r>
      <w:r>
        <w:rPr>
          <w:spacing w:val="-10"/>
          <w:sz w:val="19"/>
        </w:rPr>
        <w:t> </w:t>
      </w:r>
      <w:r>
        <w:rPr>
          <w:sz w:val="19"/>
        </w:rPr>
        <w:t>by</w:t>
      </w:r>
      <w:r>
        <w:rPr>
          <w:spacing w:val="-10"/>
          <w:sz w:val="19"/>
        </w:rPr>
        <w:t> </w:t>
      </w:r>
      <w:r>
        <w:rPr>
          <w:sz w:val="19"/>
        </w:rPr>
        <w:t>Building</w:t>
      </w:r>
      <w:r>
        <w:rPr>
          <w:spacing w:val="-10"/>
          <w:sz w:val="19"/>
        </w:rPr>
        <w:t> </w:t>
      </w:r>
      <w:r>
        <w:rPr>
          <w:sz w:val="19"/>
        </w:rPr>
        <w:t>Management</w:t>
      </w:r>
      <w:r>
        <w:rPr>
          <w:spacing w:val="-10"/>
          <w:sz w:val="19"/>
        </w:rPr>
        <w:t> </w:t>
      </w:r>
      <w:r>
        <w:rPr>
          <w:sz w:val="19"/>
        </w:rPr>
        <w:t>and</w:t>
      </w:r>
      <w:r>
        <w:rPr>
          <w:spacing w:val="-11"/>
          <w:sz w:val="19"/>
        </w:rPr>
        <w:t> </w:t>
      </w:r>
      <w:r>
        <w:rPr>
          <w:sz w:val="19"/>
        </w:rPr>
        <w:t>Works</w:t>
      </w:r>
      <w:r>
        <w:rPr>
          <w:spacing w:val="-10"/>
          <w:sz w:val="19"/>
        </w:rPr>
        <w:t> </w:t>
      </w:r>
      <w:r>
        <w:rPr>
          <w:sz w:val="19"/>
        </w:rPr>
        <w:t>on</w:t>
      </w:r>
      <w:r>
        <w:rPr>
          <w:spacing w:val="-10"/>
          <w:sz w:val="19"/>
        </w:rPr>
        <w:t> </w:t>
      </w:r>
      <w:r>
        <w:rPr>
          <w:sz w:val="19"/>
        </w:rPr>
        <w:t>behalf</w:t>
      </w:r>
      <w:r>
        <w:rPr>
          <w:spacing w:val="-10"/>
          <w:sz w:val="19"/>
        </w:rPr>
        <w:t> </w:t>
      </w:r>
      <w:r>
        <w:rPr>
          <w:sz w:val="19"/>
        </w:rPr>
        <w:t>of</w:t>
      </w:r>
      <w:r>
        <w:rPr>
          <w:spacing w:val="-10"/>
          <w:sz w:val="19"/>
        </w:rPr>
        <w:t> </w:t>
      </w:r>
      <w:r>
        <w:rPr>
          <w:sz w:val="19"/>
        </w:rPr>
        <w:t>Government</w:t>
      </w:r>
      <w:r>
        <w:rPr>
          <w:spacing w:val="-10"/>
          <w:sz w:val="19"/>
        </w:rPr>
        <w:t> </w:t>
      </w:r>
      <w:r>
        <w:rPr>
          <w:sz w:val="19"/>
        </w:rPr>
        <w:t>agencies</w:t>
      </w:r>
      <w:r>
        <w:rPr>
          <w:spacing w:val="-10"/>
          <w:sz w:val="19"/>
        </w:rPr>
        <w:t> </w:t>
      </w:r>
      <w:r>
        <w:rPr>
          <w:sz w:val="19"/>
        </w:rPr>
        <w:t>was</w:t>
      </w:r>
      <w:r>
        <w:rPr>
          <w:spacing w:val="-10"/>
          <w:sz w:val="19"/>
        </w:rPr>
        <w:t> </w:t>
      </w:r>
      <w:r>
        <w:rPr>
          <w:sz w:val="19"/>
        </w:rPr>
        <w:t>lower</w:t>
      </w:r>
      <w:r>
        <w:rPr>
          <w:spacing w:val="-10"/>
          <w:sz w:val="19"/>
        </w:rPr>
        <w:t> </w:t>
      </w:r>
      <w:r>
        <w:rPr>
          <w:sz w:val="19"/>
        </w:rPr>
        <w:t>than</w:t>
      </w:r>
      <w:r>
        <w:rPr>
          <w:spacing w:val="-11"/>
          <w:sz w:val="19"/>
        </w:rPr>
        <w:t> </w:t>
      </w:r>
      <w:r>
        <w:rPr>
          <w:sz w:val="19"/>
        </w:rPr>
        <w:t>estimate</w:t>
      </w:r>
      <w:r>
        <w:rPr>
          <w:spacing w:val="-10"/>
          <w:sz w:val="19"/>
        </w:rPr>
        <w:t> </w:t>
      </w:r>
      <w:r>
        <w:rPr>
          <w:sz w:val="19"/>
        </w:rPr>
        <w:t>due</w:t>
      </w:r>
      <w:r>
        <w:rPr>
          <w:spacing w:val="-10"/>
          <w:sz w:val="19"/>
        </w:rPr>
        <w:t> </w:t>
      </w:r>
      <w:r>
        <w:rPr>
          <w:sz w:val="19"/>
        </w:rPr>
        <w:t>to</w:t>
      </w:r>
      <w:r>
        <w:rPr>
          <w:spacing w:val="-10"/>
          <w:sz w:val="19"/>
        </w:rPr>
        <w:t> </w:t>
      </w:r>
      <w:r>
        <w:rPr>
          <w:sz w:val="19"/>
        </w:rPr>
        <w:t>deteriorating</w:t>
      </w:r>
      <w:r>
        <w:rPr>
          <w:spacing w:val="-10"/>
          <w:sz w:val="19"/>
        </w:rPr>
        <w:t> </w:t>
      </w:r>
      <w:r>
        <w:rPr>
          <w:sz w:val="19"/>
        </w:rPr>
        <w:t>economic</w:t>
      </w:r>
      <w:r>
        <w:rPr>
          <w:spacing w:val="-10"/>
          <w:sz w:val="19"/>
        </w:rPr>
        <w:t> </w:t>
      </w:r>
      <w:r>
        <w:rPr>
          <w:sz w:val="19"/>
        </w:rPr>
        <w:t>conditions.</w:t>
      </w:r>
    </w:p>
    <w:p>
      <w:pPr>
        <w:pStyle w:val="ListParagraph"/>
        <w:numPr>
          <w:ilvl w:val="0"/>
          <w:numId w:val="21"/>
        </w:numPr>
        <w:tabs>
          <w:tab w:pos="978" w:val="left" w:leader="none"/>
        </w:tabs>
        <w:spacing w:line="240" w:lineRule="auto" w:before="9" w:after="0"/>
        <w:ind w:left="977" w:right="0" w:hanging="211"/>
        <w:jc w:val="left"/>
        <w:rPr>
          <w:sz w:val="19"/>
        </w:rPr>
      </w:pPr>
      <w:bookmarkStart w:name="_bookmark53" w:id="55"/>
      <w:bookmarkEnd w:id="55"/>
      <w:r>
        <w:rPr/>
      </w:r>
      <w:bookmarkStart w:name="_bookmark53" w:id="56"/>
      <w:bookmarkEnd w:id="56"/>
      <w:r>
        <w:rPr>
          <w:sz w:val="19"/>
        </w:rPr>
        <w:t>The</w:t>
      </w:r>
      <w:r>
        <w:rPr>
          <w:spacing w:val="-4"/>
          <w:sz w:val="19"/>
        </w:rPr>
        <w:t> </w:t>
      </w:r>
      <w:r>
        <w:rPr>
          <w:sz w:val="19"/>
        </w:rPr>
        <w:t>2017</w:t>
      </w:r>
      <w:r>
        <w:rPr>
          <w:spacing w:val="-4"/>
          <w:sz w:val="19"/>
        </w:rPr>
        <w:t> </w:t>
      </w:r>
      <w:r>
        <w:rPr>
          <w:sz w:val="19"/>
        </w:rPr>
        <w:t>actual</w:t>
      </w:r>
      <w:r>
        <w:rPr>
          <w:spacing w:val="-4"/>
          <w:sz w:val="19"/>
        </w:rPr>
        <w:t> </w:t>
      </w:r>
      <w:r>
        <w:rPr>
          <w:sz w:val="19"/>
        </w:rPr>
        <w:t>includes</w:t>
      </w:r>
      <w:r>
        <w:rPr>
          <w:spacing w:val="-4"/>
          <w:sz w:val="19"/>
        </w:rPr>
        <w:t> </w:t>
      </w:r>
      <w:r>
        <w:rPr>
          <w:sz w:val="19"/>
        </w:rPr>
        <w:t>the</w:t>
      </w:r>
      <w:r>
        <w:rPr>
          <w:spacing w:val="-3"/>
          <w:sz w:val="19"/>
        </w:rPr>
        <w:t> </w:t>
      </w:r>
      <w:r>
        <w:rPr>
          <w:sz w:val="19"/>
        </w:rPr>
        <w:t>write</w:t>
      </w:r>
      <w:r>
        <w:rPr>
          <w:spacing w:val="-4"/>
          <w:sz w:val="19"/>
        </w:rPr>
        <w:t> </w:t>
      </w:r>
      <w:r>
        <w:rPr>
          <w:sz w:val="19"/>
        </w:rPr>
        <w:t>down</w:t>
      </w:r>
      <w:r>
        <w:rPr>
          <w:spacing w:val="-4"/>
          <w:sz w:val="19"/>
        </w:rPr>
        <w:t> </w:t>
      </w:r>
      <w:r>
        <w:rPr>
          <w:sz w:val="19"/>
        </w:rPr>
        <w:t>of</w:t>
      </w:r>
      <w:r>
        <w:rPr>
          <w:spacing w:val="-4"/>
          <w:sz w:val="19"/>
        </w:rPr>
        <w:t> </w:t>
      </w:r>
      <w:r>
        <w:rPr>
          <w:sz w:val="19"/>
        </w:rPr>
        <w:t>the</w:t>
      </w:r>
      <w:r>
        <w:rPr>
          <w:spacing w:val="-4"/>
          <w:sz w:val="19"/>
        </w:rPr>
        <w:t> </w:t>
      </w:r>
      <w:r>
        <w:rPr>
          <w:sz w:val="19"/>
        </w:rPr>
        <w:t>book</w:t>
      </w:r>
      <w:r>
        <w:rPr>
          <w:spacing w:val="-3"/>
          <w:sz w:val="19"/>
        </w:rPr>
        <w:t> </w:t>
      </w:r>
      <w:r>
        <w:rPr>
          <w:sz w:val="19"/>
        </w:rPr>
        <w:t>value</w:t>
      </w:r>
      <w:r>
        <w:rPr>
          <w:spacing w:val="-4"/>
          <w:sz w:val="19"/>
        </w:rPr>
        <w:t> </w:t>
      </w:r>
      <w:r>
        <w:rPr>
          <w:sz w:val="19"/>
        </w:rPr>
        <w:t>of</w:t>
      </w:r>
      <w:r>
        <w:rPr>
          <w:spacing w:val="-4"/>
          <w:sz w:val="19"/>
        </w:rPr>
        <w:t> </w:t>
      </w:r>
      <w:r>
        <w:rPr>
          <w:sz w:val="19"/>
        </w:rPr>
        <w:t>the</w:t>
      </w:r>
      <w:r>
        <w:rPr>
          <w:spacing w:val="-4"/>
          <w:sz w:val="19"/>
        </w:rPr>
        <w:t> </w:t>
      </w:r>
      <w:r>
        <w:rPr>
          <w:sz w:val="19"/>
        </w:rPr>
        <w:t>Department’s</w:t>
      </w:r>
      <w:r>
        <w:rPr>
          <w:spacing w:val="-4"/>
          <w:sz w:val="19"/>
        </w:rPr>
        <w:t> </w:t>
      </w:r>
      <w:r>
        <w:rPr>
          <w:sz w:val="19"/>
        </w:rPr>
        <w:t>land</w:t>
      </w:r>
      <w:r>
        <w:rPr>
          <w:spacing w:val="-3"/>
          <w:sz w:val="19"/>
        </w:rPr>
        <w:t> </w:t>
      </w:r>
      <w:r>
        <w:rPr>
          <w:sz w:val="19"/>
        </w:rPr>
        <w:t>and</w:t>
      </w:r>
      <w:r>
        <w:rPr>
          <w:spacing w:val="-4"/>
          <w:sz w:val="19"/>
        </w:rPr>
        <w:t> </w:t>
      </w:r>
      <w:r>
        <w:rPr>
          <w:sz w:val="19"/>
        </w:rPr>
        <w:t>building</w:t>
      </w:r>
      <w:r>
        <w:rPr>
          <w:spacing w:val="-4"/>
          <w:sz w:val="19"/>
        </w:rPr>
        <w:t> </w:t>
      </w:r>
      <w:r>
        <w:rPr>
          <w:sz w:val="19"/>
        </w:rPr>
        <w:t>assets</w:t>
      </w:r>
      <w:r>
        <w:rPr>
          <w:spacing w:val="-4"/>
          <w:sz w:val="19"/>
        </w:rPr>
        <w:t> </w:t>
      </w:r>
      <w:r>
        <w:rPr>
          <w:sz w:val="19"/>
        </w:rPr>
        <w:t>as</w:t>
      </w:r>
      <w:r>
        <w:rPr>
          <w:spacing w:val="-4"/>
          <w:sz w:val="19"/>
        </w:rPr>
        <w:t> </w:t>
      </w:r>
      <w:r>
        <w:rPr>
          <w:sz w:val="19"/>
        </w:rPr>
        <w:t>a</w:t>
      </w:r>
      <w:r>
        <w:rPr>
          <w:spacing w:val="-3"/>
          <w:sz w:val="19"/>
        </w:rPr>
        <w:t> </w:t>
      </w:r>
      <w:r>
        <w:rPr>
          <w:sz w:val="19"/>
        </w:rPr>
        <w:t>result</w:t>
      </w:r>
      <w:r>
        <w:rPr>
          <w:spacing w:val="-4"/>
          <w:sz w:val="19"/>
        </w:rPr>
        <w:t> </w:t>
      </w:r>
      <w:r>
        <w:rPr>
          <w:sz w:val="19"/>
        </w:rPr>
        <w:t>of</w:t>
      </w:r>
      <w:r>
        <w:rPr>
          <w:spacing w:val="-4"/>
          <w:sz w:val="19"/>
        </w:rPr>
        <w:t> </w:t>
      </w:r>
      <w:r>
        <w:rPr>
          <w:sz w:val="19"/>
        </w:rPr>
        <w:t>the</w:t>
      </w:r>
      <w:r>
        <w:rPr>
          <w:spacing w:val="-4"/>
          <w:sz w:val="19"/>
        </w:rPr>
        <w:t> </w:t>
      </w:r>
      <w:r>
        <w:rPr>
          <w:sz w:val="19"/>
        </w:rPr>
        <w:t>annual</w:t>
      </w:r>
      <w:r>
        <w:rPr>
          <w:spacing w:val="-4"/>
          <w:sz w:val="19"/>
        </w:rPr>
        <w:t> </w:t>
      </w:r>
      <w:r>
        <w:rPr>
          <w:sz w:val="19"/>
        </w:rPr>
        <w:t>valuation</w:t>
      </w:r>
      <w:r>
        <w:rPr>
          <w:spacing w:val="-3"/>
          <w:sz w:val="19"/>
        </w:rPr>
        <w:t> </w:t>
      </w:r>
      <w:r>
        <w:rPr>
          <w:sz w:val="19"/>
        </w:rPr>
        <w:t>process.</w:t>
      </w:r>
    </w:p>
    <w:p>
      <w:pPr>
        <w:pStyle w:val="ListParagraph"/>
        <w:numPr>
          <w:ilvl w:val="0"/>
          <w:numId w:val="21"/>
        </w:numPr>
        <w:tabs>
          <w:tab w:pos="978" w:val="left" w:leader="none"/>
        </w:tabs>
        <w:spacing w:line="240" w:lineRule="auto" w:before="10" w:after="0"/>
        <w:ind w:left="977" w:right="0" w:hanging="211"/>
        <w:jc w:val="left"/>
        <w:rPr>
          <w:sz w:val="19"/>
        </w:rPr>
      </w:pPr>
      <w:r>
        <w:rPr>
          <w:sz w:val="19"/>
        </w:rPr>
        <w:t>Capital</w:t>
      </w:r>
      <w:r>
        <w:rPr>
          <w:spacing w:val="-8"/>
          <w:sz w:val="19"/>
        </w:rPr>
        <w:t> </w:t>
      </w:r>
      <w:r>
        <w:rPr>
          <w:sz w:val="19"/>
        </w:rPr>
        <w:t>works</w:t>
      </w:r>
      <w:r>
        <w:rPr>
          <w:spacing w:val="-8"/>
          <w:sz w:val="19"/>
        </w:rPr>
        <w:t> </w:t>
      </w:r>
      <w:r>
        <w:rPr>
          <w:sz w:val="19"/>
        </w:rPr>
        <w:t>expenditure</w:t>
      </w:r>
      <w:r>
        <w:rPr>
          <w:spacing w:val="-7"/>
          <w:sz w:val="19"/>
        </w:rPr>
        <w:t> </w:t>
      </w:r>
      <w:r>
        <w:rPr>
          <w:sz w:val="19"/>
        </w:rPr>
        <w:t>for</w:t>
      </w:r>
      <w:r>
        <w:rPr>
          <w:spacing w:val="-8"/>
          <w:sz w:val="19"/>
        </w:rPr>
        <w:t> </w:t>
      </w:r>
      <w:r>
        <w:rPr>
          <w:sz w:val="19"/>
        </w:rPr>
        <w:t>2017</w:t>
      </w:r>
      <w:r>
        <w:rPr>
          <w:spacing w:val="-8"/>
          <w:sz w:val="19"/>
        </w:rPr>
        <w:t> </w:t>
      </w:r>
      <w:r>
        <w:rPr>
          <w:sz w:val="19"/>
        </w:rPr>
        <w:t>managed</w:t>
      </w:r>
      <w:r>
        <w:rPr>
          <w:spacing w:val="-8"/>
          <w:sz w:val="19"/>
        </w:rPr>
        <w:t> </w:t>
      </w:r>
      <w:r>
        <w:rPr>
          <w:sz w:val="19"/>
        </w:rPr>
        <w:t>by</w:t>
      </w:r>
      <w:r>
        <w:rPr>
          <w:spacing w:val="-7"/>
          <w:sz w:val="19"/>
        </w:rPr>
        <w:t> </w:t>
      </w:r>
      <w:r>
        <w:rPr>
          <w:sz w:val="19"/>
        </w:rPr>
        <w:t>Building</w:t>
      </w:r>
      <w:r>
        <w:rPr>
          <w:spacing w:val="-8"/>
          <w:sz w:val="19"/>
        </w:rPr>
        <w:t> </w:t>
      </w:r>
      <w:r>
        <w:rPr>
          <w:sz w:val="19"/>
        </w:rPr>
        <w:t>Management</w:t>
      </w:r>
      <w:r>
        <w:rPr>
          <w:spacing w:val="-8"/>
          <w:sz w:val="19"/>
        </w:rPr>
        <w:t> </w:t>
      </w:r>
      <w:r>
        <w:rPr>
          <w:sz w:val="19"/>
        </w:rPr>
        <w:t>and</w:t>
      </w:r>
      <w:r>
        <w:rPr>
          <w:spacing w:val="-7"/>
          <w:sz w:val="19"/>
        </w:rPr>
        <w:t> </w:t>
      </w:r>
      <w:r>
        <w:rPr>
          <w:sz w:val="19"/>
        </w:rPr>
        <w:t>Works</w:t>
      </w:r>
      <w:r>
        <w:rPr>
          <w:spacing w:val="-8"/>
          <w:sz w:val="19"/>
        </w:rPr>
        <w:t> </w:t>
      </w:r>
      <w:r>
        <w:rPr>
          <w:sz w:val="19"/>
        </w:rPr>
        <w:t>on</w:t>
      </w:r>
      <w:r>
        <w:rPr>
          <w:spacing w:val="-8"/>
          <w:sz w:val="19"/>
        </w:rPr>
        <w:t> </w:t>
      </w:r>
      <w:r>
        <w:rPr>
          <w:sz w:val="19"/>
        </w:rPr>
        <w:t>behalf</w:t>
      </w:r>
      <w:r>
        <w:rPr>
          <w:spacing w:val="-7"/>
          <w:sz w:val="19"/>
        </w:rPr>
        <w:t> </w:t>
      </w:r>
      <w:r>
        <w:rPr>
          <w:sz w:val="19"/>
        </w:rPr>
        <w:t>of</w:t>
      </w:r>
      <w:r>
        <w:rPr>
          <w:spacing w:val="-8"/>
          <w:sz w:val="19"/>
        </w:rPr>
        <w:t> </w:t>
      </w:r>
      <w:r>
        <w:rPr>
          <w:sz w:val="19"/>
        </w:rPr>
        <w:t>Government</w:t>
      </w:r>
      <w:r>
        <w:rPr>
          <w:spacing w:val="-8"/>
          <w:sz w:val="19"/>
        </w:rPr>
        <w:t> </w:t>
      </w:r>
      <w:r>
        <w:rPr>
          <w:sz w:val="19"/>
        </w:rPr>
        <w:t>agencies</w:t>
      </w:r>
      <w:r>
        <w:rPr>
          <w:spacing w:val="-7"/>
          <w:sz w:val="19"/>
        </w:rPr>
        <w:t> </w:t>
      </w:r>
      <w:r>
        <w:rPr>
          <w:sz w:val="19"/>
        </w:rPr>
        <w:t>was</w:t>
      </w:r>
      <w:r>
        <w:rPr>
          <w:spacing w:val="-8"/>
          <w:sz w:val="19"/>
        </w:rPr>
        <w:t> </w:t>
      </w:r>
      <w:r>
        <w:rPr>
          <w:sz w:val="19"/>
        </w:rPr>
        <w:t>lower</w:t>
      </w:r>
      <w:r>
        <w:rPr>
          <w:spacing w:val="-8"/>
          <w:sz w:val="19"/>
        </w:rPr>
        <w:t> </w:t>
      </w:r>
      <w:r>
        <w:rPr>
          <w:sz w:val="19"/>
        </w:rPr>
        <w:t>resulting</w:t>
      </w:r>
      <w:r>
        <w:rPr>
          <w:spacing w:val="-7"/>
          <w:sz w:val="19"/>
        </w:rPr>
        <w:t> </w:t>
      </w:r>
      <w:r>
        <w:rPr>
          <w:sz w:val="19"/>
        </w:rPr>
        <w:t>in</w:t>
      </w:r>
      <w:r>
        <w:rPr>
          <w:spacing w:val="-8"/>
          <w:sz w:val="19"/>
        </w:rPr>
        <w:t> </w:t>
      </w:r>
      <w:r>
        <w:rPr>
          <w:sz w:val="19"/>
        </w:rPr>
        <w:t>lower</w:t>
      </w:r>
      <w:r>
        <w:rPr>
          <w:spacing w:val="-8"/>
          <w:sz w:val="19"/>
        </w:rPr>
        <w:t> </w:t>
      </w:r>
      <w:r>
        <w:rPr>
          <w:sz w:val="19"/>
        </w:rPr>
        <w:t>recoveries</w:t>
      </w:r>
      <w:r>
        <w:rPr>
          <w:spacing w:val="-7"/>
          <w:sz w:val="19"/>
        </w:rPr>
        <w:t> </w:t>
      </w:r>
      <w:r>
        <w:rPr>
          <w:sz w:val="19"/>
        </w:rPr>
        <w:t>from</w:t>
      </w:r>
      <w:r>
        <w:rPr>
          <w:spacing w:val="-8"/>
          <w:sz w:val="19"/>
        </w:rPr>
        <w:t> </w:t>
      </w:r>
      <w:r>
        <w:rPr>
          <w:sz w:val="19"/>
        </w:rPr>
        <w:t>agencies.</w:t>
      </w:r>
    </w:p>
    <w:p>
      <w:pPr>
        <w:pStyle w:val="BodyText"/>
        <w:spacing w:before="7"/>
        <w:rPr>
          <w:sz w:val="20"/>
        </w:rPr>
      </w:pPr>
    </w:p>
    <w:p>
      <w:pPr>
        <w:spacing w:before="0"/>
        <w:ind w:left="766" w:right="0" w:firstLine="0"/>
        <w:jc w:val="left"/>
        <w:rPr>
          <w:i/>
          <w:sz w:val="19"/>
        </w:rPr>
      </w:pPr>
      <w:r>
        <w:rPr>
          <w:i/>
          <w:color w:val="6F2770"/>
          <w:sz w:val="19"/>
        </w:rPr>
        <w:t>Major Actual (2017) and Comparative (2016) Variance Narratives</w:t>
      </w:r>
    </w:p>
    <w:p>
      <w:pPr>
        <w:spacing w:line="249" w:lineRule="auto" w:before="10"/>
        <w:ind w:left="977" w:right="2565" w:hanging="212"/>
        <w:jc w:val="left"/>
        <w:rPr>
          <w:sz w:val="19"/>
        </w:rPr>
      </w:pPr>
      <w:r>
        <w:rPr>
          <w:sz w:val="19"/>
        </w:rPr>
        <w:t>2.</w:t>
      </w:r>
      <w:r>
        <w:rPr>
          <w:spacing w:val="-20"/>
          <w:sz w:val="19"/>
        </w:rPr>
        <w:t> </w:t>
      </w:r>
      <w:r>
        <w:rPr>
          <w:sz w:val="19"/>
        </w:rPr>
        <w:t>The</w:t>
      </w:r>
      <w:r>
        <w:rPr>
          <w:spacing w:val="-20"/>
          <w:sz w:val="19"/>
        </w:rPr>
        <w:t> </w:t>
      </w:r>
      <w:r>
        <w:rPr>
          <w:sz w:val="19"/>
        </w:rPr>
        <w:t>higher</w:t>
      </w:r>
      <w:r>
        <w:rPr>
          <w:spacing w:val="-19"/>
          <w:sz w:val="19"/>
        </w:rPr>
        <w:t> </w:t>
      </w:r>
      <w:r>
        <w:rPr>
          <w:sz w:val="19"/>
        </w:rPr>
        <w:t>expenditure</w:t>
      </w:r>
      <w:r>
        <w:rPr>
          <w:spacing w:val="-20"/>
          <w:sz w:val="19"/>
        </w:rPr>
        <w:t> </w:t>
      </w:r>
      <w:r>
        <w:rPr>
          <w:sz w:val="19"/>
        </w:rPr>
        <w:t>in</w:t>
      </w:r>
      <w:r>
        <w:rPr>
          <w:spacing w:val="-20"/>
          <w:sz w:val="19"/>
        </w:rPr>
        <w:t> </w:t>
      </w:r>
      <w:r>
        <w:rPr>
          <w:sz w:val="19"/>
        </w:rPr>
        <w:t>2017</w:t>
      </w:r>
      <w:r>
        <w:rPr>
          <w:spacing w:val="-19"/>
          <w:sz w:val="19"/>
        </w:rPr>
        <w:t> </w:t>
      </w:r>
      <w:r>
        <w:rPr>
          <w:sz w:val="19"/>
        </w:rPr>
        <w:t>reflects</w:t>
      </w:r>
      <w:r>
        <w:rPr>
          <w:spacing w:val="-20"/>
          <w:sz w:val="19"/>
        </w:rPr>
        <w:t> </w:t>
      </w:r>
      <w:r>
        <w:rPr>
          <w:sz w:val="19"/>
        </w:rPr>
        <w:t>the</w:t>
      </w:r>
      <w:r>
        <w:rPr>
          <w:spacing w:val="-19"/>
          <w:sz w:val="19"/>
        </w:rPr>
        <w:t> </w:t>
      </w:r>
      <w:r>
        <w:rPr>
          <w:sz w:val="19"/>
        </w:rPr>
        <w:t>increased</w:t>
      </w:r>
      <w:r>
        <w:rPr>
          <w:spacing w:val="-20"/>
          <w:sz w:val="19"/>
        </w:rPr>
        <w:t> </w:t>
      </w:r>
      <w:r>
        <w:rPr>
          <w:sz w:val="19"/>
        </w:rPr>
        <w:t>agency</w:t>
      </w:r>
      <w:r>
        <w:rPr>
          <w:spacing w:val="-20"/>
          <w:sz w:val="19"/>
        </w:rPr>
        <w:t> </w:t>
      </w:r>
      <w:r>
        <w:rPr>
          <w:sz w:val="19"/>
        </w:rPr>
        <w:t>requirements</w:t>
      </w:r>
      <w:r>
        <w:rPr>
          <w:spacing w:val="-19"/>
          <w:sz w:val="19"/>
        </w:rPr>
        <w:t> </w:t>
      </w:r>
      <w:r>
        <w:rPr>
          <w:sz w:val="19"/>
        </w:rPr>
        <w:t>for</w:t>
      </w:r>
      <w:r>
        <w:rPr>
          <w:spacing w:val="-20"/>
          <w:sz w:val="19"/>
        </w:rPr>
        <w:t> </w:t>
      </w:r>
      <w:r>
        <w:rPr>
          <w:sz w:val="19"/>
        </w:rPr>
        <w:t>services</w:t>
      </w:r>
      <w:r>
        <w:rPr>
          <w:spacing w:val="-19"/>
          <w:sz w:val="19"/>
        </w:rPr>
        <w:t> </w:t>
      </w:r>
      <w:r>
        <w:rPr>
          <w:sz w:val="19"/>
        </w:rPr>
        <w:t>primarily</w:t>
      </w:r>
      <w:r>
        <w:rPr>
          <w:spacing w:val="-20"/>
          <w:sz w:val="19"/>
        </w:rPr>
        <w:t> </w:t>
      </w:r>
      <w:r>
        <w:rPr>
          <w:sz w:val="19"/>
        </w:rPr>
        <w:t>related</w:t>
      </w:r>
      <w:r>
        <w:rPr>
          <w:spacing w:val="-20"/>
          <w:sz w:val="19"/>
        </w:rPr>
        <w:t> </w:t>
      </w:r>
      <w:r>
        <w:rPr>
          <w:sz w:val="19"/>
        </w:rPr>
        <w:t>to</w:t>
      </w:r>
      <w:r>
        <w:rPr>
          <w:spacing w:val="-19"/>
          <w:sz w:val="19"/>
        </w:rPr>
        <w:t> </w:t>
      </w:r>
      <w:r>
        <w:rPr>
          <w:sz w:val="19"/>
        </w:rPr>
        <w:t>Capital</w:t>
      </w:r>
      <w:r>
        <w:rPr>
          <w:spacing w:val="-20"/>
          <w:sz w:val="19"/>
        </w:rPr>
        <w:t> </w:t>
      </w:r>
      <w:r>
        <w:rPr>
          <w:sz w:val="19"/>
        </w:rPr>
        <w:t>projects</w:t>
      </w:r>
      <w:r>
        <w:rPr>
          <w:spacing w:val="-20"/>
          <w:sz w:val="19"/>
        </w:rPr>
        <w:t> </w:t>
      </w:r>
      <w:r>
        <w:rPr>
          <w:sz w:val="19"/>
        </w:rPr>
        <w:t>managed</w:t>
      </w:r>
      <w:r>
        <w:rPr>
          <w:spacing w:val="-19"/>
          <w:sz w:val="19"/>
        </w:rPr>
        <w:t> </w:t>
      </w:r>
      <w:r>
        <w:rPr>
          <w:sz w:val="19"/>
        </w:rPr>
        <w:t>on</w:t>
      </w:r>
      <w:r>
        <w:rPr>
          <w:spacing w:val="-20"/>
          <w:sz w:val="19"/>
        </w:rPr>
        <w:t> </w:t>
      </w:r>
      <w:r>
        <w:rPr>
          <w:sz w:val="19"/>
        </w:rPr>
        <w:t>behalf</w:t>
      </w:r>
      <w:r>
        <w:rPr>
          <w:spacing w:val="-19"/>
          <w:sz w:val="19"/>
        </w:rPr>
        <w:t> </w:t>
      </w:r>
      <w:r>
        <w:rPr>
          <w:sz w:val="19"/>
        </w:rPr>
        <w:t>of</w:t>
      </w:r>
      <w:r>
        <w:rPr>
          <w:spacing w:val="-20"/>
          <w:sz w:val="19"/>
        </w:rPr>
        <w:t> </w:t>
      </w:r>
      <w:r>
        <w:rPr>
          <w:sz w:val="19"/>
        </w:rPr>
        <w:t>other</w:t>
      </w:r>
      <w:r>
        <w:rPr>
          <w:spacing w:val="-20"/>
          <w:sz w:val="19"/>
        </w:rPr>
        <w:t> </w:t>
      </w:r>
      <w:r>
        <w:rPr>
          <w:sz w:val="19"/>
        </w:rPr>
        <w:t>agencies</w:t>
      </w:r>
      <w:r>
        <w:rPr>
          <w:spacing w:val="-19"/>
          <w:sz w:val="19"/>
        </w:rPr>
        <w:t> </w:t>
      </w:r>
      <w:r>
        <w:rPr>
          <w:spacing w:val="-6"/>
          <w:sz w:val="19"/>
        </w:rPr>
        <w:t>by </w:t>
      </w:r>
      <w:r>
        <w:rPr>
          <w:sz w:val="19"/>
        </w:rPr>
        <w:t>Building Management and</w:t>
      </w:r>
      <w:r>
        <w:rPr>
          <w:spacing w:val="-2"/>
          <w:sz w:val="19"/>
        </w:rPr>
        <w:t> </w:t>
      </w:r>
      <w:r>
        <w:rPr>
          <w:sz w:val="19"/>
        </w:rPr>
        <w:t>Works.</w:t>
      </w:r>
    </w:p>
    <w:p>
      <w:pPr>
        <w:spacing w:before="1"/>
        <w:ind w:left="766" w:right="0" w:firstLine="0"/>
        <w:jc w:val="left"/>
        <w:rPr>
          <w:sz w:val="19"/>
        </w:rPr>
      </w:pPr>
      <w:r>
        <w:rPr>
          <w:sz w:val="19"/>
        </w:rPr>
        <w:t>4. The increase in 2017 is mainly due to higher recovery of costs related to Capital projects managed by Building Management and Works, on behalf of other agencies.</w:t>
      </w:r>
    </w:p>
    <w:p>
      <w:pPr>
        <w:spacing w:after="0"/>
        <w:jc w:val="left"/>
        <w:rPr>
          <w:sz w:val="19"/>
        </w:rPr>
        <w:sectPr>
          <w:footerReference w:type="default" r:id="rId231"/>
          <w:pgSz w:w="16840" w:h="11910" w:orient="landscape"/>
          <w:pgMar w:footer="448" w:header="0" w:top="0" w:bottom="64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5"/>
        <w:rPr>
          <w:sz w:val="21"/>
        </w:rPr>
      </w:pPr>
    </w:p>
    <w:p>
      <w:pPr>
        <w:pStyle w:val="Heading1"/>
      </w:pPr>
      <w:r>
        <w:rPr/>
        <w:pict>
          <v:group style="position:absolute;margin-left:763.172119pt;margin-top:-3.594212pt;width:61.1pt;height:45.2pt;mso-position-horizontal-relative:page;mso-position-vertical-relative:paragraph;z-index:24400"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b/>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120.3pt;height:42.55pt;mso-position-horizontal-relative:page;mso-position-vertical-relative:paragraph;z-index:24448" coordorigin="0,-1147" coordsize="2406,851">
            <v:rect style="position:absolute;left:0;top:-1148;width:2406;height:851" filled="true" fillcolor="#aebd37" stroked="false">
              <v:fill type="solid"/>
            </v:rect>
            <v:shape style="position:absolute;left:0;top:-1148;width:2406;height:851" type="#_x0000_t202" filled="false"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7421pt;width:360.85pt;height:42.55pt;mso-position-horizontal-relative:page;mso-position-vertical-relative:paragraph;z-index:24544" coordorigin="9622,-1147" coordsize="7217,851">
            <v:rect style="position:absolute;left:14432;top:-1148;width:2406;height:851" filled="true" fillcolor="#aebd37" stroked="false">
              <v:fill type="solid"/>
            </v:rect>
            <v:shape style="position:absolute;left:14432;top:-1148;width:2406;height:851" type="#_x0000_t202" filled="false" stroked="false">
              <v:textbox inset="0,0,0,0">
                <w:txbxContent>
                  <w:p>
                    <w:pPr>
                      <w:spacing w:line="240" w:lineRule="auto" w:before="9"/>
                      <w:rPr>
                        <w:b/>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8;width:2406;height:851" type="#_x0000_t202" filled="true" fillcolor="#b6c247" stroked="false">
              <v:textbox inset="0,0,0,0">
                <w:txbxContent>
                  <w:p>
                    <w:pPr>
                      <w:spacing w:line="240" w:lineRule="auto"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8;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Heading5"/>
        <w:spacing w:before="257"/>
      </w:pPr>
      <w:r>
        <w:rPr>
          <w:color w:val="6F2770"/>
        </w:rPr>
        <w:t>Note 44. Explanatory statement (cont.)</w:t>
      </w:r>
    </w:p>
    <w:p>
      <w:pPr>
        <w:pStyle w:val="BodyText"/>
        <w:spacing w:before="6"/>
        <w:rPr>
          <w:sz w:val="15"/>
        </w:rPr>
      </w:pPr>
    </w:p>
    <w:p>
      <w:pPr>
        <w:spacing w:before="108" w:after="45"/>
        <w:ind w:left="785" w:right="0" w:firstLine="0"/>
        <w:jc w:val="left"/>
        <w:rPr>
          <w:b/>
          <w:sz w:val="19"/>
        </w:rPr>
      </w:pPr>
      <w:r>
        <w:rPr>
          <w:b/>
          <w:sz w:val="19"/>
        </w:rPr>
        <w:t>Statement of Financial Position (Controlled Operations)</w:t>
      </w:r>
    </w:p>
    <w:tbl>
      <w:tblPr>
        <w:tblW w:w="0" w:type="auto"/>
        <w:jc w:val="left"/>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6"/>
        <w:gridCol w:w="1548"/>
        <w:gridCol w:w="1548"/>
        <w:gridCol w:w="1548"/>
        <w:gridCol w:w="1548"/>
        <w:gridCol w:w="1548"/>
        <w:gridCol w:w="1661"/>
      </w:tblGrid>
      <w:tr>
        <w:trPr>
          <w:trHeight w:val="1217" w:hRule="atLeast"/>
        </w:trPr>
        <w:tc>
          <w:tcPr>
            <w:tcW w:w="15297" w:type="dxa"/>
            <w:gridSpan w:val="7"/>
            <w:shd w:val="clear" w:color="auto" w:fill="783A79"/>
          </w:tcPr>
          <w:p>
            <w:pPr>
              <w:pStyle w:val="TableParagraph"/>
              <w:tabs>
                <w:tab w:pos="7604" w:val="left" w:leader="none"/>
                <w:tab w:pos="9373" w:val="left" w:leader="none"/>
                <w:tab w:pos="10921" w:val="left" w:leader="none"/>
                <w:tab w:pos="12740" w:val="left" w:leader="none"/>
                <w:tab w:pos="14401" w:val="left" w:leader="none"/>
              </w:tabs>
              <w:spacing w:before="42"/>
              <w:ind w:left="6036"/>
              <w:rPr>
                <w:b/>
                <w:sz w:val="19"/>
              </w:rPr>
            </w:pPr>
            <w:r>
              <w:rPr>
                <w:b/>
                <w:color w:val="FFFFFF"/>
                <w:sz w:val="19"/>
              </w:rPr>
              <w:t>Variance</w:t>
            </w:r>
            <w:r>
              <w:rPr>
                <w:b/>
                <w:color w:val="FFFFFF"/>
                <w:spacing w:val="-1"/>
                <w:sz w:val="19"/>
              </w:rPr>
              <w:t> </w:t>
            </w:r>
            <w:r>
              <w:rPr>
                <w:b/>
                <w:color w:val="FFFFFF"/>
                <w:sz w:val="19"/>
              </w:rPr>
              <w:t>Note</w:t>
              <w:tab/>
              <w:t>Estimate</w:t>
            </w:r>
            <w:r>
              <w:rPr>
                <w:b/>
                <w:color w:val="FFFFFF"/>
                <w:spacing w:val="2"/>
                <w:sz w:val="19"/>
              </w:rPr>
              <w:t> </w:t>
            </w:r>
            <w:r>
              <w:rPr>
                <w:b/>
                <w:color w:val="FFFFFF"/>
                <w:sz w:val="19"/>
              </w:rPr>
              <w:t>2017</w:t>
              <w:tab/>
              <w:t>Actual</w:t>
            </w:r>
            <w:r>
              <w:rPr>
                <w:b/>
                <w:color w:val="FFFFFF"/>
                <w:spacing w:val="-1"/>
                <w:sz w:val="19"/>
              </w:rPr>
              <w:t> </w:t>
            </w:r>
            <w:r>
              <w:rPr>
                <w:b/>
                <w:color w:val="FFFFFF"/>
                <w:sz w:val="19"/>
              </w:rPr>
              <w:t>2017</w:t>
              <w:tab/>
              <w:t>Actual</w:t>
            </w:r>
            <w:r>
              <w:rPr>
                <w:b/>
                <w:color w:val="FFFFFF"/>
                <w:spacing w:val="-1"/>
                <w:sz w:val="19"/>
              </w:rPr>
              <w:t> </w:t>
            </w:r>
            <w:r>
              <w:rPr>
                <w:b/>
                <w:color w:val="FFFFFF"/>
                <w:sz w:val="19"/>
              </w:rPr>
              <w:t>2016</w:t>
              <w:tab/>
              <w:t>Variance</w:t>
              <w:tab/>
              <w:t>Variance</w:t>
            </w:r>
          </w:p>
          <w:p>
            <w:pPr>
              <w:pStyle w:val="TableParagraph"/>
              <w:tabs>
                <w:tab w:pos="13750" w:val="left" w:leader="none"/>
                <w:tab w:pos="13788" w:val="left" w:leader="none"/>
              </w:tabs>
              <w:spacing w:line="249" w:lineRule="auto" w:before="10"/>
              <w:ind w:left="12346" w:right="112" w:firstLine="397"/>
              <w:jc w:val="right"/>
              <w:rPr>
                <w:b/>
                <w:sz w:val="19"/>
              </w:rPr>
            </w:pPr>
            <w:r>
              <w:rPr>
                <w:b/>
                <w:color w:val="FFFFFF"/>
                <w:sz w:val="19"/>
              </w:rPr>
              <w:t>between</w:t>
              <w:tab/>
              <w:tab/>
              <w:t>between</w:t>
            </w:r>
            <w:r>
              <w:rPr>
                <w:b/>
                <w:color w:val="FFFFFF"/>
                <w:spacing w:val="25"/>
                <w:sz w:val="19"/>
              </w:rPr>
              <w:t> </w:t>
            </w:r>
            <w:r>
              <w:rPr>
                <w:b/>
                <w:color w:val="FFFFFF"/>
                <w:spacing w:val="-3"/>
                <w:sz w:val="19"/>
              </w:rPr>
              <w:t>actual</w:t>
            </w:r>
            <w:r>
              <w:rPr>
                <w:b/>
                <w:color w:val="FFFFFF"/>
                <w:w w:val="101"/>
                <w:sz w:val="19"/>
              </w:rPr>
              <w:t> </w:t>
            </w:r>
            <w:r>
              <w:rPr>
                <w:b/>
                <w:color w:val="FFFFFF"/>
                <w:sz w:val="19"/>
              </w:rPr>
              <w:t>estimate</w:t>
            </w:r>
            <w:r>
              <w:rPr>
                <w:b/>
                <w:color w:val="FFFFFF"/>
                <w:spacing w:val="4"/>
                <w:sz w:val="19"/>
              </w:rPr>
              <w:t> </w:t>
            </w:r>
            <w:r>
              <w:rPr>
                <w:b/>
                <w:color w:val="FFFFFF"/>
                <w:sz w:val="19"/>
              </w:rPr>
              <w:t>and</w:t>
              <w:tab/>
              <w:tab/>
              <w:t>results</w:t>
            </w:r>
            <w:r>
              <w:rPr>
                <w:b/>
                <w:color w:val="FFFFFF"/>
                <w:spacing w:val="-6"/>
                <w:sz w:val="19"/>
              </w:rPr>
              <w:t> </w:t>
            </w:r>
            <w:r>
              <w:rPr>
                <w:b/>
                <w:color w:val="FFFFFF"/>
                <w:sz w:val="19"/>
              </w:rPr>
              <w:t>for</w:t>
            </w:r>
            <w:r>
              <w:rPr>
                <w:b/>
                <w:color w:val="FFFFFF"/>
                <w:spacing w:val="-6"/>
                <w:sz w:val="19"/>
              </w:rPr>
              <w:t> </w:t>
            </w:r>
            <w:r>
              <w:rPr>
                <w:b/>
                <w:color w:val="FFFFFF"/>
                <w:spacing w:val="-4"/>
                <w:sz w:val="19"/>
              </w:rPr>
              <w:t>2017</w:t>
            </w:r>
            <w:r>
              <w:rPr>
                <w:b/>
                <w:color w:val="FFFFFF"/>
                <w:w w:val="99"/>
                <w:sz w:val="19"/>
              </w:rPr>
              <w:t> </w:t>
            </w:r>
            <w:r>
              <w:rPr>
                <w:b/>
                <w:color w:val="FFFFFF"/>
                <w:sz w:val="19"/>
              </w:rPr>
              <w:t>actual</w:t>
              <w:tab/>
              <w:t>and</w:t>
            </w:r>
            <w:r>
              <w:rPr>
                <w:b/>
                <w:color w:val="FFFFFF"/>
                <w:spacing w:val="-1"/>
                <w:sz w:val="19"/>
              </w:rPr>
              <w:t> </w:t>
            </w:r>
            <w:r>
              <w:rPr>
                <w:b/>
                <w:color w:val="FFFFFF"/>
                <w:sz w:val="19"/>
              </w:rPr>
              <w:t>2016</w:t>
            </w:r>
          </w:p>
          <w:p>
            <w:pPr>
              <w:pStyle w:val="TableParagraph"/>
              <w:tabs>
                <w:tab w:pos="1547" w:val="left" w:leader="none"/>
                <w:tab w:pos="3095" w:val="left" w:leader="none"/>
                <w:tab w:pos="4643" w:val="left" w:leader="none"/>
                <w:tab w:pos="6304" w:val="left" w:leader="none"/>
              </w:tabs>
              <w:spacing w:before="2"/>
              <w:ind w:right="112"/>
              <w:jc w:val="right"/>
              <w:rPr>
                <w:b/>
                <w:sz w:val="19"/>
              </w:rPr>
            </w:pPr>
            <w:r>
              <w:rPr>
                <w:b/>
                <w:color w:val="FFFFFF"/>
                <w:sz w:val="19"/>
              </w:rPr>
              <w:t>$000</w:t>
              <w:tab/>
              <w:t>$000</w:t>
              <w:tab/>
              <w:t>$000</w:t>
              <w:tab/>
              <w:t>$000</w:t>
              <w:tab/>
            </w:r>
            <w:r>
              <w:rPr>
                <w:b/>
                <w:color w:val="FFFFFF"/>
                <w:w w:val="95"/>
                <w:sz w:val="19"/>
              </w:rPr>
              <w:t>$000</w:t>
            </w:r>
          </w:p>
        </w:tc>
      </w:tr>
      <w:tr>
        <w:trPr>
          <w:trHeight w:val="327" w:hRule="atLeast"/>
        </w:trPr>
        <w:tc>
          <w:tcPr>
            <w:tcW w:w="5896" w:type="dxa"/>
            <w:tcBorders>
              <w:right w:val="single" w:sz="8" w:space="0" w:color="FFFFFF"/>
            </w:tcBorders>
            <w:shd w:val="clear" w:color="auto" w:fill="F4F4F4"/>
          </w:tcPr>
          <w:p>
            <w:pPr>
              <w:pStyle w:val="TableParagraph"/>
              <w:spacing w:before="42"/>
              <w:ind w:left="113"/>
              <w:rPr>
                <w:b/>
                <w:sz w:val="19"/>
              </w:rPr>
            </w:pPr>
            <w:r>
              <w:rPr>
                <w:b/>
                <w:sz w:val="19"/>
              </w:rPr>
              <w:t>ASSETS</w:t>
            </w:r>
          </w:p>
        </w:tc>
        <w:tc>
          <w:tcPr>
            <w:tcW w:w="1548" w:type="dxa"/>
            <w:tcBorders>
              <w:left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left w:val="single" w:sz="8" w:space="0" w:color="FFFFFF"/>
            </w:tcBorders>
            <w:shd w:val="clear" w:color="auto" w:fill="F4F4F4"/>
          </w:tcPr>
          <w:p>
            <w:pPr>
              <w:pStyle w:val="TableParagraph"/>
              <w:spacing w:before="0"/>
              <w:rPr>
                <w:rFonts w:ascii="Times New Roman"/>
                <w:sz w:val="20"/>
              </w:rPr>
            </w:pPr>
          </w:p>
        </w:tc>
        <w:tc>
          <w:tcPr>
            <w:tcW w:w="1548" w:type="dxa"/>
            <w:shd w:val="clear" w:color="auto" w:fill="E1E4BB"/>
          </w:tcPr>
          <w:p>
            <w:pPr>
              <w:pStyle w:val="TableParagraph"/>
              <w:spacing w:before="0"/>
              <w:rPr>
                <w:rFonts w:ascii="Times New Roman"/>
                <w:sz w:val="20"/>
              </w:rPr>
            </w:pPr>
          </w:p>
        </w:tc>
        <w:tc>
          <w:tcPr>
            <w:tcW w:w="1548" w:type="dxa"/>
            <w:vMerge w:val="restart"/>
            <w:shd w:val="clear" w:color="auto" w:fill="FFFFFF"/>
          </w:tcPr>
          <w:p>
            <w:pPr>
              <w:pStyle w:val="TableParagraph"/>
              <w:spacing w:before="0"/>
              <w:rPr>
                <w:rFonts w:ascii="Times New Roman"/>
                <w:sz w:val="20"/>
              </w:rPr>
            </w:pPr>
          </w:p>
        </w:tc>
        <w:tc>
          <w:tcPr>
            <w:tcW w:w="1548" w:type="dxa"/>
            <w:vMerge w:val="restart"/>
            <w:shd w:val="clear" w:color="auto" w:fill="FFFFFF"/>
          </w:tcPr>
          <w:p>
            <w:pPr>
              <w:pStyle w:val="TableParagraph"/>
              <w:spacing w:before="0"/>
              <w:rPr>
                <w:rFonts w:ascii="Times New Roman"/>
                <w:sz w:val="20"/>
              </w:rPr>
            </w:pPr>
          </w:p>
        </w:tc>
        <w:tc>
          <w:tcPr>
            <w:tcW w:w="1661" w:type="dxa"/>
            <w:vMerge w:val="restart"/>
            <w:shd w:val="clear" w:color="auto" w:fill="FFFFFF"/>
          </w:tcPr>
          <w:p>
            <w:pPr>
              <w:pStyle w:val="TableParagraph"/>
              <w:spacing w:before="0"/>
              <w:rPr>
                <w:rFonts w:ascii="Times New Roman"/>
                <w:sz w:val="20"/>
              </w:rPr>
            </w:pPr>
          </w:p>
        </w:tc>
      </w:tr>
      <w:tr>
        <w:trPr>
          <w:trHeight w:val="317" w:hRule="atLeast"/>
        </w:trPr>
        <w:tc>
          <w:tcPr>
            <w:tcW w:w="5896" w:type="dxa"/>
            <w:tcBorders>
              <w:bottom w:val="single" w:sz="8" w:space="0" w:color="FFFFFF"/>
              <w:right w:val="single" w:sz="8" w:space="0" w:color="FFFFFF"/>
            </w:tcBorders>
            <w:shd w:val="clear" w:color="auto" w:fill="FAF9F9"/>
          </w:tcPr>
          <w:p>
            <w:pPr>
              <w:pStyle w:val="TableParagraph"/>
              <w:spacing w:before="42"/>
              <w:ind w:left="113"/>
              <w:rPr>
                <w:i/>
                <w:sz w:val="19"/>
              </w:rPr>
            </w:pPr>
            <w:r>
              <w:rPr>
                <w:i/>
                <w:color w:val="A7BE39"/>
                <w:sz w:val="19"/>
              </w:rPr>
              <w:t>Current assets</w:t>
            </w:r>
          </w:p>
        </w:tc>
        <w:tc>
          <w:tcPr>
            <w:tcW w:w="1548" w:type="dxa"/>
            <w:tcBorders>
              <w:left w:val="single" w:sz="8" w:space="0" w:color="FFFFFF"/>
              <w:bottom w:val="single" w:sz="8" w:space="0" w:color="FFFFFF"/>
              <w:right w:val="single" w:sz="8" w:space="0" w:color="FFFFFF"/>
            </w:tcBorders>
            <w:shd w:val="clear" w:color="auto" w:fill="FAF9F9"/>
          </w:tcPr>
          <w:p>
            <w:pPr>
              <w:pStyle w:val="TableParagraph"/>
              <w:spacing w:before="0"/>
              <w:rPr>
                <w:rFonts w:ascii="Times New Roman"/>
                <w:sz w:val="20"/>
              </w:rPr>
            </w:pPr>
          </w:p>
        </w:tc>
        <w:tc>
          <w:tcPr>
            <w:tcW w:w="1548" w:type="dxa"/>
            <w:tcBorders>
              <w:left w:val="single" w:sz="8" w:space="0" w:color="FFFFFF"/>
              <w:bottom w:val="single" w:sz="8" w:space="0" w:color="FFFFFF"/>
            </w:tcBorders>
            <w:shd w:val="clear" w:color="auto" w:fill="FAF9F9"/>
          </w:tcPr>
          <w:p>
            <w:pPr>
              <w:pStyle w:val="TableParagraph"/>
              <w:spacing w:before="0"/>
              <w:rPr>
                <w:rFonts w:ascii="Times New Roman"/>
                <w:sz w:val="20"/>
              </w:rPr>
            </w:pPr>
          </w:p>
        </w:tc>
        <w:tc>
          <w:tcPr>
            <w:tcW w:w="1548" w:type="dxa"/>
            <w:vMerge w:val="restart"/>
            <w:shd w:val="clear" w:color="auto" w:fill="E1E4BB"/>
          </w:tcPr>
          <w:p>
            <w:pPr>
              <w:pStyle w:val="TableParagraph"/>
              <w:spacing w:before="1"/>
              <w:rPr>
                <w:b/>
                <w:sz w:val="32"/>
              </w:rPr>
            </w:pPr>
          </w:p>
          <w:p>
            <w:pPr>
              <w:pStyle w:val="TableParagraph"/>
              <w:spacing w:before="0"/>
              <w:ind w:left="853"/>
              <w:rPr>
                <w:sz w:val="19"/>
              </w:rPr>
            </w:pPr>
            <w:r>
              <w:rPr>
                <w:sz w:val="19"/>
              </w:rPr>
              <w:t>70,618</w:t>
            </w:r>
          </w:p>
        </w:tc>
        <w:tc>
          <w:tcPr>
            <w:tcW w:w="1548" w:type="dxa"/>
            <w:vMerge/>
            <w:tcBorders>
              <w:top w:val="nil"/>
            </w:tcBorders>
            <w:shd w:val="clear" w:color="auto" w:fill="FFFFFF"/>
          </w:tcPr>
          <w:p>
            <w:pPr>
              <w:rPr>
                <w:sz w:val="2"/>
                <w:szCs w:val="2"/>
              </w:rPr>
            </w:pPr>
          </w:p>
        </w:tc>
        <w:tc>
          <w:tcPr>
            <w:tcW w:w="1548" w:type="dxa"/>
            <w:vMerge/>
            <w:tcBorders>
              <w:top w:val="nil"/>
            </w:tcBorders>
            <w:shd w:val="clear" w:color="auto" w:fill="FFFFFF"/>
          </w:tcPr>
          <w:p>
            <w:pPr>
              <w:rPr>
                <w:sz w:val="2"/>
                <w:szCs w:val="2"/>
              </w:rPr>
            </w:pPr>
          </w:p>
        </w:tc>
        <w:tc>
          <w:tcPr>
            <w:tcW w:w="1661" w:type="dxa"/>
            <w:vMerge/>
            <w:tcBorders>
              <w:top w:val="nil"/>
            </w:tcBorders>
            <w:shd w:val="clear" w:color="auto" w:fill="FFFFFF"/>
          </w:tcPr>
          <w:p>
            <w:pPr>
              <w:rPr>
                <w:sz w:val="2"/>
                <w:szCs w:val="2"/>
              </w:rPr>
            </w:pPr>
          </w:p>
        </w:tc>
      </w:tr>
      <w:tr>
        <w:trPr>
          <w:trHeight w:val="292" w:hRule="atLeast"/>
        </w:trPr>
        <w:tc>
          <w:tcPr>
            <w:tcW w:w="5896" w:type="dxa"/>
            <w:tcBorders>
              <w:top w:val="single" w:sz="8" w:space="0" w:color="FFFFFF"/>
              <w:right w:val="single" w:sz="8" w:space="0" w:color="FFFFFF"/>
            </w:tcBorders>
            <w:shd w:val="clear" w:color="auto" w:fill="FAF9F9"/>
          </w:tcPr>
          <w:p>
            <w:pPr>
              <w:pStyle w:val="TableParagraph"/>
              <w:ind w:left="113"/>
              <w:rPr>
                <w:sz w:val="19"/>
              </w:rPr>
            </w:pPr>
            <w:r>
              <w:rPr>
                <w:sz w:val="19"/>
              </w:rPr>
              <w:t>Cash and cash equivalents</w:t>
            </w:r>
          </w:p>
        </w:tc>
        <w:tc>
          <w:tcPr>
            <w:tcW w:w="1548" w:type="dxa"/>
            <w:vMerge w:val="restart"/>
            <w:tcBorders>
              <w:top w:val="single" w:sz="8" w:space="0" w:color="FFFFFF"/>
              <w:left w:val="single" w:sz="8" w:space="0" w:color="FFFFFF"/>
              <w:bottom w:val="single" w:sz="8" w:space="0" w:color="FFFFFF"/>
              <w:right w:val="single" w:sz="8" w:space="0" w:color="FFFFFF"/>
            </w:tcBorders>
            <w:shd w:val="clear" w:color="auto" w:fill="FAF9F9"/>
          </w:tcPr>
          <w:p>
            <w:pPr>
              <w:pStyle w:val="TableParagraph"/>
              <w:spacing w:before="0"/>
              <w:rPr>
                <w:rFonts w:ascii="Times New Roman"/>
                <w:sz w:val="20"/>
              </w:rPr>
            </w:pPr>
          </w:p>
        </w:tc>
        <w:tc>
          <w:tcPr>
            <w:tcW w:w="1548" w:type="dxa"/>
            <w:tcBorders>
              <w:top w:val="single" w:sz="8" w:space="0" w:color="FFFFFF"/>
              <w:left w:val="single" w:sz="8" w:space="0" w:color="FFFFFF"/>
            </w:tcBorders>
            <w:shd w:val="clear" w:color="auto" w:fill="FAF9F9"/>
          </w:tcPr>
          <w:p>
            <w:pPr>
              <w:pStyle w:val="TableParagraph"/>
              <w:ind w:right="111"/>
              <w:jc w:val="right"/>
              <w:rPr>
                <w:sz w:val="19"/>
              </w:rPr>
            </w:pPr>
            <w:r>
              <w:rPr>
                <w:w w:val="95"/>
                <w:sz w:val="19"/>
              </w:rPr>
              <w:t>91,509</w:t>
            </w:r>
          </w:p>
        </w:tc>
        <w:tc>
          <w:tcPr>
            <w:tcW w:w="1548" w:type="dxa"/>
            <w:vMerge/>
            <w:tcBorders>
              <w:top w:val="nil"/>
            </w:tcBorders>
            <w:shd w:val="clear" w:color="auto" w:fill="E1E4BB"/>
          </w:tcPr>
          <w:p>
            <w:pPr>
              <w:rPr>
                <w:sz w:val="2"/>
                <w:szCs w:val="2"/>
              </w:rPr>
            </w:pPr>
          </w:p>
        </w:tc>
        <w:tc>
          <w:tcPr>
            <w:tcW w:w="1548" w:type="dxa"/>
            <w:shd w:val="clear" w:color="auto" w:fill="FFFFFF"/>
          </w:tcPr>
          <w:p>
            <w:pPr>
              <w:pStyle w:val="TableParagraph"/>
              <w:ind w:right="112"/>
              <w:jc w:val="right"/>
              <w:rPr>
                <w:sz w:val="19"/>
              </w:rPr>
            </w:pPr>
            <w:r>
              <w:rPr>
                <w:w w:val="95"/>
                <w:sz w:val="19"/>
              </w:rPr>
              <w:t>85,247</w:t>
            </w:r>
          </w:p>
        </w:tc>
        <w:tc>
          <w:tcPr>
            <w:tcW w:w="1548" w:type="dxa"/>
            <w:shd w:val="clear" w:color="auto" w:fill="FFFFFF"/>
          </w:tcPr>
          <w:p>
            <w:pPr>
              <w:pStyle w:val="TableParagraph"/>
              <w:ind w:right="112"/>
              <w:jc w:val="right"/>
              <w:rPr>
                <w:sz w:val="19"/>
              </w:rPr>
            </w:pPr>
            <w:r>
              <w:rPr>
                <w:w w:val="95"/>
                <w:sz w:val="19"/>
              </w:rPr>
              <w:t>(20,891)</w:t>
            </w:r>
          </w:p>
        </w:tc>
        <w:tc>
          <w:tcPr>
            <w:tcW w:w="1661" w:type="dxa"/>
            <w:shd w:val="clear" w:color="auto" w:fill="FFFFFF"/>
          </w:tcPr>
          <w:p>
            <w:pPr>
              <w:pStyle w:val="TableParagraph"/>
              <w:ind w:right="112"/>
              <w:jc w:val="right"/>
              <w:rPr>
                <w:sz w:val="19"/>
              </w:rPr>
            </w:pPr>
            <w:r>
              <w:rPr>
                <w:w w:val="95"/>
                <w:sz w:val="19"/>
              </w:rPr>
              <w:t>(14,629)</w:t>
            </w:r>
          </w:p>
        </w:tc>
      </w:tr>
      <w:tr>
        <w:trPr>
          <w:trHeight w:val="321" w:hRule="atLeast"/>
        </w:trPr>
        <w:tc>
          <w:tcPr>
            <w:tcW w:w="5896" w:type="dxa"/>
            <w:tcBorders>
              <w:bottom w:val="single" w:sz="8" w:space="0" w:color="FFFFFF"/>
              <w:right w:val="single" w:sz="8" w:space="0" w:color="FFFFFF"/>
            </w:tcBorders>
            <w:shd w:val="clear" w:color="auto" w:fill="FAF9F9"/>
          </w:tcPr>
          <w:p>
            <w:pPr>
              <w:pStyle w:val="TableParagraph"/>
              <w:spacing w:before="47"/>
              <w:ind w:left="113"/>
              <w:rPr>
                <w:sz w:val="19"/>
              </w:rPr>
            </w:pPr>
            <w:r>
              <w:rPr>
                <w:sz w:val="19"/>
              </w:rPr>
              <w:t>Restricted cash and cash equivalents</w:t>
            </w:r>
          </w:p>
        </w:tc>
        <w:tc>
          <w:tcPr>
            <w:tcW w:w="1548" w:type="dxa"/>
            <w:vMerge/>
            <w:tcBorders>
              <w:top w:val="nil"/>
              <w:left w:val="single" w:sz="8" w:space="0" w:color="FFFFFF"/>
              <w:bottom w:val="single" w:sz="8" w:space="0" w:color="FFFFFF"/>
              <w:right w:val="single" w:sz="8" w:space="0" w:color="FFFFFF"/>
            </w:tcBorders>
            <w:shd w:val="clear" w:color="auto" w:fill="FAF9F9"/>
          </w:tcPr>
          <w:p>
            <w:pPr>
              <w:rPr>
                <w:sz w:val="2"/>
                <w:szCs w:val="2"/>
              </w:rPr>
            </w:pPr>
          </w:p>
        </w:tc>
        <w:tc>
          <w:tcPr>
            <w:tcW w:w="1548" w:type="dxa"/>
            <w:tcBorders>
              <w:left w:val="single" w:sz="8" w:space="0" w:color="FFFFFF"/>
              <w:bottom w:val="single" w:sz="8" w:space="0" w:color="FFFFFF"/>
            </w:tcBorders>
            <w:shd w:val="clear" w:color="auto" w:fill="FAF9F9"/>
          </w:tcPr>
          <w:p>
            <w:pPr>
              <w:pStyle w:val="TableParagraph"/>
              <w:spacing w:before="47"/>
              <w:ind w:right="111"/>
              <w:jc w:val="right"/>
              <w:rPr>
                <w:sz w:val="19"/>
              </w:rPr>
            </w:pPr>
            <w:r>
              <w:rPr>
                <w:w w:val="95"/>
                <w:sz w:val="19"/>
              </w:rPr>
              <w:t>4,551</w:t>
            </w:r>
          </w:p>
        </w:tc>
        <w:tc>
          <w:tcPr>
            <w:tcW w:w="1548" w:type="dxa"/>
            <w:shd w:val="clear" w:color="auto" w:fill="E1E4BB"/>
          </w:tcPr>
          <w:p>
            <w:pPr>
              <w:pStyle w:val="TableParagraph"/>
              <w:spacing w:before="47"/>
              <w:ind w:right="111"/>
              <w:jc w:val="right"/>
              <w:rPr>
                <w:sz w:val="19"/>
              </w:rPr>
            </w:pPr>
            <w:r>
              <w:rPr>
                <w:w w:val="95"/>
                <w:sz w:val="19"/>
              </w:rPr>
              <w:t>3,171</w:t>
            </w:r>
          </w:p>
        </w:tc>
        <w:tc>
          <w:tcPr>
            <w:tcW w:w="1548" w:type="dxa"/>
            <w:shd w:val="clear" w:color="auto" w:fill="FFFFFF"/>
          </w:tcPr>
          <w:p>
            <w:pPr>
              <w:pStyle w:val="TableParagraph"/>
              <w:spacing w:before="47"/>
              <w:ind w:right="111"/>
              <w:jc w:val="right"/>
              <w:rPr>
                <w:sz w:val="19"/>
              </w:rPr>
            </w:pPr>
            <w:r>
              <w:rPr>
                <w:w w:val="95"/>
                <w:sz w:val="19"/>
              </w:rPr>
              <w:t>12,983</w:t>
            </w:r>
          </w:p>
        </w:tc>
        <w:tc>
          <w:tcPr>
            <w:tcW w:w="1548" w:type="dxa"/>
            <w:shd w:val="clear" w:color="auto" w:fill="FFFFFF"/>
          </w:tcPr>
          <w:p>
            <w:pPr>
              <w:pStyle w:val="TableParagraph"/>
              <w:spacing w:before="47"/>
              <w:ind w:right="112"/>
              <w:jc w:val="right"/>
              <w:rPr>
                <w:sz w:val="19"/>
              </w:rPr>
            </w:pPr>
            <w:r>
              <w:rPr>
                <w:w w:val="90"/>
                <w:sz w:val="19"/>
              </w:rPr>
              <w:t>(1,380)</w:t>
            </w:r>
          </w:p>
        </w:tc>
        <w:tc>
          <w:tcPr>
            <w:tcW w:w="1661" w:type="dxa"/>
            <w:shd w:val="clear" w:color="auto" w:fill="FFFFFF"/>
          </w:tcPr>
          <w:p>
            <w:pPr>
              <w:pStyle w:val="TableParagraph"/>
              <w:spacing w:before="47"/>
              <w:ind w:right="111"/>
              <w:jc w:val="right"/>
              <w:rPr>
                <w:sz w:val="19"/>
              </w:rPr>
            </w:pPr>
            <w:r>
              <w:rPr>
                <w:w w:val="90"/>
                <w:sz w:val="19"/>
              </w:rPr>
              <w:t>(9,812)</w:t>
            </w:r>
          </w:p>
        </w:tc>
      </w:tr>
      <w:tr>
        <w:trPr>
          <w:trHeight w:val="292" w:hRule="atLeast"/>
        </w:trPr>
        <w:tc>
          <w:tcPr>
            <w:tcW w:w="5896" w:type="dxa"/>
            <w:tcBorders>
              <w:top w:val="single" w:sz="8" w:space="0" w:color="FFFFFF"/>
              <w:right w:val="single" w:sz="8" w:space="0" w:color="FFFFFF"/>
            </w:tcBorders>
            <w:shd w:val="clear" w:color="auto" w:fill="FAF9F9"/>
          </w:tcPr>
          <w:p>
            <w:pPr>
              <w:pStyle w:val="TableParagraph"/>
              <w:ind w:left="114"/>
              <w:rPr>
                <w:sz w:val="19"/>
              </w:rPr>
            </w:pPr>
            <w:r>
              <w:rPr>
                <w:sz w:val="19"/>
              </w:rPr>
              <w:t>Receivables</w:t>
            </w:r>
          </w:p>
        </w:tc>
        <w:tc>
          <w:tcPr>
            <w:tcW w:w="1548" w:type="dxa"/>
            <w:vMerge w:val="restart"/>
            <w:tcBorders>
              <w:top w:val="single" w:sz="8" w:space="0" w:color="FFFFFF"/>
              <w:left w:val="single" w:sz="8" w:space="0" w:color="FFFFFF"/>
              <w:bottom w:val="single" w:sz="8" w:space="0" w:color="FFFFFF"/>
              <w:right w:val="single" w:sz="8" w:space="0" w:color="FFFFFF"/>
            </w:tcBorders>
            <w:shd w:val="clear" w:color="auto" w:fill="FAF9F9"/>
          </w:tcPr>
          <w:p>
            <w:pPr>
              <w:pStyle w:val="TableParagraph"/>
              <w:spacing w:before="0"/>
              <w:rPr>
                <w:rFonts w:ascii="Times New Roman"/>
                <w:sz w:val="20"/>
              </w:rPr>
            </w:pPr>
          </w:p>
        </w:tc>
        <w:tc>
          <w:tcPr>
            <w:tcW w:w="1548" w:type="dxa"/>
            <w:tcBorders>
              <w:top w:val="single" w:sz="8" w:space="0" w:color="FFFFFF"/>
              <w:left w:val="single" w:sz="8" w:space="0" w:color="FFFFFF"/>
            </w:tcBorders>
            <w:shd w:val="clear" w:color="auto" w:fill="FAF9F9"/>
          </w:tcPr>
          <w:p>
            <w:pPr>
              <w:pStyle w:val="TableParagraph"/>
              <w:ind w:right="111"/>
              <w:jc w:val="right"/>
              <w:rPr>
                <w:sz w:val="19"/>
              </w:rPr>
            </w:pPr>
            <w:r>
              <w:rPr>
                <w:w w:val="95"/>
                <w:sz w:val="19"/>
              </w:rPr>
              <w:t>292,001</w:t>
            </w:r>
          </w:p>
        </w:tc>
        <w:tc>
          <w:tcPr>
            <w:tcW w:w="1548" w:type="dxa"/>
            <w:shd w:val="clear" w:color="auto" w:fill="E1E4BB"/>
          </w:tcPr>
          <w:p>
            <w:pPr>
              <w:pStyle w:val="TableParagraph"/>
              <w:ind w:right="111"/>
              <w:jc w:val="right"/>
              <w:rPr>
                <w:sz w:val="19"/>
              </w:rPr>
            </w:pPr>
            <w:r>
              <w:rPr>
                <w:w w:val="95"/>
                <w:sz w:val="19"/>
              </w:rPr>
              <w:t>176,431</w:t>
            </w:r>
          </w:p>
        </w:tc>
        <w:tc>
          <w:tcPr>
            <w:tcW w:w="1548" w:type="dxa"/>
            <w:shd w:val="clear" w:color="auto" w:fill="FFFFFF"/>
          </w:tcPr>
          <w:p>
            <w:pPr>
              <w:pStyle w:val="TableParagraph"/>
              <w:ind w:right="111"/>
              <w:jc w:val="right"/>
              <w:rPr>
                <w:sz w:val="19"/>
              </w:rPr>
            </w:pPr>
            <w:r>
              <w:rPr>
                <w:w w:val="95"/>
                <w:sz w:val="19"/>
              </w:rPr>
              <w:t>294,710</w:t>
            </w:r>
          </w:p>
        </w:tc>
        <w:tc>
          <w:tcPr>
            <w:tcW w:w="1548" w:type="dxa"/>
            <w:shd w:val="clear" w:color="auto" w:fill="FFFFFF"/>
          </w:tcPr>
          <w:p>
            <w:pPr>
              <w:pStyle w:val="TableParagraph"/>
              <w:ind w:right="111"/>
              <w:jc w:val="right"/>
              <w:rPr>
                <w:sz w:val="19"/>
              </w:rPr>
            </w:pPr>
            <w:r>
              <w:rPr>
                <w:w w:val="95"/>
                <w:sz w:val="19"/>
              </w:rPr>
              <w:t>(115,570)</w:t>
            </w:r>
          </w:p>
        </w:tc>
        <w:tc>
          <w:tcPr>
            <w:tcW w:w="1661" w:type="dxa"/>
            <w:shd w:val="clear" w:color="auto" w:fill="FFFFFF"/>
          </w:tcPr>
          <w:p>
            <w:pPr>
              <w:pStyle w:val="TableParagraph"/>
              <w:ind w:right="111"/>
              <w:jc w:val="right"/>
              <w:rPr>
                <w:sz w:val="19"/>
              </w:rPr>
            </w:pPr>
            <w:r>
              <w:rPr>
                <w:w w:val="95"/>
                <w:sz w:val="19"/>
              </w:rPr>
              <w:t>(118,279)</w:t>
            </w:r>
          </w:p>
        </w:tc>
      </w:tr>
      <w:tr>
        <w:trPr>
          <w:trHeight w:val="321" w:hRule="atLeast"/>
        </w:trPr>
        <w:tc>
          <w:tcPr>
            <w:tcW w:w="5896" w:type="dxa"/>
            <w:tcBorders>
              <w:bottom w:val="single" w:sz="8" w:space="0" w:color="FFFFFF"/>
              <w:right w:val="single" w:sz="8" w:space="0" w:color="FFFFFF"/>
            </w:tcBorders>
            <w:shd w:val="clear" w:color="auto" w:fill="FAF9F9"/>
          </w:tcPr>
          <w:p>
            <w:pPr>
              <w:pStyle w:val="TableParagraph"/>
              <w:spacing w:before="47"/>
              <w:ind w:left="114"/>
              <w:rPr>
                <w:sz w:val="19"/>
              </w:rPr>
            </w:pPr>
            <w:r>
              <w:rPr>
                <w:sz w:val="19"/>
              </w:rPr>
              <w:t>Finance lease receivables</w:t>
            </w:r>
          </w:p>
        </w:tc>
        <w:tc>
          <w:tcPr>
            <w:tcW w:w="1548" w:type="dxa"/>
            <w:vMerge/>
            <w:tcBorders>
              <w:top w:val="nil"/>
              <w:left w:val="single" w:sz="8" w:space="0" w:color="FFFFFF"/>
              <w:bottom w:val="single" w:sz="8" w:space="0" w:color="FFFFFF"/>
              <w:right w:val="single" w:sz="8" w:space="0" w:color="FFFFFF"/>
            </w:tcBorders>
            <w:shd w:val="clear" w:color="auto" w:fill="FAF9F9"/>
          </w:tcPr>
          <w:p>
            <w:pPr>
              <w:rPr>
                <w:sz w:val="2"/>
                <w:szCs w:val="2"/>
              </w:rPr>
            </w:pPr>
          </w:p>
        </w:tc>
        <w:tc>
          <w:tcPr>
            <w:tcW w:w="1548" w:type="dxa"/>
            <w:tcBorders>
              <w:left w:val="single" w:sz="8" w:space="0" w:color="FFFFFF"/>
              <w:bottom w:val="single" w:sz="8" w:space="0" w:color="FFFFFF"/>
            </w:tcBorders>
            <w:shd w:val="clear" w:color="auto" w:fill="FAF9F9"/>
          </w:tcPr>
          <w:p>
            <w:pPr>
              <w:pStyle w:val="TableParagraph"/>
              <w:spacing w:before="47"/>
              <w:ind w:right="112"/>
              <w:jc w:val="right"/>
              <w:rPr>
                <w:sz w:val="19"/>
              </w:rPr>
            </w:pPr>
            <w:r>
              <w:rPr>
                <w:w w:val="95"/>
                <w:sz w:val="19"/>
              </w:rPr>
              <w:t>510</w:t>
            </w:r>
          </w:p>
        </w:tc>
        <w:tc>
          <w:tcPr>
            <w:tcW w:w="1548" w:type="dxa"/>
            <w:shd w:val="clear" w:color="auto" w:fill="E1E4BB"/>
          </w:tcPr>
          <w:p>
            <w:pPr>
              <w:pStyle w:val="TableParagraph"/>
              <w:spacing w:before="47"/>
              <w:ind w:right="111"/>
              <w:jc w:val="right"/>
              <w:rPr>
                <w:sz w:val="19"/>
              </w:rPr>
            </w:pPr>
            <w:r>
              <w:rPr>
                <w:w w:val="95"/>
                <w:sz w:val="19"/>
              </w:rPr>
              <w:t>494</w:t>
            </w:r>
          </w:p>
        </w:tc>
        <w:tc>
          <w:tcPr>
            <w:tcW w:w="1548" w:type="dxa"/>
            <w:shd w:val="clear" w:color="auto" w:fill="FFFFFF"/>
          </w:tcPr>
          <w:p>
            <w:pPr>
              <w:pStyle w:val="TableParagraph"/>
              <w:spacing w:before="47"/>
              <w:ind w:right="111"/>
              <w:jc w:val="right"/>
              <w:rPr>
                <w:sz w:val="19"/>
              </w:rPr>
            </w:pPr>
            <w:r>
              <w:rPr>
                <w:w w:val="95"/>
                <w:sz w:val="19"/>
              </w:rPr>
              <w:t>583</w:t>
            </w:r>
          </w:p>
        </w:tc>
        <w:tc>
          <w:tcPr>
            <w:tcW w:w="1548" w:type="dxa"/>
            <w:shd w:val="clear" w:color="auto" w:fill="FFFFFF"/>
          </w:tcPr>
          <w:p>
            <w:pPr>
              <w:pStyle w:val="TableParagraph"/>
              <w:spacing w:before="47"/>
              <w:ind w:right="111"/>
              <w:jc w:val="right"/>
              <w:rPr>
                <w:sz w:val="19"/>
              </w:rPr>
            </w:pPr>
            <w:r>
              <w:rPr>
                <w:w w:val="85"/>
                <w:sz w:val="19"/>
              </w:rPr>
              <w:t>(16)</w:t>
            </w:r>
          </w:p>
        </w:tc>
        <w:tc>
          <w:tcPr>
            <w:tcW w:w="1661" w:type="dxa"/>
            <w:shd w:val="clear" w:color="auto" w:fill="FFFFFF"/>
          </w:tcPr>
          <w:p>
            <w:pPr>
              <w:pStyle w:val="TableParagraph"/>
              <w:spacing w:before="47"/>
              <w:ind w:right="111"/>
              <w:jc w:val="right"/>
              <w:rPr>
                <w:sz w:val="19"/>
              </w:rPr>
            </w:pPr>
            <w:r>
              <w:rPr>
                <w:w w:val="85"/>
                <w:sz w:val="19"/>
              </w:rPr>
              <w:t>(89)</w:t>
            </w:r>
          </w:p>
        </w:tc>
      </w:tr>
      <w:tr>
        <w:trPr>
          <w:trHeight w:val="317" w:hRule="atLeast"/>
        </w:trPr>
        <w:tc>
          <w:tcPr>
            <w:tcW w:w="5896" w:type="dxa"/>
            <w:tcBorders>
              <w:top w:val="single" w:sz="8" w:space="0" w:color="FFFFFF"/>
              <w:right w:val="single" w:sz="8" w:space="0" w:color="FFFFFF"/>
            </w:tcBorders>
            <w:shd w:val="clear" w:color="auto" w:fill="F4F4F4"/>
          </w:tcPr>
          <w:p>
            <w:pPr>
              <w:pStyle w:val="TableParagraph"/>
              <w:ind w:left="114"/>
              <w:rPr>
                <w:sz w:val="19"/>
              </w:rPr>
            </w:pPr>
            <w:r>
              <w:rPr>
                <w:sz w:val="19"/>
              </w:rPr>
              <w:t>Amounts receivable for services</w:t>
            </w:r>
          </w:p>
        </w:tc>
        <w:tc>
          <w:tcPr>
            <w:tcW w:w="1548" w:type="dxa"/>
            <w:tcBorders>
              <w:top w:val="single" w:sz="8" w:space="0" w:color="FFFFFF"/>
              <w:left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tcBorders>
            <w:shd w:val="clear" w:color="auto" w:fill="F4F4F4"/>
          </w:tcPr>
          <w:p>
            <w:pPr>
              <w:pStyle w:val="TableParagraph"/>
              <w:ind w:right="110"/>
              <w:jc w:val="right"/>
              <w:rPr>
                <w:sz w:val="19"/>
              </w:rPr>
            </w:pPr>
            <w:r>
              <w:rPr>
                <w:w w:val="95"/>
                <w:sz w:val="19"/>
              </w:rPr>
              <w:t>1,489</w:t>
            </w:r>
          </w:p>
        </w:tc>
        <w:tc>
          <w:tcPr>
            <w:tcW w:w="1548" w:type="dxa"/>
            <w:shd w:val="clear" w:color="auto" w:fill="E1E4BB"/>
          </w:tcPr>
          <w:p>
            <w:pPr>
              <w:pStyle w:val="TableParagraph"/>
              <w:ind w:right="111"/>
              <w:jc w:val="right"/>
              <w:rPr>
                <w:sz w:val="19"/>
              </w:rPr>
            </w:pPr>
            <w:r>
              <w:rPr>
                <w:w w:val="95"/>
                <w:sz w:val="19"/>
              </w:rPr>
              <w:t>2,250</w:t>
            </w:r>
          </w:p>
        </w:tc>
        <w:tc>
          <w:tcPr>
            <w:tcW w:w="1548" w:type="dxa"/>
            <w:tcBorders>
              <w:top w:val="single" w:sz="8" w:space="0" w:color="FFFFFF"/>
              <w:right w:val="single" w:sz="8" w:space="0" w:color="FFFFFF"/>
            </w:tcBorders>
            <w:shd w:val="clear" w:color="auto" w:fill="FAF9F9"/>
          </w:tcPr>
          <w:p>
            <w:pPr>
              <w:pStyle w:val="TableParagraph"/>
              <w:ind w:right="101"/>
              <w:jc w:val="right"/>
              <w:rPr>
                <w:sz w:val="19"/>
              </w:rPr>
            </w:pPr>
            <w:r>
              <w:rPr>
                <w:w w:val="95"/>
                <w:sz w:val="19"/>
              </w:rPr>
              <w:t>1,531</w:t>
            </w:r>
          </w:p>
        </w:tc>
        <w:tc>
          <w:tcPr>
            <w:tcW w:w="1548" w:type="dxa"/>
            <w:tcBorders>
              <w:top w:val="single" w:sz="8" w:space="0" w:color="FFFFFF"/>
              <w:left w:val="single" w:sz="8" w:space="0" w:color="FFFFFF"/>
              <w:right w:val="single" w:sz="8" w:space="0" w:color="FFFFFF"/>
            </w:tcBorders>
            <w:shd w:val="clear" w:color="auto" w:fill="FAF9F9"/>
          </w:tcPr>
          <w:p>
            <w:pPr>
              <w:pStyle w:val="TableParagraph"/>
              <w:ind w:right="101"/>
              <w:jc w:val="right"/>
              <w:rPr>
                <w:sz w:val="19"/>
              </w:rPr>
            </w:pPr>
            <w:r>
              <w:rPr>
                <w:w w:val="95"/>
                <w:sz w:val="19"/>
              </w:rPr>
              <w:t>761</w:t>
            </w:r>
          </w:p>
        </w:tc>
        <w:tc>
          <w:tcPr>
            <w:tcW w:w="1661" w:type="dxa"/>
            <w:tcBorders>
              <w:top w:val="single" w:sz="8" w:space="0" w:color="FFFFFF"/>
              <w:left w:val="single" w:sz="8" w:space="0" w:color="FFFFFF"/>
            </w:tcBorders>
            <w:shd w:val="clear" w:color="auto" w:fill="FAF9F9"/>
          </w:tcPr>
          <w:p>
            <w:pPr>
              <w:pStyle w:val="TableParagraph"/>
              <w:ind w:right="111"/>
              <w:jc w:val="right"/>
              <w:rPr>
                <w:sz w:val="19"/>
              </w:rPr>
            </w:pPr>
            <w:r>
              <w:rPr>
                <w:w w:val="95"/>
                <w:sz w:val="19"/>
              </w:rPr>
              <w:t>719</w:t>
            </w:r>
          </w:p>
        </w:tc>
      </w:tr>
      <w:tr>
        <w:trPr>
          <w:trHeight w:val="317" w:hRule="atLeast"/>
        </w:trPr>
        <w:tc>
          <w:tcPr>
            <w:tcW w:w="5896" w:type="dxa"/>
            <w:tcBorders>
              <w:bottom w:val="single" w:sz="8" w:space="0" w:color="FFFFFF"/>
              <w:right w:val="single" w:sz="8" w:space="0" w:color="FFFFFF"/>
            </w:tcBorders>
            <w:shd w:val="clear" w:color="auto" w:fill="FAF9F9"/>
          </w:tcPr>
          <w:p>
            <w:pPr>
              <w:pStyle w:val="TableParagraph"/>
              <w:spacing w:before="42"/>
              <w:ind w:left="114"/>
              <w:rPr>
                <w:sz w:val="19"/>
              </w:rPr>
            </w:pPr>
            <w:r>
              <w:rPr>
                <w:sz w:val="19"/>
              </w:rPr>
              <w:t>Other current assets</w:t>
            </w:r>
          </w:p>
        </w:tc>
        <w:tc>
          <w:tcPr>
            <w:tcW w:w="1548" w:type="dxa"/>
            <w:tcBorders>
              <w:left w:val="single" w:sz="8" w:space="0" w:color="FFFFFF"/>
              <w:bottom w:val="single" w:sz="8" w:space="0" w:color="FFFFFF"/>
              <w:right w:val="single" w:sz="8" w:space="0" w:color="FFFFFF"/>
            </w:tcBorders>
            <w:shd w:val="clear" w:color="auto" w:fill="FAF9F9"/>
          </w:tcPr>
          <w:p>
            <w:pPr>
              <w:pStyle w:val="TableParagraph"/>
              <w:spacing w:before="0"/>
              <w:rPr>
                <w:rFonts w:ascii="Times New Roman"/>
                <w:sz w:val="20"/>
              </w:rPr>
            </w:pPr>
          </w:p>
        </w:tc>
        <w:tc>
          <w:tcPr>
            <w:tcW w:w="1548" w:type="dxa"/>
            <w:tcBorders>
              <w:left w:val="single" w:sz="8" w:space="0" w:color="FFFFFF"/>
              <w:bottom w:val="single" w:sz="4" w:space="0" w:color="000000"/>
            </w:tcBorders>
            <w:shd w:val="clear" w:color="auto" w:fill="FAF9F9"/>
          </w:tcPr>
          <w:p>
            <w:pPr>
              <w:pStyle w:val="TableParagraph"/>
              <w:spacing w:before="42"/>
              <w:ind w:right="110"/>
              <w:jc w:val="right"/>
              <w:rPr>
                <w:sz w:val="19"/>
              </w:rPr>
            </w:pPr>
            <w:r>
              <w:rPr>
                <w:w w:val="95"/>
                <w:sz w:val="19"/>
              </w:rPr>
              <w:t>25,063</w:t>
            </w:r>
          </w:p>
        </w:tc>
        <w:tc>
          <w:tcPr>
            <w:tcW w:w="1548" w:type="dxa"/>
            <w:tcBorders>
              <w:bottom w:val="single" w:sz="4" w:space="0" w:color="000000"/>
            </w:tcBorders>
            <w:shd w:val="clear" w:color="auto" w:fill="E1E4BB"/>
          </w:tcPr>
          <w:p>
            <w:pPr>
              <w:pStyle w:val="TableParagraph"/>
              <w:spacing w:before="42"/>
              <w:ind w:right="110"/>
              <w:jc w:val="right"/>
              <w:rPr>
                <w:sz w:val="19"/>
              </w:rPr>
            </w:pPr>
            <w:r>
              <w:rPr>
                <w:w w:val="95"/>
                <w:sz w:val="19"/>
              </w:rPr>
              <w:t>29,254</w:t>
            </w:r>
          </w:p>
        </w:tc>
        <w:tc>
          <w:tcPr>
            <w:tcW w:w="1548" w:type="dxa"/>
            <w:tcBorders>
              <w:bottom w:val="single" w:sz="4" w:space="0" w:color="000000"/>
              <w:right w:val="single" w:sz="8" w:space="0" w:color="FFFFFF"/>
            </w:tcBorders>
            <w:shd w:val="clear" w:color="auto" w:fill="FAF9F9"/>
          </w:tcPr>
          <w:p>
            <w:pPr>
              <w:pStyle w:val="TableParagraph"/>
              <w:spacing w:before="42"/>
              <w:ind w:right="101"/>
              <w:jc w:val="right"/>
              <w:rPr>
                <w:sz w:val="19"/>
              </w:rPr>
            </w:pPr>
            <w:r>
              <w:rPr>
                <w:w w:val="95"/>
                <w:sz w:val="19"/>
              </w:rPr>
              <w:t>28,852</w:t>
            </w:r>
          </w:p>
        </w:tc>
        <w:tc>
          <w:tcPr>
            <w:tcW w:w="1548" w:type="dxa"/>
            <w:tcBorders>
              <w:left w:val="single" w:sz="8" w:space="0" w:color="FFFFFF"/>
              <w:bottom w:val="single" w:sz="4" w:space="0" w:color="000000"/>
              <w:right w:val="single" w:sz="8" w:space="0" w:color="FFFFFF"/>
            </w:tcBorders>
            <w:shd w:val="clear" w:color="auto" w:fill="FAF9F9"/>
          </w:tcPr>
          <w:p>
            <w:pPr>
              <w:pStyle w:val="TableParagraph"/>
              <w:spacing w:before="42"/>
              <w:ind w:right="101"/>
              <w:jc w:val="right"/>
              <w:rPr>
                <w:sz w:val="19"/>
              </w:rPr>
            </w:pPr>
            <w:r>
              <w:rPr>
                <w:w w:val="95"/>
                <w:sz w:val="19"/>
              </w:rPr>
              <w:t>4,191</w:t>
            </w:r>
          </w:p>
        </w:tc>
        <w:tc>
          <w:tcPr>
            <w:tcW w:w="1661" w:type="dxa"/>
            <w:tcBorders>
              <w:left w:val="single" w:sz="8" w:space="0" w:color="FFFFFF"/>
              <w:bottom w:val="single" w:sz="4" w:space="0" w:color="000000"/>
            </w:tcBorders>
            <w:shd w:val="clear" w:color="auto" w:fill="FAF9F9"/>
          </w:tcPr>
          <w:p>
            <w:pPr>
              <w:pStyle w:val="TableParagraph"/>
              <w:spacing w:before="42"/>
              <w:ind w:right="111"/>
              <w:jc w:val="right"/>
              <w:rPr>
                <w:sz w:val="19"/>
              </w:rPr>
            </w:pPr>
            <w:r>
              <w:rPr>
                <w:w w:val="95"/>
                <w:sz w:val="19"/>
              </w:rPr>
              <w:t>402</w:t>
            </w:r>
          </w:p>
        </w:tc>
      </w:tr>
      <w:tr>
        <w:trPr>
          <w:trHeight w:val="307" w:hRule="atLeast"/>
        </w:trPr>
        <w:tc>
          <w:tcPr>
            <w:tcW w:w="5896" w:type="dxa"/>
            <w:tcBorders>
              <w:top w:val="single" w:sz="8" w:space="0" w:color="FFFFFF"/>
              <w:bottom w:val="single" w:sz="8" w:space="0" w:color="FFFFFF"/>
              <w:right w:val="single" w:sz="8" w:space="0" w:color="FFFFFF"/>
            </w:tcBorders>
            <w:shd w:val="clear" w:color="auto" w:fill="F4F4F4"/>
          </w:tcPr>
          <w:p>
            <w:pPr>
              <w:pStyle w:val="TableParagraph"/>
              <w:ind w:left="114"/>
              <w:rPr>
                <w:b/>
                <w:sz w:val="19"/>
              </w:rPr>
            </w:pPr>
            <w:r>
              <w:rPr>
                <w:b/>
                <w:sz w:val="19"/>
              </w:rPr>
              <w:t>Total current assets</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4" w:space="0" w:color="000000"/>
              <w:left w:val="single" w:sz="8" w:space="0" w:color="FFFFFF"/>
              <w:bottom w:val="single" w:sz="4" w:space="0" w:color="000000"/>
            </w:tcBorders>
            <w:shd w:val="clear" w:color="auto" w:fill="F4F4F4"/>
          </w:tcPr>
          <w:p>
            <w:pPr>
              <w:pStyle w:val="TableParagraph"/>
              <w:ind w:right="110"/>
              <w:jc w:val="right"/>
              <w:rPr>
                <w:b/>
                <w:sz w:val="19"/>
              </w:rPr>
            </w:pPr>
            <w:r>
              <w:rPr>
                <w:b/>
                <w:w w:val="95"/>
                <w:sz w:val="19"/>
              </w:rPr>
              <w:t>415,123</w:t>
            </w:r>
          </w:p>
        </w:tc>
        <w:tc>
          <w:tcPr>
            <w:tcW w:w="1548" w:type="dxa"/>
            <w:tcBorders>
              <w:top w:val="single" w:sz="4" w:space="0" w:color="000000"/>
              <w:bottom w:val="single" w:sz="4" w:space="0" w:color="000000"/>
            </w:tcBorders>
            <w:shd w:val="clear" w:color="auto" w:fill="DFE1B8"/>
          </w:tcPr>
          <w:p>
            <w:pPr>
              <w:pStyle w:val="TableParagraph"/>
              <w:ind w:right="110"/>
              <w:jc w:val="right"/>
              <w:rPr>
                <w:b/>
                <w:sz w:val="19"/>
              </w:rPr>
            </w:pPr>
            <w:r>
              <w:rPr>
                <w:b/>
                <w:w w:val="95"/>
                <w:sz w:val="19"/>
              </w:rPr>
              <w:t>282,218</w:t>
            </w:r>
          </w:p>
        </w:tc>
        <w:tc>
          <w:tcPr>
            <w:tcW w:w="1548" w:type="dxa"/>
            <w:tcBorders>
              <w:top w:val="single" w:sz="4" w:space="0" w:color="000000"/>
              <w:bottom w:val="single" w:sz="4" w:space="0" w:color="000000"/>
              <w:right w:val="single" w:sz="8" w:space="0" w:color="FFFFFF"/>
            </w:tcBorders>
            <w:shd w:val="clear" w:color="auto" w:fill="F4F4F4"/>
          </w:tcPr>
          <w:p>
            <w:pPr>
              <w:pStyle w:val="TableParagraph"/>
              <w:ind w:right="100"/>
              <w:jc w:val="right"/>
              <w:rPr>
                <w:b/>
                <w:sz w:val="19"/>
              </w:rPr>
            </w:pPr>
            <w:r>
              <w:rPr>
                <w:b/>
                <w:w w:val="95"/>
                <w:sz w:val="19"/>
              </w:rPr>
              <w:t>423,906</w:t>
            </w:r>
          </w:p>
        </w:tc>
        <w:tc>
          <w:tcPr>
            <w:tcW w:w="1548" w:type="dxa"/>
            <w:tcBorders>
              <w:top w:val="single" w:sz="4" w:space="0" w:color="000000"/>
              <w:left w:val="single" w:sz="8" w:space="0" w:color="FFFFFF"/>
              <w:bottom w:val="single" w:sz="4" w:space="0" w:color="000000"/>
              <w:right w:val="single" w:sz="8" w:space="0" w:color="FFFFFF"/>
            </w:tcBorders>
            <w:shd w:val="clear" w:color="auto" w:fill="F4F4F4"/>
          </w:tcPr>
          <w:p>
            <w:pPr>
              <w:pStyle w:val="TableParagraph"/>
              <w:ind w:right="101"/>
              <w:jc w:val="right"/>
              <w:rPr>
                <w:b/>
                <w:sz w:val="19"/>
              </w:rPr>
            </w:pPr>
            <w:r>
              <w:rPr>
                <w:b/>
                <w:w w:val="95"/>
                <w:sz w:val="19"/>
              </w:rPr>
              <w:t>(132,905)</w:t>
            </w:r>
          </w:p>
        </w:tc>
        <w:tc>
          <w:tcPr>
            <w:tcW w:w="1661" w:type="dxa"/>
            <w:tcBorders>
              <w:top w:val="single" w:sz="4" w:space="0" w:color="000000"/>
              <w:left w:val="single" w:sz="8" w:space="0" w:color="FFFFFF"/>
              <w:bottom w:val="single" w:sz="4" w:space="0" w:color="000000"/>
            </w:tcBorders>
            <w:shd w:val="clear" w:color="auto" w:fill="F4F4F4"/>
          </w:tcPr>
          <w:p>
            <w:pPr>
              <w:pStyle w:val="TableParagraph"/>
              <w:ind w:right="111"/>
              <w:jc w:val="right"/>
              <w:rPr>
                <w:b/>
                <w:sz w:val="19"/>
              </w:rPr>
            </w:pPr>
            <w:r>
              <w:rPr>
                <w:b/>
                <w:w w:val="95"/>
                <w:sz w:val="19"/>
              </w:rPr>
              <w:t>(141,688)</w:t>
            </w:r>
          </w:p>
        </w:tc>
      </w:tr>
    </w:tbl>
    <w:p>
      <w:pPr>
        <w:spacing w:after="0"/>
        <w:jc w:val="right"/>
        <w:rPr>
          <w:sz w:val="19"/>
        </w:rPr>
        <w:sectPr>
          <w:footerReference w:type="default" r:id="rId232"/>
          <w:pgSz w:w="16840" w:h="11910" w:orient="landscape"/>
          <w:pgMar w:footer="448" w:header="0" w:top="0" w:bottom="64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b/>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rPr>
          <w:b/>
        </w:rPr>
      </w:pPr>
    </w:p>
    <w:p>
      <w:pPr>
        <w:pStyle w:val="Heading1"/>
        <w:spacing w:before="93"/>
      </w:pPr>
      <w:r>
        <w:rPr/>
        <w:pict>
          <v:group style="position:absolute;margin-left:763.172119pt;margin-top:-3.544212pt;width:61.1pt;height:45.2pt;mso-position-horizontal-relative:page;mso-position-vertical-relative:paragraph;z-index:24712"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24760" coordorigin="0,-1146" coordsize="2406,851">
            <v:rect style="position:absolute;left:0;top:-1147;width:2406;height:851" filled="true" fillcolor="#aebd37" stroked="false">
              <v:fill type="solid"/>
            </v:rect>
            <v:line style="position:absolute" from="0,-1146" to="0,-296" stroked="true" strokeweight="0pt" strokecolor="#aebd37">
              <v:stroke dashstyle="solid"/>
            </v:line>
            <v:shape style="position:absolute;left:0;top:-1147;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24856"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spacing w:before="29"/>
      </w:pPr>
      <w:r>
        <w:rPr/>
        <w:pict>
          <v:group style="position:absolute;margin-left:565.728027pt;margin-top:99.471001pt;width:237.85pt;height:310.55pt;mso-position-horizontal-relative:page;mso-position-vertical-relative:paragraph;z-index:-788968" coordorigin="11315,1989" coordsize="4757,6211">
            <v:shape style="position:absolute;left:11314;top:1989;width:4757;height:982" coordorigin="11315,1989" coordsize="4757,982" path="m12862,2644l11315,2644,11315,2971,12862,2971,12862,2644m12862,1989l11315,1989,11315,2317,12862,2317,12862,1989m16071,2644l14410,2644,12862,2644,12862,2971,14410,2971,16071,2971,16071,2644m16071,1989l14410,1989,12862,1989,12862,2317,14410,2317,16071,2317,16071,1989e" filled="true" fillcolor="#f4f4f4" stroked="false">
              <v:path arrowok="t"/>
              <v:fill type="solid"/>
            </v:shape>
            <v:shape style="position:absolute;left:11314;top:2316;width:4757;height:328" coordorigin="11315,2317" coordsize="4757,328" path="m12862,2317l11315,2317,11315,2644,12862,2644,12862,2317m16071,2317l14410,2317,12862,2317,12862,2644,14410,2644,16071,2644,16071,2317e" filled="true" fillcolor="#faf9f9" stroked="false">
              <v:path arrowok="t"/>
              <v:fill type="solid"/>
            </v:shape>
            <v:shape style="position:absolute;left:11314;top:3298;width:4757;height:328" coordorigin="11315,3298" coordsize="4757,328" path="m12862,3298l11315,3298,11315,3625,12862,3625,12862,3298m16071,3298l14410,3298,12862,3298,12862,3625,14410,3625,16071,3625,16071,3298e" filled="true" fillcolor="#f4f4f4" stroked="false">
              <v:path arrowok="t"/>
              <v:fill type="solid"/>
            </v:shape>
            <v:shape style="position:absolute;left:11314;top:2970;width:4757;height:328" coordorigin="11315,2971" coordsize="4757,328" path="m12862,2971l11315,2971,11315,3298,12862,3298,12862,2971m16071,2971l14410,2971,12862,2971,12862,3298,14410,3298,16071,3298,16071,2971e" filled="true" fillcolor="#faf9f9" stroked="false">
              <v:path arrowok="t"/>
              <v:fill type="solid"/>
            </v:shape>
            <v:shape style="position:absolute;left:11314;top:3952;width:4757;height:328" coordorigin="11315,3952" coordsize="4757,328" path="m12862,3952l11315,3952,11315,4280,12862,4280,12862,3952m16071,3952l14410,3952,12862,3952,12862,4280,14410,4280,16071,4280,16071,3952e" filled="true" fillcolor="#f4f4f4" stroked="false">
              <v:path arrowok="t"/>
              <v:fill type="solid"/>
            </v:shape>
            <v:shape style="position:absolute;left:11314;top:3625;width:4757;height:328" coordorigin="11315,3625" coordsize="4757,328" path="m12862,3625l11315,3625,11315,3952,12862,3952,12862,3625m16071,3625l14410,3625,12862,3625,12862,3952,14410,3952,16071,3952,16071,3625e" filled="true" fillcolor="#faf9f9" stroked="false">
              <v:path arrowok="t"/>
              <v:fill type="solid"/>
            </v:shape>
            <v:shape style="position:absolute;left:11314;top:4606;width:4757;height:328" coordorigin="11315,4607" coordsize="4757,328" path="m12862,4607l11315,4607,11315,4934,12862,4934,12862,4607m16071,4607l14410,4607,12862,4607,12862,4934,14410,4934,16071,4934,16071,4607e" filled="true" fillcolor="#f4f4f4" stroked="false">
              <v:path arrowok="t"/>
              <v:fill type="solid"/>
            </v:shape>
            <v:shape style="position:absolute;left:11314;top:4279;width:4757;height:328" coordorigin="11315,4280" coordsize="4757,328" path="m12862,4280l11315,4280,11315,4607,12862,4607,12862,4280m16071,4280l14410,4280,12862,4280,12862,4607,14410,4607,16071,4607,16071,4280e" filled="true" fillcolor="#faf9f9" stroked="false">
              <v:path arrowok="t"/>
              <v:fill type="solid"/>
            </v:shape>
            <v:shape style="position:absolute;left:11314;top:5261;width:4757;height:328" coordorigin="11315,5261" coordsize="4757,328" path="m12862,5261l11315,5261,11315,5588,12862,5588,12862,5261m16071,5261l14410,5261,12862,5261,12862,5588,14410,5588,16071,5588,16071,5261e" filled="true" fillcolor="#f4f4f4" stroked="false">
              <v:path arrowok="t"/>
              <v:fill type="solid"/>
            </v:shape>
            <v:shape style="position:absolute;left:11314;top:4933;width:4757;height:982" coordorigin="11315,4934" coordsize="4757,982" path="m12862,5588l11315,5588,11315,5915,12862,5915,12862,5588m12862,4934l11315,4934,11315,5261,12862,5261,12862,4934m16071,5588l14410,5588,12862,5588,12862,5915,14410,5915,16071,5915,16071,5588m16071,4934l14410,4934,12862,4934,12862,5261,14410,5261,16071,5261,16071,4934e" filled="true" fillcolor="#faf9f9" stroked="false">
              <v:path arrowok="t"/>
              <v:fill type="solid"/>
            </v:shape>
            <v:shape style="position:absolute;left:11314;top:2306;width:4757;height:3619" coordorigin="11315,2307" coordsize="4757,3619" path="m12852,5905l11315,5905,11315,5925,12852,5925,12852,5905m12852,5578l11315,5578,11315,5598,12852,5598,12852,5578m12852,3615l11315,3615,11315,3635,12852,3635,12852,3615m12852,3288l11315,3288,11315,3308,12852,3308,12852,3288m12852,2961l11315,2961,11315,2981,12852,2981,12852,2961m12852,2634l11315,2634,11315,2654,12852,2654,12852,2634m12852,2307l11315,2307,11315,2327,12852,2327,12852,2307m14400,5905l12872,5905,12872,5925,14400,5925,14400,5905m14400,5578l12872,5578,12872,5598,14400,5598,14400,5578m14400,3615l12872,3615,12872,3635,14400,3635,14400,3615m14400,3288l12872,3288,12872,3308,14400,3308,14400,3288m14400,2961l12872,2961,12872,2981,14400,2981,14400,2961m14400,2634l12872,2634,12872,2654,14400,2654,14400,2634m14400,2307l12872,2307,12872,2327,14400,2327,14400,2307m16071,5905l14420,5905,14420,5925,16071,5925,16071,5905m16071,5578l14420,5578,14420,5598,16071,5598,16071,5578m16071,3615l14420,3615,14420,3635,16071,3635,16071,3615m16071,3288l14420,3288,14420,3308,16071,3308,16071,3288m16071,2961l14420,2961,14420,2981,16071,2981,16071,2961m16071,2634l14420,2634,14420,2654,16071,2654,16071,2634m16071,2307l14420,2307,14420,2327,16071,2327,16071,2307e" filled="true" fillcolor="#ffffff" stroked="false">
              <v:path arrowok="t"/>
              <v:fill type="solid"/>
            </v:shape>
            <v:line style="position:absolute" from="12862,2317" to="12862,1994" stroked="true" strokeweight="1pt" strokecolor="#ffffff">
              <v:stroke dashstyle="solid"/>
            </v:line>
            <v:line style="position:absolute" from="14410,2317" to="14410,1994" stroked="true" strokeweight="1pt" strokecolor="#ffffff">
              <v:stroke dashstyle="solid"/>
            </v:line>
            <v:line style="position:absolute" from="12862,2644" to="12862,2317" stroked="true" strokeweight="1pt" strokecolor="#ffffff">
              <v:stroke dashstyle="solid"/>
            </v:line>
            <v:line style="position:absolute" from="14410,2644" to="14410,2317" stroked="true" strokeweight="1pt" strokecolor="#ffffff">
              <v:stroke dashstyle="solid"/>
            </v:line>
            <v:line style="position:absolute" from="12862,2971" to="12862,2644" stroked="true" strokeweight="1pt" strokecolor="#ffffff">
              <v:stroke dashstyle="solid"/>
            </v:line>
            <v:line style="position:absolute" from="14410,2971" to="14410,2644" stroked="true" strokeweight="1pt" strokecolor="#ffffff">
              <v:stroke dashstyle="solid"/>
            </v:line>
            <v:line style="position:absolute" from="12862,3298" to="12862,2971" stroked="true" strokeweight="1pt" strokecolor="#ffffff">
              <v:stroke dashstyle="solid"/>
            </v:line>
            <v:line style="position:absolute" from="14410,3298" to="14410,2971" stroked="true" strokeweight="1pt" strokecolor="#ffffff">
              <v:stroke dashstyle="solid"/>
            </v:line>
            <v:line style="position:absolute" from="12862,3625" to="12862,3298" stroked="true" strokeweight="1pt" strokecolor="#ffffff">
              <v:stroke dashstyle="solid"/>
            </v:line>
            <v:line style="position:absolute" from="14410,3625" to="14410,3298" stroked="true" strokeweight="1pt" strokecolor="#ffffff">
              <v:stroke dashstyle="solid"/>
            </v:line>
            <v:line style="position:absolute" from="12862,3942" to="12862,3625" stroked="true" strokeweight="1pt" strokecolor="#ffffff">
              <v:stroke dashstyle="solid"/>
            </v:line>
            <v:line style="position:absolute" from="14410,3942" to="14410,3625" stroked="true" strokeweight="1pt" strokecolor="#ffffff">
              <v:stroke dashstyle="solid"/>
            </v:line>
            <v:line style="position:absolute" from="12862,4280" to="12862,3962" stroked="true" strokeweight="1pt" strokecolor="#ffffff">
              <v:stroke dashstyle="solid"/>
            </v:line>
            <v:line style="position:absolute" from="14410,4280" to="14410,3962" stroked="true" strokeweight="1pt" strokecolor="#ffffff">
              <v:stroke dashstyle="solid"/>
            </v:line>
            <v:line style="position:absolute" from="12862,4602" to="12862,4280" stroked="true" strokeweight="1pt" strokecolor="#ffffff">
              <v:stroke dashstyle="solid"/>
            </v:line>
            <v:line style="position:absolute" from="14410,4602" to="14410,4280" stroked="true" strokeweight="1pt" strokecolor="#ffffff">
              <v:stroke dashstyle="solid"/>
            </v:line>
            <v:line style="position:absolute" from="12862,4929" to="12862,4612" stroked="true" strokeweight="1pt" strokecolor="#ffffff">
              <v:stroke dashstyle="solid"/>
            </v:line>
            <v:line style="position:absolute" from="14410,4929" to="14410,4612" stroked="true" strokeweight="1pt" strokecolor="#ffffff">
              <v:stroke dashstyle="solid"/>
            </v:line>
            <v:line style="position:absolute" from="12862,5231" to="12862,4939" stroked="true" strokeweight="1pt" strokecolor="#ffffff">
              <v:stroke dashstyle="solid"/>
            </v:line>
            <v:line style="position:absolute" from="14410,5231" to="14410,4939" stroked="true" strokeweight="1pt" strokecolor="#ffffff">
              <v:stroke dashstyle="solid"/>
            </v:line>
            <v:line style="position:absolute" from="12862,5588" to="12862,5291" stroked="true" strokeweight="1pt" strokecolor="#ffffff">
              <v:stroke dashstyle="solid"/>
            </v:line>
            <v:line style="position:absolute" from="14410,5588" to="14410,5291" stroked="true" strokeweight="1pt" strokecolor="#ffffff">
              <v:stroke dashstyle="solid"/>
            </v:line>
            <v:line style="position:absolute" from="12862,5915" to="12862,5588" stroked="true" strokeweight="1pt" strokecolor="#ffffff">
              <v:stroke dashstyle="solid"/>
            </v:line>
            <v:line style="position:absolute" from="14410,5915" to="14410,5588" stroked="true" strokeweight="1pt" strokecolor="#ffffff">
              <v:stroke dashstyle="solid"/>
            </v:line>
            <v:line style="position:absolute" from="12862,6242" to="12862,5915" stroked="true" strokeweight="1pt" strokecolor="#ffffff">
              <v:stroke dashstyle="solid"/>
            </v:line>
            <v:line style="position:absolute" from="14410,6242" to="14410,5915" stroked="true" strokeweight="1pt" strokecolor="#ffffff">
              <v:stroke dashstyle="solid"/>
            </v:line>
            <v:shape style="position:absolute;left:11314;top:6559;width:4757;height:20" coordorigin="11315,6560" coordsize="4757,20" path="m12852,6560l11315,6560,11315,6580,12852,6580,12852,6560m14400,6560l12872,6560,12872,6580,14400,6580,14400,6560m16071,6560l14420,6560,14420,6580,16071,6580,16071,6560e" filled="true" fillcolor="#ffffff" stroked="false">
              <v:path arrowok="t"/>
              <v:fill type="solid"/>
            </v:shape>
            <v:line style="position:absolute" from="12862,6570" to="12862,6242" stroked="true" strokeweight="1pt" strokecolor="#ffffff">
              <v:stroke dashstyle="solid"/>
            </v:line>
            <v:line style="position:absolute" from="14410,6570" to="14410,6242" stroked="true" strokeweight="1pt" strokecolor="#ffffff">
              <v:stroke dashstyle="solid"/>
            </v:line>
            <v:line style="position:absolute" from="12862,6897" to="12862,6570" stroked="true" strokeweight="1pt" strokecolor="#ffffff">
              <v:stroke dashstyle="solid"/>
            </v:line>
            <v:line style="position:absolute" from="14410,6897" to="14410,6570" stroked="true" strokeweight="1pt" strokecolor="#ffffff">
              <v:stroke dashstyle="solid"/>
            </v:line>
            <v:shape style="position:absolute;left:11314;top:7213;width:4757;height:20" coordorigin="11315,7214" coordsize="4757,20" path="m12852,7214l11315,7214,11315,7234,12852,7234,12852,7214m14400,7214l12872,7214,12872,7234,14400,7234,14400,7214m16071,7214l14420,7214,14420,7234,16071,7234,16071,7214e" filled="true" fillcolor="#ffffff" stroked="false">
              <v:path arrowok="t"/>
              <v:fill type="solid"/>
            </v:shape>
            <v:line style="position:absolute" from="12862,7224" to="12862,6897" stroked="true" strokeweight="1pt" strokecolor="#ffffff">
              <v:stroke dashstyle="solid"/>
            </v:line>
            <v:line style="position:absolute" from="14410,7224" to="14410,6897" stroked="true" strokeweight="1pt" strokecolor="#ffffff">
              <v:stroke dashstyle="solid"/>
            </v:line>
            <v:line style="position:absolute" from="12862,7551" to="12862,7224" stroked="true" strokeweight="1pt" strokecolor="#ffffff">
              <v:stroke dashstyle="solid"/>
            </v:line>
            <v:line style="position:absolute" from="14410,7551" to="14410,7224" stroked="true" strokeweight="1pt" strokecolor="#ffffff">
              <v:stroke dashstyle="solid"/>
            </v:line>
            <v:line style="position:absolute" from="12862,7873" to="12862,7551" stroked="true" strokeweight="1pt" strokecolor="#ffffff">
              <v:stroke dashstyle="solid"/>
            </v:line>
            <v:line style="position:absolute" from="14410,7873" to="14410,7551" stroked="true" strokeweight="1pt" strokecolor="#ffffff">
              <v:stroke dashstyle="solid"/>
            </v:line>
            <v:line style="position:absolute" from="12862,8200" to="12862,7883" stroked="true" strokeweight="1pt" strokecolor="#ffffff">
              <v:stroke dashstyle="solid"/>
            </v:line>
            <v:line style="position:absolute" from="14410,8200" to="14410,7883" stroked="true" strokeweight="1pt" strokecolor="#ffffff">
              <v:stroke dashstyle="solid"/>
            </v:line>
            <v:shape style="position:absolute;left:11314;top:3942;width:4757;height:20" coordorigin="11315,3942" coordsize="4757,20" path="m16071,3942l14410,3942,12862,3942,11315,3942,11315,3962,12862,3962,14410,3962,16071,3962,16071,3942e" filled="true" fillcolor="#ffffff" stroked="false">
              <v:path arrowok="t"/>
              <v:fill type="solid"/>
            </v:shape>
            <w10:wrap type="none"/>
          </v:group>
        </w:pict>
      </w:r>
      <w:r>
        <w:rPr>
          <w:color w:val="A7BE39"/>
        </w:rPr>
        <w:t>For the year ended 30 June 2017</w:t>
      </w:r>
    </w:p>
    <w:p>
      <w:pPr>
        <w:pStyle w:val="BodyText"/>
        <w:spacing w:before="7"/>
        <w:rPr>
          <w:sz w:val="28"/>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6"/>
        <w:gridCol w:w="1548"/>
        <w:gridCol w:w="1548"/>
        <w:gridCol w:w="1558"/>
        <w:gridCol w:w="1612"/>
        <w:gridCol w:w="1495"/>
        <w:gridCol w:w="1640"/>
      </w:tblGrid>
      <w:tr>
        <w:trPr>
          <w:trHeight w:val="1217" w:hRule="atLeast"/>
        </w:trPr>
        <w:tc>
          <w:tcPr>
            <w:tcW w:w="7444" w:type="dxa"/>
            <w:gridSpan w:val="2"/>
            <w:tcBorders>
              <w:left w:val="single" w:sz="8" w:space="0" w:color="FFFFFF"/>
            </w:tcBorders>
            <w:shd w:val="clear" w:color="auto" w:fill="783A79"/>
          </w:tcPr>
          <w:p>
            <w:pPr>
              <w:pStyle w:val="TableParagraph"/>
              <w:spacing w:before="42"/>
              <w:ind w:right="128"/>
              <w:jc w:val="right"/>
              <w:rPr>
                <w:b/>
                <w:sz w:val="19"/>
              </w:rPr>
            </w:pPr>
            <w:r>
              <w:rPr>
                <w:b/>
                <w:color w:val="FFFFFF"/>
                <w:sz w:val="19"/>
              </w:rPr>
              <w:t>Variance Note</w:t>
            </w:r>
          </w:p>
        </w:tc>
        <w:tc>
          <w:tcPr>
            <w:tcW w:w="1548" w:type="dxa"/>
            <w:shd w:val="clear" w:color="auto" w:fill="783A79"/>
          </w:tcPr>
          <w:p>
            <w:pPr>
              <w:pStyle w:val="TableParagraph"/>
              <w:spacing w:before="42"/>
              <w:ind w:left="170"/>
              <w:rPr>
                <w:b/>
                <w:sz w:val="19"/>
              </w:rPr>
            </w:pPr>
            <w:r>
              <w:rPr>
                <w:b/>
                <w:color w:val="FFFFFF"/>
                <w:sz w:val="19"/>
              </w:rPr>
              <w:t>Estimate</w:t>
            </w:r>
            <w:r>
              <w:rPr>
                <w:b/>
                <w:color w:val="FFFFFF"/>
                <w:spacing w:val="6"/>
                <w:sz w:val="19"/>
              </w:rPr>
              <w:t> </w:t>
            </w:r>
            <w:r>
              <w:rPr>
                <w:b/>
                <w:color w:val="FFFFFF"/>
                <w:sz w:val="19"/>
              </w:rPr>
              <w:t>2017</w:t>
            </w:r>
          </w:p>
          <w:p>
            <w:pPr>
              <w:pStyle w:val="TableParagraph"/>
              <w:spacing w:before="0"/>
              <w:rPr>
                <w:sz w:val="22"/>
              </w:rPr>
            </w:pPr>
          </w:p>
          <w:p>
            <w:pPr>
              <w:pStyle w:val="TableParagraph"/>
              <w:spacing w:before="0"/>
              <w:rPr>
                <w:sz w:val="22"/>
              </w:rPr>
            </w:pPr>
          </w:p>
          <w:p>
            <w:pPr>
              <w:pStyle w:val="TableParagraph"/>
              <w:spacing w:before="188"/>
              <w:ind w:left="1021"/>
              <w:rPr>
                <w:b/>
                <w:sz w:val="19"/>
              </w:rPr>
            </w:pPr>
            <w:r>
              <w:rPr>
                <w:b/>
                <w:color w:val="FFFFFF"/>
                <w:sz w:val="19"/>
              </w:rPr>
              <w:t>$000</w:t>
            </w:r>
          </w:p>
        </w:tc>
        <w:tc>
          <w:tcPr>
            <w:tcW w:w="1558" w:type="dxa"/>
            <w:shd w:val="clear" w:color="auto" w:fill="783A79"/>
          </w:tcPr>
          <w:p>
            <w:pPr>
              <w:pStyle w:val="TableParagraph"/>
              <w:spacing w:before="42"/>
              <w:ind w:left="391"/>
              <w:rPr>
                <w:b/>
                <w:sz w:val="19"/>
              </w:rPr>
            </w:pPr>
            <w:r>
              <w:rPr>
                <w:b/>
                <w:color w:val="FFFFFF"/>
                <w:sz w:val="19"/>
              </w:rPr>
              <w:t>Actual</w:t>
            </w:r>
            <w:r>
              <w:rPr>
                <w:b/>
                <w:color w:val="FFFFFF"/>
                <w:spacing w:val="-4"/>
                <w:sz w:val="19"/>
              </w:rPr>
              <w:t> </w:t>
            </w:r>
            <w:r>
              <w:rPr>
                <w:b/>
                <w:color w:val="FFFFFF"/>
                <w:sz w:val="19"/>
              </w:rPr>
              <w:t>2017</w:t>
            </w:r>
          </w:p>
          <w:p>
            <w:pPr>
              <w:pStyle w:val="TableParagraph"/>
              <w:spacing w:before="0"/>
              <w:rPr>
                <w:sz w:val="22"/>
              </w:rPr>
            </w:pPr>
          </w:p>
          <w:p>
            <w:pPr>
              <w:pStyle w:val="TableParagraph"/>
              <w:spacing w:before="0"/>
              <w:rPr>
                <w:sz w:val="22"/>
              </w:rPr>
            </w:pPr>
          </w:p>
          <w:p>
            <w:pPr>
              <w:pStyle w:val="TableParagraph"/>
              <w:spacing w:before="188"/>
              <w:ind w:left="1021"/>
              <w:rPr>
                <w:b/>
                <w:sz w:val="19"/>
              </w:rPr>
            </w:pPr>
            <w:r>
              <w:rPr>
                <w:b/>
                <w:color w:val="FFFFFF"/>
                <w:sz w:val="19"/>
              </w:rPr>
              <w:t>$000</w:t>
            </w:r>
          </w:p>
        </w:tc>
        <w:tc>
          <w:tcPr>
            <w:tcW w:w="1612" w:type="dxa"/>
            <w:shd w:val="clear" w:color="auto" w:fill="783A79"/>
          </w:tcPr>
          <w:p>
            <w:pPr>
              <w:pStyle w:val="TableParagraph"/>
              <w:spacing w:before="42"/>
              <w:ind w:left="381"/>
              <w:rPr>
                <w:b/>
                <w:sz w:val="19"/>
              </w:rPr>
            </w:pPr>
            <w:r>
              <w:rPr>
                <w:b/>
                <w:color w:val="FFFFFF"/>
                <w:sz w:val="19"/>
              </w:rPr>
              <w:t>Actual</w:t>
            </w:r>
            <w:r>
              <w:rPr>
                <w:b/>
                <w:color w:val="FFFFFF"/>
                <w:spacing w:val="-4"/>
                <w:sz w:val="19"/>
              </w:rPr>
              <w:t> </w:t>
            </w:r>
            <w:r>
              <w:rPr>
                <w:b/>
                <w:color w:val="FFFFFF"/>
                <w:sz w:val="19"/>
              </w:rPr>
              <w:t>2016</w:t>
            </w:r>
          </w:p>
          <w:p>
            <w:pPr>
              <w:pStyle w:val="TableParagraph"/>
              <w:spacing w:before="0"/>
              <w:rPr>
                <w:sz w:val="22"/>
              </w:rPr>
            </w:pPr>
          </w:p>
          <w:p>
            <w:pPr>
              <w:pStyle w:val="TableParagraph"/>
              <w:spacing w:before="0"/>
              <w:rPr>
                <w:sz w:val="22"/>
              </w:rPr>
            </w:pPr>
          </w:p>
          <w:p>
            <w:pPr>
              <w:pStyle w:val="TableParagraph"/>
              <w:spacing w:before="188"/>
              <w:ind w:left="1011"/>
              <w:rPr>
                <w:b/>
                <w:sz w:val="19"/>
              </w:rPr>
            </w:pPr>
            <w:r>
              <w:rPr>
                <w:b/>
                <w:color w:val="FFFFFF"/>
                <w:sz w:val="19"/>
              </w:rPr>
              <w:t>$000</w:t>
            </w:r>
          </w:p>
        </w:tc>
        <w:tc>
          <w:tcPr>
            <w:tcW w:w="1495" w:type="dxa"/>
            <w:shd w:val="clear" w:color="auto" w:fill="783A79"/>
          </w:tcPr>
          <w:p>
            <w:pPr>
              <w:pStyle w:val="TableParagraph"/>
              <w:spacing w:line="249" w:lineRule="auto" w:before="42"/>
              <w:ind w:left="194" w:right="123" w:firstLine="393"/>
              <w:jc w:val="right"/>
              <w:rPr>
                <w:b/>
                <w:sz w:val="19"/>
              </w:rPr>
            </w:pPr>
            <w:r>
              <w:rPr>
                <w:b/>
                <w:color w:val="FFFFFF"/>
                <w:spacing w:val="-2"/>
                <w:sz w:val="19"/>
              </w:rPr>
              <w:t>Variance </w:t>
            </w:r>
            <w:r>
              <w:rPr>
                <w:b/>
                <w:color w:val="FFFFFF"/>
                <w:sz w:val="19"/>
              </w:rPr>
              <w:t>between estimate</w:t>
            </w:r>
            <w:r>
              <w:rPr>
                <w:b/>
                <w:color w:val="FFFFFF"/>
                <w:spacing w:val="14"/>
                <w:sz w:val="19"/>
              </w:rPr>
              <w:t> </w:t>
            </w:r>
            <w:r>
              <w:rPr>
                <w:b/>
                <w:color w:val="FFFFFF"/>
                <w:spacing w:val="-6"/>
                <w:sz w:val="19"/>
              </w:rPr>
              <w:t>and</w:t>
            </w:r>
          </w:p>
          <w:p>
            <w:pPr>
              <w:pStyle w:val="TableParagraph"/>
              <w:spacing w:before="3"/>
              <w:ind w:right="123"/>
              <w:jc w:val="right"/>
              <w:rPr>
                <w:b/>
                <w:sz w:val="19"/>
              </w:rPr>
            </w:pPr>
            <w:r>
              <w:rPr>
                <w:b/>
                <w:color w:val="FFFFFF"/>
                <w:sz w:val="19"/>
              </w:rPr>
              <w:t>actual</w:t>
            </w:r>
          </w:p>
          <w:p>
            <w:pPr>
              <w:pStyle w:val="TableParagraph"/>
              <w:spacing w:before="9"/>
              <w:ind w:right="123"/>
              <w:jc w:val="right"/>
              <w:rPr>
                <w:b/>
                <w:sz w:val="19"/>
              </w:rPr>
            </w:pPr>
            <w:r>
              <w:rPr>
                <w:b/>
                <w:color w:val="FFFFFF"/>
                <w:w w:val="95"/>
                <w:sz w:val="19"/>
              </w:rPr>
              <w:t>$000</w:t>
            </w:r>
          </w:p>
        </w:tc>
        <w:tc>
          <w:tcPr>
            <w:tcW w:w="1640" w:type="dxa"/>
            <w:shd w:val="clear" w:color="auto" w:fill="783A79"/>
          </w:tcPr>
          <w:p>
            <w:pPr>
              <w:pStyle w:val="TableParagraph"/>
              <w:spacing w:line="249" w:lineRule="auto" w:before="42"/>
              <w:ind w:left="141" w:right="102" w:firstLine="612"/>
              <w:jc w:val="both"/>
              <w:rPr>
                <w:b/>
                <w:sz w:val="19"/>
              </w:rPr>
            </w:pPr>
            <w:r>
              <w:rPr>
                <w:b/>
                <w:color w:val="FFFFFF"/>
                <w:spacing w:val="-2"/>
                <w:sz w:val="19"/>
              </w:rPr>
              <w:t>Variance </w:t>
            </w:r>
            <w:r>
              <w:rPr>
                <w:b/>
                <w:color w:val="FFFFFF"/>
                <w:sz w:val="19"/>
              </w:rPr>
              <w:t>between actual results for</w:t>
            </w:r>
            <w:r>
              <w:rPr>
                <w:b/>
                <w:color w:val="FFFFFF"/>
                <w:spacing w:val="-12"/>
                <w:sz w:val="19"/>
              </w:rPr>
              <w:t> </w:t>
            </w:r>
            <w:r>
              <w:rPr>
                <w:b/>
                <w:color w:val="FFFFFF"/>
                <w:spacing w:val="-4"/>
                <w:sz w:val="19"/>
              </w:rPr>
              <w:t>2017</w:t>
            </w:r>
          </w:p>
          <w:p>
            <w:pPr>
              <w:pStyle w:val="TableParagraph"/>
              <w:spacing w:before="3"/>
              <w:ind w:right="102"/>
              <w:jc w:val="right"/>
              <w:rPr>
                <w:b/>
                <w:sz w:val="19"/>
              </w:rPr>
            </w:pPr>
            <w:r>
              <w:rPr>
                <w:b/>
                <w:color w:val="FFFFFF"/>
                <w:sz w:val="19"/>
              </w:rPr>
              <w:t>and</w:t>
            </w:r>
            <w:r>
              <w:rPr>
                <w:b/>
                <w:color w:val="FFFFFF"/>
                <w:spacing w:val="-1"/>
                <w:sz w:val="19"/>
              </w:rPr>
              <w:t> </w:t>
            </w:r>
            <w:r>
              <w:rPr>
                <w:b/>
                <w:color w:val="FFFFFF"/>
                <w:sz w:val="19"/>
              </w:rPr>
              <w:t>2016</w:t>
            </w:r>
          </w:p>
          <w:p>
            <w:pPr>
              <w:pStyle w:val="TableParagraph"/>
              <w:spacing w:before="9"/>
              <w:ind w:right="102"/>
              <w:jc w:val="right"/>
              <w:rPr>
                <w:b/>
                <w:sz w:val="19"/>
              </w:rPr>
            </w:pPr>
            <w:r>
              <w:rPr>
                <w:b/>
                <w:color w:val="FFFFFF"/>
                <w:w w:val="95"/>
                <w:sz w:val="19"/>
              </w:rPr>
              <w:t>$000</w:t>
            </w:r>
          </w:p>
        </w:tc>
      </w:tr>
      <w:tr>
        <w:trPr>
          <w:trHeight w:val="644" w:hRule="atLeast"/>
        </w:trPr>
        <w:tc>
          <w:tcPr>
            <w:tcW w:w="5896" w:type="dxa"/>
            <w:shd w:val="clear" w:color="auto" w:fill="FFFFFF"/>
          </w:tcPr>
          <w:p>
            <w:pPr>
              <w:pStyle w:val="TableParagraph"/>
              <w:spacing w:before="42"/>
              <w:ind w:left="123"/>
              <w:rPr>
                <w:i/>
                <w:sz w:val="19"/>
              </w:rPr>
            </w:pPr>
            <w:r>
              <w:rPr>
                <w:i/>
                <w:color w:val="A7BE39"/>
                <w:sz w:val="19"/>
              </w:rPr>
              <w:t>Non-current assets</w:t>
            </w:r>
          </w:p>
          <w:p>
            <w:pPr>
              <w:pStyle w:val="TableParagraph"/>
              <w:spacing w:before="109"/>
              <w:ind w:left="123"/>
              <w:rPr>
                <w:sz w:val="19"/>
              </w:rPr>
            </w:pPr>
            <w:r>
              <w:rPr>
                <w:sz w:val="19"/>
              </w:rPr>
              <w:t>Restricted cash and cash equivalents</w:t>
            </w: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1"/>
              <w:rPr>
                <w:sz w:val="32"/>
              </w:rPr>
            </w:pPr>
          </w:p>
          <w:p>
            <w:pPr>
              <w:pStyle w:val="TableParagraph"/>
              <w:spacing w:before="0"/>
              <w:ind w:right="101"/>
              <w:jc w:val="right"/>
              <w:rPr>
                <w:sz w:val="19"/>
              </w:rPr>
            </w:pPr>
            <w:r>
              <w:rPr>
                <w:w w:val="95"/>
                <w:sz w:val="19"/>
              </w:rPr>
              <w:t>285</w:t>
            </w:r>
          </w:p>
        </w:tc>
        <w:tc>
          <w:tcPr>
            <w:tcW w:w="1558" w:type="dxa"/>
            <w:vMerge w:val="restart"/>
            <w:tcBorders>
              <w:bottom w:val="single" w:sz="4" w:space="0" w:color="000000"/>
            </w:tcBorders>
            <w:shd w:val="clear" w:color="auto" w:fill="E1E4BB"/>
          </w:tcPr>
          <w:p>
            <w:pPr>
              <w:pStyle w:val="TableParagraph"/>
              <w:spacing w:before="1"/>
              <w:rPr>
                <w:sz w:val="32"/>
              </w:rPr>
            </w:pPr>
          </w:p>
          <w:p>
            <w:pPr>
              <w:pStyle w:val="TableParagraph"/>
              <w:spacing w:before="0"/>
              <w:ind w:right="111"/>
              <w:jc w:val="right"/>
              <w:rPr>
                <w:sz w:val="19"/>
              </w:rPr>
            </w:pPr>
            <w:r>
              <w:rPr>
                <w:w w:val="95"/>
                <w:sz w:val="19"/>
              </w:rPr>
              <w:t>398</w:t>
            </w:r>
          </w:p>
          <w:p>
            <w:pPr>
              <w:pStyle w:val="TableParagraph"/>
              <w:spacing w:before="109"/>
              <w:ind w:right="111"/>
              <w:jc w:val="right"/>
              <w:rPr>
                <w:sz w:val="19"/>
              </w:rPr>
            </w:pPr>
            <w:r>
              <w:rPr>
                <w:w w:val="95"/>
                <w:sz w:val="19"/>
              </w:rPr>
              <w:t>1,948</w:t>
            </w:r>
          </w:p>
          <w:p>
            <w:pPr>
              <w:pStyle w:val="TableParagraph"/>
              <w:spacing w:before="109"/>
              <w:ind w:right="111"/>
              <w:jc w:val="right"/>
              <w:rPr>
                <w:sz w:val="19"/>
              </w:rPr>
            </w:pPr>
            <w:r>
              <w:rPr>
                <w:w w:val="95"/>
                <w:sz w:val="19"/>
              </w:rPr>
              <w:t>597</w:t>
            </w:r>
          </w:p>
          <w:p>
            <w:pPr>
              <w:pStyle w:val="TableParagraph"/>
              <w:spacing w:before="108"/>
              <w:ind w:right="112"/>
              <w:jc w:val="right"/>
              <w:rPr>
                <w:sz w:val="19"/>
              </w:rPr>
            </w:pPr>
            <w:r>
              <w:rPr>
                <w:w w:val="95"/>
                <w:sz w:val="19"/>
              </w:rPr>
              <w:t>461,896</w:t>
            </w:r>
          </w:p>
          <w:p>
            <w:pPr>
              <w:pStyle w:val="TableParagraph"/>
              <w:spacing w:before="109"/>
              <w:ind w:right="112"/>
              <w:jc w:val="right"/>
              <w:rPr>
                <w:sz w:val="19"/>
              </w:rPr>
            </w:pPr>
            <w:r>
              <w:rPr>
                <w:w w:val="95"/>
                <w:sz w:val="19"/>
              </w:rPr>
              <w:t>720,374</w:t>
            </w:r>
          </w:p>
          <w:p>
            <w:pPr>
              <w:pStyle w:val="TableParagraph"/>
              <w:spacing w:before="109"/>
              <w:ind w:left="841" w:right="92"/>
              <w:jc w:val="center"/>
              <w:rPr>
                <w:sz w:val="19"/>
              </w:rPr>
            </w:pPr>
            <w:r>
              <w:rPr>
                <w:sz w:val="19"/>
              </w:rPr>
              <w:t>31,805</w:t>
            </w:r>
          </w:p>
          <w:p>
            <w:pPr>
              <w:pStyle w:val="TableParagraph"/>
              <w:spacing w:before="108"/>
              <w:ind w:right="111"/>
              <w:jc w:val="right"/>
              <w:rPr>
                <w:sz w:val="19"/>
              </w:rPr>
            </w:pPr>
            <w:r>
              <w:rPr>
                <w:w w:val="95"/>
                <w:sz w:val="19"/>
              </w:rPr>
              <w:t>6,440</w:t>
            </w:r>
          </w:p>
        </w:tc>
        <w:tc>
          <w:tcPr>
            <w:tcW w:w="1612" w:type="dxa"/>
            <w:vMerge w:val="restart"/>
            <w:tcBorders>
              <w:bottom w:val="single" w:sz="4" w:space="0" w:color="000000"/>
            </w:tcBorders>
          </w:tcPr>
          <w:p>
            <w:pPr>
              <w:pStyle w:val="TableParagraph"/>
              <w:spacing w:before="1"/>
              <w:rPr>
                <w:sz w:val="32"/>
              </w:rPr>
            </w:pPr>
          </w:p>
          <w:p>
            <w:pPr>
              <w:pStyle w:val="TableParagraph"/>
              <w:spacing w:before="0"/>
              <w:ind w:left="1363"/>
              <w:rPr>
                <w:sz w:val="19"/>
              </w:rPr>
            </w:pPr>
            <w:r>
              <w:rPr>
                <w:w w:val="111"/>
                <w:sz w:val="19"/>
              </w:rPr>
              <w:t>-</w:t>
            </w:r>
          </w:p>
          <w:p>
            <w:pPr>
              <w:pStyle w:val="TableParagraph"/>
              <w:spacing w:line="360" w:lineRule="auto" w:before="109"/>
              <w:ind w:left="958" w:right="158" w:firstLine="404"/>
              <w:rPr>
                <w:sz w:val="19"/>
              </w:rPr>
            </w:pPr>
            <w:r>
              <w:rPr>
                <w:w w:val="105"/>
                <w:sz w:val="19"/>
              </w:rPr>
              <w:t>- </w:t>
            </w:r>
            <w:r>
              <w:rPr>
                <w:sz w:val="19"/>
              </w:rPr>
              <w:t>1,214</w:t>
            </w:r>
          </w:p>
          <w:p>
            <w:pPr>
              <w:pStyle w:val="TableParagraph"/>
              <w:spacing w:line="217" w:lineRule="exact" w:before="0"/>
              <w:ind w:right="176"/>
              <w:jc w:val="right"/>
              <w:rPr>
                <w:sz w:val="19"/>
              </w:rPr>
            </w:pPr>
            <w:r>
              <w:rPr>
                <w:w w:val="95"/>
                <w:sz w:val="19"/>
              </w:rPr>
              <w:t>410,183</w:t>
            </w:r>
          </w:p>
          <w:p>
            <w:pPr>
              <w:pStyle w:val="TableParagraph"/>
              <w:spacing w:before="109"/>
              <w:ind w:right="176"/>
              <w:jc w:val="right"/>
              <w:rPr>
                <w:sz w:val="19"/>
              </w:rPr>
            </w:pPr>
            <w:r>
              <w:rPr>
                <w:w w:val="95"/>
                <w:sz w:val="19"/>
              </w:rPr>
              <w:t>768,737</w:t>
            </w:r>
          </w:p>
          <w:p>
            <w:pPr>
              <w:pStyle w:val="TableParagraph"/>
              <w:spacing w:before="108"/>
              <w:ind w:left="727" w:right="53"/>
              <w:jc w:val="center"/>
              <w:rPr>
                <w:sz w:val="19"/>
              </w:rPr>
            </w:pPr>
            <w:r>
              <w:rPr>
                <w:sz w:val="19"/>
              </w:rPr>
              <w:t>29,516</w:t>
            </w:r>
          </w:p>
          <w:p>
            <w:pPr>
              <w:pStyle w:val="TableParagraph"/>
              <w:spacing w:before="109"/>
              <w:ind w:right="176"/>
              <w:jc w:val="right"/>
              <w:rPr>
                <w:sz w:val="19"/>
              </w:rPr>
            </w:pPr>
            <w:r>
              <w:rPr>
                <w:w w:val="95"/>
                <w:sz w:val="19"/>
              </w:rPr>
              <w:t>2,129</w:t>
            </w:r>
          </w:p>
        </w:tc>
        <w:tc>
          <w:tcPr>
            <w:tcW w:w="1495" w:type="dxa"/>
            <w:vMerge w:val="restart"/>
            <w:tcBorders>
              <w:bottom w:val="single" w:sz="4" w:space="0" w:color="000000"/>
            </w:tcBorders>
          </w:tcPr>
          <w:p>
            <w:pPr>
              <w:pStyle w:val="TableParagraph"/>
              <w:spacing w:before="1"/>
              <w:rPr>
                <w:sz w:val="32"/>
              </w:rPr>
            </w:pPr>
          </w:p>
          <w:p>
            <w:pPr>
              <w:pStyle w:val="TableParagraph"/>
              <w:spacing w:before="0"/>
              <w:ind w:right="123"/>
              <w:jc w:val="right"/>
              <w:rPr>
                <w:sz w:val="19"/>
              </w:rPr>
            </w:pPr>
            <w:r>
              <w:rPr>
                <w:w w:val="95"/>
                <w:sz w:val="19"/>
              </w:rPr>
              <w:t>113</w:t>
            </w:r>
          </w:p>
          <w:p>
            <w:pPr>
              <w:pStyle w:val="TableParagraph"/>
              <w:spacing w:before="109"/>
              <w:ind w:left="769"/>
              <w:jc w:val="center"/>
              <w:rPr>
                <w:sz w:val="19"/>
              </w:rPr>
            </w:pPr>
            <w:r>
              <w:rPr>
                <w:sz w:val="19"/>
              </w:rPr>
              <w:t>1,948</w:t>
            </w:r>
          </w:p>
          <w:p>
            <w:pPr>
              <w:pStyle w:val="TableParagraph"/>
              <w:spacing w:before="109"/>
              <w:ind w:left="764" w:right="86"/>
              <w:jc w:val="center"/>
              <w:rPr>
                <w:sz w:val="19"/>
              </w:rPr>
            </w:pPr>
            <w:r>
              <w:rPr>
                <w:sz w:val="19"/>
              </w:rPr>
              <w:t>(2,285)</w:t>
            </w:r>
          </w:p>
          <w:p>
            <w:pPr>
              <w:pStyle w:val="TableParagraph"/>
              <w:spacing w:before="108"/>
              <w:ind w:left="762" w:right="86"/>
              <w:jc w:val="center"/>
              <w:rPr>
                <w:sz w:val="19"/>
              </w:rPr>
            </w:pPr>
            <w:r>
              <w:rPr>
                <w:sz w:val="19"/>
              </w:rPr>
              <w:t>(1,294)</w:t>
            </w:r>
          </w:p>
          <w:p>
            <w:pPr>
              <w:pStyle w:val="TableParagraph"/>
              <w:spacing w:before="109"/>
              <w:ind w:left="657" w:right="86"/>
              <w:jc w:val="center"/>
              <w:rPr>
                <w:sz w:val="19"/>
              </w:rPr>
            </w:pPr>
            <w:r>
              <w:rPr>
                <w:sz w:val="19"/>
              </w:rPr>
              <w:t>(93,275)</w:t>
            </w:r>
          </w:p>
          <w:p>
            <w:pPr>
              <w:pStyle w:val="TableParagraph"/>
              <w:spacing w:before="109"/>
              <w:ind w:left="749" w:right="86"/>
              <w:jc w:val="center"/>
              <w:rPr>
                <w:sz w:val="19"/>
              </w:rPr>
            </w:pPr>
            <w:r>
              <w:rPr>
                <w:sz w:val="19"/>
              </w:rPr>
              <w:t>13,309</w:t>
            </w:r>
          </w:p>
          <w:p>
            <w:pPr>
              <w:pStyle w:val="TableParagraph"/>
              <w:spacing w:before="108"/>
              <w:ind w:left="769"/>
              <w:jc w:val="center"/>
              <w:rPr>
                <w:sz w:val="19"/>
              </w:rPr>
            </w:pPr>
            <w:r>
              <w:rPr>
                <w:sz w:val="19"/>
              </w:rPr>
              <w:t>5,270</w:t>
            </w:r>
          </w:p>
        </w:tc>
        <w:tc>
          <w:tcPr>
            <w:tcW w:w="1640" w:type="dxa"/>
            <w:vMerge w:val="restart"/>
            <w:tcBorders>
              <w:bottom w:val="single" w:sz="4" w:space="0" w:color="000000"/>
            </w:tcBorders>
          </w:tcPr>
          <w:p>
            <w:pPr>
              <w:pStyle w:val="TableParagraph"/>
              <w:spacing w:before="1"/>
              <w:rPr>
                <w:sz w:val="32"/>
              </w:rPr>
            </w:pPr>
          </w:p>
          <w:p>
            <w:pPr>
              <w:pStyle w:val="TableParagraph"/>
              <w:spacing w:before="0"/>
              <w:ind w:right="102"/>
              <w:jc w:val="right"/>
              <w:rPr>
                <w:sz w:val="19"/>
              </w:rPr>
            </w:pPr>
            <w:r>
              <w:rPr>
                <w:w w:val="95"/>
                <w:sz w:val="19"/>
              </w:rPr>
              <w:t>398</w:t>
            </w:r>
          </w:p>
          <w:p>
            <w:pPr>
              <w:pStyle w:val="TableParagraph"/>
              <w:spacing w:before="109"/>
              <w:ind w:left="1023" w:right="67"/>
              <w:jc w:val="center"/>
              <w:rPr>
                <w:sz w:val="19"/>
              </w:rPr>
            </w:pPr>
            <w:r>
              <w:rPr>
                <w:sz w:val="19"/>
              </w:rPr>
              <w:t>1,948</w:t>
            </w:r>
          </w:p>
          <w:p>
            <w:pPr>
              <w:pStyle w:val="TableParagraph"/>
              <w:spacing w:before="109"/>
              <w:ind w:right="101"/>
              <w:jc w:val="right"/>
              <w:rPr>
                <w:sz w:val="19"/>
              </w:rPr>
            </w:pPr>
            <w:r>
              <w:rPr>
                <w:w w:val="90"/>
                <w:sz w:val="19"/>
              </w:rPr>
              <w:t>(617)</w:t>
            </w:r>
          </w:p>
          <w:p>
            <w:pPr>
              <w:pStyle w:val="TableParagraph"/>
              <w:spacing w:before="108"/>
              <w:ind w:left="916" w:right="67"/>
              <w:jc w:val="center"/>
              <w:rPr>
                <w:sz w:val="19"/>
              </w:rPr>
            </w:pPr>
            <w:r>
              <w:rPr>
                <w:sz w:val="19"/>
              </w:rPr>
              <w:t>51,713</w:t>
            </w:r>
          </w:p>
          <w:p>
            <w:pPr>
              <w:pStyle w:val="TableParagraph"/>
              <w:spacing w:before="109"/>
              <w:ind w:left="825" w:right="67"/>
              <w:jc w:val="center"/>
              <w:rPr>
                <w:sz w:val="19"/>
              </w:rPr>
            </w:pPr>
            <w:r>
              <w:rPr>
                <w:sz w:val="19"/>
              </w:rPr>
              <w:t>(48,363)</w:t>
            </w:r>
          </w:p>
          <w:p>
            <w:pPr>
              <w:pStyle w:val="TableParagraph"/>
              <w:spacing w:before="109"/>
              <w:ind w:left="1022" w:right="67"/>
              <w:jc w:val="center"/>
              <w:rPr>
                <w:sz w:val="19"/>
              </w:rPr>
            </w:pPr>
            <w:r>
              <w:rPr>
                <w:sz w:val="19"/>
              </w:rPr>
              <w:t>2,289</w:t>
            </w:r>
          </w:p>
          <w:p>
            <w:pPr>
              <w:pStyle w:val="TableParagraph"/>
              <w:spacing w:before="108"/>
              <w:ind w:left="1023" w:right="67"/>
              <w:jc w:val="center"/>
              <w:rPr>
                <w:sz w:val="19"/>
              </w:rPr>
            </w:pPr>
            <w:r>
              <w:rPr>
                <w:sz w:val="19"/>
              </w:rPr>
              <w:t>4,311</w:t>
            </w:r>
          </w:p>
        </w:tc>
      </w:tr>
      <w:tr>
        <w:trPr>
          <w:trHeight w:val="1288" w:hRule="atLeast"/>
        </w:trPr>
        <w:tc>
          <w:tcPr>
            <w:tcW w:w="5896" w:type="dxa"/>
            <w:vMerge w:val="restart"/>
            <w:shd w:val="clear" w:color="auto" w:fill="FFFFFF"/>
          </w:tcPr>
          <w:p>
            <w:pPr>
              <w:pStyle w:val="TableParagraph"/>
              <w:ind w:left="123"/>
              <w:rPr>
                <w:sz w:val="19"/>
              </w:rPr>
            </w:pPr>
            <w:r>
              <w:rPr>
                <w:sz w:val="19"/>
              </w:rPr>
              <w:t>Receivables</w:t>
            </w:r>
          </w:p>
          <w:p>
            <w:pPr>
              <w:pStyle w:val="TableParagraph"/>
              <w:spacing w:line="360" w:lineRule="auto" w:before="109"/>
              <w:ind w:left="124" w:right="3083" w:hanging="1"/>
              <w:rPr>
                <w:sz w:val="19"/>
              </w:rPr>
            </w:pPr>
            <w:r>
              <w:rPr>
                <w:sz w:val="19"/>
              </w:rPr>
              <w:t>Finance lease receivables Amounts receivable for </w:t>
            </w:r>
            <w:r>
              <w:rPr>
                <w:spacing w:val="-3"/>
                <w:sz w:val="19"/>
              </w:rPr>
              <w:t>services</w:t>
            </w:r>
          </w:p>
          <w:p>
            <w:pPr>
              <w:pStyle w:val="TableParagraph"/>
              <w:spacing w:line="360" w:lineRule="auto" w:before="0"/>
              <w:ind w:left="123" w:right="2541"/>
              <w:rPr>
                <w:sz w:val="19"/>
              </w:rPr>
            </w:pPr>
            <w:r>
              <w:rPr>
                <w:spacing w:val="-3"/>
                <w:sz w:val="19"/>
              </w:rPr>
              <w:t>Property,</w:t>
            </w:r>
            <w:r>
              <w:rPr>
                <w:spacing w:val="-25"/>
                <w:sz w:val="19"/>
              </w:rPr>
              <w:t> </w:t>
            </w:r>
            <w:r>
              <w:rPr>
                <w:sz w:val="19"/>
              </w:rPr>
              <w:t>plant,</w:t>
            </w:r>
            <w:r>
              <w:rPr>
                <w:spacing w:val="-25"/>
                <w:sz w:val="19"/>
              </w:rPr>
              <w:t> </w:t>
            </w:r>
            <w:r>
              <w:rPr>
                <w:sz w:val="19"/>
              </w:rPr>
              <w:t>equipment</w:t>
            </w:r>
            <w:r>
              <w:rPr>
                <w:spacing w:val="-24"/>
                <w:sz w:val="19"/>
              </w:rPr>
              <w:t> </w:t>
            </w:r>
            <w:r>
              <w:rPr>
                <w:sz w:val="19"/>
              </w:rPr>
              <w:t>and</w:t>
            </w:r>
            <w:r>
              <w:rPr>
                <w:spacing w:val="-25"/>
                <w:sz w:val="19"/>
              </w:rPr>
              <w:t> </w:t>
            </w:r>
            <w:r>
              <w:rPr>
                <w:sz w:val="19"/>
              </w:rPr>
              <w:t>vehicles Intangible</w:t>
            </w:r>
            <w:r>
              <w:rPr>
                <w:spacing w:val="-2"/>
                <w:sz w:val="19"/>
              </w:rPr>
              <w:t> </w:t>
            </w:r>
            <w:r>
              <w:rPr>
                <w:sz w:val="19"/>
              </w:rPr>
              <w:t>assets</w:t>
            </w:r>
          </w:p>
          <w:p>
            <w:pPr>
              <w:pStyle w:val="TableParagraph"/>
              <w:spacing w:line="217" w:lineRule="exact" w:before="0"/>
              <w:ind w:left="123"/>
              <w:rPr>
                <w:sz w:val="19"/>
              </w:rPr>
            </w:pPr>
            <w:r>
              <w:rPr>
                <w:sz w:val="19"/>
              </w:rPr>
              <w:t>Other non-current assets</w:t>
            </w:r>
          </w:p>
        </w:tc>
        <w:tc>
          <w:tcPr>
            <w:tcW w:w="1548" w:type="dxa"/>
            <w:vMerge w:val="restart"/>
            <w:shd w:val="clear" w:color="auto" w:fill="FFFFFF"/>
          </w:tcPr>
          <w:p>
            <w:pPr>
              <w:pStyle w:val="TableParagraph"/>
              <w:spacing w:before="0"/>
              <w:rPr>
                <w:sz w:val="22"/>
              </w:rPr>
            </w:pPr>
          </w:p>
          <w:p>
            <w:pPr>
              <w:pStyle w:val="TableParagraph"/>
              <w:spacing w:before="0"/>
              <w:rPr>
                <w:sz w:val="22"/>
              </w:rPr>
            </w:pPr>
          </w:p>
          <w:p>
            <w:pPr>
              <w:pStyle w:val="TableParagraph"/>
              <w:spacing w:before="181"/>
              <w:ind w:left="19"/>
              <w:jc w:val="center"/>
              <w:rPr>
                <w:sz w:val="19"/>
              </w:rPr>
            </w:pPr>
            <w:hyperlink w:history="true" w:anchor="_bookmark55">
              <w:r>
                <w:rPr>
                  <w:color w:val="A7BE39"/>
                  <w:w w:val="99"/>
                  <w:sz w:val="19"/>
                  <w:u w:val="single" w:color="A7BE39"/>
                </w:rPr>
                <w:t>1</w:t>
              </w:r>
            </w:hyperlink>
          </w:p>
          <w:p>
            <w:pPr>
              <w:pStyle w:val="TableParagraph"/>
              <w:spacing w:before="108"/>
              <w:ind w:left="19"/>
              <w:jc w:val="center"/>
              <w:rPr>
                <w:sz w:val="19"/>
              </w:rPr>
            </w:pPr>
            <w:hyperlink w:history="true" w:anchor="_bookmark55">
              <w:r>
                <w:rPr>
                  <w:color w:val="A7BE39"/>
                  <w:w w:val="99"/>
                  <w:sz w:val="19"/>
                  <w:u w:val="single" w:color="A7BE39"/>
                </w:rPr>
                <w:t>2</w:t>
              </w:r>
            </w:hyperlink>
          </w:p>
        </w:tc>
        <w:tc>
          <w:tcPr>
            <w:tcW w:w="1548" w:type="dxa"/>
            <w:tcBorders>
              <w:top w:val="single" w:sz="8" w:space="0" w:color="FFFFFF"/>
              <w:left w:val="single" w:sz="8" w:space="0" w:color="FFFFFF"/>
              <w:bottom w:val="single" w:sz="8" w:space="0" w:color="FFFFFF"/>
            </w:tcBorders>
            <w:shd w:val="clear" w:color="auto" w:fill="FAF9F9"/>
          </w:tcPr>
          <w:p>
            <w:pPr>
              <w:pStyle w:val="TableParagraph"/>
              <w:spacing w:line="360" w:lineRule="auto"/>
              <w:ind w:left="959" w:right="83" w:firstLine="404"/>
              <w:rPr>
                <w:sz w:val="19"/>
              </w:rPr>
            </w:pPr>
            <w:r>
              <w:rPr>
                <w:w w:val="105"/>
                <w:sz w:val="19"/>
              </w:rPr>
              <w:t>- </w:t>
            </w:r>
            <w:r>
              <w:rPr>
                <w:sz w:val="19"/>
              </w:rPr>
              <w:t>2,882</w:t>
            </w:r>
          </w:p>
          <w:p>
            <w:pPr>
              <w:pStyle w:val="TableParagraph"/>
              <w:spacing w:line="217" w:lineRule="exact" w:before="0"/>
              <w:ind w:left="747"/>
              <w:rPr>
                <w:sz w:val="19"/>
              </w:rPr>
            </w:pPr>
            <w:r>
              <w:rPr>
                <w:sz w:val="19"/>
              </w:rPr>
              <w:t>463,190</w:t>
            </w:r>
          </w:p>
          <w:p>
            <w:pPr>
              <w:pStyle w:val="TableParagraph"/>
              <w:spacing w:before="109"/>
              <w:ind w:left="747"/>
              <w:rPr>
                <w:sz w:val="19"/>
              </w:rPr>
            </w:pPr>
            <w:r>
              <w:rPr>
                <w:sz w:val="19"/>
              </w:rPr>
              <w:t>813,649</w:t>
            </w:r>
          </w:p>
        </w:tc>
        <w:tc>
          <w:tcPr>
            <w:tcW w:w="1558" w:type="dxa"/>
            <w:vMerge/>
            <w:tcBorders>
              <w:top w:val="nil"/>
              <w:bottom w:val="single" w:sz="4" w:space="0" w:color="000000"/>
            </w:tcBorders>
            <w:shd w:val="clear" w:color="auto" w:fill="E1E4BB"/>
          </w:tcPr>
          <w:p>
            <w:pPr>
              <w:rPr>
                <w:sz w:val="2"/>
                <w:szCs w:val="2"/>
              </w:rPr>
            </w:pPr>
          </w:p>
        </w:tc>
        <w:tc>
          <w:tcPr>
            <w:tcW w:w="1612" w:type="dxa"/>
            <w:vMerge/>
            <w:tcBorders>
              <w:top w:val="nil"/>
              <w:bottom w:val="single" w:sz="4" w:space="0" w:color="000000"/>
            </w:tcBorders>
          </w:tcPr>
          <w:p>
            <w:pPr>
              <w:rPr>
                <w:sz w:val="2"/>
                <w:szCs w:val="2"/>
              </w:rPr>
            </w:pPr>
          </w:p>
        </w:tc>
        <w:tc>
          <w:tcPr>
            <w:tcW w:w="1495" w:type="dxa"/>
            <w:vMerge/>
            <w:tcBorders>
              <w:top w:val="nil"/>
              <w:bottom w:val="single" w:sz="4" w:space="0" w:color="000000"/>
            </w:tcBorders>
          </w:tcPr>
          <w:p>
            <w:pPr>
              <w:rPr>
                <w:sz w:val="2"/>
                <w:szCs w:val="2"/>
              </w:rPr>
            </w:pPr>
          </w:p>
        </w:tc>
        <w:tc>
          <w:tcPr>
            <w:tcW w:w="1640" w:type="dxa"/>
            <w:vMerge/>
            <w:tcBorders>
              <w:top w:val="nil"/>
              <w:bottom w:val="single" w:sz="4" w:space="0" w:color="000000"/>
            </w:tcBorders>
          </w:tcPr>
          <w:p>
            <w:pPr>
              <w:rPr>
                <w:sz w:val="2"/>
                <w:szCs w:val="2"/>
              </w:rPr>
            </w:pPr>
          </w:p>
        </w:tc>
      </w:tr>
      <w:tr>
        <w:trPr>
          <w:trHeight w:val="639" w:hRule="atLeast"/>
        </w:trPr>
        <w:tc>
          <w:tcPr>
            <w:tcW w:w="5896" w:type="dxa"/>
            <w:vMerge/>
            <w:tcBorders>
              <w:top w:val="nil"/>
            </w:tcBorders>
            <w:shd w:val="clear" w:color="auto" w:fill="FFFFFF"/>
          </w:tcPr>
          <w:p>
            <w:pPr>
              <w:rPr>
                <w:sz w:val="2"/>
                <w:szCs w:val="2"/>
              </w:rPr>
            </w:pPr>
          </w:p>
        </w:tc>
        <w:tc>
          <w:tcPr>
            <w:tcW w:w="1548" w:type="dxa"/>
            <w:vMerge/>
            <w:tcBorders>
              <w:top w:val="nil"/>
            </w:tcBorders>
            <w:shd w:val="clear" w:color="auto" w:fill="FFFFFF"/>
          </w:tcPr>
          <w:p>
            <w:pPr>
              <w:rPr>
                <w:sz w:val="2"/>
                <w:szCs w:val="2"/>
              </w:rPr>
            </w:pPr>
          </w:p>
        </w:tc>
        <w:tc>
          <w:tcPr>
            <w:tcW w:w="1548" w:type="dxa"/>
            <w:tcBorders>
              <w:top w:val="single" w:sz="8" w:space="0" w:color="FFFFFF"/>
              <w:left w:val="single" w:sz="8" w:space="0" w:color="FFFFFF"/>
              <w:bottom w:val="single" w:sz="4" w:space="0" w:color="000000"/>
            </w:tcBorders>
            <w:shd w:val="clear" w:color="auto" w:fill="FAF9F9"/>
          </w:tcPr>
          <w:p>
            <w:pPr>
              <w:pStyle w:val="TableParagraph"/>
              <w:ind w:left="832" w:right="83"/>
              <w:jc w:val="center"/>
              <w:rPr>
                <w:sz w:val="19"/>
              </w:rPr>
            </w:pPr>
            <w:r>
              <w:rPr>
                <w:sz w:val="19"/>
              </w:rPr>
              <w:t>18,496</w:t>
            </w:r>
          </w:p>
          <w:p>
            <w:pPr>
              <w:pStyle w:val="TableParagraph"/>
              <w:spacing w:before="109"/>
              <w:ind w:left="938" w:right="83"/>
              <w:jc w:val="center"/>
              <w:rPr>
                <w:sz w:val="19"/>
              </w:rPr>
            </w:pPr>
            <w:r>
              <w:rPr>
                <w:sz w:val="19"/>
              </w:rPr>
              <w:t>1,170</w:t>
            </w:r>
          </w:p>
        </w:tc>
        <w:tc>
          <w:tcPr>
            <w:tcW w:w="1558" w:type="dxa"/>
            <w:vMerge/>
            <w:tcBorders>
              <w:top w:val="nil"/>
              <w:bottom w:val="single" w:sz="4" w:space="0" w:color="000000"/>
            </w:tcBorders>
            <w:shd w:val="clear" w:color="auto" w:fill="E1E4BB"/>
          </w:tcPr>
          <w:p>
            <w:pPr>
              <w:rPr>
                <w:sz w:val="2"/>
                <w:szCs w:val="2"/>
              </w:rPr>
            </w:pPr>
          </w:p>
        </w:tc>
        <w:tc>
          <w:tcPr>
            <w:tcW w:w="1612" w:type="dxa"/>
            <w:vMerge/>
            <w:tcBorders>
              <w:top w:val="nil"/>
              <w:bottom w:val="single" w:sz="4" w:space="0" w:color="000000"/>
            </w:tcBorders>
          </w:tcPr>
          <w:p>
            <w:pPr>
              <w:rPr>
                <w:sz w:val="2"/>
                <w:szCs w:val="2"/>
              </w:rPr>
            </w:pPr>
          </w:p>
        </w:tc>
        <w:tc>
          <w:tcPr>
            <w:tcW w:w="1495" w:type="dxa"/>
            <w:vMerge/>
            <w:tcBorders>
              <w:top w:val="nil"/>
              <w:bottom w:val="single" w:sz="4" w:space="0" w:color="000000"/>
            </w:tcBorders>
          </w:tcPr>
          <w:p>
            <w:pPr>
              <w:rPr>
                <w:sz w:val="2"/>
                <w:szCs w:val="2"/>
              </w:rPr>
            </w:pPr>
          </w:p>
        </w:tc>
        <w:tc>
          <w:tcPr>
            <w:tcW w:w="1640" w:type="dxa"/>
            <w:vMerge/>
            <w:tcBorders>
              <w:top w:val="nil"/>
              <w:bottom w:val="single" w:sz="4" w:space="0" w:color="000000"/>
            </w:tcBorders>
          </w:tcPr>
          <w:p>
            <w:pPr>
              <w:rPr>
                <w:sz w:val="2"/>
                <w:szCs w:val="2"/>
              </w:rPr>
            </w:pPr>
          </w:p>
        </w:tc>
      </w:tr>
      <w:tr>
        <w:trPr>
          <w:trHeight w:val="317" w:hRule="atLeast"/>
        </w:trPr>
        <w:tc>
          <w:tcPr>
            <w:tcW w:w="5896" w:type="dxa"/>
            <w:vMerge w:val="restart"/>
            <w:shd w:val="clear" w:color="auto" w:fill="FFFFFF"/>
          </w:tcPr>
          <w:p>
            <w:pPr>
              <w:pStyle w:val="TableParagraph"/>
              <w:spacing w:before="37"/>
              <w:ind w:left="123"/>
              <w:rPr>
                <w:b/>
                <w:sz w:val="19"/>
              </w:rPr>
            </w:pPr>
            <w:r>
              <w:rPr>
                <w:b/>
                <w:sz w:val="19"/>
              </w:rPr>
              <w:t>Total non-current assets</w:t>
            </w:r>
          </w:p>
          <w:p>
            <w:pPr>
              <w:pStyle w:val="TableParagraph"/>
              <w:spacing w:before="109"/>
              <w:ind w:left="124"/>
              <w:rPr>
                <w:b/>
                <w:sz w:val="19"/>
              </w:rPr>
            </w:pPr>
            <w:r>
              <w:rPr>
                <w:b/>
                <w:sz w:val="19"/>
              </w:rPr>
              <w:t>TOTAL ASSETS</w:t>
            </w:r>
          </w:p>
        </w:tc>
        <w:tc>
          <w:tcPr>
            <w:tcW w:w="1548" w:type="dxa"/>
            <w:vMerge w:val="restart"/>
            <w:shd w:val="clear" w:color="auto" w:fill="FFFFFF"/>
          </w:tcPr>
          <w:p>
            <w:pPr>
              <w:pStyle w:val="TableParagraph"/>
              <w:spacing w:before="0"/>
              <w:rPr>
                <w:rFonts w:ascii="Times New Roman"/>
                <w:sz w:val="20"/>
              </w:rPr>
            </w:pPr>
          </w:p>
        </w:tc>
        <w:tc>
          <w:tcPr>
            <w:tcW w:w="1548" w:type="dxa"/>
            <w:tcBorders>
              <w:top w:val="single" w:sz="4" w:space="0" w:color="000000"/>
              <w:left w:val="single" w:sz="8" w:space="0" w:color="FFFFFF"/>
              <w:bottom w:val="single" w:sz="4" w:space="0" w:color="000000"/>
            </w:tcBorders>
            <w:shd w:val="clear" w:color="auto" w:fill="F4F4F4"/>
          </w:tcPr>
          <w:p>
            <w:pPr>
              <w:pStyle w:val="TableParagraph"/>
              <w:spacing w:before="37"/>
              <w:ind w:right="101"/>
              <w:jc w:val="right"/>
              <w:rPr>
                <w:b/>
                <w:sz w:val="19"/>
              </w:rPr>
            </w:pPr>
            <w:r>
              <w:rPr>
                <w:b/>
                <w:w w:val="95"/>
                <w:sz w:val="19"/>
              </w:rPr>
              <w:t>1,299,672</w:t>
            </w:r>
          </w:p>
        </w:tc>
        <w:tc>
          <w:tcPr>
            <w:tcW w:w="1558" w:type="dxa"/>
            <w:tcBorders>
              <w:top w:val="single" w:sz="4" w:space="0" w:color="000000"/>
              <w:bottom w:val="single" w:sz="4" w:space="0" w:color="000000"/>
            </w:tcBorders>
            <w:shd w:val="clear" w:color="auto" w:fill="DFE1B8"/>
          </w:tcPr>
          <w:p>
            <w:pPr>
              <w:pStyle w:val="TableParagraph"/>
              <w:spacing w:before="37"/>
              <w:ind w:right="111"/>
              <w:jc w:val="right"/>
              <w:rPr>
                <w:b/>
                <w:sz w:val="19"/>
              </w:rPr>
            </w:pPr>
            <w:r>
              <w:rPr>
                <w:b/>
                <w:w w:val="95"/>
                <w:sz w:val="19"/>
              </w:rPr>
              <w:t>1,223,458</w:t>
            </w:r>
          </w:p>
        </w:tc>
        <w:tc>
          <w:tcPr>
            <w:tcW w:w="1612" w:type="dxa"/>
            <w:tcBorders>
              <w:top w:val="single" w:sz="4" w:space="0" w:color="000000"/>
              <w:bottom w:val="single" w:sz="4" w:space="0" w:color="000000"/>
            </w:tcBorders>
          </w:tcPr>
          <w:p>
            <w:pPr>
              <w:pStyle w:val="TableParagraph"/>
              <w:spacing w:before="37"/>
              <w:ind w:right="175"/>
              <w:jc w:val="right"/>
              <w:rPr>
                <w:b/>
                <w:sz w:val="19"/>
              </w:rPr>
            </w:pPr>
            <w:r>
              <w:rPr>
                <w:b/>
                <w:w w:val="95"/>
                <w:sz w:val="19"/>
              </w:rPr>
              <w:t>1,211,779</w:t>
            </w:r>
          </w:p>
        </w:tc>
        <w:tc>
          <w:tcPr>
            <w:tcW w:w="1495" w:type="dxa"/>
            <w:tcBorders>
              <w:top w:val="single" w:sz="4" w:space="0" w:color="000000"/>
              <w:bottom w:val="single" w:sz="4" w:space="0" w:color="000000"/>
            </w:tcBorders>
          </w:tcPr>
          <w:p>
            <w:pPr>
              <w:pStyle w:val="TableParagraph"/>
              <w:spacing w:before="37"/>
              <w:ind w:right="123"/>
              <w:jc w:val="right"/>
              <w:rPr>
                <w:b/>
                <w:sz w:val="19"/>
              </w:rPr>
            </w:pPr>
            <w:r>
              <w:rPr>
                <w:b/>
                <w:w w:val="95"/>
                <w:sz w:val="19"/>
              </w:rPr>
              <w:t>(76,214)</w:t>
            </w:r>
          </w:p>
        </w:tc>
        <w:tc>
          <w:tcPr>
            <w:tcW w:w="1640" w:type="dxa"/>
            <w:tcBorders>
              <w:top w:val="single" w:sz="4" w:space="0" w:color="000000"/>
              <w:bottom w:val="single" w:sz="4" w:space="0" w:color="000000"/>
            </w:tcBorders>
          </w:tcPr>
          <w:p>
            <w:pPr>
              <w:pStyle w:val="TableParagraph"/>
              <w:spacing w:before="37"/>
              <w:ind w:right="101"/>
              <w:jc w:val="right"/>
              <w:rPr>
                <w:b/>
                <w:sz w:val="19"/>
              </w:rPr>
            </w:pPr>
            <w:r>
              <w:rPr>
                <w:b/>
                <w:w w:val="95"/>
                <w:sz w:val="19"/>
              </w:rPr>
              <w:t>11,679</w:t>
            </w:r>
          </w:p>
        </w:tc>
      </w:tr>
      <w:tr>
        <w:trPr>
          <w:trHeight w:val="289" w:hRule="atLeast"/>
        </w:trPr>
        <w:tc>
          <w:tcPr>
            <w:tcW w:w="5896" w:type="dxa"/>
            <w:vMerge/>
            <w:tcBorders>
              <w:top w:val="nil"/>
            </w:tcBorders>
            <w:shd w:val="clear" w:color="auto" w:fill="FFFFFF"/>
          </w:tcPr>
          <w:p>
            <w:pPr>
              <w:rPr>
                <w:sz w:val="2"/>
                <w:szCs w:val="2"/>
              </w:rPr>
            </w:pPr>
          </w:p>
        </w:tc>
        <w:tc>
          <w:tcPr>
            <w:tcW w:w="1548" w:type="dxa"/>
            <w:vMerge/>
            <w:tcBorders>
              <w:top w:val="nil"/>
            </w:tcBorders>
            <w:shd w:val="clear" w:color="auto" w:fill="FFFFFF"/>
          </w:tcPr>
          <w:p>
            <w:pPr>
              <w:rPr>
                <w:sz w:val="2"/>
                <w:szCs w:val="2"/>
              </w:rPr>
            </w:pPr>
          </w:p>
        </w:tc>
        <w:tc>
          <w:tcPr>
            <w:tcW w:w="1548" w:type="dxa"/>
            <w:tcBorders>
              <w:top w:val="single" w:sz="4" w:space="0" w:color="000000"/>
              <w:left w:val="single" w:sz="8" w:space="0" w:color="FFFFFF"/>
              <w:bottom w:val="double" w:sz="2" w:space="0" w:color="000000"/>
            </w:tcBorders>
            <w:shd w:val="clear" w:color="auto" w:fill="FAF9F9"/>
          </w:tcPr>
          <w:p>
            <w:pPr>
              <w:pStyle w:val="TableParagraph"/>
              <w:spacing w:before="37"/>
              <w:ind w:right="101"/>
              <w:jc w:val="right"/>
              <w:rPr>
                <w:b/>
                <w:sz w:val="19"/>
              </w:rPr>
            </w:pPr>
            <w:r>
              <w:rPr>
                <w:b/>
                <w:w w:val="95"/>
                <w:sz w:val="19"/>
              </w:rPr>
              <w:t>1,714,795</w:t>
            </w:r>
          </w:p>
        </w:tc>
        <w:tc>
          <w:tcPr>
            <w:tcW w:w="1558" w:type="dxa"/>
            <w:tcBorders>
              <w:top w:val="single" w:sz="4" w:space="0" w:color="000000"/>
              <w:bottom w:val="double" w:sz="2" w:space="0" w:color="000000"/>
            </w:tcBorders>
            <w:shd w:val="clear" w:color="auto" w:fill="E1E4BB"/>
          </w:tcPr>
          <w:p>
            <w:pPr>
              <w:pStyle w:val="TableParagraph"/>
              <w:spacing w:before="37"/>
              <w:ind w:right="111"/>
              <w:jc w:val="right"/>
              <w:rPr>
                <w:b/>
                <w:sz w:val="19"/>
              </w:rPr>
            </w:pPr>
            <w:r>
              <w:rPr>
                <w:b/>
                <w:w w:val="95"/>
                <w:sz w:val="19"/>
              </w:rPr>
              <w:t>1,505,676</w:t>
            </w:r>
          </w:p>
        </w:tc>
        <w:tc>
          <w:tcPr>
            <w:tcW w:w="1612" w:type="dxa"/>
            <w:tcBorders>
              <w:top w:val="single" w:sz="4" w:space="0" w:color="000000"/>
              <w:bottom w:val="double" w:sz="2" w:space="0" w:color="000000"/>
            </w:tcBorders>
          </w:tcPr>
          <w:p>
            <w:pPr>
              <w:pStyle w:val="TableParagraph"/>
              <w:spacing w:before="37"/>
              <w:ind w:right="175"/>
              <w:jc w:val="right"/>
              <w:rPr>
                <w:b/>
                <w:sz w:val="19"/>
              </w:rPr>
            </w:pPr>
            <w:r>
              <w:rPr>
                <w:b/>
                <w:w w:val="95"/>
                <w:sz w:val="19"/>
              </w:rPr>
              <w:t>1,635,685</w:t>
            </w:r>
          </w:p>
        </w:tc>
        <w:tc>
          <w:tcPr>
            <w:tcW w:w="1495" w:type="dxa"/>
            <w:tcBorders>
              <w:top w:val="single" w:sz="4" w:space="0" w:color="000000"/>
              <w:bottom w:val="double" w:sz="2" w:space="0" w:color="000000"/>
            </w:tcBorders>
          </w:tcPr>
          <w:p>
            <w:pPr>
              <w:pStyle w:val="TableParagraph"/>
              <w:spacing w:before="37"/>
              <w:ind w:right="122"/>
              <w:jc w:val="right"/>
              <w:rPr>
                <w:b/>
                <w:sz w:val="19"/>
              </w:rPr>
            </w:pPr>
            <w:r>
              <w:rPr>
                <w:b/>
                <w:w w:val="95"/>
                <w:sz w:val="19"/>
              </w:rPr>
              <w:t>(209,119)</w:t>
            </w:r>
          </w:p>
        </w:tc>
        <w:tc>
          <w:tcPr>
            <w:tcW w:w="1640" w:type="dxa"/>
            <w:tcBorders>
              <w:top w:val="single" w:sz="4" w:space="0" w:color="000000"/>
              <w:bottom w:val="double" w:sz="2" w:space="0" w:color="000000"/>
            </w:tcBorders>
          </w:tcPr>
          <w:p>
            <w:pPr>
              <w:pStyle w:val="TableParagraph"/>
              <w:spacing w:before="37"/>
              <w:ind w:right="101"/>
              <w:jc w:val="right"/>
              <w:rPr>
                <w:b/>
                <w:sz w:val="19"/>
              </w:rPr>
            </w:pPr>
            <w:r>
              <w:rPr>
                <w:b/>
                <w:w w:val="95"/>
                <w:sz w:val="19"/>
              </w:rPr>
              <w:t>(130,009)</w:t>
            </w:r>
          </w:p>
        </w:tc>
      </w:tr>
      <w:tr>
        <w:trPr>
          <w:trHeight w:val="636" w:hRule="atLeast"/>
        </w:trPr>
        <w:tc>
          <w:tcPr>
            <w:tcW w:w="5896" w:type="dxa"/>
            <w:shd w:val="clear" w:color="auto" w:fill="FFFFFF"/>
          </w:tcPr>
          <w:p>
            <w:pPr>
              <w:pStyle w:val="TableParagraph"/>
              <w:spacing w:before="0"/>
              <w:rPr>
                <w:sz w:val="31"/>
              </w:rPr>
            </w:pPr>
          </w:p>
          <w:p>
            <w:pPr>
              <w:pStyle w:val="TableParagraph"/>
              <w:spacing w:before="1"/>
              <w:ind w:left="124"/>
              <w:rPr>
                <w:b/>
                <w:sz w:val="19"/>
              </w:rPr>
            </w:pPr>
            <w:r>
              <w:rPr>
                <w:b/>
                <w:sz w:val="19"/>
              </w:rPr>
              <w:t>LIABILITIES</w:t>
            </w:r>
          </w:p>
        </w:tc>
        <w:tc>
          <w:tcPr>
            <w:tcW w:w="1548" w:type="dxa"/>
            <w:shd w:val="clear" w:color="auto" w:fill="FFFFFF"/>
          </w:tcPr>
          <w:p>
            <w:pPr>
              <w:pStyle w:val="TableParagraph"/>
              <w:spacing w:before="0"/>
              <w:rPr>
                <w:rFonts w:ascii="Times New Roman"/>
                <w:sz w:val="20"/>
              </w:rPr>
            </w:pPr>
          </w:p>
        </w:tc>
        <w:tc>
          <w:tcPr>
            <w:tcW w:w="1548" w:type="dxa"/>
            <w:tcBorders>
              <w:top w:val="double" w:sz="2" w:space="0" w:color="000000"/>
            </w:tcBorders>
            <w:shd w:val="clear" w:color="auto" w:fill="FFFFFF"/>
          </w:tcPr>
          <w:p>
            <w:pPr>
              <w:pStyle w:val="TableParagraph"/>
              <w:spacing w:before="0"/>
              <w:rPr>
                <w:rFonts w:ascii="Times New Roman"/>
                <w:sz w:val="20"/>
              </w:rPr>
            </w:pPr>
          </w:p>
        </w:tc>
        <w:tc>
          <w:tcPr>
            <w:tcW w:w="1558" w:type="dxa"/>
            <w:vMerge w:val="restart"/>
            <w:tcBorders>
              <w:top w:val="double" w:sz="2" w:space="0" w:color="000000"/>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11"/>
              <w:rPr>
                <w:sz w:val="21"/>
              </w:rPr>
            </w:pPr>
          </w:p>
          <w:p>
            <w:pPr>
              <w:pStyle w:val="TableParagraph"/>
              <w:spacing w:before="0"/>
              <w:ind w:left="736" w:right="92"/>
              <w:jc w:val="center"/>
              <w:rPr>
                <w:sz w:val="19"/>
              </w:rPr>
            </w:pPr>
            <w:r>
              <w:rPr>
                <w:sz w:val="19"/>
              </w:rPr>
              <w:t>115,613</w:t>
            </w:r>
          </w:p>
          <w:p>
            <w:pPr>
              <w:pStyle w:val="TableParagraph"/>
              <w:spacing w:before="109"/>
              <w:ind w:left="842" w:right="92"/>
              <w:jc w:val="center"/>
              <w:rPr>
                <w:sz w:val="19"/>
              </w:rPr>
            </w:pPr>
            <w:r>
              <w:rPr>
                <w:sz w:val="19"/>
              </w:rPr>
              <w:t>24,040</w:t>
            </w:r>
          </w:p>
          <w:p>
            <w:pPr>
              <w:pStyle w:val="TableParagraph"/>
              <w:spacing w:before="108"/>
              <w:ind w:left="842" w:right="91"/>
              <w:jc w:val="center"/>
              <w:rPr>
                <w:sz w:val="19"/>
              </w:rPr>
            </w:pPr>
            <w:r>
              <w:rPr>
                <w:sz w:val="19"/>
              </w:rPr>
              <w:t>27,916</w:t>
            </w:r>
          </w:p>
          <w:p>
            <w:pPr>
              <w:pStyle w:val="TableParagraph"/>
              <w:spacing w:before="109"/>
              <w:ind w:left="842" w:right="91"/>
              <w:jc w:val="center"/>
              <w:rPr>
                <w:sz w:val="19"/>
              </w:rPr>
            </w:pPr>
            <w:r>
              <w:rPr>
                <w:sz w:val="19"/>
              </w:rPr>
              <w:t>13,604</w:t>
            </w:r>
          </w:p>
          <w:p>
            <w:pPr>
              <w:pStyle w:val="TableParagraph"/>
              <w:spacing w:before="109"/>
              <w:ind w:left="842" w:right="90"/>
              <w:jc w:val="center"/>
              <w:rPr>
                <w:sz w:val="19"/>
              </w:rPr>
            </w:pPr>
            <w:r>
              <w:rPr>
                <w:sz w:val="19"/>
              </w:rPr>
              <w:t>24,055</w:t>
            </w:r>
          </w:p>
        </w:tc>
        <w:tc>
          <w:tcPr>
            <w:tcW w:w="4747" w:type="dxa"/>
            <w:gridSpan w:val="3"/>
            <w:tcBorders>
              <w:top w:val="double" w:sz="2" w:space="0" w:color="000000"/>
            </w:tcBorders>
          </w:tcPr>
          <w:p>
            <w:pPr>
              <w:pStyle w:val="TableParagraph"/>
              <w:spacing w:before="0"/>
              <w:rPr>
                <w:rFonts w:ascii="Times New Roman"/>
                <w:sz w:val="20"/>
              </w:rPr>
            </w:pPr>
          </w:p>
        </w:tc>
      </w:tr>
      <w:tr>
        <w:trPr>
          <w:trHeight w:val="644" w:hRule="atLeast"/>
        </w:trPr>
        <w:tc>
          <w:tcPr>
            <w:tcW w:w="5896" w:type="dxa"/>
            <w:shd w:val="clear" w:color="auto" w:fill="FFFFFF"/>
          </w:tcPr>
          <w:p>
            <w:pPr>
              <w:pStyle w:val="TableParagraph"/>
              <w:spacing w:before="37"/>
              <w:ind w:left="124"/>
              <w:rPr>
                <w:i/>
                <w:sz w:val="19"/>
              </w:rPr>
            </w:pPr>
            <w:r>
              <w:rPr>
                <w:i/>
                <w:color w:val="A7BE39"/>
                <w:sz w:val="19"/>
              </w:rPr>
              <w:t>Current liabilities</w:t>
            </w:r>
          </w:p>
          <w:p>
            <w:pPr>
              <w:pStyle w:val="TableParagraph"/>
              <w:spacing w:before="109"/>
              <w:ind w:left="124"/>
              <w:rPr>
                <w:sz w:val="19"/>
              </w:rPr>
            </w:pPr>
            <w:r>
              <w:rPr>
                <w:sz w:val="19"/>
              </w:rPr>
              <w:t>Payables</w:t>
            </w: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8"/>
              <w:rPr>
                <w:sz w:val="31"/>
              </w:rPr>
            </w:pPr>
          </w:p>
          <w:p>
            <w:pPr>
              <w:pStyle w:val="TableParagraph"/>
              <w:spacing w:before="0"/>
              <w:ind w:right="100"/>
              <w:jc w:val="right"/>
              <w:rPr>
                <w:sz w:val="19"/>
              </w:rPr>
            </w:pPr>
            <w:r>
              <w:rPr>
                <w:w w:val="95"/>
                <w:sz w:val="19"/>
              </w:rPr>
              <w:t>271,914</w:t>
            </w:r>
          </w:p>
        </w:tc>
        <w:tc>
          <w:tcPr>
            <w:tcW w:w="1558" w:type="dxa"/>
            <w:vMerge/>
            <w:tcBorders>
              <w:top w:val="nil"/>
              <w:bottom w:val="single" w:sz="4" w:space="0" w:color="000000"/>
            </w:tcBorders>
            <w:shd w:val="clear" w:color="auto" w:fill="E1E4BB"/>
          </w:tcPr>
          <w:p>
            <w:pPr>
              <w:rPr>
                <w:sz w:val="2"/>
                <w:szCs w:val="2"/>
              </w:rPr>
            </w:pPr>
          </w:p>
        </w:tc>
        <w:tc>
          <w:tcPr>
            <w:tcW w:w="1612" w:type="dxa"/>
            <w:vMerge w:val="restart"/>
            <w:tcBorders>
              <w:bottom w:val="single" w:sz="4" w:space="0" w:color="000000"/>
            </w:tcBorders>
            <w:shd w:val="clear" w:color="auto" w:fill="FFFFFF"/>
          </w:tcPr>
          <w:p>
            <w:pPr>
              <w:pStyle w:val="TableParagraph"/>
              <w:spacing w:before="8"/>
              <w:rPr>
                <w:sz w:val="31"/>
              </w:rPr>
            </w:pPr>
          </w:p>
          <w:p>
            <w:pPr>
              <w:pStyle w:val="TableParagraph"/>
              <w:spacing w:before="0"/>
              <w:ind w:left="726" w:right="156"/>
              <w:jc w:val="center"/>
              <w:rPr>
                <w:sz w:val="19"/>
              </w:rPr>
            </w:pPr>
            <w:r>
              <w:rPr>
                <w:sz w:val="19"/>
              </w:rPr>
              <w:t>275,418</w:t>
            </w:r>
          </w:p>
          <w:p>
            <w:pPr>
              <w:pStyle w:val="TableParagraph"/>
              <w:spacing w:before="109"/>
              <w:ind w:left="727" w:right="51"/>
              <w:jc w:val="center"/>
              <w:rPr>
                <w:sz w:val="19"/>
              </w:rPr>
            </w:pPr>
            <w:r>
              <w:rPr>
                <w:sz w:val="19"/>
              </w:rPr>
              <w:t>30,302</w:t>
            </w:r>
          </w:p>
          <w:p>
            <w:pPr>
              <w:pStyle w:val="TableParagraph"/>
              <w:spacing w:before="108"/>
              <w:ind w:left="727" w:right="51"/>
              <w:jc w:val="center"/>
              <w:rPr>
                <w:sz w:val="19"/>
              </w:rPr>
            </w:pPr>
            <w:r>
              <w:rPr>
                <w:sz w:val="19"/>
              </w:rPr>
              <w:t>27,889</w:t>
            </w:r>
          </w:p>
          <w:p>
            <w:pPr>
              <w:pStyle w:val="TableParagraph"/>
              <w:spacing w:before="109"/>
              <w:ind w:left="938" w:right="156"/>
              <w:jc w:val="center"/>
              <w:rPr>
                <w:sz w:val="19"/>
              </w:rPr>
            </w:pPr>
            <w:r>
              <w:rPr>
                <w:sz w:val="19"/>
              </w:rPr>
              <w:t>9,612</w:t>
            </w:r>
          </w:p>
          <w:p>
            <w:pPr>
              <w:pStyle w:val="TableParagraph"/>
              <w:spacing w:before="109"/>
              <w:ind w:left="727" w:right="50"/>
              <w:jc w:val="center"/>
              <w:rPr>
                <w:sz w:val="19"/>
              </w:rPr>
            </w:pPr>
            <w:r>
              <w:rPr>
                <w:sz w:val="19"/>
              </w:rPr>
              <w:t>26,996</w:t>
            </w:r>
          </w:p>
        </w:tc>
        <w:tc>
          <w:tcPr>
            <w:tcW w:w="1495" w:type="dxa"/>
            <w:vMerge w:val="restart"/>
            <w:tcBorders>
              <w:bottom w:val="single" w:sz="4" w:space="0" w:color="000000"/>
            </w:tcBorders>
            <w:shd w:val="clear" w:color="auto" w:fill="FFFFFF"/>
          </w:tcPr>
          <w:p>
            <w:pPr>
              <w:pStyle w:val="TableParagraph"/>
              <w:spacing w:before="8"/>
              <w:rPr>
                <w:sz w:val="31"/>
              </w:rPr>
            </w:pPr>
          </w:p>
          <w:p>
            <w:pPr>
              <w:pStyle w:val="TableParagraph"/>
              <w:spacing w:before="0"/>
              <w:ind w:right="122"/>
              <w:jc w:val="right"/>
              <w:rPr>
                <w:sz w:val="19"/>
              </w:rPr>
            </w:pPr>
            <w:r>
              <w:rPr>
                <w:spacing w:val="-1"/>
                <w:w w:val="95"/>
                <w:sz w:val="19"/>
              </w:rPr>
              <w:t>(156,301)</w:t>
            </w:r>
          </w:p>
          <w:p>
            <w:pPr>
              <w:pStyle w:val="TableParagraph"/>
              <w:spacing w:before="109"/>
              <w:ind w:right="122"/>
              <w:jc w:val="right"/>
              <w:rPr>
                <w:sz w:val="19"/>
              </w:rPr>
            </w:pPr>
            <w:r>
              <w:rPr>
                <w:w w:val="95"/>
                <w:sz w:val="19"/>
              </w:rPr>
              <w:t>1,716</w:t>
            </w:r>
          </w:p>
          <w:p>
            <w:pPr>
              <w:pStyle w:val="TableParagraph"/>
              <w:spacing w:before="108"/>
              <w:ind w:left="751" w:right="86"/>
              <w:jc w:val="center"/>
              <w:rPr>
                <w:sz w:val="19"/>
              </w:rPr>
            </w:pPr>
            <w:r>
              <w:rPr>
                <w:sz w:val="19"/>
              </w:rPr>
              <w:t>21,896</w:t>
            </w:r>
          </w:p>
          <w:p>
            <w:pPr>
              <w:pStyle w:val="TableParagraph"/>
              <w:spacing w:before="109"/>
              <w:ind w:left="659" w:right="85"/>
              <w:jc w:val="center"/>
              <w:rPr>
                <w:sz w:val="19"/>
              </w:rPr>
            </w:pPr>
            <w:r>
              <w:rPr>
                <w:sz w:val="19"/>
              </w:rPr>
              <w:t>(14,406)</w:t>
            </w:r>
          </w:p>
          <w:p>
            <w:pPr>
              <w:pStyle w:val="TableParagraph"/>
              <w:spacing w:before="109"/>
              <w:ind w:right="121"/>
              <w:jc w:val="right"/>
              <w:rPr>
                <w:sz w:val="19"/>
              </w:rPr>
            </w:pPr>
            <w:r>
              <w:rPr>
                <w:w w:val="111"/>
                <w:sz w:val="19"/>
              </w:rPr>
              <w:t>-</w:t>
            </w:r>
          </w:p>
        </w:tc>
        <w:tc>
          <w:tcPr>
            <w:tcW w:w="1640" w:type="dxa"/>
            <w:vMerge w:val="restart"/>
            <w:tcBorders>
              <w:bottom w:val="single" w:sz="4" w:space="0" w:color="000000"/>
            </w:tcBorders>
            <w:shd w:val="clear" w:color="auto" w:fill="FFFFFF"/>
          </w:tcPr>
          <w:p>
            <w:pPr>
              <w:pStyle w:val="TableParagraph"/>
              <w:spacing w:before="8"/>
              <w:rPr>
                <w:sz w:val="31"/>
              </w:rPr>
            </w:pPr>
          </w:p>
          <w:p>
            <w:pPr>
              <w:pStyle w:val="TableParagraph"/>
              <w:spacing w:before="0"/>
              <w:ind w:right="101"/>
              <w:jc w:val="right"/>
              <w:rPr>
                <w:sz w:val="19"/>
              </w:rPr>
            </w:pPr>
            <w:r>
              <w:rPr>
                <w:spacing w:val="-1"/>
                <w:w w:val="95"/>
                <w:sz w:val="19"/>
              </w:rPr>
              <w:t>(159,805)</w:t>
            </w:r>
          </w:p>
          <w:p>
            <w:pPr>
              <w:pStyle w:val="TableParagraph"/>
              <w:spacing w:before="109"/>
              <w:ind w:left="969"/>
              <w:rPr>
                <w:sz w:val="19"/>
              </w:rPr>
            </w:pPr>
            <w:r>
              <w:rPr>
                <w:sz w:val="19"/>
              </w:rPr>
              <w:t>(6,262)</w:t>
            </w:r>
          </w:p>
          <w:p>
            <w:pPr>
              <w:pStyle w:val="TableParagraph"/>
              <w:spacing w:before="108"/>
              <w:ind w:right="101"/>
              <w:jc w:val="right"/>
              <w:rPr>
                <w:sz w:val="19"/>
              </w:rPr>
            </w:pPr>
            <w:r>
              <w:rPr>
                <w:w w:val="95"/>
                <w:sz w:val="19"/>
              </w:rPr>
              <w:t>27</w:t>
            </w:r>
          </w:p>
          <w:p>
            <w:pPr>
              <w:pStyle w:val="TableParagraph"/>
              <w:spacing w:before="109"/>
              <w:ind w:left="1061"/>
              <w:rPr>
                <w:sz w:val="19"/>
              </w:rPr>
            </w:pPr>
            <w:r>
              <w:rPr>
                <w:sz w:val="19"/>
              </w:rPr>
              <w:t>3,992</w:t>
            </w:r>
          </w:p>
          <w:p>
            <w:pPr>
              <w:pStyle w:val="TableParagraph"/>
              <w:spacing w:before="109"/>
              <w:ind w:left="970"/>
              <w:rPr>
                <w:sz w:val="19"/>
              </w:rPr>
            </w:pPr>
            <w:r>
              <w:rPr>
                <w:sz w:val="19"/>
              </w:rPr>
              <w:t>(2,941)</w:t>
            </w:r>
          </w:p>
        </w:tc>
      </w:tr>
      <w:tr>
        <w:trPr>
          <w:trHeight w:val="644" w:hRule="atLeast"/>
        </w:trPr>
        <w:tc>
          <w:tcPr>
            <w:tcW w:w="5896" w:type="dxa"/>
            <w:shd w:val="clear" w:color="auto" w:fill="FFFFFF"/>
          </w:tcPr>
          <w:p>
            <w:pPr>
              <w:pStyle w:val="TableParagraph"/>
              <w:spacing w:before="37"/>
              <w:ind w:left="124"/>
              <w:rPr>
                <w:sz w:val="19"/>
              </w:rPr>
            </w:pPr>
            <w:r>
              <w:rPr>
                <w:sz w:val="19"/>
              </w:rPr>
              <w:t>Borrowings</w:t>
            </w:r>
          </w:p>
          <w:p>
            <w:pPr>
              <w:pStyle w:val="TableParagraph"/>
              <w:spacing w:before="109"/>
              <w:ind w:left="124"/>
              <w:rPr>
                <w:sz w:val="19"/>
              </w:rPr>
            </w:pPr>
            <w:r>
              <w:rPr>
                <w:sz w:val="19"/>
              </w:rPr>
              <w:t>Lease incentives</w:t>
            </w: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37"/>
              <w:ind w:left="826" w:right="65"/>
              <w:jc w:val="center"/>
              <w:rPr>
                <w:sz w:val="19"/>
              </w:rPr>
            </w:pPr>
            <w:r>
              <w:rPr>
                <w:sz w:val="19"/>
              </w:rPr>
              <w:t>22,324</w:t>
            </w:r>
          </w:p>
          <w:p>
            <w:pPr>
              <w:pStyle w:val="TableParagraph"/>
              <w:spacing w:before="109"/>
              <w:ind w:left="932" w:right="65"/>
              <w:jc w:val="center"/>
              <w:rPr>
                <w:sz w:val="19"/>
              </w:rPr>
            </w:pPr>
            <w:r>
              <w:rPr>
                <w:sz w:val="19"/>
              </w:rPr>
              <w:t>6,020</w:t>
            </w:r>
          </w:p>
        </w:tc>
        <w:tc>
          <w:tcPr>
            <w:tcW w:w="1558" w:type="dxa"/>
            <w:vMerge/>
            <w:tcBorders>
              <w:top w:val="nil"/>
              <w:bottom w:val="single" w:sz="4" w:space="0" w:color="000000"/>
            </w:tcBorders>
            <w:shd w:val="clear" w:color="auto" w:fill="E1E4BB"/>
          </w:tcPr>
          <w:p>
            <w:pPr>
              <w:rPr>
                <w:sz w:val="2"/>
                <w:szCs w:val="2"/>
              </w:rPr>
            </w:pPr>
          </w:p>
        </w:tc>
        <w:tc>
          <w:tcPr>
            <w:tcW w:w="1612" w:type="dxa"/>
            <w:vMerge/>
            <w:tcBorders>
              <w:top w:val="nil"/>
              <w:bottom w:val="single" w:sz="4" w:space="0" w:color="000000"/>
            </w:tcBorders>
            <w:shd w:val="clear" w:color="auto" w:fill="FFFFFF"/>
          </w:tcPr>
          <w:p>
            <w:pPr>
              <w:rPr>
                <w:sz w:val="2"/>
                <w:szCs w:val="2"/>
              </w:rPr>
            </w:pPr>
          </w:p>
        </w:tc>
        <w:tc>
          <w:tcPr>
            <w:tcW w:w="1495" w:type="dxa"/>
            <w:vMerge/>
            <w:tcBorders>
              <w:top w:val="nil"/>
              <w:bottom w:val="single" w:sz="4" w:space="0" w:color="000000"/>
            </w:tcBorders>
            <w:shd w:val="clear" w:color="auto" w:fill="FFFFFF"/>
          </w:tcPr>
          <w:p>
            <w:pPr>
              <w:rPr>
                <w:sz w:val="2"/>
                <w:szCs w:val="2"/>
              </w:rPr>
            </w:pPr>
          </w:p>
        </w:tc>
        <w:tc>
          <w:tcPr>
            <w:tcW w:w="1640" w:type="dxa"/>
            <w:vMerge/>
            <w:tcBorders>
              <w:top w:val="nil"/>
              <w:bottom w:val="single" w:sz="4" w:space="0" w:color="000000"/>
            </w:tcBorders>
            <w:shd w:val="clear" w:color="auto" w:fill="FFFFFF"/>
          </w:tcPr>
          <w:p>
            <w:pPr>
              <w:rPr>
                <w:sz w:val="2"/>
                <w:szCs w:val="2"/>
              </w:rPr>
            </w:pPr>
          </w:p>
        </w:tc>
      </w:tr>
      <w:tr>
        <w:trPr>
          <w:trHeight w:val="639" w:hRule="atLeast"/>
        </w:trPr>
        <w:tc>
          <w:tcPr>
            <w:tcW w:w="5896" w:type="dxa"/>
            <w:shd w:val="clear" w:color="auto" w:fill="FFFFFF"/>
          </w:tcPr>
          <w:p>
            <w:pPr>
              <w:pStyle w:val="TableParagraph"/>
              <w:spacing w:before="37"/>
              <w:ind w:left="124"/>
              <w:rPr>
                <w:sz w:val="19"/>
              </w:rPr>
            </w:pPr>
            <w:r>
              <w:rPr>
                <w:sz w:val="19"/>
              </w:rPr>
              <w:t>Provisions</w:t>
            </w:r>
          </w:p>
          <w:p>
            <w:pPr>
              <w:pStyle w:val="TableParagraph"/>
              <w:spacing w:before="109"/>
              <w:ind w:left="125"/>
              <w:rPr>
                <w:sz w:val="19"/>
              </w:rPr>
            </w:pPr>
            <w:r>
              <w:rPr>
                <w:sz w:val="19"/>
              </w:rPr>
              <w:t>Other current liabilities</w:t>
            </w:r>
          </w:p>
        </w:tc>
        <w:tc>
          <w:tcPr>
            <w:tcW w:w="1548" w:type="dxa"/>
            <w:shd w:val="clear" w:color="auto" w:fill="FFFFFF"/>
          </w:tcPr>
          <w:p>
            <w:pPr>
              <w:pStyle w:val="TableParagraph"/>
              <w:spacing w:before="0"/>
              <w:rPr>
                <w:rFonts w:ascii="Times New Roman"/>
                <w:sz w:val="20"/>
              </w:rPr>
            </w:pPr>
          </w:p>
        </w:tc>
        <w:tc>
          <w:tcPr>
            <w:tcW w:w="1548" w:type="dxa"/>
            <w:tcBorders>
              <w:bottom w:val="single" w:sz="4" w:space="0" w:color="000000"/>
            </w:tcBorders>
            <w:shd w:val="clear" w:color="auto" w:fill="FFFFFF"/>
          </w:tcPr>
          <w:p>
            <w:pPr>
              <w:pStyle w:val="TableParagraph"/>
              <w:spacing w:before="37"/>
              <w:ind w:left="864"/>
              <w:rPr>
                <w:sz w:val="19"/>
              </w:rPr>
            </w:pPr>
            <w:r>
              <w:rPr>
                <w:sz w:val="19"/>
              </w:rPr>
              <w:t>28,010</w:t>
            </w:r>
          </w:p>
          <w:p>
            <w:pPr>
              <w:pStyle w:val="TableParagraph"/>
              <w:spacing w:before="109"/>
              <w:ind w:left="864"/>
              <w:rPr>
                <w:sz w:val="19"/>
              </w:rPr>
            </w:pPr>
            <w:r>
              <w:rPr>
                <w:sz w:val="19"/>
              </w:rPr>
              <w:t>24,055</w:t>
            </w:r>
          </w:p>
        </w:tc>
        <w:tc>
          <w:tcPr>
            <w:tcW w:w="1558" w:type="dxa"/>
            <w:vMerge/>
            <w:tcBorders>
              <w:top w:val="nil"/>
              <w:bottom w:val="single" w:sz="4" w:space="0" w:color="000000"/>
            </w:tcBorders>
            <w:shd w:val="clear" w:color="auto" w:fill="E1E4BB"/>
          </w:tcPr>
          <w:p>
            <w:pPr>
              <w:rPr>
                <w:sz w:val="2"/>
                <w:szCs w:val="2"/>
              </w:rPr>
            </w:pPr>
          </w:p>
        </w:tc>
        <w:tc>
          <w:tcPr>
            <w:tcW w:w="1612" w:type="dxa"/>
            <w:vMerge/>
            <w:tcBorders>
              <w:top w:val="nil"/>
              <w:bottom w:val="single" w:sz="4" w:space="0" w:color="000000"/>
            </w:tcBorders>
            <w:shd w:val="clear" w:color="auto" w:fill="FFFFFF"/>
          </w:tcPr>
          <w:p>
            <w:pPr>
              <w:rPr>
                <w:sz w:val="2"/>
                <w:szCs w:val="2"/>
              </w:rPr>
            </w:pPr>
          </w:p>
        </w:tc>
        <w:tc>
          <w:tcPr>
            <w:tcW w:w="1495" w:type="dxa"/>
            <w:vMerge/>
            <w:tcBorders>
              <w:top w:val="nil"/>
              <w:bottom w:val="single" w:sz="4" w:space="0" w:color="000000"/>
            </w:tcBorders>
            <w:shd w:val="clear" w:color="auto" w:fill="FFFFFF"/>
          </w:tcPr>
          <w:p>
            <w:pPr>
              <w:rPr>
                <w:sz w:val="2"/>
                <w:szCs w:val="2"/>
              </w:rPr>
            </w:pPr>
          </w:p>
        </w:tc>
        <w:tc>
          <w:tcPr>
            <w:tcW w:w="1640" w:type="dxa"/>
            <w:vMerge/>
            <w:tcBorders>
              <w:top w:val="nil"/>
              <w:bottom w:val="single" w:sz="4" w:space="0" w:color="000000"/>
            </w:tcBorders>
            <w:shd w:val="clear" w:color="auto" w:fill="FFFFFF"/>
          </w:tcPr>
          <w:p>
            <w:pPr>
              <w:rPr>
                <w:sz w:val="2"/>
                <w:szCs w:val="2"/>
              </w:rPr>
            </w:pPr>
          </w:p>
        </w:tc>
      </w:tr>
      <w:tr>
        <w:trPr>
          <w:trHeight w:val="307" w:hRule="atLeast"/>
        </w:trPr>
        <w:tc>
          <w:tcPr>
            <w:tcW w:w="5896"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4" w:space="0" w:color="000000"/>
              <w:left w:val="single" w:sz="8" w:space="0" w:color="FFFFFF"/>
              <w:bottom w:val="single" w:sz="4" w:space="0" w:color="000000"/>
            </w:tcBorders>
            <w:shd w:val="clear" w:color="auto" w:fill="F4F4F4"/>
          </w:tcPr>
          <w:p>
            <w:pPr>
              <w:pStyle w:val="TableParagraph"/>
              <w:ind w:right="101"/>
              <w:jc w:val="right"/>
              <w:rPr>
                <w:b/>
                <w:sz w:val="19"/>
              </w:rPr>
            </w:pPr>
            <w:r>
              <w:rPr>
                <w:b/>
                <w:w w:val="95"/>
                <w:sz w:val="19"/>
              </w:rPr>
              <w:t>352,323</w:t>
            </w:r>
          </w:p>
        </w:tc>
        <w:tc>
          <w:tcPr>
            <w:tcW w:w="1558" w:type="dxa"/>
            <w:tcBorders>
              <w:top w:val="single" w:sz="4" w:space="0" w:color="000000"/>
              <w:bottom w:val="single" w:sz="4" w:space="0" w:color="000000"/>
            </w:tcBorders>
            <w:shd w:val="clear" w:color="auto" w:fill="DFE1B8"/>
          </w:tcPr>
          <w:p>
            <w:pPr>
              <w:pStyle w:val="TableParagraph"/>
              <w:ind w:right="110"/>
              <w:jc w:val="right"/>
              <w:rPr>
                <w:b/>
                <w:sz w:val="19"/>
              </w:rPr>
            </w:pPr>
            <w:r>
              <w:rPr>
                <w:b/>
                <w:w w:val="95"/>
                <w:sz w:val="19"/>
              </w:rPr>
              <w:t>205,228</w:t>
            </w:r>
          </w:p>
        </w:tc>
        <w:tc>
          <w:tcPr>
            <w:tcW w:w="1612" w:type="dxa"/>
            <w:tcBorders>
              <w:top w:val="single" w:sz="4" w:space="0" w:color="000000"/>
              <w:bottom w:val="single" w:sz="4" w:space="0" w:color="000000"/>
            </w:tcBorders>
          </w:tcPr>
          <w:p>
            <w:pPr>
              <w:pStyle w:val="TableParagraph"/>
              <w:ind w:right="174"/>
              <w:jc w:val="right"/>
              <w:rPr>
                <w:b/>
                <w:sz w:val="19"/>
              </w:rPr>
            </w:pPr>
            <w:r>
              <w:rPr>
                <w:b/>
                <w:w w:val="95"/>
                <w:sz w:val="19"/>
              </w:rPr>
              <w:t>370,217</w:t>
            </w:r>
          </w:p>
        </w:tc>
        <w:tc>
          <w:tcPr>
            <w:tcW w:w="1495" w:type="dxa"/>
            <w:tcBorders>
              <w:top w:val="single" w:sz="4" w:space="0" w:color="000000"/>
              <w:bottom w:val="single" w:sz="4" w:space="0" w:color="000000"/>
            </w:tcBorders>
          </w:tcPr>
          <w:p>
            <w:pPr>
              <w:pStyle w:val="TableParagraph"/>
              <w:ind w:right="121"/>
              <w:jc w:val="right"/>
              <w:rPr>
                <w:b/>
                <w:sz w:val="19"/>
              </w:rPr>
            </w:pPr>
            <w:r>
              <w:rPr>
                <w:b/>
                <w:w w:val="95"/>
                <w:sz w:val="19"/>
              </w:rPr>
              <w:t>(147,095)</w:t>
            </w:r>
          </w:p>
        </w:tc>
        <w:tc>
          <w:tcPr>
            <w:tcW w:w="1640" w:type="dxa"/>
            <w:tcBorders>
              <w:top w:val="single" w:sz="4" w:space="0" w:color="000000"/>
              <w:bottom w:val="single" w:sz="4" w:space="0" w:color="000000"/>
            </w:tcBorders>
          </w:tcPr>
          <w:p>
            <w:pPr>
              <w:pStyle w:val="TableParagraph"/>
              <w:ind w:right="100"/>
              <w:jc w:val="right"/>
              <w:rPr>
                <w:b/>
                <w:sz w:val="19"/>
              </w:rPr>
            </w:pPr>
            <w:r>
              <w:rPr>
                <w:b/>
                <w:w w:val="95"/>
                <w:sz w:val="19"/>
              </w:rPr>
              <w:t>(164,989)</w:t>
            </w:r>
          </w:p>
        </w:tc>
      </w:tr>
    </w:tbl>
    <w:p>
      <w:pPr>
        <w:spacing w:after="0"/>
        <w:jc w:val="right"/>
        <w:rPr>
          <w:sz w:val="19"/>
        </w:rPr>
        <w:sectPr>
          <w:footerReference w:type="default" r:id="rId233"/>
          <w:pgSz w:w="16840" w:h="11910" w:orient="landscape"/>
          <w:pgMar w:footer="448" w:header="0" w:top="0" w:bottom="640" w:left="0" w:right="0"/>
        </w:sectPr>
      </w:pPr>
    </w:p>
    <w:p>
      <w:pPr>
        <w:pStyle w:val="BodyText"/>
        <w:ind w:left="2397"/>
        <w:rPr>
          <w:sz w:val="20"/>
        </w:rPr>
      </w:pPr>
      <w:bookmarkStart w:name="_bookmark55" w:id="57"/>
      <w:bookmarkEnd w:id="57"/>
      <w:r>
        <w:rPr/>
      </w: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pPr>
    </w:p>
    <w:p>
      <w:pPr>
        <w:spacing w:before="93"/>
        <w:ind w:left="765" w:right="0" w:firstLine="0"/>
        <w:jc w:val="left"/>
        <w:rPr>
          <w:sz w:val="72"/>
        </w:rPr>
      </w:pPr>
      <w:r>
        <w:rPr/>
        <w:pict>
          <v:group style="position:absolute;margin-left:763.172119pt;margin-top:-3.544212pt;width:61.1pt;height:45.2pt;mso-position-horizontal-relative:page;mso-position-vertical-relative:paragraph;z-index:25072"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422;top:379;width:2;height:4" coordorigin="15423,379" coordsize="2,4" path="m15424,379l15423,381,15424,382,15424,379xe" filled="true" fillcolor="#b9c369" stroked="false">
              <v:path arrowok="t"/>
              <v:fill type="solid"/>
            </v:shape>
            <v:shape style="position:absolute;left:16324;top:379;width:2;height:4" coordorigin="16324,379" coordsize="2,4" path="m16324,379l16324,382,16326,381,16324,379xe" filled="true" fillcolor="#bec29e"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25120" coordorigin="0,-1146" coordsize="2406,851">
            <v:rect style="position:absolute;left:0;top:-1147;width:2406;height:851" filled="true" fillcolor="#aebd37" stroked="false">
              <v:fill type="solid"/>
            </v:rect>
            <v:shape style="position:absolute;left:0;top:-1147;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25216"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sz w:val="72"/>
        </w:rPr>
        <w:t>Notes </w:t>
      </w:r>
      <w:r>
        <w:rPr>
          <w:color w:val="6F2770"/>
          <w:spacing w:val="-17"/>
          <w:sz w:val="72"/>
        </w:rPr>
        <w:t>to </w:t>
      </w:r>
      <w:r>
        <w:rPr>
          <w:color w:val="6F2770"/>
          <w:spacing w:val="-10"/>
          <w:sz w:val="72"/>
        </w:rPr>
        <w:t>the </w:t>
      </w:r>
      <w:r>
        <w:rPr>
          <w:color w:val="6F2770"/>
          <w:spacing w:val="-14"/>
          <w:sz w:val="72"/>
        </w:rPr>
        <w:t>Financial</w:t>
      </w:r>
      <w:r>
        <w:rPr>
          <w:color w:val="6F2770"/>
          <w:spacing w:val="-89"/>
          <w:sz w:val="72"/>
        </w:rPr>
        <w:t> </w:t>
      </w:r>
      <w:r>
        <w:rPr>
          <w:color w:val="6F2770"/>
          <w:spacing w:val="-17"/>
          <w:sz w:val="72"/>
        </w:rPr>
        <w:t>Statements</w:t>
      </w:r>
    </w:p>
    <w:p>
      <w:pPr>
        <w:spacing w:before="29"/>
        <w:ind w:left="765" w:right="0" w:firstLine="0"/>
        <w:jc w:val="left"/>
        <w:rPr>
          <w:sz w:val="36"/>
        </w:rPr>
      </w:pPr>
      <w:r>
        <w:rPr>
          <w:color w:val="A7BE39"/>
          <w:sz w:val="36"/>
        </w:rPr>
        <w:t>For the year ended 30 June 2017</w:t>
      </w:r>
    </w:p>
    <w:p>
      <w:pPr>
        <w:pStyle w:val="BodyText"/>
        <w:spacing w:before="7"/>
        <w:rPr>
          <w:sz w:val="28"/>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6"/>
        <w:gridCol w:w="1548"/>
        <w:gridCol w:w="1548"/>
        <w:gridCol w:w="1548"/>
        <w:gridCol w:w="1548"/>
        <w:gridCol w:w="1548"/>
        <w:gridCol w:w="1661"/>
      </w:tblGrid>
      <w:tr>
        <w:trPr>
          <w:trHeight w:val="1217" w:hRule="atLeast"/>
        </w:trPr>
        <w:tc>
          <w:tcPr>
            <w:tcW w:w="7444" w:type="dxa"/>
            <w:gridSpan w:val="2"/>
            <w:tcBorders>
              <w:left w:val="single" w:sz="8" w:space="0" w:color="FFFFFF"/>
            </w:tcBorders>
            <w:shd w:val="clear" w:color="auto" w:fill="783A79"/>
          </w:tcPr>
          <w:p>
            <w:pPr>
              <w:pStyle w:val="TableParagraph"/>
              <w:spacing w:before="42"/>
              <w:ind w:right="128"/>
              <w:jc w:val="right"/>
              <w:rPr>
                <w:b/>
                <w:sz w:val="19"/>
              </w:rPr>
            </w:pPr>
            <w:r>
              <w:rPr>
                <w:b/>
                <w:color w:val="FFFFFF"/>
                <w:sz w:val="19"/>
              </w:rPr>
              <w:t>Variance Note</w:t>
            </w:r>
          </w:p>
        </w:tc>
        <w:tc>
          <w:tcPr>
            <w:tcW w:w="1548" w:type="dxa"/>
            <w:shd w:val="clear" w:color="auto" w:fill="783A79"/>
          </w:tcPr>
          <w:p>
            <w:pPr>
              <w:pStyle w:val="TableParagraph"/>
              <w:spacing w:before="42"/>
              <w:ind w:left="170"/>
              <w:rPr>
                <w:b/>
                <w:sz w:val="19"/>
              </w:rPr>
            </w:pPr>
            <w:r>
              <w:rPr>
                <w:b/>
                <w:color w:val="FFFFFF"/>
                <w:sz w:val="19"/>
              </w:rPr>
              <w:t>Estimate</w:t>
            </w:r>
            <w:r>
              <w:rPr>
                <w:b/>
                <w:color w:val="FFFFFF"/>
                <w:spacing w:val="6"/>
                <w:sz w:val="19"/>
              </w:rPr>
              <w:t> </w:t>
            </w:r>
            <w:r>
              <w:rPr>
                <w:b/>
                <w:color w:val="FFFFFF"/>
                <w:sz w:val="19"/>
              </w:rPr>
              <w:t>2017</w:t>
            </w:r>
          </w:p>
          <w:p>
            <w:pPr>
              <w:pStyle w:val="TableParagraph"/>
              <w:spacing w:before="0"/>
              <w:rPr>
                <w:sz w:val="22"/>
              </w:rPr>
            </w:pPr>
          </w:p>
          <w:p>
            <w:pPr>
              <w:pStyle w:val="TableParagraph"/>
              <w:spacing w:before="0"/>
              <w:rPr>
                <w:sz w:val="22"/>
              </w:rPr>
            </w:pPr>
          </w:p>
          <w:p>
            <w:pPr>
              <w:pStyle w:val="TableParagraph"/>
              <w:spacing w:before="188"/>
              <w:ind w:left="1021"/>
              <w:rPr>
                <w:b/>
                <w:sz w:val="19"/>
              </w:rPr>
            </w:pPr>
            <w:r>
              <w:rPr>
                <w:b/>
                <w:color w:val="FFFFFF"/>
                <w:sz w:val="19"/>
              </w:rPr>
              <w:t>$000</w:t>
            </w:r>
          </w:p>
        </w:tc>
        <w:tc>
          <w:tcPr>
            <w:tcW w:w="1548" w:type="dxa"/>
            <w:shd w:val="clear" w:color="auto" w:fill="783A79"/>
          </w:tcPr>
          <w:p>
            <w:pPr>
              <w:pStyle w:val="TableParagraph"/>
              <w:spacing w:before="42"/>
              <w:ind w:left="391"/>
              <w:rPr>
                <w:b/>
                <w:sz w:val="19"/>
              </w:rPr>
            </w:pPr>
            <w:r>
              <w:rPr>
                <w:b/>
                <w:color w:val="FFFFFF"/>
                <w:sz w:val="19"/>
              </w:rPr>
              <w:t>Actual</w:t>
            </w:r>
            <w:r>
              <w:rPr>
                <w:b/>
                <w:color w:val="FFFFFF"/>
                <w:spacing w:val="-4"/>
                <w:sz w:val="19"/>
              </w:rPr>
              <w:t> </w:t>
            </w:r>
            <w:r>
              <w:rPr>
                <w:b/>
                <w:color w:val="FFFFFF"/>
                <w:sz w:val="19"/>
              </w:rPr>
              <w:t>2017</w:t>
            </w:r>
          </w:p>
          <w:p>
            <w:pPr>
              <w:pStyle w:val="TableParagraph"/>
              <w:spacing w:before="0"/>
              <w:rPr>
                <w:sz w:val="22"/>
              </w:rPr>
            </w:pPr>
          </w:p>
          <w:p>
            <w:pPr>
              <w:pStyle w:val="TableParagraph"/>
              <w:spacing w:before="0"/>
              <w:rPr>
                <w:sz w:val="22"/>
              </w:rPr>
            </w:pPr>
          </w:p>
          <w:p>
            <w:pPr>
              <w:pStyle w:val="TableParagraph"/>
              <w:spacing w:before="188"/>
              <w:ind w:left="1021"/>
              <w:rPr>
                <w:b/>
                <w:sz w:val="19"/>
              </w:rPr>
            </w:pPr>
            <w:r>
              <w:rPr>
                <w:b/>
                <w:color w:val="FFFFFF"/>
                <w:sz w:val="19"/>
              </w:rPr>
              <w:t>$000</w:t>
            </w:r>
          </w:p>
        </w:tc>
        <w:tc>
          <w:tcPr>
            <w:tcW w:w="1548" w:type="dxa"/>
            <w:shd w:val="clear" w:color="auto" w:fill="783A79"/>
          </w:tcPr>
          <w:p>
            <w:pPr>
              <w:pStyle w:val="TableParagraph"/>
              <w:spacing w:before="42"/>
              <w:ind w:left="391"/>
              <w:rPr>
                <w:b/>
                <w:sz w:val="19"/>
              </w:rPr>
            </w:pPr>
            <w:r>
              <w:rPr>
                <w:b/>
                <w:color w:val="FFFFFF"/>
                <w:sz w:val="19"/>
              </w:rPr>
              <w:t>Actual</w:t>
            </w:r>
            <w:r>
              <w:rPr>
                <w:b/>
                <w:color w:val="FFFFFF"/>
                <w:spacing w:val="-4"/>
                <w:sz w:val="19"/>
              </w:rPr>
              <w:t> </w:t>
            </w:r>
            <w:r>
              <w:rPr>
                <w:b/>
                <w:color w:val="FFFFFF"/>
                <w:sz w:val="19"/>
              </w:rPr>
              <w:t>2016</w:t>
            </w:r>
          </w:p>
          <w:p>
            <w:pPr>
              <w:pStyle w:val="TableParagraph"/>
              <w:spacing w:before="0"/>
              <w:rPr>
                <w:sz w:val="22"/>
              </w:rPr>
            </w:pPr>
          </w:p>
          <w:p>
            <w:pPr>
              <w:pStyle w:val="TableParagraph"/>
              <w:spacing w:before="0"/>
              <w:rPr>
                <w:sz w:val="22"/>
              </w:rPr>
            </w:pPr>
          </w:p>
          <w:p>
            <w:pPr>
              <w:pStyle w:val="TableParagraph"/>
              <w:spacing w:before="188"/>
              <w:ind w:left="1021"/>
              <w:rPr>
                <w:b/>
                <w:sz w:val="19"/>
              </w:rPr>
            </w:pPr>
            <w:r>
              <w:rPr>
                <w:b/>
                <w:color w:val="FFFFFF"/>
                <w:sz w:val="19"/>
              </w:rPr>
              <w:t>$000</w:t>
            </w:r>
          </w:p>
        </w:tc>
        <w:tc>
          <w:tcPr>
            <w:tcW w:w="1548" w:type="dxa"/>
            <w:shd w:val="clear" w:color="auto" w:fill="783A79"/>
          </w:tcPr>
          <w:p>
            <w:pPr>
              <w:pStyle w:val="TableParagraph"/>
              <w:spacing w:line="249" w:lineRule="auto" w:before="42"/>
              <w:ind w:left="268" w:right="102" w:firstLine="393"/>
              <w:jc w:val="right"/>
              <w:rPr>
                <w:b/>
                <w:sz w:val="19"/>
              </w:rPr>
            </w:pPr>
            <w:r>
              <w:rPr>
                <w:b/>
                <w:color w:val="FFFFFF"/>
                <w:spacing w:val="-2"/>
                <w:sz w:val="19"/>
              </w:rPr>
              <w:t>Variance </w:t>
            </w:r>
            <w:r>
              <w:rPr>
                <w:b/>
                <w:color w:val="FFFFFF"/>
                <w:sz w:val="19"/>
              </w:rPr>
              <w:t>between estimate</w:t>
            </w:r>
            <w:r>
              <w:rPr>
                <w:b/>
                <w:color w:val="FFFFFF"/>
                <w:spacing w:val="14"/>
                <w:sz w:val="19"/>
              </w:rPr>
              <w:t> </w:t>
            </w:r>
            <w:r>
              <w:rPr>
                <w:b/>
                <w:color w:val="FFFFFF"/>
                <w:spacing w:val="-6"/>
                <w:sz w:val="19"/>
              </w:rPr>
              <w:t>and</w:t>
            </w:r>
          </w:p>
          <w:p>
            <w:pPr>
              <w:pStyle w:val="TableParagraph"/>
              <w:spacing w:before="3"/>
              <w:ind w:right="102"/>
              <w:jc w:val="right"/>
              <w:rPr>
                <w:b/>
                <w:sz w:val="19"/>
              </w:rPr>
            </w:pPr>
            <w:r>
              <w:rPr>
                <w:b/>
                <w:color w:val="FFFFFF"/>
                <w:sz w:val="19"/>
              </w:rPr>
              <w:t>actual</w:t>
            </w:r>
          </w:p>
          <w:p>
            <w:pPr>
              <w:pStyle w:val="TableParagraph"/>
              <w:spacing w:before="9"/>
              <w:ind w:right="102"/>
              <w:jc w:val="right"/>
              <w:rPr>
                <w:b/>
                <w:sz w:val="19"/>
              </w:rPr>
            </w:pPr>
            <w:r>
              <w:rPr>
                <w:b/>
                <w:color w:val="FFFFFF"/>
                <w:w w:val="95"/>
                <w:sz w:val="19"/>
              </w:rPr>
              <w:t>$000</w:t>
            </w:r>
          </w:p>
        </w:tc>
        <w:tc>
          <w:tcPr>
            <w:tcW w:w="1661" w:type="dxa"/>
            <w:shd w:val="clear" w:color="auto" w:fill="783A79"/>
          </w:tcPr>
          <w:p>
            <w:pPr>
              <w:pStyle w:val="TableParagraph"/>
              <w:spacing w:line="249" w:lineRule="auto" w:before="42"/>
              <w:ind w:left="162" w:right="102" w:firstLine="612"/>
              <w:jc w:val="both"/>
              <w:rPr>
                <w:b/>
                <w:sz w:val="19"/>
              </w:rPr>
            </w:pPr>
            <w:r>
              <w:rPr>
                <w:b/>
                <w:color w:val="FFFFFF"/>
                <w:spacing w:val="-2"/>
                <w:sz w:val="19"/>
              </w:rPr>
              <w:t>Variance </w:t>
            </w:r>
            <w:r>
              <w:rPr>
                <w:b/>
                <w:color w:val="FFFFFF"/>
                <w:sz w:val="19"/>
              </w:rPr>
              <w:t>between actual results for</w:t>
            </w:r>
            <w:r>
              <w:rPr>
                <w:b/>
                <w:color w:val="FFFFFF"/>
                <w:spacing w:val="-12"/>
                <w:sz w:val="19"/>
              </w:rPr>
              <w:t> </w:t>
            </w:r>
            <w:r>
              <w:rPr>
                <w:b/>
                <w:color w:val="FFFFFF"/>
                <w:spacing w:val="-4"/>
                <w:sz w:val="19"/>
              </w:rPr>
              <w:t>2017</w:t>
            </w:r>
          </w:p>
          <w:p>
            <w:pPr>
              <w:pStyle w:val="TableParagraph"/>
              <w:spacing w:before="3"/>
              <w:ind w:right="102"/>
              <w:jc w:val="right"/>
              <w:rPr>
                <w:b/>
                <w:sz w:val="19"/>
              </w:rPr>
            </w:pPr>
            <w:r>
              <w:rPr>
                <w:b/>
                <w:color w:val="FFFFFF"/>
                <w:sz w:val="19"/>
              </w:rPr>
              <w:t>and</w:t>
            </w:r>
            <w:r>
              <w:rPr>
                <w:b/>
                <w:color w:val="FFFFFF"/>
                <w:spacing w:val="-1"/>
                <w:sz w:val="19"/>
              </w:rPr>
              <w:t> </w:t>
            </w:r>
            <w:r>
              <w:rPr>
                <w:b/>
                <w:color w:val="FFFFFF"/>
                <w:sz w:val="19"/>
              </w:rPr>
              <w:t>2016</w:t>
            </w:r>
          </w:p>
          <w:p>
            <w:pPr>
              <w:pStyle w:val="TableParagraph"/>
              <w:spacing w:before="9"/>
              <w:ind w:right="102"/>
              <w:jc w:val="right"/>
              <w:rPr>
                <w:b/>
                <w:sz w:val="19"/>
              </w:rPr>
            </w:pPr>
            <w:r>
              <w:rPr>
                <w:b/>
                <w:color w:val="FFFFFF"/>
                <w:w w:val="95"/>
                <w:sz w:val="19"/>
              </w:rPr>
              <w:t>$000</w:t>
            </w:r>
          </w:p>
        </w:tc>
      </w:tr>
      <w:tr>
        <w:trPr>
          <w:trHeight w:val="649" w:hRule="atLeast"/>
        </w:trPr>
        <w:tc>
          <w:tcPr>
            <w:tcW w:w="5896" w:type="dxa"/>
            <w:shd w:val="clear" w:color="auto" w:fill="FFFFFF"/>
          </w:tcPr>
          <w:p>
            <w:pPr>
              <w:pStyle w:val="TableParagraph"/>
              <w:spacing w:before="42"/>
              <w:ind w:left="123"/>
              <w:rPr>
                <w:i/>
                <w:sz w:val="19"/>
              </w:rPr>
            </w:pPr>
            <w:r>
              <w:rPr>
                <w:i/>
                <w:color w:val="A7BE39"/>
                <w:sz w:val="19"/>
              </w:rPr>
              <w:t>Non-current liabilities</w:t>
            </w:r>
          </w:p>
          <w:p>
            <w:pPr>
              <w:pStyle w:val="TableParagraph"/>
              <w:spacing w:before="109"/>
              <w:ind w:left="123"/>
              <w:rPr>
                <w:sz w:val="19"/>
              </w:rPr>
            </w:pPr>
            <w:r>
              <w:rPr>
                <w:sz w:val="19"/>
              </w:rPr>
              <w:t>Borrowings</w:t>
            </w: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1"/>
              <w:rPr>
                <w:sz w:val="32"/>
              </w:rPr>
            </w:pPr>
          </w:p>
          <w:p>
            <w:pPr>
              <w:pStyle w:val="TableParagraph"/>
              <w:spacing w:before="0"/>
              <w:ind w:right="101"/>
              <w:jc w:val="right"/>
              <w:rPr>
                <w:sz w:val="19"/>
              </w:rPr>
            </w:pPr>
            <w:r>
              <w:rPr>
                <w:w w:val="95"/>
                <w:sz w:val="19"/>
              </w:rPr>
              <w:t>89,300</w:t>
            </w:r>
          </w:p>
        </w:tc>
        <w:tc>
          <w:tcPr>
            <w:tcW w:w="1548" w:type="dxa"/>
            <w:vMerge w:val="restart"/>
            <w:tcBorders>
              <w:bottom w:val="single" w:sz="4" w:space="0" w:color="000000"/>
            </w:tcBorders>
            <w:shd w:val="clear" w:color="auto" w:fill="E1E4BB"/>
          </w:tcPr>
          <w:p>
            <w:pPr>
              <w:pStyle w:val="TableParagraph"/>
              <w:spacing w:before="1"/>
              <w:rPr>
                <w:sz w:val="32"/>
              </w:rPr>
            </w:pPr>
          </w:p>
          <w:p>
            <w:pPr>
              <w:pStyle w:val="TableParagraph"/>
              <w:spacing w:before="0"/>
              <w:ind w:left="824" w:right="65"/>
              <w:jc w:val="center"/>
              <w:rPr>
                <w:sz w:val="19"/>
              </w:rPr>
            </w:pPr>
            <w:r>
              <w:rPr>
                <w:sz w:val="19"/>
              </w:rPr>
              <w:t>77,776</w:t>
            </w:r>
          </w:p>
          <w:p>
            <w:pPr>
              <w:pStyle w:val="TableParagraph"/>
              <w:spacing w:before="109"/>
              <w:ind w:left="930" w:right="65"/>
              <w:jc w:val="center"/>
              <w:rPr>
                <w:sz w:val="19"/>
              </w:rPr>
            </w:pPr>
            <w:r>
              <w:rPr>
                <w:sz w:val="19"/>
              </w:rPr>
              <w:t>6,360</w:t>
            </w:r>
          </w:p>
          <w:p>
            <w:pPr>
              <w:pStyle w:val="TableParagraph"/>
              <w:spacing w:before="109"/>
              <w:ind w:left="718" w:right="65"/>
              <w:jc w:val="center"/>
              <w:rPr>
                <w:sz w:val="19"/>
              </w:rPr>
            </w:pPr>
            <w:r>
              <w:rPr>
                <w:sz w:val="19"/>
              </w:rPr>
              <w:t>101,251</w:t>
            </w:r>
          </w:p>
        </w:tc>
        <w:tc>
          <w:tcPr>
            <w:tcW w:w="1548" w:type="dxa"/>
            <w:shd w:val="clear" w:color="auto" w:fill="FFFFFF"/>
          </w:tcPr>
          <w:p>
            <w:pPr>
              <w:pStyle w:val="TableParagraph"/>
              <w:spacing w:before="1"/>
              <w:rPr>
                <w:sz w:val="32"/>
              </w:rPr>
            </w:pPr>
          </w:p>
          <w:p>
            <w:pPr>
              <w:pStyle w:val="TableParagraph"/>
              <w:spacing w:before="0"/>
              <w:ind w:right="102"/>
              <w:jc w:val="right"/>
              <w:rPr>
                <w:sz w:val="19"/>
              </w:rPr>
            </w:pPr>
            <w:r>
              <w:rPr>
                <w:w w:val="95"/>
                <w:sz w:val="19"/>
              </w:rPr>
              <w:t>98,014</w:t>
            </w:r>
          </w:p>
        </w:tc>
        <w:tc>
          <w:tcPr>
            <w:tcW w:w="1548" w:type="dxa"/>
            <w:shd w:val="clear" w:color="auto" w:fill="FFFFFF"/>
          </w:tcPr>
          <w:p>
            <w:pPr>
              <w:pStyle w:val="TableParagraph"/>
              <w:spacing w:before="1"/>
              <w:rPr>
                <w:sz w:val="32"/>
              </w:rPr>
            </w:pPr>
          </w:p>
          <w:p>
            <w:pPr>
              <w:pStyle w:val="TableParagraph"/>
              <w:spacing w:before="0"/>
              <w:ind w:right="102"/>
              <w:jc w:val="right"/>
              <w:rPr>
                <w:sz w:val="19"/>
              </w:rPr>
            </w:pPr>
            <w:r>
              <w:rPr>
                <w:w w:val="95"/>
                <w:sz w:val="19"/>
              </w:rPr>
              <w:t>(11,524)</w:t>
            </w:r>
          </w:p>
        </w:tc>
        <w:tc>
          <w:tcPr>
            <w:tcW w:w="1661" w:type="dxa"/>
            <w:shd w:val="clear" w:color="auto" w:fill="FFFFFF"/>
          </w:tcPr>
          <w:p>
            <w:pPr>
              <w:pStyle w:val="TableParagraph"/>
              <w:spacing w:before="1"/>
              <w:rPr>
                <w:sz w:val="32"/>
              </w:rPr>
            </w:pPr>
          </w:p>
          <w:p>
            <w:pPr>
              <w:pStyle w:val="TableParagraph"/>
              <w:spacing w:before="0"/>
              <w:ind w:right="102"/>
              <w:jc w:val="right"/>
              <w:rPr>
                <w:sz w:val="19"/>
              </w:rPr>
            </w:pPr>
            <w:r>
              <w:rPr>
                <w:w w:val="95"/>
                <w:sz w:val="19"/>
              </w:rPr>
              <w:t>(20,238)</w:t>
            </w:r>
          </w:p>
        </w:tc>
      </w:tr>
      <w:tr>
        <w:trPr>
          <w:trHeight w:val="644" w:hRule="atLeast"/>
        </w:trPr>
        <w:tc>
          <w:tcPr>
            <w:tcW w:w="5896" w:type="dxa"/>
            <w:shd w:val="clear" w:color="auto" w:fill="FFFFFF"/>
          </w:tcPr>
          <w:p>
            <w:pPr>
              <w:pStyle w:val="TableParagraph"/>
              <w:spacing w:before="37"/>
              <w:ind w:left="123"/>
              <w:rPr>
                <w:sz w:val="19"/>
              </w:rPr>
            </w:pPr>
            <w:r>
              <w:rPr>
                <w:sz w:val="19"/>
              </w:rPr>
              <w:t>Provisions</w:t>
            </w:r>
          </w:p>
          <w:p>
            <w:pPr>
              <w:pStyle w:val="TableParagraph"/>
              <w:spacing w:before="109"/>
              <w:ind w:left="124"/>
              <w:rPr>
                <w:sz w:val="19"/>
              </w:rPr>
            </w:pPr>
            <w:r>
              <w:rPr>
                <w:sz w:val="19"/>
              </w:rPr>
              <w:t>Lease incentives</w:t>
            </w:r>
          </w:p>
        </w:tc>
        <w:tc>
          <w:tcPr>
            <w:tcW w:w="1548" w:type="dxa"/>
            <w:shd w:val="clear" w:color="auto" w:fill="FFFFFF"/>
          </w:tcPr>
          <w:p>
            <w:pPr>
              <w:pStyle w:val="TableParagraph"/>
              <w:spacing w:before="8"/>
              <w:rPr>
                <w:sz w:val="31"/>
              </w:rPr>
            </w:pPr>
          </w:p>
          <w:p>
            <w:pPr>
              <w:pStyle w:val="TableParagraph"/>
              <w:spacing w:before="0"/>
              <w:ind w:left="19"/>
              <w:jc w:val="center"/>
              <w:rPr>
                <w:sz w:val="19"/>
              </w:rPr>
            </w:pPr>
            <w:hyperlink w:history="true" w:anchor="_bookmark55">
              <w:r>
                <w:rPr>
                  <w:color w:val="A7BE39"/>
                  <w:w w:val="99"/>
                  <w:sz w:val="19"/>
                  <w:u w:val="single" w:color="A7BE39"/>
                </w:rPr>
                <w:t>3</w:t>
              </w:r>
            </w:hyperlink>
          </w:p>
        </w:tc>
        <w:tc>
          <w:tcPr>
            <w:tcW w:w="1548" w:type="dxa"/>
            <w:tcBorders>
              <w:bottom w:val="single" w:sz="4" w:space="0" w:color="000000"/>
            </w:tcBorders>
            <w:shd w:val="clear" w:color="auto" w:fill="FFFFFF"/>
          </w:tcPr>
          <w:p>
            <w:pPr>
              <w:pStyle w:val="TableParagraph"/>
              <w:spacing w:before="37"/>
              <w:ind w:left="930" w:right="65"/>
              <w:jc w:val="center"/>
              <w:rPr>
                <w:sz w:val="19"/>
              </w:rPr>
            </w:pPr>
            <w:r>
              <w:rPr>
                <w:sz w:val="19"/>
              </w:rPr>
              <w:t>7,265</w:t>
            </w:r>
          </w:p>
          <w:p>
            <w:pPr>
              <w:pStyle w:val="TableParagraph"/>
              <w:spacing w:before="109"/>
              <w:ind w:left="824" w:right="65"/>
              <w:jc w:val="center"/>
              <w:rPr>
                <w:sz w:val="19"/>
              </w:rPr>
            </w:pPr>
            <w:r>
              <w:rPr>
                <w:sz w:val="19"/>
              </w:rPr>
              <w:t>41,524</w:t>
            </w:r>
          </w:p>
        </w:tc>
        <w:tc>
          <w:tcPr>
            <w:tcW w:w="1548" w:type="dxa"/>
            <w:vMerge/>
            <w:tcBorders>
              <w:top w:val="nil"/>
              <w:bottom w:val="single" w:sz="4" w:space="0" w:color="000000"/>
            </w:tcBorders>
            <w:shd w:val="clear" w:color="auto" w:fill="E1E4BB"/>
          </w:tcPr>
          <w:p>
            <w:pPr>
              <w:rPr>
                <w:sz w:val="2"/>
                <w:szCs w:val="2"/>
              </w:rPr>
            </w:pPr>
          </w:p>
        </w:tc>
        <w:tc>
          <w:tcPr>
            <w:tcW w:w="1548" w:type="dxa"/>
            <w:tcBorders>
              <w:bottom w:val="single" w:sz="4" w:space="0" w:color="000000"/>
            </w:tcBorders>
            <w:shd w:val="clear" w:color="auto" w:fill="FFFFFF"/>
          </w:tcPr>
          <w:p>
            <w:pPr>
              <w:pStyle w:val="TableParagraph"/>
              <w:spacing w:before="37"/>
              <w:ind w:left="929" w:right="65"/>
              <w:jc w:val="center"/>
              <w:rPr>
                <w:sz w:val="19"/>
              </w:rPr>
            </w:pPr>
            <w:r>
              <w:rPr>
                <w:sz w:val="19"/>
              </w:rPr>
              <w:t>6,869</w:t>
            </w:r>
          </w:p>
          <w:p>
            <w:pPr>
              <w:pStyle w:val="TableParagraph"/>
              <w:spacing w:before="109"/>
              <w:ind w:left="823" w:right="65"/>
              <w:jc w:val="center"/>
              <w:rPr>
                <w:sz w:val="19"/>
              </w:rPr>
            </w:pPr>
            <w:r>
              <w:rPr>
                <w:sz w:val="19"/>
              </w:rPr>
              <w:t>85,349</w:t>
            </w:r>
          </w:p>
        </w:tc>
        <w:tc>
          <w:tcPr>
            <w:tcW w:w="1548" w:type="dxa"/>
            <w:tcBorders>
              <w:bottom w:val="single" w:sz="4" w:space="0" w:color="000000"/>
            </w:tcBorders>
            <w:shd w:val="clear" w:color="auto" w:fill="FFFFFF"/>
          </w:tcPr>
          <w:p>
            <w:pPr>
              <w:pStyle w:val="TableParagraph"/>
              <w:spacing w:before="37"/>
              <w:ind w:right="102"/>
              <w:jc w:val="right"/>
              <w:rPr>
                <w:sz w:val="19"/>
              </w:rPr>
            </w:pPr>
            <w:r>
              <w:rPr>
                <w:w w:val="90"/>
                <w:sz w:val="19"/>
              </w:rPr>
              <w:t>(905)</w:t>
            </w:r>
          </w:p>
          <w:p>
            <w:pPr>
              <w:pStyle w:val="TableParagraph"/>
              <w:spacing w:before="109"/>
              <w:ind w:right="102"/>
              <w:jc w:val="right"/>
              <w:rPr>
                <w:sz w:val="19"/>
              </w:rPr>
            </w:pPr>
            <w:r>
              <w:rPr>
                <w:spacing w:val="-1"/>
                <w:sz w:val="19"/>
              </w:rPr>
              <w:t>59,727</w:t>
            </w:r>
          </w:p>
        </w:tc>
        <w:tc>
          <w:tcPr>
            <w:tcW w:w="1661" w:type="dxa"/>
            <w:tcBorders>
              <w:bottom w:val="single" w:sz="4" w:space="0" w:color="000000"/>
            </w:tcBorders>
            <w:shd w:val="clear" w:color="auto" w:fill="FFFFFF"/>
          </w:tcPr>
          <w:p>
            <w:pPr>
              <w:pStyle w:val="TableParagraph"/>
              <w:spacing w:before="37"/>
              <w:ind w:right="102"/>
              <w:jc w:val="right"/>
              <w:rPr>
                <w:sz w:val="19"/>
              </w:rPr>
            </w:pPr>
            <w:r>
              <w:rPr>
                <w:w w:val="90"/>
                <w:sz w:val="19"/>
              </w:rPr>
              <w:t>(509)</w:t>
            </w:r>
          </w:p>
          <w:p>
            <w:pPr>
              <w:pStyle w:val="TableParagraph"/>
              <w:spacing w:before="109"/>
              <w:ind w:right="102"/>
              <w:jc w:val="right"/>
              <w:rPr>
                <w:sz w:val="19"/>
              </w:rPr>
            </w:pPr>
            <w:r>
              <w:rPr>
                <w:spacing w:val="-1"/>
                <w:sz w:val="19"/>
              </w:rPr>
              <w:t>15,902</w:t>
            </w:r>
          </w:p>
        </w:tc>
      </w:tr>
      <w:tr>
        <w:trPr>
          <w:trHeight w:val="317" w:hRule="atLeast"/>
        </w:trPr>
        <w:tc>
          <w:tcPr>
            <w:tcW w:w="5896" w:type="dxa"/>
            <w:vMerge w:val="restart"/>
            <w:shd w:val="clear" w:color="auto" w:fill="FFFFFF"/>
          </w:tcPr>
          <w:p>
            <w:pPr>
              <w:pStyle w:val="TableParagraph"/>
              <w:spacing w:before="37"/>
              <w:ind w:left="123"/>
              <w:rPr>
                <w:b/>
                <w:sz w:val="19"/>
              </w:rPr>
            </w:pPr>
            <w:r>
              <w:rPr>
                <w:b/>
                <w:sz w:val="19"/>
              </w:rPr>
              <w:t>Total non-current liabilities</w:t>
            </w:r>
          </w:p>
          <w:p>
            <w:pPr>
              <w:pStyle w:val="TableParagraph"/>
              <w:spacing w:before="109"/>
              <w:ind w:left="123"/>
              <w:rPr>
                <w:b/>
                <w:sz w:val="19"/>
              </w:rPr>
            </w:pPr>
            <w:r>
              <w:rPr>
                <w:b/>
                <w:sz w:val="19"/>
              </w:rPr>
              <w:t>Total liabilities</w:t>
            </w:r>
          </w:p>
        </w:tc>
        <w:tc>
          <w:tcPr>
            <w:tcW w:w="1548" w:type="dxa"/>
            <w:vMerge w:val="restart"/>
            <w:shd w:val="clear" w:color="auto" w:fill="FFFFFF"/>
          </w:tcPr>
          <w:p>
            <w:pPr>
              <w:pStyle w:val="TableParagraph"/>
              <w:spacing w:before="0"/>
              <w:rPr>
                <w:rFonts w:ascii="Times New Roman"/>
                <w:sz w:val="20"/>
              </w:rPr>
            </w:pPr>
          </w:p>
        </w:tc>
        <w:tc>
          <w:tcPr>
            <w:tcW w:w="1548" w:type="dxa"/>
            <w:tcBorders>
              <w:top w:val="single" w:sz="4" w:space="0" w:color="000000"/>
              <w:left w:val="single" w:sz="8" w:space="0" w:color="FFFFFF"/>
              <w:bottom w:val="single" w:sz="4" w:space="0" w:color="58595B"/>
            </w:tcBorders>
            <w:shd w:val="clear" w:color="auto" w:fill="F4F4F4"/>
          </w:tcPr>
          <w:p>
            <w:pPr>
              <w:pStyle w:val="TableParagraph"/>
              <w:spacing w:before="37"/>
              <w:ind w:right="101"/>
              <w:jc w:val="right"/>
              <w:rPr>
                <w:b/>
                <w:sz w:val="19"/>
              </w:rPr>
            </w:pPr>
            <w:r>
              <w:rPr>
                <w:b/>
                <w:w w:val="95"/>
                <w:sz w:val="19"/>
              </w:rPr>
              <w:t>138,089</w:t>
            </w:r>
          </w:p>
        </w:tc>
        <w:tc>
          <w:tcPr>
            <w:tcW w:w="1548" w:type="dxa"/>
            <w:tcBorders>
              <w:top w:val="single" w:sz="4" w:space="0" w:color="000000"/>
              <w:bottom w:val="single" w:sz="4" w:space="0" w:color="58595B"/>
            </w:tcBorders>
            <w:shd w:val="clear" w:color="auto" w:fill="DFE1B8"/>
          </w:tcPr>
          <w:p>
            <w:pPr>
              <w:pStyle w:val="TableParagraph"/>
              <w:spacing w:before="37"/>
              <w:ind w:right="101"/>
              <w:jc w:val="right"/>
              <w:rPr>
                <w:b/>
                <w:sz w:val="19"/>
              </w:rPr>
            </w:pPr>
            <w:r>
              <w:rPr>
                <w:b/>
                <w:w w:val="95"/>
                <w:sz w:val="19"/>
              </w:rPr>
              <w:t>185,387</w:t>
            </w:r>
          </w:p>
        </w:tc>
        <w:tc>
          <w:tcPr>
            <w:tcW w:w="1548" w:type="dxa"/>
            <w:tcBorders>
              <w:top w:val="single" w:sz="4" w:space="0" w:color="000000"/>
              <w:bottom w:val="single" w:sz="4" w:space="0" w:color="58595B"/>
              <w:right w:val="single" w:sz="8" w:space="0" w:color="FFFFFF"/>
            </w:tcBorders>
            <w:shd w:val="clear" w:color="auto" w:fill="F4F4F4"/>
          </w:tcPr>
          <w:p>
            <w:pPr>
              <w:pStyle w:val="TableParagraph"/>
              <w:spacing w:before="37"/>
              <w:ind w:right="92"/>
              <w:jc w:val="right"/>
              <w:rPr>
                <w:b/>
                <w:sz w:val="19"/>
              </w:rPr>
            </w:pPr>
            <w:r>
              <w:rPr>
                <w:b/>
                <w:w w:val="95"/>
                <w:sz w:val="19"/>
              </w:rPr>
              <w:t>190,232</w:t>
            </w:r>
          </w:p>
        </w:tc>
        <w:tc>
          <w:tcPr>
            <w:tcW w:w="1548" w:type="dxa"/>
            <w:tcBorders>
              <w:top w:val="single" w:sz="4" w:space="0" w:color="000000"/>
              <w:left w:val="single" w:sz="8" w:space="0" w:color="FFFFFF"/>
              <w:bottom w:val="single" w:sz="4" w:space="0" w:color="58595B"/>
              <w:right w:val="single" w:sz="8" w:space="0" w:color="FFFFFF"/>
            </w:tcBorders>
            <w:shd w:val="clear" w:color="auto" w:fill="F4F4F4"/>
          </w:tcPr>
          <w:p>
            <w:pPr>
              <w:pStyle w:val="TableParagraph"/>
              <w:spacing w:before="37"/>
              <w:ind w:right="92"/>
              <w:jc w:val="right"/>
              <w:rPr>
                <w:b/>
                <w:sz w:val="19"/>
              </w:rPr>
            </w:pPr>
            <w:r>
              <w:rPr>
                <w:b/>
                <w:w w:val="95"/>
                <w:sz w:val="19"/>
              </w:rPr>
              <w:t>47,298</w:t>
            </w:r>
          </w:p>
        </w:tc>
        <w:tc>
          <w:tcPr>
            <w:tcW w:w="1661" w:type="dxa"/>
            <w:tcBorders>
              <w:top w:val="single" w:sz="4" w:space="0" w:color="000000"/>
              <w:left w:val="single" w:sz="8" w:space="0" w:color="FFFFFF"/>
              <w:bottom w:val="single" w:sz="4" w:space="0" w:color="58595B"/>
            </w:tcBorders>
            <w:shd w:val="clear" w:color="auto" w:fill="F4F4F4"/>
          </w:tcPr>
          <w:p>
            <w:pPr>
              <w:pStyle w:val="TableParagraph"/>
              <w:spacing w:before="37"/>
              <w:ind w:right="102"/>
              <w:jc w:val="right"/>
              <w:rPr>
                <w:b/>
                <w:sz w:val="19"/>
              </w:rPr>
            </w:pPr>
            <w:r>
              <w:rPr>
                <w:b/>
                <w:w w:val="95"/>
                <w:sz w:val="19"/>
              </w:rPr>
              <w:t>(4,845)</w:t>
            </w:r>
          </w:p>
        </w:tc>
      </w:tr>
      <w:tr>
        <w:trPr>
          <w:trHeight w:val="317" w:hRule="atLeast"/>
        </w:trPr>
        <w:tc>
          <w:tcPr>
            <w:tcW w:w="5896" w:type="dxa"/>
            <w:vMerge/>
            <w:tcBorders>
              <w:top w:val="nil"/>
            </w:tcBorders>
            <w:shd w:val="clear" w:color="auto" w:fill="FFFFFF"/>
          </w:tcPr>
          <w:p>
            <w:pPr>
              <w:rPr>
                <w:sz w:val="2"/>
                <w:szCs w:val="2"/>
              </w:rPr>
            </w:pPr>
          </w:p>
        </w:tc>
        <w:tc>
          <w:tcPr>
            <w:tcW w:w="1548" w:type="dxa"/>
            <w:vMerge/>
            <w:tcBorders>
              <w:top w:val="nil"/>
            </w:tcBorders>
            <w:shd w:val="clear" w:color="auto" w:fill="FFFFFF"/>
          </w:tcPr>
          <w:p>
            <w:pPr>
              <w:rPr>
                <w:sz w:val="2"/>
                <w:szCs w:val="2"/>
              </w:rPr>
            </w:pPr>
          </w:p>
        </w:tc>
        <w:tc>
          <w:tcPr>
            <w:tcW w:w="1548" w:type="dxa"/>
            <w:tcBorders>
              <w:top w:val="single" w:sz="4" w:space="0" w:color="58595B"/>
              <w:left w:val="single" w:sz="8" w:space="0" w:color="FFFFFF"/>
              <w:bottom w:val="single" w:sz="4" w:space="0" w:color="000000"/>
            </w:tcBorders>
            <w:shd w:val="clear" w:color="auto" w:fill="FAF9F9"/>
          </w:tcPr>
          <w:p>
            <w:pPr>
              <w:pStyle w:val="TableParagraph"/>
              <w:spacing w:before="37"/>
              <w:ind w:right="101"/>
              <w:jc w:val="right"/>
              <w:rPr>
                <w:b/>
                <w:sz w:val="19"/>
              </w:rPr>
            </w:pPr>
            <w:r>
              <w:rPr>
                <w:b/>
                <w:w w:val="95"/>
                <w:sz w:val="19"/>
              </w:rPr>
              <w:t>490,412</w:t>
            </w:r>
          </w:p>
        </w:tc>
        <w:tc>
          <w:tcPr>
            <w:tcW w:w="1548" w:type="dxa"/>
            <w:tcBorders>
              <w:top w:val="single" w:sz="4" w:space="0" w:color="58595B"/>
              <w:bottom w:val="single" w:sz="4" w:space="0" w:color="000000"/>
            </w:tcBorders>
            <w:shd w:val="clear" w:color="auto" w:fill="E1E4BB"/>
          </w:tcPr>
          <w:p>
            <w:pPr>
              <w:pStyle w:val="TableParagraph"/>
              <w:spacing w:before="37"/>
              <w:ind w:right="101"/>
              <w:jc w:val="right"/>
              <w:rPr>
                <w:b/>
                <w:sz w:val="19"/>
              </w:rPr>
            </w:pPr>
            <w:r>
              <w:rPr>
                <w:b/>
                <w:w w:val="95"/>
                <w:sz w:val="19"/>
              </w:rPr>
              <w:t>390,615</w:t>
            </w:r>
          </w:p>
        </w:tc>
        <w:tc>
          <w:tcPr>
            <w:tcW w:w="1548" w:type="dxa"/>
            <w:tcBorders>
              <w:top w:val="single" w:sz="4" w:space="0" w:color="58595B"/>
              <w:bottom w:val="single" w:sz="4" w:space="0" w:color="000000"/>
            </w:tcBorders>
            <w:shd w:val="clear" w:color="auto" w:fill="FAF9F9"/>
          </w:tcPr>
          <w:p>
            <w:pPr>
              <w:pStyle w:val="TableParagraph"/>
              <w:spacing w:before="37"/>
              <w:ind w:right="102"/>
              <w:jc w:val="right"/>
              <w:rPr>
                <w:b/>
                <w:sz w:val="19"/>
              </w:rPr>
            </w:pPr>
            <w:r>
              <w:rPr>
                <w:b/>
                <w:w w:val="95"/>
                <w:sz w:val="19"/>
              </w:rPr>
              <w:t>560,449</w:t>
            </w:r>
          </w:p>
        </w:tc>
        <w:tc>
          <w:tcPr>
            <w:tcW w:w="1548" w:type="dxa"/>
            <w:tcBorders>
              <w:top w:val="single" w:sz="4" w:space="0" w:color="58595B"/>
              <w:bottom w:val="single" w:sz="4" w:space="0" w:color="000000"/>
            </w:tcBorders>
            <w:shd w:val="clear" w:color="auto" w:fill="FAF9F9"/>
          </w:tcPr>
          <w:p>
            <w:pPr>
              <w:pStyle w:val="TableParagraph"/>
              <w:spacing w:before="37"/>
              <w:ind w:right="102"/>
              <w:jc w:val="right"/>
              <w:rPr>
                <w:b/>
                <w:sz w:val="19"/>
              </w:rPr>
            </w:pPr>
            <w:r>
              <w:rPr>
                <w:b/>
                <w:w w:val="95"/>
                <w:sz w:val="19"/>
              </w:rPr>
              <w:t>(99,797)</w:t>
            </w:r>
          </w:p>
        </w:tc>
        <w:tc>
          <w:tcPr>
            <w:tcW w:w="1661" w:type="dxa"/>
            <w:tcBorders>
              <w:top w:val="single" w:sz="4" w:space="0" w:color="58595B"/>
              <w:bottom w:val="single" w:sz="4" w:space="0" w:color="000000"/>
            </w:tcBorders>
            <w:shd w:val="clear" w:color="auto" w:fill="FAF9F9"/>
          </w:tcPr>
          <w:p>
            <w:pPr>
              <w:pStyle w:val="TableParagraph"/>
              <w:spacing w:before="37"/>
              <w:ind w:right="102"/>
              <w:jc w:val="right"/>
              <w:rPr>
                <w:b/>
                <w:sz w:val="19"/>
              </w:rPr>
            </w:pPr>
            <w:r>
              <w:rPr>
                <w:b/>
                <w:w w:val="95"/>
                <w:sz w:val="19"/>
              </w:rPr>
              <w:t>(169,834)</w:t>
            </w:r>
          </w:p>
        </w:tc>
      </w:tr>
      <w:tr>
        <w:trPr>
          <w:trHeight w:val="299" w:hRule="atLeast"/>
        </w:trPr>
        <w:tc>
          <w:tcPr>
            <w:tcW w:w="5896" w:type="dxa"/>
            <w:vMerge w:val="restart"/>
            <w:shd w:val="clear" w:color="auto" w:fill="FFFFFF"/>
          </w:tcPr>
          <w:p>
            <w:pPr>
              <w:pStyle w:val="TableParagraph"/>
              <w:spacing w:before="37"/>
              <w:ind w:left="123"/>
              <w:rPr>
                <w:b/>
                <w:sz w:val="19"/>
              </w:rPr>
            </w:pPr>
            <w:r>
              <w:rPr>
                <w:b/>
                <w:sz w:val="19"/>
              </w:rPr>
              <w:t>NET ASSETS</w:t>
            </w:r>
          </w:p>
        </w:tc>
        <w:tc>
          <w:tcPr>
            <w:tcW w:w="1548" w:type="dxa"/>
            <w:vMerge w:val="restart"/>
            <w:shd w:val="clear" w:color="auto" w:fill="FFFFFF"/>
          </w:tcPr>
          <w:p>
            <w:pPr>
              <w:pStyle w:val="TableParagraph"/>
              <w:spacing w:before="0"/>
              <w:rPr>
                <w:rFonts w:ascii="Times New Roman"/>
                <w:sz w:val="20"/>
              </w:rPr>
            </w:pPr>
          </w:p>
        </w:tc>
        <w:tc>
          <w:tcPr>
            <w:tcW w:w="1548" w:type="dxa"/>
            <w:tcBorders>
              <w:top w:val="single" w:sz="4" w:space="0" w:color="000000"/>
              <w:left w:val="single" w:sz="8" w:space="0" w:color="FFFFFF"/>
              <w:bottom w:val="double" w:sz="2" w:space="0" w:color="000000"/>
            </w:tcBorders>
            <w:shd w:val="clear" w:color="auto" w:fill="F4F4F4"/>
          </w:tcPr>
          <w:p>
            <w:pPr>
              <w:pStyle w:val="TableParagraph"/>
              <w:spacing w:before="37"/>
              <w:ind w:right="101"/>
              <w:jc w:val="right"/>
              <w:rPr>
                <w:b/>
                <w:sz w:val="19"/>
              </w:rPr>
            </w:pPr>
            <w:r>
              <w:rPr>
                <w:b/>
                <w:w w:val="95"/>
                <w:sz w:val="19"/>
              </w:rPr>
              <w:t>1,224,383</w:t>
            </w:r>
          </w:p>
        </w:tc>
        <w:tc>
          <w:tcPr>
            <w:tcW w:w="1548" w:type="dxa"/>
            <w:tcBorders>
              <w:top w:val="single" w:sz="4" w:space="0" w:color="000000"/>
              <w:bottom w:val="double" w:sz="2" w:space="0" w:color="000000"/>
            </w:tcBorders>
            <w:shd w:val="clear" w:color="auto" w:fill="DFE1B8"/>
          </w:tcPr>
          <w:p>
            <w:pPr>
              <w:pStyle w:val="TableParagraph"/>
              <w:spacing w:before="37"/>
              <w:ind w:right="101"/>
              <w:jc w:val="right"/>
              <w:rPr>
                <w:b/>
                <w:sz w:val="19"/>
              </w:rPr>
            </w:pPr>
            <w:r>
              <w:rPr>
                <w:b/>
                <w:w w:val="95"/>
                <w:sz w:val="19"/>
              </w:rPr>
              <w:t>1,115,061</w:t>
            </w:r>
          </w:p>
        </w:tc>
        <w:tc>
          <w:tcPr>
            <w:tcW w:w="1548" w:type="dxa"/>
            <w:tcBorders>
              <w:top w:val="single" w:sz="4" w:space="0" w:color="000000"/>
              <w:bottom w:val="double" w:sz="2" w:space="0" w:color="000000"/>
              <w:right w:val="single" w:sz="8" w:space="0" w:color="FFFFFF"/>
            </w:tcBorders>
            <w:shd w:val="clear" w:color="auto" w:fill="F4F4F4"/>
          </w:tcPr>
          <w:p>
            <w:pPr>
              <w:pStyle w:val="TableParagraph"/>
              <w:spacing w:before="37"/>
              <w:ind w:right="91"/>
              <w:jc w:val="right"/>
              <w:rPr>
                <w:b/>
                <w:sz w:val="19"/>
              </w:rPr>
            </w:pPr>
            <w:r>
              <w:rPr>
                <w:b/>
                <w:w w:val="95"/>
                <w:sz w:val="19"/>
              </w:rPr>
              <w:t>1,075,236</w:t>
            </w:r>
          </w:p>
        </w:tc>
        <w:tc>
          <w:tcPr>
            <w:tcW w:w="1548" w:type="dxa"/>
            <w:tcBorders>
              <w:top w:val="single" w:sz="4" w:space="0" w:color="000000"/>
              <w:left w:val="single" w:sz="8" w:space="0" w:color="FFFFFF"/>
              <w:bottom w:val="double" w:sz="2" w:space="0" w:color="000000"/>
              <w:right w:val="single" w:sz="8" w:space="0" w:color="FFFFFF"/>
            </w:tcBorders>
            <w:shd w:val="clear" w:color="auto" w:fill="F4F4F4"/>
          </w:tcPr>
          <w:p>
            <w:pPr>
              <w:pStyle w:val="TableParagraph"/>
              <w:spacing w:before="37"/>
              <w:ind w:right="92"/>
              <w:jc w:val="right"/>
              <w:rPr>
                <w:b/>
                <w:sz w:val="19"/>
              </w:rPr>
            </w:pPr>
            <w:r>
              <w:rPr>
                <w:b/>
                <w:w w:val="95"/>
                <w:sz w:val="19"/>
              </w:rPr>
              <w:t>(109,322)</w:t>
            </w:r>
          </w:p>
        </w:tc>
        <w:tc>
          <w:tcPr>
            <w:tcW w:w="1661" w:type="dxa"/>
            <w:tcBorders>
              <w:top w:val="single" w:sz="4" w:space="0" w:color="000000"/>
              <w:left w:val="single" w:sz="8" w:space="0" w:color="FFFFFF"/>
              <w:bottom w:val="double" w:sz="2" w:space="0" w:color="000000"/>
            </w:tcBorders>
            <w:shd w:val="clear" w:color="auto" w:fill="F4F4F4"/>
          </w:tcPr>
          <w:p>
            <w:pPr>
              <w:pStyle w:val="TableParagraph"/>
              <w:spacing w:before="37"/>
              <w:ind w:right="101"/>
              <w:jc w:val="right"/>
              <w:rPr>
                <w:b/>
                <w:sz w:val="19"/>
              </w:rPr>
            </w:pPr>
            <w:r>
              <w:rPr>
                <w:b/>
                <w:w w:val="95"/>
                <w:sz w:val="19"/>
              </w:rPr>
              <w:t>39,825</w:t>
            </w:r>
          </w:p>
        </w:tc>
      </w:tr>
      <w:tr>
        <w:trPr>
          <w:trHeight w:val="294" w:hRule="atLeast"/>
        </w:trPr>
        <w:tc>
          <w:tcPr>
            <w:tcW w:w="5896" w:type="dxa"/>
            <w:vMerge/>
            <w:tcBorders>
              <w:top w:val="nil"/>
            </w:tcBorders>
            <w:shd w:val="clear" w:color="auto" w:fill="FFFFFF"/>
          </w:tcPr>
          <w:p>
            <w:pPr>
              <w:rPr>
                <w:sz w:val="2"/>
                <w:szCs w:val="2"/>
              </w:rPr>
            </w:pPr>
          </w:p>
        </w:tc>
        <w:tc>
          <w:tcPr>
            <w:tcW w:w="1548" w:type="dxa"/>
            <w:vMerge/>
            <w:tcBorders>
              <w:top w:val="nil"/>
            </w:tcBorders>
            <w:shd w:val="clear" w:color="auto" w:fill="FFFFFF"/>
          </w:tcPr>
          <w:p>
            <w:pPr>
              <w:rPr>
                <w:sz w:val="2"/>
                <w:szCs w:val="2"/>
              </w:rPr>
            </w:pPr>
          </w:p>
        </w:tc>
        <w:tc>
          <w:tcPr>
            <w:tcW w:w="1548" w:type="dxa"/>
            <w:tcBorders>
              <w:top w:val="double" w:sz="2" w:space="0" w:color="000000"/>
              <w:left w:val="single" w:sz="8" w:space="0" w:color="FFFFFF"/>
              <w:bottom w:val="single" w:sz="8" w:space="0" w:color="FFFFFF"/>
            </w:tcBorders>
            <w:shd w:val="clear" w:color="auto" w:fill="FAF9F9"/>
          </w:tcPr>
          <w:p>
            <w:pPr>
              <w:pStyle w:val="TableParagraph"/>
              <w:spacing w:before="0"/>
              <w:rPr>
                <w:rFonts w:ascii="Times New Roman"/>
                <w:sz w:val="20"/>
              </w:rPr>
            </w:pPr>
          </w:p>
        </w:tc>
        <w:tc>
          <w:tcPr>
            <w:tcW w:w="1548" w:type="dxa"/>
            <w:vMerge w:val="restart"/>
            <w:tcBorders>
              <w:top w:val="double" w:sz="2" w:space="0" w:color="000000"/>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168"/>
              <w:ind w:left="599"/>
              <w:rPr>
                <w:sz w:val="19"/>
              </w:rPr>
            </w:pPr>
            <w:r>
              <w:rPr>
                <w:sz w:val="19"/>
              </w:rPr>
              <w:t>1,055,928</w:t>
            </w:r>
          </w:p>
          <w:p>
            <w:pPr>
              <w:pStyle w:val="TableParagraph"/>
              <w:spacing w:line="320" w:lineRule="atLeast" w:before="7"/>
              <w:ind w:left="863" w:right="83" w:firstLine="510"/>
              <w:rPr>
                <w:sz w:val="19"/>
              </w:rPr>
            </w:pPr>
            <w:r>
              <w:rPr>
                <w:w w:val="105"/>
                <w:sz w:val="19"/>
              </w:rPr>
              <w:t>- </w:t>
            </w:r>
            <w:r>
              <w:rPr>
                <w:sz w:val="19"/>
              </w:rPr>
              <w:t>59,133</w:t>
            </w:r>
          </w:p>
        </w:tc>
        <w:tc>
          <w:tcPr>
            <w:tcW w:w="1548" w:type="dxa"/>
            <w:vMerge w:val="restart"/>
            <w:tcBorders>
              <w:top w:val="double" w:sz="2" w:space="0" w:color="000000"/>
              <w:bottom w:val="single" w:sz="8" w:space="0" w:color="FFFFFF"/>
            </w:tcBorders>
            <w:shd w:val="clear" w:color="auto" w:fill="F4F4F4"/>
          </w:tcPr>
          <w:p>
            <w:pPr>
              <w:pStyle w:val="TableParagraph"/>
              <w:spacing w:before="0"/>
              <w:rPr>
                <w:sz w:val="22"/>
              </w:rPr>
            </w:pPr>
          </w:p>
          <w:p>
            <w:pPr>
              <w:pStyle w:val="TableParagraph"/>
              <w:spacing w:before="0"/>
              <w:rPr>
                <w:sz w:val="22"/>
              </w:rPr>
            </w:pPr>
          </w:p>
          <w:p>
            <w:pPr>
              <w:pStyle w:val="TableParagraph"/>
              <w:spacing w:before="168"/>
              <w:ind w:left="599"/>
              <w:rPr>
                <w:sz w:val="19"/>
              </w:rPr>
            </w:pPr>
            <w:r>
              <w:rPr>
                <w:sz w:val="19"/>
              </w:rPr>
              <w:t>1,026,944</w:t>
            </w:r>
          </w:p>
        </w:tc>
        <w:tc>
          <w:tcPr>
            <w:tcW w:w="1548" w:type="dxa"/>
            <w:vMerge w:val="restart"/>
            <w:tcBorders>
              <w:top w:val="double" w:sz="2" w:space="0" w:color="000000"/>
              <w:bottom w:val="single" w:sz="8" w:space="0" w:color="FFFFFF"/>
            </w:tcBorders>
            <w:shd w:val="clear" w:color="auto" w:fill="F4F4F4"/>
          </w:tcPr>
          <w:p>
            <w:pPr>
              <w:pStyle w:val="TableParagraph"/>
              <w:spacing w:before="5"/>
              <w:rPr>
                <w:sz w:val="26"/>
              </w:rPr>
            </w:pPr>
          </w:p>
          <w:p>
            <w:pPr>
              <w:pStyle w:val="TableParagraph"/>
              <w:spacing w:before="0"/>
              <w:ind w:left="-2"/>
              <w:rPr>
                <w:sz w:val="20"/>
              </w:rPr>
            </w:pPr>
            <w:r>
              <w:rPr>
                <w:sz w:val="20"/>
              </w:rPr>
              <w:pict>
                <v:group style="width:1pt;height:15.4pt;mso-position-horizontal-relative:char;mso-position-vertical-relative:line" coordorigin="0,0" coordsize="20,308">
                  <v:line style="position:absolute" from="10,307" to="10,0" stroked="true" strokeweight="1pt" strokecolor="#ffffff">
                    <v:stroke dashstyle="solid"/>
                  </v:line>
                </v:group>
              </w:pict>
            </w:r>
            <w:r>
              <w:rPr>
                <w:sz w:val="20"/>
              </w:rPr>
            </w:r>
          </w:p>
          <w:p>
            <w:pPr>
              <w:pStyle w:val="TableParagraph"/>
              <w:spacing w:before="24"/>
              <w:ind w:left="771"/>
              <w:rPr>
                <w:sz w:val="19"/>
              </w:rPr>
            </w:pPr>
            <w:r>
              <w:rPr>
                <w:sz w:val="19"/>
              </w:rPr>
              <w:t>(72,291)</w:t>
            </w:r>
          </w:p>
        </w:tc>
        <w:tc>
          <w:tcPr>
            <w:tcW w:w="1661" w:type="dxa"/>
            <w:vMerge w:val="restart"/>
            <w:tcBorders>
              <w:top w:val="double" w:sz="2" w:space="0" w:color="000000"/>
              <w:bottom w:val="single" w:sz="8" w:space="0" w:color="FFFFFF"/>
            </w:tcBorders>
            <w:shd w:val="clear" w:color="auto" w:fill="F4F4F4"/>
          </w:tcPr>
          <w:p>
            <w:pPr>
              <w:pStyle w:val="TableParagraph"/>
              <w:spacing w:before="5"/>
              <w:rPr>
                <w:sz w:val="26"/>
              </w:rPr>
            </w:pPr>
          </w:p>
          <w:p>
            <w:pPr>
              <w:pStyle w:val="TableParagraph"/>
              <w:spacing w:before="0"/>
              <w:ind w:left="-2"/>
              <w:rPr>
                <w:sz w:val="20"/>
              </w:rPr>
            </w:pPr>
            <w:r>
              <w:rPr>
                <w:sz w:val="20"/>
              </w:rPr>
              <w:pict>
                <v:group style="width:1pt;height:15.4pt;mso-position-horizontal-relative:char;mso-position-vertical-relative:line" coordorigin="0,0" coordsize="20,308">
                  <v:line style="position:absolute" from="10,307" to="10,0" stroked="true" strokeweight="1pt" strokecolor="#ffffff">
                    <v:stroke dashstyle="solid"/>
                  </v:line>
                </v:group>
              </w:pict>
            </w:r>
            <w:r>
              <w:rPr>
                <w:sz w:val="20"/>
              </w:rPr>
            </w:r>
          </w:p>
          <w:p>
            <w:pPr>
              <w:pStyle w:val="TableParagraph"/>
              <w:spacing w:before="24"/>
              <w:ind w:left="976"/>
              <w:rPr>
                <w:sz w:val="19"/>
              </w:rPr>
            </w:pPr>
            <w:r>
              <w:rPr>
                <w:sz w:val="19"/>
              </w:rPr>
              <w:t>28,984</w:t>
            </w:r>
          </w:p>
        </w:tc>
      </w:tr>
      <w:tr>
        <w:trPr>
          <w:trHeight w:val="297" w:hRule="atLeast"/>
        </w:trPr>
        <w:tc>
          <w:tcPr>
            <w:tcW w:w="5896" w:type="dxa"/>
            <w:vMerge w:val="restart"/>
            <w:shd w:val="clear" w:color="auto" w:fill="FFFFFF"/>
          </w:tcPr>
          <w:p>
            <w:pPr>
              <w:pStyle w:val="TableParagraph"/>
              <w:ind w:left="124"/>
              <w:rPr>
                <w:b/>
                <w:sz w:val="19"/>
              </w:rPr>
            </w:pPr>
            <w:r>
              <w:rPr>
                <w:b/>
                <w:sz w:val="19"/>
              </w:rPr>
              <w:t>EQUITY</w:t>
            </w:r>
          </w:p>
          <w:p>
            <w:pPr>
              <w:pStyle w:val="TableParagraph"/>
              <w:spacing w:before="109"/>
              <w:ind w:left="124"/>
              <w:rPr>
                <w:sz w:val="19"/>
              </w:rPr>
            </w:pPr>
            <w:r>
              <w:rPr>
                <w:sz w:val="19"/>
              </w:rPr>
              <w:t>Contributed equity</w:t>
            </w:r>
          </w:p>
        </w:tc>
        <w:tc>
          <w:tcPr>
            <w:tcW w:w="1548" w:type="dxa"/>
            <w:tcBorders>
              <w:top w:val="single" w:sz="8" w:space="0" w:color="FFFFFF"/>
              <w:left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tcBorders>
            <w:shd w:val="clear" w:color="auto" w:fill="F4F4F4"/>
          </w:tcPr>
          <w:p>
            <w:pPr>
              <w:pStyle w:val="TableParagraph"/>
              <w:spacing w:before="0"/>
              <w:rPr>
                <w:rFonts w:ascii="Times New Roman"/>
                <w:sz w:val="20"/>
              </w:rPr>
            </w:pPr>
          </w:p>
        </w:tc>
        <w:tc>
          <w:tcPr>
            <w:tcW w:w="1548" w:type="dxa"/>
            <w:vMerge/>
            <w:tcBorders>
              <w:top w:val="nil"/>
              <w:bottom w:val="single" w:sz="4" w:space="0" w:color="000000"/>
            </w:tcBorders>
            <w:shd w:val="clear" w:color="auto" w:fill="E1E4BB"/>
          </w:tcPr>
          <w:p>
            <w:pPr>
              <w:rPr>
                <w:sz w:val="2"/>
                <w:szCs w:val="2"/>
              </w:rPr>
            </w:pPr>
          </w:p>
        </w:tc>
        <w:tc>
          <w:tcPr>
            <w:tcW w:w="1548" w:type="dxa"/>
            <w:vMerge/>
            <w:tcBorders>
              <w:top w:val="nil"/>
              <w:bottom w:val="single" w:sz="8" w:space="0" w:color="FFFFFF"/>
            </w:tcBorders>
            <w:shd w:val="clear" w:color="auto" w:fill="F4F4F4"/>
          </w:tcPr>
          <w:p>
            <w:pPr>
              <w:rPr>
                <w:sz w:val="2"/>
                <w:szCs w:val="2"/>
              </w:rPr>
            </w:pPr>
          </w:p>
        </w:tc>
        <w:tc>
          <w:tcPr>
            <w:tcW w:w="1548" w:type="dxa"/>
            <w:vMerge/>
            <w:tcBorders>
              <w:top w:val="nil"/>
              <w:bottom w:val="single" w:sz="8" w:space="0" w:color="FFFFFF"/>
            </w:tcBorders>
            <w:shd w:val="clear" w:color="auto" w:fill="F4F4F4"/>
          </w:tcPr>
          <w:p>
            <w:pPr>
              <w:rPr>
                <w:sz w:val="2"/>
                <w:szCs w:val="2"/>
              </w:rPr>
            </w:pPr>
          </w:p>
        </w:tc>
        <w:tc>
          <w:tcPr>
            <w:tcW w:w="1661" w:type="dxa"/>
            <w:vMerge/>
            <w:tcBorders>
              <w:top w:val="nil"/>
              <w:bottom w:val="single" w:sz="8" w:space="0" w:color="FFFFFF"/>
            </w:tcBorders>
            <w:shd w:val="clear" w:color="auto" w:fill="F4F4F4"/>
          </w:tcPr>
          <w:p>
            <w:pPr>
              <w:rPr>
                <w:sz w:val="2"/>
                <w:szCs w:val="2"/>
              </w:rPr>
            </w:pPr>
          </w:p>
        </w:tc>
      </w:tr>
      <w:tr>
        <w:trPr>
          <w:trHeight w:val="317" w:hRule="atLeast"/>
        </w:trPr>
        <w:tc>
          <w:tcPr>
            <w:tcW w:w="5896" w:type="dxa"/>
            <w:vMerge/>
            <w:tcBorders>
              <w:top w:val="nil"/>
            </w:tcBorders>
            <w:shd w:val="clear" w:color="auto" w:fill="FFFFFF"/>
          </w:tcPr>
          <w:p>
            <w:pPr>
              <w:rPr>
                <w:sz w:val="2"/>
                <w:szCs w:val="2"/>
              </w:rPr>
            </w:pPr>
          </w:p>
        </w:tc>
        <w:tc>
          <w:tcPr>
            <w:tcW w:w="3096" w:type="dxa"/>
            <w:gridSpan w:val="2"/>
            <w:shd w:val="clear" w:color="auto" w:fill="FFFFFF"/>
          </w:tcPr>
          <w:p>
            <w:pPr>
              <w:pStyle w:val="TableParagraph"/>
              <w:spacing w:before="42"/>
              <w:ind w:right="101"/>
              <w:jc w:val="right"/>
              <w:rPr>
                <w:sz w:val="19"/>
              </w:rPr>
            </w:pPr>
            <w:r>
              <w:rPr>
                <w:w w:val="95"/>
                <w:sz w:val="19"/>
              </w:rPr>
              <w:t>1,128,219</w:t>
            </w:r>
          </w:p>
        </w:tc>
        <w:tc>
          <w:tcPr>
            <w:tcW w:w="1548" w:type="dxa"/>
            <w:vMerge/>
            <w:tcBorders>
              <w:top w:val="nil"/>
              <w:bottom w:val="single" w:sz="4" w:space="0" w:color="000000"/>
            </w:tcBorders>
            <w:shd w:val="clear" w:color="auto" w:fill="E1E4BB"/>
          </w:tcPr>
          <w:p>
            <w:pPr>
              <w:rPr>
                <w:sz w:val="2"/>
                <w:szCs w:val="2"/>
              </w:rPr>
            </w:pPr>
          </w:p>
        </w:tc>
        <w:tc>
          <w:tcPr>
            <w:tcW w:w="1548" w:type="dxa"/>
            <w:vMerge/>
            <w:tcBorders>
              <w:top w:val="nil"/>
              <w:bottom w:val="single" w:sz="8" w:space="0" w:color="FFFFFF"/>
            </w:tcBorders>
            <w:shd w:val="clear" w:color="auto" w:fill="F4F4F4"/>
          </w:tcPr>
          <w:p>
            <w:pPr>
              <w:rPr>
                <w:sz w:val="2"/>
                <w:szCs w:val="2"/>
              </w:rPr>
            </w:pPr>
          </w:p>
        </w:tc>
        <w:tc>
          <w:tcPr>
            <w:tcW w:w="1548" w:type="dxa"/>
            <w:vMerge/>
            <w:tcBorders>
              <w:top w:val="nil"/>
              <w:bottom w:val="single" w:sz="8" w:space="0" w:color="FFFFFF"/>
            </w:tcBorders>
            <w:shd w:val="clear" w:color="auto" w:fill="F4F4F4"/>
          </w:tcPr>
          <w:p>
            <w:pPr>
              <w:rPr>
                <w:sz w:val="2"/>
                <w:szCs w:val="2"/>
              </w:rPr>
            </w:pPr>
          </w:p>
        </w:tc>
        <w:tc>
          <w:tcPr>
            <w:tcW w:w="1661" w:type="dxa"/>
            <w:vMerge/>
            <w:tcBorders>
              <w:top w:val="nil"/>
              <w:bottom w:val="single" w:sz="8" w:space="0" w:color="FFFFFF"/>
            </w:tcBorders>
            <w:shd w:val="clear" w:color="auto" w:fill="F4F4F4"/>
          </w:tcPr>
          <w:p>
            <w:pPr>
              <w:rPr>
                <w:sz w:val="2"/>
                <w:szCs w:val="2"/>
              </w:rPr>
            </w:pPr>
          </w:p>
        </w:tc>
      </w:tr>
      <w:tr>
        <w:trPr>
          <w:trHeight w:val="307" w:hRule="atLeast"/>
        </w:trPr>
        <w:tc>
          <w:tcPr>
            <w:tcW w:w="5896" w:type="dxa"/>
            <w:vMerge w:val="restart"/>
            <w:shd w:val="clear" w:color="auto" w:fill="FFFFFF"/>
          </w:tcPr>
          <w:p>
            <w:pPr>
              <w:pStyle w:val="TableParagraph"/>
              <w:ind w:left="124"/>
              <w:rPr>
                <w:sz w:val="19"/>
              </w:rPr>
            </w:pPr>
            <w:r>
              <w:rPr>
                <w:sz w:val="19"/>
              </w:rPr>
              <w:t>Reserves</w:t>
            </w:r>
          </w:p>
          <w:p>
            <w:pPr>
              <w:pStyle w:val="TableParagraph"/>
              <w:spacing w:before="109"/>
              <w:ind w:left="124"/>
              <w:rPr>
                <w:sz w:val="19"/>
              </w:rPr>
            </w:pPr>
            <w:r>
              <w:rPr>
                <w:sz w:val="19"/>
              </w:rPr>
              <w:t>Accumulated surplus</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double" w:sz="1" w:space="0" w:color="FFFFFF"/>
              <w:left w:val="single" w:sz="8" w:space="0" w:color="FFFFFF"/>
              <w:bottom w:val="single" w:sz="8" w:space="0" w:color="FFFFFF"/>
            </w:tcBorders>
            <w:shd w:val="clear" w:color="auto" w:fill="F4F4F4"/>
          </w:tcPr>
          <w:p>
            <w:pPr>
              <w:pStyle w:val="TableParagraph"/>
              <w:ind w:right="100"/>
              <w:jc w:val="right"/>
              <w:rPr>
                <w:sz w:val="19"/>
              </w:rPr>
            </w:pPr>
            <w:r>
              <w:rPr>
                <w:w w:val="95"/>
                <w:sz w:val="19"/>
              </w:rPr>
              <w:t>18,665</w:t>
            </w:r>
          </w:p>
        </w:tc>
        <w:tc>
          <w:tcPr>
            <w:tcW w:w="1548" w:type="dxa"/>
            <w:vMerge/>
            <w:tcBorders>
              <w:top w:val="nil"/>
              <w:bottom w:val="single" w:sz="4" w:space="0" w:color="000000"/>
            </w:tcBorders>
            <w:shd w:val="clear" w:color="auto" w:fill="E1E4BB"/>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111"/>
                <w:sz w:val="19"/>
              </w:rPr>
              <w:t>-</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5"/>
                <w:sz w:val="19"/>
              </w:rPr>
              <w:t>(18,665)</w:t>
            </w:r>
          </w:p>
        </w:tc>
        <w:tc>
          <w:tcPr>
            <w:tcW w:w="1661" w:type="dxa"/>
            <w:tcBorders>
              <w:top w:val="single" w:sz="8" w:space="0" w:color="FFFFFF"/>
              <w:left w:val="single" w:sz="8" w:space="0" w:color="FFFFFF"/>
              <w:bottom w:val="single" w:sz="8" w:space="0" w:color="FFFFFF"/>
            </w:tcBorders>
            <w:shd w:val="clear" w:color="auto" w:fill="F4F4F4"/>
          </w:tcPr>
          <w:p>
            <w:pPr>
              <w:pStyle w:val="TableParagraph"/>
              <w:ind w:right="101"/>
              <w:jc w:val="right"/>
              <w:rPr>
                <w:sz w:val="19"/>
              </w:rPr>
            </w:pPr>
            <w:r>
              <w:rPr>
                <w:w w:val="111"/>
                <w:sz w:val="19"/>
              </w:rPr>
              <w:t>-</w:t>
            </w:r>
          </w:p>
        </w:tc>
      </w:tr>
      <w:tr>
        <w:trPr>
          <w:trHeight w:val="307" w:hRule="atLeast"/>
        </w:trPr>
        <w:tc>
          <w:tcPr>
            <w:tcW w:w="5896" w:type="dxa"/>
            <w:vMerge/>
            <w:tcBorders>
              <w:top w:val="nil"/>
            </w:tcBorders>
            <w:shd w:val="clear" w:color="auto" w:fill="FFFFFF"/>
          </w:tcPr>
          <w:p>
            <w:pPr>
              <w:rPr>
                <w:sz w:val="2"/>
                <w:szCs w:val="2"/>
              </w:rPr>
            </w:pPr>
          </w:p>
        </w:tc>
        <w:tc>
          <w:tcPr>
            <w:tcW w:w="3096" w:type="dxa"/>
            <w:gridSpan w:val="2"/>
            <w:shd w:val="clear" w:color="auto" w:fill="FFFFFF"/>
          </w:tcPr>
          <w:p>
            <w:pPr>
              <w:pStyle w:val="TableParagraph"/>
              <w:ind w:right="100"/>
              <w:jc w:val="right"/>
              <w:rPr>
                <w:sz w:val="19"/>
              </w:rPr>
            </w:pPr>
            <w:r>
              <w:rPr>
                <w:w w:val="95"/>
                <w:sz w:val="19"/>
              </w:rPr>
              <w:t>77,499</w:t>
            </w:r>
          </w:p>
        </w:tc>
        <w:tc>
          <w:tcPr>
            <w:tcW w:w="1548" w:type="dxa"/>
            <w:vMerge/>
            <w:tcBorders>
              <w:top w:val="nil"/>
              <w:bottom w:val="single" w:sz="4" w:space="0" w:color="000000"/>
            </w:tcBorders>
            <w:shd w:val="clear" w:color="auto" w:fill="E1E4BB"/>
          </w:tcPr>
          <w:p>
            <w:pPr>
              <w:rPr>
                <w:sz w:val="2"/>
                <w:szCs w:val="2"/>
              </w:rPr>
            </w:pPr>
          </w:p>
        </w:tc>
        <w:tc>
          <w:tcPr>
            <w:tcW w:w="1548" w:type="dxa"/>
            <w:tcBorders>
              <w:top w:val="single" w:sz="8" w:space="0" w:color="FFFFFF"/>
              <w:bottom w:val="single" w:sz="4" w:space="0" w:color="000000"/>
            </w:tcBorders>
            <w:shd w:val="clear" w:color="auto" w:fill="FAF9F9"/>
          </w:tcPr>
          <w:p>
            <w:pPr>
              <w:pStyle w:val="TableParagraph"/>
              <w:ind w:right="101"/>
              <w:jc w:val="right"/>
              <w:rPr>
                <w:sz w:val="19"/>
              </w:rPr>
            </w:pPr>
            <w:r>
              <w:rPr>
                <w:w w:val="95"/>
                <w:sz w:val="19"/>
              </w:rPr>
              <w:t>48,292</w:t>
            </w:r>
          </w:p>
        </w:tc>
        <w:tc>
          <w:tcPr>
            <w:tcW w:w="1548" w:type="dxa"/>
            <w:tcBorders>
              <w:top w:val="single" w:sz="8" w:space="0" w:color="FFFFFF"/>
              <w:bottom w:val="single" w:sz="4" w:space="0" w:color="000000"/>
            </w:tcBorders>
            <w:shd w:val="clear" w:color="auto" w:fill="FAF9F9"/>
          </w:tcPr>
          <w:p>
            <w:pPr>
              <w:pStyle w:val="TableParagraph"/>
              <w:ind w:right="101"/>
              <w:jc w:val="right"/>
              <w:rPr>
                <w:sz w:val="19"/>
              </w:rPr>
            </w:pPr>
            <w:r>
              <w:rPr>
                <w:w w:val="95"/>
                <w:sz w:val="19"/>
              </w:rPr>
              <w:t>(18,366)</w:t>
            </w:r>
          </w:p>
        </w:tc>
        <w:tc>
          <w:tcPr>
            <w:tcW w:w="1661" w:type="dxa"/>
            <w:tcBorders>
              <w:top w:val="single" w:sz="8" w:space="0" w:color="FFFFFF"/>
              <w:bottom w:val="single" w:sz="4" w:space="0" w:color="000000"/>
            </w:tcBorders>
            <w:shd w:val="clear" w:color="auto" w:fill="FAF9F9"/>
          </w:tcPr>
          <w:p>
            <w:pPr>
              <w:pStyle w:val="TableParagraph"/>
              <w:ind w:right="101"/>
              <w:jc w:val="right"/>
              <w:rPr>
                <w:sz w:val="19"/>
              </w:rPr>
            </w:pPr>
            <w:r>
              <w:rPr>
                <w:w w:val="95"/>
                <w:sz w:val="19"/>
              </w:rPr>
              <w:t>10,841</w:t>
            </w:r>
          </w:p>
        </w:tc>
      </w:tr>
      <w:tr>
        <w:trPr>
          <w:trHeight w:val="277" w:hRule="atLeast"/>
        </w:trPr>
        <w:tc>
          <w:tcPr>
            <w:tcW w:w="5896"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left="114"/>
              <w:rPr>
                <w:b/>
                <w:sz w:val="19"/>
              </w:rPr>
            </w:pPr>
            <w:r>
              <w:rPr>
                <w:b/>
                <w:sz w:val="19"/>
              </w:rPr>
              <w:t>TOTAL EQUITY</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4" w:space="0" w:color="000000"/>
              <w:left w:val="single" w:sz="8" w:space="0" w:color="FFFFFF"/>
              <w:bottom w:val="single" w:sz="24" w:space="0" w:color="FFFFFF"/>
            </w:tcBorders>
            <w:shd w:val="clear" w:color="auto" w:fill="F4F4F4"/>
          </w:tcPr>
          <w:p>
            <w:pPr>
              <w:pStyle w:val="TableParagraph"/>
              <w:ind w:right="100"/>
              <w:jc w:val="right"/>
              <w:rPr>
                <w:b/>
                <w:sz w:val="19"/>
              </w:rPr>
            </w:pPr>
            <w:r>
              <w:rPr>
                <w:b/>
                <w:w w:val="95"/>
                <w:sz w:val="19"/>
              </w:rPr>
              <w:t>1,224,383</w:t>
            </w:r>
          </w:p>
        </w:tc>
        <w:tc>
          <w:tcPr>
            <w:tcW w:w="1548" w:type="dxa"/>
            <w:tcBorders>
              <w:top w:val="single" w:sz="4" w:space="0" w:color="000000"/>
              <w:bottom w:val="single" w:sz="24" w:space="0" w:color="FFFFFF"/>
            </w:tcBorders>
            <w:shd w:val="clear" w:color="auto" w:fill="DFE1B8"/>
          </w:tcPr>
          <w:p>
            <w:pPr>
              <w:pStyle w:val="TableParagraph"/>
              <w:ind w:right="100"/>
              <w:jc w:val="right"/>
              <w:rPr>
                <w:b/>
                <w:sz w:val="19"/>
              </w:rPr>
            </w:pPr>
            <w:r>
              <w:rPr>
                <w:b/>
                <w:w w:val="95"/>
                <w:sz w:val="19"/>
              </w:rPr>
              <w:t>1,115,061</w:t>
            </w:r>
          </w:p>
        </w:tc>
        <w:tc>
          <w:tcPr>
            <w:tcW w:w="1548" w:type="dxa"/>
            <w:tcBorders>
              <w:top w:val="single" w:sz="4" w:space="0" w:color="000000"/>
              <w:bottom w:val="single" w:sz="24" w:space="0" w:color="FFFFFF"/>
              <w:right w:val="single" w:sz="8" w:space="0" w:color="FFFFFF"/>
            </w:tcBorders>
            <w:shd w:val="clear" w:color="auto" w:fill="F4F4F4"/>
          </w:tcPr>
          <w:p>
            <w:pPr>
              <w:pStyle w:val="TableParagraph"/>
              <w:ind w:right="91"/>
              <w:jc w:val="right"/>
              <w:rPr>
                <w:b/>
                <w:sz w:val="19"/>
              </w:rPr>
            </w:pPr>
            <w:r>
              <w:rPr>
                <w:b/>
                <w:w w:val="95"/>
                <w:sz w:val="19"/>
              </w:rPr>
              <w:t>1,075,236</w:t>
            </w:r>
          </w:p>
        </w:tc>
        <w:tc>
          <w:tcPr>
            <w:tcW w:w="1548" w:type="dxa"/>
            <w:tcBorders>
              <w:top w:val="single" w:sz="4" w:space="0" w:color="000000"/>
              <w:left w:val="single" w:sz="8" w:space="0" w:color="FFFFFF"/>
              <w:bottom w:val="single" w:sz="24" w:space="0" w:color="FFFFFF"/>
              <w:right w:val="single" w:sz="8" w:space="0" w:color="FFFFFF"/>
            </w:tcBorders>
            <w:shd w:val="clear" w:color="auto" w:fill="F4F4F4"/>
          </w:tcPr>
          <w:p>
            <w:pPr>
              <w:pStyle w:val="TableParagraph"/>
              <w:ind w:right="91"/>
              <w:jc w:val="right"/>
              <w:rPr>
                <w:b/>
                <w:sz w:val="19"/>
              </w:rPr>
            </w:pPr>
            <w:r>
              <w:rPr>
                <w:b/>
                <w:w w:val="95"/>
                <w:sz w:val="19"/>
              </w:rPr>
              <w:t>(109,322)</w:t>
            </w:r>
          </w:p>
        </w:tc>
        <w:tc>
          <w:tcPr>
            <w:tcW w:w="1661" w:type="dxa"/>
            <w:tcBorders>
              <w:top w:val="single" w:sz="4" w:space="0" w:color="000000"/>
              <w:left w:val="single" w:sz="8" w:space="0" w:color="FFFFFF"/>
              <w:bottom w:val="single" w:sz="24" w:space="0" w:color="FFFFFF"/>
            </w:tcBorders>
            <w:shd w:val="clear" w:color="auto" w:fill="F4F4F4"/>
          </w:tcPr>
          <w:p>
            <w:pPr>
              <w:pStyle w:val="TableParagraph"/>
              <w:ind w:right="101"/>
              <w:jc w:val="right"/>
              <w:rPr>
                <w:b/>
                <w:sz w:val="19"/>
              </w:rPr>
            </w:pPr>
            <w:r>
              <w:rPr>
                <w:b/>
                <w:w w:val="95"/>
                <w:sz w:val="19"/>
              </w:rPr>
              <w:t>39,825</w:t>
            </w:r>
          </w:p>
        </w:tc>
      </w:tr>
    </w:tbl>
    <w:p>
      <w:pPr>
        <w:pStyle w:val="BodyText"/>
        <w:spacing w:line="20" w:lineRule="exact"/>
        <w:ind w:left="12857"/>
        <w:rPr>
          <w:sz w:val="2"/>
        </w:rPr>
      </w:pPr>
      <w:r>
        <w:rPr>
          <w:sz w:val="2"/>
        </w:rPr>
        <w:pict>
          <v:group style="width:160.450pt;height:.550pt;mso-position-horizontal-relative:char;mso-position-vertical-relative:line" coordorigin="0,0" coordsize="3209,11">
            <v:line style="position:absolute" from="0,5" to="1548,5" stroked="true" strokeweight=".501pt" strokecolor="#000000">
              <v:stroke dashstyle="solid"/>
            </v:line>
            <v:line style="position:absolute" from="1548,5" to="3209,5" stroked="true" strokeweight=".501pt" strokecolor="#000000">
              <v:stroke dashstyle="solid"/>
            </v:line>
          </v:group>
        </w:pict>
      </w:r>
      <w:r>
        <w:rPr>
          <w:sz w:val="2"/>
        </w:rPr>
      </w:r>
    </w:p>
    <w:p>
      <w:pPr>
        <w:spacing w:before="261"/>
        <w:ind w:left="766" w:right="0" w:firstLine="0"/>
        <w:jc w:val="left"/>
        <w:rPr>
          <w:i/>
          <w:sz w:val="19"/>
        </w:rPr>
      </w:pPr>
      <w:r>
        <w:rPr>
          <w:i/>
          <w:color w:val="6F2770"/>
          <w:sz w:val="19"/>
        </w:rPr>
        <w:t>Major Estimate and Actual (2017) Variance Narratives</w:t>
      </w:r>
    </w:p>
    <w:p>
      <w:pPr>
        <w:pStyle w:val="ListParagraph"/>
        <w:numPr>
          <w:ilvl w:val="0"/>
          <w:numId w:val="22"/>
        </w:numPr>
        <w:tabs>
          <w:tab w:pos="973" w:val="left" w:leader="none"/>
        </w:tabs>
        <w:spacing w:line="249" w:lineRule="auto" w:before="10" w:after="0"/>
        <w:ind w:left="970" w:right="1833" w:hanging="204"/>
        <w:jc w:val="left"/>
        <w:rPr>
          <w:sz w:val="19"/>
        </w:rPr>
      </w:pPr>
      <w:r>
        <w:rPr>
          <w:sz w:val="19"/>
        </w:rPr>
        <w:t>The</w:t>
      </w:r>
      <w:r>
        <w:rPr>
          <w:spacing w:val="-24"/>
          <w:sz w:val="19"/>
        </w:rPr>
        <w:t> </w:t>
      </w:r>
      <w:r>
        <w:rPr>
          <w:sz w:val="19"/>
        </w:rPr>
        <w:t>variance</w:t>
      </w:r>
      <w:r>
        <w:rPr>
          <w:spacing w:val="-23"/>
          <w:sz w:val="19"/>
        </w:rPr>
        <w:t> </w:t>
      </w:r>
      <w:r>
        <w:rPr>
          <w:sz w:val="19"/>
        </w:rPr>
        <w:t>to</w:t>
      </w:r>
      <w:r>
        <w:rPr>
          <w:spacing w:val="-23"/>
          <w:sz w:val="19"/>
        </w:rPr>
        <w:t> </w:t>
      </w:r>
      <w:r>
        <w:rPr>
          <w:sz w:val="19"/>
        </w:rPr>
        <w:t>the</w:t>
      </w:r>
      <w:r>
        <w:rPr>
          <w:spacing w:val="-24"/>
          <w:sz w:val="19"/>
        </w:rPr>
        <w:t> </w:t>
      </w:r>
      <w:r>
        <w:rPr>
          <w:sz w:val="19"/>
        </w:rPr>
        <w:t>estimate</w:t>
      </w:r>
      <w:r>
        <w:rPr>
          <w:spacing w:val="-23"/>
          <w:sz w:val="19"/>
        </w:rPr>
        <w:t> </w:t>
      </w:r>
      <w:r>
        <w:rPr>
          <w:sz w:val="19"/>
        </w:rPr>
        <w:t>is</w:t>
      </w:r>
      <w:r>
        <w:rPr>
          <w:spacing w:val="-23"/>
          <w:sz w:val="19"/>
        </w:rPr>
        <w:t> </w:t>
      </w:r>
      <w:r>
        <w:rPr>
          <w:sz w:val="19"/>
        </w:rPr>
        <w:t>due</w:t>
      </w:r>
      <w:r>
        <w:rPr>
          <w:spacing w:val="-23"/>
          <w:sz w:val="19"/>
        </w:rPr>
        <w:t> </w:t>
      </w:r>
      <w:r>
        <w:rPr>
          <w:sz w:val="19"/>
        </w:rPr>
        <w:t>to</w:t>
      </w:r>
      <w:r>
        <w:rPr>
          <w:spacing w:val="-24"/>
          <w:sz w:val="19"/>
        </w:rPr>
        <w:t> </w:t>
      </w:r>
      <w:r>
        <w:rPr>
          <w:sz w:val="19"/>
        </w:rPr>
        <w:t>a</w:t>
      </w:r>
      <w:r>
        <w:rPr>
          <w:spacing w:val="-23"/>
          <w:sz w:val="19"/>
        </w:rPr>
        <w:t> </w:t>
      </w:r>
      <w:r>
        <w:rPr>
          <w:spacing w:val="-3"/>
          <w:sz w:val="19"/>
        </w:rPr>
        <w:t>decrease</w:t>
      </w:r>
      <w:r>
        <w:rPr>
          <w:spacing w:val="-23"/>
          <w:sz w:val="19"/>
        </w:rPr>
        <w:t> </w:t>
      </w:r>
      <w:r>
        <w:rPr>
          <w:sz w:val="19"/>
        </w:rPr>
        <w:t>in</w:t>
      </w:r>
      <w:r>
        <w:rPr>
          <w:spacing w:val="-23"/>
          <w:sz w:val="19"/>
        </w:rPr>
        <w:t> </w:t>
      </w:r>
      <w:r>
        <w:rPr>
          <w:sz w:val="19"/>
        </w:rPr>
        <w:t>the</w:t>
      </w:r>
      <w:r>
        <w:rPr>
          <w:spacing w:val="-24"/>
          <w:sz w:val="19"/>
        </w:rPr>
        <w:t> </w:t>
      </w:r>
      <w:r>
        <w:rPr>
          <w:sz w:val="19"/>
        </w:rPr>
        <w:t>value</w:t>
      </w:r>
      <w:r>
        <w:rPr>
          <w:spacing w:val="-23"/>
          <w:sz w:val="19"/>
        </w:rPr>
        <w:t> </w:t>
      </w:r>
      <w:r>
        <w:rPr>
          <w:sz w:val="19"/>
        </w:rPr>
        <w:t>of</w:t>
      </w:r>
      <w:r>
        <w:rPr>
          <w:spacing w:val="-23"/>
          <w:sz w:val="19"/>
        </w:rPr>
        <w:t> </w:t>
      </w:r>
      <w:r>
        <w:rPr>
          <w:sz w:val="19"/>
        </w:rPr>
        <w:t>land</w:t>
      </w:r>
      <w:r>
        <w:rPr>
          <w:spacing w:val="-23"/>
          <w:sz w:val="19"/>
        </w:rPr>
        <w:t> </w:t>
      </w:r>
      <w:r>
        <w:rPr>
          <w:sz w:val="19"/>
        </w:rPr>
        <w:t>and</w:t>
      </w:r>
      <w:r>
        <w:rPr>
          <w:spacing w:val="-24"/>
          <w:sz w:val="19"/>
        </w:rPr>
        <w:t> </w:t>
      </w:r>
      <w:r>
        <w:rPr>
          <w:sz w:val="19"/>
        </w:rPr>
        <w:t>buildings</w:t>
      </w:r>
      <w:r>
        <w:rPr>
          <w:spacing w:val="-23"/>
          <w:sz w:val="19"/>
        </w:rPr>
        <w:t> </w:t>
      </w:r>
      <w:r>
        <w:rPr>
          <w:sz w:val="19"/>
        </w:rPr>
        <w:t>as</w:t>
      </w:r>
      <w:r>
        <w:rPr>
          <w:spacing w:val="-23"/>
          <w:sz w:val="19"/>
        </w:rPr>
        <w:t> </w:t>
      </w:r>
      <w:r>
        <w:rPr>
          <w:sz w:val="19"/>
        </w:rPr>
        <w:t>a</w:t>
      </w:r>
      <w:r>
        <w:rPr>
          <w:spacing w:val="-23"/>
          <w:sz w:val="19"/>
        </w:rPr>
        <w:t> </w:t>
      </w:r>
      <w:r>
        <w:rPr>
          <w:spacing w:val="-3"/>
          <w:sz w:val="19"/>
        </w:rPr>
        <w:t>result</w:t>
      </w:r>
      <w:r>
        <w:rPr>
          <w:spacing w:val="-24"/>
          <w:sz w:val="19"/>
        </w:rPr>
        <w:t> </w:t>
      </w:r>
      <w:r>
        <w:rPr>
          <w:sz w:val="19"/>
        </w:rPr>
        <w:t>of</w:t>
      </w:r>
      <w:r>
        <w:rPr>
          <w:spacing w:val="-23"/>
          <w:sz w:val="19"/>
        </w:rPr>
        <w:t> </w:t>
      </w:r>
      <w:r>
        <w:rPr>
          <w:sz w:val="19"/>
        </w:rPr>
        <w:t>the</w:t>
      </w:r>
      <w:r>
        <w:rPr>
          <w:spacing w:val="-23"/>
          <w:sz w:val="19"/>
        </w:rPr>
        <w:t> </w:t>
      </w:r>
      <w:r>
        <w:rPr>
          <w:sz w:val="19"/>
        </w:rPr>
        <w:t>annual</w:t>
      </w:r>
      <w:r>
        <w:rPr>
          <w:spacing w:val="-23"/>
          <w:sz w:val="19"/>
        </w:rPr>
        <w:t> </w:t>
      </w:r>
      <w:r>
        <w:rPr>
          <w:spacing w:val="-3"/>
          <w:sz w:val="19"/>
        </w:rPr>
        <w:t>revaluation,</w:t>
      </w:r>
      <w:r>
        <w:rPr>
          <w:spacing w:val="-24"/>
          <w:sz w:val="19"/>
        </w:rPr>
        <w:t> </w:t>
      </w:r>
      <w:r>
        <w:rPr>
          <w:sz w:val="19"/>
        </w:rPr>
        <w:t>and</w:t>
      </w:r>
      <w:r>
        <w:rPr>
          <w:spacing w:val="-23"/>
          <w:sz w:val="19"/>
        </w:rPr>
        <w:t> </w:t>
      </w:r>
      <w:r>
        <w:rPr>
          <w:sz w:val="19"/>
        </w:rPr>
        <w:t>the</w:t>
      </w:r>
      <w:r>
        <w:rPr>
          <w:spacing w:val="-23"/>
          <w:sz w:val="19"/>
        </w:rPr>
        <w:t> </w:t>
      </w:r>
      <w:r>
        <w:rPr>
          <w:sz w:val="19"/>
        </w:rPr>
        <w:t>sale</w:t>
      </w:r>
      <w:r>
        <w:rPr>
          <w:spacing w:val="-23"/>
          <w:sz w:val="19"/>
        </w:rPr>
        <w:t> </w:t>
      </w:r>
      <w:r>
        <w:rPr>
          <w:sz w:val="19"/>
        </w:rPr>
        <w:t>of</w:t>
      </w:r>
      <w:r>
        <w:rPr>
          <w:spacing w:val="-24"/>
          <w:sz w:val="19"/>
        </w:rPr>
        <w:t> </w:t>
      </w:r>
      <w:r>
        <w:rPr>
          <w:sz w:val="19"/>
        </w:rPr>
        <w:t>vehicles</w:t>
      </w:r>
      <w:r>
        <w:rPr>
          <w:spacing w:val="-23"/>
          <w:sz w:val="19"/>
        </w:rPr>
        <w:t> </w:t>
      </w:r>
      <w:r>
        <w:rPr>
          <w:sz w:val="19"/>
        </w:rPr>
        <w:t>to</w:t>
      </w:r>
      <w:r>
        <w:rPr>
          <w:spacing w:val="-23"/>
          <w:sz w:val="19"/>
        </w:rPr>
        <w:t> </w:t>
      </w:r>
      <w:r>
        <w:rPr>
          <w:sz w:val="19"/>
        </w:rPr>
        <w:t>the</w:t>
      </w:r>
      <w:r>
        <w:rPr>
          <w:spacing w:val="-23"/>
          <w:sz w:val="19"/>
        </w:rPr>
        <w:t> </w:t>
      </w:r>
      <w:r>
        <w:rPr>
          <w:spacing w:val="-3"/>
          <w:sz w:val="19"/>
        </w:rPr>
        <w:t>Water</w:t>
      </w:r>
      <w:r>
        <w:rPr>
          <w:spacing w:val="-24"/>
          <w:sz w:val="19"/>
        </w:rPr>
        <w:t> </w:t>
      </w:r>
      <w:r>
        <w:rPr>
          <w:sz w:val="19"/>
        </w:rPr>
        <w:t>Corporation</w:t>
      </w:r>
      <w:r>
        <w:rPr>
          <w:spacing w:val="-23"/>
          <w:sz w:val="19"/>
        </w:rPr>
        <w:t> </w:t>
      </w:r>
      <w:r>
        <w:rPr>
          <w:sz w:val="19"/>
        </w:rPr>
        <w:t>as</w:t>
      </w:r>
      <w:r>
        <w:rPr>
          <w:spacing w:val="-23"/>
          <w:sz w:val="19"/>
        </w:rPr>
        <w:t> </w:t>
      </w:r>
      <w:r>
        <w:rPr>
          <w:sz w:val="19"/>
        </w:rPr>
        <w:t>part of their exit </w:t>
      </w:r>
      <w:r>
        <w:rPr>
          <w:spacing w:val="-3"/>
          <w:sz w:val="19"/>
        </w:rPr>
        <w:t>from </w:t>
      </w:r>
      <w:r>
        <w:rPr>
          <w:sz w:val="19"/>
        </w:rPr>
        <w:t>State Fleet during</w:t>
      </w:r>
      <w:r>
        <w:rPr>
          <w:spacing w:val="-30"/>
          <w:sz w:val="19"/>
        </w:rPr>
        <w:t> </w:t>
      </w:r>
      <w:r>
        <w:rPr>
          <w:sz w:val="19"/>
        </w:rPr>
        <w:t>2016-17.</w:t>
      </w:r>
    </w:p>
    <w:p>
      <w:pPr>
        <w:pStyle w:val="ListParagraph"/>
        <w:numPr>
          <w:ilvl w:val="0"/>
          <w:numId w:val="22"/>
        </w:numPr>
        <w:tabs>
          <w:tab w:pos="973" w:val="left" w:leader="none"/>
        </w:tabs>
        <w:spacing w:line="249" w:lineRule="auto" w:before="1" w:after="0"/>
        <w:ind w:left="970" w:right="1686" w:hanging="204"/>
        <w:jc w:val="left"/>
        <w:rPr>
          <w:sz w:val="19"/>
        </w:rPr>
      </w:pPr>
      <w:r>
        <w:rPr>
          <w:sz w:val="19"/>
        </w:rPr>
        <w:t>The</w:t>
      </w:r>
      <w:r>
        <w:rPr>
          <w:spacing w:val="-30"/>
          <w:sz w:val="19"/>
        </w:rPr>
        <w:t> </w:t>
      </w:r>
      <w:r>
        <w:rPr>
          <w:spacing w:val="-3"/>
          <w:sz w:val="19"/>
        </w:rPr>
        <w:t>growth</w:t>
      </w:r>
      <w:r>
        <w:rPr>
          <w:spacing w:val="-29"/>
          <w:sz w:val="19"/>
        </w:rPr>
        <w:t> </w:t>
      </w:r>
      <w:r>
        <w:rPr>
          <w:sz w:val="19"/>
        </w:rPr>
        <w:t>in</w:t>
      </w:r>
      <w:r>
        <w:rPr>
          <w:spacing w:val="-30"/>
          <w:sz w:val="19"/>
        </w:rPr>
        <w:t> </w:t>
      </w:r>
      <w:r>
        <w:rPr>
          <w:sz w:val="19"/>
        </w:rPr>
        <w:t>lease</w:t>
      </w:r>
      <w:r>
        <w:rPr>
          <w:spacing w:val="-29"/>
          <w:sz w:val="19"/>
        </w:rPr>
        <w:t> </w:t>
      </w:r>
      <w:r>
        <w:rPr>
          <w:sz w:val="19"/>
        </w:rPr>
        <w:t>incentives</w:t>
      </w:r>
      <w:r>
        <w:rPr>
          <w:spacing w:val="-29"/>
          <w:sz w:val="19"/>
        </w:rPr>
        <w:t> </w:t>
      </w:r>
      <w:r>
        <w:rPr>
          <w:sz w:val="19"/>
        </w:rPr>
        <w:t>negotiated</w:t>
      </w:r>
      <w:r>
        <w:rPr>
          <w:spacing w:val="-30"/>
          <w:sz w:val="19"/>
        </w:rPr>
        <w:t> </w:t>
      </w:r>
      <w:r>
        <w:rPr>
          <w:sz w:val="19"/>
        </w:rPr>
        <w:t>for</w:t>
      </w:r>
      <w:r>
        <w:rPr>
          <w:spacing w:val="-29"/>
          <w:sz w:val="19"/>
        </w:rPr>
        <w:t> </w:t>
      </w:r>
      <w:r>
        <w:rPr>
          <w:sz w:val="19"/>
        </w:rPr>
        <w:t>Government</w:t>
      </w:r>
      <w:r>
        <w:rPr>
          <w:spacing w:val="-29"/>
          <w:sz w:val="19"/>
        </w:rPr>
        <w:t> </w:t>
      </w:r>
      <w:r>
        <w:rPr>
          <w:spacing w:val="-3"/>
          <w:sz w:val="19"/>
        </w:rPr>
        <w:t>office</w:t>
      </w:r>
      <w:r>
        <w:rPr>
          <w:spacing w:val="-30"/>
          <w:sz w:val="19"/>
        </w:rPr>
        <w:t> </w:t>
      </w:r>
      <w:r>
        <w:rPr>
          <w:sz w:val="19"/>
        </w:rPr>
        <w:t>accommodation</w:t>
      </w:r>
      <w:r>
        <w:rPr>
          <w:spacing w:val="-29"/>
          <w:sz w:val="19"/>
        </w:rPr>
        <w:t> </w:t>
      </w:r>
      <w:r>
        <w:rPr>
          <w:sz w:val="19"/>
        </w:rPr>
        <w:t>has</w:t>
      </w:r>
      <w:r>
        <w:rPr>
          <w:spacing w:val="-29"/>
          <w:sz w:val="19"/>
        </w:rPr>
        <w:t> </w:t>
      </w:r>
      <w:r>
        <w:rPr>
          <w:spacing w:val="-3"/>
          <w:sz w:val="19"/>
        </w:rPr>
        <w:t>increased</w:t>
      </w:r>
      <w:r>
        <w:rPr>
          <w:spacing w:val="-30"/>
          <w:sz w:val="19"/>
        </w:rPr>
        <w:t> </w:t>
      </w:r>
      <w:r>
        <w:rPr>
          <w:sz w:val="19"/>
        </w:rPr>
        <w:t>due</w:t>
      </w:r>
      <w:r>
        <w:rPr>
          <w:spacing w:val="-29"/>
          <w:sz w:val="19"/>
        </w:rPr>
        <w:t> </w:t>
      </w:r>
      <w:r>
        <w:rPr>
          <w:sz w:val="19"/>
        </w:rPr>
        <w:t>to</w:t>
      </w:r>
      <w:r>
        <w:rPr>
          <w:spacing w:val="-30"/>
          <w:sz w:val="19"/>
        </w:rPr>
        <w:t> </w:t>
      </w:r>
      <w:r>
        <w:rPr>
          <w:sz w:val="19"/>
        </w:rPr>
        <w:t>market</w:t>
      </w:r>
      <w:r>
        <w:rPr>
          <w:spacing w:val="-29"/>
          <w:sz w:val="19"/>
        </w:rPr>
        <w:t> </w:t>
      </w:r>
      <w:r>
        <w:rPr>
          <w:sz w:val="19"/>
        </w:rPr>
        <w:t>conditions.</w:t>
      </w:r>
      <w:r>
        <w:rPr>
          <w:spacing w:val="-29"/>
          <w:sz w:val="19"/>
        </w:rPr>
        <w:t> </w:t>
      </w:r>
      <w:r>
        <w:rPr>
          <w:sz w:val="19"/>
        </w:rPr>
        <w:t>The</w:t>
      </w:r>
      <w:r>
        <w:rPr>
          <w:spacing w:val="-30"/>
          <w:sz w:val="19"/>
        </w:rPr>
        <w:t> </w:t>
      </w:r>
      <w:r>
        <w:rPr>
          <w:spacing w:val="-3"/>
          <w:sz w:val="19"/>
        </w:rPr>
        <w:t>increase</w:t>
      </w:r>
      <w:r>
        <w:rPr>
          <w:spacing w:val="-29"/>
          <w:sz w:val="19"/>
        </w:rPr>
        <w:t> </w:t>
      </w:r>
      <w:r>
        <w:rPr>
          <w:sz w:val="19"/>
        </w:rPr>
        <w:t>for</w:t>
      </w:r>
      <w:r>
        <w:rPr>
          <w:spacing w:val="-29"/>
          <w:sz w:val="19"/>
        </w:rPr>
        <w:t> </w:t>
      </w:r>
      <w:r>
        <w:rPr>
          <w:sz w:val="19"/>
        </w:rPr>
        <w:t>2017</w:t>
      </w:r>
      <w:r>
        <w:rPr>
          <w:spacing w:val="-30"/>
          <w:sz w:val="19"/>
        </w:rPr>
        <w:t> </w:t>
      </w:r>
      <w:r>
        <w:rPr>
          <w:sz w:val="19"/>
        </w:rPr>
        <w:t>includes</w:t>
      </w:r>
      <w:r>
        <w:rPr>
          <w:spacing w:val="-29"/>
          <w:sz w:val="19"/>
        </w:rPr>
        <w:t> </w:t>
      </w:r>
      <w:r>
        <w:rPr>
          <w:sz w:val="19"/>
        </w:rPr>
        <w:t>a</w:t>
      </w:r>
      <w:r>
        <w:rPr>
          <w:spacing w:val="-29"/>
          <w:sz w:val="19"/>
        </w:rPr>
        <w:t> </w:t>
      </w:r>
      <w:r>
        <w:rPr>
          <w:sz w:val="19"/>
        </w:rPr>
        <w:t>significant</w:t>
      </w:r>
      <w:r>
        <w:rPr>
          <w:spacing w:val="-30"/>
          <w:sz w:val="19"/>
        </w:rPr>
        <w:t> </w:t>
      </w:r>
      <w:r>
        <w:rPr>
          <w:sz w:val="19"/>
        </w:rPr>
        <w:t>incentive</w:t>
      </w:r>
      <w:r>
        <w:rPr>
          <w:spacing w:val="-29"/>
          <w:sz w:val="19"/>
        </w:rPr>
        <w:t> </w:t>
      </w:r>
      <w:r>
        <w:rPr>
          <w:spacing w:val="-2"/>
          <w:sz w:val="19"/>
        </w:rPr>
        <w:t>for </w:t>
      </w:r>
      <w:r>
        <w:rPr>
          <w:sz w:val="19"/>
        </w:rPr>
        <w:t>the St </w:t>
      </w:r>
      <w:r>
        <w:rPr>
          <w:spacing w:val="-5"/>
          <w:sz w:val="19"/>
        </w:rPr>
        <w:t>George’s </w:t>
      </w:r>
      <w:r>
        <w:rPr>
          <w:sz w:val="19"/>
        </w:rPr>
        <w:t>Cathedral Heritage</w:t>
      </w:r>
      <w:r>
        <w:rPr>
          <w:spacing w:val="-19"/>
          <w:sz w:val="19"/>
        </w:rPr>
        <w:t> </w:t>
      </w:r>
      <w:r>
        <w:rPr>
          <w:spacing w:val="-3"/>
          <w:sz w:val="19"/>
        </w:rPr>
        <w:t>Precinct.</w:t>
      </w:r>
    </w:p>
    <w:p>
      <w:pPr>
        <w:pStyle w:val="BodyText"/>
        <w:spacing w:before="11"/>
        <w:rPr>
          <w:sz w:val="19"/>
        </w:rPr>
      </w:pPr>
    </w:p>
    <w:p>
      <w:pPr>
        <w:spacing w:before="0"/>
        <w:ind w:left="766" w:right="0" w:firstLine="0"/>
        <w:jc w:val="left"/>
        <w:rPr>
          <w:i/>
          <w:sz w:val="19"/>
        </w:rPr>
      </w:pPr>
      <w:r>
        <w:rPr>
          <w:i/>
          <w:color w:val="6F2770"/>
          <w:sz w:val="19"/>
        </w:rPr>
        <w:t>Major Actual (2017) and Comparative (2016) Variance Narratives</w:t>
      </w:r>
    </w:p>
    <w:p>
      <w:pPr>
        <w:pStyle w:val="ListParagraph"/>
        <w:numPr>
          <w:ilvl w:val="0"/>
          <w:numId w:val="23"/>
        </w:numPr>
        <w:tabs>
          <w:tab w:pos="973" w:val="left" w:leader="none"/>
        </w:tabs>
        <w:spacing w:line="240" w:lineRule="auto" w:before="10" w:after="0"/>
        <w:ind w:left="972" w:right="0" w:hanging="206"/>
        <w:jc w:val="left"/>
        <w:rPr>
          <w:sz w:val="19"/>
        </w:rPr>
      </w:pPr>
      <w:r>
        <w:rPr>
          <w:spacing w:val="-3"/>
          <w:sz w:val="19"/>
        </w:rPr>
        <w:t>Growth</w:t>
      </w:r>
      <w:r>
        <w:rPr>
          <w:spacing w:val="-17"/>
          <w:sz w:val="19"/>
        </w:rPr>
        <w:t> </w:t>
      </w:r>
      <w:r>
        <w:rPr>
          <w:sz w:val="19"/>
        </w:rPr>
        <w:t>in</w:t>
      </w:r>
      <w:r>
        <w:rPr>
          <w:spacing w:val="-17"/>
          <w:sz w:val="19"/>
        </w:rPr>
        <w:t> </w:t>
      </w:r>
      <w:r>
        <w:rPr>
          <w:sz w:val="19"/>
        </w:rPr>
        <w:t>amounts</w:t>
      </w:r>
      <w:r>
        <w:rPr>
          <w:spacing w:val="-17"/>
          <w:sz w:val="19"/>
        </w:rPr>
        <w:t> </w:t>
      </w:r>
      <w:r>
        <w:rPr>
          <w:spacing w:val="-3"/>
          <w:sz w:val="19"/>
        </w:rPr>
        <w:t>receivable</w:t>
      </w:r>
      <w:r>
        <w:rPr>
          <w:spacing w:val="-17"/>
          <w:sz w:val="19"/>
        </w:rPr>
        <w:t> </w:t>
      </w:r>
      <w:r>
        <w:rPr>
          <w:sz w:val="19"/>
        </w:rPr>
        <w:t>for</w:t>
      </w:r>
      <w:r>
        <w:rPr>
          <w:spacing w:val="-16"/>
          <w:sz w:val="19"/>
        </w:rPr>
        <w:t> </w:t>
      </w:r>
      <w:r>
        <w:rPr>
          <w:sz w:val="19"/>
        </w:rPr>
        <w:t>services</w:t>
      </w:r>
      <w:r>
        <w:rPr>
          <w:spacing w:val="-17"/>
          <w:sz w:val="19"/>
        </w:rPr>
        <w:t> </w:t>
      </w:r>
      <w:r>
        <w:rPr>
          <w:spacing w:val="-3"/>
          <w:sz w:val="19"/>
        </w:rPr>
        <w:t>relates</w:t>
      </w:r>
      <w:r>
        <w:rPr>
          <w:spacing w:val="-17"/>
          <w:sz w:val="19"/>
        </w:rPr>
        <w:t> </w:t>
      </w:r>
      <w:r>
        <w:rPr>
          <w:sz w:val="19"/>
        </w:rPr>
        <w:t>to</w:t>
      </w:r>
      <w:r>
        <w:rPr>
          <w:spacing w:val="-17"/>
          <w:sz w:val="19"/>
        </w:rPr>
        <w:t> </w:t>
      </w:r>
      <w:r>
        <w:rPr>
          <w:spacing w:val="-3"/>
          <w:sz w:val="19"/>
        </w:rPr>
        <w:t>increasing</w:t>
      </w:r>
      <w:r>
        <w:rPr>
          <w:spacing w:val="-16"/>
          <w:sz w:val="19"/>
        </w:rPr>
        <w:t> </w:t>
      </w:r>
      <w:r>
        <w:rPr>
          <w:spacing w:val="-3"/>
          <w:sz w:val="19"/>
        </w:rPr>
        <w:t>depreciating</w:t>
      </w:r>
      <w:r>
        <w:rPr>
          <w:spacing w:val="-17"/>
          <w:sz w:val="19"/>
        </w:rPr>
        <w:t> </w:t>
      </w:r>
      <w:r>
        <w:rPr>
          <w:spacing w:val="-3"/>
          <w:sz w:val="19"/>
        </w:rPr>
        <w:t>provisions</w:t>
      </w:r>
      <w:r>
        <w:rPr>
          <w:spacing w:val="-17"/>
          <w:sz w:val="19"/>
        </w:rPr>
        <w:t> </w:t>
      </w:r>
      <w:r>
        <w:rPr>
          <w:sz w:val="19"/>
        </w:rPr>
        <w:t>for</w:t>
      </w:r>
      <w:r>
        <w:rPr>
          <w:spacing w:val="-17"/>
          <w:sz w:val="19"/>
        </w:rPr>
        <w:t> </w:t>
      </w:r>
      <w:r>
        <w:rPr>
          <w:sz w:val="19"/>
        </w:rPr>
        <w:t>additional</w:t>
      </w:r>
      <w:r>
        <w:rPr>
          <w:spacing w:val="-16"/>
          <w:sz w:val="19"/>
        </w:rPr>
        <w:t> </w:t>
      </w:r>
      <w:r>
        <w:rPr>
          <w:sz w:val="19"/>
        </w:rPr>
        <w:t>state</w:t>
      </w:r>
      <w:r>
        <w:rPr>
          <w:spacing w:val="-17"/>
          <w:sz w:val="19"/>
        </w:rPr>
        <w:t> </w:t>
      </w:r>
      <w:r>
        <w:rPr>
          <w:sz w:val="19"/>
        </w:rPr>
        <w:t>owned</w:t>
      </w:r>
      <w:r>
        <w:rPr>
          <w:spacing w:val="-17"/>
          <w:sz w:val="19"/>
        </w:rPr>
        <w:t> </w:t>
      </w:r>
      <w:r>
        <w:rPr>
          <w:sz w:val="19"/>
        </w:rPr>
        <w:t>assets</w:t>
      </w:r>
      <w:r>
        <w:rPr>
          <w:spacing w:val="-17"/>
          <w:sz w:val="19"/>
        </w:rPr>
        <w:t> </w:t>
      </w:r>
      <w:r>
        <w:rPr>
          <w:spacing w:val="-3"/>
          <w:sz w:val="19"/>
        </w:rPr>
        <w:t>related</w:t>
      </w:r>
      <w:r>
        <w:rPr>
          <w:spacing w:val="-16"/>
          <w:sz w:val="19"/>
        </w:rPr>
        <w:t> </w:t>
      </w:r>
      <w:r>
        <w:rPr>
          <w:sz w:val="19"/>
        </w:rPr>
        <w:t>to</w:t>
      </w:r>
      <w:r>
        <w:rPr>
          <w:spacing w:val="-17"/>
          <w:sz w:val="19"/>
        </w:rPr>
        <w:t> </w:t>
      </w:r>
      <w:r>
        <w:rPr>
          <w:sz w:val="19"/>
        </w:rPr>
        <w:t>the</w:t>
      </w:r>
      <w:r>
        <w:rPr>
          <w:spacing w:val="-17"/>
          <w:sz w:val="19"/>
        </w:rPr>
        <w:t> </w:t>
      </w:r>
      <w:r>
        <w:rPr>
          <w:sz w:val="19"/>
        </w:rPr>
        <w:t>capital</w:t>
      </w:r>
      <w:r>
        <w:rPr>
          <w:spacing w:val="-17"/>
          <w:sz w:val="19"/>
        </w:rPr>
        <w:t> </w:t>
      </w:r>
      <w:r>
        <w:rPr>
          <w:sz w:val="19"/>
        </w:rPr>
        <w:t>works</w:t>
      </w:r>
      <w:r>
        <w:rPr>
          <w:spacing w:val="-16"/>
          <w:sz w:val="19"/>
        </w:rPr>
        <w:t> </w:t>
      </w:r>
      <w:r>
        <w:rPr>
          <w:spacing w:val="-3"/>
          <w:sz w:val="19"/>
        </w:rPr>
        <w:t>program</w:t>
      </w:r>
      <w:r>
        <w:rPr>
          <w:spacing w:val="-17"/>
          <w:sz w:val="19"/>
        </w:rPr>
        <w:t> </w:t>
      </w:r>
      <w:r>
        <w:rPr>
          <w:sz w:val="19"/>
        </w:rPr>
        <w:t>undertaken</w:t>
      </w:r>
      <w:r>
        <w:rPr>
          <w:spacing w:val="-17"/>
          <w:sz w:val="19"/>
        </w:rPr>
        <w:t> </w:t>
      </w:r>
      <w:r>
        <w:rPr>
          <w:sz w:val="19"/>
        </w:rPr>
        <w:t>by</w:t>
      </w:r>
      <w:r>
        <w:rPr>
          <w:spacing w:val="-17"/>
          <w:sz w:val="19"/>
        </w:rPr>
        <w:t> </w:t>
      </w:r>
      <w:r>
        <w:rPr>
          <w:sz w:val="19"/>
        </w:rPr>
        <w:t>the</w:t>
      </w:r>
      <w:r>
        <w:rPr>
          <w:spacing w:val="-16"/>
          <w:sz w:val="19"/>
        </w:rPr>
        <w:t> </w:t>
      </w:r>
      <w:r>
        <w:rPr>
          <w:sz w:val="19"/>
        </w:rPr>
        <w:t>Department.</w:t>
      </w:r>
    </w:p>
    <w:p>
      <w:pPr>
        <w:pStyle w:val="ListParagraph"/>
        <w:numPr>
          <w:ilvl w:val="0"/>
          <w:numId w:val="23"/>
        </w:numPr>
        <w:tabs>
          <w:tab w:pos="973" w:val="left" w:leader="none"/>
        </w:tabs>
        <w:spacing w:line="249" w:lineRule="auto" w:before="9" w:after="0"/>
        <w:ind w:left="970" w:right="1442" w:hanging="204"/>
        <w:jc w:val="left"/>
        <w:rPr>
          <w:sz w:val="19"/>
        </w:rPr>
      </w:pPr>
      <w:r>
        <w:rPr>
          <w:sz w:val="19"/>
        </w:rPr>
        <w:t>The</w:t>
      </w:r>
      <w:r>
        <w:rPr>
          <w:spacing w:val="-23"/>
          <w:sz w:val="19"/>
        </w:rPr>
        <w:t> </w:t>
      </w:r>
      <w:r>
        <w:rPr>
          <w:sz w:val="19"/>
        </w:rPr>
        <w:t>variance</w:t>
      </w:r>
      <w:r>
        <w:rPr>
          <w:spacing w:val="-23"/>
          <w:sz w:val="19"/>
        </w:rPr>
        <w:t> </w:t>
      </w:r>
      <w:r>
        <w:rPr>
          <w:spacing w:val="-3"/>
          <w:sz w:val="19"/>
        </w:rPr>
        <w:t>compared</w:t>
      </w:r>
      <w:r>
        <w:rPr>
          <w:spacing w:val="-22"/>
          <w:sz w:val="19"/>
        </w:rPr>
        <w:t> </w:t>
      </w:r>
      <w:r>
        <w:rPr>
          <w:sz w:val="19"/>
        </w:rPr>
        <w:t>to</w:t>
      </w:r>
      <w:r>
        <w:rPr>
          <w:spacing w:val="-23"/>
          <w:sz w:val="19"/>
        </w:rPr>
        <w:t> </w:t>
      </w:r>
      <w:r>
        <w:rPr>
          <w:sz w:val="19"/>
        </w:rPr>
        <w:t>2016</w:t>
      </w:r>
      <w:r>
        <w:rPr>
          <w:spacing w:val="-22"/>
          <w:sz w:val="19"/>
        </w:rPr>
        <w:t> </w:t>
      </w:r>
      <w:r>
        <w:rPr>
          <w:spacing w:val="-3"/>
          <w:sz w:val="19"/>
        </w:rPr>
        <w:t>reflects</w:t>
      </w:r>
      <w:r>
        <w:rPr>
          <w:spacing w:val="-23"/>
          <w:sz w:val="19"/>
        </w:rPr>
        <w:t> </w:t>
      </w:r>
      <w:r>
        <w:rPr>
          <w:sz w:val="19"/>
        </w:rPr>
        <w:t>a</w:t>
      </w:r>
      <w:r>
        <w:rPr>
          <w:spacing w:val="-22"/>
          <w:sz w:val="19"/>
        </w:rPr>
        <w:t> </w:t>
      </w:r>
      <w:r>
        <w:rPr>
          <w:spacing w:val="-3"/>
          <w:sz w:val="19"/>
        </w:rPr>
        <w:t>decrease</w:t>
      </w:r>
      <w:r>
        <w:rPr>
          <w:spacing w:val="-23"/>
          <w:sz w:val="19"/>
        </w:rPr>
        <w:t> </w:t>
      </w:r>
      <w:r>
        <w:rPr>
          <w:sz w:val="19"/>
        </w:rPr>
        <w:t>in</w:t>
      </w:r>
      <w:r>
        <w:rPr>
          <w:spacing w:val="-23"/>
          <w:sz w:val="19"/>
        </w:rPr>
        <w:t> </w:t>
      </w:r>
      <w:r>
        <w:rPr>
          <w:sz w:val="19"/>
        </w:rPr>
        <w:t>the</w:t>
      </w:r>
      <w:r>
        <w:rPr>
          <w:spacing w:val="-22"/>
          <w:sz w:val="19"/>
        </w:rPr>
        <w:t> </w:t>
      </w:r>
      <w:r>
        <w:rPr>
          <w:sz w:val="19"/>
        </w:rPr>
        <w:t>value</w:t>
      </w:r>
      <w:r>
        <w:rPr>
          <w:spacing w:val="-23"/>
          <w:sz w:val="19"/>
        </w:rPr>
        <w:t> </w:t>
      </w:r>
      <w:r>
        <w:rPr>
          <w:sz w:val="19"/>
        </w:rPr>
        <w:t>of</w:t>
      </w:r>
      <w:r>
        <w:rPr>
          <w:spacing w:val="-22"/>
          <w:sz w:val="19"/>
        </w:rPr>
        <w:t> </w:t>
      </w:r>
      <w:r>
        <w:rPr>
          <w:sz w:val="19"/>
        </w:rPr>
        <w:t>land</w:t>
      </w:r>
      <w:r>
        <w:rPr>
          <w:spacing w:val="-23"/>
          <w:sz w:val="19"/>
        </w:rPr>
        <w:t> </w:t>
      </w:r>
      <w:r>
        <w:rPr>
          <w:sz w:val="19"/>
        </w:rPr>
        <w:t>and</w:t>
      </w:r>
      <w:r>
        <w:rPr>
          <w:spacing w:val="-22"/>
          <w:sz w:val="19"/>
        </w:rPr>
        <w:t> </w:t>
      </w:r>
      <w:r>
        <w:rPr>
          <w:sz w:val="19"/>
        </w:rPr>
        <w:t>buildings</w:t>
      </w:r>
      <w:r>
        <w:rPr>
          <w:spacing w:val="-23"/>
          <w:sz w:val="19"/>
        </w:rPr>
        <w:t> </w:t>
      </w:r>
      <w:r>
        <w:rPr>
          <w:sz w:val="19"/>
        </w:rPr>
        <w:t>as</w:t>
      </w:r>
      <w:r>
        <w:rPr>
          <w:spacing w:val="-23"/>
          <w:sz w:val="19"/>
        </w:rPr>
        <w:t> </w:t>
      </w:r>
      <w:r>
        <w:rPr>
          <w:sz w:val="19"/>
        </w:rPr>
        <w:t>a</w:t>
      </w:r>
      <w:r>
        <w:rPr>
          <w:spacing w:val="-22"/>
          <w:sz w:val="19"/>
        </w:rPr>
        <w:t> </w:t>
      </w:r>
      <w:r>
        <w:rPr>
          <w:spacing w:val="-3"/>
          <w:sz w:val="19"/>
        </w:rPr>
        <w:t>result</w:t>
      </w:r>
      <w:r>
        <w:rPr>
          <w:spacing w:val="-23"/>
          <w:sz w:val="19"/>
        </w:rPr>
        <w:t> </w:t>
      </w:r>
      <w:r>
        <w:rPr>
          <w:sz w:val="19"/>
        </w:rPr>
        <w:t>of</w:t>
      </w:r>
      <w:r>
        <w:rPr>
          <w:spacing w:val="-22"/>
          <w:sz w:val="19"/>
        </w:rPr>
        <w:t> </w:t>
      </w:r>
      <w:r>
        <w:rPr>
          <w:sz w:val="19"/>
        </w:rPr>
        <w:t>the</w:t>
      </w:r>
      <w:r>
        <w:rPr>
          <w:spacing w:val="-23"/>
          <w:sz w:val="19"/>
        </w:rPr>
        <w:t> </w:t>
      </w:r>
      <w:r>
        <w:rPr>
          <w:sz w:val="19"/>
        </w:rPr>
        <w:t>annual</w:t>
      </w:r>
      <w:r>
        <w:rPr>
          <w:spacing w:val="-22"/>
          <w:sz w:val="19"/>
        </w:rPr>
        <w:t> </w:t>
      </w:r>
      <w:r>
        <w:rPr>
          <w:spacing w:val="-3"/>
          <w:sz w:val="19"/>
        </w:rPr>
        <w:t>revaluation,</w:t>
      </w:r>
      <w:r>
        <w:rPr>
          <w:spacing w:val="-23"/>
          <w:sz w:val="19"/>
        </w:rPr>
        <w:t> </w:t>
      </w:r>
      <w:r>
        <w:rPr>
          <w:sz w:val="19"/>
        </w:rPr>
        <w:t>and</w:t>
      </w:r>
      <w:r>
        <w:rPr>
          <w:spacing w:val="-23"/>
          <w:sz w:val="19"/>
        </w:rPr>
        <w:t> </w:t>
      </w:r>
      <w:r>
        <w:rPr>
          <w:sz w:val="19"/>
        </w:rPr>
        <w:t>the</w:t>
      </w:r>
      <w:r>
        <w:rPr>
          <w:spacing w:val="-22"/>
          <w:sz w:val="19"/>
        </w:rPr>
        <w:t> </w:t>
      </w:r>
      <w:r>
        <w:rPr>
          <w:sz w:val="19"/>
        </w:rPr>
        <w:t>sale</w:t>
      </w:r>
      <w:r>
        <w:rPr>
          <w:spacing w:val="-23"/>
          <w:sz w:val="19"/>
        </w:rPr>
        <w:t> </w:t>
      </w:r>
      <w:r>
        <w:rPr>
          <w:sz w:val="19"/>
        </w:rPr>
        <w:t>of</w:t>
      </w:r>
      <w:r>
        <w:rPr>
          <w:spacing w:val="-22"/>
          <w:sz w:val="19"/>
        </w:rPr>
        <w:t> </w:t>
      </w:r>
      <w:r>
        <w:rPr>
          <w:sz w:val="19"/>
        </w:rPr>
        <w:t>vehicles</w:t>
      </w:r>
      <w:r>
        <w:rPr>
          <w:spacing w:val="-23"/>
          <w:sz w:val="19"/>
        </w:rPr>
        <w:t> </w:t>
      </w:r>
      <w:r>
        <w:rPr>
          <w:sz w:val="19"/>
        </w:rPr>
        <w:t>to</w:t>
      </w:r>
      <w:r>
        <w:rPr>
          <w:spacing w:val="-22"/>
          <w:sz w:val="19"/>
        </w:rPr>
        <w:t> </w:t>
      </w:r>
      <w:r>
        <w:rPr>
          <w:sz w:val="19"/>
        </w:rPr>
        <w:t>the</w:t>
      </w:r>
      <w:r>
        <w:rPr>
          <w:spacing w:val="-23"/>
          <w:sz w:val="19"/>
        </w:rPr>
        <w:t> </w:t>
      </w:r>
      <w:r>
        <w:rPr>
          <w:spacing w:val="-3"/>
          <w:sz w:val="19"/>
        </w:rPr>
        <w:t>Water</w:t>
      </w:r>
      <w:r>
        <w:rPr>
          <w:spacing w:val="-22"/>
          <w:sz w:val="19"/>
        </w:rPr>
        <w:t> </w:t>
      </w:r>
      <w:r>
        <w:rPr>
          <w:sz w:val="19"/>
        </w:rPr>
        <w:t>Corporation</w:t>
      </w:r>
      <w:r>
        <w:rPr>
          <w:spacing w:val="-23"/>
          <w:sz w:val="19"/>
        </w:rPr>
        <w:t> </w:t>
      </w:r>
      <w:r>
        <w:rPr>
          <w:sz w:val="19"/>
        </w:rPr>
        <w:t>as</w:t>
      </w:r>
      <w:r>
        <w:rPr>
          <w:spacing w:val="-23"/>
          <w:sz w:val="19"/>
        </w:rPr>
        <w:t> </w:t>
      </w:r>
      <w:r>
        <w:rPr>
          <w:sz w:val="19"/>
        </w:rPr>
        <w:t>part</w:t>
      </w:r>
      <w:r>
        <w:rPr>
          <w:spacing w:val="-22"/>
          <w:sz w:val="19"/>
        </w:rPr>
        <w:t> </w:t>
      </w:r>
      <w:r>
        <w:rPr>
          <w:sz w:val="19"/>
        </w:rPr>
        <w:t>of their exit </w:t>
      </w:r>
      <w:r>
        <w:rPr>
          <w:spacing w:val="-3"/>
          <w:sz w:val="19"/>
        </w:rPr>
        <w:t>from </w:t>
      </w:r>
      <w:r>
        <w:rPr>
          <w:sz w:val="19"/>
        </w:rPr>
        <w:t>State Fleet during</w:t>
      </w:r>
      <w:r>
        <w:rPr>
          <w:spacing w:val="-25"/>
          <w:sz w:val="19"/>
        </w:rPr>
        <w:t> </w:t>
      </w:r>
      <w:r>
        <w:rPr>
          <w:sz w:val="19"/>
        </w:rPr>
        <w:t>2016-17.</w:t>
      </w:r>
    </w:p>
    <w:p>
      <w:pPr>
        <w:pStyle w:val="BodyText"/>
        <w:spacing w:before="5"/>
        <w:rPr>
          <w:sz w:val="32"/>
        </w:rPr>
      </w:pPr>
    </w:p>
    <w:p>
      <w:pPr>
        <w:tabs>
          <w:tab w:pos="1227" w:val="left" w:leader="none"/>
          <w:tab w:pos="4671" w:val="left" w:leader="none"/>
          <w:tab w:pos="16072" w:val="left" w:leader="none"/>
        </w:tabs>
        <w:spacing w:before="0"/>
        <w:ind w:left="765" w:right="0" w:firstLine="0"/>
        <w:jc w:val="left"/>
        <w:rPr>
          <w:sz w:val="16"/>
        </w:rPr>
      </w:pPr>
      <w:r>
        <w:rPr>
          <w:b/>
          <w:color w:val="6F2770"/>
          <w:sz w:val="16"/>
        </w:rPr>
        <w:t>82</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footerReference w:type="default" r:id="rId234"/>
          <w:pgSz w:w="16840" w:h="11910" w:orient="landscape"/>
          <w:pgMar w:footer="0" w:header="0" w:top="0" w:bottom="28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pPr>
    </w:p>
    <w:p>
      <w:pPr>
        <w:pStyle w:val="Heading1"/>
        <w:spacing w:before="93"/>
      </w:pPr>
      <w:r>
        <w:rPr/>
        <w:pict>
          <v:group style="position:absolute;margin-left:763.172119pt;margin-top:-3.544212pt;width:61.1pt;height:45.2pt;mso-position-horizontal-relative:page;mso-position-vertical-relative:paragraph;z-index:25384"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b/>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25432" coordorigin="0,-1146" coordsize="2406,851">
            <v:rect style="position:absolute;left:0;top:-1147;width:2406;height:851" filled="true" fillcolor="#aebd37" stroked="false">
              <v:fill type="solid"/>
            </v:rect>
            <v:line style="position:absolute" from="0,-1146" to="0,-296" stroked="true" strokeweight="0pt" strokecolor="#aebd37">
              <v:stroke dashstyle="solid"/>
            </v:line>
            <v:shape style="position:absolute;left:0;top:-1147;width:2406;height:851" type="#_x0000_t202" filled="false"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25528"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b/>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spacing w:before="29"/>
      </w:pPr>
      <w:r>
        <w:rPr>
          <w:color w:val="A7BE39"/>
        </w:rPr>
        <w:t>For the year ended 30 June 2017</w:t>
      </w:r>
    </w:p>
    <w:p>
      <w:pPr>
        <w:pStyle w:val="Heading5"/>
        <w:spacing w:before="257"/>
      </w:pPr>
      <w:r>
        <w:rPr>
          <w:color w:val="6F2770"/>
        </w:rPr>
        <w:t>Note 44. Explanatory statement (cont.)</w:t>
      </w:r>
    </w:p>
    <w:p>
      <w:pPr>
        <w:pStyle w:val="BodyText"/>
        <w:spacing w:before="7"/>
        <w:rPr>
          <w:sz w:val="15"/>
        </w:rPr>
      </w:pPr>
    </w:p>
    <w:p>
      <w:pPr>
        <w:spacing w:before="107" w:after="45"/>
        <w:ind w:left="785" w:right="0" w:firstLine="0"/>
        <w:jc w:val="left"/>
        <w:rPr>
          <w:b/>
          <w:sz w:val="19"/>
        </w:rPr>
      </w:pPr>
      <w:r>
        <w:rPr/>
        <w:pict>
          <v:group style="position:absolute;margin-left:565.728027pt;margin-top:79.399483pt;width:237.85pt;height:130.9pt;mso-position-horizontal-relative:page;mso-position-vertical-relative:paragraph;z-index:-788296" coordorigin="11315,1588" coordsize="4757,2618">
            <v:shape style="position:absolute;left:11314;top:1587;width:4757;height:982" coordorigin="11315,1588" coordsize="4757,982" path="m12862,2242l11315,2242,11315,2569,12862,2569,12862,2242m12862,1588l11315,1588,11315,1915,12862,1915,12862,1588m16071,2242l14410,2242,12862,2242,12862,2569,14410,2569,16071,2569,16071,2242m16071,1588l14410,1588,12862,1588,12862,1915,14410,1915,16071,1915,16071,1588e" filled="true" fillcolor="#f4f4f4" stroked="false">
              <v:path arrowok="t"/>
              <v:fill type="solid"/>
            </v:shape>
            <v:shape style="position:absolute;left:11314;top:1915;width:4757;height:328" coordorigin="11315,1915" coordsize="4757,328" path="m12862,1915l11315,1915,11315,2242,12862,2242,12862,1915m16071,1915l14410,1915,12862,1915,12862,2242,14410,2242,16071,2242,16071,1915e" filled="true" fillcolor="#faf9f9" stroked="false">
              <v:path arrowok="t"/>
              <v:fill type="solid"/>
            </v:shape>
            <v:shape style="position:absolute;left:11314;top:2896;width:4757;height:328" coordorigin="11315,2897" coordsize="4757,328" path="m12862,2897l11315,2897,11315,3224,12862,3224,12862,2897m16071,2897l14410,2897,12862,2897,12862,3224,14410,3224,16071,3224,16071,2897e" filled="true" fillcolor="#f4f4f4" stroked="false">
              <v:path arrowok="t"/>
              <v:fill type="solid"/>
            </v:shape>
            <v:shape style="position:absolute;left:11314;top:2569;width:4757;height:328" coordorigin="11315,2569" coordsize="4757,328" path="m12862,2569l11315,2569,11315,2897,12862,2897,12862,2569m16071,2569l14410,2569,12862,2569,12862,2897,14410,2897,16071,2897,16071,2569e" filled="true" fillcolor="#faf9f9" stroked="false">
              <v:path arrowok="t"/>
              <v:fill type="solid"/>
            </v:shape>
            <v:shape style="position:absolute;left:11314;top:3550;width:4757;height:328" coordorigin="11315,3551" coordsize="4757,328" path="m12862,3551l11315,3551,11315,3878,12862,3878,12862,3551m16071,3551l14410,3551,12862,3551,12862,3878,14410,3878,16071,3878,16071,3551e" filled="true" fillcolor="#f4f4f4" stroked="false">
              <v:path arrowok="t"/>
              <v:fill type="solid"/>
            </v:shape>
            <v:shape style="position:absolute;left:11314;top:3223;width:4757;height:982" coordorigin="11315,3224" coordsize="4757,982" path="m12862,3878l11315,3878,11315,4205,12862,4205,12862,3878m12862,3224l11315,3224,11315,3551,12862,3551,12862,3224m16071,3878l14410,3878,12862,3878,12862,4205,14410,4205,16071,4205,16071,3878m16071,3224l14410,3224,12862,3224,12862,3551,14410,3551,16071,3551,16071,3224e" filled="true" fillcolor="#faf9f9" stroked="false">
              <v:path arrowok="t"/>
              <v:fill type="solid"/>
            </v:shape>
            <v:shape style="position:absolute;left:11314;top:1905;width:4757;height:1329" coordorigin="11315,1905" coordsize="4757,1329" path="m12852,3214l11315,3214,11315,3234,12852,3234,12852,3214m12852,2887l11315,2887,11315,2907,12852,2907,12852,2887m12852,2559l11315,2559,11315,2579,12852,2579,12852,2559m12852,2232l11315,2232,11315,2252,12852,2252,12852,2232m12852,1905l11315,1905,11315,1925,12852,1925,12852,1905m14400,3214l12872,3214,12872,3234,14400,3234,14400,3214m14400,2887l12872,2887,12872,2907,14400,2907,14400,2887m14400,2559l12872,2559,12872,2579,14400,2579,14400,2559m14400,2232l12872,2232,12872,2252,14400,2252,14400,2232m14400,1905l12872,1905,12872,1925,14400,1925,14400,1905m16071,3214l14420,3214,14420,3234,16071,3234,16071,3214m16071,2887l14420,2887,14420,2907,16071,2907,16071,2887m16071,2559l14420,2559,14420,2579,16071,2579,16071,2559m16071,2232l14420,2232,14420,2252,16071,2252,16071,2232m16071,1905l14420,1905,14420,1925,16071,1925,16071,1905e" filled="true" fillcolor="#ffffff" stroked="false">
              <v:path arrowok="t"/>
              <v:fill type="solid"/>
            </v:shape>
            <v:line style="position:absolute" from="12862,1915" to="12862,1593" stroked="true" strokeweight="1pt" strokecolor="#ffffff">
              <v:stroke dashstyle="solid"/>
            </v:line>
            <v:line style="position:absolute" from="14410,1915" to="14410,1593" stroked="true" strokeweight="1pt" strokecolor="#ffffff">
              <v:stroke dashstyle="solid"/>
            </v:line>
            <v:line style="position:absolute" from="12862,2242" to="12862,1915" stroked="true" strokeweight="1pt" strokecolor="#ffffff">
              <v:stroke dashstyle="solid"/>
            </v:line>
            <v:line style="position:absolute" from="14410,2242" to="14410,1915" stroked="true" strokeweight="1pt" strokecolor="#ffffff">
              <v:stroke dashstyle="solid"/>
            </v:line>
            <v:line style="position:absolute" from="12862,2569" to="12862,2242" stroked="true" strokeweight="1pt" strokecolor="#ffffff">
              <v:stroke dashstyle="solid"/>
            </v:line>
            <v:line style="position:absolute" from="14410,2569" to="14410,2242" stroked="true" strokeweight="1pt" strokecolor="#ffffff">
              <v:stroke dashstyle="solid"/>
            </v:line>
            <v:line style="position:absolute" from="12862,2897" to="12862,2569" stroked="true" strokeweight="1pt" strokecolor="#ffffff">
              <v:stroke dashstyle="solid"/>
            </v:line>
            <v:line style="position:absolute" from="14410,2897" to="14410,2569" stroked="true" strokeweight="1pt" strokecolor="#ffffff">
              <v:stroke dashstyle="solid"/>
            </v:line>
            <v:line style="position:absolute" from="12862,3224" to="12862,2897" stroked="true" strokeweight="1pt" strokecolor="#ffffff">
              <v:stroke dashstyle="solid"/>
            </v:line>
            <v:line style="position:absolute" from="14410,3224" to="14410,2897" stroked="true" strokeweight="1pt" strokecolor="#ffffff">
              <v:stroke dashstyle="solid"/>
            </v:line>
            <v:line style="position:absolute" from="12862,3541" to="12862,3224" stroked="true" strokeweight="1pt" strokecolor="#ffffff">
              <v:stroke dashstyle="solid"/>
            </v:line>
            <v:line style="position:absolute" from="14410,3541" to="14410,3224" stroked="true" strokeweight="1pt" strokecolor="#ffffff">
              <v:stroke dashstyle="solid"/>
            </v:line>
            <v:line style="position:absolute" from="12862,3873" to="12862,3561" stroked="true" strokeweight="1pt" strokecolor="#ffffff">
              <v:stroke dashstyle="solid"/>
            </v:line>
            <v:line style="position:absolute" from="14410,3873" to="14410,3561" stroked="true" strokeweight="1pt" strokecolor="#ffffff">
              <v:stroke dashstyle="solid"/>
            </v:line>
            <v:line style="position:absolute" from="12862,4200" to="12862,3883" stroked="true" strokeweight="1pt" strokecolor="#ffffff">
              <v:stroke dashstyle="solid"/>
            </v:line>
            <v:line style="position:absolute" from="14410,4200" to="14410,3883" stroked="true" strokeweight="1pt" strokecolor="#ffffff">
              <v:stroke dashstyle="solid"/>
            </v:line>
            <v:shape style="position:absolute;left:11314;top:3540;width:4757;height:20" coordorigin="11315,3541" coordsize="4757,20" path="m16071,3541l14410,3541,12862,3541,11315,3541,11315,3561,12862,3561,14410,3561,16071,3561,16071,3541e" filled="true" fillcolor="#ffffff" stroked="false">
              <v:path arrowok="t"/>
              <v:fill type="solid"/>
            </v:shape>
            <w10:wrap type="none"/>
          </v:group>
        </w:pict>
      </w:r>
      <w:r>
        <w:rPr>
          <w:b/>
          <w:sz w:val="19"/>
        </w:rPr>
        <w:t>Statement of Cash Flows (Controlled Operations)</w:t>
      </w: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6"/>
        <w:gridCol w:w="1548"/>
        <w:gridCol w:w="1548"/>
        <w:gridCol w:w="1548"/>
        <w:gridCol w:w="1622"/>
        <w:gridCol w:w="1496"/>
        <w:gridCol w:w="1641"/>
      </w:tblGrid>
      <w:tr>
        <w:trPr>
          <w:trHeight w:val="946" w:hRule="atLeast"/>
        </w:trPr>
        <w:tc>
          <w:tcPr>
            <w:tcW w:w="5896" w:type="dxa"/>
            <w:vMerge w:val="restart"/>
            <w:tcBorders>
              <w:left w:val="single" w:sz="8" w:space="0" w:color="FFFFFF"/>
            </w:tcBorders>
            <w:shd w:val="clear" w:color="auto" w:fill="783A79"/>
          </w:tcPr>
          <w:p>
            <w:pPr>
              <w:pStyle w:val="TableParagraph"/>
              <w:spacing w:before="0"/>
              <w:rPr>
                <w:rFonts w:ascii="Times New Roman"/>
                <w:sz w:val="20"/>
              </w:rPr>
            </w:pPr>
          </w:p>
        </w:tc>
        <w:tc>
          <w:tcPr>
            <w:tcW w:w="1548" w:type="dxa"/>
            <w:shd w:val="clear" w:color="auto" w:fill="783A79"/>
          </w:tcPr>
          <w:p>
            <w:pPr>
              <w:pStyle w:val="TableParagraph"/>
              <w:spacing w:before="42"/>
              <w:ind w:left="84" w:right="65"/>
              <w:jc w:val="center"/>
              <w:rPr>
                <w:b/>
                <w:sz w:val="19"/>
              </w:rPr>
            </w:pPr>
            <w:r>
              <w:rPr>
                <w:b/>
                <w:color w:val="FFFFFF"/>
                <w:sz w:val="19"/>
              </w:rPr>
              <w:t>Variance Note</w:t>
            </w:r>
          </w:p>
        </w:tc>
        <w:tc>
          <w:tcPr>
            <w:tcW w:w="1548" w:type="dxa"/>
            <w:shd w:val="clear" w:color="auto" w:fill="783A79"/>
          </w:tcPr>
          <w:p>
            <w:pPr>
              <w:pStyle w:val="TableParagraph"/>
              <w:spacing w:before="42"/>
              <w:ind w:right="101"/>
              <w:jc w:val="right"/>
              <w:rPr>
                <w:b/>
                <w:sz w:val="19"/>
              </w:rPr>
            </w:pPr>
            <w:r>
              <w:rPr>
                <w:b/>
                <w:color w:val="FFFFFF"/>
                <w:sz w:val="19"/>
              </w:rPr>
              <w:t>Estimate 2017</w:t>
            </w:r>
          </w:p>
        </w:tc>
        <w:tc>
          <w:tcPr>
            <w:tcW w:w="1548" w:type="dxa"/>
            <w:shd w:val="clear" w:color="auto" w:fill="783A79"/>
          </w:tcPr>
          <w:p>
            <w:pPr>
              <w:pStyle w:val="TableParagraph"/>
              <w:spacing w:before="42"/>
              <w:ind w:right="102"/>
              <w:jc w:val="right"/>
              <w:rPr>
                <w:b/>
                <w:sz w:val="19"/>
              </w:rPr>
            </w:pPr>
            <w:r>
              <w:rPr>
                <w:b/>
                <w:color w:val="FFFFFF"/>
                <w:sz w:val="19"/>
              </w:rPr>
              <w:t>Actual 2017</w:t>
            </w:r>
          </w:p>
        </w:tc>
        <w:tc>
          <w:tcPr>
            <w:tcW w:w="1622" w:type="dxa"/>
            <w:shd w:val="clear" w:color="auto" w:fill="783A79"/>
          </w:tcPr>
          <w:p>
            <w:pPr>
              <w:pStyle w:val="TableParagraph"/>
              <w:spacing w:before="42"/>
              <w:ind w:right="176"/>
              <w:jc w:val="right"/>
              <w:rPr>
                <w:b/>
                <w:sz w:val="19"/>
              </w:rPr>
            </w:pPr>
            <w:r>
              <w:rPr>
                <w:b/>
                <w:color w:val="FFFFFF"/>
                <w:sz w:val="19"/>
              </w:rPr>
              <w:t>Actual 2016</w:t>
            </w:r>
          </w:p>
        </w:tc>
        <w:tc>
          <w:tcPr>
            <w:tcW w:w="1496" w:type="dxa"/>
            <w:shd w:val="clear" w:color="auto" w:fill="783A79"/>
          </w:tcPr>
          <w:p>
            <w:pPr>
              <w:pStyle w:val="TableParagraph"/>
              <w:spacing w:line="249" w:lineRule="auto" w:before="42"/>
              <w:ind w:left="194" w:right="124" w:firstLine="393"/>
              <w:jc w:val="right"/>
              <w:rPr>
                <w:b/>
                <w:sz w:val="19"/>
              </w:rPr>
            </w:pPr>
            <w:r>
              <w:rPr>
                <w:b/>
                <w:color w:val="FFFFFF"/>
                <w:spacing w:val="-2"/>
                <w:sz w:val="19"/>
              </w:rPr>
              <w:t>Variance </w:t>
            </w:r>
            <w:r>
              <w:rPr>
                <w:b/>
                <w:color w:val="FFFFFF"/>
                <w:sz w:val="19"/>
              </w:rPr>
              <w:t>between estimate</w:t>
            </w:r>
            <w:r>
              <w:rPr>
                <w:b/>
                <w:color w:val="FFFFFF"/>
                <w:spacing w:val="14"/>
                <w:sz w:val="19"/>
              </w:rPr>
              <w:t> </w:t>
            </w:r>
            <w:r>
              <w:rPr>
                <w:b/>
                <w:color w:val="FFFFFF"/>
                <w:spacing w:val="-6"/>
                <w:sz w:val="19"/>
              </w:rPr>
              <w:t>and</w:t>
            </w:r>
          </w:p>
          <w:p>
            <w:pPr>
              <w:pStyle w:val="TableParagraph"/>
              <w:spacing w:line="200" w:lineRule="exact" w:before="2"/>
              <w:ind w:right="124"/>
              <w:jc w:val="right"/>
              <w:rPr>
                <w:b/>
                <w:sz w:val="19"/>
              </w:rPr>
            </w:pPr>
            <w:r>
              <w:rPr>
                <w:b/>
                <w:color w:val="FFFFFF"/>
                <w:sz w:val="19"/>
              </w:rPr>
              <w:t>actual</w:t>
            </w:r>
          </w:p>
        </w:tc>
        <w:tc>
          <w:tcPr>
            <w:tcW w:w="1641" w:type="dxa"/>
            <w:shd w:val="clear" w:color="auto" w:fill="783A79"/>
          </w:tcPr>
          <w:p>
            <w:pPr>
              <w:pStyle w:val="TableParagraph"/>
              <w:spacing w:line="249" w:lineRule="auto" w:before="42"/>
              <w:ind w:left="140" w:right="104" w:firstLine="612"/>
              <w:jc w:val="both"/>
              <w:rPr>
                <w:b/>
                <w:sz w:val="19"/>
              </w:rPr>
            </w:pPr>
            <w:r>
              <w:rPr>
                <w:b/>
                <w:color w:val="FFFFFF"/>
                <w:spacing w:val="-2"/>
                <w:sz w:val="19"/>
              </w:rPr>
              <w:t>Variance </w:t>
            </w:r>
            <w:r>
              <w:rPr>
                <w:b/>
                <w:color w:val="FFFFFF"/>
                <w:sz w:val="19"/>
              </w:rPr>
              <w:t>between actual results for</w:t>
            </w:r>
            <w:r>
              <w:rPr>
                <w:b/>
                <w:color w:val="FFFFFF"/>
                <w:spacing w:val="-12"/>
                <w:sz w:val="19"/>
              </w:rPr>
              <w:t> </w:t>
            </w:r>
            <w:r>
              <w:rPr>
                <w:b/>
                <w:color w:val="FFFFFF"/>
                <w:spacing w:val="-4"/>
                <w:sz w:val="19"/>
              </w:rPr>
              <w:t>2017</w:t>
            </w:r>
          </w:p>
          <w:p>
            <w:pPr>
              <w:pStyle w:val="TableParagraph"/>
              <w:spacing w:line="200" w:lineRule="exact" w:before="2"/>
              <w:ind w:left="721"/>
              <w:rPr>
                <w:b/>
                <w:sz w:val="19"/>
              </w:rPr>
            </w:pPr>
            <w:r>
              <w:rPr>
                <w:b/>
                <w:color w:val="FFFFFF"/>
                <w:sz w:val="19"/>
              </w:rPr>
              <w:t>and</w:t>
            </w:r>
            <w:r>
              <w:rPr>
                <w:b/>
                <w:color w:val="FFFFFF"/>
                <w:spacing w:val="-1"/>
                <w:sz w:val="19"/>
              </w:rPr>
              <w:t> </w:t>
            </w:r>
            <w:r>
              <w:rPr>
                <w:b/>
                <w:color w:val="FFFFFF"/>
                <w:sz w:val="19"/>
              </w:rPr>
              <w:t>2016</w:t>
            </w:r>
          </w:p>
        </w:tc>
      </w:tr>
      <w:tr>
        <w:trPr>
          <w:trHeight w:val="270" w:hRule="atLeast"/>
        </w:trPr>
        <w:tc>
          <w:tcPr>
            <w:tcW w:w="5896" w:type="dxa"/>
            <w:vMerge/>
            <w:tcBorders>
              <w:top w:val="nil"/>
              <w:left w:val="single" w:sz="8" w:space="0" w:color="FFFFFF"/>
            </w:tcBorders>
            <w:shd w:val="clear" w:color="auto" w:fill="783A79"/>
          </w:tcPr>
          <w:p>
            <w:pPr>
              <w:rPr>
                <w:sz w:val="2"/>
                <w:szCs w:val="2"/>
              </w:rPr>
            </w:pPr>
          </w:p>
        </w:tc>
        <w:tc>
          <w:tcPr>
            <w:tcW w:w="1548" w:type="dxa"/>
            <w:shd w:val="clear" w:color="auto" w:fill="783A79"/>
          </w:tcPr>
          <w:p>
            <w:pPr>
              <w:pStyle w:val="TableParagraph"/>
              <w:spacing w:before="0"/>
              <w:rPr>
                <w:rFonts w:ascii="Times New Roman"/>
                <w:sz w:val="20"/>
              </w:rPr>
            </w:pPr>
          </w:p>
        </w:tc>
        <w:tc>
          <w:tcPr>
            <w:tcW w:w="1548" w:type="dxa"/>
            <w:shd w:val="clear" w:color="auto" w:fill="783A79"/>
          </w:tcPr>
          <w:p>
            <w:pPr>
              <w:pStyle w:val="TableParagraph"/>
              <w:spacing w:before="7"/>
              <w:ind w:right="101"/>
              <w:jc w:val="right"/>
              <w:rPr>
                <w:b/>
                <w:sz w:val="19"/>
              </w:rPr>
            </w:pPr>
            <w:r>
              <w:rPr>
                <w:b/>
                <w:color w:val="FFFFFF"/>
                <w:w w:val="95"/>
                <w:sz w:val="19"/>
              </w:rPr>
              <w:t>$000</w:t>
            </w:r>
          </w:p>
        </w:tc>
        <w:tc>
          <w:tcPr>
            <w:tcW w:w="1548" w:type="dxa"/>
            <w:shd w:val="clear" w:color="auto" w:fill="783A79"/>
          </w:tcPr>
          <w:p>
            <w:pPr>
              <w:pStyle w:val="TableParagraph"/>
              <w:spacing w:before="7"/>
              <w:ind w:right="102"/>
              <w:jc w:val="right"/>
              <w:rPr>
                <w:b/>
                <w:sz w:val="19"/>
              </w:rPr>
            </w:pPr>
            <w:r>
              <w:rPr>
                <w:b/>
                <w:color w:val="FFFFFF"/>
                <w:w w:val="95"/>
                <w:sz w:val="19"/>
              </w:rPr>
              <w:t>$000</w:t>
            </w:r>
          </w:p>
        </w:tc>
        <w:tc>
          <w:tcPr>
            <w:tcW w:w="1622" w:type="dxa"/>
            <w:shd w:val="clear" w:color="auto" w:fill="783A79"/>
          </w:tcPr>
          <w:p>
            <w:pPr>
              <w:pStyle w:val="TableParagraph"/>
              <w:spacing w:before="7"/>
              <w:ind w:right="176"/>
              <w:jc w:val="right"/>
              <w:rPr>
                <w:b/>
                <w:sz w:val="19"/>
              </w:rPr>
            </w:pPr>
            <w:r>
              <w:rPr>
                <w:b/>
                <w:color w:val="FFFFFF"/>
                <w:w w:val="95"/>
                <w:sz w:val="19"/>
              </w:rPr>
              <w:t>$000</w:t>
            </w:r>
          </w:p>
        </w:tc>
        <w:tc>
          <w:tcPr>
            <w:tcW w:w="1496" w:type="dxa"/>
            <w:shd w:val="clear" w:color="auto" w:fill="783A79"/>
          </w:tcPr>
          <w:p>
            <w:pPr>
              <w:pStyle w:val="TableParagraph"/>
              <w:spacing w:before="7"/>
              <w:ind w:right="124"/>
              <w:jc w:val="right"/>
              <w:rPr>
                <w:b/>
                <w:sz w:val="19"/>
              </w:rPr>
            </w:pPr>
            <w:r>
              <w:rPr>
                <w:b/>
                <w:color w:val="FFFFFF"/>
                <w:w w:val="95"/>
                <w:sz w:val="19"/>
              </w:rPr>
              <w:t>$000</w:t>
            </w:r>
          </w:p>
        </w:tc>
        <w:tc>
          <w:tcPr>
            <w:tcW w:w="1641" w:type="dxa"/>
            <w:shd w:val="clear" w:color="auto" w:fill="783A79"/>
          </w:tcPr>
          <w:p>
            <w:pPr>
              <w:pStyle w:val="TableParagraph"/>
              <w:spacing w:before="7"/>
              <w:ind w:right="104"/>
              <w:jc w:val="right"/>
              <w:rPr>
                <w:b/>
                <w:sz w:val="19"/>
              </w:rPr>
            </w:pPr>
            <w:r>
              <w:rPr>
                <w:b/>
                <w:color w:val="FFFFFF"/>
                <w:w w:val="95"/>
                <w:sz w:val="19"/>
              </w:rPr>
              <w:t>$000</w:t>
            </w:r>
          </w:p>
        </w:tc>
      </w:tr>
      <w:tr>
        <w:trPr>
          <w:trHeight w:val="327" w:hRule="atLeast"/>
        </w:trPr>
        <w:tc>
          <w:tcPr>
            <w:tcW w:w="5896" w:type="dxa"/>
            <w:tcBorders>
              <w:left w:val="single" w:sz="8" w:space="0" w:color="FFFFFF"/>
              <w:right w:val="single" w:sz="8" w:space="0" w:color="FFFFFF"/>
            </w:tcBorders>
            <w:shd w:val="clear" w:color="auto" w:fill="F4F4F4"/>
          </w:tcPr>
          <w:p>
            <w:pPr>
              <w:pStyle w:val="TableParagraph"/>
              <w:spacing w:before="42"/>
              <w:ind w:left="113"/>
              <w:rPr>
                <w:b/>
                <w:sz w:val="19"/>
              </w:rPr>
            </w:pPr>
            <w:r>
              <w:rPr>
                <w:b/>
                <w:sz w:val="19"/>
              </w:rPr>
              <w:t>CASH FLOWS FROM STATE GOVERNMENT</w:t>
            </w:r>
          </w:p>
        </w:tc>
        <w:tc>
          <w:tcPr>
            <w:tcW w:w="1548" w:type="dxa"/>
            <w:tcBorders>
              <w:left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left w:val="single" w:sz="8" w:space="0" w:color="FFFFFF"/>
            </w:tcBorders>
            <w:shd w:val="clear" w:color="auto" w:fill="F4F4F4"/>
          </w:tcPr>
          <w:p>
            <w:pPr>
              <w:pStyle w:val="TableParagraph"/>
              <w:spacing w:before="0"/>
              <w:rPr>
                <w:rFonts w:ascii="Times New Roman"/>
                <w:sz w:val="20"/>
              </w:rPr>
            </w:pPr>
          </w:p>
        </w:tc>
        <w:tc>
          <w:tcPr>
            <w:tcW w:w="1548" w:type="dxa"/>
            <w:shd w:val="clear" w:color="auto" w:fill="DFE1B8"/>
          </w:tcPr>
          <w:p>
            <w:pPr>
              <w:pStyle w:val="TableParagraph"/>
              <w:spacing w:before="0"/>
              <w:rPr>
                <w:rFonts w:ascii="Times New Roman"/>
                <w:sz w:val="20"/>
              </w:rPr>
            </w:pPr>
          </w:p>
        </w:tc>
        <w:tc>
          <w:tcPr>
            <w:tcW w:w="1622" w:type="dxa"/>
            <w:shd w:val="clear" w:color="auto" w:fill="F4F4F4"/>
          </w:tcPr>
          <w:p>
            <w:pPr>
              <w:pStyle w:val="TableParagraph"/>
              <w:spacing w:before="0"/>
              <w:rPr>
                <w:rFonts w:ascii="Times New Roman"/>
                <w:sz w:val="20"/>
              </w:rPr>
            </w:pPr>
          </w:p>
        </w:tc>
        <w:tc>
          <w:tcPr>
            <w:tcW w:w="1496" w:type="dxa"/>
            <w:shd w:val="clear" w:color="auto" w:fill="F4F4F4"/>
          </w:tcPr>
          <w:p>
            <w:pPr>
              <w:pStyle w:val="TableParagraph"/>
              <w:spacing w:before="0"/>
              <w:rPr>
                <w:rFonts w:ascii="Times New Roman"/>
                <w:sz w:val="20"/>
              </w:rPr>
            </w:pPr>
          </w:p>
        </w:tc>
        <w:tc>
          <w:tcPr>
            <w:tcW w:w="1641" w:type="dxa"/>
            <w:shd w:val="clear" w:color="auto" w:fill="F4F4F4"/>
          </w:tcPr>
          <w:p>
            <w:pPr>
              <w:pStyle w:val="TableParagraph"/>
              <w:spacing w:before="0"/>
              <w:rPr>
                <w:rFonts w:ascii="Times New Roman"/>
                <w:sz w:val="20"/>
              </w:rPr>
            </w:pPr>
          </w:p>
        </w:tc>
      </w:tr>
      <w:tr>
        <w:trPr>
          <w:trHeight w:val="317" w:hRule="atLeast"/>
        </w:trPr>
        <w:tc>
          <w:tcPr>
            <w:tcW w:w="5896" w:type="dxa"/>
            <w:tcBorders>
              <w:left w:val="single" w:sz="8" w:space="0" w:color="FFFFFF"/>
              <w:bottom w:val="single" w:sz="8" w:space="0" w:color="FFFFFF"/>
              <w:right w:val="single" w:sz="8" w:space="0" w:color="FFFFFF"/>
            </w:tcBorders>
            <w:shd w:val="clear" w:color="auto" w:fill="FAF9F9"/>
          </w:tcPr>
          <w:p>
            <w:pPr>
              <w:pStyle w:val="TableParagraph"/>
              <w:spacing w:before="42"/>
              <w:ind w:left="113"/>
              <w:rPr>
                <w:sz w:val="19"/>
              </w:rPr>
            </w:pPr>
            <w:r>
              <w:rPr>
                <w:sz w:val="19"/>
              </w:rPr>
              <w:t>Service appropriations</w:t>
            </w:r>
          </w:p>
        </w:tc>
        <w:tc>
          <w:tcPr>
            <w:tcW w:w="1548" w:type="dxa"/>
            <w:tcBorders>
              <w:left w:val="single" w:sz="8" w:space="0" w:color="FFFFFF"/>
              <w:bottom w:val="single" w:sz="8" w:space="0" w:color="FFFFFF"/>
              <w:right w:val="single" w:sz="8" w:space="0" w:color="FFFFFF"/>
            </w:tcBorders>
            <w:shd w:val="clear" w:color="auto" w:fill="FAF9F9"/>
          </w:tcPr>
          <w:p>
            <w:pPr>
              <w:pStyle w:val="TableParagraph"/>
              <w:spacing w:before="42"/>
              <w:ind w:left="19"/>
              <w:jc w:val="center"/>
              <w:rPr>
                <w:sz w:val="19"/>
              </w:rPr>
            </w:pPr>
            <w:hyperlink w:history="true" w:anchor="_bookmark56">
              <w:r>
                <w:rPr>
                  <w:color w:val="A7BE39"/>
                  <w:w w:val="99"/>
                  <w:sz w:val="19"/>
                  <w:u w:val="single" w:color="A7BE39"/>
                </w:rPr>
                <w:t>1</w:t>
              </w:r>
            </w:hyperlink>
          </w:p>
        </w:tc>
        <w:tc>
          <w:tcPr>
            <w:tcW w:w="1548" w:type="dxa"/>
            <w:tcBorders>
              <w:left w:val="single" w:sz="8" w:space="0" w:color="FFFFFF"/>
              <w:bottom w:val="single" w:sz="8" w:space="0" w:color="FFFFFF"/>
            </w:tcBorders>
            <w:shd w:val="clear" w:color="auto" w:fill="FAF9F9"/>
          </w:tcPr>
          <w:p>
            <w:pPr>
              <w:pStyle w:val="TableParagraph"/>
              <w:spacing w:before="42"/>
              <w:ind w:right="101"/>
              <w:jc w:val="right"/>
              <w:rPr>
                <w:sz w:val="19"/>
              </w:rPr>
            </w:pPr>
            <w:r>
              <w:rPr>
                <w:w w:val="95"/>
                <w:sz w:val="19"/>
              </w:rPr>
              <w:t>123,037</w:t>
            </w:r>
          </w:p>
        </w:tc>
        <w:tc>
          <w:tcPr>
            <w:tcW w:w="1548" w:type="dxa"/>
            <w:shd w:val="clear" w:color="auto" w:fill="E1E4BB"/>
          </w:tcPr>
          <w:p>
            <w:pPr>
              <w:pStyle w:val="TableParagraph"/>
              <w:spacing w:before="42"/>
              <w:ind w:right="102"/>
              <w:jc w:val="right"/>
              <w:rPr>
                <w:sz w:val="19"/>
              </w:rPr>
            </w:pPr>
            <w:r>
              <w:rPr>
                <w:w w:val="95"/>
                <w:sz w:val="19"/>
              </w:rPr>
              <w:t>113,948</w:t>
            </w:r>
          </w:p>
        </w:tc>
        <w:tc>
          <w:tcPr>
            <w:tcW w:w="1622" w:type="dxa"/>
            <w:shd w:val="clear" w:color="auto" w:fill="FAF9F9"/>
          </w:tcPr>
          <w:p>
            <w:pPr>
              <w:pStyle w:val="TableParagraph"/>
              <w:spacing w:before="42"/>
              <w:ind w:right="176"/>
              <w:jc w:val="right"/>
              <w:rPr>
                <w:sz w:val="19"/>
              </w:rPr>
            </w:pPr>
            <w:r>
              <w:rPr>
                <w:w w:val="95"/>
                <w:sz w:val="19"/>
              </w:rPr>
              <w:t>151,719</w:t>
            </w:r>
          </w:p>
        </w:tc>
        <w:tc>
          <w:tcPr>
            <w:tcW w:w="1496" w:type="dxa"/>
            <w:shd w:val="clear" w:color="auto" w:fill="FAF9F9"/>
          </w:tcPr>
          <w:p>
            <w:pPr>
              <w:pStyle w:val="TableParagraph"/>
              <w:spacing w:before="42"/>
              <w:ind w:right="124"/>
              <w:jc w:val="right"/>
              <w:rPr>
                <w:sz w:val="19"/>
              </w:rPr>
            </w:pPr>
            <w:r>
              <w:rPr>
                <w:w w:val="90"/>
                <w:sz w:val="19"/>
              </w:rPr>
              <w:t>(9,089)</w:t>
            </w:r>
          </w:p>
        </w:tc>
        <w:tc>
          <w:tcPr>
            <w:tcW w:w="1641" w:type="dxa"/>
            <w:shd w:val="clear" w:color="auto" w:fill="FAF9F9"/>
          </w:tcPr>
          <w:p>
            <w:pPr>
              <w:pStyle w:val="TableParagraph"/>
              <w:spacing w:before="42"/>
              <w:ind w:right="104"/>
              <w:jc w:val="right"/>
              <w:rPr>
                <w:sz w:val="19"/>
              </w:rPr>
            </w:pPr>
            <w:r>
              <w:rPr>
                <w:w w:val="95"/>
                <w:sz w:val="19"/>
              </w:rPr>
              <w:t>(37,771)</w:t>
            </w:r>
          </w:p>
        </w:tc>
      </w:tr>
      <w:tr>
        <w:trPr>
          <w:trHeight w:val="302" w:hRule="atLeast"/>
        </w:trPr>
        <w:tc>
          <w:tcPr>
            <w:tcW w:w="5896" w:type="dxa"/>
            <w:tcBorders>
              <w:top w:val="single" w:sz="8" w:space="0" w:color="FFFFFF"/>
              <w:left w:val="single" w:sz="8" w:space="0" w:color="FFFFFF"/>
              <w:right w:val="single" w:sz="8" w:space="0" w:color="FFFFFF"/>
            </w:tcBorders>
            <w:shd w:val="clear" w:color="auto" w:fill="F4F4F4"/>
          </w:tcPr>
          <w:p>
            <w:pPr>
              <w:pStyle w:val="TableParagraph"/>
              <w:ind w:left="113"/>
              <w:rPr>
                <w:sz w:val="19"/>
              </w:rPr>
            </w:pPr>
            <w:r>
              <w:rPr>
                <w:sz w:val="19"/>
              </w:rPr>
              <w:t>Capital appropriations</w:t>
            </w:r>
          </w:p>
        </w:tc>
        <w:tc>
          <w:tcPr>
            <w:tcW w:w="1548" w:type="dxa"/>
            <w:tcBorders>
              <w:top w:val="single" w:sz="8" w:space="0" w:color="FFFFFF"/>
              <w:left w:val="single" w:sz="8" w:space="0" w:color="FFFFFF"/>
              <w:right w:val="single" w:sz="8" w:space="0" w:color="FFFFFF"/>
            </w:tcBorders>
            <w:shd w:val="clear" w:color="auto" w:fill="F4F4F4"/>
          </w:tcPr>
          <w:p>
            <w:pPr>
              <w:pStyle w:val="TableParagraph"/>
              <w:ind w:left="19"/>
              <w:jc w:val="center"/>
              <w:rPr>
                <w:sz w:val="19"/>
              </w:rPr>
            </w:pPr>
            <w:hyperlink w:history="true" w:anchor="_bookmark56">
              <w:r>
                <w:rPr>
                  <w:color w:val="A7BE39"/>
                  <w:w w:val="99"/>
                  <w:sz w:val="19"/>
                  <w:u w:val="single" w:color="A7BE39"/>
                </w:rPr>
                <w:t>2</w:t>
              </w:r>
            </w:hyperlink>
          </w:p>
        </w:tc>
        <w:tc>
          <w:tcPr>
            <w:tcW w:w="1548" w:type="dxa"/>
            <w:tcBorders>
              <w:top w:val="single" w:sz="8" w:space="0" w:color="FFFFFF"/>
              <w:left w:val="single" w:sz="8" w:space="0" w:color="FFFFFF"/>
            </w:tcBorders>
            <w:shd w:val="clear" w:color="auto" w:fill="F4F4F4"/>
          </w:tcPr>
          <w:p>
            <w:pPr>
              <w:pStyle w:val="TableParagraph"/>
              <w:ind w:right="101"/>
              <w:jc w:val="right"/>
              <w:rPr>
                <w:sz w:val="19"/>
              </w:rPr>
            </w:pPr>
            <w:r>
              <w:rPr>
                <w:w w:val="95"/>
                <w:sz w:val="19"/>
              </w:rPr>
              <w:t>29,109</w:t>
            </w:r>
          </w:p>
        </w:tc>
        <w:tc>
          <w:tcPr>
            <w:tcW w:w="1548" w:type="dxa"/>
            <w:shd w:val="clear" w:color="auto" w:fill="DFE1B8"/>
          </w:tcPr>
          <w:p>
            <w:pPr>
              <w:pStyle w:val="TableParagraph"/>
              <w:ind w:right="102"/>
              <w:jc w:val="right"/>
              <w:rPr>
                <w:sz w:val="19"/>
              </w:rPr>
            </w:pPr>
            <w:r>
              <w:rPr>
                <w:w w:val="95"/>
                <w:sz w:val="19"/>
              </w:rPr>
              <w:t>28,763</w:t>
            </w:r>
          </w:p>
        </w:tc>
        <w:tc>
          <w:tcPr>
            <w:tcW w:w="1622" w:type="dxa"/>
            <w:shd w:val="clear" w:color="auto" w:fill="F4F4F4"/>
          </w:tcPr>
          <w:p>
            <w:pPr>
              <w:pStyle w:val="TableParagraph"/>
              <w:ind w:right="176"/>
              <w:jc w:val="right"/>
              <w:rPr>
                <w:sz w:val="19"/>
              </w:rPr>
            </w:pPr>
            <w:r>
              <w:rPr>
                <w:w w:val="95"/>
                <w:sz w:val="19"/>
              </w:rPr>
              <w:t>84,268</w:t>
            </w:r>
          </w:p>
        </w:tc>
        <w:tc>
          <w:tcPr>
            <w:tcW w:w="1496" w:type="dxa"/>
            <w:shd w:val="clear" w:color="auto" w:fill="F4F4F4"/>
          </w:tcPr>
          <w:p>
            <w:pPr>
              <w:pStyle w:val="TableParagraph"/>
              <w:ind w:right="124"/>
              <w:jc w:val="right"/>
              <w:rPr>
                <w:sz w:val="19"/>
              </w:rPr>
            </w:pPr>
            <w:r>
              <w:rPr>
                <w:w w:val="90"/>
                <w:sz w:val="19"/>
              </w:rPr>
              <w:t>(346)</w:t>
            </w:r>
          </w:p>
        </w:tc>
        <w:tc>
          <w:tcPr>
            <w:tcW w:w="1641" w:type="dxa"/>
            <w:shd w:val="clear" w:color="auto" w:fill="F4F4F4"/>
          </w:tcPr>
          <w:p>
            <w:pPr>
              <w:pStyle w:val="TableParagraph"/>
              <w:ind w:right="104"/>
              <w:jc w:val="right"/>
              <w:rPr>
                <w:sz w:val="19"/>
              </w:rPr>
            </w:pPr>
            <w:r>
              <w:rPr>
                <w:w w:val="95"/>
                <w:sz w:val="19"/>
              </w:rPr>
              <w:t>(55,505)</w:t>
            </w:r>
          </w:p>
        </w:tc>
      </w:tr>
      <w:tr>
        <w:trPr>
          <w:trHeight w:val="331" w:hRule="atLeast"/>
        </w:trPr>
        <w:tc>
          <w:tcPr>
            <w:tcW w:w="5896" w:type="dxa"/>
            <w:tcBorders>
              <w:left w:val="single" w:sz="8" w:space="0" w:color="FFFFFF"/>
              <w:bottom w:val="single" w:sz="8" w:space="0" w:color="FFFFFF"/>
              <w:right w:val="single" w:sz="8" w:space="0" w:color="FFFFFF"/>
            </w:tcBorders>
            <w:shd w:val="clear" w:color="auto" w:fill="FAF9F9"/>
          </w:tcPr>
          <w:p>
            <w:pPr>
              <w:pStyle w:val="TableParagraph"/>
              <w:spacing w:before="57"/>
              <w:ind w:left="113"/>
              <w:rPr>
                <w:sz w:val="19"/>
              </w:rPr>
            </w:pPr>
            <w:r>
              <w:rPr>
                <w:sz w:val="19"/>
              </w:rPr>
              <w:t>Holding account drawdowns</w:t>
            </w:r>
          </w:p>
        </w:tc>
        <w:tc>
          <w:tcPr>
            <w:tcW w:w="1548" w:type="dxa"/>
            <w:tcBorders>
              <w:left w:val="single" w:sz="8" w:space="0" w:color="FFFFFF"/>
              <w:bottom w:val="single" w:sz="8" w:space="0" w:color="FFFFFF"/>
              <w:right w:val="single" w:sz="8" w:space="0" w:color="FFFFFF"/>
            </w:tcBorders>
            <w:shd w:val="clear" w:color="auto" w:fill="FAF9F9"/>
          </w:tcPr>
          <w:p>
            <w:pPr>
              <w:pStyle w:val="TableParagraph"/>
              <w:spacing w:before="0"/>
              <w:rPr>
                <w:rFonts w:ascii="Times New Roman"/>
                <w:sz w:val="20"/>
              </w:rPr>
            </w:pPr>
          </w:p>
        </w:tc>
        <w:tc>
          <w:tcPr>
            <w:tcW w:w="1548" w:type="dxa"/>
            <w:tcBorders>
              <w:left w:val="single" w:sz="8" w:space="0" w:color="FFFFFF"/>
              <w:bottom w:val="single" w:sz="8" w:space="0" w:color="FFFFFF"/>
            </w:tcBorders>
            <w:shd w:val="clear" w:color="auto" w:fill="FAF9F9"/>
          </w:tcPr>
          <w:p>
            <w:pPr>
              <w:pStyle w:val="TableParagraph"/>
              <w:spacing w:before="57"/>
              <w:ind w:right="101"/>
              <w:jc w:val="right"/>
              <w:rPr>
                <w:sz w:val="19"/>
              </w:rPr>
            </w:pPr>
            <w:r>
              <w:rPr>
                <w:w w:val="95"/>
                <w:sz w:val="19"/>
              </w:rPr>
              <w:t>1,531</w:t>
            </w:r>
          </w:p>
        </w:tc>
        <w:tc>
          <w:tcPr>
            <w:tcW w:w="1548" w:type="dxa"/>
            <w:shd w:val="clear" w:color="auto" w:fill="E1E4BB"/>
          </w:tcPr>
          <w:p>
            <w:pPr>
              <w:pStyle w:val="TableParagraph"/>
              <w:spacing w:before="57"/>
              <w:ind w:right="101"/>
              <w:jc w:val="right"/>
              <w:rPr>
                <w:sz w:val="19"/>
              </w:rPr>
            </w:pPr>
            <w:r>
              <w:rPr>
                <w:w w:val="95"/>
                <w:sz w:val="19"/>
              </w:rPr>
              <w:t>770</w:t>
            </w:r>
          </w:p>
        </w:tc>
        <w:tc>
          <w:tcPr>
            <w:tcW w:w="1622" w:type="dxa"/>
            <w:shd w:val="clear" w:color="auto" w:fill="FAF9F9"/>
          </w:tcPr>
          <w:p>
            <w:pPr>
              <w:pStyle w:val="TableParagraph"/>
              <w:spacing w:before="57"/>
              <w:ind w:right="176"/>
              <w:jc w:val="right"/>
              <w:rPr>
                <w:sz w:val="19"/>
              </w:rPr>
            </w:pPr>
            <w:r>
              <w:rPr>
                <w:w w:val="95"/>
                <w:sz w:val="19"/>
              </w:rPr>
              <w:t>1,469</w:t>
            </w:r>
          </w:p>
        </w:tc>
        <w:tc>
          <w:tcPr>
            <w:tcW w:w="1496" w:type="dxa"/>
            <w:shd w:val="clear" w:color="auto" w:fill="FAF9F9"/>
          </w:tcPr>
          <w:p>
            <w:pPr>
              <w:pStyle w:val="TableParagraph"/>
              <w:spacing w:before="57"/>
              <w:ind w:right="124"/>
              <w:jc w:val="right"/>
              <w:rPr>
                <w:sz w:val="19"/>
              </w:rPr>
            </w:pPr>
            <w:r>
              <w:rPr>
                <w:w w:val="90"/>
                <w:sz w:val="19"/>
              </w:rPr>
              <w:t>(761)</w:t>
            </w:r>
          </w:p>
        </w:tc>
        <w:tc>
          <w:tcPr>
            <w:tcW w:w="1641" w:type="dxa"/>
            <w:shd w:val="clear" w:color="auto" w:fill="FAF9F9"/>
          </w:tcPr>
          <w:p>
            <w:pPr>
              <w:pStyle w:val="TableParagraph"/>
              <w:spacing w:before="57"/>
              <w:ind w:right="104"/>
              <w:jc w:val="right"/>
              <w:rPr>
                <w:sz w:val="19"/>
              </w:rPr>
            </w:pPr>
            <w:r>
              <w:rPr>
                <w:w w:val="90"/>
                <w:sz w:val="19"/>
              </w:rPr>
              <w:t>(699)</w:t>
            </w:r>
          </w:p>
        </w:tc>
      </w:tr>
      <w:tr>
        <w:trPr>
          <w:trHeight w:val="302" w:hRule="atLeast"/>
        </w:trPr>
        <w:tc>
          <w:tcPr>
            <w:tcW w:w="5896" w:type="dxa"/>
            <w:tcBorders>
              <w:top w:val="single" w:sz="8" w:space="0" w:color="FFFFFF"/>
              <w:left w:val="single" w:sz="8" w:space="0" w:color="FFFFFF"/>
              <w:right w:val="single" w:sz="8" w:space="0" w:color="FFFFFF"/>
            </w:tcBorders>
            <w:shd w:val="clear" w:color="auto" w:fill="F4F4F4"/>
          </w:tcPr>
          <w:p>
            <w:pPr>
              <w:pStyle w:val="TableParagraph"/>
              <w:ind w:left="113"/>
              <w:rPr>
                <w:sz w:val="19"/>
              </w:rPr>
            </w:pPr>
            <w:r>
              <w:rPr>
                <w:sz w:val="19"/>
              </w:rPr>
              <w:t>Royalties for Regions Fund</w:t>
            </w:r>
          </w:p>
        </w:tc>
        <w:tc>
          <w:tcPr>
            <w:tcW w:w="1548" w:type="dxa"/>
            <w:tcBorders>
              <w:top w:val="single" w:sz="8" w:space="0" w:color="FFFFFF"/>
              <w:left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tcBorders>
            <w:shd w:val="clear" w:color="auto" w:fill="F4F4F4"/>
          </w:tcPr>
          <w:p>
            <w:pPr>
              <w:pStyle w:val="TableParagraph"/>
              <w:ind w:right="101"/>
              <w:jc w:val="right"/>
              <w:rPr>
                <w:sz w:val="19"/>
              </w:rPr>
            </w:pPr>
            <w:r>
              <w:rPr>
                <w:w w:val="95"/>
                <w:sz w:val="19"/>
              </w:rPr>
              <w:t>141</w:t>
            </w:r>
          </w:p>
        </w:tc>
        <w:tc>
          <w:tcPr>
            <w:tcW w:w="1548" w:type="dxa"/>
            <w:shd w:val="clear" w:color="auto" w:fill="DFE1B8"/>
          </w:tcPr>
          <w:p>
            <w:pPr>
              <w:pStyle w:val="TableParagraph"/>
              <w:ind w:right="101"/>
              <w:jc w:val="right"/>
              <w:rPr>
                <w:sz w:val="19"/>
              </w:rPr>
            </w:pPr>
            <w:r>
              <w:rPr>
                <w:w w:val="95"/>
                <w:sz w:val="19"/>
              </w:rPr>
              <w:t>125</w:t>
            </w:r>
          </w:p>
        </w:tc>
        <w:tc>
          <w:tcPr>
            <w:tcW w:w="1622" w:type="dxa"/>
            <w:shd w:val="clear" w:color="auto" w:fill="F4F4F4"/>
          </w:tcPr>
          <w:p>
            <w:pPr>
              <w:pStyle w:val="TableParagraph"/>
              <w:ind w:right="176"/>
              <w:jc w:val="right"/>
              <w:rPr>
                <w:sz w:val="19"/>
              </w:rPr>
            </w:pPr>
            <w:r>
              <w:rPr>
                <w:w w:val="95"/>
                <w:sz w:val="19"/>
              </w:rPr>
              <w:t>127</w:t>
            </w:r>
          </w:p>
        </w:tc>
        <w:tc>
          <w:tcPr>
            <w:tcW w:w="1496" w:type="dxa"/>
            <w:shd w:val="clear" w:color="auto" w:fill="F4F4F4"/>
          </w:tcPr>
          <w:p>
            <w:pPr>
              <w:pStyle w:val="TableParagraph"/>
              <w:ind w:right="124"/>
              <w:jc w:val="right"/>
              <w:rPr>
                <w:sz w:val="19"/>
              </w:rPr>
            </w:pPr>
            <w:r>
              <w:rPr>
                <w:w w:val="85"/>
                <w:sz w:val="19"/>
              </w:rPr>
              <w:t>(16)</w:t>
            </w:r>
          </w:p>
        </w:tc>
        <w:tc>
          <w:tcPr>
            <w:tcW w:w="1641" w:type="dxa"/>
            <w:shd w:val="clear" w:color="auto" w:fill="F4F4F4"/>
          </w:tcPr>
          <w:p>
            <w:pPr>
              <w:pStyle w:val="TableParagraph"/>
              <w:ind w:right="104"/>
              <w:jc w:val="right"/>
              <w:rPr>
                <w:sz w:val="19"/>
              </w:rPr>
            </w:pPr>
            <w:r>
              <w:rPr>
                <w:w w:val="80"/>
                <w:sz w:val="19"/>
              </w:rPr>
              <w:t>(2)</w:t>
            </w:r>
          </w:p>
        </w:tc>
      </w:tr>
      <w:tr>
        <w:trPr>
          <w:trHeight w:val="331" w:hRule="atLeast"/>
        </w:trPr>
        <w:tc>
          <w:tcPr>
            <w:tcW w:w="5896" w:type="dxa"/>
            <w:tcBorders>
              <w:left w:val="single" w:sz="8" w:space="0" w:color="FFFFFF"/>
              <w:bottom w:val="single" w:sz="8" w:space="0" w:color="FFFFFF"/>
              <w:right w:val="single" w:sz="8" w:space="0" w:color="FFFFFF"/>
            </w:tcBorders>
            <w:shd w:val="clear" w:color="auto" w:fill="FAF9F9"/>
          </w:tcPr>
          <w:p>
            <w:pPr>
              <w:pStyle w:val="TableParagraph"/>
              <w:spacing w:before="57"/>
              <w:ind w:left="113"/>
              <w:rPr>
                <w:sz w:val="19"/>
              </w:rPr>
            </w:pPr>
            <w:r>
              <w:rPr>
                <w:sz w:val="19"/>
              </w:rPr>
              <w:t>Regional Infrastructure and Headworks Fund</w:t>
            </w:r>
          </w:p>
        </w:tc>
        <w:tc>
          <w:tcPr>
            <w:tcW w:w="1548" w:type="dxa"/>
            <w:tcBorders>
              <w:left w:val="single" w:sz="8" w:space="0" w:color="FFFFFF"/>
              <w:bottom w:val="single" w:sz="8" w:space="0" w:color="FFFFFF"/>
              <w:right w:val="single" w:sz="8" w:space="0" w:color="FFFFFF"/>
            </w:tcBorders>
            <w:shd w:val="clear" w:color="auto" w:fill="FAF9F9"/>
          </w:tcPr>
          <w:p>
            <w:pPr>
              <w:pStyle w:val="TableParagraph"/>
              <w:spacing w:before="0"/>
              <w:rPr>
                <w:rFonts w:ascii="Times New Roman"/>
                <w:sz w:val="20"/>
              </w:rPr>
            </w:pPr>
          </w:p>
        </w:tc>
        <w:tc>
          <w:tcPr>
            <w:tcW w:w="1548" w:type="dxa"/>
            <w:tcBorders>
              <w:left w:val="single" w:sz="8" w:space="0" w:color="FFFFFF"/>
              <w:bottom w:val="single" w:sz="8" w:space="0" w:color="FFFFFF"/>
            </w:tcBorders>
            <w:shd w:val="clear" w:color="auto" w:fill="FAF9F9"/>
          </w:tcPr>
          <w:p>
            <w:pPr>
              <w:pStyle w:val="TableParagraph"/>
              <w:spacing w:before="57"/>
              <w:ind w:right="101"/>
              <w:jc w:val="right"/>
              <w:rPr>
                <w:sz w:val="19"/>
              </w:rPr>
            </w:pPr>
            <w:r>
              <w:rPr>
                <w:w w:val="95"/>
                <w:sz w:val="19"/>
              </w:rPr>
              <w:t>250</w:t>
            </w:r>
          </w:p>
        </w:tc>
        <w:tc>
          <w:tcPr>
            <w:tcW w:w="1548" w:type="dxa"/>
            <w:shd w:val="clear" w:color="auto" w:fill="E1E4BB"/>
          </w:tcPr>
          <w:p>
            <w:pPr>
              <w:pStyle w:val="TableParagraph"/>
              <w:spacing w:before="57"/>
              <w:ind w:right="101"/>
              <w:jc w:val="right"/>
              <w:rPr>
                <w:sz w:val="19"/>
              </w:rPr>
            </w:pPr>
            <w:r>
              <w:rPr>
                <w:w w:val="95"/>
                <w:sz w:val="19"/>
              </w:rPr>
              <w:t>245</w:t>
            </w:r>
          </w:p>
        </w:tc>
        <w:tc>
          <w:tcPr>
            <w:tcW w:w="1622" w:type="dxa"/>
            <w:shd w:val="clear" w:color="auto" w:fill="FAF9F9"/>
          </w:tcPr>
          <w:p>
            <w:pPr>
              <w:pStyle w:val="TableParagraph"/>
              <w:spacing w:before="57"/>
              <w:ind w:right="175"/>
              <w:jc w:val="right"/>
              <w:rPr>
                <w:sz w:val="19"/>
              </w:rPr>
            </w:pPr>
            <w:r>
              <w:rPr>
                <w:w w:val="95"/>
                <w:sz w:val="19"/>
              </w:rPr>
              <w:t>5,250</w:t>
            </w:r>
          </w:p>
        </w:tc>
        <w:tc>
          <w:tcPr>
            <w:tcW w:w="1496" w:type="dxa"/>
            <w:shd w:val="clear" w:color="auto" w:fill="FAF9F9"/>
          </w:tcPr>
          <w:p>
            <w:pPr>
              <w:pStyle w:val="TableParagraph"/>
              <w:spacing w:before="57"/>
              <w:ind w:right="124"/>
              <w:jc w:val="right"/>
              <w:rPr>
                <w:sz w:val="19"/>
              </w:rPr>
            </w:pPr>
            <w:r>
              <w:rPr>
                <w:w w:val="80"/>
                <w:sz w:val="19"/>
              </w:rPr>
              <w:t>(5)</w:t>
            </w:r>
          </w:p>
        </w:tc>
        <w:tc>
          <w:tcPr>
            <w:tcW w:w="1641" w:type="dxa"/>
            <w:shd w:val="clear" w:color="auto" w:fill="FAF9F9"/>
          </w:tcPr>
          <w:p>
            <w:pPr>
              <w:pStyle w:val="TableParagraph"/>
              <w:spacing w:before="57"/>
              <w:ind w:right="103"/>
              <w:jc w:val="right"/>
              <w:rPr>
                <w:sz w:val="19"/>
              </w:rPr>
            </w:pPr>
            <w:r>
              <w:rPr>
                <w:w w:val="90"/>
                <w:sz w:val="19"/>
              </w:rPr>
              <w:t>(5,005)</w:t>
            </w:r>
          </w:p>
        </w:tc>
      </w:tr>
      <w:tr>
        <w:trPr>
          <w:trHeight w:val="312" w:hRule="atLeast"/>
        </w:trPr>
        <w:tc>
          <w:tcPr>
            <w:tcW w:w="5896" w:type="dxa"/>
            <w:tcBorders>
              <w:top w:val="single" w:sz="8" w:space="0" w:color="FFFFFF"/>
              <w:left w:val="single" w:sz="8" w:space="0" w:color="FFFFFF"/>
              <w:right w:val="single" w:sz="8" w:space="0" w:color="FFFFFF"/>
            </w:tcBorders>
            <w:shd w:val="clear" w:color="auto" w:fill="F4F4F4"/>
          </w:tcPr>
          <w:p>
            <w:pPr>
              <w:pStyle w:val="TableParagraph"/>
              <w:ind w:left="114"/>
              <w:rPr>
                <w:sz w:val="19"/>
              </w:rPr>
            </w:pPr>
            <w:r>
              <w:rPr>
                <w:sz w:val="19"/>
              </w:rPr>
              <w:t>Non-retained revenue distributed to owner</w:t>
            </w:r>
          </w:p>
        </w:tc>
        <w:tc>
          <w:tcPr>
            <w:tcW w:w="1548" w:type="dxa"/>
            <w:tcBorders>
              <w:top w:val="single" w:sz="8" w:space="0" w:color="FFFFFF"/>
              <w:left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4" w:space="0" w:color="000000"/>
            </w:tcBorders>
            <w:shd w:val="clear" w:color="auto" w:fill="F4F4F4"/>
          </w:tcPr>
          <w:p>
            <w:pPr>
              <w:pStyle w:val="TableParagraph"/>
              <w:ind w:right="101"/>
              <w:jc w:val="right"/>
              <w:rPr>
                <w:sz w:val="19"/>
              </w:rPr>
            </w:pPr>
            <w:r>
              <w:rPr>
                <w:w w:val="111"/>
                <w:sz w:val="19"/>
              </w:rPr>
              <w:t>-</w:t>
            </w:r>
          </w:p>
        </w:tc>
        <w:tc>
          <w:tcPr>
            <w:tcW w:w="1548" w:type="dxa"/>
            <w:tcBorders>
              <w:bottom w:val="single" w:sz="4" w:space="0" w:color="000000"/>
            </w:tcBorders>
            <w:shd w:val="clear" w:color="auto" w:fill="DFE1B8"/>
          </w:tcPr>
          <w:p>
            <w:pPr>
              <w:pStyle w:val="TableParagraph"/>
              <w:ind w:right="101"/>
              <w:jc w:val="right"/>
              <w:rPr>
                <w:sz w:val="19"/>
              </w:rPr>
            </w:pPr>
            <w:r>
              <w:rPr>
                <w:w w:val="85"/>
                <w:sz w:val="19"/>
              </w:rPr>
              <w:t>(24)</w:t>
            </w:r>
          </w:p>
        </w:tc>
        <w:tc>
          <w:tcPr>
            <w:tcW w:w="1622" w:type="dxa"/>
            <w:tcBorders>
              <w:bottom w:val="single" w:sz="4" w:space="0" w:color="000000"/>
            </w:tcBorders>
            <w:shd w:val="clear" w:color="auto" w:fill="F4F4F4"/>
          </w:tcPr>
          <w:p>
            <w:pPr>
              <w:pStyle w:val="TableParagraph"/>
              <w:ind w:right="175"/>
              <w:jc w:val="right"/>
              <w:rPr>
                <w:sz w:val="19"/>
              </w:rPr>
            </w:pPr>
            <w:r>
              <w:rPr>
                <w:w w:val="85"/>
                <w:sz w:val="19"/>
              </w:rPr>
              <w:t>(96)</w:t>
            </w:r>
          </w:p>
        </w:tc>
        <w:tc>
          <w:tcPr>
            <w:tcW w:w="1496" w:type="dxa"/>
            <w:tcBorders>
              <w:bottom w:val="single" w:sz="4" w:space="0" w:color="000000"/>
            </w:tcBorders>
            <w:shd w:val="clear" w:color="auto" w:fill="F4F4F4"/>
          </w:tcPr>
          <w:p>
            <w:pPr>
              <w:pStyle w:val="TableParagraph"/>
              <w:ind w:right="123"/>
              <w:jc w:val="right"/>
              <w:rPr>
                <w:sz w:val="19"/>
              </w:rPr>
            </w:pPr>
            <w:r>
              <w:rPr>
                <w:w w:val="85"/>
                <w:sz w:val="19"/>
              </w:rPr>
              <w:t>(24)</w:t>
            </w:r>
          </w:p>
        </w:tc>
        <w:tc>
          <w:tcPr>
            <w:tcW w:w="1641" w:type="dxa"/>
            <w:tcBorders>
              <w:bottom w:val="single" w:sz="4" w:space="0" w:color="000000"/>
            </w:tcBorders>
            <w:shd w:val="clear" w:color="auto" w:fill="F4F4F4"/>
          </w:tcPr>
          <w:p>
            <w:pPr>
              <w:pStyle w:val="TableParagraph"/>
              <w:ind w:right="103"/>
              <w:jc w:val="right"/>
              <w:rPr>
                <w:sz w:val="19"/>
              </w:rPr>
            </w:pPr>
            <w:r>
              <w:rPr>
                <w:w w:val="95"/>
                <w:sz w:val="19"/>
              </w:rPr>
              <w:t>72</w:t>
            </w:r>
          </w:p>
        </w:tc>
      </w:tr>
      <w:tr>
        <w:trPr>
          <w:trHeight w:val="312" w:hRule="atLeast"/>
        </w:trPr>
        <w:tc>
          <w:tcPr>
            <w:tcW w:w="5896" w:type="dxa"/>
            <w:tcBorders>
              <w:left w:val="single" w:sz="8" w:space="0" w:color="FFFFFF"/>
              <w:bottom w:val="single" w:sz="8" w:space="0" w:color="FFFFFF"/>
              <w:right w:val="single" w:sz="8" w:space="0" w:color="FFFFFF"/>
            </w:tcBorders>
            <w:shd w:val="clear" w:color="auto" w:fill="FAF9F9"/>
          </w:tcPr>
          <w:p>
            <w:pPr>
              <w:pStyle w:val="TableParagraph"/>
              <w:spacing w:before="37"/>
              <w:ind w:left="114"/>
              <w:rPr>
                <w:b/>
                <w:sz w:val="19"/>
              </w:rPr>
            </w:pPr>
            <w:r>
              <w:rPr>
                <w:b/>
                <w:sz w:val="19"/>
              </w:rPr>
              <w:t>Net cash provided by State Government</w:t>
            </w:r>
          </w:p>
        </w:tc>
        <w:tc>
          <w:tcPr>
            <w:tcW w:w="1548" w:type="dxa"/>
            <w:tcBorders>
              <w:left w:val="single" w:sz="8" w:space="0" w:color="FFFFFF"/>
              <w:bottom w:val="single" w:sz="8" w:space="0" w:color="FFFFFF"/>
              <w:right w:val="single" w:sz="8" w:space="0" w:color="FFFFFF"/>
            </w:tcBorders>
            <w:shd w:val="clear" w:color="auto" w:fill="FAF9F9"/>
          </w:tcPr>
          <w:p>
            <w:pPr>
              <w:pStyle w:val="TableParagraph"/>
              <w:spacing w:before="0"/>
              <w:rPr>
                <w:rFonts w:ascii="Times New Roman"/>
                <w:sz w:val="20"/>
              </w:rPr>
            </w:pPr>
          </w:p>
        </w:tc>
        <w:tc>
          <w:tcPr>
            <w:tcW w:w="1548" w:type="dxa"/>
            <w:tcBorders>
              <w:top w:val="single" w:sz="4" w:space="0" w:color="000000"/>
              <w:left w:val="single" w:sz="8" w:space="0" w:color="FFFFFF"/>
              <w:bottom w:val="single" w:sz="4" w:space="0" w:color="000000"/>
            </w:tcBorders>
            <w:shd w:val="clear" w:color="auto" w:fill="FAF9F9"/>
          </w:tcPr>
          <w:p>
            <w:pPr>
              <w:pStyle w:val="TableParagraph"/>
              <w:spacing w:before="37"/>
              <w:ind w:right="100"/>
              <w:jc w:val="right"/>
              <w:rPr>
                <w:b/>
                <w:sz w:val="19"/>
              </w:rPr>
            </w:pPr>
            <w:r>
              <w:rPr>
                <w:b/>
                <w:w w:val="95"/>
                <w:sz w:val="19"/>
              </w:rPr>
              <w:t>154,068</w:t>
            </w:r>
          </w:p>
        </w:tc>
        <w:tc>
          <w:tcPr>
            <w:tcW w:w="1548" w:type="dxa"/>
            <w:tcBorders>
              <w:top w:val="single" w:sz="4" w:space="0" w:color="000000"/>
              <w:bottom w:val="single" w:sz="4" w:space="0" w:color="000000"/>
            </w:tcBorders>
            <w:shd w:val="clear" w:color="auto" w:fill="E1E4BB"/>
          </w:tcPr>
          <w:p>
            <w:pPr>
              <w:pStyle w:val="TableParagraph"/>
              <w:spacing w:before="37"/>
              <w:ind w:right="101"/>
              <w:jc w:val="right"/>
              <w:rPr>
                <w:b/>
                <w:sz w:val="19"/>
              </w:rPr>
            </w:pPr>
            <w:r>
              <w:rPr>
                <w:b/>
                <w:w w:val="95"/>
                <w:sz w:val="19"/>
              </w:rPr>
              <w:t>143,827</w:t>
            </w:r>
          </w:p>
        </w:tc>
        <w:tc>
          <w:tcPr>
            <w:tcW w:w="1622" w:type="dxa"/>
            <w:tcBorders>
              <w:top w:val="single" w:sz="4" w:space="0" w:color="000000"/>
              <w:bottom w:val="single" w:sz="4" w:space="0" w:color="000000"/>
            </w:tcBorders>
            <w:shd w:val="clear" w:color="auto" w:fill="FAF9F9"/>
          </w:tcPr>
          <w:p>
            <w:pPr>
              <w:pStyle w:val="TableParagraph"/>
              <w:spacing w:before="37"/>
              <w:ind w:right="175"/>
              <w:jc w:val="right"/>
              <w:rPr>
                <w:b/>
                <w:sz w:val="19"/>
              </w:rPr>
            </w:pPr>
            <w:r>
              <w:rPr>
                <w:b/>
                <w:w w:val="95"/>
                <w:sz w:val="19"/>
              </w:rPr>
              <w:t>242,738</w:t>
            </w:r>
          </w:p>
        </w:tc>
        <w:tc>
          <w:tcPr>
            <w:tcW w:w="1496" w:type="dxa"/>
            <w:tcBorders>
              <w:top w:val="single" w:sz="4" w:space="0" w:color="000000"/>
              <w:bottom w:val="single" w:sz="4" w:space="0" w:color="000000"/>
            </w:tcBorders>
            <w:shd w:val="clear" w:color="auto" w:fill="FAF9F9"/>
          </w:tcPr>
          <w:p>
            <w:pPr>
              <w:pStyle w:val="TableParagraph"/>
              <w:spacing w:before="37"/>
              <w:ind w:right="123"/>
              <w:jc w:val="right"/>
              <w:rPr>
                <w:b/>
                <w:sz w:val="19"/>
              </w:rPr>
            </w:pPr>
            <w:r>
              <w:rPr>
                <w:b/>
                <w:w w:val="95"/>
                <w:sz w:val="19"/>
              </w:rPr>
              <w:t>(10,241)</w:t>
            </w:r>
          </w:p>
        </w:tc>
        <w:tc>
          <w:tcPr>
            <w:tcW w:w="1641" w:type="dxa"/>
            <w:tcBorders>
              <w:top w:val="single" w:sz="4" w:space="0" w:color="000000"/>
              <w:bottom w:val="single" w:sz="4" w:space="0" w:color="000000"/>
            </w:tcBorders>
            <w:shd w:val="clear" w:color="auto" w:fill="FAF9F9"/>
          </w:tcPr>
          <w:p>
            <w:pPr>
              <w:pStyle w:val="TableParagraph"/>
              <w:spacing w:before="37"/>
              <w:ind w:right="103"/>
              <w:jc w:val="right"/>
              <w:rPr>
                <w:b/>
                <w:sz w:val="19"/>
              </w:rPr>
            </w:pPr>
            <w:r>
              <w:rPr>
                <w:b/>
                <w:w w:val="95"/>
                <w:sz w:val="19"/>
              </w:rPr>
              <w:t>(98,910)</w:t>
            </w:r>
          </w:p>
        </w:tc>
      </w:tr>
    </w:tbl>
    <w:p>
      <w:pPr>
        <w:spacing w:after="0"/>
        <w:jc w:val="right"/>
        <w:rPr>
          <w:sz w:val="19"/>
        </w:rPr>
        <w:sectPr>
          <w:footerReference w:type="default" r:id="rId235"/>
          <w:pgSz w:w="16840" w:h="11910" w:orient="landscape"/>
          <w:pgMar w:footer="448" w:header="0" w:top="0" w:bottom="640" w:left="0" w:right="0"/>
        </w:sectPr>
      </w:pPr>
    </w:p>
    <w:p>
      <w:pPr>
        <w:pStyle w:val="BodyText"/>
        <w:ind w:left="2397"/>
        <w:rPr>
          <w:sz w:val="20"/>
        </w:rPr>
      </w:pPr>
      <w:r>
        <w:rPr/>
        <w:pict>
          <v:line style="position:absolute;mso-position-horizontal-relative:page;mso-position-vertical-relative:page;z-index:-787984" from="643.114197pt,349.599791pt" to="643.114197pt,334.241791pt" stroked="true" strokeweight="1pt" strokecolor="#ffffff">
            <v:stroke dashstyle="solid"/>
            <w10:wrap type="none"/>
          </v:line>
        </w:pict>
      </w:r>
      <w:r>
        <w:rPr/>
        <w:pict>
          <v:line style="position:absolute;mso-position-horizontal-relative:page;mso-position-vertical-relative:page;z-index:-787960" from="720.500122pt,349.599791pt" to="720.500122pt,334.241791pt" stroked="true" strokeweight="1pt" strokecolor="#ffffff">
            <v:stroke dashstyle="solid"/>
            <w10:wrap type="none"/>
          </v:line>
        </w:pict>
      </w: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b/>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rPr>
          <w:b/>
        </w:rPr>
      </w:pPr>
    </w:p>
    <w:p>
      <w:pPr>
        <w:pStyle w:val="Heading1"/>
        <w:spacing w:before="93"/>
      </w:pPr>
      <w:r>
        <w:rPr/>
        <w:pict>
          <v:group style="position:absolute;margin-left:763.172119pt;margin-top:-3.544212pt;width:61.1pt;height:45.2pt;mso-position-horizontal-relative:page;mso-position-vertical-relative:paragraph;z-index:25720"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422;top:379;width:2;height:4" coordorigin="15423,379" coordsize="2,4" path="m15424,379l15423,381,15424,382,15424,379xe" filled="true" fillcolor="#b9c369" stroked="false">
              <v:path arrowok="t"/>
              <v:fill type="solid"/>
            </v:shape>
            <v:shape style="position:absolute;left:16324;top:379;width:2;height:4" coordorigin="16324,379" coordsize="2,4" path="m16324,379l16324,382,16326,381,16324,379xe" filled="true" fillcolor="#bec29e"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25768" coordorigin="0,-1146" coordsize="2406,851">
            <v:rect style="position:absolute;left:0;top:-1147;width:2406;height:851" filled="true" fillcolor="#aebd37" stroked="false">
              <v:fill type="solid"/>
            </v:rect>
            <v:shape style="position:absolute;left:0;top:-1147;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25864"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spacing w:before="29"/>
      </w:pPr>
      <w:r>
        <w:rPr>
          <w:color w:val="A7BE39"/>
        </w:rPr>
        <w:t>For the year ended 30 June 2017</w:t>
      </w:r>
    </w:p>
    <w:p>
      <w:pPr>
        <w:pStyle w:val="BodyText"/>
        <w:spacing w:before="7"/>
        <w:rPr>
          <w:sz w:val="28"/>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6"/>
        <w:gridCol w:w="1548"/>
        <w:gridCol w:w="1548"/>
        <w:gridCol w:w="1548"/>
        <w:gridCol w:w="1548"/>
        <w:gridCol w:w="1548"/>
        <w:gridCol w:w="1661"/>
      </w:tblGrid>
      <w:tr>
        <w:trPr>
          <w:trHeight w:val="1217" w:hRule="atLeast"/>
        </w:trPr>
        <w:tc>
          <w:tcPr>
            <w:tcW w:w="7444" w:type="dxa"/>
            <w:gridSpan w:val="2"/>
            <w:tcBorders>
              <w:left w:val="single" w:sz="8" w:space="0" w:color="FFFFFF"/>
            </w:tcBorders>
            <w:shd w:val="clear" w:color="auto" w:fill="783A79"/>
          </w:tcPr>
          <w:p>
            <w:pPr>
              <w:pStyle w:val="TableParagraph"/>
              <w:spacing w:before="42"/>
              <w:ind w:right="128"/>
              <w:jc w:val="right"/>
              <w:rPr>
                <w:b/>
                <w:sz w:val="19"/>
              </w:rPr>
            </w:pPr>
            <w:r>
              <w:rPr>
                <w:b/>
                <w:color w:val="FFFFFF"/>
                <w:sz w:val="19"/>
              </w:rPr>
              <w:t>Variance Note</w:t>
            </w:r>
          </w:p>
        </w:tc>
        <w:tc>
          <w:tcPr>
            <w:tcW w:w="1548" w:type="dxa"/>
            <w:shd w:val="clear" w:color="auto" w:fill="783A79"/>
          </w:tcPr>
          <w:p>
            <w:pPr>
              <w:pStyle w:val="TableParagraph"/>
              <w:spacing w:before="42"/>
              <w:ind w:left="170"/>
              <w:rPr>
                <w:b/>
                <w:sz w:val="19"/>
              </w:rPr>
            </w:pPr>
            <w:r>
              <w:rPr>
                <w:b/>
                <w:color w:val="FFFFFF"/>
                <w:sz w:val="19"/>
              </w:rPr>
              <w:t>Estimate</w:t>
            </w:r>
            <w:r>
              <w:rPr>
                <w:b/>
                <w:color w:val="FFFFFF"/>
                <w:spacing w:val="6"/>
                <w:sz w:val="19"/>
              </w:rPr>
              <w:t> </w:t>
            </w:r>
            <w:r>
              <w:rPr>
                <w:b/>
                <w:color w:val="FFFFFF"/>
                <w:sz w:val="19"/>
              </w:rPr>
              <w:t>2017</w:t>
            </w:r>
          </w:p>
          <w:p>
            <w:pPr>
              <w:pStyle w:val="TableParagraph"/>
              <w:spacing w:before="0"/>
              <w:rPr>
                <w:sz w:val="22"/>
              </w:rPr>
            </w:pPr>
          </w:p>
          <w:p>
            <w:pPr>
              <w:pStyle w:val="TableParagraph"/>
              <w:spacing w:before="0"/>
              <w:rPr>
                <w:sz w:val="22"/>
              </w:rPr>
            </w:pPr>
          </w:p>
          <w:p>
            <w:pPr>
              <w:pStyle w:val="TableParagraph"/>
              <w:spacing w:before="188"/>
              <w:ind w:left="1021"/>
              <w:rPr>
                <w:b/>
                <w:sz w:val="19"/>
              </w:rPr>
            </w:pPr>
            <w:r>
              <w:rPr>
                <w:b/>
                <w:color w:val="FFFFFF"/>
                <w:sz w:val="19"/>
              </w:rPr>
              <w:t>$000</w:t>
            </w:r>
          </w:p>
        </w:tc>
        <w:tc>
          <w:tcPr>
            <w:tcW w:w="1548" w:type="dxa"/>
            <w:shd w:val="clear" w:color="auto" w:fill="783A79"/>
          </w:tcPr>
          <w:p>
            <w:pPr>
              <w:pStyle w:val="TableParagraph"/>
              <w:spacing w:before="42"/>
              <w:ind w:left="391"/>
              <w:rPr>
                <w:b/>
                <w:sz w:val="19"/>
              </w:rPr>
            </w:pPr>
            <w:r>
              <w:rPr>
                <w:b/>
                <w:color w:val="FFFFFF"/>
                <w:sz w:val="19"/>
              </w:rPr>
              <w:t>Actual</w:t>
            </w:r>
            <w:r>
              <w:rPr>
                <w:b/>
                <w:color w:val="FFFFFF"/>
                <w:spacing w:val="-4"/>
                <w:sz w:val="19"/>
              </w:rPr>
              <w:t> </w:t>
            </w:r>
            <w:r>
              <w:rPr>
                <w:b/>
                <w:color w:val="FFFFFF"/>
                <w:sz w:val="19"/>
              </w:rPr>
              <w:t>2017</w:t>
            </w:r>
          </w:p>
          <w:p>
            <w:pPr>
              <w:pStyle w:val="TableParagraph"/>
              <w:spacing w:before="0"/>
              <w:rPr>
                <w:sz w:val="22"/>
              </w:rPr>
            </w:pPr>
          </w:p>
          <w:p>
            <w:pPr>
              <w:pStyle w:val="TableParagraph"/>
              <w:spacing w:before="0"/>
              <w:rPr>
                <w:sz w:val="22"/>
              </w:rPr>
            </w:pPr>
          </w:p>
          <w:p>
            <w:pPr>
              <w:pStyle w:val="TableParagraph"/>
              <w:spacing w:before="188"/>
              <w:ind w:left="1021"/>
              <w:rPr>
                <w:b/>
                <w:sz w:val="19"/>
              </w:rPr>
            </w:pPr>
            <w:r>
              <w:rPr>
                <w:b/>
                <w:color w:val="FFFFFF"/>
                <w:sz w:val="19"/>
              </w:rPr>
              <w:t>$000</w:t>
            </w:r>
          </w:p>
        </w:tc>
        <w:tc>
          <w:tcPr>
            <w:tcW w:w="1548" w:type="dxa"/>
            <w:shd w:val="clear" w:color="auto" w:fill="783A79"/>
          </w:tcPr>
          <w:p>
            <w:pPr>
              <w:pStyle w:val="TableParagraph"/>
              <w:spacing w:before="42"/>
              <w:ind w:left="391"/>
              <w:rPr>
                <w:b/>
                <w:sz w:val="19"/>
              </w:rPr>
            </w:pPr>
            <w:r>
              <w:rPr>
                <w:b/>
                <w:color w:val="FFFFFF"/>
                <w:sz w:val="19"/>
              </w:rPr>
              <w:t>Actual</w:t>
            </w:r>
            <w:r>
              <w:rPr>
                <w:b/>
                <w:color w:val="FFFFFF"/>
                <w:spacing w:val="-4"/>
                <w:sz w:val="19"/>
              </w:rPr>
              <w:t> </w:t>
            </w:r>
            <w:r>
              <w:rPr>
                <w:b/>
                <w:color w:val="FFFFFF"/>
                <w:sz w:val="19"/>
              </w:rPr>
              <w:t>2016</w:t>
            </w:r>
          </w:p>
          <w:p>
            <w:pPr>
              <w:pStyle w:val="TableParagraph"/>
              <w:spacing w:before="0"/>
              <w:rPr>
                <w:sz w:val="22"/>
              </w:rPr>
            </w:pPr>
          </w:p>
          <w:p>
            <w:pPr>
              <w:pStyle w:val="TableParagraph"/>
              <w:spacing w:before="0"/>
              <w:rPr>
                <w:sz w:val="22"/>
              </w:rPr>
            </w:pPr>
          </w:p>
          <w:p>
            <w:pPr>
              <w:pStyle w:val="TableParagraph"/>
              <w:spacing w:before="188"/>
              <w:ind w:left="1021"/>
              <w:rPr>
                <w:b/>
                <w:sz w:val="19"/>
              </w:rPr>
            </w:pPr>
            <w:r>
              <w:rPr>
                <w:b/>
                <w:color w:val="FFFFFF"/>
                <w:sz w:val="19"/>
              </w:rPr>
              <w:t>$000</w:t>
            </w:r>
          </w:p>
        </w:tc>
        <w:tc>
          <w:tcPr>
            <w:tcW w:w="1548" w:type="dxa"/>
            <w:shd w:val="clear" w:color="auto" w:fill="783A79"/>
          </w:tcPr>
          <w:p>
            <w:pPr>
              <w:pStyle w:val="TableParagraph"/>
              <w:spacing w:line="249" w:lineRule="auto" w:before="42"/>
              <w:ind w:left="268" w:right="102" w:firstLine="393"/>
              <w:jc w:val="right"/>
              <w:rPr>
                <w:b/>
                <w:sz w:val="19"/>
              </w:rPr>
            </w:pPr>
            <w:r>
              <w:rPr>
                <w:b/>
                <w:color w:val="FFFFFF"/>
                <w:spacing w:val="-2"/>
                <w:sz w:val="19"/>
              </w:rPr>
              <w:t>Variance </w:t>
            </w:r>
            <w:r>
              <w:rPr>
                <w:b/>
                <w:color w:val="FFFFFF"/>
                <w:sz w:val="19"/>
              </w:rPr>
              <w:t>between estimate</w:t>
            </w:r>
            <w:r>
              <w:rPr>
                <w:b/>
                <w:color w:val="FFFFFF"/>
                <w:spacing w:val="14"/>
                <w:sz w:val="19"/>
              </w:rPr>
              <w:t> </w:t>
            </w:r>
            <w:r>
              <w:rPr>
                <w:b/>
                <w:color w:val="FFFFFF"/>
                <w:spacing w:val="-6"/>
                <w:sz w:val="19"/>
              </w:rPr>
              <w:t>and</w:t>
            </w:r>
          </w:p>
          <w:p>
            <w:pPr>
              <w:pStyle w:val="TableParagraph"/>
              <w:spacing w:before="3"/>
              <w:ind w:right="102"/>
              <w:jc w:val="right"/>
              <w:rPr>
                <w:b/>
                <w:sz w:val="19"/>
              </w:rPr>
            </w:pPr>
            <w:r>
              <w:rPr>
                <w:b/>
                <w:color w:val="FFFFFF"/>
                <w:sz w:val="19"/>
              </w:rPr>
              <w:t>actual</w:t>
            </w:r>
          </w:p>
          <w:p>
            <w:pPr>
              <w:pStyle w:val="TableParagraph"/>
              <w:spacing w:before="9"/>
              <w:ind w:right="102"/>
              <w:jc w:val="right"/>
              <w:rPr>
                <w:b/>
                <w:sz w:val="19"/>
              </w:rPr>
            </w:pPr>
            <w:r>
              <w:rPr>
                <w:b/>
                <w:color w:val="FFFFFF"/>
                <w:w w:val="95"/>
                <w:sz w:val="19"/>
              </w:rPr>
              <w:t>$000</w:t>
            </w:r>
          </w:p>
        </w:tc>
        <w:tc>
          <w:tcPr>
            <w:tcW w:w="1661" w:type="dxa"/>
            <w:shd w:val="clear" w:color="auto" w:fill="783A79"/>
          </w:tcPr>
          <w:p>
            <w:pPr>
              <w:pStyle w:val="TableParagraph"/>
              <w:spacing w:line="249" w:lineRule="auto" w:before="42"/>
              <w:ind w:left="162" w:right="102" w:firstLine="612"/>
              <w:jc w:val="both"/>
              <w:rPr>
                <w:b/>
                <w:sz w:val="19"/>
              </w:rPr>
            </w:pPr>
            <w:r>
              <w:rPr>
                <w:b/>
                <w:color w:val="FFFFFF"/>
                <w:spacing w:val="-2"/>
                <w:sz w:val="19"/>
              </w:rPr>
              <w:t>Variance </w:t>
            </w:r>
            <w:r>
              <w:rPr>
                <w:b/>
                <w:color w:val="FFFFFF"/>
                <w:sz w:val="19"/>
              </w:rPr>
              <w:t>between actual results for</w:t>
            </w:r>
            <w:r>
              <w:rPr>
                <w:b/>
                <w:color w:val="FFFFFF"/>
                <w:spacing w:val="-12"/>
                <w:sz w:val="19"/>
              </w:rPr>
              <w:t> </w:t>
            </w:r>
            <w:r>
              <w:rPr>
                <w:b/>
                <w:color w:val="FFFFFF"/>
                <w:spacing w:val="-4"/>
                <w:sz w:val="19"/>
              </w:rPr>
              <w:t>2017</w:t>
            </w:r>
          </w:p>
          <w:p>
            <w:pPr>
              <w:pStyle w:val="TableParagraph"/>
              <w:spacing w:before="3"/>
              <w:ind w:right="102"/>
              <w:jc w:val="right"/>
              <w:rPr>
                <w:b/>
                <w:sz w:val="19"/>
              </w:rPr>
            </w:pPr>
            <w:r>
              <w:rPr>
                <w:b/>
                <w:color w:val="FFFFFF"/>
                <w:sz w:val="19"/>
              </w:rPr>
              <w:t>and</w:t>
            </w:r>
            <w:r>
              <w:rPr>
                <w:b/>
                <w:color w:val="FFFFFF"/>
                <w:spacing w:val="-1"/>
                <w:sz w:val="19"/>
              </w:rPr>
              <w:t> </w:t>
            </w:r>
            <w:r>
              <w:rPr>
                <w:b/>
                <w:color w:val="FFFFFF"/>
                <w:sz w:val="19"/>
              </w:rPr>
              <w:t>2016</w:t>
            </w:r>
          </w:p>
          <w:p>
            <w:pPr>
              <w:pStyle w:val="TableParagraph"/>
              <w:spacing w:before="9"/>
              <w:ind w:right="102"/>
              <w:jc w:val="right"/>
              <w:rPr>
                <w:b/>
                <w:sz w:val="19"/>
              </w:rPr>
            </w:pPr>
            <w:r>
              <w:rPr>
                <w:b/>
                <w:color w:val="FFFFFF"/>
                <w:w w:val="95"/>
                <w:sz w:val="19"/>
              </w:rPr>
              <w:t>$000</w:t>
            </w:r>
          </w:p>
        </w:tc>
      </w:tr>
      <w:tr>
        <w:trPr>
          <w:trHeight w:val="649" w:hRule="atLeast"/>
        </w:trPr>
        <w:tc>
          <w:tcPr>
            <w:tcW w:w="5896" w:type="dxa"/>
            <w:shd w:val="clear" w:color="auto" w:fill="FFFFFF"/>
          </w:tcPr>
          <w:p>
            <w:pPr>
              <w:pStyle w:val="TableParagraph"/>
              <w:spacing w:before="42"/>
              <w:ind w:left="123"/>
              <w:rPr>
                <w:b/>
                <w:sz w:val="19"/>
              </w:rPr>
            </w:pPr>
            <w:r>
              <w:rPr>
                <w:b/>
                <w:sz w:val="19"/>
              </w:rPr>
              <w:t>CASH FLOWS FROM OPERATING ACTIVITIES</w:t>
            </w:r>
          </w:p>
          <w:p>
            <w:pPr>
              <w:pStyle w:val="TableParagraph"/>
              <w:spacing w:before="109"/>
              <w:ind w:left="123"/>
              <w:rPr>
                <w:i/>
                <w:sz w:val="19"/>
              </w:rPr>
            </w:pPr>
            <w:r>
              <w:rPr>
                <w:i/>
                <w:color w:val="A7BE39"/>
                <w:sz w:val="19"/>
              </w:rPr>
              <w:t>Payments</w:t>
            </w: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0"/>
              <w:rPr>
                <w:rFonts w:ascii="Times New Roman"/>
                <w:sz w:val="20"/>
              </w:rPr>
            </w:pPr>
          </w:p>
        </w:tc>
        <w:tc>
          <w:tcPr>
            <w:tcW w:w="1548" w:type="dxa"/>
            <w:vMerge w:val="restart"/>
            <w:tcBorders>
              <w:bottom w:val="single" w:sz="4" w:space="0" w:color="000000"/>
            </w:tcBorders>
            <w:shd w:val="clear" w:color="auto" w:fill="DFE1B8"/>
          </w:tcPr>
          <w:p>
            <w:pPr>
              <w:pStyle w:val="TableParagraph"/>
              <w:spacing w:before="0"/>
              <w:rPr>
                <w:sz w:val="22"/>
              </w:rPr>
            </w:pPr>
          </w:p>
          <w:p>
            <w:pPr>
              <w:pStyle w:val="TableParagraph"/>
              <w:spacing w:before="0"/>
              <w:rPr>
                <w:sz w:val="22"/>
              </w:rPr>
            </w:pPr>
          </w:p>
          <w:p>
            <w:pPr>
              <w:pStyle w:val="TableParagraph"/>
              <w:spacing w:before="191"/>
              <w:ind w:left="568" w:right="7"/>
              <w:jc w:val="center"/>
              <w:rPr>
                <w:sz w:val="19"/>
              </w:rPr>
            </w:pPr>
            <w:r>
              <w:rPr>
                <w:sz w:val="19"/>
              </w:rPr>
              <w:t>(113,736)</w:t>
            </w:r>
          </w:p>
          <w:p>
            <w:pPr>
              <w:pStyle w:val="TableParagraph"/>
              <w:spacing w:before="108"/>
              <w:ind w:left="568" w:right="7"/>
              <w:jc w:val="center"/>
              <w:rPr>
                <w:sz w:val="19"/>
              </w:rPr>
            </w:pPr>
            <w:r>
              <w:rPr>
                <w:sz w:val="19"/>
              </w:rPr>
              <w:t>(944,694)</w:t>
            </w:r>
          </w:p>
          <w:p>
            <w:pPr>
              <w:pStyle w:val="TableParagraph"/>
              <w:spacing w:before="109"/>
              <w:ind w:left="832" w:right="59"/>
              <w:jc w:val="center"/>
              <w:rPr>
                <w:sz w:val="19"/>
              </w:rPr>
            </w:pPr>
            <w:r>
              <w:rPr>
                <w:sz w:val="19"/>
              </w:rPr>
              <w:t>(7,359)</w:t>
            </w:r>
          </w:p>
          <w:p>
            <w:pPr>
              <w:pStyle w:val="TableParagraph"/>
              <w:spacing w:before="109"/>
              <w:ind w:left="723" w:right="56"/>
              <w:jc w:val="center"/>
              <w:rPr>
                <w:sz w:val="19"/>
              </w:rPr>
            </w:pPr>
            <w:r>
              <w:rPr>
                <w:sz w:val="19"/>
              </w:rPr>
              <w:t>(40,804)</w:t>
            </w:r>
          </w:p>
          <w:p>
            <w:pPr>
              <w:pStyle w:val="TableParagraph"/>
              <w:spacing w:before="108"/>
              <w:ind w:right="101"/>
              <w:jc w:val="right"/>
              <w:rPr>
                <w:sz w:val="19"/>
              </w:rPr>
            </w:pPr>
            <w:r>
              <w:rPr>
                <w:w w:val="90"/>
                <w:sz w:val="19"/>
              </w:rPr>
              <w:t>(754)</w:t>
            </w:r>
          </w:p>
          <w:p>
            <w:pPr>
              <w:pStyle w:val="TableParagraph"/>
              <w:spacing w:before="109"/>
              <w:ind w:left="568" w:right="6"/>
              <w:jc w:val="center"/>
              <w:rPr>
                <w:sz w:val="19"/>
              </w:rPr>
            </w:pPr>
            <w:r>
              <w:rPr>
                <w:sz w:val="19"/>
              </w:rPr>
              <w:t>(112,146)</w:t>
            </w:r>
          </w:p>
          <w:p>
            <w:pPr>
              <w:pStyle w:val="TableParagraph"/>
              <w:spacing w:before="109"/>
              <w:ind w:left="832" w:right="58"/>
              <w:jc w:val="center"/>
              <w:rPr>
                <w:sz w:val="19"/>
              </w:rPr>
            </w:pPr>
            <w:r>
              <w:rPr>
                <w:sz w:val="19"/>
              </w:rPr>
              <w:t>(6,136)</w:t>
            </w:r>
          </w:p>
          <w:p>
            <w:pPr>
              <w:pStyle w:val="TableParagraph"/>
              <w:spacing w:before="108"/>
              <w:ind w:left="832" w:right="57"/>
              <w:jc w:val="center"/>
              <w:rPr>
                <w:sz w:val="19"/>
              </w:rPr>
            </w:pPr>
            <w:r>
              <w:rPr>
                <w:sz w:val="19"/>
              </w:rPr>
              <w:t>(4,945)</w:t>
            </w:r>
          </w:p>
          <w:p>
            <w:pPr>
              <w:pStyle w:val="TableParagraph"/>
              <w:spacing w:before="0"/>
              <w:rPr>
                <w:sz w:val="22"/>
              </w:rPr>
            </w:pPr>
          </w:p>
          <w:p>
            <w:pPr>
              <w:pStyle w:val="TableParagraph"/>
              <w:spacing w:before="183"/>
              <w:ind w:left="559" w:right="65"/>
              <w:jc w:val="center"/>
              <w:rPr>
                <w:sz w:val="19"/>
              </w:rPr>
            </w:pPr>
            <w:r>
              <w:rPr>
                <w:sz w:val="19"/>
              </w:rPr>
              <w:t>1,011,354</w:t>
            </w:r>
          </w:p>
          <w:p>
            <w:pPr>
              <w:pStyle w:val="TableParagraph"/>
              <w:spacing w:before="109"/>
              <w:ind w:left="929" w:right="65"/>
              <w:jc w:val="center"/>
              <w:rPr>
                <w:sz w:val="19"/>
              </w:rPr>
            </w:pPr>
            <w:r>
              <w:rPr>
                <w:sz w:val="19"/>
              </w:rPr>
              <w:t>3,337</w:t>
            </w:r>
          </w:p>
          <w:p>
            <w:pPr>
              <w:pStyle w:val="TableParagraph"/>
              <w:spacing w:before="109"/>
              <w:ind w:right="101"/>
              <w:jc w:val="right"/>
              <w:rPr>
                <w:sz w:val="19"/>
              </w:rPr>
            </w:pPr>
            <w:r>
              <w:rPr>
                <w:w w:val="95"/>
                <w:sz w:val="19"/>
              </w:rPr>
              <w:t>382</w:t>
            </w:r>
          </w:p>
          <w:p>
            <w:pPr>
              <w:pStyle w:val="TableParagraph"/>
              <w:spacing w:before="108"/>
              <w:ind w:left="719" w:right="65"/>
              <w:jc w:val="center"/>
              <w:rPr>
                <w:sz w:val="19"/>
              </w:rPr>
            </w:pPr>
            <w:r>
              <w:rPr>
                <w:sz w:val="19"/>
              </w:rPr>
              <w:t>109,127</w:t>
            </w:r>
          </w:p>
          <w:p>
            <w:pPr>
              <w:pStyle w:val="TableParagraph"/>
              <w:spacing w:before="109"/>
              <w:ind w:left="930" w:right="65"/>
              <w:jc w:val="center"/>
              <w:rPr>
                <w:sz w:val="19"/>
              </w:rPr>
            </w:pPr>
            <w:r>
              <w:rPr>
                <w:sz w:val="19"/>
              </w:rPr>
              <w:t>7,491</w:t>
            </w:r>
          </w:p>
          <w:p>
            <w:pPr>
              <w:pStyle w:val="TableParagraph"/>
              <w:spacing w:before="109"/>
              <w:ind w:left="931" w:right="65"/>
              <w:jc w:val="center"/>
              <w:rPr>
                <w:sz w:val="19"/>
              </w:rPr>
            </w:pPr>
            <w:r>
              <w:rPr>
                <w:sz w:val="19"/>
              </w:rPr>
              <w:t>6,859</w:t>
            </w: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0"/>
              <w:rPr>
                <w:rFonts w:ascii="Times New Roman"/>
                <w:sz w:val="20"/>
              </w:rPr>
            </w:pPr>
          </w:p>
        </w:tc>
        <w:tc>
          <w:tcPr>
            <w:tcW w:w="1661" w:type="dxa"/>
            <w:shd w:val="clear" w:color="auto" w:fill="FFFFFF"/>
          </w:tcPr>
          <w:p>
            <w:pPr>
              <w:pStyle w:val="TableParagraph"/>
              <w:spacing w:before="0"/>
              <w:rPr>
                <w:rFonts w:ascii="Times New Roman"/>
                <w:sz w:val="20"/>
              </w:rPr>
            </w:pPr>
          </w:p>
        </w:tc>
      </w:tr>
      <w:tr>
        <w:trPr>
          <w:trHeight w:val="644" w:hRule="atLeast"/>
        </w:trPr>
        <w:tc>
          <w:tcPr>
            <w:tcW w:w="5896" w:type="dxa"/>
            <w:shd w:val="clear" w:color="auto" w:fill="FFFFFF"/>
          </w:tcPr>
          <w:p>
            <w:pPr>
              <w:pStyle w:val="TableParagraph"/>
              <w:spacing w:before="37"/>
              <w:ind w:left="123"/>
              <w:rPr>
                <w:sz w:val="19"/>
              </w:rPr>
            </w:pPr>
            <w:r>
              <w:rPr>
                <w:sz w:val="19"/>
              </w:rPr>
              <w:t>Employee benefits</w:t>
            </w:r>
          </w:p>
          <w:p>
            <w:pPr>
              <w:pStyle w:val="TableParagraph"/>
              <w:spacing w:before="109"/>
              <w:ind w:left="123"/>
              <w:rPr>
                <w:sz w:val="19"/>
              </w:rPr>
            </w:pPr>
            <w:r>
              <w:rPr>
                <w:sz w:val="19"/>
              </w:rPr>
              <w:t>Supplies and services</w:t>
            </w:r>
          </w:p>
        </w:tc>
        <w:tc>
          <w:tcPr>
            <w:tcW w:w="1548" w:type="dxa"/>
            <w:shd w:val="clear" w:color="auto" w:fill="FFFFFF"/>
          </w:tcPr>
          <w:p>
            <w:pPr>
              <w:pStyle w:val="TableParagraph"/>
              <w:spacing w:before="37"/>
              <w:ind w:left="19"/>
              <w:jc w:val="center"/>
              <w:rPr>
                <w:sz w:val="19"/>
              </w:rPr>
            </w:pPr>
            <w:hyperlink w:history="true" w:anchor="_bookmark56">
              <w:r>
                <w:rPr>
                  <w:color w:val="A7BE39"/>
                  <w:w w:val="99"/>
                  <w:sz w:val="19"/>
                  <w:u w:val="single" w:color="A7BE39"/>
                </w:rPr>
                <w:t>3</w:t>
              </w:r>
            </w:hyperlink>
          </w:p>
          <w:p>
            <w:pPr>
              <w:pStyle w:val="TableParagraph"/>
              <w:spacing w:before="109"/>
              <w:ind w:left="19"/>
              <w:jc w:val="center"/>
              <w:rPr>
                <w:sz w:val="19"/>
              </w:rPr>
            </w:pPr>
            <w:hyperlink w:history="true" w:anchor="_bookmark56">
              <w:r>
                <w:rPr>
                  <w:color w:val="A7BE39"/>
                  <w:w w:val="99"/>
                  <w:sz w:val="19"/>
                  <w:u w:val="single" w:color="A7BE39"/>
                </w:rPr>
                <w:t>4</w:t>
              </w:r>
            </w:hyperlink>
          </w:p>
        </w:tc>
        <w:tc>
          <w:tcPr>
            <w:tcW w:w="1548" w:type="dxa"/>
            <w:shd w:val="clear" w:color="auto" w:fill="FFFFFF"/>
          </w:tcPr>
          <w:p>
            <w:pPr>
              <w:pStyle w:val="TableParagraph"/>
              <w:spacing w:before="37"/>
              <w:ind w:left="568" w:right="7"/>
              <w:jc w:val="center"/>
              <w:rPr>
                <w:sz w:val="19"/>
              </w:rPr>
            </w:pPr>
            <w:r>
              <w:rPr>
                <w:sz w:val="19"/>
              </w:rPr>
              <w:t>(151,187)</w:t>
            </w:r>
          </w:p>
          <w:p>
            <w:pPr>
              <w:pStyle w:val="TableParagraph"/>
              <w:spacing w:before="109"/>
              <w:ind w:left="468" w:right="65"/>
              <w:jc w:val="center"/>
              <w:rPr>
                <w:sz w:val="19"/>
              </w:rPr>
            </w:pPr>
            <w:r>
              <w:rPr>
                <w:sz w:val="19"/>
              </w:rPr>
              <w:t>(1,038,667)</w:t>
            </w:r>
          </w:p>
        </w:tc>
        <w:tc>
          <w:tcPr>
            <w:tcW w:w="1548" w:type="dxa"/>
            <w:vMerge/>
            <w:tcBorders>
              <w:top w:val="nil"/>
              <w:bottom w:val="single" w:sz="4" w:space="0" w:color="000000"/>
            </w:tcBorders>
            <w:shd w:val="clear" w:color="auto" w:fill="DFE1B8"/>
          </w:tcPr>
          <w:p>
            <w:pPr>
              <w:rPr>
                <w:sz w:val="2"/>
                <w:szCs w:val="2"/>
              </w:rPr>
            </w:pPr>
          </w:p>
        </w:tc>
        <w:tc>
          <w:tcPr>
            <w:tcW w:w="1548" w:type="dxa"/>
            <w:shd w:val="clear" w:color="auto" w:fill="FFFFFF"/>
          </w:tcPr>
          <w:p>
            <w:pPr>
              <w:pStyle w:val="TableParagraph"/>
              <w:spacing w:before="37"/>
              <w:ind w:left="665"/>
              <w:rPr>
                <w:sz w:val="19"/>
              </w:rPr>
            </w:pPr>
            <w:r>
              <w:rPr>
                <w:sz w:val="19"/>
              </w:rPr>
              <w:t>(135,221)</w:t>
            </w:r>
          </w:p>
          <w:p>
            <w:pPr>
              <w:pStyle w:val="TableParagraph"/>
              <w:spacing w:before="109"/>
              <w:ind w:left="665"/>
              <w:rPr>
                <w:sz w:val="19"/>
              </w:rPr>
            </w:pPr>
            <w:r>
              <w:rPr>
                <w:sz w:val="19"/>
              </w:rPr>
              <w:t>(859,722)</w:t>
            </w:r>
          </w:p>
        </w:tc>
        <w:tc>
          <w:tcPr>
            <w:tcW w:w="1548" w:type="dxa"/>
            <w:shd w:val="clear" w:color="auto" w:fill="FFFFFF"/>
          </w:tcPr>
          <w:p>
            <w:pPr>
              <w:pStyle w:val="TableParagraph"/>
              <w:spacing w:before="37"/>
              <w:ind w:left="862"/>
              <w:rPr>
                <w:sz w:val="19"/>
              </w:rPr>
            </w:pPr>
            <w:r>
              <w:rPr>
                <w:sz w:val="19"/>
              </w:rPr>
              <w:t>37,451</w:t>
            </w:r>
          </w:p>
          <w:p>
            <w:pPr>
              <w:pStyle w:val="TableParagraph"/>
              <w:spacing w:before="109"/>
              <w:ind w:left="862"/>
              <w:rPr>
                <w:sz w:val="19"/>
              </w:rPr>
            </w:pPr>
            <w:r>
              <w:rPr>
                <w:sz w:val="19"/>
              </w:rPr>
              <w:t>93,973</w:t>
            </w:r>
          </w:p>
        </w:tc>
        <w:tc>
          <w:tcPr>
            <w:tcW w:w="1661" w:type="dxa"/>
            <w:shd w:val="clear" w:color="auto" w:fill="FFFFFF"/>
          </w:tcPr>
          <w:p>
            <w:pPr>
              <w:pStyle w:val="TableParagraph"/>
              <w:spacing w:before="37"/>
              <w:ind w:left="975"/>
              <w:rPr>
                <w:sz w:val="19"/>
              </w:rPr>
            </w:pPr>
            <w:r>
              <w:rPr>
                <w:sz w:val="19"/>
              </w:rPr>
              <w:t>21,485</w:t>
            </w:r>
          </w:p>
          <w:p>
            <w:pPr>
              <w:pStyle w:val="TableParagraph"/>
              <w:spacing w:before="109"/>
              <w:ind w:left="883"/>
              <w:rPr>
                <w:sz w:val="19"/>
              </w:rPr>
            </w:pPr>
            <w:r>
              <w:rPr>
                <w:sz w:val="19"/>
              </w:rPr>
              <w:t>(84,972)</w:t>
            </w:r>
          </w:p>
        </w:tc>
      </w:tr>
      <w:tr>
        <w:trPr>
          <w:trHeight w:val="639" w:hRule="atLeast"/>
        </w:trPr>
        <w:tc>
          <w:tcPr>
            <w:tcW w:w="5896" w:type="dxa"/>
            <w:shd w:val="clear" w:color="auto" w:fill="FFFFFF"/>
          </w:tcPr>
          <w:p>
            <w:pPr>
              <w:pStyle w:val="TableParagraph"/>
              <w:spacing w:before="37"/>
              <w:ind w:left="123"/>
              <w:rPr>
                <w:sz w:val="19"/>
              </w:rPr>
            </w:pPr>
            <w:r>
              <w:rPr>
                <w:sz w:val="19"/>
              </w:rPr>
              <w:t>Finance costs</w:t>
            </w:r>
          </w:p>
          <w:p>
            <w:pPr>
              <w:pStyle w:val="TableParagraph"/>
              <w:spacing w:before="109"/>
              <w:ind w:left="123"/>
              <w:rPr>
                <w:sz w:val="19"/>
              </w:rPr>
            </w:pPr>
            <w:r>
              <w:rPr>
                <w:sz w:val="19"/>
              </w:rPr>
              <w:t>Accommodation</w:t>
            </w: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37"/>
              <w:ind w:left="832" w:right="59"/>
              <w:jc w:val="center"/>
              <w:rPr>
                <w:sz w:val="19"/>
              </w:rPr>
            </w:pPr>
            <w:r>
              <w:rPr>
                <w:sz w:val="19"/>
              </w:rPr>
              <w:t>(9,186)</w:t>
            </w:r>
          </w:p>
          <w:p>
            <w:pPr>
              <w:pStyle w:val="TableParagraph"/>
              <w:spacing w:before="109"/>
              <w:ind w:left="723" w:right="55"/>
              <w:jc w:val="center"/>
              <w:rPr>
                <w:sz w:val="19"/>
              </w:rPr>
            </w:pPr>
            <w:r>
              <w:rPr>
                <w:sz w:val="19"/>
              </w:rPr>
              <w:t>(26,110)</w:t>
            </w:r>
          </w:p>
        </w:tc>
        <w:tc>
          <w:tcPr>
            <w:tcW w:w="1548" w:type="dxa"/>
            <w:vMerge/>
            <w:tcBorders>
              <w:top w:val="nil"/>
              <w:bottom w:val="single" w:sz="4" w:space="0" w:color="000000"/>
            </w:tcBorders>
            <w:shd w:val="clear" w:color="auto" w:fill="DFE1B8"/>
          </w:tcPr>
          <w:p>
            <w:pPr>
              <w:rPr>
                <w:sz w:val="2"/>
                <w:szCs w:val="2"/>
              </w:rPr>
            </w:pPr>
          </w:p>
        </w:tc>
        <w:tc>
          <w:tcPr>
            <w:tcW w:w="1548" w:type="dxa"/>
            <w:shd w:val="clear" w:color="auto" w:fill="FFFFFF"/>
          </w:tcPr>
          <w:p>
            <w:pPr>
              <w:pStyle w:val="TableParagraph"/>
              <w:spacing w:before="37"/>
              <w:ind w:left="832" w:right="60"/>
              <w:jc w:val="center"/>
              <w:rPr>
                <w:sz w:val="19"/>
              </w:rPr>
            </w:pPr>
            <w:r>
              <w:rPr>
                <w:sz w:val="19"/>
              </w:rPr>
              <w:t>(7,743)</w:t>
            </w:r>
          </w:p>
          <w:p>
            <w:pPr>
              <w:pStyle w:val="TableParagraph"/>
              <w:spacing w:before="109"/>
              <w:ind w:left="723" w:right="56"/>
              <w:jc w:val="center"/>
              <w:rPr>
                <w:sz w:val="19"/>
              </w:rPr>
            </w:pPr>
            <w:r>
              <w:rPr>
                <w:sz w:val="19"/>
              </w:rPr>
              <w:t>(21,959)</w:t>
            </w:r>
          </w:p>
        </w:tc>
        <w:tc>
          <w:tcPr>
            <w:tcW w:w="1548" w:type="dxa"/>
            <w:shd w:val="clear" w:color="auto" w:fill="FFFFFF"/>
          </w:tcPr>
          <w:p>
            <w:pPr>
              <w:pStyle w:val="TableParagraph"/>
              <w:spacing w:before="37"/>
              <w:ind w:left="928" w:right="65"/>
              <w:jc w:val="center"/>
              <w:rPr>
                <w:sz w:val="19"/>
              </w:rPr>
            </w:pPr>
            <w:r>
              <w:rPr>
                <w:sz w:val="19"/>
              </w:rPr>
              <w:t>1,827</w:t>
            </w:r>
          </w:p>
          <w:p>
            <w:pPr>
              <w:pStyle w:val="TableParagraph"/>
              <w:spacing w:before="109"/>
              <w:ind w:left="723" w:right="57"/>
              <w:jc w:val="center"/>
              <w:rPr>
                <w:sz w:val="19"/>
              </w:rPr>
            </w:pPr>
            <w:r>
              <w:rPr>
                <w:sz w:val="19"/>
              </w:rPr>
              <w:t>(14,694)</w:t>
            </w:r>
          </w:p>
        </w:tc>
        <w:tc>
          <w:tcPr>
            <w:tcW w:w="1661" w:type="dxa"/>
            <w:shd w:val="clear" w:color="auto" w:fill="FFFFFF"/>
          </w:tcPr>
          <w:p>
            <w:pPr>
              <w:pStyle w:val="TableParagraph"/>
              <w:spacing w:before="37"/>
              <w:ind w:right="102"/>
              <w:jc w:val="right"/>
              <w:rPr>
                <w:sz w:val="19"/>
              </w:rPr>
            </w:pPr>
            <w:r>
              <w:rPr>
                <w:w w:val="95"/>
                <w:sz w:val="19"/>
              </w:rPr>
              <w:t>384</w:t>
            </w:r>
          </w:p>
          <w:p>
            <w:pPr>
              <w:pStyle w:val="TableParagraph"/>
              <w:spacing w:before="109"/>
              <w:ind w:right="102"/>
              <w:jc w:val="right"/>
              <w:rPr>
                <w:sz w:val="19"/>
              </w:rPr>
            </w:pPr>
            <w:r>
              <w:rPr>
                <w:spacing w:val="-1"/>
                <w:w w:val="95"/>
                <w:sz w:val="19"/>
              </w:rPr>
              <w:t>(18,845)</w:t>
            </w:r>
          </w:p>
        </w:tc>
      </w:tr>
      <w:tr>
        <w:trPr>
          <w:trHeight w:val="302" w:hRule="atLeast"/>
        </w:trPr>
        <w:tc>
          <w:tcPr>
            <w:tcW w:w="5896" w:type="dxa"/>
            <w:vMerge w:val="restart"/>
            <w:shd w:val="clear" w:color="auto" w:fill="FFFFFF"/>
          </w:tcPr>
          <w:p>
            <w:pPr>
              <w:pStyle w:val="TableParagraph"/>
              <w:ind w:left="123"/>
              <w:rPr>
                <w:sz w:val="19"/>
              </w:rPr>
            </w:pPr>
            <w:r>
              <w:rPr>
                <w:sz w:val="19"/>
              </w:rPr>
              <w:t>Grants and subsidies</w:t>
            </w:r>
          </w:p>
          <w:p>
            <w:pPr>
              <w:pStyle w:val="TableParagraph"/>
              <w:spacing w:before="109"/>
              <w:ind w:left="124"/>
              <w:rPr>
                <w:sz w:val="19"/>
              </w:rPr>
            </w:pPr>
            <w:r>
              <w:rPr>
                <w:sz w:val="19"/>
              </w:rPr>
              <w:t>GST payments on purchases</w:t>
            </w:r>
          </w:p>
        </w:tc>
        <w:tc>
          <w:tcPr>
            <w:tcW w:w="1548" w:type="dxa"/>
            <w:tcBorders>
              <w:top w:val="single" w:sz="8" w:space="0" w:color="FFFFFF"/>
              <w:left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tcBorders>
            <w:shd w:val="clear" w:color="auto" w:fill="F4F4F4"/>
          </w:tcPr>
          <w:p>
            <w:pPr>
              <w:pStyle w:val="TableParagraph"/>
              <w:ind w:right="101"/>
              <w:jc w:val="right"/>
              <w:rPr>
                <w:sz w:val="19"/>
              </w:rPr>
            </w:pPr>
            <w:r>
              <w:rPr>
                <w:w w:val="90"/>
                <w:sz w:val="19"/>
              </w:rPr>
              <w:t>(6,308)</w:t>
            </w:r>
          </w:p>
        </w:tc>
        <w:tc>
          <w:tcPr>
            <w:tcW w:w="1548" w:type="dxa"/>
            <w:vMerge/>
            <w:tcBorders>
              <w:top w:val="nil"/>
              <w:bottom w:val="single" w:sz="4" w:space="0" w:color="000000"/>
            </w:tcBorders>
            <w:shd w:val="clear" w:color="auto" w:fill="DFE1B8"/>
          </w:tcPr>
          <w:p>
            <w:pPr>
              <w:rPr>
                <w:sz w:val="2"/>
                <w:szCs w:val="2"/>
              </w:rPr>
            </w:pPr>
          </w:p>
        </w:tc>
        <w:tc>
          <w:tcPr>
            <w:tcW w:w="1548" w:type="dxa"/>
            <w:tcBorders>
              <w:top w:val="single" w:sz="8" w:space="0" w:color="FFFFFF"/>
              <w:right w:val="single" w:sz="8" w:space="0" w:color="FFFFFF"/>
            </w:tcBorders>
            <w:shd w:val="clear" w:color="auto" w:fill="F4F4F4"/>
          </w:tcPr>
          <w:p>
            <w:pPr>
              <w:pStyle w:val="TableParagraph"/>
              <w:ind w:right="91"/>
              <w:jc w:val="right"/>
              <w:rPr>
                <w:sz w:val="19"/>
              </w:rPr>
            </w:pPr>
            <w:r>
              <w:rPr>
                <w:w w:val="90"/>
                <w:sz w:val="19"/>
              </w:rPr>
              <w:t>(3,763)</w:t>
            </w:r>
          </w:p>
        </w:tc>
        <w:tc>
          <w:tcPr>
            <w:tcW w:w="1548" w:type="dxa"/>
            <w:tcBorders>
              <w:top w:val="single" w:sz="8" w:space="0" w:color="FFFFFF"/>
              <w:left w:val="single" w:sz="8" w:space="0" w:color="FFFFFF"/>
              <w:right w:val="single" w:sz="8" w:space="0" w:color="FFFFFF"/>
            </w:tcBorders>
            <w:shd w:val="clear" w:color="auto" w:fill="F4F4F4"/>
          </w:tcPr>
          <w:p>
            <w:pPr>
              <w:pStyle w:val="TableParagraph"/>
              <w:ind w:right="92"/>
              <w:jc w:val="right"/>
              <w:rPr>
                <w:sz w:val="19"/>
              </w:rPr>
            </w:pPr>
            <w:r>
              <w:rPr>
                <w:w w:val="95"/>
                <w:sz w:val="19"/>
              </w:rPr>
              <w:t>5,554</w:t>
            </w:r>
          </w:p>
        </w:tc>
        <w:tc>
          <w:tcPr>
            <w:tcW w:w="1661" w:type="dxa"/>
            <w:tcBorders>
              <w:top w:val="single" w:sz="8" w:space="0" w:color="FFFFFF"/>
              <w:left w:val="single" w:sz="8" w:space="0" w:color="FFFFFF"/>
            </w:tcBorders>
            <w:shd w:val="clear" w:color="auto" w:fill="F4F4F4"/>
          </w:tcPr>
          <w:p>
            <w:pPr>
              <w:pStyle w:val="TableParagraph"/>
              <w:ind w:right="101"/>
              <w:jc w:val="right"/>
              <w:rPr>
                <w:sz w:val="19"/>
              </w:rPr>
            </w:pPr>
            <w:r>
              <w:rPr>
                <w:w w:val="95"/>
                <w:sz w:val="19"/>
              </w:rPr>
              <w:t>3,009</w:t>
            </w:r>
          </w:p>
        </w:tc>
      </w:tr>
      <w:tr>
        <w:trPr>
          <w:trHeight w:val="322" w:hRule="atLeast"/>
        </w:trPr>
        <w:tc>
          <w:tcPr>
            <w:tcW w:w="5896" w:type="dxa"/>
            <w:vMerge/>
            <w:tcBorders>
              <w:top w:val="nil"/>
            </w:tcBorders>
            <w:shd w:val="clear" w:color="auto" w:fill="FFFFFF"/>
          </w:tcPr>
          <w:p>
            <w:pPr>
              <w:rPr>
                <w:sz w:val="2"/>
                <w:szCs w:val="2"/>
              </w:rPr>
            </w:pPr>
          </w:p>
        </w:tc>
        <w:tc>
          <w:tcPr>
            <w:tcW w:w="3096" w:type="dxa"/>
            <w:gridSpan w:val="2"/>
            <w:shd w:val="clear" w:color="auto" w:fill="FFFFFF"/>
          </w:tcPr>
          <w:p>
            <w:pPr>
              <w:pStyle w:val="TableParagraph"/>
              <w:spacing w:before="47"/>
              <w:ind w:right="101"/>
              <w:jc w:val="right"/>
              <w:rPr>
                <w:sz w:val="19"/>
              </w:rPr>
            </w:pPr>
            <w:r>
              <w:rPr>
                <w:w w:val="95"/>
                <w:sz w:val="19"/>
              </w:rPr>
              <w:t>(129,962)</w:t>
            </w:r>
          </w:p>
        </w:tc>
        <w:tc>
          <w:tcPr>
            <w:tcW w:w="1548" w:type="dxa"/>
            <w:vMerge/>
            <w:tcBorders>
              <w:top w:val="nil"/>
              <w:bottom w:val="single" w:sz="4" w:space="0" w:color="000000"/>
            </w:tcBorders>
            <w:shd w:val="clear" w:color="auto" w:fill="DFE1B8"/>
          </w:tcPr>
          <w:p>
            <w:pPr>
              <w:rPr>
                <w:sz w:val="2"/>
                <w:szCs w:val="2"/>
              </w:rPr>
            </w:pPr>
          </w:p>
        </w:tc>
        <w:tc>
          <w:tcPr>
            <w:tcW w:w="1548" w:type="dxa"/>
            <w:vMerge w:val="restart"/>
            <w:tcBorders>
              <w:bottom w:val="single" w:sz="8" w:space="0" w:color="FFFFFF"/>
            </w:tcBorders>
            <w:shd w:val="clear" w:color="auto" w:fill="F4F4F4"/>
          </w:tcPr>
          <w:p>
            <w:pPr>
              <w:pStyle w:val="TableParagraph"/>
              <w:spacing w:before="47"/>
              <w:ind w:left="666"/>
              <w:rPr>
                <w:sz w:val="19"/>
              </w:rPr>
            </w:pPr>
            <w:r>
              <w:rPr>
                <w:sz w:val="19"/>
              </w:rPr>
              <w:t>(107,281)</w:t>
            </w:r>
          </w:p>
          <w:p>
            <w:pPr>
              <w:pStyle w:val="TableParagraph"/>
              <w:spacing w:before="109"/>
              <w:ind w:left="877"/>
              <w:rPr>
                <w:sz w:val="19"/>
              </w:rPr>
            </w:pPr>
            <w:r>
              <w:rPr>
                <w:sz w:val="19"/>
              </w:rPr>
              <w:t>(3,972)</w:t>
            </w:r>
          </w:p>
          <w:p>
            <w:pPr>
              <w:pStyle w:val="TableParagraph"/>
              <w:spacing w:before="109"/>
              <w:ind w:left="877"/>
              <w:rPr>
                <w:sz w:val="19"/>
              </w:rPr>
            </w:pPr>
            <w:r>
              <w:rPr>
                <w:sz w:val="19"/>
              </w:rPr>
              <w:t>(3,730)</w:t>
            </w:r>
          </w:p>
        </w:tc>
        <w:tc>
          <w:tcPr>
            <w:tcW w:w="1548" w:type="dxa"/>
            <w:vMerge w:val="restart"/>
            <w:tcBorders>
              <w:bottom w:val="single" w:sz="8" w:space="0" w:color="FFFFFF"/>
            </w:tcBorders>
            <w:shd w:val="clear" w:color="auto" w:fill="F4F4F4"/>
          </w:tcPr>
          <w:p>
            <w:pPr>
              <w:pStyle w:val="TableParagraph"/>
              <w:spacing w:before="47"/>
              <w:ind w:left="863"/>
              <w:rPr>
                <w:sz w:val="19"/>
              </w:rPr>
            </w:pPr>
            <w:r>
              <w:rPr>
                <w:sz w:val="19"/>
              </w:rPr>
              <w:t>17,816</w:t>
            </w:r>
          </w:p>
          <w:p>
            <w:pPr>
              <w:pStyle w:val="TableParagraph"/>
              <w:spacing w:before="109"/>
              <w:ind w:left="877"/>
              <w:rPr>
                <w:sz w:val="19"/>
              </w:rPr>
            </w:pPr>
            <w:r>
              <w:rPr>
                <w:sz w:val="19"/>
              </w:rPr>
              <w:t>(3,030)</w:t>
            </w:r>
          </w:p>
          <w:p>
            <w:pPr>
              <w:pStyle w:val="TableParagraph"/>
              <w:spacing w:before="109"/>
              <w:ind w:left="877"/>
              <w:rPr>
                <w:sz w:val="19"/>
              </w:rPr>
            </w:pPr>
            <w:r>
              <w:rPr>
                <w:sz w:val="19"/>
              </w:rPr>
              <w:t>(4,945)</w:t>
            </w:r>
          </w:p>
        </w:tc>
        <w:tc>
          <w:tcPr>
            <w:tcW w:w="1661" w:type="dxa"/>
            <w:vMerge w:val="restart"/>
            <w:tcBorders>
              <w:bottom w:val="single" w:sz="8" w:space="0" w:color="FFFFFF"/>
            </w:tcBorders>
            <w:shd w:val="clear" w:color="auto" w:fill="F4F4F4"/>
          </w:tcPr>
          <w:p>
            <w:pPr>
              <w:pStyle w:val="TableParagraph"/>
              <w:spacing w:before="47"/>
              <w:ind w:left="990"/>
              <w:rPr>
                <w:sz w:val="19"/>
              </w:rPr>
            </w:pPr>
            <w:r>
              <w:rPr>
                <w:sz w:val="19"/>
              </w:rPr>
              <w:t>(4,864)</w:t>
            </w:r>
          </w:p>
          <w:p>
            <w:pPr>
              <w:pStyle w:val="TableParagraph"/>
              <w:spacing w:before="109"/>
              <w:ind w:left="990"/>
              <w:rPr>
                <w:sz w:val="19"/>
              </w:rPr>
            </w:pPr>
            <w:r>
              <w:rPr>
                <w:sz w:val="19"/>
              </w:rPr>
              <w:t>(2,164)</w:t>
            </w:r>
          </w:p>
          <w:p>
            <w:pPr>
              <w:pStyle w:val="TableParagraph"/>
              <w:spacing w:before="109"/>
              <w:ind w:left="990"/>
              <w:rPr>
                <w:sz w:val="19"/>
              </w:rPr>
            </w:pPr>
            <w:r>
              <w:rPr>
                <w:sz w:val="19"/>
              </w:rPr>
              <w:t>(1,215)</w:t>
            </w:r>
          </w:p>
        </w:tc>
      </w:tr>
      <w:tr>
        <w:trPr>
          <w:trHeight w:val="297" w:hRule="atLeast"/>
        </w:trPr>
        <w:tc>
          <w:tcPr>
            <w:tcW w:w="5896" w:type="dxa"/>
            <w:vMerge w:val="restart"/>
            <w:shd w:val="clear" w:color="auto" w:fill="FFFFFF"/>
          </w:tcPr>
          <w:p>
            <w:pPr>
              <w:pStyle w:val="TableParagraph"/>
              <w:ind w:left="124"/>
              <w:rPr>
                <w:sz w:val="19"/>
              </w:rPr>
            </w:pPr>
            <w:r>
              <w:rPr>
                <w:sz w:val="19"/>
              </w:rPr>
              <w:t>GST payments to taxation authority</w:t>
            </w:r>
          </w:p>
          <w:p>
            <w:pPr>
              <w:pStyle w:val="TableParagraph"/>
              <w:spacing w:before="109"/>
              <w:ind w:left="124"/>
              <w:rPr>
                <w:sz w:val="19"/>
              </w:rPr>
            </w:pPr>
            <w:r>
              <w:rPr>
                <w:sz w:val="19"/>
              </w:rPr>
              <w:t>Other payments</w:t>
            </w:r>
          </w:p>
        </w:tc>
        <w:tc>
          <w:tcPr>
            <w:tcW w:w="1548" w:type="dxa"/>
            <w:tcBorders>
              <w:top w:val="single" w:sz="8" w:space="0" w:color="FFFFFF"/>
              <w:left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tcBorders>
            <w:shd w:val="clear" w:color="auto" w:fill="F4F4F4"/>
          </w:tcPr>
          <w:p>
            <w:pPr>
              <w:pStyle w:val="TableParagraph"/>
              <w:ind w:right="100"/>
              <w:jc w:val="right"/>
              <w:rPr>
                <w:sz w:val="19"/>
              </w:rPr>
            </w:pPr>
            <w:r>
              <w:rPr>
                <w:w w:val="90"/>
                <w:sz w:val="19"/>
              </w:rPr>
              <w:t>(3,106)</w:t>
            </w:r>
          </w:p>
        </w:tc>
        <w:tc>
          <w:tcPr>
            <w:tcW w:w="1548" w:type="dxa"/>
            <w:vMerge/>
            <w:tcBorders>
              <w:top w:val="nil"/>
              <w:bottom w:val="single" w:sz="4" w:space="0" w:color="000000"/>
            </w:tcBorders>
            <w:shd w:val="clear" w:color="auto" w:fill="DFE1B8"/>
          </w:tcPr>
          <w:p>
            <w:pPr>
              <w:rPr>
                <w:sz w:val="2"/>
                <w:szCs w:val="2"/>
              </w:rPr>
            </w:pPr>
          </w:p>
        </w:tc>
        <w:tc>
          <w:tcPr>
            <w:tcW w:w="1548" w:type="dxa"/>
            <w:vMerge/>
            <w:tcBorders>
              <w:top w:val="nil"/>
              <w:bottom w:val="single" w:sz="8" w:space="0" w:color="FFFFFF"/>
            </w:tcBorders>
            <w:shd w:val="clear" w:color="auto" w:fill="F4F4F4"/>
          </w:tcPr>
          <w:p>
            <w:pPr>
              <w:rPr>
                <w:sz w:val="2"/>
                <w:szCs w:val="2"/>
              </w:rPr>
            </w:pPr>
          </w:p>
        </w:tc>
        <w:tc>
          <w:tcPr>
            <w:tcW w:w="1548" w:type="dxa"/>
            <w:vMerge/>
            <w:tcBorders>
              <w:top w:val="nil"/>
              <w:bottom w:val="single" w:sz="8" w:space="0" w:color="FFFFFF"/>
            </w:tcBorders>
            <w:shd w:val="clear" w:color="auto" w:fill="F4F4F4"/>
          </w:tcPr>
          <w:p>
            <w:pPr>
              <w:rPr>
                <w:sz w:val="2"/>
                <w:szCs w:val="2"/>
              </w:rPr>
            </w:pPr>
          </w:p>
        </w:tc>
        <w:tc>
          <w:tcPr>
            <w:tcW w:w="1661" w:type="dxa"/>
            <w:vMerge/>
            <w:tcBorders>
              <w:top w:val="nil"/>
              <w:bottom w:val="single" w:sz="8" w:space="0" w:color="FFFFFF"/>
            </w:tcBorders>
            <w:shd w:val="clear" w:color="auto" w:fill="F4F4F4"/>
          </w:tcPr>
          <w:p>
            <w:pPr>
              <w:rPr>
                <w:sz w:val="2"/>
                <w:szCs w:val="2"/>
              </w:rPr>
            </w:pPr>
          </w:p>
        </w:tc>
      </w:tr>
      <w:tr>
        <w:trPr>
          <w:trHeight w:val="317" w:hRule="atLeast"/>
        </w:trPr>
        <w:tc>
          <w:tcPr>
            <w:tcW w:w="5896" w:type="dxa"/>
            <w:vMerge/>
            <w:tcBorders>
              <w:top w:val="nil"/>
            </w:tcBorders>
            <w:shd w:val="clear" w:color="auto" w:fill="FFFFFF"/>
          </w:tcPr>
          <w:p>
            <w:pPr>
              <w:rPr>
                <w:sz w:val="2"/>
                <w:szCs w:val="2"/>
              </w:rPr>
            </w:pPr>
          </w:p>
        </w:tc>
        <w:tc>
          <w:tcPr>
            <w:tcW w:w="3096" w:type="dxa"/>
            <w:gridSpan w:val="2"/>
            <w:shd w:val="clear" w:color="auto" w:fill="FFFFFF"/>
          </w:tcPr>
          <w:p>
            <w:pPr>
              <w:pStyle w:val="TableParagraph"/>
              <w:spacing w:before="42"/>
              <w:ind w:right="100"/>
              <w:jc w:val="right"/>
              <w:rPr>
                <w:sz w:val="19"/>
              </w:rPr>
            </w:pPr>
            <w:r>
              <w:rPr>
                <w:w w:val="111"/>
                <w:sz w:val="19"/>
              </w:rPr>
              <w:t>-</w:t>
            </w:r>
          </w:p>
        </w:tc>
        <w:tc>
          <w:tcPr>
            <w:tcW w:w="1548" w:type="dxa"/>
            <w:vMerge/>
            <w:tcBorders>
              <w:top w:val="nil"/>
              <w:bottom w:val="single" w:sz="4" w:space="0" w:color="000000"/>
            </w:tcBorders>
            <w:shd w:val="clear" w:color="auto" w:fill="DFE1B8"/>
          </w:tcPr>
          <w:p>
            <w:pPr>
              <w:rPr>
                <w:sz w:val="2"/>
                <w:szCs w:val="2"/>
              </w:rPr>
            </w:pPr>
          </w:p>
        </w:tc>
        <w:tc>
          <w:tcPr>
            <w:tcW w:w="1548" w:type="dxa"/>
            <w:vMerge/>
            <w:tcBorders>
              <w:top w:val="nil"/>
              <w:bottom w:val="single" w:sz="8" w:space="0" w:color="FFFFFF"/>
            </w:tcBorders>
            <w:shd w:val="clear" w:color="auto" w:fill="F4F4F4"/>
          </w:tcPr>
          <w:p>
            <w:pPr>
              <w:rPr>
                <w:sz w:val="2"/>
                <w:szCs w:val="2"/>
              </w:rPr>
            </w:pPr>
          </w:p>
        </w:tc>
        <w:tc>
          <w:tcPr>
            <w:tcW w:w="1548" w:type="dxa"/>
            <w:vMerge/>
            <w:tcBorders>
              <w:top w:val="nil"/>
              <w:bottom w:val="single" w:sz="8" w:space="0" w:color="FFFFFF"/>
            </w:tcBorders>
            <w:shd w:val="clear" w:color="auto" w:fill="F4F4F4"/>
          </w:tcPr>
          <w:p>
            <w:pPr>
              <w:rPr>
                <w:sz w:val="2"/>
                <w:szCs w:val="2"/>
              </w:rPr>
            </w:pPr>
          </w:p>
        </w:tc>
        <w:tc>
          <w:tcPr>
            <w:tcW w:w="1661" w:type="dxa"/>
            <w:vMerge/>
            <w:tcBorders>
              <w:top w:val="nil"/>
              <w:bottom w:val="single" w:sz="8" w:space="0" w:color="FFFFFF"/>
            </w:tcBorders>
            <w:shd w:val="clear" w:color="auto" w:fill="F4F4F4"/>
          </w:tcPr>
          <w:p>
            <w:pPr>
              <w:rPr>
                <w:sz w:val="2"/>
                <w:szCs w:val="2"/>
              </w:rPr>
            </w:pPr>
          </w:p>
        </w:tc>
      </w:tr>
      <w:tr>
        <w:trPr>
          <w:trHeight w:val="307" w:hRule="atLeast"/>
        </w:trPr>
        <w:tc>
          <w:tcPr>
            <w:tcW w:w="5896" w:type="dxa"/>
            <w:vMerge w:val="restart"/>
            <w:shd w:val="clear" w:color="auto" w:fill="FFFFFF"/>
          </w:tcPr>
          <w:p>
            <w:pPr>
              <w:pStyle w:val="TableParagraph"/>
              <w:ind w:left="124"/>
              <w:rPr>
                <w:i/>
                <w:sz w:val="19"/>
              </w:rPr>
            </w:pPr>
            <w:r>
              <w:rPr>
                <w:i/>
                <w:color w:val="A7BE39"/>
                <w:sz w:val="19"/>
              </w:rPr>
              <w:t>Receipts</w:t>
            </w:r>
          </w:p>
          <w:p>
            <w:pPr>
              <w:pStyle w:val="TableParagraph"/>
              <w:spacing w:before="109"/>
              <w:ind w:left="124"/>
              <w:rPr>
                <w:sz w:val="19"/>
              </w:rPr>
            </w:pPr>
            <w:r>
              <w:rPr>
                <w:sz w:val="19"/>
              </w:rPr>
              <w:t>User charges and fees</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20"/>
              </w:rPr>
            </w:pPr>
          </w:p>
        </w:tc>
        <w:tc>
          <w:tcPr>
            <w:tcW w:w="1548"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661"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5896" w:type="dxa"/>
            <w:vMerge/>
            <w:tcBorders>
              <w:top w:val="nil"/>
            </w:tcBorders>
            <w:shd w:val="clear" w:color="auto" w:fill="FFFFFF"/>
          </w:tcPr>
          <w:p>
            <w:pPr>
              <w:rPr>
                <w:sz w:val="2"/>
                <w:szCs w:val="2"/>
              </w:rPr>
            </w:pPr>
          </w:p>
        </w:tc>
        <w:tc>
          <w:tcPr>
            <w:tcW w:w="1548" w:type="dxa"/>
            <w:shd w:val="clear" w:color="auto" w:fill="FFFFFF"/>
          </w:tcPr>
          <w:p>
            <w:pPr>
              <w:pStyle w:val="TableParagraph"/>
              <w:ind w:left="19"/>
              <w:jc w:val="center"/>
              <w:rPr>
                <w:sz w:val="19"/>
              </w:rPr>
            </w:pPr>
            <w:hyperlink w:history="true" w:anchor="_bookmark56">
              <w:r>
                <w:rPr>
                  <w:color w:val="A7BE39"/>
                  <w:w w:val="99"/>
                  <w:sz w:val="19"/>
                  <w:u w:val="single" w:color="A7BE39"/>
                </w:rPr>
                <w:t>5</w:t>
              </w:r>
            </w:hyperlink>
          </w:p>
        </w:tc>
        <w:tc>
          <w:tcPr>
            <w:tcW w:w="1548" w:type="dxa"/>
            <w:shd w:val="clear" w:color="auto" w:fill="FFFFFF"/>
          </w:tcPr>
          <w:p>
            <w:pPr>
              <w:pStyle w:val="TableParagraph"/>
              <w:ind w:right="101"/>
              <w:jc w:val="right"/>
              <w:rPr>
                <w:sz w:val="19"/>
              </w:rPr>
            </w:pPr>
            <w:r>
              <w:rPr>
                <w:w w:val="95"/>
                <w:sz w:val="19"/>
              </w:rPr>
              <w:t>1,160,462</w:t>
            </w:r>
          </w:p>
        </w:tc>
        <w:tc>
          <w:tcPr>
            <w:tcW w:w="1548"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8" w:space="0" w:color="FFFFFF"/>
            </w:tcBorders>
            <w:shd w:val="clear" w:color="auto" w:fill="FAF9F9"/>
          </w:tcPr>
          <w:p>
            <w:pPr>
              <w:pStyle w:val="TableParagraph"/>
              <w:ind w:right="102"/>
              <w:jc w:val="right"/>
              <w:rPr>
                <w:sz w:val="19"/>
              </w:rPr>
            </w:pPr>
            <w:r>
              <w:rPr>
                <w:w w:val="95"/>
                <w:sz w:val="19"/>
              </w:rPr>
              <w:t>938,279</w:t>
            </w:r>
          </w:p>
        </w:tc>
        <w:tc>
          <w:tcPr>
            <w:tcW w:w="1548" w:type="dxa"/>
            <w:tcBorders>
              <w:top w:val="single" w:sz="8" w:space="0" w:color="FFFFFF"/>
              <w:bottom w:val="single" w:sz="8" w:space="0" w:color="FFFFFF"/>
            </w:tcBorders>
            <w:shd w:val="clear" w:color="auto" w:fill="FAF9F9"/>
          </w:tcPr>
          <w:p>
            <w:pPr>
              <w:pStyle w:val="TableParagraph"/>
              <w:ind w:right="102"/>
              <w:jc w:val="right"/>
              <w:rPr>
                <w:sz w:val="19"/>
              </w:rPr>
            </w:pPr>
            <w:r>
              <w:rPr>
                <w:w w:val="95"/>
                <w:sz w:val="19"/>
              </w:rPr>
              <w:t>(149,108)</w:t>
            </w:r>
          </w:p>
        </w:tc>
        <w:tc>
          <w:tcPr>
            <w:tcW w:w="1661" w:type="dxa"/>
            <w:tcBorders>
              <w:top w:val="single" w:sz="8" w:space="0" w:color="FFFFFF"/>
              <w:bottom w:val="single" w:sz="8" w:space="0" w:color="FFFFFF"/>
            </w:tcBorders>
            <w:shd w:val="clear" w:color="auto" w:fill="FAF9F9"/>
          </w:tcPr>
          <w:p>
            <w:pPr>
              <w:pStyle w:val="TableParagraph"/>
              <w:ind w:right="102"/>
              <w:jc w:val="right"/>
              <w:rPr>
                <w:sz w:val="19"/>
              </w:rPr>
            </w:pPr>
            <w:r>
              <w:rPr>
                <w:w w:val="95"/>
                <w:sz w:val="19"/>
              </w:rPr>
              <w:t>73,076</w:t>
            </w:r>
          </w:p>
        </w:tc>
      </w:tr>
      <w:tr>
        <w:trPr>
          <w:trHeight w:val="307" w:hRule="atLeast"/>
        </w:trPr>
        <w:tc>
          <w:tcPr>
            <w:tcW w:w="5896" w:type="dxa"/>
            <w:vMerge w:val="restart"/>
            <w:shd w:val="clear" w:color="auto" w:fill="FFFFFF"/>
          </w:tcPr>
          <w:p>
            <w:pPr>
              <w:pStyle w:val="TableParagraph"/>
              <w:ind w:left="123"/>
              <w:rPr>
                <w:sz w:val="19"/>
              </w:rPr>
            </w:pPr>
            <w:r>
              <w:rPr>
                <w:sz w:val="19"/>
              </w:rPr>
              <w:t>Commonwealth grants and contributions</w:t>
            </w:r>
          </w:p>
          <w:p>
            <w:pPr>
              <w:pStyle w:val="TableParagraph"/>
              <w:spacing w:before="109"/>
              <w:ind w:left="123"/>
              <w:rPr>
                <w:sz w:val="19"/>
              </w:rPr>
            </w:pPr>
            <w:r>
              <w:rPr>
                <w:sz w:val="19"/>
              </w:rPr>
              <w:t>Interest received</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tcBorders>
            <w:shd w:val="clear" w:color="auto" w:fill="F4F4F4"/>
          </w:tcPr>
          <w:p>
            <w:pPr>
              <w:pStyle w:val="TableParagraph"/>
              <w:ind w:right="101"/>
              <w:jc w:val="right"/>
              <w:rPr>
                <w:sz w:val="19"/>
              </w:rPr>
            </w:pPr>
            <w:r>
              <w:rPr>
                <w:w w:val="111"/>
                <w:sz w:val="19"/>
              </w:rPr>
              <w:t>-</w:t>
            </w:r>
          </w:p>
        </w:tc>
        <w:tc>
          <w:tcPr>
            <w:tcW w:w="1548"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ind w:right="92"/>
              <w:jc w:val="right"/>
              <w:rPr>
                <w:sz w:val="19"/>
              </w:rPr>
            </w:pPr>
            <w:r>
              <w:rPr>
                <w:w w:val="95"/>
                <w:sz w:val="19"/>
              </w:rPr>
              <w:t>1,665</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92"/>
              <w:jc w:val="right"/>
              <w:rPr>
                <w:sz w:val="19"/>
              </w:rPr>
            </w:pPr>
            <w:r>
              <w:rPr>
                <w:w w:val="95"/>
                <w:sz w:val="19"/>
              </w:rPr>
              <w:t>3,337</w:t>
            </w:r>
          </w:p>
        </w:tc>
        <w:tc>
          <w:tcPr>
            <w:tcW w:w="1661" w:type="dxa"/>
            <w:tcBorders>
              <w:top w:val="single" w:sz="8" w:space="0" w:color="FFFFFF"/>
              <w:left w:val="single" w:sz="8" w:space="0" w:color="FFFFFF"/>
              <w:bottom w:val="single" w:sz="8" w:space="0" w:color="FFFFFF"/>
            </w:tcBorders>
            <w:shd w:val="clear" w:color="auto" w:fill="F4F4F4"/>
          </w:tcPr>
          <w:p>
            <w:pPr>
              <w:pStyle w:val="TableParagraph"/>
              <w:ind w:right="102"/>
              <w:jc w:val="right"/>
              <w:rPr>
                <w:sz w:val="19"/>
              </w:rPr>
            </w:pPr>
            <w:r>
              <w:rPr>
                <w:w w:val="95"/>
                <w:sz w:val="19"/>
              </w:rPr>
              <w:t>1,673</w:t>
            </w:r>
          </w:p>
        </w:tc>
      </w:tr>
      <w:tr>
        <w:trPr>
          <w:trHeight w:val="307" w:hRule="atLeast"/>
        </w:trPr>
        <w:tc>
          <w:tcPr>
            <w:tcW w:w="5896" w:type="dxa"/>
            <w:vMerge/>
            <w:tcBorders>
              <w:top w:val="nil"/>
            </w:tcBorders>
            <w:shd w:val="clear" w:color="auto" w:fill="FFFFFF"/>
          </w:tcPr>
          <w:p>
            <w:pPr>
              <w:rPr>
                <w:sz w:val="2"/>
                <w:szCs w:val="2"/>
              </w:rPr>
            </w:pPr>
          </w:p>
        </w:tc>
        <w:tc>
          <w:tcPr>
            <w:tcW w:w="3096" w:type="dxa"/>
            <w:gridSpan w:val="2"/>
            <w:shd w:val="clear" w:color="auto" w:fill="FFFFFF"/>
          </w:tcPr>
          <w:p>
            <w:pPr>
              <w:pStyle w:val="TableParagraph"/>
              <w:ind w:right="101"/>
              <w:jc w:val="right"/>
              <w:rPr>
                <w:sz w:val="19"/>
              </w:rPr>
            </w:pPr>
            <w:r>
              <w:rPr>
                <w:w w:val="95"/>
                <w:sz w:val="19"/>
              </w:rPr>
              <w:t>154</w:t>
            </w:r>
          </w:p>
        </w:tc>
        <w:tc>
          <w:tcPr>
            <w:tcW w:w="1548"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8" w:space="0" w:color="FFFFFF"/>
            </w:tcBorders>
            <w:shd w:val="clear" w:color="auto" w:fill="FAF9F9"/>
          </w:tcPr>
          <w:p>
            <w:pPr>
              <w:pStyle w:val="TableParagraph"/>
              <w:ind w:right="102"/>
              <w:jc w:val="right"/>
              <w:rPr>
                <w:sz w:val="19"/>
              </w:rPr>
            </w:pPr>
            <w:r>
              <w:rPr>
                <w:w w:val="95"/>
                <w:sz w:val="19"/>
              </w:rPr>
              <w:t>214</w:t>
            </w:r>
          </w:p>
        </w:tc>
        <w:tc>
          <w:tcPr>
            <w:tcW w:w="1548" w:type="dxa"/>
            <w:tcBorders>
              <w:top w:val="single" w:sz="8" w:space="0" w:color="FFFFFF"/>
              <w:bottom w:val="single" w:sz="8" w:space="0" w:color="FFFFFF"/>
            </w:tcBorders>
            <w:shd w:val="clear" w:color="auto" w:fill="FAF9F9"/>
          </w:tcPr>
          <w:p>
            <w:pPr>
              <w:pStyle w:val="TableParagraph"/>
              <w:ind w:right="102"/>
              <w:jc w:val="right"/>
              <w:rPr>
                <w:sz w:val="19"/>
              </w:rPr>
            </w:pPr>
            <w:r>
              <w:rPr>
                <w:w w:val="95"/>
                <w:sz w:val="19"/>
              </w:rPr>
              <w:t>228</w:t>
            </w:r>
          </w:p>
        </w:tc>
        <w:tc>
          <w:tcPr>
            <w:tcW w:w="1661" w:type="dxa"/>
            <w:tcBorders>
              <w:top w:val="single" w:sz="8" w:space="0" w:color="FFFFFF"/>
              <w:bottom w:val="single" w:sz="8" w:space="0" w:color="FFFFFF"/>
            </w:tcBorders>
            <w:shd w:val="clear" w:color="auto" w:fill="FAF9F9"/>
          </w:tcPr>
          <w:p>
            <w:pPr>
              <w:pStyle w:val="TableParagraph"/>
              <w:ind w:right="102"/>
              <w:jc w:val="right"/>
              <w:rPr>
                <w:sz w:val="19"/>
              </w:rPr>
            </w:pPr>
            <w:r>
              <w:rPr>
                <w:w w:val="95"/>
                <w:sz w:val="19"/>
              </w:rPr>
              <w:t>167</w:t>
            </w:r>
          </w:p>
        </w:tc>
      </w:tr>
      <w:tr>
        <w:trPr>
          <w:trHeight w:val="307" w:hRule="atLeast"/>
        </w:trPr>
        <w:tc>
          <w:tcPr>
            <w:tcW w:w="5896" w:type="dxa"/>
            <w:vMerge w:val="restart"/>
            <w:shd w:val="clear" w:color="auto" w:fill="FFFFFF"/>
          </w:tcPr>
          <w:p>
            <w:pPr>
              <w:pStyle w:val="TableParagraph"/>
              <w:ind w:left="123"/>
              <w:rPr>
                <w:sz w:val="19"/>
              </w:rPr>
            </w:pPr>
            <w:r>
              <w:rPr>
                <w:sz w:val="19"/>
              </w:rPr>
              <w:t>GST receipts on sales</w:t>
            </w:r>
          </w:p>
          <w:p>
            <w:pPr>
              <w:pStyle w:val="TableParagraph"/>
              <w:spacing w:before="109"/>
              <w:ind w:left="124"/>
              <w:rPr>
                <w:sz w:val="19"/>
              </w:rPr>
            </w:pPr>
            <w:r>
              <w:rPr>
                <w:sz w:val="19"/>
              </w:rPr>
              <w:t>GST receipts from taxation authority</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tcBorders>
            <w:shd w:val="clear" w:color="auto" w:fill="F4F4F4"/>
          </w:tcPr>
          <w:p>
            <w:pPr>
              <w:pStyle w:val="TableParagraph"/>
              <w:ind w:right="101"/>
              <w:jc w:val="right"/>
              <w:rPr>
                <w:sz w:val="19"/>
              </w:rPr>
            </w:pPr>
            <w:r>
              <w:rPr>
                <w:w w:val="95"/>
                <w:sz w:val="19"/>
              </w:rPr>
              <w:t>121,943</w:t>
            </w:r>
          </w:p>
        </w:tc>
        <w:tc>
          <w:tcPr>
            <w:tcW w:w="1548"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5"/>
                <w:sz w:val="19"/>
              </w:rPr>
              <w:t>103,120</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92"/>
              <w:jc w:val="right"/>
              <w:rPr>
                <w:sz w:val="19"/>
              </w:rPr>
            </w:pPr>
            <w:r>
              <w:rPr>
                <w:w w:val="95"/>
                <w:sz w:val="19"/>
              </w:rPr>
              <w:t>(12,816)</w:t>
            </w:r>
          </w:p>
        </w:tc>
        <w:tc>
          <w:tcPr>
            <w:tcW w:w="1661" w:type="dxa"/>
            <w:tcBorders>
              <w:top w:val="single" w:sz="8" w:space="0" w:color="FFFFFF"/>
              <w:left w:val="single" w:sz="8" w:space="0" w:color="FFFFFF"/>
              <w:bottom w:val="single" w:sz="8" w:space="0" w:color="FFFFFF"/>
            </w:tcBorders>
            <w:shd w:val="clear" w:color="auto" w:fill="F4F4F4"/>
          </w:tcPr>
          <w:p>
            <w:pPr>
              <w:pStyle w:val="TableParagraph"/>
              <w:ind w:right="101"/>
              <w:jc w:val="right"/>
              <w:rPr>
                <w:sz w:val="19"/>
              </w:rPr>
            </w:pPr>
            <w:r>
              <w:rPr>
                <w:w w:val="95"/>
                <w:sz w:val="19"/>
              </w:rPr>
              <w:t>6,007</w:t>
            </w:r>
          </w:p>
        </w:tc>
      </w:tr>
      <w:tr>
        <w:trPr>
          <w:trHeight w:val="307" w:hRule="atLeast"/>
        </w:trPr>
        <w:tc>
          <w:tcPr>
            <w:tcW w:w="5896" w:type="dxa"/>
            <w:vMerge/>
            <w:tcBorders>
              <w:top w:val="nil"/>
            </w:tcBorders>
            <w:shd w:val="clear" w:color="auto" w:fill="FFFFFF"/>
          </w:tcPr>
          <w:p>
            <w:pPr>
              <w:rPr>
                <w:sz w:val="2"/>
                <w:szCs w:val="2"/>
              </w:rPr>
            </w:pPr>
          </w:p>
        </w:tc>
        <w:tc>
          <w:tcPr>
            <w:tcW w:w="3096" w:type="dxa"/>
            <w:gridSpan w:val="2"/>
            <w:shd w:val="clear" w:color="auto" w:fill="FFFFFF"/>
          </w:tcPr>
          <w:p>
            <w:pPr>
              <w:pStyle w:val="TableParagraph"/>
              <w:ind w:right="101"/>
              <w:jc w:val="right"/>
              <w:rPr>
                <w:sz w:val="19"/>
              </w:rPr>
            </w:pPr>
            <w:r>
              <w:rPr>
                <w:w w:val="95"/>
                <w:sz w:val="19"/>
              </w:rPr>
              <w:t>12,305</w:t>
            </w:r>
          </w:p>
        </w:tc>
        <w:tc>
          <w:tcPr>
            <w:tcW w:w="1548"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8" w:space="0" w:color="FFFFFF"/>
            </w:tcBorders>
            <w:shd w:val="clear" w:color="auto" w:fill="FAF9F9"/>
          </w:tcPr>
          <w:p>
            <w:pPr>
              <w:pStyle w:val="TableParagraph"/>
              <w:ind w:right="101"/>
              <w:jc w:val="right"/>
              <w:rPr>
                <w:sz w:val="19"/>
              </w:rPr>
            </w:pPr>
            <w:r>
              <w:rPr>
                <w:w w:val="95"/>
                <w:sz w:val="19"/>
              </w:rPr>
              <w:t>8,688</w:t>
            </w:r>
          </w:p>
        </w:tc>
        <w:tc>
          <w:tcPr>
            <w:tcW w:w="1548" w:type="dxa"/>
            <w:tcBorders>
              <w:top w:val="single" w:sz="8" w:space="0" w:color="FFFFFF"/>
              <w:bottom w:val="single" w:sz="8" w:space="0" w:color="FFFFFF"/>
            </w:tcBorders>
            <w:shd w:val="clear" w:color="auto" w:fill="FAF9F9"/>
          </w:tcPr>
          <w:p>
            <w:pPr>
              <w:pStyle w:val="TableParagraph"/>
              <w:ind w:right="101"/>
              <w:jc w:val="right"/>
              <w:rPr>
                <w:sz w:val="19"/>
              </w:rPr>
            </w:pPr>
            <w:r>
              <w:rPr>
                <w:w w:val="90"/>
                <w:sz w:val="19"/>
              </w:rPr>
              <w:t>(4,814)</w:t>
            </w:r>
          </w:p>
        </w:tc>
        <w:tc>
          <w:tcPr>
            <w:tcW w:w="1661" w:type="dxa"/>
            <w:tcBorders>
              <w:top w:val="single" w:sz="8" w:space="0" w:color="FFFFFF"/>
              <w:bottom w:val="single" w:sz="8" w:space="0" w:color="FFFFFF"/>
            </w:tcBorders>
            <w:shd w:val="clear" w:color="auto" w:fill="FAF9F9"/>
          </w:tcPr>
          <w:p>
            <w:pPr>
              <w:pStyle w:val="TableParagraph"/>
              <w:ind w:right="101"/>
              <w:jc w:val="right"/>
              <w:rPr>
                <w:sz w:val="19"/>
              </w:rPr>
            </w:pPr>
            <w:r>
              <w:rPr>
                <w:w w:val="90"/>
                <w:sz w:val="19"/>
              </w:rPr>
              <w:t>(1,197)</w:t>
            </w:r>
          </w:p>
        </w:tc>
      </w:tr>
      <w:tr>
        <w:trPr>
          <w:trHeight w:val="312" w:hRule="atLeast"/>
        </w:trPr>
        <w:tc>
          <w:tcPr>
            <w:tcW w:w="5896" w:type="dxa"/>
            <w:vMerge w:val="restart"/>
            <w:shd w:val="clear" w:color="auto" w:fill="FFFFFF"/>
          </w:tcPr>
          <w:p>
            <w:pPr>
              <w:pStyle w:val="TableParagraph"/>
              <w:ind w:left="124"/>
              <w:rPr>
                <w:sz w:val="19"/>
              </w:rPr>
            </w:pPr>
            <w:r>
              <w:rPr>
                <w:sz w:val="19"/>
              </w:rPr>
              <w:t>Other receipts</w:t>
            </w:r>
          </w:p>
          <w:p>
            <w:pPr>
              <w:pStyle w:val="TableParagraph"/>
              <w:spacing w:before="109"/>
              <w:ind w:left="124"/>
              <w:rPr>
                <w:b/>
                <w:sz w:val="19"/>
              </w:rPr>
            </w:pPr>
            <w:r>
              <w:rPr>
                <w:b/>
                <w:sz w:val="19"/>
              </w:rPr>
              <w:t>Net cash used in operating activities</w:t>
            </w:r>
          </w:p>
        </w:tc>
        <w:tc>
          <w:tcPr>
            <w:tcW w:w="1548" w:type="dxa"/>
            <w:vMerge w:val="restart"/>
            <w:shd w:val="clear" w:color="auto" w:fill="FFFFFF"/>
          </w:tcPr>
          <w:p>
            <w:pPr>
              <w:pStyle w:val="TableParagraph"/>
              <w:spacing w:before="0"/>
              <w:rPr>
                <w:rFonts w:ascii="Times New Roman"/>
                <w:sz w:val="20"/>
              </w:rPr>
            </w:pPr>
          </w:p>
        </w:tc>
        <w:tc>
          <w:tcPr>
            <w:tcW w:w="1548" w:type="dxa"/>
            <w:tcBorders>
              <w:top w:val="single" w:sz="8" w:space="0" w:color="FFFFFF"/>
              <w:left w:val="single" w:sz="8" w:space="0" w:color="FFFFFF"/>
              <w:bottom w:val="single" w:sz="4" w:space="0" w:color="000000"/>
            </w:tcBorders>
            <w:shd w:val="clear" w:color="auto" w:fill="F4F4F4"/>
          </w:tcPr>
          <w:p>
            <w:pPr>
              <w:pStyle w:val="TableParagraph"/>
              <w:ind w:right="100"/>
              <w:jc w:val="right"/>
              <w:rPr>
                <w:sz w:val="19"/>
              </w:rPr>
            </w:pPr>
            <w:r>
              <w:rPr>
                <w:w w:val="95"/>
                <w:sz w:val="19"/>
              </w:rPr>
              <w:t>17,679</w:t>
            </w:r>
          </w:p>
        </w:tc>
        <w:tc>
          <w:tcPr>
            <w:tcW w:w="1548"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4" w:space="0" w:color="000000"/>
              <w:right w:val="single" w:sz="8" w:space="0" w:color="FFFFFF"/>
            </w:tcBorders>
            <w:shd w:val="clear" w:color="auto" w:fill="F4F4F4"/>
          </w:tcPr>
          <w:p>
            <w:pPr>
              <w:pStyle w:val="TableParagraph"/>
              <w:ind w:right="91"/>
              <w:jc w:val="right"/>
              <w:rPr>
                <w:sz w:val="19"/>
              </w:rPr>
            </w:pPr>
            <w:r>
              <w:rPr>
                <w:w w:val="95"/>
                <w:sz w:val="19"/>
              </w:rPr>
              <w:t>8,676</w:t>
            </w:r>
          </w:p>
        </w:tc>
        <w:tc>
          <w:tcPr>
            <w:tcW w:w="1548" w:type="dxa"/>
            <w:tcBorders>
              <w:top w:val="single" w:sz="8" w:space="0" w:color="FFFFFF"/>
              <w:left w:val="single" w:sz="8" w:space="0" w:color="FFFFFF"/>
              <w:bottom w:val="single" w:sz="4" w:space="0" w:color="000000"/>
              <w:right w:val="single" w:sz="8" w:space="0" w:color="FFFFFF"/>
            </w:tcBorders>
            <w:shd w:val="clear" w:color="auto" w:fill="F4F4F4"/>
          </w:tcPr>
          <w:p>
            <w:pPr>
              <w:pStyle w:val="TableParagraph"/>
              <w:ind w:right="91"/>
              <w:jc w:val="right"/>
              <w:rPr>
                <w:sz w:val="19"/>
              </w:rPr>
            </w:pPr>
            <w:r>
              <w:rPr>
                <w:w w:val="95"/>
                <w:sz w:val="19"/>
              </w:rPr>
              <w:t>(10,820)</w:t>
            </w:r>
          </w:p>
        </w:tc>
        <w:tc>
          <w:tcPr>
            <w:tcW w:w="1661" w:type="dxa"/>
            <w:tcBorders>
              <w:top w:val="single" w:sz="8" w:space="0" w:color="FFFFFF"/>
              <w:left w:val="single" w:sz="8" w:space="0" w:color="FFFFFF"/>
              <w:bottom w:val="single" w:sz="4" w:space="0" w:color="000000"/>
            </w:tcBorders>
            <w:shd w:val="clear" w:color="auto" w:fill="F4F4F4"/>
          </w:tcPr>
          <w:p>
            <w:pPr>
              <w:pStyle w:val="TableParagraph"/>
              <w:ind w:right="101"/>
              <w:jc w:val="right"/>
              <w:rPr>
                <w:sz w:val="19"/>
              </w:rPr>
            </w:pPr>
            <w:r>
              <w:rPr>
                <w:w w:val="90"/>
                <w:sz w:val="19"/>
              </w:rPr>
              <w:t>(1,818)</w:t>
            </w:r>
          </w:p>
        </w:tc>
      </w:tr>
      <w:tr>
        <w:trPr>
          <w:trHeight w:val="317" w:hRule="atLeast"/>
        </w:trPr>
        <w:tc>
          <w:tcPr>
            <w:tcW w:w="5896" w:type="dxa"/>
            <w:vMerge/>
            <w:tcBorders>
              <w:top w:val="nil"/>
            </w:tcBorders>
            <w:shd w:val="clear" w:color="auto" w:fill="FFFFFF"/>
          </w:tcPr>
          <w:p>
            <w:pPr>
              <w:rPr>
                <w:sz w:val="2"/>
                <w:szCs w:val="2"/>
              </w:rPr>
            </w:pPr>
          </w:p>
        </w:tc>
        <w:tc>
          <w:tcPr>
            <w:tcW w:w="1548" w:type="dxa"/>
            <w:vMerge/>
            <w:tcBorders>
              <w:top w:val="nil"/>
            </w:tcBorders>
            <w:shd w:val="clear" w:color="auto" w:fill="FFFFFF"/>
          </w:tcPr>
          <w:p>
            <w:pPr>
              <w:rPr>
                <w:sz w:val="2"/>
                <w:szCs w:val="2"/>
              </w:rPr>
            </w:pPr>
          </w:p>
        </w:tc>
        <w:tc>
          <w:tcPr>
            <w:tcW w:w="1548" w:type="dxa"/>
            <w:tcBorders>
              <w:top w:val="single" w:sz="4" w:space="0" w:color="000000"/>
              <w:left w:val="single" w:sz="8" w:space="0" w:color="FFFFFF"/>
              <w:bottom w:val="single" w:sz="4" w:space="0" w:color="000000"/>
            </w:tcBorders>
            <w:shd w:val="clear" w:color="auto" w:fill="FAF9F9"/>
          </w:tcPr>
          <w:p>
            <w:pPr>
              <w:pStyle w:val="TableParagraph"/>
              <w:spacing w:before="37"/>
              <w:ind w:right="100"/>
              <w:jc w:val="right"/>
              <w:rPr>
                <w:b/>
                <w:sz w:val="19"/>
              </w:rPr>
            </w:pPr>
            <w:r>
              <w:rPr>
                <w:b/>
                <w:w w:val="95"/>
                <w:sz w:val="19"/>
              </w:rPr>
              <w:t>(51,983)</w:t>
            </w:r>
          </w:p>
        </w:tc>
        <w:tc>
          <w:tcPr>
            <w:tcW w:w="1548" w:type="dxa"/>
            <w:tcBorders>
              <w:top w:val="single" w:sz="4" w:space="0" w:color="000000"/>
              <w:bottom w:val="single" w:sz="4" w:space="0" w:color="000000"/>
            </w:tcBorders>
            <w:shd w:val="clear" w:color="auto" w:fill="E1E4BB"/>
          </w:tcPr>
          <w:p>
            <w:pPr>
              <w:pStyle w:val="TableParagraph"/>
              <w:spacing w:before="37"/>
              <w:ind w:left="751"/>
              <w:rPr>
                <w:b/>
                <w:sz w:val="19"/>
              </w:rPr>
            </w:pPr>
            <w:r>
              <w:rPr>
                <w:b/>
                <w:sz w:val="19"/>
              </w:rPr>
              <w:t>(92,024)</w:t>
            </w:r>
          </w:p>
        </w:tc>
        <w:tc>
          <w:tcPr>
            <w:tcW w:w="1548" w:type="dxa"/>
            <w:tcBorders>
              <w:top w:val="single" w:sz="4" w:space="0" w:color="000000"/>
              <w:bottom w:val="single" w:sz="4" w:space="0" w:color="000000"/>
            </w:tcBorders>
            <w:shd w:val="clear" w:color="auto" w:fill="FAF9F9"/>
          </w:tcPr>
          <w:p>
            <w:pPr>
              <w:pStyle w:val="TableParagraph"/>
              <w:spacing w:before="37"/>
              <w:ind w:right="101"/>
              <w:jc w:val="right"/>
              <w:rPr>
                <w:b/>
                <w:sz w:val="19"/>
              </w:rPr>
            </w:pPr>
            <w:r>
              <w:rPr>
                <w:b/>
                <w:w w:val="95"/>
                <w:sz w:val="19"/>
              </w:rPr>
              <w:t>(82,750)</w:t>
            </w:r>
          </w:p>
        </w:tc>
        <w:tc>
          <w:tcPr>
            <w:tcW w:w="1548" w:type="dxa"/>
            <w:tcBorders>
              <w:top w:val="single" w:sz="4" w:space="0" w:color="000000"/>
              <w:bottom w:val="single" w:sz="4" w:space="0" w:color="000000"/>
            </w:tcBorders>
            <w:shd w:val="clear" w:color="auto" w:fill="FAF9F9"/>
          </w:tcPr>
          <w:p>
            <w:pPr>
              <w:pStyle w:val="TableParagraph"/>
              <w:spacing w:before="37"/>
              <w:ind w:right="101"/>
              <w:jc w:val="right"/>
              <w:rPr>
                <w:b/>
                <w:sz w:val="19"/>
              </w:rPr>
            </w:pPr>
            <w:r>
              <w:rPr>
                <w:b/>
                <w:w w:val="95"/>
                <w:sz w:val="19"/>
              </w:rPr>
              <w:t>(40,041)</w:t>
            </w:r>
          </w:p>
        </w:tc>
        <w:tc>
          <w:tcPr>
            <w:tcW w:w="1661" w:type="dxa"/>
            <w:tcBorders>
              <w:top w:val="single" w:sz="4" w:space="0" w:color="000000"/>
              <w:bottom w:val="single" w:sz="4" w:space="0" w:color="000000"/>
            </w:tcBorders>
            <w:shd w:val="clear" w:color="auto" w:fill="FAF9F9"/>
          </w:tcPr>
          <w:p>
            <w:pPr>
              <w:pStyle w:val="TableParagraph"/>
              <w:spacing w:before="37"/>
              <w:ind w:right="101"/>
              <w:jc w:val="right"/>
              <w:rPr>
                <w:b/>
                <w:sz w:val="19"/>
              </w:rPr>
            </w:pPr>
            <w:r>
              <w:rPr>
                <w:b/>
                <w:w w:val="95"/>
                <w:sz w:val="19"/>
              </w:rPr>
              <w:t>(9,274)</w:t>
            </w:r>
          </w:p>
        </w:tc>
      </w:tr>
    </w:tbl>
    <w:p>
      <w:pPr>
        <w:spacing w:after="0"/>
        <w:jc w:val="right"/>
        <w:rPr>
          <w:sz w:val="19"/>
        </w:rPr>
        <w:sectPr>
          <w:footerReference w:type="default" r:id="rId236"/>
          <w:pgSz w:w="16840" w:h="11910" w:orient="landscape"/>
          <w:pgMar w:footer="448" w:header="0" w:top="0" w:bottom="640" w:left="0" w:right="0"/>
        </w:sectPr>
      </w:pPr>
    </w:p>
    <w:p>
      <w:pPr>
        <w:pStyle w:val="BodyText"/>
        <w:ind w:left="2397"/>
        <w:rPr>
          <w:sz w:val="20"/>
        </w:rPr>
      </w:pPr>
      <w:r>
        <w:rPr/>
        <w:pict>
          <v:group style="position:absolute;margin-left:643.114075pt;margin-top:531.034790pt;width:160.450pt;height:.550pt;mso-position-horizontal-relative:page;mso-position-vertical-relative:page;z-index:26032" coordorigin="12862,10621" coordsize="3209,11">
            <v:line style="position:absolute" from="12862,10626" to="14410,10626" stroked="true" strokeweight=".501pt" strokecolor="#000000">
              <v:stroke dashstyle="solid"/>
            </v:line>
            <v:line style="position:absolute" from="14410,10626" to="16071,10626" stroked="true" strokeweight=".501pt" strokecolor="#000000">
              <v:stroke dashstyle="solid"/>
            </v:line>
            <w10:wrap type="none"/>
          </v:group>
        </w:pict>
      </w: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pPr>
    </w:p>
    <w:p>
      <w:pPr>
        <w:spacing w:before="93"/>
        <w:ind w:left="765" w:right="0" w:firstLine="0"/>
        <w:jc w:val="left"/>
        <w:rPr>
          <w:sz w:val="72"/>
        </w:rPr>
      </w:pPr>
      <w:r>
        <w:rPr/>
        <w:pict>
          <v:group style="position:absolute;margin-left:763.172119pt;margin-top:-3.544212pt;width:61.1pt;height:45.2pt;mso-position-horizontal-relative:page;mso-position-vertical-relative:paragraph;z-index:26080"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26128" coordorigin="0,-1146" coordsize="2406,851">
            <v:rect style="position:absolute;left:0;top:-1147;width:2406;height:851" filled="true" fillcolor="#aebd37" stroked="false">
              <v:fill type="solid"/>
            </v:rect>
            <v:line style="position:absolute" from="0,-1146" to="0,-296" stroked="true" strokeweight="0pt" strokecolor="#aebd37">
              <v:stroke dashstyle="solid"/>
            </v:line>
            <v:shape style="position:absolute;left:0;top:-1147;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26224"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sz w:val="72"/>
        </w:rPr>
        <w:t>Notes </w:t>
      </w:r>
      <w:r>
        <w:rPr>
          <w:color w:val="6F2770"/>
          <w:spacing w:val="-17"/>
          <w:sz w:val="72"/>
        </w:rPr>
        <w:t>to </w:t>
      </w:r>
      <w:r>
        <w:rPr>
          <w:color w:val="6F2770"/>
          <w:spacing w:val="-10"/>
          <w:sz w:val="72"/>
        </w:rPr>
        <w:t>the </w:t>
      </w:r>
      <w:r>
        <w:rPr>
          <w:color w:val="6F2770"/>
          <w:spacing w:val="-14"/>
          <w:sz w:val="72"/>
        </w:rPr>
        <w:t>Financial</w:t>
      </w:r>
      <w:r>
        <w:rPr>
          <w:color w:val="6F2770"/>
          <w:spacing w:val="-89"/>
          <w:sz w:val="72"/>
        </w:rPr>
        <w:t> </w:t>
      </w:r>
      <w:r>
        <w:rPr>
          <w:color w:val="6F2770"/>
          <w:spacing w:val="-17"/>
          <w:sz w:val="72"/>
        </w:rPr>
        <w:t>Statements</w:t>
      </w:r>
    </w:p>
    <w:p>
      <w:pPr>
        <w:spacing w:before="29"/>
        <w:ind w:left="765" w:right="0" w:firstLine="0"/>
        <w:jc w:val="left"/>
        <w:rPr>
          <w:sz w:val="36"/>
        </w:rPr>
      </w:pPr>
      <w:r>
        <w:rPr>
          <w:color w:val="A7BE39"/>
          <w:sz w:val="36"/>
        </w:rPr>
        <w:t>For the year ended 30 June 2017</w:t>
      </w:r>
    </w:p>
    <w:p>
      <w:pPr>
        <w:pStyle w:val="BodyText"/>
        <w:spacing w:before="7"/>
        <w:rPr>
          <w:sz w:val="28"/>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6"/>
        <w:gridCol w:w="1548"/>
        <w:gridCol w:w="1548"/>
        <w:gridCol w:w="1548"/>
        <w:gridCol w:w="1548"/>
        <w:gridCol w:w="1548"/>
        <w:gridCol w:w="1661"/>
      </w:tblGrid>
      <w:tr>
        <w:trPr>
          <w:trHeight w:val="1217" w:hRule="atLeast"/>
        </w:trPr>
        <w:tc>
          <w:tcPr>
            <w:tcW w:w="7444" w:type="dxa"/>
            <w:gridSpan w:val="2"/>
            <w:tcBorders>
              <w:left w:val="single" w:sz="8" w:space="0" w:color="FFFFFF"/>
            </w:tcBorders>
            <w:shd w:val="clear" w:color="auto" w:fill="783A79"/>
          </w:tcPr>
          <w:p>
            <w:pPr>
              <w:pStyle w:val="TableParagraph"/>
              <w:spacing w:before="42"/>
              <w:ind w:right="128"/>
              <w:jc w:val="right"/>
              <w:rPr>
                <w:b/>
                <w:sz w:val="19"/>
              </w:rPr>
            </w:pPr>
            <w:r>
              <w:rPr>
                <w:b/>
                <w:color w:val="FFFFFF"/>
                <w:sz w:val="19"/>
              </w:rPr>
              <w:t>Variance Note</w:t>
            </w:r>
          </w:p>
        </w:tc>
        <w:tc>
          <w:tcPr>
            <w:tcW w:w="1548" w:type="dxa"/>
            <w:shd w:val="clear" w:color="auto" w:fill="783A79"/>
          </w:tcPr>
          <w:p>
            <w:pPr>
              <w:pStyle w:val="TableParagraph"/>
              <w:spacing w:before="42"/>
              <w:ind w:left="170"/>
              <w:rPr>
                <w:b/>
                <w:sz w:val="19"/>
              </w:rPr>
            </w:pPr>
            <w:r>
              <w:rPr>
                <w:b/>
                <w:color w:val="FFFFFF"/>
                <w:sz w:val="19"/>
              </w:rPr>
              <w:t>Estimate</w:t>
            </w:r>
            <w:r>
              <w:rPr>
                <w:b/>
                <w:color w:val="FFFFFF"/>
                <w:spacing w:val="6"/>
                <w:sz w:val="19"/>
              </w:rPr>
              <w:t> </w:t>
            </w:r>
            <w:r>
              <w:rPr>
                <w:b/>
                <w:color w:val="FFFFFF"/>
                <w:sz w:val="19"/>
              </w:rPr>
              <w:t>2017</w:t>
            </w:r>
          </w:p>
          <w:p>
            <w:pPr>
              <w:pStyle w:val="TableParagraph"/>
              <w:spacing w:before="0"/>
              <w:rPr>
                <w:sz w:val="22"/>
              </w:rPr>
            </w:pPr>
          </w:p>
          <w:p>
            <w:pPr>
              <w:pStyle w:val="TableParagraph"/>
              <w:spacing w:before="0"/>
              <w:rPr>
                <w:sz w:val="22"/>
              </w:rPr>
            </w:pPr>
          </w:p>
          <w:p>
            <w:pPr>
              <w:pStyle w:val="TableParagraph"/>
              <w:spacing w:before="188"/>
              <w:ind w:left="1021"/>
              <w:rPr>
                <w:b/>
                <w:sz w:val="19"/>
              </w:rPr>
            </w:pPr>
            <w:r>
              <w:rPr>
                <w:b/>
                <w:color w:val="FFFFFF"/>
                <w:sz w:val="19"/>
              </w:rPr>
              <w:t>$000</w:t>
            </w:r>
          </w:p>
        </w:tc>
        <w:tc>
          <w:tcPr>
            <w:tcW w:w="1548" w:type="dxa"/>
            <w:shd w:val="clear" w:color="auto" w:fill="783A79"/>
          </w:tcPr>
          <w:p>
            <w:pPr>
              <w:pStyle w:val="TableParagraph"/>
              <w:spacing w:before="42"/>
              <w:ind w:left="391"/>
              <w:rPr>
                <w:b/>
                <w:sz w:val="19"/>
              </w:rPr>
            </w:pPr>
            <w:r>
              <w:rPr>
                <w:b/>
                <w:color w:val="FFFFFF"/>
                <w:sz w:val="19"/>
              </w:rPr>
              <w:t>Actual</w:t>
            </w:r>
            <w:r>
              <w:rPr>
                <w:b/>
                <w:color w:val="FFFFFF"/>
                <w:spacing w:val="-4"/>
                <w:sz w:val="19"/>
              </w:rPr>
              <w:t> </w:t>
            </w:r>
            <w:r>
              <w:rPr>
                <w:b/>
                <w:color w:val="FFFFFF"/>
                <w:sz w:val="19"/>
              </w:rPr>
              <w:t>2017</w:t>
            </w:r>
          </w:p>
          <w:p>
            <w:pPr>
              <w:pStyle w:val="TableParagraph"/>
              <w:spacing w:before="0"/>
              <w:rPr>
                <w:sz w:val="22"/>
              </w:rPr>
            </w:pPr>
          </w:p>
          <w:p>
            <w:pPr>
              <w:pStyle w:val="TableParagraph"/>
              <w:spacing w:before="0"/>
              <w:rPr>
                <w:sz w:val="22"/>
              </w:rPr>
            </w:pPr>
          </w:p>
          <w:p>
            <w:pPr>
              <w:pStyle w:val="TableParagraph"/>
              <w:spacing w:before="188"/>
              <w:ind w:left="1021"/>
              <w:rPr>
                <w:b/>
                <w:sz w:val="19"/>
              </w:rPr>
            </w:pPr>
            <w:r>
              <w:rPr>
                <w:b/>
                <w:color w:val="FFFFFF"/>
                <w:sz w:val="19"/>
              </w:rPr>
              <w:t>$000</w:t>
            </w:r>
          </w:p>
        </w:tc>
        <w:tc>
          <w:tcPr>
            <w:tcW w:w="1548" w:type="dxa"/>
            <w:shd w:val="clear" w:color="auto" w:fill="783A79"/>
          </w:tcPr>
          <w:p>
            <w:pPr>
              <w:pStyle w:val="TableParagraph"/>
              <w:spacing w:before="42"/>
              <w:ind w:left="391"/>
              <w:rPr>
                <w:b/>
                <w:sz w:val="19"/>
              </w:rPr>
            </w:pPr>
            <w:r>
              <w:rPr>
                <w:b/>
                <w:color w:val="FFFFFF"/>
                <w:sz w:val="19"/>
              </w:rPr>
              <w:t>Actual</w:t>
            </w:r>
            <w:r>
              <w:rPr>
                <w:b/>
                <w:color w:val="FFFFFF"/>
                <w:spacing w:val="-4"/>
                <w:sz w:val="19"/>
              </w:rPr>
              <w:t> </w:t>
            </w:r>
            <w:r>
              <w:rPr>
                <w:b/>
                <w:color w:val="FFFFFF"/>
                <w:sz w:val="19"/>
              </w:rPr>
              <w:t>2016</w:t>
            </w:r>
          </w:p>
          <w:p>
            <w:pPr>
              <w:pStyle w:val="TableParagraph"/>
              <w:spacing w:before="0"/>
              <w:rPr>
                <w:sz w:val="22"/>
              </w:rPr>
            </w:pPr>
          </w:p>
          <w:p>
            <w:pPr>
              <w:pStyle w:val="TableParagraph"/>
              <w:spacing w:before="0"/>
              <w:rPr>
                <w:sz w:val="22"/>
              </w:rPr>
            </w:pPr>
          </w:p>
          <w:p>
            <w:pPr>
              <w:pStyle w:val="TableParagraph"/>
              <w:spacing w:before="188"/>
              <w:ind w:left="1021"/>
              <w:rPr>
                <w:b/>
                <w:sz w:val="19"/>
              </w:rPr>
            </w:pPr>
            <w:r>
              <w:rPr>
                <w:b/>
                <w:color w:val="FFFFFF"/>
                <w:sz w:val="19"/>
              </w:rPr>
              <w:t>$000</w:t>
            </w:r>
          </w:p>
        </w:tc>
        <w:tc>
          <w:tcPr>
            <w:tcW w:w="1548" w:type="dxa"/>
            <w:shd w:val="clear" w:color="auto" w:fill="783A79"/>
          </w:tcPr>
          <w:p>
            <w:pPr>
              <w:pStyle w:val="TableParagraph"/>
              <w:spacing w:line="249" w:lineRule="auto" w:before="42"/>
              <w:ind w:left="268" w:right="102" w:firstLine="393"/>
              <w:jc w:val="right"/>
              <w:rPr>
                <w:b/>
                <w:sz w:val="19"/>
              </w:rPr>
            </w:pPr>
            <w:r>
              <w:rPr>
                <w:b/>
                <w:color w:val="FFFFFF"/>
                <w:spacing w:val="-2"/>
                <w:sz w:val="19"/>
              </w:rPr>
              <w:t>Variance </w:t>
            </w:r>
            <w:r>
              <w:rPr>
                <w:b/>
                <w:color w:val="FFFFFF"/>
                <w:sz w:val="19"/>
              </w:rPr>
              <w:t>between estimate</w:t>
            </w:r>
            <w:r>
              <w:rPr>
                <w:b/>
                <w:color w:val="FFFFFF"/>
                <w:spacing w:val="14"/>
                <w:sz w:val="19"/>
              </w:rPr>
              <w:t> </w:t>
            </w:r>
            <w:r>
              <w:rPr>
                <w:b/>
                <w:color w:val="FFFFFF"/>
                <w:spacing w:val="-6"/>
                <w:sz w:val="19"/>
              </w:rPr>
              <w:t>and</w:t>
            </w:r>
          </w:p>
          <w:p>
            <w:pPr>
              <w:pStyle w:val="TableParagraph"/>
              <w:spacing w:before="3"/>
              <w:ind w:right="102"/>
              <w:jc w:val="right"/>
              <w:rPr>
                <w:b/>
                <w:sz w:val="19"/>
              </w:rPr>
            </w:pPr>
            <w:r>
              <w:rPr>
                <w:b/>
                <w:color w:val="FFFFFF"/>
                <w:sz w:val="19"/>
              </w:rPr>
              <w:t>actual</w:t>
            </w:r>
          </w:p>
          <w:p>
            <w:pPr>
              <w:pStyle w:val="TableParagraph"/>
              <w:spacing w:before="9"/>
              <w:ind w:right="102"/>
              <w:jc w:val="right"/>
              <w:rPr>
                <w:b/>
                <w:sz w:val="19"/>
              </w:rPr>
            </w:pPr>
            <w:r>
              <w:rPr>
                <w:b/>
                <w:color w:val="FFFFFF"/>
                <w:w w:val="95"/>
                <w:sz w:val="19"/>
              </w:rPr>
              <w:t>$000</w:t>
            </w:r>
          </w:p>
        </w:tc>
        <w:tc>
          <w:tcPr>
            <w:tcW w:w="1661" w:type="dxa"/>
            <w:shd w:val="clear" w:color="auto" w:fill="783A79"/>
          </w:tcPr>
          <w:p>
            <w:pPr>
              <w:pStyle w:val="TableParagraph"/>
              <w:spacing w:line="249" w:lineRule="auto" w:before="42"/>
              <w:ind w:left="162" w:right="102" w:firstLine="612"/>
              <w:jc w:val="both"/>
              <w:rPr>
                <w:b/>
                <w:sz w:val="19"/>
              </w:rPr>
            </w:pPr>
            <w:r>
              <w:rPr>
                <w:b/>
                <w:color w:val="FFFFFF"/>
                <w:spacing w:val="-2"/>
                <w:sz w:val="19"/>
              </w:rPr>
              <w:t>Variance </w:t>
            </w:r>
            <w:r>
              <w:rPr>
                <w:b/>
                <w:color w:val="FFFFFF"/>
                <w:sz w:val="19"/>
              </w:rPr>
              <w:t>between actual results for</w:t>
            </w:r>
            <w:r>
              <w:rPr>
                <w:b/>
                <w:color w:val="FFFFFF"/>
                <w:spacing w:val="-12"/>
                <w:sz w:val="19"/>
              </w:rPr>
              <w:t> </w:t>
            </w:r>
            <w:r>
              <w:rPr>
                <w:b/>
                <w:color w:val="FFFFFF"/>
                <w:spacing w:val="-4"/>
                <w:sz w:val="19"/>
              </w:rPr>
              <w:t>2017</w:t>
            </w:r>
          </w:p>
          <w:p>
            <w:pPr>
              <w:pStyle w:val="TableParagraph"/>
              <w:spacing w:before="3"/>
              <w:ind w:right="102"/>
              <w:jc w:val="right"/>
              <w:rPr>
                <w:b/>
                <w:sz w:val="19"/>
              </w:rPr>
            </w:pPr>
            <w:r>
              <w:rPr>
                <w:b/>
                <w:color w:val="FFFFFF"/>
                <w:sz w:val="19"/>
              </w:rPr>
              <w:t>and</w:t>
            </w:r>
            <w:r>
              <w:rPr>
                <w:b/>
                <w:color w:val="FFFFFF"/>
                <w:spacing w:val="-1"/>
                <w:sz w:val="19"/>
              </w:rPr>
              <w:t> </w:t>
            </w:r>
            <w:r>
              <w:rPr>
                <w:b/>
                <w:color w:val="FFFFFF"/>
                <w:sz w:val="19"/>
              </w:rPr>
              <w:t>2016</w:t>
            </w:r>
          </w:p>
          <w:p>
            <w:pPr>
              <w:pStyle w:val="TableParagraph"/>
              <w:spacing w:before="9"/>
              <w:ind w:right="102"/>
              <w:jc w:val="right"/>
              <w:rPr>
                <w:b/>
                <w:sz w:val="19"/>
              </w:rPr>
            </w:pPr>
            <w:r>
              <w:rPr>
                <w:b/>
                <w:color w:val="FFFFFF"/>
                <w:w w:val="95"/>
                <w:sz w:val="19"/>
              </w:rPr>
              <w:t>$000</w:t>
            </w:r>
          </w:p>
        </w:tc>
      </w:tr>
      <w:tr>
        <w:trPr>
          <w:trHeight w:val="654" w:hRule="atLeast"/>
        </w:trPr>
        <w:tc>
          <w:tcPr>
            <w:tcW w:w="5896" w:type="dxa"/>
            <w:shd w:val="clear" w:color="auto" w:fill="FFFFFF"/>
          </w:tcPr>
          <w:p>
            <w:pPr>
              <w:pStyle w:val="TableParagraph"/>
              <w:spacing w:before="42"/>
              <w:ind w:left="123"/>
              <w:rPr>
                <w:b/>
                <w:sz w:val="19"/>
              </w:rPr>
            </w:pPr>
            <w:r>
              <w:rPr>
                <w:b/>
                <w:sz w:val="19"/>
              </w:rPr>
              <w:t>CASH FLOWS FROM INVESTING ACTIVITIES</w:t>
            </w:r>
          </w:p>
          <w:p>
            <w:pPr>
              <w:pStyle w:val="TableParagraph"/>
              <w:spacing w:before="109"/>
              <w:ind w:left="123"/>
              <w:rPr>
                <w:i/>
                <w:sz w:val="19"/>
              </w:rPr>
            </w:pPr>
            <w:r>
              <w:rPr>
                <w:i/>
                <w:color w:val="A7BE39"/>
                <w:sz w:val="19"/>
              </w:rPr>
              <w:t>Payments</w:t>
            </w: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0"/>
              <w:rPr>
                <w:rFonts w:ascii="Times New Roman"/>
                <w:sz w:val="20"/>
              </w:rPr>
            </w:pPr>
          </w:p>
        </w:tc>
        <w:tc>
          <w:tcPr>
            <w:tcW w:w="1548" w:type="dxa"/>
            <w:shd w:val="clear" w:color="auto" w:fill="E1E4BB"/>
          </w:tcPr>
          <w:p>
            <w:pPr>
              <w:pStyle w:val="TableParagraph"/>
              <w:spacing w:before="0"/>
              <w:rPr>
                <w:rFonts w:ascii="Times New Roman"/>
                <w:sz w:val="20"/>
              </w:rPr>
            </w:pP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0"/>
              <w:rPr>
                <w:rFonts w:ascii="Times New Roman"/>
                <w:sz w:val="20"/>
              </w:rPr>
            </w:pPr>
          </w:p>
        </w:tc>
        <w:tc>
          <w:tcPr>
            <w:tcW w:w="1661" w:type="dxa"/>
            <w:shd w:val="clear" w:color="auto" w:fill="FFFFFF"/>
          </w:tcPr>
          <w:p>
            <w:pPr>
              <w:pStyle w:val="TableParagraph"/>
              <w:spacing w:before="0"/>
              <w:rPr>
                <w:rFonts w:ascii="Times New Roman"/>
                <w:sz w:val="20"/>
              </w:rPr>
            </w:pPr>
          </w:p>
        </w:tc>
      </w:tr>
      <w:tr>
        <w:trPr>
          <w:trHeight w:val="654" w:hRule="atLeast"/>
        </w:trPr>
        <w:tc>
          <w:tcPr>
            <w:tcW w:w="5896" w:type="dxa"/>
            <w:shd w:val="clear" w:color="auto" w:fill="FFFFFF"/>
          </w:tcPr>
          <w:p>
            <w:pPr>
              <w:pStyle w:val="TableParagraph"/>
              <w:spacing w:before="42"/>
              <w:ind w:left="123"/>
              <w:rPr>
                <w:sz w:val="19"/>
              </w:rPr>
            </w:pPr>
            <w:r>
              <w:rPr>
                <w:sz w:val="19"/>
              </w:rPr>
              <w:t>Purchase of non-current physical assets</w:t>
            </w:r>
          </w:p>
          <w:p>
            <w:pPr>
              <w:pStyle w:val="TableParagraph"/>
              <w:spacing w:before="109"/>
              <w:ind w:left="123"/>
              <w:rPr>
                <w:i/>
                <w:sz w:val="19"/>
              </w:rPr>
            </w:pPr>
            <w:r>
              <w:rPr>
                <w:i/>
                <w:color w:val="A7BE39"/>
                <w:sz w:val="19"/>
              </w:rPr>
              <w:t>Receipts</w:t>
            </w:r>
          </w:p>
        </w:tc>
        <w:tc>
          <w:tcPr>
            <w:tcW w:w="1548" w:type="dxa"/>
            <w:shd w:val="clear" w:color="auto" w:fill="FFFFFF"/>
          </w:tcPr>
          <w:p>
            <w:pPr>
              <w:pStyle w:val="TableParagraph"/>
              <w:spacing w:before="42"/>
              <w:ind w:left="19"/>
              <w:jc w:val="center"/>
              <w:rPr>
                <w:sz w:val="19"/>
              </w:rPr>
            </w:pPr>
            <w:hyperlink w:history="true" w:anchor="_bookmark56">
              <w:r>
                <w:rPr>
                  <w:color w:val="A7BE39"/>
                  <w:w w:val="99"/>
                  <w:sz w:val="19"/>
                  <w:u w:val="single" w:color="A7BE39"/>
                </w:rPr>
                <w:t>6</w:t>
              </w:r>
            </w:hyperlink>
          </w:p>
        </w:tc>
        <w:tc>
          <w:tcPr>
            <w:tcW w:w="1548" w:type="dxa"/>
            <w:shd w:val="clear" w:color="auto" w:fill="FFFFFF"/>
          </w:tcPr>
          <w:p>
            <w:pPr>
              <w:pStyle w:val="TableParagraph"/>
              <w:spacing w:before="42"/>
              <w:ind w:right="101"/>
              <w:jc w:val="right"/>
              <w:rPr>
                <w:sz w:val="19"/>
              </w:rPr>
            </w:pPr>
            <w:r>
              <w:rPr>
                <w:w w:val="95"/>
                <w:sz w:val="19"/>
              </w:rPr>
              <w:t>(118,718)</w:t>
            </w:r>
          </w:p>
        </w:tc>
        <w:tc>
          <w:tcPr>
            <w:tcW w:w="1548" w:type="dxa"/>
            <w:shd w:val="clear" w:color="auto" w:fill="E1E4BB"/>
          </w:tcPr>
          <w:p>
            <w:pPr>
              <w:pStyle w:val="TableParagraph"/>
              <w:spacing w:before="42"/>
              <w:ind w:right="102"/>
              <w:jc w:val="right"/>
              <w:rPr>
                <w:sz w:val="19"/>
              </w:rPr>
            </w:pPr>
            <w:r>
              <w:rPr>
                <w:w w:val="95"/>
                <w:sz w:val="19"/>
              </w:rPr>
              <w:t>(148,153)</w:t>
            </w:r>
          </w:p>
        </w:tc>
        <w:tc>
          <w:tcPr>
            <w:tcW w:w="1548" w:type="dxa"/>
            <w:shd w:val="clear" w:color="auto" w:fill="FFFFFF"/>
          </w:tcPr>
          <w:p>
            <w:pPr>
              <w:pStyle w:val="TableParagraph"/>
              <w:spacing w:before="42"/>
              <w:ind w:right="102"/>
              <w:jc w:val="right"/>
              <w:rPr>
                <w:sz w:val="19"/>
              </w:rPr>
            </w:pPr>
            <w:r>
              <w:rPr>
                <w:w w:val="95"/>
                <w:sz w:val="19"/>
              </w:rPr>
              <w:t>(199,917)</w:t>
            </w:r>
          </w:p>
        </w:tc>
        <w:tc>
          <w:tcPr>
            <w:tcW w:w="1548" w:type="dxa"/>
            <w:shd w:val="clear" w:color="auto" w:fill="FFFFFF"/>
          </w:tcPr>
          <w:p>
            <w:pPr>
              <w:pStyle w:val="TableParagraph"/>
              <w:spacing w:before="42"/>
              <w:ind w:right="102"/>
              <w:jc w:val="right"/>
              <w:rPr>
                <w:sz w:val="19"/>
              </w:rPr>
            </w:pPr>
            <w:r>
              <w:rPr>
                <w:w w:val="95"/>
                <w:sz w:val="19"/>
              </w:rPr>
              <w:t>(29,435)</w:t>
            </w:r>
          </w:p>
        </w:tc>
        <w:tc>
          <w:tcPr>
            <w:tcW w:w="1661" w:type="dxa"/>
            <w:shd w:val="clear" w:color="auto" w:fill="FFFFFF"/>
          </w:tcPr>
          <w:p>
            <w:pPr>
              <w:pStyle w:val="TableParagraph"/>
              <w:spacing w:before="42"/>
              <w:ind w:right="102"/>
              <w:jc w:val="right"/>
              <w:rPr>
                <w:sz w:val="19"/>
              </w:rPr>
            </w:pPr>
            <w:r>
              <w:rPr>
                <w:w w:val="95"/>
                <w:sz w:val="19"/>
              </w:rPr>
              <w:t>51,764</w:t>
            </w:r>
          </w:p>
        </w:tc>
      </w:tr>
      <w:tr>
        <w:trPr>
          <w:trHeight w:val="649" w:hRule="atLeast"/>
        </w:trPr>
        <w:tc>
          <w:tcPr>
            <w:tcW w:w="5896" w:type="dxa"/>
            <w:shd w:val="clear" w:color="auto" w:fill="FFFFFF"/>
          </w:tcPr>
          <w:p>
            <w:pPr>
              <w:pStyle w:val="TableParagraph"/>
              <w:spacing w:before="42"/>
              <w:ind w:left="123"/>
              <w:rPr>
                <w:sz w:val="19"/>
              </w:rPr>
            </w:pPr>
            <w:r>
              <w:rPr>
                <w:sz w:val="19"/>
              </w:rPr>
              <w:t>Proceeds from sale of non-current physical assets</w:t>
            </w:r>
          </w:p>
          <w:p>
            <w:pPr>
              <w:pStyle w:val="TableParagraph"/>
              <w:spacing w:before="109"/>
              <w:ind w:left="123"/>
              <w:rPr>
                <w:sz w:val="19"/>
              </w:rPr>
            </w:pPr>
            <w:r>
              <w:rPr>
                <w:sz w:val="19"/>
              </w:rPr>
              <w:t>Receipts from lease incentives</w:t>
            </w:r>
          </w:p>
        </w:tc>
        <w:tc>
          <w:tcPr>
            <w:tcW w:w="1548" w:type="dxa"/>
            <w:shd w:val="clear" w:color="auto" w:fill="FFFFFF"/>
          </w:tcPr>
          <w:p>
            <w:pPr>
              <w:pStyle w:val="TableParagraph"/>
              <w:spacing w:before="42"/>
              <w:ind w:left="19"/>
              <w:jc w:val="center"/>
              <w:rPr>
                <w:sz w:val="19"/>
              </w:rPr>
            </w:pPr>
            <w:hyperlink w:history="true" w:anchor="_bookmark56">
              <w:r>
                <w:rPr>
                  <w:color w:val="A7BE39"/>
                  <w:w w:val="99"/>
                  <w:sz w:val="19"/>
                  <w:u w:val="single" w:color="A7BE39"/>
                </w:rPr>
                <w:t>7</w:t>
              </w:r>
            </w:hyperlink>
          </w:p>
        </w:tc>
        <w:tc>
          <w:tcPr>
            <w:tcW w:w="1548" w:type="dxa"/>
            <w:tcBorders>
              <w:bottom w:val="single" w:sz="4" w:space="0" w:color="000000"/>
            </w:tcBorders>
            <w:shd w:val="clear" w:color="auto" w:fill="FFFFFF"/>
          </w:tcPr>
          <w:p>
            <w:pPr>
              <w:pStyle w:val="TableParagraph"/>
              <w:spacing w:before="42"/>
              <w:ind w:left="824" w:right="65"/>
              <w:jc w:val="center"/>
              <w:rPr>
                <w:sz w:val="19"/>
              </w:rPr>
            </w:pPr>
            <w:r>
              <w:rPr>
                <w:sz w:val="19"/>
              </w:rPr>
              <w:t>45,000</w:t>
            </w:r>
          </w:p>
          <w:p>
            <w:pPr>
              <w:pStyle w:val="TableParagraph"/>
              <w:spacing w:before="109"/>
              <w:ind w:left="930" w:right="65"/>
              <w:jc w:val="center"/>
              <w:rPr>
                <w:sz w:val="19"/>
              </w:rPr>
            </w:pPr>
            <w:r>
              <w:rPr>
                <w:sz w:val="19"/>
              </w:rPr>
              <w:t>4,444</w:t>
            </w:r>
          </w:p>
        </w:tc>
        <w:tc>
          <w:tcPr>
            <w:tcW w:w="1548" w:type="dxa"/>
            <w:tcBorders>
              <w:bottom w:val="single" w:sz="4" w:space="0" w:color="000000"/>
            </w:tcBorders>
            <w:shd w:val="clear" w:color="auto" w:fill="E1E4BB"/>
          </w:tcPr>
          <w:p>
            <w:pPr>
              <w:pStyle w:val="TableParagraph"/>
              <w:spacing w:before="42"/>
              <w:ind w:left="862"/>
              <w:rPr>
                <w:sz w:val="19"/>
              </w:rPr>
            </w:pPr>
            <w:r>
              <w:rPr>
                <w:sz w:val="19"/>
              </w:rPr>
              <w:t>71,559</w:t>
            </w:r>
          </w:p>
          <w:p>
            <w:pPr>
              <w:pStyle w:val="TableParagraph"/>
              <w:spacing w:before="109"/>
              <w:ind w:left="863"/>
              <w:rPr>
                <w:sz w:val="19"/>
              </w:rPr>
            </w:pPr>
            <w:r>
              <w:rPr>
                <w:sz w:val="19"/>
              </w:rPr>
              <w:t>27,762</w:t>
            </w:r>
          </w:p>
        </w:tc>
        <w:tc>
          <w:tcPr>
            <w:tcW w:w="1548" w:type="dxa"/>
            <w:tcBorders>
              <w:bottom w:val="single" w:sz="4" w:space="0" w:color="000000"/>
            </w:tcBorders>
            <w:shd w:val="clear" w:color="auto" w:fill="FFFFFF"/>
          </w:tcPr>
          <w:p>
            <w:pPr>
              <w:pStyle w:val="TableParagraph"/>
              <w:spacing w:before="42"/>
              <w:ind w:left="862"/>
              <w:rPr>
                <w:sz w:val="19"/>
              </w:rPr>
            </w:pPr>
            <w:r>
              <w:rPr>
                <w:sz w:val="19"/>
              </w:rPr>
              <w:t>40,212</w:t>
            </w:r>
          </w:p>
          <w:p>
            <w:pPr>
              <w:pStyle w:val="TableParagraph"/>
              <w:spacing w:before="109"/>
              <w:ind w:left="862"/>
              <w:rPr>
                <w:sz w:val="19"/>
              </w:rPr>
            </w:pPr>
            <w:r>
              <w:rPr>
                <w:sz w:val="19"/>
              </w:rPr>
              <w:t>39,638</w:t>
            </w:r>
          </w:p>
        </w:tc>
        <w:tc>
          <w:tcPr>
            <w:tcW w:w="1548" w:type="dxa"/>
            <w:tcBorders>
              <w:bottom w:val="single" w:sz="4" w:space="0" w:color="000000"/>
            </w:tcBorders>
            <w:shd w:val="clear" w:color="auto" w:fill="FFFFFF"/>
          </w:tcPr>
          <w:p>
            <w:pPr>
              <w:pStyle w:val="TableParagraph"/>
              <w:spacing w:before="42"/>
              <w:ind w:left="862"/>
              <w:rPr>
                <w:sz w:val="19"/>
              </w:rPr>
            </w:pPr>
            <w:r>
              <w:rPr>
                <w:sz w:val="19"/>
              </w:rPr>
              <w:t>26,559</w:t>
            </w:r>
          </w:p>
          <w:p>
            <w:pPr>
              <w:pStyle w:val="TableParagraph"/>
              <w:spacing w:before="109"/>
              <w:ind w:left="862"/>
              <w:rPr>
                <w:sz w:val="19"/>
              </w:rPr>
            </w:pPr>
            <w:r>
              <w:rPr>
                <w:sz w:val="19"/>
              </w:rPr>
              <w:t>23,318</w:t>
            </w:r>
          </w:p>
        </w:tc>
        <w:tc>
          <w:tcPr>
            <w:tcW w:w="1661" w:type="dxa"/>
            <w:tcBorders>
              <w:bottom w:val="single" w:sz="4" w:space="0" w:color="000000"/>
            </w:tcBorders>
            <w:shd w:val="clear" w:color="auto" w:fill="FFFFFF"/>
          </w:tcPr>
          <w:p>
            <w:pPr>
              <w:pStyle w:val="TableParagraph"/>
              <w:spacing w:before="42"/>
              <w:ind w:left="975"/>
              <w:rPr>
                <w:sz w:val="19"/>
              </w:rPr>
            </w:pPr>
            <w:r>
              <w:rPr>
                <w:sz w:val="19"/>
              </w:rPr>
              <w:t>31,347</w:t>
            </w:r>
          </w:p>
          <w:p>
            <w:pPr>
              <w:pStyle w:val="TableParagraph"/>
              <w:spacing w:before="109"/>
              <w:ind w:left="884"/>
              <w:rPr>
                <w:sz w:val="19"/>
              </w:rPr>
            </w:pPr>
            <w:r>
              <w:rPr>
                <w:sz w:val="19"/>
              </w:rPr>
              <w:t>(11,876)</w:t>
            </w:r>
          </w:p>
        </w:tc>
      </w:tr>
      <w:tr>
        <w:trPr>
          <w:trHeight w:val="317" w:hRule="atLeast"/>
        </w:trPr>
        <w:tc>
          <w:tcPr>
            <w:tcW w:w="5896" w:type="dxa"/>
            <w:vMerge w:val="restart"/>
            <w:shd w:val="clear" w:color="auto" w:fill="FFFFFF"/>
          </w:tcPr>
          <w:p>
            <w:pPr>
              <w:pStyle w:val="TableParagraph"/>
              <w:spacing w:before="37"/>
              <w:ind w:left="123"/>
              <w:rPr>
                <w:b/>
                <w:sz w:val="19"/>
              </w:rPr>
            </w:pPr>
            <w:r>
              <w:rPr>
                <w:b/>
                <w:sz w:val="19"/>
              </w:rPr>
              <w:t>Net cash used in investing activities</w:t>
            </w:r>
          </w:p>
        </w:tc>
        <w:tc>
          <w:tcPr>
            <w:tcW w:w="1548" w:type="dxa"/>
            <w:vMerge w:val="restart"/>
            <w:shd w:val="clear" w:color="auto" w:fill="FFFFFF"/>
          </w:tcPr>
          <w:p>
            <w:pPr>
              <w:pStyle w:val="TableParagraph"/>
              <w:spacing w:before="0"/>
              <w:rPr>
                <w:rFonts w:ascii="Times New Roman"/>
                <w:sz w:val="20"/>
              </w:rPr>
            </w:pPr>
          </w:p>
        </w:tc>
        <w:tc>
          <w:tcPr>
            <w:tcW w:w="1548" w:type="dxa"/>
            <w:tcBorders>
              <w:top w:val="single" w:sz="4" w:space="0" w:color="000000"/>
              <w:left w:val="single" w:sz="8" w:space="0" w:color="FFFFFF"/>
              <w:bottom w:val="single" w:sz="4" w:space="0" w:color="000000"/>
            </w:tcBorders>
            <w:shd w:val="clear" w:color="auto" w:fill="F4F4F4"/>
          </w:tcPr>
          <w:p>
            <w:pPr>
              <w:pStyle w:val="TableParagraph"/>
              <w:spacing w:before="37"/>
              <w:ind w:right="101"/>
              <w:jc w:val="right"/>
              <w:rPr>
                <w:b/>
                <w:sz w:val="19"/>
              </w:rPr>
            </w:pPr>
            <w:r>
              <w:rPr>
                <w:b/>
                <w:w w:val="95"/>
                <w:sz w:val="19"/>
              </w:rPr>
              <w:t>(69,274)</w:t>
            </w:r>
          </w:p>
        </w:tc>
        <w:tc>
          <w:tcPr>
            <w:tcW w:w="1548" w:type="dxa"/>
            <w:tcBorders>
              <w:top w:val="single" w:sz="4" w:space="0" w:color="000000"/>
              <w:bottom w:val="single" w:sz="4" w:space="0" w:color="000000"/>
            </w:tcBorders>
            <w:shd w:val="clear" w:color="auto" w:fill="DFE1B8"/>
          </w:tcPr>
          <w:p>
            <w:pPr>
              <w:pStyle w:val="TableParagraph"/>
              <w:spacing w:before="37"/>
              <w:ind w:right="101"/>
              <w:jc w:val="right"/>
              <w:rPr>
                <w:b/>
                <w:sz w:val="19"/>
              </w:rPr>
            </w:pPr>
            <w:r>
              <w:rPr>
                <w:b/>
                <w:w w:val="95"/>
                <w:sz w:val="19"/>
              </w:rPr>
              <w:t>(48,832)</w:t>
            </w:r>
          </w:p>
        </w:tc>
        <w:tc>
          <w:tcPr>
            <w:tcW w:w="1548" w:type="dxa"/>
            <w:tcBorders>
              <w:top w:val="single" w:sz="4" w:space="0" w:color="000000"/>
              <w:bottom w:val="single" w:sz="4" w:space="0" w:color="000000"/>
              <w:right w:val="single" w:sz="8" w:space="0" w:color="FFFFFF"/>
            </w:tcBorders>
            <w:shd w:val="clear" w:color="auto" w:fill="F4F4F4"/>
          </w:tcPr>
          <w:p>
            <w:pPr>
              <w:pStyle w:val="TableParagraph"/>
              <w:spacing w:before="37"/>
              <w:ind w:right="92"/>
              <w:jc w:val="right"/>
              <w:rPr>
                <w:b/>
                <w:sz w:val="19"/>
              </w:rPr>
            </w:pPr>
            <w:r>
              <w:rPr>
                <w:b/>
                <w:w w:val="95"/>
                <w:sz w:val="19"/>
              </w:rPr>
              <w:t>(120,067)</w:t>
            </w:r>
          </w:p>
        </w:tc>
        <w:tc>
          <w:tcPr>
            <w:tcW w:w="1548" w:type="dxa"/>
            <w:tcBorders>
              <w:top w:val="single" w:sz="4" w:space="0" w:color="000000"/>
              <w:left w:val="single" w:sz="8" w:space="0" w:color="FFFFFF"/>
              <w:bottom w:val="single" w:sz="4" w:space="0" w:color="000000"/>
              <w:right w:val="single" w:sz="8" w:space="0" w:color="FFFFFF"/>
            </w:tcBorders>
            <w:shd w:val="clear" w:color="auto" w:fill="F4F4F4"/>
          </w:tcPr>
          <w:p>
            <w:pPr>
              <w:pStyle w:val="TableParagraph"/>
              <w:spacing w:before="37"/>
              <w:ind w:right="92"/>
              <w:jc w:val="right"/>
              <w:rPr>
                <w:b/>
                <w:sz w:val="19"/>
              </w:rPr>
            </w:pPr>
            <w:r>
              <w:rPr>
                <w:b/>
                <w:w w:val="95"/>
                <w:sz w:val="19"/>
              </w:rPr>
              <w:t>20,442</w:t>
            </w:r>
          </w:p>
        </w:tc>
        <w:tc>
          <w:tcPr>
            <w:tcW w:w="1661" w:type="dxa"/>
            <w:tcBorders>
              <w:top w:val="single" w:sz="4" w:space="0" w:color="000000"/>
              <w:left w:val="single" w:sz="8" w:space="0" w:color="FFFFFF"/>
              <w:bottom w:val="single" w:sz="4" w:space="0" w:color="000000"/>
            </w:tcBorders>
            <w:shd w:val="clear" w:color="auto" w:fill="F4F4F4"/>
          </w:tcPr>
          <w:p>
            <w:pPr>
              <w:pStyle w:val="TableParagraph"/>
              <w:spacing w:before="37"/>
              <w:ind w:right="102"/>
              <w:jc w:val="right"/>
              <w:rPr>
                <w:b/>
                <w:sz w:val="19"/>
              </w:rPr>
            </w:pPr>
            <w:r>
              <w:rPr>
                <w:b/>
                <w:w w:val="95"/>
                <w:sz w:val="19"/>
              </w:rPr>
              <w:t>71,235</w:t>
            </w:r>
          </w:p>
        </w:tc>
      </w:tr>
      <w:tr>
        <w:trPr>
          <w:trHeight w:val="312" w:hRule="atLeast"/>
        </w:trPr>
        <w:tc>
          <w:tcPr>
            <w:tcW w:w="5896" w:type="dxa"/>
            <w:vMerge/>
            <w:tcBorders>
              <w:top w:val="nil"/>
            </w:tcBorders>
            <w:shd w:val="clear" w:color="auto" w:fill="FFFFFF"/>
          </w:tcPr>
          <w:p>
            <w:pPr>
              <w:rPr>
                <w:sz w:val="2"/>
                <w:szCs w:val="2"/>
              </w:rPr>
            </w:pPr>
          </w:p>
        </w:tc>
        <w:tc>
          <w:tcPr>
            <w:tcW w:w="1548" w:type="dxa"/>
            <w:vMerge/>
            <w:tcBorders>
              <w:top w:val="nil"/>
            </w:tcBorders>
            <w:shd w:val="clear" w:color="auto" w:fill="FFFFFF"/>
          </w:tcPr>
          <w:p>
            <w:pPr>
              <w:rPr>
                <w:sz w:val="2"/>
                <w:szCs w:val="2"/>
              </w:rPr>
            </w:pPr>
          </w:p>
        </w:tc>
        <w:tc>
          <w:tcPr>
            <w:tcW w:w="1548" w:type="dxa"/>
            <w:tcBorders>
              <w:top w:val="single" w:sz="4" w:space="0" w:color="000000"/>
              <w:left w:val="single" w:sz="8" w:space="0" w:color="FFFFFF"/>
              <w:bottom w:val="single" w:sz="8" w:space="0" w:color="FFFFFF"/>
            </w:tcBorders>
            <w:shd w:val="clear" w:color="auto" w:fill="FAF9F9"/>
          </w:tcPr>
          <w:p>
            <w:pPr>
              <w:pStyle w:val="TableParagraph"/>
              <w:spacing w:before="0"/>
              <w:rPr>
                <w:rFonts w:ascii="Times New Roman"/>
                <w:sz w:val="20"/>
              </w:rPr>
            </w:pPr>
          </w:p>
        </w:tc>
        <w:tc>
          <w:tcPr>
            <w:tcW w:w="1548" w:type="dxa"/>
            <w:tcBorders>
              <w:top w:val="single" w:sz="4" w:space="0" w:color="000000"/>
            </w:tcBorders>
            <w:shd w:val="clear" w:color="auto" w:fill="DFE1B8"/>
          </w:tcPr>
          <w:p>
            <w:pPr>
              <w:pStyle w:val="TableParagraph"/>
              <w:spacing w:before="0"/>
              <w:rPr>
                <w:rFonts w:ascii="Times New Roman"/>
                <w:sz w:val="20"/>
              </w:rPr>
            </w:pPr>
          </w:p>
        </w:tc>
        <w:tc>
          <w:tcPr>
            <w:tcW w:w="4757" w:type="dxa"/>
            <w:gridSpan w:val="3"/>
            <w:vMerge w:val="restart"/>
            <w:tcBorders>
              <w:top w:val="single" w:sz="4" w:space="0" w:color="000000"/>
              <w:bottom w:val="single" w:sz="8" w:space="0" w:color="FFFFFF"/>
            </w:tcBorders>
            <w:shd w:val="clear" w:color="auto" w:fill="F4F4F4"/>
          </w:tcPr>
          <w:p>
            <w:pPr>
              <w:pStyle w:val="TableParagraph"/>
              <w:spacing w:before="0"/>
              <w:rPr>
                <w:sz w:val="28"/>
              </w:rPr>
            </w:pPr>
          </w:p>
          <w:p>
            <w:pPr>
              <w:pStyle w:val="TableParagraph"/>
              <w:tabs>
                <w:tab w:pos="3094" w:val="left" w:leader="none"/>
              </w:tabs>
              <w:spacing w:before="0"/>
              <w:ind w:left="1546"/>
              <w:rPr>
                <w:sz w:val="20"/>
              </w:rPr>
            </w:pPr>
            <w:r>
              <w:rPr>
                <w:sz w:val="20"/>
              </w:rPr>
              <w:pict>
                <v:group style="width:1pt;height:15.4pt;mso-position-horizontal-relative:char;mso-position-vertical-relative:line" coordorigin="0,0" coordsize="20,308">
                  <v:line style="position:absolute" from="10,307" to="10,0" stroked="true" strokeweight="1pt" strokecolor="#ffffff">
                    <v:stroke dashstyle="solid"/>
                  </v:line>
                </v:group>
              </w:pict>
            </w:r>
            <w:r>
              <w:rPr>
                <w:sz w:val="20"/>
              </w:rPr>
            </w:r>
            <w:r>
              <w:rPr>
                <w:sz w:val="20"/>
              </w:rPr>
              <w:tab/>
            </w:r>
            <w:r>
              <w:rPr>
                <w:sz w:val="20"/>
              </w:rPr>
              <w:pict>
                <v:group style="width:1pt;height:15.4pt;mso-position-horizontal-relative:char;mso-position-vertical-relative:line" coordorigin="0,0" coordsize="20,308">
                  <v:line style="position:absolute" from="10,307" to="10,0" stroked="true" strokeweight="1pt" strokecolor="#ffffff">
                    <v:stroke dashstyle="solid"/>
                  </v:line>
                </v:group>
              </w:pict>
            </w:r>
            <w:r>
              <w:rPr>
                <w:sz w:val="20"/>
              </w:rPr>
            </w:r>
          </w:p>
        </w:tc>
      </w:tr>
      <w:tr>
        <w:trPr>
          <w:trHeight w:val="297" w:hRule="atLeast"/>
        </w:trPr>
        <w:tc>
          <w:tcPr>
            <w:tcW w:w="5896" w:type="dxa"/>
            <w:vMerge w:val="restart"/>
            <w:shd w:val="clear" w:color="auto" w:fill="FFFFFF"/>
          </w:tcPr>
          <w:p>
            <w:pPr>
              <w:pStyle w:val="TableParagraph"/>
              <w:ind w:left="123"/>
              <w:rPr>
                <w:b/>
                <w:sz w:val="19"/>
              </w:rPr>
            </w:pPr>
            <w:r>
              <w:rPr>
                <w:b/>
                <w:sz w:val="19"/>
              </w:rPr>
              <w:t>CASH FLOWS FROM FINANCING ACTIVITIES</w:t>
            </w:r>
          </w:p>
          <w:p>
            <w:pPr>
              <w:pStyle w:val="TableParagraph"/>
              <w:spacing w:before="109"/>
              <w:ind w:left="123"/>
              <w:rPr>
                <w:i/>
                <w:sz w:val="19"/>
              </w:rPr>
            </w:pPr>
            <w:r>
              <w:rPr>
                <w:i/>
                <w:color w:val="A7BE39"/>
                <w:sz w:val="19"/>
              </w:rPr>
              <w:t>Payments</w:t>
            </w:r>
          </w:p>
        </w:tc>
        <w:tc>
          <w:tcPr>
            <w:tcW w:w="1548" w:type="dxa"/>
            <w:tcBorders>
              <w:top w:val="single" w:sz="8" w:space="0" w:color="FFFFFF"/>
              <w:left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tcBorders>
            <w:shd w:val="clear" w:color="auto" w:fill="F4F4F4"/>
          </w:tcPr>
          <w:p>
            <w:pPr>
              <w:pStyle w:val="TableParagraph"/>
              <w:spacing w:before="0"/>
              <w:rPr>
                <w:rFonts w:ascii="Times New Roman"/>
                <w:sz w:val="20"/>
              </w:rPr>
            </w:pPr>
          </w:p>
        </w:tc>
        <w:tc>
          <w:tcPr>
            <w:tcW w:w="1548" w:type="dxa"/>
            <w:vMerge w:val="restart"/>
            <w:shd w:val="clear" w:color="auto" w:fill="DFE1B8"/>
          </w:tcPr>
          <w:p>
            <w:pPr>
              <w:pStyle w:val="TableParagraph"/>
              <w:spacing w:before="0"/>
              <w:rPr>
                <w:rFonts w:ascii="Times New Roman"/>
                <w:sz w:val="20"/>
              </w:rPr>
            </w:pPr>
          </w:p>
        </w:tc>
        <w:tc>
          <w:tcPr>
            <w:tcW w:w="4757" w:type="dxa"/>
            <w:gridSpan w:val="3"/>
            <w:vMerge/>
            <w:tcBorders>
              <w:top w:val="nil"/>
              <w:bottom w:val="single" w:sz="8" w:space="0" w:color="FFFFFF"/>
            </w:tcBorders>
            <w:shd w:val="clear" w:color="auto" w:fill="F4F4F4"/>
          </w:tcPr>
          <w:p>
            <w:pPr>
              <w:rPr>
                <w:sz w:val="2"/>
                <w:szCs w:val="2"/>
              </w:rPr>
            </w:pPr>
          </w:p>
        </w:tc>
      </w:tr>
      <w:tr>
        <w:trPr>
          <w:trHeight w:val="317" w:hRule="atLeast"/>
        </w:trPr>
        <w:tc>
          <w:tcPr>
            <w:tcW w:w="5896" w:type="dxa"/>
            <w:vMerge/>
            <w:tcBorders>
              <w:top w:val="nil"/>
            </w:tcBorders>
            <w:shd w:val="clear" w:color="auto" w:fill="FFFFFF"/>
          </w:tcPr>
          <w:p>
            <w:pPr>
              <w:rPr>
                <w:sz w:val="2"/>
                <w:szCs w:val="2"/>
              </w:rPr>
            </w:pPr>
          </w:p>
        </w:tc>
        <w:tc>
          <w:tcPr>
            <w:tcW w:w="3096" w:type="dxa"/>
            <w:gridSpan w:val="2"/>
            <w:shd w:val="clear" w:color="auto" w:fill="FFFFFF"/>
          </w:tcPr>
          <w:p>
            <w:pPr>
              <w:pStyle w:val="TableParagraph"/>
              <w:spacing w:before="0"/>
              <w:rPr>
                <w:rFonts w:ascii="Times New Roman"/>
                <w:sz w:val="20"/>
              </w:rPr>
            </w:pPr>
          </w:p>
        </w:tc>
        <w:tc>
          <w:tcPr>
            <w:tcW w:w="1548" w:type="dxa"/>
            <w:vMerge/>
            <w:tcBorders>
              <w:top w:val="nil"/>
            </w:tcBorders>
            <w:shd w:val="clear" w:color="auto" w:fill="DFE1B8"/>
          </w:tcPr>
          <w:p>
            <w:pPr>
              <w:rPr>
                <w:sz w:val="2"/>
                <w:szCs w:val="2"/>
              </w:rPr>
            </w:pPr>
          </w:p>
        </w:tc>
        <w:tc>
          <w:tcPr>
            <w:tcW w:w="4757" w:type="dxa"/>
            <w:gridSpan w:val="3"/>
            <w:vMerge/>
            <w:tcBorders>
              <w:top w:val="nil"/>
              <w:bottom w:val="single" w:sz="8" w:space="0" w:color="FFFFFF"/>
            </w:tcBorders>
            <w:shd w:val="clear" w:color="auto" w:fill="F4F4F4"/>
          </w:tcPr>
          <w:p>
            <w:pPr>
              <w:rPr>
                <w:sz w:val="2"/>
                <w:szCs w:val="2"/>
              </w:rPr>
            </w:pPr>
          </w:p>
        </w:tc>
      </w:tr>
      <w:tr>
        <w:trPr>
          <w:trHeight w:val="307" w:hRule="atLeast"/>
        </w:trPr>
        <w:tc>
          <w:tcPr>
            <w:tcW w:w="5896" w:type="dxa"/>
            <w:vMerge w:val="restart"/>
            <w:shd w:val="clear" w:color="auto" w:fill="FFFFFF"/>
          </w:tcPr>
          <w:p>
            <w:pPr>
              <w:pStyle w:val="TableParagraph"/>
              <w:ind w:left="123"/>
              <w:rPr>
                <w:sz w:val="19"/>
              </w:rPr>
            </w:pPr>
            <w:r>
              <w:rPr>
                <w:sz w:val="19"/>
              </w:rPr>
              <w:t>Repayment of borrowings</w:t>
            </w:r>
          </w:p>
          <w:p>
            <w:pPr>
              <w:pStyle w:val="TableParagraph"/>
              <w:spacing w:before="109"/>
              <w:ind w:left="124"/>
              <w:rPr>
                <w:i/>
                <w:sz w:val="19"/>
              </w:rPr>
            </w:pPr>
            <w:r>
              <w:rPr>
                <w:i/>
                <w:color w:val="A7BE39"/>
                <w:sz w:val="19"/>
              </w:rPr>
              <w:t>Receipts</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tcBorders>
            <w:shd w:val="clear" w:color="auto" w:fill="F4F4F4"/>
          </w:tcPr>
          <w:p>
            <w:pPr>
              <w:pStyle w:val="TableParagraph"/>
              <w:ind w:right="101"/>
              <w:jc w:val="right"/>
              <w:rPr>
                <w:sz w:val="19"/>
              </w:rPr>
            </w:pPr>
            <w:r>
              <w:rPr>
                <w:w w:val="95"/>
                <w:sz w:val="19"/>
              </w:rPr>
              <w:t>(23,511)</w:t>
            </w:r>
          </w:p>
        </w:tc>
        <w:tc>
          <w:tcPr>
            <w:tcW w:w="1548" w:type="dxa"/>
            <w:vMerge w:val="restart"/>
            <w:shd w:val="clear" w:color="auto" w:fill="DFE1B8"/>
          </w:tcPr>
          <w:p>
            <w:pPr>
              <w:pStyle w:val="TableParagraph"/>
              <w:ind w:left="771"/>
              <w:rPr>
                <w:sz w:val="19"/>
              </w:rPr>
            </w:pPr>
            <w:r>
              <w:rPr>
                <w:sz w:val="19"/>
              </w:rPr>
              <w:t>(30,689)</w:t>
            </w:r>
          </w:p>
        </w:tc>
        <w:tc>
          <w:tcPr>
            <w:tcW w:w="1548"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5"/>
                <w:sz w:val="19"/>
              </w:rPr>
              <w:t>(20,487)</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92"/>
              <w:jc w:val="right"/>
              <w:rPr>
                <w:sz w:val="19"/>
              </w:rPr>
            </w:pPr>
            <w:r>
              <w:rPr>
                <w:w w:val="90"/>
                <w:sz w:val="19"/>
              </w:rPr>
              <w:t>(7,178)</w:t>
            </w:r>
          </w:p>
        </w:tc>
        <w:tc>
          <w:tcPr>
            <w:tcW w:w="1661" w:type="dxa"/>
            <w:tcBorders>
              <w:top w:val="single" w:sz="8" w:space="0" w:color="FFFFFF"/>
              <w:left w:val="single" w:sz="8" w:space="0" w:color="FFFFFF"/>
              <w:bottom w:val="single" w:sz="8" w:space="0" w:color="FFFFFF"/>
            </w:tcBorders>
            <w:shd w:val="clear" w:color="auto" w:fill="F4F4F4"/>
          </w:tcPr>
          <w:p>
            <w:pPr>
              <w:pStyle w:val="TableParagraph"/>
              <w:ind w:right="101"/>
              <w:jc w:val="right"/>
              <w:rPr>
                <w:sz w:val="19"/>
              </w:rPr>
            </w:pPr>
            <w:r>
              <w:rPr>
                <w:w w:val="95"/>
                <w:sz w:val="19"/>
              </w:rPr>
              <w:t>(10,202)</w:t>
            </w:r>
          </w:p>
        </w:tc>
      </w:tr>
      <w:tr>
        <w:trPr>
          <w:trHeight w:val="307" w:hRule="atLeast"/>
        </w:trPr>
        <w:tc>
          <w:tcPr>
            <w:tcW w:w="5896" w:type="dxa"/>
            <w:vMerge/>
            <w:tcBorders>
              <w:top w:val="nil"/>
            </w:tcBorders>
            <w:shd w:val="clear" w:color="auto" w:fill="FFFFFF"/>
          </w:tcPr>
          <w:p>
            <w:pPr>
              <w:rPr>
                <w:sz w:val="2"/>
                <w:szCs w:val="2"/>
              </w:rPr>
            </w:pPr>
          </w:p>
        </w:tc>
        <w:tc>
          <w:tcPr>
            <w:tcW w:w="3096" w:type="dxa"/>
            <w:gridSpan w:val="2"/>
            <w:shd w:val="clear" w:color="auto" w:fill="FFFFFF"/>
          </w:tcPr>
          <w:p>
            <w:pPr>
              <w:pStyle w:val="TableParagraph"/>
              <w:spacing w:before="0"/>
              <w:rPr>
                <w:rFonts w:ascii="Times New Roman"/>
                <w:sz w:val="20"/>
              </w:rPr>
            </w:pPr>
          </w:p>
        </w:tc>
        <w:tc>
          <w:tcPr>
            <w:tcW w:w="1548" w:type="dxa"/>
            <w:vMerge/>
            <w:tcBorders>
              <w:top w:val="nil"/>
            </w:tcBorders>
            <w:shd w:val="clear" w:color="auto" w:fill="DFE1B8"/>
          </w:tcPr>
          <w:p>
            <w:pPr>
              <w:rPr>
                <w:sz w:val="2"/>
                <w:szCs w:val="2"/>
              </w:rPr>
            </w:pPr>
          </w:p>
        </w:tc>
        <w:tc>
          <w:tcPr>
            <w:tcW w:w="4757" w:type="dxa"/>
            <w:gridSpan w:val="3"/>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307" w:hRule="atLeast"/>
        </w:trPr>
        <w:tc>
          <w:tcPr>
            <w:tcW w:w="5896" w:type="dxa"/>
            <w:vMerge w:val="restart"/>
            <w:shd w:val="clear" w:color="auto" w:fill="FFFFFF"/>
          </w:tcPr>
          <w:p>
            <w:pPr>
              <w:pStyle w:val="TableParagraph"/>
              <w:ind w:left="124"/>
              <w:rPr>
                <w:sz w:val="19"/>
              </w:rPr>
            </w:pPr>
            <w:r>
              <w:rPr>
                <w:sz w:val="19"/>
              </w:rPr>
              <w:t>Proceeds from borrowings</w:t>
            </w:r>
          </w:p>
          <w:p>
            <w:pPr>
              <w:pStyle w:val="TableParagraph"/>
              <w:spacing w:before="109"/>
              <w:ind w:left="124"/>
              <w:rPr>
                <w:sz w:val="19"/>
              </w:rPr>
            </w:pPr>
            <w:r>
              <w:rPr>
                <w:sz w:val="19"/>
              </w:rPr>
              <w:t>Finance leases receipts</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tcBorders>
            <w:shd w:val="clear" w:color="auto" w:fill="F4F4F4"/>
          </w:tcPr>
          <w:p>
            <w:pPr>
              <w:pStyle w:val="TableParagraph"/>
              <w:ind w:right="101"/>
              <w:jc w:val="right"/>
              <w:rPr>
                <w:sz w:val="19"/>
              </w:rPr>
            </w:pPr>
            <w:r>
              <w:rPr>
                <w:w w:val="95"/>
                <w:sz w:val="19"/>
              </w:rPr>
              <w:t>7,530</w:t>
            </w:r>
          </w:p>
        </w:tc>
        <w:tc>
          <w:tcPr>
            <w:tcW w:w="1548" w:type="dxa"/>
            <w:vMerge w:val="restart"/>
            <w:tcBorders>
              <w:bottom w:val="single" w:sz="4" w:space="0" w:color="000000"/>
            </w:tcBorders>
            <w:shd w:val="clear" w:color="auto" w:fill="DFE1B8"/>
          </w:tcPr>
          <w:p>
            <w:pPr>
              <w:pStyle w:val="TableParagraph"/>
              <w:ind w:right="101"/>
              <w:jc w:val="right"/>
              <w:rPr>
                <w:sz w:val="19"/>
              </w:rPr>
            </w:pPr>
            <w:r>
              <w:rPr>
                <w:w w:val="95"/>
                <w:sz w:val="19"/>
              </w:rPr>
              <w:t>2,923</w:t>
            </w:r>
          </w:p>
          <w:p>
            <w:pPr>
              <w:pStyle w:val="TableParagraph"/>
              <w:spacing w:before="109"/>
              <w:ind w:right="101"/>
              <w:jc w:val="right"/>
              <w:rPr>
                <w:sz w:val="19"/>
              </w:rPr>
            </w:pPr>
            <w:r>
              <w:rPr>
                <w:w w:val="95"/>
                <w:sz w:val="19"/>
              </w:rPr>
              <w:t>753</w:t>
            </w:r>
          </w:p>
        </w:tc>
        <w:tc>
          <w:tcPr>
            <w:tcW w:w="1548"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5"/>
                <w:sz w:val="19"/>
              </w:rPr>
              <w:t>4,408</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0"/>
                <w:sz w:val="19"/>
              </w:rPr>
              <w:t>(4,607)</w:t>
            </w:r>
          </w:p>
        </w:tc>
        <w:tc>
          <w:tcPr>
            <w:tcW w:w="1661" w:type="dxa"/>
            <w:tcBorders>
              <w:top w:val="single" w:sz="8" w:space="0" w:color="FFFFFF"/>
              <w:left w:val="single" w:sz="8" w:space="0" w:color="FFFFFF"/>
              <w:bottom w:val="single" w:sz="8" w:space="0" w:color="FFFFFF"/>
            </w:tcBorders>
            <w:shd w:val="clear" w:color="auto" w:fill="F4F4F4"/>
          </w:tcPr>
          <w:p>
            <w:pPr>
              <w:pStyle w:val="TableParagraph"/>
              <w:ind w:right="101"/>
              <w:jc w:val="right"/>
              <w:rPr>
                <w:sz w:val="19"/>
              </w:rPr>
            </w:pPr>
            <w:r>
              <w:rPr>
                <w:w w:val="90"/>
                <w:sz w:val="19"/>
              </w:rPr>
              <w:t>(1,485)</w:t>
            </w:r>
          </w:p>
        </w:tc>
      </w:tr>
      <w:tr>
        <w:trPr>
          <w:trHeight w:val="312" w:hRule="atLeast"/>
        </w:trPr>
        <w:tc>
          <w:tcPr>
            <w:tcW w:w="5896" w:type="dxa"/>
            <w:vMerge/>
            <w:tcBorders>
              <w:top w:val="nil"/>
            </w:tcBorders>
            <w:shd w:val="clear" w:color="auto" w:fill="FFFFFF"/>
          </w:tcPr>
          <w:p>
            <w:pPr>
              <w:rPr>
                <w:sz w:val="2"/>
                <w:szCs w:val="2"/>
              </w:rPr>
            </w:pPr>
          </w:p>
        </w:tc>
        <w:tc>
          <w:tcPr>
            <w:tcW w:w="3096" w:type="dxa"/>
            <w:gridSpan w:val="2"/>
            <w:shd w:val="clear" w:color="auto" w:fill="FFFFFF"/>
          </w:tcPr>
          <w:p>
            <w:pPr>
              <w:pStyle w:val="TableParagraph"/>
              <w:ind w:right="100"/>
              <w:jc w:val="right"/>
              <w:rPr>
                <w:sz w:val="19"/>
              </w:rPr>
            </w:pPr>
            <w:r>
              <w:rPr>
                <w:w w:val="95"/>
                <w:sz w:val="19"/>
              </w:rPr>
              <w:t>3,789</w:t>
            </w:r>
          </w:p>
        </w:tc>
        <w:tc>
          <w:tcPr>
            <w:tcW w:w="1548" w:type="dxa"/>
            <w:vMerge/>
            <w:tcBorders>
              <w:top w:val="nil"/>
              <w:bottom w:val="single" w:sz="4" w:space="0" w:color="000000"/>
            </w:tcBorders>
            <w:shd w:val="clear" w:color="auto" w:fill="DFE1B8"/>
          </w:tcPr>
          <w:p>
            <w:pPr>
              <w:rPr>
                <w:sz w:val="2"/>
                <w:szCs w:val="2"/>
              </w:rPr>
            </w:pPr>
          </w:p>
        </w:tc>
        <w:tc>
          <w:tcPr>
            <w:tcW w:w="1548" w:type="dxa"/>
            <w:tcBorders>
              <w:top w:val="single" w:sz="8" w:space="0" w:color="FFFFFF"/>
              <w:bottom w:val="single" w:sz="4" w:space="0" w:color="000000"/>
            </w:tcBorders>
            <w:shd w:val="clear" w:color="auto" w:fill="FAF9F9"/>
          </w:tcPr>
          <w:p>
            <w:pPr>
              <w:pStyle w:val="TableParagraph"/>
              <w:ind w:right="101"/>
              <w:jc w:val="right"/>
              <w:rPr>
                <w:sz w:val="19"/>
              </w:rPr>
            </w:pPr>
            <w:r>
              <w:rPr>
                <w:w w:val="95"/>
                <w:sz w:val="19"/>
              </w:rPr>
              <w:t>598</w:t>
            </w:r>
          </w:p>
        </w:tc>
        <w:tc>
          <w:tcPr>
            <w:tcW w:w="1548" w:type="dxa"/>
            <w:tcBorders>
              <w:top w:val="single" w:sz="8" w:space="0" w:color="FFFFFF"/>
              <w:bottom w:val="single" w:sz="4" w:space="0" w:color="000000"/>
            </w:tcBorders>
            <w:shd w:val="clear" w:color="auto" w:fill="FAF9F9"/>
          </w:tcPr>
          <w:p>
            <w:pPr>
              <w:pStyle w:val="TableParagraph"/>
              <w:ind w:right="101"/>
              <w:jc w:val="right"/>
              <w:rPr>
                <w:sz w:val="19"/>
              </w:rPr>
            </w:pPr>
            <w:r>
              <w:rPr>
                <w:w w:val="90"/>
                <w:sz w:val="19"/>
              </w:rPr>
              <w:t>(3,036)</w:t>
            </w:r>
          </w:p>
        </w:tc>
        <w:tc>
          <w:tcPr>
            <w:tcW w:w="1661" w:type="dxa"/>
            <w:tcBorders>
              <w:top w:val="single" w:sz="8" w:space="0" w:color="FFFFFF"/>
              <w:bottom w:val="single" w:sz="4" w:space="0" w:color="000000"/>
            </w:tcBorders>
            <w:shd w:val="clear" w:color="auto" w:fill="FAF9F9"/>
          </w:tcPr>
          <w:p>
            <w:pPr>
              <w:pStyle w:val="TableParagraph"/>
              <w:ind w:right="101"/>
              <w:jc w:val="right"/>
              <w:rPr>
                <w:sz w:val="19"/>
              </w:rPr>
            </w:pPr>
            <w:r>
              <w:rPr>
                <w:w w:val="95"/>
                <w:sz w:val="19"/>
              </w:rPr>
              <w:t>155</w:t>
            </w:r>
          </w:p>
        </w:tc>
      </w:tr>
      <w:tr>
        <w:trPr>
          <w:trHeight w:val="317" w:hRule="atLeast"/>
        </w:trPr>
        <w:tc>
          <w:tcPr>
            <w:tcW w:w="5896" w:type="dxa"/>
            <w:shd w:val="clear" w:color="auto" w:fill="FFFFFF"/>
          </w:tcPr>
          <w:p>
            <w:pPr>
              <w:pStyle w:val="TableParagraph"/>
              <w:spacing w:before="37"/>
              <w:ind w:left="124"/>
              <w:rPr>
                <w:b/>
                <w:sz w:val="19"/>
              </w:rPr>
            </w:pPr>
            <w:r>
              <w:rPr>
                <w:b/>
                <w:sz w:val="19"/>
              </w:rPr>
              <w:t>Net cash used in financing activities</w:t>
            </w:r>
          </w:p>
        </w:tc>
        <w:tc>
          <w:tcPr>
            <w:tcW w:w="1548" w:type="dxa"/>
            <w:vMerge w:val="restart"/>
            <w:shd w:val="clear" w:color="auto" w:fill="FFFFFF"/>
          </w:tcPr>
          <w:p>
            <w:pPr>
              <w:pStyle w:val="TableParagraph"/>
              <w:spacing w:before="0"/>
              <w:rPr>
                <w:rFonts w:ascii="Times New Roman"/>
                <w:sz w:val="20"/>
              </w:rPr>
            </w:pPr>
          </w:p>
        </w:tc>
        <w:tc>
          <w:tcPr>
            <w:tcW w:w="1548" w:type="dxa"/>
            <w:tcBorders>
              <w:top w:val="single" w:sz="4" w:space="0" w:color="000000"/>
              <w:left w:val="single" w:sz="8" w:space="0" w:color="FFFFFF"/>
              <w:bottom w:val="single" w:sz="4" w:space="0" w:color="000000"/>
            </w:tcBorders>
            <w:shd w:val="clear" w:color="auto" w:fill="F4F4F4"/>
          </w:tcPr>
          <w:p>
            <w:pPr>
              <w:pStyle w:val="TableParagraph"/>
              <w:spacing w:before="37"/>
              <w:ind w:right="100"/>
              <w:jc w:val="right"/>
              <w:rPr>
                <w:b/>
                <w:sz w:val="19"/>
              </w:rPr>
            </w:pPr>
            <w:r>
              <w:rPr>
                <w:b/>
                <w:w w:val="95"/>
                <w:sz w:val="19"/>
              </w:rPr>
              <w:t>(12,192)</w:t>
            </w:r>
          </w:p>
        </w:tc>
        <w:tc>
          <w:tcPr>
            <w:tcW w:w="1548" w:type="dxa"/>
            <w:tcBorders>
              <w:top w:val="single" w:sz="4" w:space="0" w:color="000000"/>
              <w:bottom w:val="single" w:sz="4" w:space="0" w:color="000000"/>
            </w:tcBorders>
            <w:shd w:val="clear" w:color="auto" w:fill="DFE1B8"/>
          </w:tcPr>
          <w:p>
            <w:pPr>
              <w:pStyle w:val="TableParagraph"/>
              <w:spacing w:before="37"/>
              <w:ind w:right="101"/>
              <w:jc w:val="right"/>
              <w:rPr>
                <w:b/>
                <w:sz w:val="19"/>
              </w:rPr>
            </w:pPr>
            <w:r>
              <w:rPr>
                <w:b/>
                <w:w w:val="95"/>
                <w:sz w:val="19"/>
              </w:rPr>
              <w:t>(27,014)</w:t>
            </w:r>
          </w:p>
        </w:tc>
        <w:tc>
          <w:tcPr>
            <w:tcW w:w="1548" w:type="dxa"/>
            <w:tcBorders>
              <w:top w:val="single" w:sz="4" w:space="0" w:color="000000"/>
              <w:bottom w:val="single" w:sz="4" w:space="0" w:color="000000"/>
              <w:right w:val="single" w:sz="8" w:space="0" w:color="FFFFFF"/>
            </w:tcBorders>
            <w:shd w:val="clear" w:color="auto" w:fill="F4F4F4"/>
          </w:tcPr>
          <w:p>
            <w:pPr>
              <w:pStyle w:val="TableParagraph"/>
              <w:spacing w:before="37"/>
              <w:ind w:right="91"/>
              <w:jc w:val="right"/>
              <w:rPr>
                <w:b/>
                <w:sz w:val="19"/>
              </w:rPr>
            </w:pPr>
            <w:r>
              <w:rPr>
                <w:b/>
                <w:w w:val="95"/>
                <w:sz w:val="19"/>
              </w:rPr>
              <w:t>(15,481)</w:t>
            </w:r>
          </w:p>
        </w:tc>
        <w:tc>
          <w:tcPr>
            <w:tcW w:w="1548" w:type="dxa"/>
            <w:tcBorders>
              <w:top w:val="single" w:sz="4" w:space="0" w:color="000000"/>
              <w:left w:val="single" w:sz="8" w:space="0" w:color="FFFFFF"/>
              <w:bottom w:val="single" w:sz="4" w:space="0" w:color="000000"/>
              <w:right w:val="single" w:sz="8" w:space="0" w:color="FFFFFF"/>
            </w:tcBorders>
            <w:shd w:val="clear" w:color="auto" w:fill="F4F4F4"/>
          </w:tcPr>
          <w:p>
            <w:pPr>
              <w:pStyle w:val="TableParagraph"/>
              <w:spacing w:before="37"/>
              <w:ind w:right="91"/>
              <w:jc w:val="right"/>
              <w:rPr>
                <w:b/>
                <w:sz w:val="19"/>
              </w:rPr>
            </w:pPr>
            <w:r>
              <w:rPr>
                <w:b/>
                <w:w w:val="95"/>
                <w:sz w:val="19"/>
              </w:rPr>
              <w:t>(14,822)</w:t>
            </w:r>
          </w:p>
        </w:tc>
        <w:tc>
          <w:tcPr>
            <w:tcW w:w="1661" w:type="dxa"/>
            <w:tcBorders>
              <w:top w:val="single" w:sz="4" w:space="0" w:color="000000"/>
              <w:left w:val="single" w:sz="8" w:space="0" w:color="FFFFFF"/>
              <w:bottom w:val="single" w:sz="4" w:space="0" w:color="000000"/>
            </w:tcBorders>
            <w:shd w:val="clear" w:color="auto" w:fill="F4F4F4"/>
          </w:tcPr>
          <w:p>
            <w:pPr>
              <w:pStyle w:val="TableParagraph"/>
              <w:spacing w:before="37"/>
              <w:ind w:right="101"/>
              <w:jc w:val="right"/>
              <w:rPr>
                <w:b/>
                <w:sz w:val="19"/>
              </w:rPr>
            </w:pPr>
            <w:r>
              <w:rPr>
                <w:b/>
                <w:w w:val="95"/>
                <w:sz w:val="19"/>
              </w:rPr>
              <w:t>(11,532)</w:t>
            </w:r>
          </w:p>
        </w:tc>
      </w:tr>
      <w:tr>
        <w:trPr>
          <w:trHeight w:val="312" w:hRule="atLeast"/>
        </w:trPr>
        <w:tc>
          <w:tcPr>
            <w:tcW w:w="5896" w:type="dxa"/>
            <w:shd w:val="clear" w:color="auto" w:fill="FFFFFF"/>
          </w:tcPr>
          <w:p>
            <w:pPr>
              <w:pStyle w:val="TableParagraph"/>
              <w:spacing w:before="37"/>
              <w:ind w:left="124"/>
              <w:rPr>
                <w:sz w:val="19"/>
              </w:rPr>
            </w:pPr>
            <w:r>
              <w:rPr>
                <w:sz w:val="19"/>
              </w:rPr>
              <w:t>Net increase/(decrease) in cash and cash equivalents</w:t>
            </w:r>
          </w:p>
        </w:tc>
        <w:tc>
          <w:tcPr>
            <w:tcW w:w="1548" w:type="dxa"/>
            <w:vMerge/>
            <w:tcBorders>
              <w:top w:val="nil"/>
            </w:tcBorders>
            <w:shd w:val="clear" w:color="auto" w:fill="FFFFFF"/>
          </w:tcPr>
          <w:p>
            <w:pPr>
              <w:rPr>
                <w:sz w:val="2"/>
                <w:szCs w:val="2"/>
              </w:rPr>
            </w:pPr>
          </w:p>
        </w:tc>
        <w:tc>
          <w:tcPr>
            <w:tcW w:w="1548" w:type="dxa"/>
            <w:tcBorders>
              <w:top w:val="single" w:sz="4" w:space="0" w:color="000000"/>
              <w:left w:val="single" w:sz="8" w:space="0" w:color="FFFFFF"/>
              <w:bottom w:val="single" w:sz="8" w:space="0" w:color="FFFFFF"/>
            </w:tcBorders>
            <w:shd w:val="clear" w:color="auto" w:fill="FAF9F9"/>
          </w:tcPr>
          <w:p>
            <w:pPr>
              <w:pStyle w:val="TableParagraph"/>
              <w:spacing w:before="37"/>
              <w:ind w:right="100"/>
              <w:jc w:val="right"/>
              <w:rPr>
                <w:sz w:val="19"/>
              </w:rPr>
            </w:pPr>
            <w:r>
              <w:rPr>
                <w:w w:val="95"/>
                <w:sz w:val="19"/>
              </w:rPr>
              <w:t>20,619</w:t>
            </w:r>
          </w:p>
        </w:tc>
        <w:tc>
          <w:tcPr>
            <w:tcW w:w="1548" w:type="dxa"/>
            <w:tcBorders>
              <w:top w:val="single" w:sz="4" w:space="0" w:color="000000"/>
            </w:tcBorders>
            <w:shd w:val="clear" w:color="auto" w:fill="E1E4BB"/>
          </w:tcPr>
          <w:p>
            <w:pPr>
              <w:pStyle w:val="TableParagraph"/>
              <w:spacing w:before="37"/>
              <w:ind w:right="100"/>
              <w:jc w:val="right"/>
              <w:rPr>
                <w:sz w:val="19"/>
              </w:rPr>
            </w:pPr>
            <w:r>
              <w:rPr>
                <w:w w:val="95"/>
                <w:sz w:val="19"/>
              </w:rPr>
              <w:t>(24,043)</w:t>
            </w:r>
          </w:p>
        </w:tc>
        <w:tc>
          <w:tcPr>
            <w:tcW w:w="1548" w:type="dxa"/>
            <w:tcBorders>
              <w:top w:val="single" w:sz="4" w:space="0" w:color="000000"/>
              <w:bottom w:val="single" w:sz="8" w:space="0" w:color="FFFFFF"/>
            </w:tcBorders>
            <w:shd w:val="clear" w:color="auto" w:fill="FAF9F9"/>
          </w:tcPr>
          <w:p>
            <w:pPr>
              <w:pStyle w:val="TableParagraph"/>
              <w:spacing w:before="37"/>
              <w:ind w:right="101"/>
              <w:jc w:val="right"/>
              <w:rPr>
                <w:sz w:val="19"/>
              </w:rPr>
            </w:pPr>
            <w:r>
              <w:rPr>
                <w:w w:val="95"/>
                <w:sz w:val="19"/>
              </w:rPr>
              <w:t>24,439</w:t>
            </w:r>
          </w:p>
        </w:tc>
        <w:tc>
          <w:tcPr>
            <w:tcW w:w="1548" w:type="dxa"/>
            <w:tcBorders>
              <w:top w:val="single" w:sz="4" w:space="0" w:color="000000"/>
              <w:bottom w:val="single" w:sz="8" w:space="0" w:color="FFFFFF"/>
            </w:tcBorders>
            <w:shd w:val="clear" w:color="auto" w:fill="FAF9F9"/>
          </w:tcPr>
          <w:p>
            <w:pPr>
              <w:pStyle w:val="TableParagraph"/>
              <w:spacing w:before="37"/>
              <w:ind w:right="101"/>
              <w:jc w:val="right"/>
              <w:rPr>
                <w:sz w:val="19"/>
              </w:rPr>
            </w:pPr>
            <w:r>
              <w:rPr>
                <w:w w:val="95"/>
                <w:sz w:val="19"/>
              </w:rPr>
              <w:t>(44,662)</w:t>
            </w:r>
          </w:p>
        </w:tc>
        <w:tc>
          <w:tcPr>
            <w:tcW w:w="1661" w:type="dxa"/>
            <w:tcBorders>
              <w:top w:val="single" w:sz="4" w:space="0" w:color="000000"/>
              <w:bottom w:val="single" w:sz="8" w:space="0" w:color="FFFFFF"/>
            </w:tcBorders>
            <w:shd w:val="clear" w:color="auto" w:fill="FAF9F9"/>
          </w:tcPr>
          <w:p>
            <w:pPr>
              <w:pStyle w:val="TableParagraph"/>
              <w:spacing w:before="37"/>
              <w:ind w:right="101"/>
              <w:jc w:val="right"/>
              <w:rPr>
                <w:sz w:val="19"/>
              </w:rPr>
            </w:pPr>
            <w:r>
              <w:rPr>
                <w:w w:val="95"/>
                <w:sz w:val="19"/>
              </w:rPr>
              <w:t>(48,481)</w:t>
            </w:r>
          </w:p>
        </w:tc>
      </w:tr>
      <w:tr>
        <w:trPr>
          <w:trHeight w:val="307" w:hRule="atLeast"/>
        </w:trPr>
        <w:tc>
          <w:tcPr>
            <w:tcW w:w="5896" w:type="dxa"/>
            <w:shd w:val="clear" w:color="auto" w:fill="FFFFFF"/>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20"/>
              </w:rPr>
            </w:pPr>
          </w:p>
        </w:tc>
        <w:tc>
          <w:tcPr>
            <w:tcW w:w="1548" w:type="dxa"/>
            <w:shd w:val="clear" w:color="auto" w:fill="E1E4BB"/>
          </w:tcPr>
          <w:p>
            <w:pPr>
              <w:pStyle w:val="TableParagraph"/>
              <w:spacing w:before="0"/>
              <w:rPr>
                <w:rFonts w:ascii="Times New Roman"/>
                <w:sz w:val="20"/>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661"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5896" w:type="dxa"/>
            <w:shd w:val="clear" w:color="auto" w:fill="FFFFFF"/>
          </w:tcPr>
          <w:p>
            <w:pPr>
              <w:pStyle w:val="TableParagraph"/>
              <w:ind w:left="124"/>
              <w:rPr>
                <w:sz w:val="19"/>
              </w:rPr>
            </w:pPr>
            <w:r>
              <w:rPr>
                <w:sz w:val="19"/>
              </w:rPr>
              <w:t>Cash and cash equivalents at the beginning of period</w:t>
            </w:r>
          </w:p>
        </w:tc>
        <w:tc>
          <w:tcPr>
            <w:tcW w:w="3096" w:type="dxa"/>
            <w:gridSpan w:val="2"/>
            <w:shd w:val="clear" w:color="auto" w:fill="FFFFFF"/>
          </w:tcPr>
          <w:p>
            <w:pPr>
              <w:pStyle w:val="TableParagraph"/>
              <w:ind w:right="100"/>
              <w:jc w:val="right"/>
              <w:rPr>
                <w:sz w:val="19"/>
              </w:rPr>
            </w:pPr>
            <w:r>
              <w:rPr>
                <w:w w:val="95"/>
                <w:sz w:val="19"/>
              </w:rPr>
              <w:t>75,726</w:t>
            </w:r>
          </w:p>
        </w:tc>
        <w:tc>
          <w:tcPr>
            <w:tcW w:w="1548" w:type="dxa"/>
            <w:shd w:val="clear" w:color="auto" w:fill="E1E4BB"/>
          </w:tcPr>
          <w:p>
            <w:pPr>
              <w:pStyle w:val="TableParagraph"/>
              <w:ind w:right="100"/>
              <w:jc w:val="right"/>
              <w:rPr>
                <w:sz w:val="19"/>
              </w:rPr>
            </w:pPr>
            <w:r>
              <w:rPr>
                <w:w w:val="95"/>
                <w:sz w:val="19"/>
              </w:rPr>
              <w:t>98,230</w:t>
            </w:r>
          </w:p>
        </w:tc>
        <w:tc>
          <w:tcPr>
            <w:tcW w:w="1548" w:type="dxa"/>
            <w:tcBorders>
              <w:top w:val="single" w:sz="8" w:space="0" w:color="FFFFFF"/>
              <w:bottom w:val="single" w:sz="8" w:space="0" w:color="FFFFFF"/>
            </w:tcBorders>
            <w:shd w:val="clear" w:color="auto" w:fill="FAF9F9"/>
          </w:tcPr>
          <w:p>
            <w:pPr>
              <w:pStyle w:val="TableParagraph"/>
              <w:ind w:right="100"/>
              <w:jc w:val="right"/>
              <w:rPr>
                <w:sz w:val="19"/>
              </w:rPr>
            </w:pPr>
            <w:r>
              <w:rPr>
                <w:w w:val="95"/>
                <w:sz w:val="19"/>
              </w:rPr>
              <w:t>73,792</w:t>
            </w:r>
          </w:p>
        </w:tc>
        <w:tc>
          <w:tcPr>
            <w:tcW w:w="1548" w:type="dxa"/>
            <w:tcBorders>
              <w:top w:val="single" w:sz="8" w:space="0" w:color="FFFFFF"/>
              <w:bottom w:val="single" w:sz="8" w:space="0" w:color="FFFFFF"/>
            </w:tcBorders>
            <w:shd w:val="clear" w:color="auto" w:fill="FAF9F9"/>
          </w:tcPr>
          <w:p>
            <w:pPr>
              <w:pStyle w:val="TableParagraph"/>
              <w:ind w:right="101"/>
              <w:jc w:val="right"/>
              <w:rPr>
                <w:sz w:val="19"/>
              </w:rPr>
            </w:pPr>
            <w:r>
              <w:rPr>
                <w:w w:val="95"/>
                <w:sz w:val="19"/>
              </w:rPr>
              <w:t>22,504</w:t>
            </w:r>
          </w:p>
        </w:tc>
        <w:tc>
          <w:tcPr>
            <w:tcW w:w="1661" w:type="dxa"/>
            <w:tcBorders>
              <w:top w:val="single" w:sz="8" w:space="0" w:color="FFFFFF"/>
              <w:bottom w:val="single" w:sz="8" w:space="0" w:color="FFFFFF"/>
            </w:tcBorders>
            <w:shd w:val="clear" w:color="auto" w:fill="FAF9F9"/>
          </w:tcPr>
          <w:p>
            <w:pPr>
              <w:pStyle w:val="TableParagraph"/>
              <w:ind w:right="100"/>
              <w:jc w:val="right"/>
              <w:rPr>
                <w:sz w:val="19"/>
              </w:rPr>
            </w:pPr>
            <w:r>
              <w:rPr>
                <w:w w:val="95"/>
                <w:sz w:val="19"/>
              </w:rPr>
              <w:t>24,438</w:t>
            </w:r>
          </w:p>
        </w:tc>
      </w:tr>
      <w:tr>
        <w:trPr>
          <w:trHeight w:val="312" w:hRule="atLeast"/>
        </w:trPr>
        <w:tc>
          <w:tcPr>
            <w:tcW w:w="5896" w:type="dxa"/>
            <w:vMerge w:val="restart"/>
            <w:shd w:val="clear" w:color="auto" w:fill="FFFFFF"/>
          </w:tcPr>
          <w:p>
            <w:pPr>
              <w:pStyle w:val="TableParagraph"/>
              <w:spacing w:before="3"/>
              <w:rPr>
                <w:sz w:val="31"/>
              </w:rPr>
            </w:pPr>
          </w:p>
          <w:p>
            <w:pPr>
              <w:pStyle w:val="TableParagraph"/>
              <w:spacing w:line="212" w:lineRule="exact" w:before="0"/>
              <w:ind w:left="125"/>
              <w:rPr>
                <w:b/>
                <w:sz w:val="19"/>
              </w:rPr>
            </w:pPr>
            <w:r>
              <w:rPr>
                <w:b/>
                <w:sz w:val="19"/>
              </w:rPr>
              <w:t>CASH AND CASH EQUIVALENTS AT THE END OF PERIOD</w:t>
            </w:r>
          </w:p>
        </w:tc>
        <w:tc>
          <w:tcPr>
            <w:tcW w:w="1548" w:type="dxa"/>
            <w:vMerge w:val="restart"/>
            <w:shd w:val="clear" w:color="auto" w:fill="FFFFFF"/>
          </w:tcPr>
          <w:p>
            <w:pPr>
              <w:pStyle w:val="TableParagraph"/>
              <w:spacing w:before="0"/>
              <w:rPr>
                <w:rFonts w:ascii="Times New Roman"/>
                <w:sz w:val="20"/>
              </w:rPr>
            </w:pPr>
          </w:p>
        </w:tc>
        <w:tc>
          <w:tcPr>
            <w:tcW w:w="1548" w:type="dxa"/>
            <w:tcBorders>
              <w:top w:val="single" w:sz="8" w:space="0" w:color="FFFFFF"/>
              <w:left w:val="single" w:sz="8" w:space="0" w:color="FFFFFF"/>
              <w:bottom w:val="single" w:sz="4" w:space="0" w:color="000000"/>
            </w:tcBorders>
            <w:shd w:val="clear" w:color="auto" w:fill="F4F4F4"/>
          </w:tcPr>
          <w:p>
            <w:pPr>
              <w:pStyle w:val="TableParagraph"/>
              <w:spacing w:before="0"/>
              <w:rPr>
                <w:rFonts w:ascii="Times New Roman"/>
                <w:sz w:val="20"/>
              </w:rPr>
            </w:pPr>
          </w:p>
        </w:tc>
        <w:tc>
          <w:tcPr>
            <w:tcW w:w="1548" w:type="dxa"/>
            <w:tcBorders>
              <w:bottom w:val="single" w:sz="4" w:space="0" w:color="000000"/>
            </w:tcBorders>
            <w:shd w:val="clear" w:color="auto" w:fill="E1E4BB"/>
          </w:tcPr>
          <w:p>
            <w:pPr>
              <w:pStyle w:val="TableParagraph"/>
              <w:spacing w:before="0"/>
              <w:rPr>
                <w:rFonts w:ascii="Times New Roman"/>
                <w:sz w:val="20"/>
              </w:rPr>
            </w:pPr>
          </w:p>
        </w:tc>
        <w:tc>
          <w:tcPr>
            <w:tcW w:w="1548" w:type="dxa"/>
            <w:tcBorders>
              <w:top w:val="single" w:sz="8" w:space="0" w:color="FFFFFF"/>
              <w:bottom w:val="single" w:sz="4" w:space="0" w:color="000000"/>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4" w:space="0" w:color="000000"/>
              <w:right w:val="single" w:sz="8" w:space="0" w:color="FFFFFF"/>
            </w:tcBorders>
            <w:shd w:val="clear" w:color="auto" w:fill="F4F4F4"/>
          </w:tcPr>
          <w:p>
            <w:pPr>
              <w:pStyle w:val="TableParagraph"/>
              <w:spacing w:before="0"/>
              <w:rPr>
                <w:rFonts w:ascii="Times New Roman"/>
                <w:sz w:val="20"/>
              </w:rPr>
            </w:pPr>
          </w:p>
        </w:tc>
        <w:tc>
          <w:tcPr>
            <w:tcW w:w="1661" w:type="dxa"/>
            <w:tcBorders>
              <w:top w:val="single" w:sz="8" w:space="0" w:color="FFFFFF"/>
              <w:left w:val="single" w:sz="8" w:space="0" w:color="FFFFFF"/>
              <w:bottom w:val="single" w:sz="4" w:space="0" w:color="000000"/>
            </w:tcBorders>
            <w:shd w:val="clear" w:color="auto" w:fill="F4F4F4"/>
          </w:tcPr>
          <w:p>
            <w:pPr>
              <w:pStyle w:val="TableParagraph"/>
              <w:spacing w:before="0"/>
              <w:rPr>
                <w:rFonts w:ascii="Times New Roman"/>
                <w:sz w:val="20"/>
              </w:rPr>
            </w:pPr>
          </w:p>
        </w:tc>
      </w:tr>
      <w:tr>
        <w:trPr>
          <w:trHeight w:val="269" w:hRule="atLeast"/>
        </w:trPr>
        <w:tc>
          <w:tcPr>
            <w:tcW w:w="5896" w:type="dxa"/>
            <w:vMerge/>
            <w:tcBorders>
              <w:top w:val="nil"/>
            </w:tcBorders>
            <w:shd w:val="clear" w:color="auto" w:fill="FFFFFF"/>
          </w:tcPr>
          <w:p>
            <w:pPr>
              <w:rPr>
                <w:sz w:val="2"/>
                <w:szCs w:val="2"/>
              </w:rPr>
            </w:pPr>
          </w:p>
        </w:tc>
        <w:tc>
          <w:tcPr>
            <w:tcW w:w="1548" w:type="dxa"/>
            <w:vMerge/>
            <w:tcBorders>
              <w:top w:val="nil"/>
            </w:tcBorders>
            <w:shd w:val="clear" w:color="auto" w:fill="FFFFFF"/>
          </w:tcPr>
          <w:p>
            <w:pPr>
              <w:rPr>
                <w:sz w:val="2"/>
                <w:szCs w:val="2"/>
              </w:rPr>
            </w:pPr>
          </w:p>
        </w:tc>
        <w:tc>
          <w:tcPr>
            <w:tcW w:w="1548" w:type="dxa"/>
            <w:tcBorders>
              <w:top w:val="single" w:sz="4" w:space="0" w:color="000000"/>
              <w:left w:val="single" w:sz="8" w:space="0" w:color="FFFFFF"/>
              <w:bottom w:val="single" w:sz="34" w:space="0" w:color="FFFFFF"/>
            </w:tcBorders>
            <w:shd w:val="clear" w:color="auto" w:fill="FAF9F9"/>
          </w:tcPr>
          <w:p>
            <w:pPr>
              <w:pStyle w:val="TableParagraph"/>
              <w:spacing w:line="212" w:lineRule="exact" w:before="38"/>
              <w:ind w:right="100"/>
              <w:jc w:val="right"/>
              <w:rPr>
                <w:b/>
                <w:sz w:val="19"/>
              </w:rPr>
            </w:pPr>
            <w:r>
              <w:rPr>
                <w:b/>
                <w:w w:val="95"/>
                <w:sz w:val="19"/>
              </w:rPr>
              <w:t>96,345</w:t>
            </w:r>
          </w:p>
        </w:tc>
        <w:tc>
          <w:tcPr>
            <w:tcW w:w="1548" w:type="dxa"/>
            <w:tcBorders>
              <w:top w:val="single" w:sz="4" w:space="0" w:color="000000"/>
              <w:bottom w:val="single" w:sz="34" w:space="0" w:color="FFFFFF"/>
            </w:tcBorders>
            <w:shd w:val="clear" w:color="auto" w:fill="E1E4BB"/>
          </w:tcPr>
          <w:p>
            <w:pPr>
              <w:pStyle w:val="TableParagraph"/>
              <w:spacing w:line="212" w:lineRule="exact" w:before="38"/>
              <w:ind w:right="100"/>
              <w:jc w:val="right"/>
              <w:rPr>
                <w:b/>
                <w:sz w:val="19"/>
              </w:rPr>
            </w:pPr>
            <w:r>
              <w:rPr>
                <w:b/>
                <w:w w:val="95"/>
                <w:sz w:val="19"/>
              </w:rPr>
              <w:t>74,187</w:t>
            </w:r>
          </w:p>
        </w:tc>
        <w:tc>
          <w:tcPr>
            <w:tcW w:w="1548" w:type="dxa"/>
            <w:tcBorders>
              <w:top w:val="single" w:sz="4" w:space="0" w:color="000000"/>
              <w:bottom w:val="single" w:sz="34" w:space="0" w:color="FFFFFF"/>
            </w:tcBorders>
            <w:shd w:val="clear" w:color="auto" w:fill="FAF9F9"/>
          </w:tcPr>
          <w:p>
            <w:pPr>
              <w:pStyle w:val="TableParagraph"/>
              <w:spacing w:line="212" w:lineRule="exact" w:before="38"/>
              <w:ind w:right="100"/>
              <w:jc w:val="right"/>
              <w:rPr>
                <w:b/>
                <w:sz w:val="19"/>
              </w:rPr>
            </w:pPr>
            <w:r>
              <w:rPr>
                <w:b/>
                <w:w w:val="95"/>
                <w:sz w:val="19"/>
              </w:rPr>
              <w:t>98,230</w:t>
            </w:r>
          </w:p>
        </w:tc>
        <w:tc>
          <w:tcPr>
            <w:tcW w:w="1548" w:type="dxa"/>
            <w:tcBorders>
              <w:top w:val="single" w:sz="4" w:space="0" w:color="000000"/>
              <w:bottom w:val="single" w:sz="24" w:space="0" w:color="FFFFFF"/>
            </w:tcBorders>
            <w:shd w:val="clear" w:color="auto" w:fill="FAF9F9"/>
          </w:tcPr>
          <w:p>
            <w:pPr>
              <w:pStyle w:val="TableParagraph"/>
              <w:spacing w:line="212" w:lineRule="exact" w:before="38"/>
              <w:ind w:right="100"/>
              <w:jc w:val="right"/>
              <w:rPr>
                <w:b/>
                <w:sz w:val="19"/>
              </w:rPr>
            </w:pPr>
            <w:r>
              <w:rPr>
                <w:b/>
                <w:w w:val="95"/>
                <w:sz w:val="19"/>
              </w:rPr>
              <w:t>(22,158)</w:t>
            </w:r>
          </w:p>
        </w:tc>
        <w:tc>
          <w:tcPr>
            <w:tcW w:w="1661" w:type="dxa"/>
            <w:tcBorders>
              <w:top w:val="single" w:sz="4" w:space="0" w:color="000000"/>
              <w:bottom w:val="single" w:sz="24" w:space="0" w:color="FFFFFF"/>
            </w:tcBorders>
            <w:shd w:val="clear" w:color="auto" w:fill="FAF9F9"/>
          </w:tcPr>
          <w:p>
            <w:pPr>
              <w:pStyle w:val="TableParagraph"/>
              <w:spacing w:line="212" w:lineRule="exact" w:before="38"/>
              <w:ind w:right="100"/>
              <w:jc w:val="right"/>
              <w:rPr>
                <w:b/>
                <w:sz w:val="19"/>
              </w:rPr>
            </w:pPr>
            <w:r>
              <w:rPr>
                <w:b/>
                <w:w w:val="95"/>
                <w:sz w:val="19"/>
              </w:rPr>
              <w:t>(24,043)</w:t>
            </w:r>
          </w:p>
        </w:tc>
      </w:tr>
    </w:tbl>
    <w:p>
      <w:pPr>
        <w:spacing w:after="0" w:line="212" w:lineRule="exact"/>
        <w:jc w:val="right"/>
        <w:rPr>
          <w:sz w:val="19"/>
        </w:rPr>
        <w:sectPr>
          <w:footerReference w:type="default" r:id="rId237"/>
          <w:pgSz w:w="16840" w:h="11910" w:orient="landscape"/>
          <w:pgMar w:footer="448" w:header="0" w:top="0" w:bottom="640" w:left="0" w:right="0"/>
        </w:sectPr>
      </w:pPr>
    </w:p>
    <w:p>
      <w:pPr>
        <w:tabs>
          <w:tab w:pos="14432" w:val="left" w:leader="none"/>
        </w:tabs>
        <w:spacing w:line="240" w:lineRule="auto"/>
        <w:ind w:left="9621" w:right="-58" w:firstLine="0"/>
        <w:rPr>
          <w:sz w:val="20"/>
        </w:rPr>
      </w:pPr>
      <w:bookmarkStart w:name="_bookmark56" w:id="58"/>
      <w:bookmarkEnd w:id="58"/>
      <w:r>
        <w:rPr/>
      </w: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26320"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26440"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26464"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4"/>
        <w:rPr>
          <w:sz w:val="15"/>
        </w:rPr>
      </w:pPr>
    </w:p>
    <w:p>
      <w:pPr>
        <w:spacing w:after="0"/>
        <w:rPr>
          <w:sz w:val="15"/>
        </w:rPr>
        <w:sectPr>
          <w:footerReference w:type="default" r:id="rId238"/>
          <w:pgSz w:w="16840" w:h="11910" w:orient="landscape"/>
          <w:pgMar w:footer="448" w:header="0" w:top="0" w:bottom="640" w:left="0" w:right="0"/>
        </w:sectPr>
      </w:pPr>
    </w:p>
    <w:p>
      <w:pPr>
        <w:spacing w:before="103"/>
        <w:ind w:left="765" w:right="0" w:firstLine="0"/>
        <w:jc w:val="left"/>
        <w:rPr>
          <w:i/>
          <w:sz w:val="22"/>
        </w:rPr>
      </w:pPr>
      <w:r>
        <w:rPr>
          <w:i/>
          <w:color w:val="6F2770"/>
          <w:sz w:val="22"/>
        </w:rPr>
        <w:t>Major Estimate and Actual (2017) Variance Narratives</w:t>
      </w:r>
    </w:p>
    <w:p>
      <w:pPr>
        <w:pStyle w:val="ListParagraph"/>
        <w:numPr>
          <w:ilvl w:val="0"/>
          <w:numId w:val="23"/>
        </w:numPr>
        <w:tabs>
          <w:tab w:pos="1010" w:val="left" w:leader="none"/>
        </w:tabs>
        <w:spacing w:line="240" w:lineRule="auto" w:before="11" w:after="0"/>
        <w:ind w:left="1010" w:right="0" w:hanging="245"/>
        <w:jc w:val="left"/>
        <w:rPr>
          <w:sz w:val="22"/>
        </w:rPr>
      </w:pPr>
      <w:r>
        <w:rPr>
          <w:sz w:val="22"/>
        </w:rPr>
        <w:t>The</w:t>
      </w:r>
      <w:r>
        <w:rPr>
          <w:spacing w:val="-10"/>
          <w:sz w:val="22"/>
        </w:rPr>
        <w:t> </w:t>
      </w:r>
      <w:r>
        <w:rPr>
          <w:sz w:val="22"/>
        </w:rPr>
        <w:t>Department</w:t>
      </w:r>
      <w:r>
        <w:rPr>
          <w:spacing w:val="-10"/>
          <w:sz w:val="22"/>
        </w:rPr>
        <w:t> </w:t>
      </w:r>
      <w:r>
        <w:rPr>
          <w:sz w:val="22"/>
        </w:rPr>
        <w:t>achieved</w:t>
      </w:r>
      <w:r>
        <w:rPr>
          <w:spacing w:val="-9"/>
          <w:sz w:val="22"/>
        </w:rPr>
        <w:t> </w:t>
      </w:r>
      <w:r>
        <w:rPr>
          <w:sz w:val="22"/>
        </w:rPr>
        <w:t>its</w:t>
      </w:r>
      <w:r>
        <w:rPr>
          <w:spacing w:val="-10"/>
          <w:sz w:val="22"/>
        </w:rPr>
        <w:t> </w:t>
      </w:r>
      <w:r>
        <w:rPr>
          <w:sz w:val="22"/>
        </w:rPr>
        <w:t>2017-18</w:t>
      </w:r>
      <w:r>
        <w:rPr>
          <w:spacing w:val="-9"/>
          <w:sz w:val="22"/>
        </w:rPr>
        <w:t> </w:t>
      </w:r>
      <w:r>
        <w:rPr>
          <w:sz w:val="22"/>
        </w:rPr>
        <w:t>Agency</w:t>
      </w:r>
      <w:r>
        <w:rPr>
          <w:spacing w:val="-10"/>
          <w:sz w:val="22"/>
        </w:rPr>
        <w:t> </w:t>
      </w:r>
      <w:r>
        <w:rPr>
          <w:sz w:val="22"/>
        </w:rPr>
        <w:t>Expenditure</w:t>
      </w:r>
      <w:r>
        <w:rPr>
          <w:spacing w:val="-10"/>
          <w:sz w:val="22"/>
        </w:rPr>
        <w:t> </w:t>
      </w:r>
      <w:r>
        <w:rPr>
          <w:sz w:val="22"/>
        </w:rPr>
        <w:t>review</w:t>
      </w:r>
    </w:p>
    <w:p>
      <w:pPr>
        <w:pStyle w:val="BodyText"/>
        <w:spacing w:line="249" w:lineRule="auto" w:before="11"/>
        <w:ind w:left="1009" w:right="-5"/>
      </w:pPr>
      <w:r>
        <w:rPr/>
        <w:t>targets</w:t>
      </w:r>
      <w:r>
        <w:rPr>
          <w:spacing w:val="-18"/>
        </w:rPr>
        <w:t> </w:t>
      </w:r>
      <w:r>
        <w:rPr/>
        <w:t>during</w:t>
      </w:r>
      <w:r>
        <w:rPr>
          <w:spacing w:val="-17"/>
        </w:rPr>
        <w:t> </w:t>
      </w:r>
      <w:r>
        <w:rPr/>
        <w:t>2016-17.</w:t>
      </w:r>
      <w:r>
        <w:rPr>
          <w:spacing w:val="-18"/>
        </w:rPr>
        <w:t> </w:t>
      </w:r>
      <w:r>
        <w:rPr/>
        <w:t>This</w:t>
      </w:r>
      <w:r>
        <w:rPr>
          <w:spacing w:val="-17"/>
        </w:rPr>
        <w:t> </w:t>
      </w:r>
      <w:r>
        <w:rPr/>
        <w:t>resulted</w:t>
      </w:r>
      <w:r>
        <w:rPr>
          <w:spacing w:val="-18"/>
        </w:rPr>
        <w:t> </w:t>
      </w:r>
      <w:r>
        <w:rPr/>
        <w:t>in</w:t>
      </w:r>
      <w:r>
        <w:rPr>
          <w:spacing w:val="-17"/>
        </w:rPr>
        <w:t> </w:t>
      </w:r>
      <w:r>
        <w:rPr/>
        <w:t>staff</w:t>
      </w:r>
      <w:r>
        <w:rPr>
          <w:spacing w:val="-17"/>
        </w:rPr>
        <w:t> </w:t>
      </w:r>
      <w:r>
        <w:rPr/>
        <w:t>savings</w:t>
      </w:r>
      <w:r>
        <w:rPr>
          <w:spacing w:val="-18"/>
        </w:rPr>
        <w:t> </w:t>
      </w:r>
      <w:r>
        <w:rPr/>
        <w:t>leading</w:t>
      </w:r>
      <w:r>
        <w:rPr>
          <w:spacing w:val="-17"/>
        </w:rPr>
        <w:t> </w:t>
      </w:r>
      <w:r>
        <w:rPr/>
        <w:t>to</w:t>
      </w:r>
      <w:r>
        <w:rPr>
          <w:spacing w:val="-18"/>
        </w:rPr>
        <w:t> </w:t>
      </w:r>
      <w:r>
        <w:rPr/>
        <w:t>a</w:t>
      </w:r>
      <w:r>
        <w:rPr>
          <w:spacing w:val="-17"/>
        </w:rPr>
        <w:t> </w:t>
      </w:r>
      <w:r>
        <w:rPr>
          <w:spacing w:val="-4"/>
        </w:rPr>
        <w:t>reduction </w:t>
      </w:r>
      <w:r>
        <w:rPr/>
        <w:t>in employee benefits. In addition, the Department devolved Government Procurement</w:t>
      </w:r>
      <w:r>
        <w:rPr>
          <w:spacing w:val="-14"/>
        </w:rPr>
        <w:t> </w:t>
      </w:r>
      <w:r>
        <w:rPr/>
        <w:t>staff</w:t>
      </w:r>
      <w:r>
        <w:rPr>
          <w:spacing w:val="-14"/>
        </w:rPr>
        <w:t> </w:t>
      </w:r>
      <w:r>
        <w:rPr/>
        <w:t>to</w:t>
      </w:r>
      <w:r>
        <w:rPr>
          <w:spacing w:val="-14"/>
        </w:rPr>
        <w:t> </w:t>
      </w:r>
      <w:r>
        <w:rPr/>
        <w:t>agencies</w:t>
      </w:r>
      <w:r>
        <w:rPr>
          <w:spacing w:val="-13"/>
        </w:rPr>
        <w:t> </w:t>
      </w:r>
      <w:r>
        <w:rPr/>
        <w:t>to</w:t>
      </w:r>
      <w:r>
        <w:rPr>
          <w:spacing w:val="-14"/>
        </w:rPr>
        <w:t> </w:t>
      </w:r>
      <w:r>
        <w:rPr/>
        <w:t>manage</w:t>
      </w:r>
      <w:r>
        <w:rPr>
          <w:spacing w:val="-14"/>
        </w:rPr>
        <w:t> </w:t>
      </w:r>
      <w:r>
        <w:rPr/>
        <w:t>procurement</w:t>
      </w:r>
      <w:r>
        <w:rPr>
          <w:spacing w:val="-13"/>
        </w:rPr>
        <w:t> </w:t>
      </w:r>
      <w:r>
        <w:rPr/>
        <w:t>under</w:t>
      </w:r>
      <w:r>
        <w:rPr>
          <w:spacing w:val="-14"/>
        </w:rPr>
        <w:t> </w:t>
      </w:r>
      <w:r>
        <w:rPr/>
        <w:t>$250,000.</w:t>
      </w:r>
    </w:p>
    <w:p>
      <w:pPr>
        <w:pStyle w:val="ListParagraph"/>
        <w:numPr>
          <w:ilvl w:val="0"/>
          <w:numId w:val="23"/>
        </w:numPr>
        <w:tabs>
          <w:tab w:pos="1010" w:val="left" w:leader="none"/>
        </w:tabs>
        <w:spacing w:line="249" w:lineRule="auto" w:before="3" w:after="0"/>
        <w:ind w:left="1010" w:right="368" w:hanging="245"/>
        <w:jc w:val="both"/>
        <w:rPr>
          <w:sz w:val="22"/>
        </w:rPr>
      </w:pPr>
      <w:r>
        <w:rPr>
          <w:sz w:val="22"/>
        </w:rPr>
        <w:t>Capital</w:t>
      </w:r>
      <w:r>
        <w:rPr>
          <w:spacing w:val="-22"/>
          <w:sz w:val="22"/>
        </w:rPr>
        <w:t> </w:t>
      </w:r>
      <w:r>
        <w:rPr>
          <w:sz w:val="22"/>
        </w:rPr>
        <w:t>works</w:t>
      </w:r>
      <w:r>
        <w:rPr>
          <w:spacing w:val="-22"/>
          <w:sz w:val="22"/>
        </w:rPr>
        <w:t> </w:t>
      </w:r>
      <w:r>
        <w:rPr>
          <w:sz w:val="22"/>
        </w:rPr>
        <w:t>expenditure</w:t>
      </w:r>
      <w:r>
        <w:rPr>
          <w:spacing w:val="-22"/>
          <w:sz w:val="22"/>
        </w:rPr>
        <w:t> </w:t>
      </w:r>
      <w:r>
        <w:rPr>
          <w:sz w:val="22"/>
        </w:rPr>
        <w:t>for</w:t>
      </w:r>
      <w:r>
        <w:rPr>
          <w:spacing w:val="-21"/>
          <w:sz w:val="22"/>
        </w:rPr>
        <w:t> </w:t>
      </w:r>
      <w:r>
        <w:rPr>
          <w:sz w:val="22"/>
        </w:rPr>
        <w:t>2017</w:t>
      </w:r>
      <w:r>
        <w:rPr>
          <w:spacing w:val="-22"/>
          <w:sz w:val="22"/>
        </w:rPr>
        <w:t> </w:t>
      </w:r>
      <w:r>
        <w:rPr>
          <w:sz w:val="22"/>
        </w:rPr>
        <w:t>managed</w:t>
      </w:r>
      <w:r>
        <w:rPr>
          <w:spacing w:val="-22"/>
          <w:sz w:val="22"/>
        </w:rPr>
        <w:t> </w:t>
      </w:r>
      <w:r>
        <w:rPr>
          <w:sz w:val="22"/>
        </w:rPr>
        <w:t>by</w:t>
      </w:r>
      <w:r>
        <w:rPr>
          <w:spacing w:val="-21"/>
          <w:sz w:val="22"/>
        </w:rPr>
        <w:t> </w:t>
      </w:r>
      <w:r>
        <w:rPr>
          <w:sz w:val="22"/>
        </w:rPr>
        <w:t>Building</w:t>
      </w:r>
      <w:r>
        <w:rPr>
          <w:spacing w:val="-22"/>
          <w:sz w:val="22"/>
        </w:rPr>
        <w:t> </w:t>
      </w:r>
      <w:r>
        <w:rPr>
          <w:sz w:val="22"/>
        </w:rPr>
        <w:t>Management and</w:t>
      </w:r>
      <w:r>
        <w:rPr>
          <w:spacing w:val="-22"/>
          <w:sz w:val="22"/>
        </w:rPr>
        <w:t> </w:t>
      </w:r>
      <w:r>
        <w:rPr>
          <w:sz w:val="22"/>
        </w:rPr>
        <w:t>Works</w:t>
      </w:r>
      <w:r>
        <w:rPr>
          <w:spacing w:val="-21"/>
          <w:sz w:val="22"/>
        </w:rPr>
        <w:t> </w:t>
      </w:r>
      <w:r>
        <w:rPr>
          <w:sz w:val="22"/>
        </w:rPr>
        <w:t>on</w:t>
      </w:r>
      <w:r>
        <w:rPr>
          <w:spacing w:val="-22"/>
          <w:sz w:val="22"/>
        </w:rPr>
        <w:t> </w:t>
      </w:r>
      <w:r>
        <w:rPr>
          <w:sz w:val="22"/>
        </w:rPr>
        <w:t>behalf</w:t>
      </w:r>
      <w:r>
        <w:rPr>
          <w:spacing w:val="-21"/>
          <w:sz w:val="22"/>
        </w:rPr>
        <w:t> </w:t>
      </w:r>
      <w:r>
        <w:rPr>
          <w:sz w:val="22"/>
        </w:rPr>
        <w:t>of</w:t>
      </w:r>
      <w:r>
        <w:rPr>
          <w:spacing w:val="-22"/>
          <w:sz w:val="22"/>
        </w:rPr>
        <w:t> </w:t>
      </w:r>
      <w:r>
        <w:rPr>
          <w:sz w:val="22"/>
        </w:rPr>
        <w:t>Government</w:t>
      </w:r>
      <w:r>
        <w:rPr>
          <w:spacing w:val="-21"/>
          <w:sz w:val="22"/>
        </w:rPr>
        <w:t> </w:t>
      </w:r>
      <w:r>
        <w:rPr>
          <w:sz w:val="22"/>
        </w:rPr>
        <w:t>agencies</w:t>
      </w:r>
      <w:r>
        <w:rPr>
          <w:spacing w:val="-22"/>
          <w:sz w:val="22"/>
        </w:rPr>
        <w:t> </w:t>
      </w:r>
      <w:r>
        <w:rPr>
          <w:sz w:val="22"/>
        </w:rPr>
        <w:t>was</w:t>
      </w:r>
      <w:r>
        <w:rPr>
          <w:spacing w:val="-21"/>
          <w:sz w:val="22"/>
        </w:rPr>
        <w:t> </w:t>
      </w:r>
      <w:r>
        <w:rPr>
          <w:sz w:val="22"/>
        </w:rPr>
        <w:t>lower</w:t>
      </w:r>
      <w:r>
        <w:rPr>
          <w:spacing w:val="-22"/>
          <w:sz w:val="22"/>
        </w:rPr>
        <w:t> </w:t>
      </w:r>
      <w:r>
        <w:rPr>
          <w:sz w:val="22"/>
        </w:rPr>
        <w:t>than</w:t>
      </w:r>
      <w:r>
        <w:rPr>
          <w:spacing w:val="-21"/>
          <w:sz w:val="22"/>
        </w:rPr>
        <w:t> </w:t>
      </w:r>
      <w:r>
        <w:rPr>
          <w:sz w:val="22"/>
        </w:rPr>
        <w:t>estimate due to deteriorating economic</w:t>
      </w:r>
      <w:r>
        <w:rPr>
          <w:spacing w:val="-7"/>
          <w:sz w:val="22"/>
        </w:rPr>
        <w:t> </w:t>
      </w:r>
      <w:r>
        <w:rPr>
          <w:sz w:val="22"/>
        </w:rPr>
        <w:t>conditions.</w:t>
      </w:r>
    </w:p>
    <w:p>
      <w:pPr>
        <w:pStyle w:val="ListParagraph"/>
        <w:numPr>
          <w:ilvl w:val="0"/>
          <w:numId w:val="23"/>
        </w:numPr>
        <w:tabs>
          <w:tab w:pos="1010" w:val="left" w:leader="none"/>
        </w:tabs>
        <w:spacing w:line="249" w:lineRule="auto" w:before="2" w:after="0"/>
        <w:ind w:left="1010" w:right="160" w:hanging="245"/>
        <w:jc w:val="both"/>
        <w:rPr>
          <w:sz w:val="22"/>
        </w:rPr>
      </w:pPr>
      <w:r>
        <w:rPr>
          <w:sz w:val="22"/>
        </w:rPr>
        <w:t>Capital</w:t>
      </w:r>
      <w:r>
        <w:rPr>
          <w:spacing w:val="-17"/>
          <w:sz w:val="22"/>
        </w:rPr>
        <w:t> </w:t>
      </w:r>
      <w:r>
        <w:rPr>
          <w:sz w:val="22"/>
        </w:rPr>
        <w:t>works</w:t>
      </w:r>
      <w:r>
        <w:rPr>
          <w:spacing w:val="-16"/>
          <w:sz w:val="22"/>
        </w:rPr>
        <w:t> </w:t>
      </w:r>
      <w:r>
        <w:rPr>
          <w:sz w:val="22"/>
        </w:rPr>
        <w:t>for</w:t>
      </w:r>
      <w:r>
        <w:rPr>
          <w:spacing w:val="-17"/>
          <w:sz w:val="22"/>
        </w:rPr>
        <w:t> </w:t>
      </w:r>
      <w:r>
        <w:rPr>
          <w:sz w:val="22"/>
        </w:rPr>
        <w:t>2017</w:t>
      </w:r>
      <w:r>
        <w:rPr>
          <w:spacing w:val="-16"/>
          <w:sz w:val="22"/>
        </w:rPr>
        <w:t> </w:t>
      </w:r>
      <w:r>
        <w:rPr>
          <w:sz w:val="22"/>
        </w:rPr>
        <w:t>managed</w:t>
      </w:r>
      <w:r>
        <w:rPr>
          <w:spacing w:val="-16"/>
          <w:sz w:val="22"/>
        </w:rPr>
        <w:t> </w:t>
      </w:r>
      <w:r>
        <w:rPr>
          <w:sz w:val="22"/>
        </w:rPr>
        <w:t>by</w:t>
      </w:r>
      <w:r>
        <w:rPr>
          <w:spacing w:val="-17"/>
          <w:sz w:val="22"/>
        </w:rPr>
        <w:t> </w:t>
      </w:r>
      <w:r>
        <w:rPr>
          <w:sz w:val="22"/>
        </w:rPr>
        <w:t>Building</w:t>
      </w:r>
      <w:r>
        <w:rPr>
          <w:spacing w:val="-16"/>
          <w:sz w:val="22"/>
        </w:rPr>
        <w:t> </w:t>
      </w:r>
      <w:r>
        <w:rPr>
          <w:sz w:val="22"/>
        </w:rPr>
        <w:t>Management</w:t>
      </w:r>
      <w:r>
        <w:rPr>
          <w:spacing w:val="-16"/>
          <w:sz w:val="22"/>
        </w:rPr>
        <w:t> </w:t>
      </w:r>
      <w:r>
        <w:rPr>
          <w:sz w:val="22"/>
        </w:rPr>
        <w:t>and</w:t>
      </w:r>
      <w:r>
        <w:rPr>
          <w:spacing w:val="-17"/>
          <w:sz w:val="22"/>
        </w:rPr>
        <w:t> </w:t>
      </w:r>
      <w:r>
        <w:rPr>
          <w:sz w:val="22"/>
        </w:rPr>
        <w:t>Works</w:t>
      </w:r>
      <w:r>
        <w:rPr>
          <w:spacing w:val="-16"/>
          <w:sz w:val="22"/>
        </w:rPr>
        <w:t> </w:t>
      </w:r>
      <w:r>
        <w:rPr>
          <w:spacing w:val="-8"/>
          <w:sz w:val="22"/>
        </w:rPr>
        <w:t>on </w:t>
      </w:r>
      <w:r>
        <w:rPr>
          <w:sz w:val="22"/>
        </w:rPr>
        <w:t>behalf</w:t>
      </w:r>
      <w:r>
        <w:rPr>
          <w:spacing w:val="-25"/>
          <w:sz w:val="22"/>
        </w:rPr>
        <w:t> </w:t>
      </w:r>
      <w:r>
        <w:rPr>
          <w:sz w:val="22"/>
        </w:rPr>
        <w:t>of</w:t>
      </w:r>
      <w:r>
        <w:rPr>
          <w:spacing w:val="-25"/>
          <w:sz w:val="22"/>
        </w:rPr>
        <w:t> </w:t>
      </w:r>
      <w:r>
        <w:rPr>
          <w:sz w:val="22"/>
        </w:rPr>
        <w:t>Government</w:t>
      </w:r>
      <w:r>
        <w:rPr>
          <w:spacing w:val="-24"/>
          <w:sz w:val="22"/>
        </w:rPr>
        <w:t> </w:t>
      </w:r>
      <w:r>
        <w:rPr>
          <w:sz w:val="22"/>
        </w:rPr>
        <w:t>agencies</w:t>
      </w:r>
      <w:r>
        <w:rPr>
          <w:spacing w:val="-25"/>
          <w:sz w:val="22"/>
        </w:rPr>
        <w:t> </w:t>
      </w:r>
      <w:r>
        <w:rPr>
          <w:sz w:val="22"/>
        </w:rPr>
        <w:t>was</w:t>
      </w:r>
      <w:r>
        <w:rPr>
          <w:spacing w:val="-24"/>
          <w:sz w:val="22"/>
        </w:rPr>
        <w:t> </w:t>
      </w:r>
      <w:r>
        <w:rPr>
          <w:sz w:val="22"/>
        </w:rPr>
        <w:t>lower</w:t>
      </w:r>
      <w:r>
        <w:rPr>
          <w:spacing w:val="-25"/>
          <w:sz w:val="22"/>
        </w:rPr>
        <w:t> </w:t>
      </w:r>
      <w:r>
        <w:rPr>
          <w:sz w:val="22"/>
        </w:rPr>
        <w:t>resulting</w:t>
      </w:r>
      <w:r>
        <w:rPr>
          <w:spacing w:val="-25"/>
          <w:sz w:val="22"/>
        </w:rPr>
        <w:t> </w:t>
      </w:r>
      <w:r>
        <w:rPr>
          <w:sz w:val="22"/>
        </w:rPr>
        <w:t>in</w:t>
      </w:r>
      <w:r>
        <w:rPr>
          <w:spacing w:val="-24"/>
          <w:sz w:val="22"/>
        </w:rPr>
        <w:t> </w:t>
      </w:r>
      <w:r>
        <w:rPr>
          <w:sz w:val="22"/>
        </w:rPr>
        <w:t>lower</w:t>
      </w:r>
      <w:r>
        <w:rPr>
          <w:spacing w:val="-25"/>
          <w:sz w:val="22"/>
        </w:rPr>
        <w:t> </w:t>
      </w:r>
      <w:r>
        <w:rPr>
          <w:sz w:val="22"/>
        </w:rPr>
        <w:t>recoveries</w:t>
      </w:r>
      <w:r>
        <w:rPr>
          <w:spacing w:val="-24"/>
          <w:sz w:val="22"/>
        </w:rPr>
        <w:t> </w:t>
      </w:r>
      <w:r>
        <w:rPr>
          <w:sz w:val="22"/>
        </w:rPr>
        <w:t>of costs from</w:t>
      </w:r>
      <w:r>
        <w:rPr>
          <w:spacing w:val="-2"/>
          <w:sz w:val="22"/>
        </w:rPr>
        <w:t> </w:t>
      </w:r>
      <w:r>
        <w:rPr>
          <w:sz w:val="22"/>
        </w:rPr>
        <w:t>agencies.</w:t>
      </w:r>
    </w:p>
    <w:p>
      <w:pPr>
        <w:pStyle w:val="ListParagraph"/>
        <w:numPr>
          <w:ilvl w:val="0"/>
          <w:numId w:val="23"/>
        </w:numPr>
        <w:tabs>
          <w:tab w:pos="1010" w:val="left" w:leader="none"/>
        </w:tabs>
        <w:spacing w:line="249" w:lineRule="auto" w:before="3" w:after="0"/>
        <w:ind w:left="1010" w:right="364" w:hanging="245"/>
        <w:jc w:val="left"/>
        <w:rPr>
          <w:sz w:val="22"/>
        </w:rPr>
      </w:pPr>
      <w:r>
        <w:rPr>
          <w:sz w:val="22"/>
        </w:rPr>
        <w:t>The estimate reflects a reduction in capital projects mainly due to the completion</w:t>
      </w:r>
      <w:r>
        <w:rPr>
          <w:spacing w:val="-16"/>
          <w:sz w:val="22"/>
        </w:rPr>
        <w:t> </w:t>
      </w:r>
      <w:r>
        <w:rPr>
          <w:sz w:val="22"/>
        </w:rPr>
        <w:t>of</w:t>
      </w:r>
      <w:r>
        <w:rPr>
          <w:spacing w:val="-16"/>
          <w:sz w:val="22"/>
        </w:rPr>
        <w:t> </w:t>
      </w:r>
      <w:r>
        <w:rPr>
          <w:sz w:val="22"/>
        </w:rPr>
        <w:t>the</w:t>
      </w:r>
      <w:r>
        <w:rPr>
          <w:spacing w:val="-16"/>
          <w:sz w:val="22"/>
        </w:rPr>
        <w:t> </w:t>
      </w:r>
      <w:r>
        <w:rPr>
          <w:sz w:val="22"/>
        </w:rPr>
        <w:t>David</w:t>
      </w:r>
      <w:r>
        <w:rPr>
          <w:spacing w:val="-15"/>
          <w:sz w:val="22"/>
        </w:rPr>
        <w:t> </w:t>
      </w:r>
      <w:r>
        <w:rPr>
          <w:sz w:val="22"/>
        </w:rPr>
        <w:t>Malcolm</w:t>
      </w:r>
      <w:r>
        <w:rPr>
          <w:spacing w:val="-16"/>
          <w:sz w:val="22"/>
        </w:rPr>
        <w:t> </w:t>
      </w:r>
      <w:r>
        <w:rPr>
          <w:sz w:val="22"/>
        </w:rPr>
        <w:t>Justice</w:t>
      </w:r>
      <w:r>
        <w:rPr>
          <w:spacing w:val="-16"/>
          <w:sz w:val="22"/>
        </w:rPr>
        <w:t> </w:t>
      </w:r>
      <w:r>
        <w:rPr>
          <w:sz w:val="22"/>
        </w:rPr>
        <w:t>Centre</w:t>
      </w:r>
      <w:r>
        <w:rPr>
          <w:spacing w:val="-16"/>
          <w:sz w:val="22"/>
        </w:rPr>
        <w:t> </w:t>
      </w:r>
      <w:r>
        <w:rPr>
          <w:sz w:val="22"/>
        </w:rPr>
        <w:t>which</w:t>
      </w:r>
      <w:r>
        <w:rPr>
          <w:spacing w:val="-15"/>
          <w:sz w:val="22"/>
        </w:rPr>
        <w:t> </w:t>
      </w:r>
      <w:r>
        <w:rPr>
          <w:sz w:val="22"/>
        </w:rPr>
        <w:t>moved</w:t>
      </w:r>
      <w:r>
        <w:rPr>
          <w:spacing w:val="-16"/>
          <w:sz w:val="22"/>
        </w:rPr>
        <w:t> </w:t>
      </w:r>
      <w:r>
        <w:rPr>
          <w:sz w:val="22"/>
        </w:rPr>
        <w:t>from</w:t>
      </w:r>
      <w:r>
        <w:rPr>
          <w:spacing w:val="-16"/>
          <w:sz w:val="22"/>
        </w:rPr>
        <w:t> </w:t>
      </w:r>
      <w:r>
        <w:rPr>
          <w:spacing w:val="-6"/>
          <w:sz w:val="22"/>
        </w:rPr>
        <w:t>the </w:t>
      </w:r>
      <w:r>
        <w:rPr>
          <w:sz w:val="22"/>
        </w:rPr>
        <w:t>build phase in 2015-16 to occupancy in</w:t>
      </w:r>
      <w:r>
        <w:rPr>
          <w:spacing w:val="-9"/>
          <w:sz w:val="22"/>
        </w:rPr>
        <w:t> </w:t>
      </w:r>
      <w:r>
        <w:rPr>
          <w:sz w:val="22"/>
        </w:rPr>
        <w:t>2016-17.</w:t>
      </w:r>
    </w:p>
    <w:p>
      <w:pPr>
        <w:pStyle w:val="ListParagraph"/>
        <w:numPr>
          <w:ilvl w:val="0"/>
          <w:numId w:val="23"/>
        </w:numPr>
        <w:tabs>
          <w:tab w:pos="1010" w:val="left" w:leader="none"/>
        </w:tabs>
        <w:spacing w:line="249" w:lineRule="auto" w:before="3" w:after="0"/>
        <w:ind w:left="1010" w:right="94" w:hanging="245"/>
        <w:jc w:val="left"/>
        <w:rPr>
          <w:sz w:val="22"/>
        </w:rPr>
      </w:pPr>
      <w:r>
        <w:rPr>
          <w:sz w:val="22"/>
        </w:rPr>
        <w:t>The</w:t>
      </w:r>
      <w:r>
        <w:rPr>
          <w:spacing w:val="-23"/>
          <w:sz w:val="22"/>
        </w:rPr>
        <w:t> </w:t>
      </w:r>
      <w:r>
        <w:rPr>
          <w:sz w:val="22"/>
        </w:rPr>
        <w:t>increase</w:t>
      </w:r>
      <w:r>
        <w:rPr>
          <w:spacing w:val="-23"/>
          <w:sz w:val="22"/>
        </w:rPr>
        <w:t> </w:t>
      </w:r>
      <w:r>
        <w:rPr>
          <w:sz w:val="22"/>
        </w:rPr>
        <w:t>in</w:t>
      </w:r>
      <w:r>
        <w:rPr>
          <w:spacing w:val="-22"/>
          <w:sz w:val="22"/>
        </w:rPr>
        <w:t> </w:t>
      </w:r>
      <w:r>
        <w:rPr>
          <w:sz w:val="22"/>
        </w:rPr>
        <w:t>2017</w:t>
      </w:r>
      <w:r>
        <w:rPr>
          <w:spacing w:val="-23"/>
          <w:sz w:val="22"/>
        </w:rPr>
        <w:t> </w:t>
      </w:r>
      <w:r>
        <w:rPr>
          <w:sz w:val="22"/>
        </w:rPr>
        <w:t>reflects</w:t>
      </w:r>
      <w:r>
        <w:rPr>
          <w:spacing w:val="-22"/>
          <w:sz w:val="22"/>
        </w:rPr>
        <w:t> </w:t>
      </w:r>
      <w:r>
        <w:rPr>
          <w:sz w:val="22"/>
        </w:rPr>
        <w:t>the</w:t>
      </w:r>
      <w:r>
        <w:rPr>
          <w:spacing w:val="-23"/>
          <w:sz w:val="22"/>
        </w:rPr>
        <w:t> </w:t>
      </w:r>
      <w:r>
        <w:rPr>
          <w:sz w:val="22"/>
        </w:rPr>
        <w:t>sale</w:t>
      </w:r>
      <w:r>
        <w:rPr>
          <w:spacing w:val="-22"/>
          <w:sz w:val="22"/>
        </w:rPr>
        <w:t> </w:t>
      </w:r>
      <w:r>
        <w:rPr>
          <w:sz w:val="22"/>
        </w:rPr>
        <w:t>of</w:t>
      </w:r>
      <w:r>
        <w:rPr>
          <w:spacing w:val="-23"/>
          <w:sz w:val="22"/>
        </w:rPr>
        <w:t> </w:t>
      </w:r>
      <w:r>
        <w:rPr>
          <w:sz w:val="22"/>
        </w:rPr>
        <w:t>vehicles</w:t>
      </w:r>
      <w:r>
        <w:rPr>
          <w:spacing w:val="-22"/>
          <w:sz w:val="22"/>
        </w:rPr>
        <w:t> </w:t>
      </w:r>
      <w:r>
        <w:rPr>
          <w:sz w:val="22"/>
        </w:rPr>
        <w:t>to</w:t>
      </w:r>
      <w:r>
        <w:rPr>
          <w:spacing w:val="-23"/>
          <w:sz w:val="22"/>
        </w:rPr>
        <w:t> </w:t>
      </w:r>
      <w:r>
        <w:rPr>
          <w:sz w:val="22"/>
        </w:rPr>
        <w:t>the</w:t>
      </w:r>
      <w:r>
        <w:rPr>
          <w:spacing w:val="-22"/>
          <w:sz w:val="22"/>
        </w:rPr>
        <w:t> </w:t>
      </w:r>
      <w:r>
        <w:rPr>
          <w:sz w:val="22"/>
        </w:rPr>
        <w:t>Water</w:t>
      </w:r>
      <w:r>
        <w:rPr>
          <w:spacing w:val="-23"/>
          <w:sz w:val="22"/>
        </w:rPr>
        <w:t> </w:t>
      </w:r>
      <w:r>
        <w:rPr>
          <w:sz w:val="22"/>
        </w:rPr>
        <w:t>Corporation as</w:t>
      </w:r>
      <w:r>
        <w:rPr>
          <w:spacing w:val="-9"/>
          <w:sz w:val="22"/>
        </w:rPr>
        <w:t> </w:t>
      </w:r>
      <w:r>
        <w:rPr>
          <w:sz w:val="22"/>
        </w:rPr>
        <w:t>a</w:t>
      </w:r>
      <w:r>
        <w:rPr>
          <w:spacing w:val="-9"/>
          <w:sz w:val="22"/>
        </w:rPr>
        <w:t> </w:t>
      </w:r>
      <w:r>
        <w:rPr>
          <w:sz w:val="22"/>
        </w:rPr>
        <w:t>result</w:t>
      </w:r>
      <w:r>
        <w:rPr>
          <w:spacing w:val="-9"/>
          <w:sz w:val="22"/>
        </w:rPr>
        <w:t> </w:t>
      </w:r>
      <w:r>
        <w:rPr>
          <w:sz w:val="22"/>
        </w:rPr>
        <w:t>of</w:t>
      </w:r>
      <w:r>
        <w:rPr>
          <w:spacing w:val="-8"/>
          <w:sz w:val="22"/>
        </w:rPr>
        <w:t> </w:t>
      </w:r>
      <w:r>
        <w:rPr>
          <w:sz w:val="22"/>
        </w:rPr>
        <w:t>its</w:t>
      </w:r>
      <w:r>
        <w:rPr>
          <w:spacing w:val="-9"/>
          <w:sz w:val="22"/>
        </w:rPr>
        <w:t> </w:t>
      </w:r>
      <w:r>
        <w:rPr>
          <w:sz w:val="22"/>
        </w:rPr>
        <w:t>exit</w:t>
      </w:r>
      <w:r>
        <w:rPr>
          <w:spacing w:val="-9"/>
          <w:sz w:val="22"/>
        </w:rPr>
        <w:t> </w:t>
      </w:r>
      <w:r>
        <w:rPr>
          <w:sz w:val="22"/>
        </w:rPr>
        <w:t>from</w:t>
      </w:r>
      <w:r>
        <w:rPr>
          <w:spacing w:val="-8"/>
          <w:sz w:val="22"/>
        </w:rPr>
        <w:t> </w:t>
      </w:r>
      <w:r>
        <w:rPr>
          <w:sz w:val="22"/>
        </w:rPr>
        <w:t>the</w:t>
      </w:r>
      <w:r>
        <w:rPr>
          <w:spacing w:val="-9"/>
          <w:sz w:val="22"/>
        </w:rPr>
        <w:t> </w:t>
      </w:r>
      <w:r>
        <w:rPr>
          <w:sz w:val="22"/>
        </w:rPr>
        <w:t>State</w:t>
      </w:r>
      <w:r>
        <w:rPr>
          <w:spacing w:val="-9"/>
          <w:sz w:val="22"/>
        </w:rPr>
        <w:t> </w:t>
      </w:r>
      <w:r>
        <w:rPr>
          <w:sz w:val="22"/>
        </w:rPr>
        <w:t>Fleet</w:t>
      </w:r>
      <w:r>
        <w:rPr>
          <w:spacing w:val="-8"/>
          <w:sz w:val="22"/>
        </w:rPr>
        <w:t> </w:t>
      </w:r>
      <w:r>
        <w:rPr>
          <w:sz w:val="22"/>
        </w:rPr>
        <w:t>leasing</w:t>
      </w:r>
      <w:r>
        <w:rPr>
          <w:spacing w:val="-9"/>
          <w:sz w:val="22"/>
        </w:rPr>
        <w:t> </w:t>
      </w:r>
      <w:r>
        <w:rPr>
          <w:sz w:val="22"/>
        </w:rPr>
        <w:t>arrangements.</w:t>
      </w:r>
    </w:p>
    <w:p>
      <w:pPr>
        <w:spacing w:before="103"/>
        <w:ind w:left="519" w:right="0" w:firstLine="0"/>
        <w:jc w:val="left"/>
        <w:rPr>
          <w:i/>
          <w:sz w:val="22"/>
        </w:rPr>
      </w:pPr>
      <w:r>
        <w:rPr/>
        <w:br w:type="column"/>
      </w:r>
      <w:r>
        <w:rPr>
          <w:i/>
          <w:color w:val="6F2770"/>
          <w:sz w:val="22"/>
        </w:rPr>
        <w:t>Major Actual (2017) and Comparative (2016) Variance Narratives</w:t>
      </w:r>
    </w:p>
    <w:p>
      <w:pPr>
        <w:pStyle w:val="ListParagraph"/>
        <w:numPr>
          <w:ilvl w:val="0"/>
          <w:numId w:val="24"/>
        </w:numPr>
        <w:tabs>
          <w:tab w:pos="764" w:val="left" w:leader="none"/>
        </w:tabs>
        <w:spacing w:line="249" w:lineRule="auto" w:before="11" w:after="0"/>
        <w:ind w:left="763" w:right="1227" w:hanging="244"/>
        <w:jc w:val="left"/>
        <w:rPr>
          <w:sz w:val="22"/>
        </w:rPr>
      </w:pPr>
      <w:r>
        <w:rPr>
          <w:sz w:val="22"/>
        </w:rPr>
        <w:t>Appropriations</w:t>
      </w:r>
      <w:r>
        <w:rPr>
          <w:spacing w:val="-24"/>
          <w:sz w:val="22"/>
        </w:rPr>
        <w:t> </w:t>
      </w:r>
      <w:r>
        <w:rPr>
          <w:sz w:val="22"/>
        </w:rPr>
        <w:t>from</w:t>
      </w:r>
      <w:r>
        <w:rPr>
          <w:spacing w:val="-24"/>
          <w:sz w:val="22"/>
        </w:rPr>
        <w:t> </w:t>
      </w:r>
      <w:r>
        <w:rPr>
          <w:sz w:val="22"/>
        </w:rPr>
        <w:t>Government</w:t>
      </w:r>
      <w:r>
        <w:rPr>
          <w:spacing w:val="-23"/>
          <w:sz w:val="22"/>
        </w:rPr>
        <w:t> </w:t>
      </w:r>
      <w:r>
        <w:rPr>
          <w:sz w:val="22"/>
        </w:rPr>
        <w:t>have</w:t>
      </w:r>
      <w:r>
        <w:rPr>
          <w:spacing w:val="-24"/>
          <w:sz w:val="22"/>
        </w:rPr>
        <w:t> </w:t>
      </w:r>
      <w:r>
        <w:rPr>
          <w:sz w:val="22"/>
        </w:rPr>
        <w:t>reduced</w:t>
      </w:r>
      <w:r>
        <w:rPr>
          <w:spacing w:val="-23"/>
          <w:sz w:val="22"/>
        </w:rPr>
        <w:t> </w:t>
      </w:r>
      <w:r>
        <w:rPr>
          <w:sz w:val="22"/>
        </w:rPr>
        <w:t>primarily</w:t>
      </w:r>
      <w:r>
        <w:rPr>
          <w:spacing w:val="-24"/>
          <w:sz w:val="22"/>
        </w:rPr>
        <w:t> </w:t>
      </w:r>
      <w:r>
        <w:rPr>
          <w:sz w:val="22"/>
        </w:rPr>
        <w:t>due</w:t>
      </w:r>
      <w:r>
        <w:rPr>
          <w:spacing w:val="-23"/>
          <w:sz w:val="22"/>
        </w:rPr>
        <w:t> </w:t>
      </w:r>
      <w:r>
        <w:rPr>
          <w:sz w:val="22"/>
        </w:rPr>
        <w:t>to</w:t>
      </w:r>
      <w:r>
        <w:rPr>
          <w:spacing w:val="-24"/>
          <w:sz w:val="22"/>
        </w:rPr>
        <w:t> </w:t>
      </w:r>
      <w:r>
        <w:rPr>
          <w:spacing w:val="-3"/>
          <w:sz w:val="22"/>
        </w:rPr>
        <w:t>funding </w:t>
      </w:r>
      <w:r>
        <w:rPr>
          <w:sz w:val="22"/>
        </w:rPr>
        <w:t>variations</w:t>
      </w:r>
      <w:r>
        <w:rPr>
          <w:spacing w:val="-23"/>
          <w:sz w:val="22"/>
        </w:rPr>
        <w:t> </w:t>
      </w:r>
      <w:r>
        <w:rPr>
          <w:sz w:val="22"/>
        </w:rPr>
        <w:t>for</w:t>
      </w:r>
      <w:r>
        <w:rPr>
          <w:spacing w:val="-22"/>
          <w:sz w:val="22"/>
        </w:rPr>
        <w:t> </w:t>
      </w:r>
      <w:r>
        <w:rPr>
          <w:sz w:val="22"/>
        </w:rPr>
        <w:t>the</w:t>
      </w:r>
      <w:r>
        <w:rPr>
          <w:spacing w:val="-23"/>
          <w:sz w:val="22"/>
        </w:rPr>
        <w:t> </w:t>
      </w:r>
      <w:r>
        <w:rPr>
          <w:sz w:val="22"/>
        </w:rPr>
        <w:t>Electricity</w:t>
      </w:r>
      <w:r>
        <w:rPr>
          <w:spacing w:val="-22"/>
          <w:sz w:val="22"/>
        </w:rPr>
        <w:t> </w:t>
      </w:r>
      <w:r>
        <w:rPr>
          <w:sz w:val="22"/>
        </w:rPr>
        <w:t>Market</w:t>
      </w:r>
      <w:r>
        <w:rPr>
          <w:spacing w:val="-23"/>
          <w:sz w:val="22"/>
        </w:rPr>
        <w:t> </w:t>
      </w:r>
      <w:r>
        <w:rPr>
          <w:sz w:val="22"/>
        </w:rPr>
        <w:t>Review,</w:t>
      </w:r>
      <w:r>
        <w:rPr>
          <w:spacing w:val="-22"/>
          <w:sz w:val="22"/>
        </w:rPr>
        <w:t> </w:t>
      </w:r>
      <w:r>
        <w:rPr>
          <w:sz w:val="22"/>
        </w:rPr>
        <w:t>devolution</w:t>
      </w:r>
      <w:r>
        <w:rPr>
          <w:spacing w:val="-23"/>
          <w:sz w:val="22"/>
        </w:rPr>
        <w:t> </w:t>
      </w:r>
      <w:r>
        <w:rPr>
          <w:sz w:val="22"/>
        </w:rPr>
        <w:t>of</w:t>
      </w:r>
      <w:r>
        <w:rPr>
          <w:spacing w:val="-22"/>
          <w:sz w:val="22"/>
        </w:rPr>
        <w:t> </w:t>
      </w:r>
      <w:r>
        <w:rPr>
          <w:sz w:val="22"/>
        </w:rPr>
        <w:t>Government Procurement</w:t>
      </w:r>
      <w:r>
        <w:rPr>
          <w:spacing w:val="-12"/>
          <w:sz w:val="22"/>
        </w:rPr>
        <w:t> </w:t>
      </w:r>
      <w:r>
        <w:rPr>
          <w:sz w:val="22"/>
        </w:rPr>
        <w:t>staff</w:t>
      </w:r>
      <w:r>
        <w:rPr>
          <w:spacing w:val="-12"/>
          <w:sz w:val="22"/>
        </w:rPr>
        <w:t> </w:t>
      </w:r>
      <w:r>
        <w:rPr>
          <w:sz w:val="22"/>
        </w:rPr>
        <w:t>and</w:t>
      </w:r>
      <w:r>
        <w:rPr>
          <w:spacing w:val="-11"/>
          <w:sz w:val="22"/>
        </w:rPr>
        <w:t> </w:t>
      </w:r>
      <w:r>
        <w:rPr>
          <w:sz w:val="22"/>
        </w:rPr>
        <w:t>building</w:t>
      </w:r>
      <w:r>
        <w:rPr>
          <w:spacing w:val="-12"/>
          <w:sz w:val="22"/>
        </w:rPr>
        <w:t> </w:t>
      </w:r>
      <w:r>
        <w:rPr>
          <w:sz w:val="22"/>
        </w:rPr>
        <w:t>maintenance</w:t>
      </w:r>
      <w:r>
        <w:rPr>
          <w:spacing w:val="-11"/>
          <w:sz w:val="22"/>
        </w:rPr>
        <w:t> </w:t>
      </w:r>
      <w:r>
        <w:rPr>
          <w:sz w:val="22"/>
        </w:rPr>
        <w:t>funding</w:t>
      </w:r>
      <w:r>
        <w:rPr>
          <w:spacing w:val="-12"/>
          <w:sz w:val="22"/>
        </w:rPr>
        <w:t> </w:t>
      </w:r>
      <w:r>
        <w:rPr>
          <w:sz w:val="22"/>
        </w:rPr>
        <w:t>to</w:t>
      </w:r>
      <w:r>
        <w:rPr>
          <w:spacing w:val="-12"/>
          <w:sz w:val="22"/>
        </w:rPr>
        <w:t> </w:t>
      </w:r>
      <w:r>
        <w:rPr>
          <w:sz w:val="22"/>
        </w:rPr>
        <w:t>agencies.</w:t>
      </w:r>
    </w:p>
    <w:p>
      <w:pPr>
        <w:pStyle w:val="ListParagraph"/>
        <w:numPr>
          <w:ilvl w:val="0"/>
          <w:numId w:val="24"/>
        </w:numPr>
        <w:tabs>
          <w:tab w:pos="764" w:val="left" w:leader="none"/>
        </w:tabs>
        <w:spacing w:line="249" w:lineRule="auto" w:before="3" w:after="0"/>
        <w:ind w:left="763" w:right="1171" w:hanging="244"/>
        <w:jc w:val="left"/>
        <w:rPr>
          <w:sz w:val="22"/>
        </w:rPr>
      </w:pPr>
      <w:r>
        <w:rPr>
          <w:sz w:val="22"/>
        </w:rPr>
        <w:t>The</w:t>
      </w:r>
      <w:r>
        <w:rPr>
          <w:spacing w:val="-20"/>
          <w:sz w:val="22"/>
        </w:rPr>
        <w:t> </w:t>
      </w:r>
      <w:r>
        <w:rPr>
          <w:sz w:val="22"/>
        </w:rPr>
        <w:t>reduction</w:t>
      </w:r>
      <w:r>
        <w:rPr>
          <w:spacing w:val="-19"/>
          <w:sz w:val="22"/>
        </w:rPr>
        <w:t> </w:t>
      </w:r>
      <w:r>
        <w:rPr>
          <w:sz w:val="22"/>
        </w:rPr>
        <w:t>in</w:t>
      </w:r>
      <w:r>
        <w:rPr>
          <w:spacing w:val="-20"/>
          <w:sz w:val="22"/>
        </w:rPr>
        <w:t> </w:t>
      </w:r>
      <w:r>
        <w:rPr>
          <w:sz w:val="22"/>
        </w:rPr>
        <w:t>capital</w:t>
      </w:r>
      <w:r>
        <w:rPr>
          <w:spacing w:val="-19"/>
          <w:sz w:val="22"/>
        </w:rPr>
        <w:t> </w:t>
      </w:r>
      <w:r>
        <w:rPr>
          <w:sz w:val="22"/>
        </w:rPr>
        <w:t>appropriations</w:t>
      </w:r>
      <w:r>
        <w:rPr>
          <w:spacing w:val="-20"/>
          <w:sz w:val="22"/>
        </w:rPr>
        <w:t> </w:t>
      </w:r>
      <w:r>
        <w:rPr>
          <w:sz w:val="22"/>
        </w:rPr>
        <w:t>reflects</w:t>
      </w:r>
      <w:r>
        <w:rPr>
          <w:spacing w:val="-19"/>
          <w:sz w:val="22"/>
        </w:rPr>
        <w:t> </w:t>
      </w:r>
      <w:r>
        <w:rPr>
          <w:sz w:val="22"/>
        </w:rPr>
        <w:t>the</w:t>
      </w:r>
      <w:r>
        <w:rPr>
          <w:spacing w:val="-20"/>
          <w:sz w:val="22"/>
        </w:rPr>
        <w:t> </w:t>
      </w:r>
      <w:r>
        <w:rPr>
          <w:sz w:val="22"/>
        </w:rPr>
        <w:t>movement</w:t>
      </w:r>
      <w:r>
        <w:rPr>
          <w:spacing w:val="-19"/>
          <w:sz w:val="22"/>
        </w:rPr>
        <w:t> </w:t>
      </w:r>
      <w:r>
        <w:rPr>
          <w:sz w:val="22"/>
        </w:rPr>
        <w:t>in</w:t>
      </w:r>
      <w:r>
        <w:rPr>
          <w:spacing w:val="-20"/>
          <w:sz w:val="22"/>
        </w:rPr>
        <w:t> </w:t>
      </w:r>
      <w:r>
        <w:rPr>
          <w:sz w:val="22"/>
        </w:rPr>
        <w:t>capital projects</w:t>
      </w:r>
      <w:r>
        <w:rPr>
          <w:spacing w:val="-15"/>
          <w:sz w:val="22"/>
        </w:rPr>
        <w:t> </w:t>
      </w:r>
      <w:r>
        <w:rPr>
          <w:sz w:val="22"/>
        </w:rPr>
        <w:t>with</w:t>
      </w:r>
      <w:r>
        <w:rPr>
          <w:spacing w:val="-15"/>
          <w:sz w:val="22"/>
        </w:rPr>
        <w:t> </w:t>
      </w:r>
      <w:r>
        <w:rPr>
          <w:sz w:val="22"/>
        </w:rPr>
        <w:t>the</w:t>
      </w:r>
      <w:r>
        <w:rPr>
          <w:spacing w:val="-14"/>
          <w:sz w:val="22"/>
        </w:rPr>
        <w:t> </w:t>
      </w:r>
      <w:r>
        <w:rPr>
          <w:sz w:val="22"/>
        </w:rPr>
        <w:t>majority</w:t>
      </w:r>
      <w:r>
        <w:rPr>
          <w:spacing w:val="-15"/>
          <w:sz w:val="22"/>
        </w:rPr>
        <w:t> </w:t>
      </w:r>
      <w:r>
        <w:rPr>
          <w:sz w:val="22"/>
        </w:rPr>
        <w:t>of</w:t>
      </w:r>
      <w:r>
        <w:rPr>
          <w:spacing w:val="-14"/>
          <w:sz w:val="22"/>
        </w:rPr>
        <w:t> </w:t>
      </w:r>
      <w:r>
        <w:rPr>
          <w:sz w:val="22"/>
        </w:rPr>
        <w:t>the</w:t>
      </w:r>
      <w:r>
        <w:rPr>
          <w:spacing w:val="-15"/>
          <w:sz w:val="22"/>
        </w:rPr>
        <w:t> </w:t>
      </w:r>
      <w:r>
        <w:rPr>
          <w:sz w:val="22"/>
        </w:rPr>
        <w:t>impact</w:t>
      </w:r>
      <w:r>
        <w:rPr>
          <w:spacing w:val="-14"/>
          <w:sz w:val="22"/>
        </w:rPr>
        <w:t> </w:t>
      </w:r>
      <w:r>
        <w:rPr>
          <w:sz w:val="22"/>
        </w:rPr>
        <w:t>being</w:t>
      </w:r>
      <w:r>
        <w:rPr>
          <w:spacing w:val="-15"/>
          <w:sz w:val="22"/>
        </w:rPr>
        <w:t> </w:t>
      </w:r>
      <w:r>
        <w:rPr>
          <w:sz w:val="22"/>
        </w:rPr>
        <w:t>the</w:t>
      </w:r>
      <w:r>
        <w:rPr>
          <w:spacing w:val="-14"/>
          <w:sz w:val="22"/>
        </w:rPr>
        <w:t> </w:t>
      </w:r>
      <w:r>
        <w:rPr>
          <w:sz w:val="22"/>
        </w:rPr>
        <w:t>David</w:t>
      </w:r>
      <w:r>
        <w:rPr>
          <w:spacing w:val="-15"/>
          <w:sz w:val="22"/>
        </w:rPr>
        <w:t> </w:t>
      </w:r>
      <w:r>
        <w:rPr>
          <w:sz w:val="22"/>
        </w:rPr>
        <w:t>Malcolm</w:t>
      </w:r>
      <w:r>
        <w:rPr>
          <w:spacing w:val="-14"/>
          <w:sz w:val="22"/>
        </w:rPr>
        <w:t> </w:t>
      </w:r>
      <w:r>
        <w:rPr>
          <w:spacing w:val="-3"/>
          <w:sz w:val="22"/>
        </w:rPr>
        <w:t>Justice </w:t>
      </w:r>
      <w:r>
        <w:rPr>
          <w:sz w:val="22"/>
        </w:rPr>
        <w:t>Centre which moved from the build phase in 2015-16 to occupancy in 2016-17.</w:t>
      </w:r>
    </w:p>
    <w:p>
      <w:pPr>
        <w:pStyle w:val="ListParagraph"/>
        <w:numPr>
          <w:ilvl w:val="0"/>
          <w:numId w:val="25"/>
        </w:numPr>
        <w:tabs>
          <w:tab w:pos="764" w:val="left" w:leader="none"/>
        </w:tabs>
        <w:spacing w:line="249" w:lineRule="auto" w:before="3" w:after="0"/>
        <w:ind w:left="763" w:right="876" w:hanging="244"/>
        <w:jc w:val="both"/>
        <w:rPr>
          <w:sz w:val="22"/>
        </w:rPr>
      </w:pPr>
      <w:r>
        <w:rPr>
          <w:sz w:val="22"/>
        </w:rPr>
        <w:t>The</w:t>
      </w:r>
      <w:r>
        <w:rPr>
          <w:spacing w:val="-28"/>
          <w:sz w:val="22"/>
        </w:rPr>
        <w:t> </w:t>
      </w:r>
      <w:r>
        <w:rPr>
          <w:sz w:val="22"/>
        </w:rPr>
        <w:t>higher</w:t>
      </w:r>
      <w:r>
        <w:rPr>
          <w:spacing w:val="-28"/>
          <w:sz w:val="22"/>
        </w:rPr>
        <w:t> </w:t>
      </w:r>
      <w:r>
        <w:rPr>
          <w:sz w:val="22"/>
        </w:rPr>
        <w:t>expenditure</w:t>
      </w:r>
      <w:r>
        <w:rPr>
          <w:spacing w:val="-27"/>
          <w:sz w:val="22"/>
        </w:rPr>
        <w:t> </w:t>
      </w:r>
      <w:r>
        <w:rPr>
          <w:sz w:val="22"/>
        </w:rPr>
        <w:t>in</w:t>
      </w:r>
      <w:r>
        <w:rPr>
          <w:spacing w:val="-28"/>
          <w:sz w:val="22"/>
        </w:rPr>
        <w:t> </w:t>
      </w:r>
      <w:r>
        <w:rPr>
          <w:sz w:val="22"/>
        </w:rPr>
        <w:t>2017</w:t>
      </w:r>
      <w:r>
        <w:rPr>
          <w:spacing w:val="-27"/>
          <w:sz w:val="22"/>
        </w:rPr>
        <w:t> </w:t>
      </w:r>
      <w:r>
        <w:rPr>
          <w:sz w:val="22"/>
        </w:rPr>
        <w:t>reflects</w:t>
      </w:r>
      <w:r>
        <w:rPr>
          <w:spacing w:val="-28"/>
          <w:sz w:val="22"/>
        </w:rPr>
        <w:t> </w:t>
      </w:r>
      <w:r>
        <w:rPr>
          <w:sz w:val="22"/>
        </w:rPr>
        <w:t>the</w:t>
      </w:r>
      <w:r>
        <w:rPr>
          <w:spacing w:val="-28"/>
          <w:sz w:val="22"/>
        </w:rPr>
        <w:t> </w:t>
      </w:r>
      <w:r>
        <w:rPr>
          <w:sz w:val="22"/>
        </w:rPr>
        <w:t>increased</w:t>
      </w:r>
      <w:r>
        <w:rPr>
          <w:spacing w:val="-27"/>
          <w:sz w:val="22"/>
        </w:rPr>
        <w:t> </w:t>
      </w:r>
      <w:r>
        <w:rPr>
          <w:sz w:val="22"/>
        </w:rPr>
        <w:t>agency</w:t>
      </w:r>
      <w:r>
        <w:rPr>
          <w:spacing w:val="-28"/>
          <w:sz w:val="22"/>
        </w:rPr>
        <w:t> </w:t>
      </w:r>
      <w:r>
        <w:rPr>
          <w:sz w:val="22"/>
        </w:rPr>
        <w:t>requirements for</w:t>
      </w:r>
      <w:r>
        <w:rPr>
          <w:spacing w:val="-21"/>
          <w:sz w:val="22"/>
        </w:rPr>
        <w:t> </w:t>
      </w:r>
      <w:r>
        <w:rPr>
          <w:sz w:val="22"/>
        </w:rPr>
        <w:t>services</w:t>
      </w:r>
      <w:r>
        <w:rPr>
          <w:spacing w:val="-21"/>
          <w:sz w:val="22"/>
        </w:rPr>
        <w:t> </w:t>
      </w:r>
      <w:r>
        <w:rPr>
          <w:sz w:val="22"/>
        </w:rPr>
        <w:t>primarily</w:t>
      </w:r>
      <w:r>
        <w:rPr>
          <w:spacing w:val="-21"/>
          <w:sz w:val="22"/>
        </w:rPr>
        <w:t> </w:t>
      </w:r>
      <w:r>
        <w:rPr>
          <w:sz w:val="22"/>
        </w:rPr>
        <w:t>related</w:t>
      </w:r>
      <w:r>
        <w:rPr>
          <w:spacing w:val="-21"/>
          <w:sz w:val="22"/>
        </w:rPr>
        <w:t> </w:t>
      </w:r>
      <w:r>
        <w:rPr>
          <w:sz w:val="22"/>
        </w:rPr>
        <w:t>to</w:t>
      </w:r>
      <w:r>
        <w:rPr>
          <w:spacing w:val="-21"/>
          <w:sz w:val="22"/>
        </w:rPr>
        <w:t> </w:t>
      </w:r>
      <w:r>
        <w:rPr>
          <w:sz w:val="22"/>
        </w:rPr>
        <w:t>Capital</w:t>
      </w:r>
      <w:r>
        <w:rPr>
          <w:spacing w:val="-21"/>
          <w:sz w:val="22"/>
        </w:rPr>
        <w:t> </w:t>
      </w:r>
      <w:r>
        <w:rPr>
          <w:sz w:val="22"/>
        </w:rPr>
        <w:t>projects</w:t>
      </w:r>
      <w:r>
        <w:rPr>
          <w:spacing w:val="-21"/>
          <w:sz w:val="22"/>
        </w:rPr>
        <w:t> </w:t>
      </w:r>
      <w:r>
        <w:rPr>
          <w:sz w:val="22"/>
        </w:rPr>
        <w:t>managed</w:t>
      </w:r>
      <w:r>
        <w:rPr>
          <w:spacing w:val="-21"/>
          <w:sz w:val="22"/>
        </w:rPr>
        <w:t> </w:t>
      </w:r>
      <w:r>
        <w:rPr>
          <w:sz w:val="22"/>
        </w:rPr>
        <w:t>on</w:t>
      </w:r>
      <w:r>
        <w:rPr>
          <w:spacing w:val="-21"/>
          <w:sz w:val="22"/>
        </w:rPr>
        <w:t> </w:t>
      </w:r>
      <w:r>
        <w:rPr>
          <w:sz w:val="22"/>
        </w:rPr>
        <w:t>behalf</w:t>
      </w:r>
      <w:r>
        <w:rPr>
          <w:spacing w:val="-21"/>
          <w:sz w:val="22"/>
        </w:rPr>
        <w:t> </w:t>
      </w:r>
      <w:r>
        <w:rPr>
          <w:sz w:val="22"/>
        </w:rPr>
        <w:t>of</w:t>
      </w:r>
      <w:r>
        <w:rPr>
          <w:spacing w:val="-21"/>
          <w:sz w:val="22"/>
        </w:rPr>
        <w:t> </w:t>
      </w:r>
      <w:r>
        <w:rPr>
          <w:spacing w:val="-4"/>
          <w:sz w:val="22"/>
        </w:rPr>
        <w:t>other </w:t>
      </w:r>
      <w:r>
        <w:rPr>
          <w:sz w:val="22"/>
        </w:rPr>
        <w:t>agencies by Building Management and</w:t>
      </w:r>
      <w:r>
        <w:rPr>
          <w:spacing w:val="-14"/>
          <w:sz w:val="22"/>
        </w:rPr>
        <w:t> </w:t>
      </w:r>
      <w:r>
        <w:rPr>
          <w:sz w:val="22"/>
        </w:rPr>
        <w:t>Works.</w:t>
      </w:r>
    </w:p>
    <w:p>
      <w:pPr>
        <w:pStyle w:val="ListParagraph"/>
        <w:numPr>
          <w:ilvl w:val="0"/>
          <w:numId w:val="25"/>
        </w:numPr>
        <w:tabs>
          <w:tab w:pos="764" w:val="left" w:leader="none"/>
        </w:tabs>
        <w:spacing w:line="249" w:lineRule="auto" w:before="3" w:after="0"/>
        <w:ind w:left="763" w:right="803" w:hanging="244"/>
        <w:jc w:val="left"/>
        <w:rPr>
          <w:sz w:val="22"/>
        </w:rPr>
      </w:pPr>
      <w:r>
        <w:rPr>
          <w:sz w:val="22"/>
        </w:rPr>
        <w:t>The increase in 2017 is mainly due to higher recovery of costs related to Capital</w:t>
      </w:r>
      <w:r>
        <w:rPr>
          <w:spacing w:val="-20"/>
          <w:sz w:val="22"/>
        </w:rPr>
        <w:t> </w:t>
      </w:r>
      <w:r>
        <w:rPr>
          <w:sz w:val="22"/>
        </w:rPr>
        <w:t>projects</w:t>
      </w:r>
      <w:r>
        <w:rPr>
          <w:spacing w:val="-20"/>
          <w:sz w:val="22"/>
        </w:rPr>
        <w:t> </w:t>
      </w:r>
      <w:r>
        <w:rPr>
          <w:sz w:val="22"/>
        </w:rPr>
        <w:t>managed</w:t>
      </w:r>
      <w:r>
        <w:rPr>
          <w:spacing w:val="-20"/>
          <w:sz w:val="22"/>
        </w:rPr>
        <w:t> </w:t>
      </w:r>
      <w:r>
        <w:rPr>
          <w:sz w:val="22"/>
        </w:rPr>
        <w:t>by</w:t>
      </w:r>
      <w:r>
        <w:rPr>
          <w:spacing w:val="-20"/>
          <w:sz w:val="22"/>
        </w:rPr>
        <w:t> </w:t>
      </w:r>
      <w:r>
        <w:rPr>
          <w:sz w:val="22"/>
        </w:rPr>
        <w:t>Building</w:t>
      </w:r>
      <w:r>
        <w:rPr>
          <w:spacing w:val="-20"/>
          <w:sz w:val="22"/>
        </w:rPr>
        <w:t> </w:t>
      </w:r>
      <w:r>
        <w:rPr>
          <w:sz w:val="22"/>
        </w:rPr>
        <w:t>Management</w:t>
      </w:r>
      <w:r>
        <w:rPr>
          <w:spacing w:val="-20"/>
          <w:sz w:val="22"/>
        </w:rPr>
        <w:t> </w:t>
      </w:r>
      <w:r>
        <w:rPr>
          <w:sz w:val="22"/>
        </w:rPr>
        <w:t>and</w:t>
      </w:r>
      <w:r>
        <w:rPr>
          <w:spacing w:val="-20"/>
          <w:sz w:val="22"/>
        </w:rPr>
        <w:t> </w:t>
      </w:r>
      <w:r>
        <w:rPr>
          <w:sz w:val="22"/>
        </w:rPr>
        <w:t>Works,</w:t>
      </w:r>
      <w:r>
        <w:rPr>
          <w:spacing w:val="-20"/>
          <w:sz w:val="22"/>
        </w:rPr>
        <w:t> </w:t>
      </w:r>
      <w:r>
        <w:rPr>
          <w:sz w:val="22"/>
        </w:rPr>
        <w:t>on</w:t>
      </w:r>
      <w:r>
        <w:rPr>
          <w:spacing w:val="-20"/>
          <w:sz w:val="22"/>
        </w:rPr>
        <w:t> </w:t>
      </w:r>
      <w:r>
        <w:rPr>
          <w:sz w:val="22"/>
        </w:rPr>
        <w:t>behalf</w:t>
      </w:r>
      <w:r>
        <w:rPr>
          <w:spacing w:val="-20"/>
          <w:sz w:val="22"/>
        </w:rPr>
        <w:t> </w:t>
      </w:r>
      <w:r>
        <w:rPr>
          <w:spacing w:val="-8"/>
          <w:sz w:val="22"/>
        </w:rPr>
        <w:t>of </w:t>
      </w:r>
      <w:r>
        <w:rPr>
          <w:sz w:val="22"/>
        </w:rPr>
        <w:t>other</w:t>
      </w:r>
      <w:r>
        <w:rPr>
          <w:spacing w:val="-1"/>
          <w:sz w:val="22"/>
        </w:rPr>
        <w:t> </w:t>
      </w:r>
      <w:r>
        <w:rPr>
          <w:sz w:val="22"/>
        </w:rPr>
        <w:t>agencies.</w:t>
      </w:r>
    </w:p>
    <w:p>
      <w:pPr>
        <w:pStyle w:val="ListParagraph"/>
        <w:numPr>
          <w:ilvl w:val="0"/>
          <w:numId w:val="25"/>
        </w:numPr>
        <w:tabs>
          <w:tab w:pos="764" w:val="left" w:leader="none"/>
        </w:tabs>
        <w:spacing w:line="249" w:lineRule="auto" w:before="3" w:after="0"/>
        <w:ind w:left="763" w:right="1047" w:hanging="244"/>
        <w:jc w:val="left"/>
        <w:rPr>
          <w:sz w:val="22"/>
        </w:rPr>
      </w:pPr>
      <w:r>
        <w:rPr>
          <w:sz w:val="22"/>
        </w:rPr>
        <w:t>The</w:t>
      </w:r>
      <w:r>
        <w:rPr>
          <w:spacing w:val="-27"/>
          <w:sz w:val="22"/>
        </w:rPr>
        <w:t> </w:t>
      </w:r>
      <w:r>
        <w:rPr>
          <w:sz w:val="22"/>
        </w:rPr>
        <w:t>variance</w:t>
      </w:r>
      <w:r>
        <w:rPr>
          <w:spacing w:val="-26"/>
          <w:sz w:val="22"/>
        </w:rPr>
        <w:t> </w:t>
      </w:r>
      <w:r>
        <w:rPr>
          <w:sz w:val="22"/>
        </w:rPr>
        <w:t>reflects</w:t>
      </w:r>
      <w:r>
        <w:rPr>
          <w:spacing w:val="-26"/>
          <w:sz w:val="22"/>
        </w:rPr>
        <w:t> </w:t>
      </w:r>
      <w:r>
        <w:rPr>
          <w:sz w:val="22"/>
        </w:rPr>
        <w:t>a</w:t>
      </w:r>
      <w:r>
        <w:rPr>
          <w:spacing w:val="-26"/>
          <w:sz w:val="22"/>
        </w:rPr>
        <w:t> </w:t>
      </w:r>
      <w:r>
        <w:rPr>
          <w:sz w:val="22"/>
        </w:rPr>
        <w:t>reduction</w:t>
      </w:r>
      <w:r>
        <w:rPr>
          <w:spacing w:val="-26"/>
          <w:sz w:val="22"/>
        </w:rPr>
        <w:t> </w:t>
      </w:r>
      <w:r>
        <w:rPr>
          <w:sz w:val="22"/>
        </w:rPr>
        <w:t>in</w:t>
      </w:r>
      <w:r>
        <w:rPr>
          <w:spacing w:val="-26"/>
          <w:sz w:val="22"/>
        </w:rPr>
        <w:t> </w:t>
      </w:r>
      <w:r>
        <w:rPr>
          <w:sz w:val="22"/>
        </w:rPr>
        <w:t>payments</w:t>
      </w:r>
      <w:r>
        <w:rPr>
          <w:spacing w:val="-26"/>
          <w:sz w:val="22"/>
        </w:rPr>
        <w:t> </w:t>
      </w:r>
      <w:r>
        <w:rPr>
          <w:sz w:val="22"/>
        </w:rPr>
        <w:t>on</w:t>
      </w:r>
      <w:r>
        <w:rPr>
          <w:spacing w:val="-26"/>
          <w:sz w:val="22"/>
        </w:rPr>
        <w:t> </w:t>
      </w:r>
      <w:r>
        <w:rPr>
          <w:sz w:val="22"/>
        </w:rPr>
        <w:t>capital</w:t>
      </w:r>
      <w:r>
        <w:rPr>
          <w:spacing w:val="-26"/>
          <w:sz w:val="22"/>
        </w:rPr>
        <w:t> </w:t>
      </w:r>
      <w:r>
        <w:rPr>
          <w:sz w:val="22"/>
        </w:rPr>
        <w:t>projects</w:t>
      </w:r>
      <w:r>
        <w:rPr>
          <w:spacing w:val="-26"/>
          <w:sz w:val="22"/>
        </w:rPr>
        <w:t> </w:t>
      </w:r>
      <w:r>
        <w:rPr>
          <w:sz w:val="22"/>
        </w:rPr>
        <w:t>primarily due to the completion of the construction phase of the David Malcolm Justice Centre in</w:t>
      </w:r>
      <w:r>
        <w:rPr>
          <w:spacing w:val="-3"/>
          <w:sz w:val="22"/>
        </w:rPr>
        <w:t> </w:t>
      </w:r>
      <w:r>
        <w:rPr>
          <w:sz w:val="22"/>
        </w:rPr>
        <w:t>2016.</w:t>
      </w:r>
    </w:p>
    <w:p>
      <w:pPr>
        <w:pStyle w:val="ListParagraph"/>
        <w:numPr>
          <w:ilvl w:val="0"/>
          <w:numId w:val="25"/>
        </w:numPr>
        <w:tabs>
          <w:tab w:pos="764" w:val="left" w:leader="none"/>
        </w:tabs>
        <w:spacing w:line="249" w:lineRule="auto" w:before="2" w:after="0"/>
        <w:ind w:left="763" w:right="994" w:hanging="244"/>
        <w:jc w:val="left"/>
        <w:rPr>
          <w:sz w:val="22"/>
        </w:rPr>
      </w:pPr>
      <w:r>
        <w:rPr>
          <w:sz w:val="22"/>
        </w:rPr>
        <w:t>The</w:t>
      </w:r>
      <w:r>
        <w:rPr>
          <w:spacing w:val="-23"/>
          <w:sz w:val="22"/>
        </w:rPr>
        <w:t> </w:t>
      </w:r>
      <w:r>
        <w:rPr>
          <w:sz w:val="22"/>
        </w:rPr>
        <w:t>increase</w:t>
      </w:r>
      <w:r>
        <w:rPr>
          <w:spacing w:val="-23"/>
          <w:sz w:val="22"/>
        </w:rPr>
        <w:t> </w:t>
      </w:r>
      <w:r>
        <w:rPr>
          <w:sz w:val="22"/>
        </w:rPr>
        <w:t>in</w:t>
      </w:r>
      <w:r>
        <w:rPr>
          <w:spacing w:val="-22"/>
          <w:sz w:val="22"/>
        </w:rPr>
        <w:t> </w:t>
      </w:r>
      <w:r>
        <w:rPr>
          <w:sz w:val="22"/>
        </w:rPr>
        <w:t>2017</w:t>
      </w:r>
      <w:r>
        <w:rPr>
          <w:spacing w:val="-23"/>
          <w:sz w:val="22"/>
        </w:rPr>
        <w:t> </w:t>
      </w:r>
      <w:r>
        <w:rPr>
          <w:sz w:val="22"/>
        </w:rPr>
        <w:t>reflects</w:t>
      </w:r>
      <w:r>
        <w:rPr>
          <w:spacing w:val="-22"/>
          <w:sz w:val="22"/>
        </w:rPr>
        <w:t> </w:t>
      </w:r>
      <w:r>
        <w:rPr>
          <w:sz w:val="22"/>
        </w:rPr>
        <w:t>the</w:t>
      </w:r>
      <w:r>
        <w:rPr>
          <w:spacing w:val="-23"/>
          <w:sz w:val="22"/>
        </w:rPr>
        <w:t> </w:t>
      </w:r>
      <w:r>
        <w:rPr>
          <w:sz w:val="22"/>
        </w:rPr>
        <w:t>sale</w:t>
      </w:r>
      <w:r>
        <w:rPr>
          <w:spacing w:val="-22"/>
          <w:sz w:val="22"/>
        </w:rPr>
        <w:t> </w:t>
      </w:r>
      <w:r>
        <w:rPr>
          <w:sz w:val="22"/>
        </w:rPr>
        <w:t>of</w:t>
      </w:r>
      <w:r>
        <w:rPr>
          <w:spacing w:val="-23"/>
          <w:sz w:val="22"/>
        </w:rPr>
        <w:t> </w:t>
      </w:r>
      <w:r>
        <w:rPr>
          <w:sz w:val="22"/>
        </w:rPr>
        <w:t>vehicles</w:t>
      </w:r>
      <w:r>
        <w:rPr>
          <w:spacing w:val="-22"/>
          <w:sz w:val="22"/>
        </w:rPr>
        <w:t> </w:t>
      </w:r>
      <w:r>
        <w:rPr>
          <w:sz w:val="22"/>
        </w:rPr>
        <w:t>to</w:t>
      </w:r>
      <w:r>
        <w:rPr>
          <w:spacing w:val="-23"/>
          <w:sz w:val="22"/>
        </w:rPr>
        <w:t> </w:t>
      </w:r>
      <w:r>
        <w:rPr>
          <w:sz w:val="22"/>
        </w:rPr>
        <w:t>the</w:t>
      </w:r>
      <w:r>
        <w:rPr>
          <w:spacing w:val="-22"/>
          <w:sz w:val="22"/>
        </w:rPr>
        <w:t> </w:t>
      </w:r>
      <w:r>
        <w:rPr>
          <w:sz w:val="22"/>
        </w:rPr>
        <w:t>Water</w:t>
      </w:r>
      <w:r>
        <w:rPr>
          <w:spacing w:val="-23"/>
          <w:sz w:val="22"/>
        </w:rPr>
        <w:t> </w:t>
      </w:r>
      <w:r>
        <w:rPr>
          <w:sz w:val="22"/>
        </w:rPr>
        <w:t>Corporation as</w:t>
      </w:r>
      <w:r>
        <w:rPr>
          <w:spacing w:val="-9"/>
          <w:sz w:val="22"/>
        </w:rPr>
        <w:t> </w:t>
      </w:r>
      <w:r>
        <w:rPr>
          <w:sz w:val="22"/>
        </w:rPr>
        <w:t>a</w:t>
      </w:r>
      <w:r>
        <w:rPr>
          <w:spacing w:val="-9"/>
          <w:sz w:val="22"/>
        </w:rPr>
        <w:t> </w:t>
      </w:r>
      <w:r>
        <w:rPr>
          <w:sz w:val="22"/>
        </w:rPr>
        <w:t>result</w:t>
      </w:r>
      <w:r>
        <w:rPr>
          <w:spacing w:val="-8"/>
          <w:sz w:val="22"/>
        </w:rPr>
        <w:t> </w:t>
      </w:r>
      <w:r>
        <w:rPr>
          <w:sz w:val="22"/>
        </w:rPr>
        <w:t>of</w:t>
      </w:r>
      <w:r>
        <w:rPr>
          <w:spacing w:val="-9"/>
          <w:sz w:val="22"/>
        </w:rPr>
        <w:t> </w:t>
      </w:r>
      <w:r>
        <w:rPr>
          <w:sz w:val="22"/>
        </w:rPr>
        <w:t>its</w:t>
      </w:r>
      <w:r>
        <w:rPr>
          <w:spacing w:val="-9"/>
          <w:sz w:val="22"/>
        </w:rPr>
        <w:t> </w:t>
      </w:r>
      <w:r>
        <w:rPr>
          <w:sz w:val="22"/>
        </w:rPr>
        <w:t>exit</w:t>
      </w:r>
      <w:r>
        <w:rPr>
          <w:spacing w:val="-8"/>
          <w:sz w:val="22"/>
        </w:rPr>
        <w:t> </w:t>
      </w:r>
      <w:r>
        <w:rPr>
          <w:sz w:val="22"/>
        </w:rPr>
        <w:t>from</w:t>
      </w:r>
      <w:r>
        <w:rPr>
          <w:spacing w:val="-9"/>
          <w:sz w:val="22"/>
        </w:rPr>
        <w:t> </w:t>
      </w:r>
      <w:r>
        <w:rPr>
          <w:sz w:val="22"/>
        </w:rPr>
        <w:t>the</w:t>
      </w:r>
      <w:r>
        <w:rPr>
          <w:spacing w:val="-9"/>
          <w:sz w:val="22"/>
        </w:rPr>
        <w:t> </w:t>
      </w:r>
      <w:r>
        <w:rPr>
          <w:sz w:val="22"/>
        </w:rPr>
        <w:t>State</w:t>
      </w:r>
      <w:r>
        <w:rPr>
          <w:spacing w:val="-9"/>
          <w:sz w:val="22"/>
        </w:rPr>
        <w:t> </w:t>
      </w:r>
      <w:r>
        <w:rPr>
          <w:sz w:val="22"/>
        </w:rPr>
        <w:t>Fleet</w:t>
      </w:r>
      <w:r>
        <w:rPr>
          <w:spacing w:val="-8"/>
          <w:sz w:val="22"/>
        </w:rPr>
        <w:t> </w:t>
      </w:r>
      <w:r>
        <w:rPr>
          <w:sz w:val="22"/>
        </w:rPr>
        <w:t>leasing</w:t>
      </w:r>
      <w:r>
        <w:rPr>
          <w:spacing w:val="-9"/>
          <w:sz w:val="22"/>
        </w:rPr>
        <w:t> </w:t>
      </w:r>
      <w:r>
        <w:rPr>
          <w:sz w:val="22"/>
        </w:rPr>
        <w:t>arrangements.</w:t>
      </w:r>
    </w:p>
    <w:p>
      <w:pPr>
        <w:spacing w:after="0" w:line="249" w:lineRule="auto"/>
        <w:jc w:val="left"/>
        <w:rPr>
          <w:sz w:val="22"/>
        </w:rPr>
        <w:sectPr>
          <w:type w:val="continuous"/>
          <w:pgSz w:w="16840" w:h="11910" w:orient="landscape"/>
          <w:pgMar w:top="0" w:bottom="0" w:left="0" w:right="0"/>
          <w:cols w:num="2" w:equalWidth="0">
            <w:col w:w="8073" w:space="40"/>
            <w:col w:w="8727"/>
          </w:cols>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pPr>
    </w:p>
    <w:p>
      <w:pPr>
        <w:pStyle w:val="Heading1"/>
        <w:spacing w:before="93"/>
      </w:pPr>
      <w:r>
        <w:rPr/>
        <w:pict>
          <v:group style="position:absolute;margin-left:763.172119pt;margin-top:-3.544212pt;width:61.1pt;height:45.2pt;mso-position-horizontal-relative:page;mso-position-vertical-relative:paragraph;z-index:26632"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26680" coordorigin="0,-1146" coordsize="2406,851">
            <v:rect style="position:absolute;left:0;top:-1147;width:2406;height:851" filled="true" fillcolor="#aebd37" stroked="false">
              <v:fill type="solid"/>
            </v:rect>
            <v:line style="position:absolute" from="0,-1146" to="0,-296" stroked="true" strokeweight="0pt" strokecolor="#aebd37">
              <v:stroke dashstyle="solid"/>
            </v:line>
            <v:shape style="position:absolute;left:0;top:-1147;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26776"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spacing w:before="29"/>
      </w:pPr>
      <w:r>
        <w:rPr>
          <w:color w:val="A7BE39"/>
        </w:rPr>
        <w:t>For the year ended 30 June 2017</w:t>
      </w:r>
    </w:p>
    <w:p>
      <w:pPr>
        <w:pStyle w:val="Heading5"/>
        <w:spacing w:before="257"/>
      </w:pPr>
      <w:r>
        <w:rPr>
          <w:color w:val="6F2770"/>
        </w:rPr>
        <w:t>Note 45. Special purpose accounts - controlled</w:t>
      </w:r>
    </w:p>
    <w:p>
      <w:pPr>
        <w:pStyle w:val="BodyText"/>
        <w:rPr>
          <w:sz w:val="20"/>
        </w:rPr>
      </w:pPr>
    </w:p>
    <w:p>
      <w:pPr>
        <w:pStyle w:val="BodyText"/>
        <w:spacing w:before="8"/>
        <w:rPr>
          <w:sz w:val="11"/>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72"/>
        <w:gridCol w:w="1417"/>
        <w:gridCol w:w="1417"/>
      </w:tblGrid>
      <w:tr>
        <w:trPr>
          <w:trHeight w:val="533" w:hRule="atLeast"/>
        </w:trPr>
        <w:tc>
          <w:tcPr>
            <w:tcW w:w="13889" w:type="dxa"/>
            <w:gridSpan w:val="2"/>
            <w:tcBorders>
              <w:left w:val="single" w:sz="8" w:space="0" w:color="FFFFFF"/>
            </w:tcBorders>
            <w:shd w:val="clear" w:color="auto" w:fill="783A79"/>
          </w:tcPr>
          <w:p>
            <w:pPr>
              <w:pStyle w:val="TableParagraph"/>
              <w:spacing w:before="42"/>
              <w:ind w:right="100"/>
              <w:jc w:val="right"/>
              <w:rPr>
                <w:b/>
                <w:sz w:val="19"/>
              </w:rPr>
            </w:pPr>
            <w:r>
              <w:rPr>
                <w:b/>
                <w:color w:val="FFFFFF"/>
                <w:spacing w:val="-1"/>
                <w:sz w:val="19"/>
              </w:rPr>
              <w:t>2017</w:t>
            </w:r>
          </w:p>
          <w:p>
            <w:pPr>
              <w:pStyle w:val="TableParagraph"/>
              <w:spacing w:before="10"/>
              <w:ind w:right="100"/>
              <w:jc w:val="right"/>
              <w:rPr>
                <w:b/>
                <w:sz w:val="19"/>
              </w:rPr>
            </w:pPr>
            <w:r>
              <w:rPr>
                <w:b/>
                <w:color w:val="FFFFFF"/>
                <w:spacing w:val="-1"/>
                <w:sz w:val="19"/>
              </w:rPr>
              <w:t>$000</w:t>
            </w:r>
          </w:p>
        </w:tc>
        <w:tc>
          <w:tcPr>
            <w:tcW w:w="1417" w:type="dxa"/>
            <w:shd w:val="clear" w:color="auto" w:fill="783A79"/>
          </w:tcPr>
          <w:p>
            <w:pPr>
              <w:pStyle w:val="TableParagraph"/>
              <w:spacing w:before="42"/>
              <w:ind w:left="892"/>
              <w:rPr>
                <w:b/>
                <w:sz w:val="19"/>
              </w:rPr>
            </w:pPr>
            <w:r>
              <w:rPr>
                <w:b/>
                <w:color w:val="FFFFFF"/>
                <w:sz w:val="19"/>
              </w:rPr>
              <w:t>2016</w:t>
            </w:r>
          </w:p>
          <w:p>
            <w:pPr>
              <w:pStyle w:val="TableParagraph"/>
              <w:spacing w:before="10"/>
              <w:ind w:left="892"/>
              <w:rPr>
                <w:b/>
                <w:sz w:val="19"/>
              </w:rPr>
            </w:pPr>
            <w:r>
              <w:rPr>
                <w:b/>
                <w:color w:val="FFFFFF"/>
                <w:sz w:val="19"/>
              </w:rPr>
              <w:t>$000</w:t>
            </w:r>
          </w:p>
        </w:tc>
      </w:tr>
      <w:tr>
        <w:trPr>
          <w:trHeight w:val="253" w:hRule="atLeast"/>
        </w:trPr>
        <w:tc>
          <w:tcPr>
            <w:tcW w:w="12472" w:type="dxa"/>
            <w:tcBorders>
              <w:left w:val="single" w:sz="8" w:space="0" w:color="FFFFFF"/>
            </w:tcBorders>
            <w:shd w:val="clear" w:color="auto" w:fill="F4F4F4"/>
          </w:tcPr>
          <w:p>
            <w:pPr>
              <w:pStyle w:val="TableParagraph"/>
              <w:spacing w:line="191" w:lineRule="exact" w:before="42"/>
              <w:ind w:left="113"/>
              <w:rPr>
                <w:i/>
                <w:sz w:val="19"/>
              </w:rPr>
            </w:pPr>
            <w:r>
              <w:rPr>
                <w:i/>
                <w:sz w:val="19"/>
              </w:rPr>
              <w:t>Sunset Reserve Account</w:t>
            </w:r>
          </w:p>
        </w:tc>
        <w:tc>
          <w:tcPr>
            <w:tcW w:w="1417" w:type="dxa"/>
            <w:shd w:val="clear" w:color="auto" w:fill="E1E4BB"/>
          </w:tcPr>
          <w:p>
            <w:pPr>
              <w:pStyle w:val="TableParagraph"/>
              <w:spacing w:before="0"/>
              <w:rPr>
                <w:rFonts w:ascii="Times New Roman"/>
                <w:sz w:val="18"/>
              </w:rPr>
            </w:pPr>
          </w:p>
        </w:tc>
        <w:tc>
          <w:tcPr>
            <w:tcW w:w="1417" w:type="dxa"/>
            <w:vMerge w:val="restart"/>
            <w:tcBorders>
              <w:bottom w:val="single" w:sz="8" w:space="0" w:color="FFFFFF"/>
              <w:right w:val="single" w:sz="8" w:space="0" w:color="FFFFFF"/>
            </w:tcBorders>
            <w:shd w:val="clear" w:color="auto" w:fill="F4F4F4"/>
          </w:tcPr>
          <w:p>
            <w:pPr>
              <w:pStyle w:val="TableParagraph"/>
              <w:spacing w:before="0"/>
              <w:rPr>
                <w:rFonts w:ascii="Times New Roman"/>
                <w:sz w:val="22"/>
              </w:rPr>
            </w:pPr>
          </w:p>
        </w:tc>
      </w:tr>
      <w:tr>
        <w:trPr>
          <w:trHeight w:val="207" w:hRule="atLeast"/>
        </w:trPr>
        <w:tc>
          <w:tcPr>
            <w:tcW w:w="12472" w:type="dxa"/>
            <w:tcBorders>
              <w:left w:val="single" w:sz="8" w:space="0" w:color="FFFFFF"/>
            </w:tcBorders>
            <w:shd w:val="clear" w:color="auto" w:fill="F4F4F4"/>
          </w:tcPr>
          <w:p>
            <w:pPr>
              <w:pStyle w:val="TableParagraph"/>
              <w:spacing w:line="188" w:lineRule="exact" w:before="0"/>
              <w:ind w:left="113"/>
              <w:rPr>
                <w:sz w:val="19"/>
              </w:rPr>
            </w:pPr>
            <w:r>
              <w:rPr>
                <w:sz w:val="19"/>
              </w:rPr>
              <w:t>The purpose of the account is to record receipts in respect of leasings, proceeds from the disposal of the excised land, amounts appropriated by</w:t>
            </w:r>
          </w:p>
        </w:tc>
        <w:tc>
          <w:tcPr>
            <w:tcW w:w="1417" w:type="dxa"/>
            <w:shd w:val="clear" w:color="auto" w:fill="E1E4BB"/>
          </w:tcPr>
          <w:p>
            <w:pPr>
              <w:pStyle w:val="TableParagraph"/>
              <w:spacing w:before="0"/>
              <w:rPr>
                <w:rFonts w:ascii="Times New Roman"/>
                <w:sz w:val="14"/>
              </w:rPr>
            </w:pPr>
          </w:p>
        </w:tc>
        <w:tc>
          <w:tcPr>
            <w:tcW w:w="1417" w:type="dxa"/>
            <w:vMerge/>
            <w:tcBorders>
              <w:top w:val="nil"/>
              <w:bottom w:val="single" w:sz="8" w:space="0" w:color="FFFFFF"/>
              <w:right w:val="single" w:sz="8" w:space="0" w:color="FFFFFF"/>
            </w:tcBorders>
            <w:shd w:val="clear" w:color="auto" w:fill="F4F4F4"/>
          </w:tcPr>
          <w:p>
            <w:pPr>
              <w:rPr>
                <w:sz w:val="2"/>
                <w:szCs w:val="2"/>
              </w:rPr>
            </w:pPr>
          </w:p>
        </w:tc>
      </w:tr>
      <w:tr>
        <w:trPr>
          <w:trHeight w:val="250" w:hRule="atLeast"/>
        </w:trPr>
        <w:tc>
          <w:tcPr>
            <w:tcW w:w="12472" w:type="dxa"/>
            <w:tcBorders>
              <w:left w:val="single" w:sz="8" w:space="0" w:color="FFFFFF"/>
              <w:bottom w:val="single" w:sz="8" w:space="0" w:color="FFFFFF"/>
            </w:tcBorders>
            <w:shd w:val="clear" w:color="auto" w:fill="F4F4F4"/>
          </w:tcPr>
          <w:p>
            <w:pPr>
              <w:pStyle w:val="TableParagraph"/>
              <w:spacing w:line="216" w:lineRule="exact" w:before="0"/>
              <w:ind w:left="113"/>
              <w:rPr>
                <w:sz w:val="19"/>
              </w:rPr>
            </w:pPr>
            <w:r>
              <w:rPr>
                <w:sz w:val="19"/>
              </w:rPr>
              <w:t>Parliament, and payments incurred in the conservation and management of Sunset Reserve.</w:t>
            </w:r>
          </w:p>
        </w:tc>
        <w:tc>
          <w:tcPr>
            <w:tcW w:w="1417" w:type="dxa"/>
            <w:shd w:val="clear" w:color="auto" w:fill="E1E4BB"/>
          </w:tcPr>
          <w:p>
            <w:pPr>
              <w:pStyle w:val="TableParagraph"/>
              <w:spacing w:before="0"/>
              <w:rPr>
                <w:rFonts w:ascii="Times New Roman"/>
                <w:sz w:val="18"/>
              </w:rPr>
            </w:pPr>
          </w:p>
        </w:tc>
        <w:tc>
          <w:tcPr>
            <w:tcW w:w="1417" w:type="dxa"/>
            <w:vMerge/>
            <w:tcBorders>
              <w:top w:val="nil"/>
              <w:bottom w:val="single" w:sz="8" w:space="0" w:color="FFFFFF"/>
              <w:right w:val="single" w:sz="8" w:space="0" w:color="FFFFFF"/>
            </w:tcBorders>
            <w:shd w:val="clear" w:color="auto" w:fill="F4F4F4"/>
          </w:tcPr>
          <w:p>
            <w:pPr>
              <w:rPr>
                <w:sz w:val="2"/>
                <w:szCs w:val="2"/>
              </w:rPr>
            </w:pPr>
          </w:p>
        </w:tc>
      </w:tr>
      <w:tr>
        <w:trPr>
          <w:trHeight w:val="307" w:hRule="atLeast"/>
        </w:trPr>
        <w:tc>
          <w:tcPr>
            <w:tcW w:w="12472"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Balance at the start of period</w:t>
            </w:r>
          </w:p>
        </w:tc>
        <w:tc>
          <w:tcPr>
            <w:tcW w:w="1417" w:type="dxa"/>
            <w:shd w:val="clear" w:color="auto" w:fill="E1E4BB"/>
          </w:tcPr>
          <w:p>
            <w:pPr>
              <w:pStyle w:val="TableParagraph"/>
              <w:ind w:right="100"/>
              <w:jc w:val="right"/>
              <w:rPr>
                <w:sz w:val="19"/>
              </w:rPr>
            </w:pPr>
            <w:r>
              <w:rPr>
                <w:w w:val="95"/>
                <w:sz w:val="19"/>
              </w:rPr>
              <w:t>7,270</w:t>
            </w:r>
          </w:p>
        </w:tc>
        <w:tc>
          <w:tcPr>
            <w:tcW w:w="1417" w:type="dxa"/>
            <w:tcBorders>
              <w:top w:val="single" w:sz="8" w:space="0" w:color="FFFFFF"/>
              <w:bottom w:val="single" w:sz="8" w:space="0" w:color="FFFFFF"/>
              <w:right w:val="single" w:sz="8" w:space="0" w:color="FFFFFF"/>
            </w:tcBorders>
            <w:shd w:val="clear" w:color="auto" w:fill="FAF9F9"/>
          </w:tcPr>
          <w:p>
            <w:pPr>
              <w:pStyle w:val="TableParagraph"/>
              <w:ind w:right="90"/>
              <w:jc w:val="right"/>
              <w:rPr>
                <w:sz w:val="19"/>
              </w:rPr>
            </w:pPr>
            <w:r>
              <w:rPr>
                <w:w w:val="95"/>
                <w:sz w:val="19"/>
              </w:rPr>
              <w:t>8,551</w:t>
            </w:r>
          </w:p>
        </w:tc>
      </w:tr>
      <w:tr>
        <w:trPr>
          <w:trHeight w:val="307" w:hRule="atLeast"/>
        </w:trPr>
        <w:tc>
          <w:tcPr>
            <w:tcW w:w="12472"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Receipts</w:t>
            </w:r>
          </w:p>
        </w:tc>
        <w:tc>
          <w:tcPr>
            <w:tcW w:w="1417" w:type="dxa"/>
            <w:shd w:val="clear" w:color="auto" w:fill="E1E4BB"/>
          </w:tcPr>
          <w:p>
            <w:pPr>
              <w:pStyle w:val="TableParagraph"/>
              <w:ind w:right="100"/>
              <w:jc w:val="right"/>
              <w:rPr>
                <w:sz w:val="19"/>
              </w:rPr>
            </w:pPr>
            <w:r>
              <w:rPr>
                <w:w w:val="95"/>
                <w:sz w:val="19"/>
              </w:rPr>
              <w:t>274</w:t>
            </w:r>
          </w:p>
        </w:tc>
        <w:tc>
          <w:tcPr>
            <w:tcW w:w="1417" w:type="dxa"/>
            <w:tcBorders>
              <w:top w:val="single" w:sz="8" w:space="0" w:color="FFFFFF"/>
              <w:bottom w:val="single" w:sz="8" w:space="0" w:color="FFFFFF"/>
              <w:right w:val="single" w:sz="8" w:space="0" w:color="FFFFFF"/>
            </w:tcBorders>
            <w:shd w:val="clear" w:color="auto" w:fill="F4F4F4"/>
          </w:tcPr>
          <w:p>
            <w:pPr>
              <w:pStyle w:val="TableParagraph"/>
              <w:ind w:right="90"/>
              <w:jc w:val="right"/>
              <w:rPr>
                <w:sz w:val="19"/>
              </w:rPr>
            </w:pPr>
            <w:r>
              <w:rPr>
                <w:w w:val="95"/>
                <w:sz w:val="19"/>
              </w:rPr>
              <w:t>532</w:t>
            </w:r>
          </w:p>
        </w:tc>
      </w:tr>
      <w:tr>
        <w:trPr>
          <w:trHeight w:val="307" w:hRule="atLeast"/>
        </w:trPr>
        <w:tc>
          <w:tcPr>
            <w:tcW w:w="12472"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Payments</w:t>
            </w:r>
          </w:p>
        </w:tc>
        <w:tc>
          <w:tcPr>
            <w:tcW w:w="1417" w:type="dxa"/>
            <w:tcBorders>
              <w:bottom w:val="single" w:sz="4" w:space="0" w:color="000000"/>
            </w:tcBorders>
            <w:shd w:val="clear" w:color="auto" w:fill="E1E4BB"/>
          </w:tcPr>
          <w:p>
            <w:pPr>
              <w:pStyle w:val="TableParagraph"/>
              <w:ind w:right="100"/>
              <w:jc w:val="right"/>
              <w:rPr>
                <w:sz w:val="19"/>
              </w:rPr>
            </w:pPr>
            <w:r>
              <w:rPr>
                <w:w w:val="90"/>
                <w:sz w:val="19"/>
              </w:rPr>
              <w:t>(5,468)</w:t>
            </w:r>
          </w:p>
        </w:tc>
        <w:tc>
          <w:tcPr>
            <w:tcW w:w="1417" w:type="dxa"/>
            <w:tcBorders>
              <w:top w:val="single" w:sz="8" w:space="0" w:color="FFFFFF"/>
              <w:bottom w:val="single" w:sz="4" w:space="0" w:color="000000"/>
              <w:right w:val="single" w:sz="8" w:space="0" w:color="FFFFFF"/>
            </w:tcBorders>
            <w:shd w:val="clear" w:color="auto" w:fill="FAF9F9"/>
          </w:tcPr>
          <w:p>
            <w:pPr>
              <w:pStyle w:val="TableParagraph"/>
              <w:ind w:right="90"/>
              <w:jc w:val="right"/>
              <w:rPr>
                <w:sz w:val="19"/>
              </w:rPr>
            </w:pPr>
            <w:r>
              <w:rPr>
                <w:w w:val="90"/>
                <w:sz w:val="19"/>
              </w:rPr>
              <w:t>(1,813)</w:t>
            </w:r>
          </w:p>
        </w:tc>
      </w:tr>
      <w:tr>
        <w:trPr>
          <w:trHeight w:val="287" w:hRule="atLeast"/>
        </w:trPr>
        <w:tc>
          <w:tcPr>
            <w:tcW w:w="12472" w:type="dxa"/>
            <w:tcBorders>
              <w:top w:val="single" w:sz="8" w:space="0" w:color="FFFFFF"/>
              <w:left w:val="single" w:sz="8" w:space="0" w:color="FFFFFF"/>
              <w:bottom w:val="single" w:sz="8" w:space="0" w:color="FFFFFF"/>
            </w:tcBorders>
            <w:shd w:val="clear" w:color="auto" w:fill="F4F4F4"/>
          </w:tcPr>
          <w:p>
            <w:pPr>
              <w:pStyle w:val="TableParagraph"/>
              <w:ind w:left="113"/>
              <w:rPr>
                <w:b/>
                <w:sz w:val="19"/>
              </w:rPr>
            </w:pPr>
            <w:r>
              <w:rPr>
                <w:b/>
                <w:sz w:val="19"/>
              </w:rPr>
              <w:t>Balance at the end of period</w:t>
            </w:r>
          </w:p>
        </w:tc>
        <w:tc>
          <w:tcPr>
            <w:tcW w:w="1417" w:type="dxa"/>
            <w:tcBorders>
              <w:top w:val="single" w:sz="4" w:space="0" w:color="000000"/>
              <w:bottom w:val="single" w:sz="24" w:space="0" w:color="FFFFFF"/>
            </w:tcBorders>
            <w:shd w:val="clear" w:color="auto" w:fill="DFE1B8"/>
          </w:tcPr>
          <w:p>
            <w:pPr>
              <w:pStyle w:val="TableParagraph"/>
              <w:ind w:right="100"/>
              <w:jc w:val="right"/>
              <w:rPr>
                <w:b/>
                <w:sz w:val="19"/>
              </w:rPr>
            </w:pPr>
            <w:r>
              <w:rPr>
                <w:b/>
                <w:w w:val="95"/>
                <w:sz w:val="19"/>
              </w:rPr>
              <w:t>2,076</w:t>
            </w:r>
          </w:p>
        </w:tc>
        <w:tc>
          <w:tcPr>
            <w:tcW w:w="1417" w:type="dxa"/>
            <w:tcBorders>
              <w:top w:val="single" w:sz="4" w:space="0" w:color="000000"/>
              <w:bottom w:val="single" w:sz="24" w:space="0" w:color="FFFFFF"/>
              <w:right w:val="single" w:sz="8" w:space="0" w:color="FFFFFF"/>
            </w:tcBorders>
            <w:shd w:val="clear" w:color="auto" w:fill="F4F4F4"/>
          </w:tcPr>
          <w:p>
            <w:pPr>
              <w:pStyle w:val="TableParagraph"/>
              <w:ind w:right="90"/>
              <w:jc w:val="right"/>
              <w:rPr>
                <w:b/>
                <w:sz w:val="19"/>
              </w:rPr>
            </w:pPr>
            <w:r>
              <w:rPr>
                <w:b/>
                <w:w w:val="95"/>
                <w:sz w:val="19"/>
              </w:rPr>
              <w:t>7,270</w:t>
            </w:r>
          </w:p>
        </w:tc>
      </w:tr>
    </w:tbl>
    <w:p>
      <w:pPr>
        <w:pStyle w:val="BodyText"/>
        <w:spacing w:line="20" w:lineRule="exact"/>
        <w:ind w:left="13242"/>
        <w:rPr>
          <w:sz w:val="2"/>
        </w:rPr>
      </w:pPr>
      <w:r>
        <w:rPr>
          <w:sz w:val="2"/>
        </w:rPr>
        <w:pict>
          <v:group style="width:142.25pt;height:.550pt;mso-position-horizontal-relative:char;mso-position-vertical-relative:line" coordorigin="0,0" coordsize="2845,11">
            <v:line style="position:absolute" from="0,5" to="1417,5" stroked="true" strokeweight=".501pt" strokecolor="#000000">
              <v:stroke dashstyle="solid"/>
            </v:line>
            <v:line style="position:absolute" from="1417,5" to="2845,5" stroked="true" strokeweight=".501pt" strokecolor="#000000">
              <v:stroke dashstyle="solid"/>
            </v:line>
          </v:group>
        </w:pict>
      </w:r>
      <w:r>
        <w:rPr>
          <w:sz w:val="2"/>
        </w:rPr>
      </w:r>
    </w:p>
    <w:p>
      <w:pPr>
        <w:pStyle w:val="BodyText"/>
        <w:spacing w:before="290"/>
        <w:ind w:left="765"/>
      </w:pPr>
      <w:r>
        <w:rPr/>
        <w:t>Refer also to Note 19 ‘Restricted cash’ and Note 20 ‘Receivables’.</w:t>
      </w:r>
    </w:p>
    <w:p>
      <w:pPr>
        <w:spacing w:after="0"/>
        <w:sectPr>
          <w:footerReference w:type="default" r:id="rId239"/>
          <w:pgSz w:w="16840" w:h="11910" w:orient="landscape"/>
          <w:pgMar w:footer="448" w:header="0" w:top="0" w:bottom="640" w:left="0" w:right="0"/>
        </w:sectPr>
      </w:pPr>
    </w:p>
    <w:p>
      <w:pPr>
        <w:pStyle w:val="BodyText"/>
        <w:ind w:left="2397"/>
        <w:rPr>
          <w:sz w:val="20"/>
        </w:rPr>
      </w:pPr>
      <w:r>
        <w:rPr/>
        <w:pict>
          <v:line style="position:absolute;mso-position-horizontal-relative:page;mso-position-vertical-relative:page;z-index:-786736" from="642.614197pt,407.849791pt" to="642.614197pt,392.491791pt" stroked="true" strokeweight="1pt" strokecolor="#ffffff">
            <v:stroke dashstyle="solid"/>
            <w10:wrap type="none"/>
          </v:line>
        </w:pict>
      </w:r>
      <w:r>
        <w:rPr/>
        <w:pict>
          <v:line style="position:absolute;mso-position-horizontal-relative:page;mso-position-vertical-relative:page;z-index:-786712" from="720.000122pt,407.849791pt" to="720.000122pt,392.491791pt" stroked="true" strokeweight="1pt" strokecolor="#ffffff">
            <v:stroke dashstyle="solid"/>
            <w10:wrap type="none"/>
          </v:line>
        </w:pict>
      </w: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8"/>
      </w:pPr>
    </w:p>
    <w:p>
      <w:pPr>
        <w:pStyle w:val="Heading1"/>
        <w:spacing w:before="93"/>
      </w:pPr>
      <w:r>
        <w:rPr/>
        <w:pict>
          <v:group style="position:absolute;margin-left:763.172119pt;margin-top:-3.544212pt;width:61.1pt;height:45.2pt;mso-position-horizontal-relative:page;mso-position-vertical-relative:paragraph;z-index:26968" coordorigin="15263,-71" coordsize="1222,904">
            <v:shape style="position:absolute;left:15424;top:-71;width:900;height:904" coordorigin="15424,-71" coordsize="900,904" path="m15874,-71l15424,379,15424,382,15874,832,16324,382,16324,379,15874,-71xe" filled="true" fillcolor="#c4cd71" stroked="false">
              <v:path arrowok="t"/>
              <v:fill type="solid"/>
            </v:shape>
            <v:shape style="position:absolute;left:15422;top:379;width:2;height:4" coordorigin="15423,379" coordsize="2,4" path="m15424,379l15423,381,15424,382,15424,379xe" filled="true" fillcolor="#b9c369" stroked="false">
              <v:path arrowok="t"/>
              <v:fill type="solid"/>
            </v:shape>
            <v:shape style="position:absolute;left:16324;top:379;width:2;height:4" coordorigin="16324,379" coordsize="2,4" path="m16324,379l16324,382,16326,381,16324,379xe" filled="true" fillcolor="#bec29e" stroked="false">
              <v:path arrowok="t"/>
              <v:fill type="solid"/>
            </v:shape>
            <v:shape style="position:absolute;left:15263;top:219;width:161;height:322" type="#_x0000_t75" stroked="false">
              <v:imagedata r:id="rId16" o:title=""/>
            </v:shape>
            <v:shape style="position:absolute;left:16324;top:219;width:161;height:322" type="#_x0000_t75" stroked="false">
              <v:imagedata r:id="rId11" o:title=""/>
            </v:shape>
            <v:shape style="position:absolute;left:15263;top:-71;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24211pt;width:120.3pt;height:42.55pt;mso-position-horizontal-relative:page;mso-position-vertical-relative:paragraph;z-index:27016" coordorigin="0,-1146" coordsize="2406,851">
            <v:rect style="position:absolute;left:0;top:-1147;width:2406;height:851" filled="true" fillcolor="#aebd37" stroked="false">
              <v:fill type="solid"/>
            </v:rect>
            <v:shape style="position:absolute;left:0;top:-1147;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24211pt;width:360.85pt;height:42.55pt;mso-position-horizontal-relative:page;mso-position-vertical-relative:paragraph;z-index:27112" coordorigin="9622,-1146" coordsize="7217,851">
            <v:rect style="position:absolute;left:14432;top:-1147;width:2406;height:851" filled="true" fillcolor="#aebd37" stroked="false">
              <v:fill type="solid"/>
            </v:rect>
            <v:shape style="position:absolute;left:14432;top:-11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7;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spacing w:before="29"/>
      </w:pPr>
      <w:r>
        <w:rPr>
          <w:color w:val="A7BE39"/>
        </w:rPr>
        <w:t>For the year ended 30 June 2017</w:t>
      </w:r>
    </w:p>
    <w:p>
      <w:pPr>
        <w:pStyle w:val="Heading5"/>
        <w:spacing w:before="257"/>
      </w:pPr>
      <w:r>
        <w:rPr>
          <w:color w:val="6F2770"/>
        </w:rPr>
        <w:t>Note 46. Explanatory statement for Administered Items - Income and Expenses</w:t>
      </w:r>
    </w:p>
    <w:p>
      <w:pPr>
        <w:pStyle w:val="BodyText"/>
        <w:spacing w:line="249" w:lineRule="auto" w:before="254"/>
        <w:ind w:left="765" w:right="2324"/>
      </w:pPr>
      <w:r>
        <w:rPr/>
        <w:t>All</w:t>
      </w:r>
      <w:r>
        <w:rPr>
          <w:spacing w:val="-19"/>
        </w:rPr>
        <w:t> </w:t>
      </w:r>
      <w:r>
        <w:rPr/>
        <w:t>variances</w:t>
      </w:r>
      <w:r>
        <w:rPr>
          <w:spacing w:val="-19"/>
        </w:rPr>
        <w:t> </w:t>
      </w:r>
      <w:r>
        <w:rPr/>
        <w:t>between</w:t>
      </w:r>
      <w:r>
        <w:rPr>
          <w:spacing w:val="-18"/>
        </w:rPr>
        <w:t> </w:t>
      </w:r>
      <w:r>
        <w:rPr/>
        <w:t>estimates</w:t>
      </w:r>
      <w:r>
        <w:rPr>
          <w:spacing w:val="-19"/>
        </w:rPr>
        <w:t> </w:t>
      </w:r>
      <w:r>
        <w:rPr/>
        <w:t>(original</w:t>
      </w:r>
      <w:r>
        <w:rPr>
          <w:spacing w:val="-18"/>
        </w:rPr>
        <w:t> </w:t>
      </w:r>
      <w:r>
        <w:rPr/>
        <w:t>budget)</w:t>
      </w:r>
      <w:r>
        <w:rPr>
          <w:spacing w:val="-19"/>
        </w:rPr>
        <w:t> </w:t>
      </w:r>
      <w:r>
        <w:rPr/>
        <w:t>and</w:t>
      </w:r>
      <w:r>
        <w:rPr>
          <w:spacing w:val="-18"/>
        </w:rPr>
        <w:t> </w:t>
      </w:r>
      <w:r>
        <w:rPr/>
        <w:t>actual</w:t>
      </w:r>
      <w:r>
        <w:rPr>
          <w:spacing w:val="-19"/>
        </w:rPr>
        <w:t> </w:t>
      </w:r>
      <w:r>
        <w:rPr/>
        <w:t>results</w:t>
      </w:r>
      <w:r>
        <w:rPr>
          <w:spacing w:val="-18"/>
        </w:rPr>
        <w:t> </w:t>
      </w:r>
      <w:r>
        <w:rPr/>
        <w:t>for</w:t>
      </w:r>
      <w:r>
        <w:rPr>
          <w:spacing w:val="-19"/>
        </w:rPr>
        <w:t> </w:t>
      </w:r>
      <w:r>
        <w:rPr/>
        <w:t>2017,</w:t>
      </w:r>
      <w:r>
        <w:rPr>
          <w:spacing w:val="-18"/>
        </w:rPr>
        <w:t> </w:t>
      </w:r>
      <w:r>
        <w:rPr/>
        <w:t>and</w:t>
      </w:r>
      <w:r>
        <w:rPr>
          <w:spacing w:val="-19"/>
        </w:rPr>
        <w:t> </w:t>
      </w:r>
      <w:r>
        <w:rPr/>
        <w:t>between</w:t>
      </w:r>
      <w:r>
        <w:rPr>
          <w:spacing w:val="-18"/>
        </w:rPr>
        <w:t> </w:t>
      </w:r>
      <w:r>
        <w:rPr/>
        <w:t>the</w:t>
      </w:r>
      <w:r>
        <w:rPr>
          <w:spacing w:val="-19"/>
        </w:rPr>
        <w:t> </w:t>
      </w:r>
      <w:r>
        <w:rPr/>
        <w:t>actual</w:t>
      </w:r>
      <w:r>
        <w:rPr>
          <w:spacing w:val="-18"/>
        </w:rPr>
        <w:t> </w:t>
      </w:r>
      <w:r>
        <w:rPr/>
        <w:t>results</w:t>
      </w:r>
      <w:r>
        <w:rPr>
          <w:spacing w:val="-19"/>
        </w:rPr>
        <w:t> </w:t>
      </w:r>
      <w:r>
        <w:rPr/>
        <w:t>for</w:t>
      </w:r>
      <w:r>
        <w:rPr>
          <w:spacing w:val="-18"/>
        </w:rPr>
        <w:t> </w:t>
      </w:r>
      <w:r>
        <w:rPr/>
        <w:t>2017</w:t>
      </w:r>
      <w:r>
        <w:rPr>
          <w:spacing w:val="-19"/>
        </w:rPr>
        <w:t> </w:t>
      </w:r>
      <w:r>
        <w:rPr/>
        <w:t>and</w:t>
      </w:r>
      <w:r>
        <w:rPr>
          <w:spacing w:val="-18"/>
        </w:rPr>
        <w:t> </w:t>
      </w:r>
      <w:r>
        <w:rPr/>
        <w:t>2016</w:t>
      </w:r>
      <w:r>
        <w:rPr>
          <w:spacing w:val="-19"/>
        </w:rPr>
        <w:t> </w:t>
      </w:r>
      <w:r>
        <w:rPr/>
        <w:t>are</w:t>
      </w:r>
      <w:r>
        <w:rPr>
          <w:spacing w:val="-18"/>
        </w:rPr>
        <w:t> </w:t>
      </w:r>
      <w:r>
        <w:rPr/>
        <w:t>shown</w:t>
      </w:r>
      <w:r>
        <w:rPr>
          <w:spacing w:val="-19"/>
        </w:rPr>
        <w:t> </w:t>
      </w:r>
      <w:r>
        <w:rPr>
          <w:spacing w:val="-6"/>
        </w:rPr>
        <w:t>below. </w:t>
      </w:r>
      <w:r>
        <w:rPr/>
        <w:t>Narratives</w:t>
      </w:r>
      <w:r>
        <w:rPr>
          <w:spacing w:val="-5"/>
        </w:rPr>
        <w:t> </w:t>
      </w:r>
      <w:r>
        <w:rPr/>
        <w:t>are</w:t>
      </w:r>
      <w:r>
        <w:rPr>
          <w:spacing w:val="-4"/>
        </w:rPr>
        <w:t> </w:t>
      </w:r>
      <w:r>
        <w:rPr/>
        <w:t>provided</w:t>
      </w:r>
      <w:r>
        <w:rPr>
          <w:spacing w:val="-5"/>
        </w:rPr>
        <w:t> </w:t>
      </w:r>
      <w:r>
        <w:rPr/>
        <w:t>for</w:t>
      </w:r>
      <w:r>
        <w:rPr>
          <w:spacing w:val="-4"/>
        </w:rPr>
        <w:t> </w:t>
      </w:r>
      <w:r>
        <w:rPr/>
        <w:t>key</w:t>
      </w:r>
      <w:r>
        <w:rPr>
          <w:spacing w:val="-4"/>
        </w:rPr>
        <w:t> </w:t>
      </w:r>
      <w:r>
        <w:rPr/>
        <w:t>major</w:t>
      </w:r>
      <w:r>
        <w:rPr>
          <w:spacing w:val="-5"/>
        </w:rPr>
        <w:t> </w:t>
      </w:r>
      <w:r>
        <w:rPr/>
        <w:t>variances,</w:t>
      </w:r>
      <w:r>
        <w:rPr>
          <w:spacing w:val="-4"/>
        </w:rPr>
        <w:t> </w:t>
      </w:r>
      <w:r>
        <w:rPr/>
        <w:t>which</w:t>
      </w:r>
      <w:r>
        <w:rPr>
          <w:spacing w:val="-5"/>
        </w:rPr>
        <w:t> </w:t>
      </w:r>
      <w:r>
        <w:rPr/>
        <w:t>are</w:t>
      </w:r>
      <w:r>
        <w:rPr>
          <w:spacing w:val="-4"/>
        </w:rPr>
        <w:t> </w:t>
      </w:r>
      <w:r>
        <w:rPr/>
        <w:t>generally</w:t>
      </w:r>
      <w:r>
        <w:rPr>
          <w:spacing w:val="-5"/>
        </w:rPr>
        <w:t> </w:t>
      </w:r>
      <w:r>
        <w:rPr/>
        <w:t>greater</w:t>
      </w:r>
      <w:r>
        <w:rPr>
          <w:spacing w:val="-4"/>
        </w:rPr>
        <w:t> </w:t>
      </w:r>
      <w:r>
        <w:rPr/>
        <w:t>than</w:t>
      </w:r>
      <w:r>
        <w:rPr>
          <w:spacing w:val="-4"/>
        </w:rPr>
        <w:t> </w:t>
      </w:r>
      <w:r>
        <w:rPr/>
        <w:t>5%</w:t>
      </w:r>
      <w:r>
        <w:rPr>
          <w:spacing w:val="-5"/>
        </w:rPr>
        <w:t> </w:t>
      </w:r>
      <w:r>
        <w:rPr/>
        <w:t>and</w:t>
      </w:r>
      <w:r>
        <w:rPr>
          <w:spacing w:val="-4"/>
        </w:rPr>
        <w:t> </w:t>
      </w:r>
      <w:r>
        <w:rPr/>
        <w:t>$25</w:t>
      </w:r>
      <w:r>
        <w:rPr>
          <w:spacing w:val="-5"/>
        </w:rPr>
        <w:t> </w:t>
      </w:r>
      <w:r>
        <w:rPr/>
        <w:t>million.</w:t>
      </w:r>
    </w:p>
    <w:p>
      <w:pPr>
        <w:pStyle w:val="BodyText"/>
        <w:spacing w:before="3"/>
        <w:rPr>
          <w:sz w:val="7"/>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6"/>
        <w:gridCol w:w="1548"/>
        <w:gridCol w:w="1548"/>
        <w:gridCol w:w="1548"/>
        <w:gridCol w:w="1548"/>
        <w:gridCol w:w="1548"/>
        <w:gridCol w:w="1661"/>
      </w:tblGrid>
      <w:tr>
        <w:trPr>
          <w:trHeight w:val="1222" w:hRule="atLeast"/>
        </w:trPr>
        <w:tc>
          <w:tcPr>
            <w:tcW w:w="7444" w:type="dxa"/>
            <w:gridSpan w:val="2"/>
            <w:shd w:val="clear" w:color="auto" w:fill="783A79"/>
          </w:tcPr>
          <w:p>
            <w:pPr>
              <w:pStyle w:val="TableParagraph"/>
              <w:spacing w:before="47"/>
              <w:ind w:right="138"/>
              <w:jc w:val="right"/>
              <w:rPr>
                <w:b/>
                <w:sz w:val="19"/>
              </w:rPr>
            </w:pPr>
            <w:r>
              <w:rPr>
                <w:b/>
                <w:color w:val="FFFFFF"/>
                <w:sz w:val="19"/>
              </w:rPr>
              <w:t>Variance Note</w:t>
            </w:r>
          </w:p>
        </w:tc>
        <w:tc>
          <w:tcPr>
            <w:tcW w:w="1548" w:type="dxa"/>
            <w:shd w:val="clear" w:color="auto" w:fill="783A79"/>
          </w:tcPr>
          <w:p>
            <w:pPr>
              <w:pStyle w:val="TableParagraph"/>
              <w:spacing w:before="47"/>
              <w:ind w:left="160"/>
              <w:rPr>
                <w:b/>
                <w:sz w:val="19"/>
              </w:rPr>
            </w:pPr>
            <w:r>
              <w:rPr>
                <w:b/>
                <w:color w:val="FFFFFF"/>
                <w:sz w:val="19"/>
              </w:rPr>
              <w:t>Estimate</w:t>
            </w:r>
            <w:r>
              <w:rPr>
                <w:b/>
                <w:color w:val="FFFFFF"/>
                <w:spacing w:val="6"/>
                <w:sz w:val="19"/>
              </w:rPr>
              <w:t> </w:t>
            </w:r>
            <w:r>
              <w:rPr>
                <w:b/>
                <w:color w:val="FFFFFF"/>
                <w:sz w:val="19"/>
              </w:rPr>
              <w:t>2017</w:t>
            </w:r>
          </w:p>
          <w:p>
            <w:pPr>
              <w:pStyle w:val="TableParagraph"/>
              <w:spacing w:before="0"/>
              <w:rPr>
                <w:sz w:val="22"/>
              </w:rPr>
            </w:pPr>
          </w:p>
          <w:p>
            <w:pPr>
              <w:pStyle w:val="TableParagraph"/>
              <w:spacing w:before="0"/>
              <w:rPr>
                <w:sz w:val="22"/>
              </w:rPr>
            </w:pPr>
          </w:p>
          <w:p>
            <w:pPr>
              <w:pStyle w:val="TableParagraph"/>
              <w:spacing w:before="188"/>
              <w:ind w:left="1011"/>
              <w:rPr>
                <w:b/>
                <w:sz w:val="19"/>
              </w:rPr>
            </w:pPr>
            <w:r>
              <w:rPr>
                <w:b/>
                <w:color w:val="FFFFFF"/>
                <w:sz w:val="19"/>
              </w:rPr>
              <w:t>$000</w:t>
            </w:r>
          </w:p>
        </w:tc>
        <w:tc>
          <w:tcPr>
            <w:tcW w:w="1548" w:type="dxa"/>
            <w:shd w:val="clear" w:color="auto" w:fill="783A79"/>
          </w:tcPr>
          <w:p>
            <w:pPr>
              <w:pStyle w:val="TableParagraph"/>
              <w:spacing w:before="47"/>
              <w:ind w:left="381"/>
              <w:rPr>
                <w:b/>
                <w:sz w:val="19"/>
              </w:rPr>
            </w:pPr>
            <w:r>
              <w:rPr>
                <w:b/>
                <w:color w:val="FFFFFF"/>
                <w:sz w:val="19"/>
              </w:rPr>
              <w:t>Actual</w:t>
            </w:r>
            <w:r>
              <w:rPr>
                <w:b/>
                <w:color w:val="FFFFFF"/>
                <w:spacing w:val="-4"/>
                <w:sz w:val="19"/>
              </w:rPr>
              <w:t> </w:t>
            </w:r>
            <w:r>
              <w:rPr>
                <w:b/>
                <w:color w:val="FFFFFF"/>
                <w:sz w:val="19"/>
              </w:rPr>
              <w:t>2017</w:t>
            </w:r>
          </w:p>
          <w:p>
            <w:pPr>
              <w:pStyle w:val="TableParagraph"/>
              <w:spacing w:before="0"/>
              <w:rPr>
                <w:sz w:val="22"/>
              </w:rPr>
            </w:pPr>
          </w:p>
          <w:p>
            <w:pPr>
              <w:pStyle w:val="TableParagraph"/>
              <w:spacing w:before="0"/>
              <w:rPr>
                <w:sz w:val="22"/>
              </w:rPr>
            </w:pPr>
          </w:p>
          <w:p>
            <w:pPr>
              <w:pStyle w:val="TableParagraph"/>
              <w:spacing w:before="188"/>
              <w:ind w:left="1011"/>
              <w:rPr>
                <w:b/>
                <w:sz w:val="19"/>
              </w:rPr>
            </w:pPr>
            <w:r>
              <w:rPr>
                <w:b/>
                <w:color w:val="FFFFFF"/>
                <w:sz w:val="19"/>
              </w:rPr>
              <w:t>$000</w:t>
            </w:r>
          </w:p>
        </w:tc>
        <w:tc>
          <w:tcPr>
            <w:tcW w:w="4757" w:type="dxa"/>
            <w:gridSpan w:val="3"/>
            <w:shd w:val="clear" w:color="auto" w:fill="783A79"/>
          </w:tcPr>
          <w:p>
            <w:pPr>
              <w:pStyle w:val="TableParagraph"/>
              <w:tabs>
                <w:tab w:pos="2200" w:val="left" w:leader="none"/>
                <w:tab w:pos="3861" w:val="left" w:leader="none"/>
              </w:tabs>
              <w:spacing w:before="47"/>
              <w:ind w:left="381"/>
              <w:rPr>
                <w:b/>
                <w:sz w:val="19"/>
              </w:rPr>
            </w:pPr>
            <w:r>
              <w:rPr>
                <w:b/>
                <w:color w:val="FFFFFF"/>
                <w:sz w:val="19"/>
              </w:rPr>
              <w:t>Actual</w:t>
            </w:r>
            <w:r>
              <w:rPr>
                <w:b/>
                <w:color w:val="FFFFFF"/>
                <w:spacing w:val="-2"/>
                <w:sz w:val="19"/>
              </w:rPr>
              <w:t> </w:t>
            </w:r>
            <w:r>
              <w:rPr>
                <w:b/>
                <w:color w:val="FFFFFF"/>
                <w:sz w:val="19"/>
              </w:rPr>
              <w:t>2016</w:t>
              <w:tab/>
              <w:t>Variance</w:t>
              <w:tab/>
              <w:t>Variance</w:t>
            </w:r>
          </w:p>
          <w:p>
            <w:pPr>
              <w:pStyle w:val="TableParagraph"/>
              <w:tabs>
                <w:tab w:pos="3210" w:val="left" w:leader="none"/>
                <w:tab w:pos="3248" w:val="left" w:leader="none"/>
              </w:tabs>
              <w:spacing w:line="249" w:lineRule="auto" w:before="10"/>
              <w:ind w:left="1806" w:right="112" w:firstLine="397"/>
              <w:jc w:val="right"/>
              <w:rPr>
                <w:b/>
                <w:sz w:val="19"/>
              </w:rPr>
            </w:pPr>
            <w:r>
              <w:rPr>
                <w:b/>
                <w:color w:val="FFFFFF"/>
                <w:sz w:val="19"/>
              </w:rPr>
              <w:t>between</w:t>
              <w:tab/>
              <w:tab/>
              <w:t>between</w:t>
            </w:r>
            <w:r>
              <w:rPr>
                <w:b/>
                <w:color w:val="FFFFFF"/>
                <w:spacing w:val="25"/>
                <w:sz w:val="19"/>
              </w:rPr>
              <w:t> </w:t>
            </w:r>
            <w:r>
              <w:rPr>
                <w:b/>
                <w:color w:val="FFFFFF"/>
                <w:spacing w:val="-3"/>
                <w:sz w:val="19"/>
              </w:rPr>
              <w:t>actual</w:t>
            </w:r>
            <w:r>
              <w:rPr>
                <w:b/>
                <w:color w:val="FFFFFF"/>
                <w:w w:val="101"/>
                <w:sz w:val="19"/>
              </w:rPr>
              <w:t> </w:t>
            </w:r>
            <w:r>
              <w:rPr>
                <w:b/>
                <w:color w:val="FFFFFF"/>
                <w:sz w:val="19"/>
              </w:rPr>
              <w:t>estimate</w:t>
            </w:r>
            <w:r>
              <w:rPr>
                <w:b/>
                <w:color w:val="FFFFFF"/>
                <w:spacing w:val="4"/>
                <w:sz w:val="19"/>
              </w:rPr>
              <w:t> </w:t>
            </w:r>
            <w:r>
              <w:rPr>
                <w:b/>
                <w:color w:val="FFFFFF"/>
                <w:sz w:val="19"/>
              </w:rPr>
              <w:t>and</w:t>
              <w:tab/>
              <w:tab/>
              <w:t>results</w:t>
            </w:r>
            <w:r>
              <w:rPr>
                <w:b/>
                <w:color w:val="FFFFFF"/>
                <w:spacing w:val="-6"/>
                <w:sz w:val="19"/>
              </w:rPr>
              <w:t> </w:t>
            </w:r>
            <w:r>
              <w:rPr>
                <w:b/>
                <w:color w:val="FFFFFF"/>
                <w:sz w:val="19"/>
              </w:rPr>
              <w:t>for</w:t>
            </w:r>
            <w:r>
              <w:rPr>
                <w:b/>
                <w:color w:val="FFFFFF"/>
                <w:spacing w:val="-6"/>
                <w:sz w:val="19"/>
              </w:rPr>
              <w:t> </w:t>
            </w:r>
            <w:r>
              <w:rPr>
                <w:b/>
                <w:color w:val="FFFFFF"/>
                <w:spacing w:val="-4"/>
                <w:sz w:val="19"/>
              </w:rPr>
              <w:t>2017</w:t>
            </w:r>
            <w:r>
              <w:rPr>
                <w:b/>
                <w:color w:val="FFFFFF"/>
                <w:w w:val="99"/>
                <w:sz w:val="19"/>
              </w:rPr>
              <w:t> </w:t>
            </w:r>
            <w:r>
              <w:rPr>
                <w:b/>
                <w:color w:val="FFFFFF"/>
                <w:sz w:val="19"/>
              </w:rPr>
              <w:t>actual</w:t>
              <w:tab/>
              <w:t>and</w:t>
            </w:r>
            <w:r>
              <w:rPr>
                <w:b/>
                <w:color w:val="FFFFFF"/>
                <w:spacing w:val="-1"/>
                <w:sz w:val="19"/>
              </w:rPr>
              <w:t> </w:t>
            </w:r>
            <w:r>
              <w:rPr>
                <w:b/>
                <w:color w:val="FFFFFF"/>
                <w:sz w:val="19"/>
              </w:rPr>
              <w:t>2016</w:t>
            </w:r>
          </w:p>
          <w:p>
            <w:pPr>
              <w:pStyle w:val="TableParagraph"/>
              <w:tabs>
                <w:tab w:pos="1547" w:val="left" w:leader="none"/>
                <w:tab w:pos="3208" w:val="left" w:leader="none"/>
              </w:tabs>
              <w:spacing w:before="2"/>
              <w:ind w:right="112"/>
              <w:jc w:val="right"/>
              <w:rPr>
                <w:b/>
                <w:sz w:val="19"/>
              </w:rPr>
            </w:pPr>
            <w:r>
              <w:rPr>
                <w:b/>
                <w:color w:val="FFFFFF"/>
                <w:sz w:val="19"/>
              </w:rPr>
              <w:t>$000</w:t>
              <w:tab/>
              <w:t>$000</w:t>
              <w:tab/>
            </w:r>
            <w:r>
              <w:rPr>
                <w:b/>
                <w:color w:val="FFFFFF"/>
                <w:w w:val="95"/>
                <w:sz w:val="19"/>
              </w:rPr>
              <w:t>$000</w:t>
            </w:r>
          </w:p>
        </w:tc>
      </w:tr>
      <w:tr>
        <w:trPr>
          <w:trHeight w:val="649" w:hRule="atLeast"/>
        </w:trPr>
        <w:tc>
          <w:tcPr>
            <w:tcW w:w="5896" w:type="dxa"/>
            <w:shd w:val="clear" w:color="auto" w:fill="FFFFFF"/>
          </w:tcPr>
          <w:p>
            <w:pPr>
              <w:pStyle w:val="TableParagraph"/>
              <w:spacing w:before="42"/>
              <w:ind w:left="113"/>
              <w:rPr>
                <w:b/>
                <w:sz w:val="19"/>
              </w:rPr>
            </w:pPr>
            <w:r>
              <w:rPr>
                <w:b/>
                <w:sz w:val="19"/>
              </w:rPr>
              <w:t>INCOME FROM ADMINISTERED ITEMS</w:t>
            </w:r>
          </w:p>
          <w:p>
            <w:pPr>
              <w:pStyle w:val="TableParagraph"/>
              <w:spacing w:before="109"/>
              <w:ind w:left="113"/>
              <w:rPr>
                <w:b/>
                <w:sz w:val="19"/>
              </w:rPr>
            </w:pPr>
            <w:r>
              <w:rPr>
                <w:b/>
                <w:w w:val="105"/>
                <w:sz w:val="19"/>
              </w:rPr>
              <w:t>INCOME</w:t>
            </w: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0"/>
              <w:rPr>
                <w:rFonts w:ascii="Times New Roman"/>
                <w:sz w:val="20"/>
              </w:rPr>
            </w:pPr>
          </w:p>
        </w:tc>
        <w:tc>
          <w:tcPr>
            <w:tcW w:w="1548" w:type="dxa"/>
            <w:vMerge w:val="restart"/>
            <w:tcBorders>
              <w:bottom w:val="single" w:sz="4" w:space="0" w:color="000000"/>
            </w:tcBorders>
            <w:shd w:val="clear" w:color="auto" w:fill="E1E4BB"/>
          </w:tcPr>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0"/>
              <w:rPr>
                <w:sz w:val="23"/>
              </w:rPr>
            </w:pPr>
          </w:p>
          <w:p>
            <w:pPr>
              <w:pStyle w:val="TableParagraph"/>
              <w:spacing w:before="0"/>
              <w:ind w:left="698" w:right="65"/>
              <w:jc w:val="center"/>
              <w:rPr>
                <w:sz w:val="19"/>
              </w:rPr>
            </w:pPr>
            <w:r>
              <w:rPr>
                <w:sz w:val="19"/>
              </w:rPr>
              <w:t>641,372</w:t>
            </w:r>
          </w:p>
          <w:p>
            <w:pPr>
              <w:pStyle w:val="TableParagraph"/>
              <w:spacing w:before="109"/>
              <w:ind w:left="698" w:right="65"/>
              <w:jc w:val="center"/>
              <w:rPr>
                <w:sz w:val="19"/>
              </w:rPr>
            </w:pPr>
            <w:r>
              <w:rPr>
                <w:sz w:val="19"/>
              </w:rPr>
              <w:t>873,746</w:t>
            </w:r>
          </w:p>
          <w:p>
            <w:pPr>
              <w:pStyle w:val="TableParagraph"/>
              <w:spacing w:before="109"/>
              <w:ind w:left="539" w:right="65"/>
              <w:jc w:val="center"/>
              <w:rPr>
                <w:sz w:val="19"/>
              </w:rPr>
            </w:pPr>
            <w:r>
              <w:rPr>
                <w:sz w:val="19"/>
              </w:rPr>
              <w:t>3,255,594</w:t>
            </w:r>
          </w:p>
          <w:p>
            <w:pPr>
              <w:pStyle w:val="TableParagraph"/>
              <w:spacing w:before="108"/>
              <w:ind w:left="539" w:right="65"/>
              <w:jc w:val="center"/>
              <w:rPr>
                <w:sz w:val="19"/>
              </w:rPr>
            </w:pPr>
            <w:r>
              <w:rPr>
                <w:sz w:val="19"/>
              </w:rPr>
              <w:t>1,356,805</w:t>
            </w:r>
          </w:p>
          <w:p>
            <w:pPr>
              <w:pStyle w:val="TableParagraph"/>
              <w:spacing w:before="109"/>
              <w:ind w:left="698" w:right="65"/>
              <w:jc w:val="center"/>
              <w:rPr>
                <w:sz w:val="19"/>
              </w:rPr>
            </w:pPr>
            <w:r>
              <w:rPr>
                <w:sz w:val="19"/>
              </w:rPr>
              <w:t>344,133</w:t>
            </w:r>
          </w:p>
          <w:p>
            <w:pPr>
              <w:pStyle w:val="TableParagraph"/>
              <w:spacing w:before="109"/>
              <w:ind w:left="698" w:right="65"/>
              <w:jc w:val="center"/>
              <w:rPr>
                <w:sz w:val="19"/>
              </w:rPr>
            </w:pPr>
            <w:r>
              <w:rPr>
                <w:sz w:val="19"/>
              </w:rPr>
              <w:t>327,695</w:t>
            </w:r>
          </w:p>
          <w:p>
            <w:pPr>
              <w:pStyle w:val="TableParagraph"/>
              <w:spacing w:before="0"/>
              <w:rPr>
                <w:sz w:val="22"/>
              </w:rPr>
            </w:pPr>
          </w:p>
          <w:p>
            <w:pPr>
              <w:pStyle w:val="TableParagraph"/>
              <w:spacing w:before="0"/>
              <w:rPr>
                <w:sz w:val="22"/>
              </w:rPr>
            </w:pPr>
          </w:p>
          <w:p>
            <w:pPr>
              <w:pStyle w:val="TableParagraph"/>
              <w:spacing w:before="4"/>
              <w:rPr>
                <w:sz w:val="22"/>
              </w:rPr>
            </w:pPr>
          </w:p>
          <w:p>
            <w:pPr>
              <w:pStyle w:val="TableParagraph"/>
              <w:spacing w:before="0"/>
              <w:ind w:left="804" w:right="65"/>
              <w:jc w:val="center"/>
              <w:rPr>
                <w:sz w:val="19"/>
              </w:rPr>
            </w:pPr>
            <w:r>
              <w:rPr>
                <w:sz w:val="19"/>
              </w:rPr>
              <w:t>40,086</w:t>
            </w:r>
          </w:p>
          <w:p>
            <w:pPr>
              <w:pStyle w:val="TableParagraph"/>
              <w:spacing w:before="0"/>
              <w:rPr>
                <w:sz w:val="22"/>
              </w:rPr>
            </w:pPr>
          </w:p>
          <w:p>
            <w:pPr>
              <w:pStyle w:val="TableParagraph"/>
              <w:spacing w:before="183"/>
              <w:ind w:left="803" w:right="65"/>
              <w:jc w:val="center"/>
              <w:rPr>
                <w:sz w:val="19"/>
              </w:rPr>
            </w:pPr>
            <w:r>
              <w:rPr>
                <w:sz w:val="19"/>
              </w:rPr>
              <w:t>72,765</w:t>
            </w:r>
          </w:p>
          <w:p>
            <w:pPr>
              <w:pStyle w:val="TableParagraph"/>
              <w:spacing w:before="108"/>
              <w:ind w:left="698" w:right="65"/>
              <w:jc w:val="center"/>
              <w:rPr>
                <w:sz w:val="19"/>
              </w:rPr>
            </w:pPr>
            <w:r>
              <w:rPr>
                <w:sz w:val="19"/>
              </w:rPr>
              <w:t>164,281</w:t>
            </w:r>
          </w:p>
          <w:p>
            <w:pPr>
              <w:pStyle w:val="TableParagraph"/>
              <w:spacing w:before="109"/>
              <w:ind w:left="804" w:right="65"/>
              <w:jc w:val="center"/>
              <w:rPr>
                <w:sz w:val="19"/>
              </w:rPr>
            </w:pPr>
            <w:r>
              <w:rPr>
                <w:sz w:val="19"/>
              </w:rPr>
              <w:t>63,549</w:t>
            </w:r>
          </w:p>
        </w:tc>
        <w:tc>
          <w:tcPr>
            <w:tcW w:w="1548" w:type="dxa"/>
            <w:shd w:val="clear" w:color="auto" w:fill="FFFFFF"/>
          </w:tcPr>
          <w:p>
            <w:pPr>
              <w:pStyle w:val="TableParagraph"/>
              <w:spacing w:before="0"/>
              <w:rPr>
                <w:rFonts w:ascii="Times New Roman"/>
                <w:sz w:val="20"/>
              </w:rPr>
            </w:pPr>
          </w:p>
        </w:tc>
        <w:tc>
          <w:tcPr>
            <w:tcW w:w="1548" w:type="dxa"/>
            <w:shd w:val="clear" w:color="auto" w:fill="FFFFFF"/>
          </w:tcPr>
          <w:p>
            <w:pPr>
              <w:pStyle w:val="TableParagraph"/>
              <w:spacing w:before="0"/>
              <w:rPr>
                <w:rFonts w:ascii="Times New Roman"/>
                <w:sz w:val="20"/>
              </w:rPr>
            </w:pPr>
          </w:p>
        </w:tc>
        <w:tc>
          <w:tcPr>
            <w:tcW w:w="1661" w:type="dxa"/>
            <w:shd w:val="clear" w:color="auto" w:fill="FFFFFF"/>
          </w:tcPr>
          <w:p>
            <w:pPr>
              <w:pStyle w:val="TableParagraph"/>
              <w:spacing w:before="0"/>
              <w:rPr>
                <w:rFonts w:ascii="Times New Roman"/>
                <w:sz w:val="20"/>
              </w:rPr>
            </w:pPr>
          </w:p>
        </w:tc>
      </w:tr>
      <w:tr>
        <w:trPr>
          <w:trHeight w:val="644" w:hRule="atLeast"/>
        </w:trPr>
        <w:tc>
          <w:tcPr>
            <w:tcW w:w="5896" w:type="dxa"/>
            <w:shd w:val="clear" w:color="auto" w:fill="FFFFFF"/>
          </w:tcPr>
          <w:p>
            <w:pPr>
              <w:pStyle w:val="TableParagraph"/>
              <w:spacing w:before="37"/>
              <w:ind w:left="113"/>
              <w:rPr>
                <w:sz w:val="19"/>
              </w:rPr>
            </w:pPr>
            <w:r>
              <w:rPr>
                <w:sz w:val="19"/>
              </w:rPr>
              <w:t>Taxation</w:t>
            </w:r>
          </w:p>
          <w:p>
            <w:pPr>
              <w:pStyle w:val="TableParagraph"/>
              <w:spacing w:before="109"/>
              <w:ind w:left="272"/>
              <w:rPr>
                <w:sz w:val="19"/>
              </w:rPr>
            </w:pPr>
            <w:r>
              <w:rPr>
                <w:sz w:val="19"/>
              </w:rPr>
              <w:t>Insurance Duty</w:t>
            </w:r>
          </w:p>
        </w:tc>
        <w:tc>
          <w:tcPr>
            <w:tcW w:w="1548" w:type="dxa"/>
            <w:shd w:val="clear" w:color="auto" w:fill="FFFFFF"/>
          </w:tcPr>
          <w:p>
            <w:pPr>
              <w:pStyle w:val="TableParagraph"/>
              <w:spacing w:before="8"/>
              <w:rPr>
                <w:sz w:val="31"/>
              </w:rPr>
            </w:pPr>
          </w:p>
          <w:p>
            <w:pPr>
              <w:pStyle w:val="TableParagraph"/>
              <w:spacing w:before="0"/>
              <w:jc w:val="center"/>
              <w:rPr>
                <w:sz w:val="19"/>
              </w:rPr>
            </w:pPr>
            <w:hyperlink w:history="true" w:anchor="_bookmark57">
              <w:r>
                <w:rPr>
                  <w:color w:val="A7BE39"/>
                  <w:w w:val="99"/>
                  <w:sz w:val="19"/>
                  <w:u w:val="single" w:color="A7BE39"/>
                </w:rPr>
                <w:t>1</w:t>
              </w:r>
            </w:hyperlink>
          </w:p>
        </w:tc>
        <w:tc>
          <w:tcPr>
            <w:tcW w:w="1548" w:type="dxa"/>
            <w:shd w:val="clear" w:color="auto" w:fill="FFFFFF"/>
          </w:tcPr>
          <w:p>
            <w:pPr>
              <w:pStyle w:val="TableParagraph"/>
              <w:spacing w:before="8"/>
              <w:rPr>
                <w:sz w:val="31"/>
              </w:rPr>
            </w:pPr>
          </w:p>
          <w:p>
            <w:pPr>
              <w:pStyle w:val="TableParagraph"/>
              <w:spacing w:before="0"/>
              <w:ind w:right="111"/>
              <w:jc w:val="right"/>
              <w:rPr>
                <w:sz w:val="19"/>
              </w:rPr>
            </w:pPr>
            <w:r>
              <w:rPr>
                <w:w w:val="95"/>
                <w:sz w:val="19"/>
              </w:rPr>
              <w:t>655,887</w:t>
            </w:r>
          </w:p>
        </w:tc>
        <w:tc>
          <w:tcPr>
            <w:tcW w:w="1548" w:type="dxa"/>
            <w:vMerge/>
            <w:tcBorders>
              <w:top w:val="nil"/>
              <w:bottom w:val="single" w:sz="4" w:space="0" w:color="000000"/>
            </w:tcBorders>
            <w:shd w:val="clear" w:color="auto" w:fill="E1E4BB"/>
          </w:tcPr>
          <w:p>
            <w:pPr>
              <w:rPr>
                <w:sz w:val="2"/>
                <w:szCs w:val="2"/>
              </w:rPr>
            </w:pPr>
          </w:p>
        </w:tc>
        <w:tc>
          <w:tcPr>
            <w:tcW w:w="1548" w:type="dxa"/>
            <w:shd w:val="clear" w:color="auto" w:fill="FFFFFF"/>
          </w:tcPr>
          <w:p>
            <w:pPr>
              <w:pStyle w:val="TableParagraph"/>
              <w:spacing w:before="8"/>
              <w:rPr>
                <w:sz w:val="31"/>
              </w:rPr>
            </w:pPr>
          </w:p>
          <w:p>
            <w:pPr>
              <w:pStyle w:val="TableParagraph"/>
              <w:spacing w:before="0"/>
              <w:ind w:right="112"/>
              <w:jc w:val="right"/>
              <w:rPr>
                <w:sz w:val="19"/>
              </w:rPr>
            </w:pPr>
            <w:r>
              <w:rPr>
                <w:w w:val="95"/>
                <w:sz w:val="19"/>
              </w:rPr>
              <w:t>591,502</w:t>
            </w:r>
          </w:p>
        </w:tc>
        <w:tc>
          <w:tcPr>
            <w:tcW w:w="1548" w:type="dxa"/>
            <w:shd w:val="clear" w:color="auto" w:fill="FFFFFF"/>
          </w:tcPr>
          <w:p>
            <w:pPr>
              <w:pStyle w:val="TableParagraph"/>
              <w:spacing w:before="8"/>
              <w:rPr>
                <w:sz w:val="31"/>
              </w:rPr>
            </w:pPr>
          </w:p>
          <w:p>
            <w:pPr>
              <w:pStyle w:val="TableParagraph"/>
              <w:spacing w:before="0"/>
              <w:ind w:right="112"/>
              <w:jc w:val="right"/>
              <w:rPr>
                <w:sz w:val="19"/>
              </w:rPr>
            </w:pPr>
            <w:r>
              <w:rPr>
                <w:w w:val="95"/>
                <w:sz w:val="19"/>
              </w:rPr>
              <w:t>(14,515)</w:t>
            </w:r>
          </w:p>
        </w:tc>
        <w:tc>
          <w:tcPr>
            <w:tcW w:w="1661" w:type="dxa"/>
            <w:shd w:val="clear" w:color="auto" w:fill="FFFFFF"/>
          </w:tcPr>
          <w:p>
            <w:pPr>
              <w:pStyle w:val="TableParagraph"/>
              <w:spacing w:before="8"/>
              <w:rPr>
                <w:sz w:val="31"/>
              </w:rPr>
            </w:pPr>
          </w:p>
          <w:p>
            <w:pPr>
              <w:pStyle w:val="TableParagraph"/>
              <w:spacing w:before="0"/>
              <w:ind w:right="112"/>
              <w:jc w:val="right"/>
              <w:rPr>
                <w:sz w:val="19"/>
              </w:rPr>
            </w:pPr>
            <w:r>
              <w:rPr>
                <w:w w:val="95"/>
                <w:sz w:val="19"/>
              </w:rPr>
              <w:t>49,870</w:t>
            </w:r>
          </w:p>
        </w:tc>
      </w:tr>
      <w:tr>
        <w:trPr>
          <w:trHeight w:val="639" w:hRule="atLeast"/>
        </w:trPr>
        <w:tc>
          <w:tcPr>
            <w:tcW w:w="5896" w:type="dxa"/>
            <w:shd w:val="clear" w:color="auto" w:fill="FFFFFF"/>
          </w:tcPr>
          <w:p>
            <w:pPr>
              <w:pStyle w:val="TableParagraph"/>
              <w:spacing w:before="37"/>
              <w:ind w:left="272"/>
              <w:rPr>
                <w:sz w:val="19"/>
              </w:rPr>
            </w:pPr>
            <w:r>
              <w:rPr>
                <w:sz w:val="19"/>
              </w:rPr>
              <w:t>Land Tax</w:t>
            </w:r>
          </w:p>
          <w:p>
            <w:pPr>
              <w:pStyle w:val="TableParagraph"/>
              <w:spacing w:before="109"/>
              <w:ind w:left="272"/>
              <w:rPr>
                <w:sz w:val="19"/>
              </w:rPr>
            </w:pPr>
            <w:r>
              <w:rPr>
                <w:sz w:val="19"/>
              </w:rPr>
              <w:t>Payroll Tax</w:t>
            </w:r>
          </w:p>
        </w:tc>
        <w:tc>
          <w:tcPr>
            <w:tcW w:w="1548" w:type="dxa"/>
            <w:shd w:val="clear" w:color="auto" w:fill="FFFFFF"/>
          </w:tcPr>
          <w:p>
            <w:pPr>
              <w:pStyle w:val="TableParagraph"/>
              <w:spacing w:before="37"/>
              <w:jc w:val="center"/>
              <w:rPr>
                <w:sz w:val="19"/>
              </w:rPr>
            </w:pPr>
            <w:hyperlink w:history="true" w:anchor="_bookmark57">
              <w:r>
                <w:rPr>
                  <w:color w:val="A7BE39"/>
                  <w:w w:val="99"/>
                  <w:sz w:val="19"/>
                  <w:u w:val="single" w:color="A7BE39"/>
                </w:rPr>
                <w:t>2</w:t>
              </w:r>
            </w:hyperlink>
          </w:p>
          <w:p>
            <w:pPr>
              <w:pStyle w:val="TableParagraph"/>
              <w:spacing w:before="109"/>
              <w:jc w:val="center"/>
              <w:rPr>
                <w:sz w:val="19"/>
              </w:rPr>
            </w:pPr>
            <w:hyperlink w:history="true" w:anchor="_bookmark57">
              <w:r>
                <w:rPr>
                  <w:color w:val="A7BE39"/>
                  <w:w w:val="99"/>
                  <w:sz w:val="19"/>
                  <w:u w:val="single" w:color="A7BE39"/>
                </w:rPr>
                <w:t>3</w:t>
              </w:r>
            </w:hyperlink>
          </w:p>
        </w:tc>
        <w:tc>
          <w:tcPr>
            <w:tcW w:w="1548" w:type="dxa"/>
            <w:shd w:val="clear" w:color="auto" w:fill="FFFFFF"/>
          </w:tcPr>
          <w:p>
            <w:pPr>
              <w:pStyle w:val="TableParagraph"/>
              <w:spacing w:before="37"/>
              <w:ind w:left="698" w:right="65"/>
              <w:jc w:val="center"/>
              <w:rPr>
                <w:sz w:val="19"/>
              </w:rPr>
            </w:pPr>
            <w:r>
              <w:rPr>
                <w:sz w:val="19"/>
              </w:rPr>
              <w:t>893,176</w:t>
            </w:r>
          </w:p>
          <w:p>
            <w:pPr>
              <w:pStyle w:val="TableParagraph"/>
              <w:spacing w:before="109"/>
              <w:ind w:left="540" w:right="65"/>
              <w:jc w:val="center"/>
              <w:rPr>
                <w:sz w:val="19"/>
              </w:rPr>
            </w:pPr>
            <w:r>
              <w:rPr>
                <w:sz w:val="19"/>
              </w:rPr>
              <w:t>3,524,426</w:t>
            </w:r>
          </w:p>
        </w:tc>
        <w:tc>
          <w:tcPr>
            <w:tcW w:w="1548" w:type="dxa"/>
            <w:vMerge/>
            <w:tcBorders>
              <w:top w:val="nil"/>
              <w:bottom w:val="single" w:sz="4" w:space="0" w:color="000000"/>
            </w:tcBorders>
            <w:shd w:val="clear" w:color="auto" w:fill="E1E4BB"/>
          </w:tcPr>
          <w:p>
            <w:pPr>
              <w:rPr>
                <w:sz w:val="2"/>
                <w:szCs w:val="2"/>
              </w:rPr>
            </w:pPr>
          </w:p>
        </w:tc>
        <w:tc>
          <w:tcPr>
            <w:tcW w:w="1548" w:type="dxa"/>
            <w:shd w:val="clear" w:color="auto" w:fill="FFFFFF"/>
          </w:tcPr>
          <w:p>
            <w:pPr>
              <w:pStyle w:val="TableParagraph"/>
              <w:spacing w:before="37"/>
              <w:ind w:left="697" w:right="65"/>
              <w:jc w:val="center"/>
              <w:rPr>
                <w:sz w:val="19"/>
              </w:rPr>
            </w:pPr>
            <w:r>
              <w:rPr>
                <w:sz w:val="19"/>
              </w:rPr>
              <w:t>945,532</w:t>
            </w:r>
          </w:p>
          <w:p>
            <w:pPr>
              <w:pStyle w:val="TableParagraph"/>
              <w:spacing w:before="109"/>
              <w:ind w:left="539" w:right="65"/>
              <w:jc w:val="center"/>
              <w:rPr>
                <w:sz w:val="19"/>
              </w:rPr>
            </w:pPr>
            <w:r>
              <w:rPr>
                <w:sz w:val="19"/>
              </w:rPr>
              <w:t>3,492,369</w:t>
            </w:r>
          </w:p>
        </w:tc>
        <w:tc>
          <w:tcPr>
            <w:tcW w:w="1548" w:type="dxa"/>
            <w:shd w:val="clear" w:color="auto" w:fill="FFFFFF"/>
          </w:tcPr>
          <w:p>
            <w:pPr>
              <w:pStyle w:val="TableParagraph"/>
              <w:spacing w:before="37"/>
              <w:ind w:left="711" w:right="65"/>
              <w:jc w:val="center"/>
              <w:rPr>
                <w:sz w:val="19"/>
              </w:rPr>
            </w:pPr>
            <w:r>
              <w:rPr>
                <w:sz w:val="19"/>
              </w:rPr>
              <w:t>(19,430)</w:t>
            </w:r>
          </w:p>
          <w:p>
            <w:pPr>
              <w:pStyle w:val="TableParagraph"/>
              <w:spacing w:before="109"/>
              <w:ind w:left="568" w:right="28"/>
              <w:jc w:val="center"/>
              <w:rPr>
                <w:sz w:val="19"/>
              </w:rPr>
            </w:pPr>
            <w:r>
              <w:rPr>
                <w:sz w:val="19"/>
              </w:rPr>
              <w:t>(268,832)</w:t>
            </w:r>
          </w:p>
        </w:tc>
        <w:tc>
          <w:tcPr>
            <w:tcW w:w="1661" w:type="dxa"/>
            <w:shd w:val="clear" w:color="auto" w:fill="FFFFFF"/>
          </w:tcPr>
          <w:p>
            <w:pPr>
              <w:pStyle w:val="TableParagraph"/>
              <w:spacing w:before="37"/>
              <w:ind w:left="836" w:right="77"/>
              <w:jc w:val="center"/>
              <w:rPr>
                <w:sz w:val="19"/>
              </w:rPr>
            </w:pPr>
            <w:r>
              <w:rPr>
                <w:sz w:val="19"/>
              </w:rPr>
              <w:t>(71,786)</w:t>
            </w:r>
          </w:p>
          <w:p>
            <w:pPr>
              <w:pStyle w:val="TableParagraph"/>
              <w:spacing w:before="109"/>
              <w:ind w:left="730" w:right="77"/>
              <w:jc w:val="center"/>
              <w:rPr>
                <w:sz w:val="19"/>
              </w:rPr>
            </w:pPr>
            <w:r>
              <w:rPr>
                <w:sz w:val="19"/>
              </w:rPr>
              <w:t>(236,775)</w:t>
            </w:r>
          </w:p>
        </w:tc>
      </w:tr>
      <w:tr>
        <w:trPr>
          <w:trHeight w:val="302" w:hRule="atLeast"/>
        </w:trPr>
        <w:tc>
          <w:tcPr>
            <w:tcW w:w="5896" w:type="dxa"/>
            <w:vMerge w:val="restart"/>
            <w:shd w:val="clear" w:color="auto" w:fill="FFFFFF"/>
          </w:tcPr>
          <w:p>
            <w:pPr>
              <w:pStyle w:val="TableParagraph"/>
              <w:ind w:left="272"/>
              <w:rPr>
                <w:sz w:val="19"/>
              </w:rPr>
            </w:pPr>
            <w:r>
              <w:rPr>
                <w:sz w:val="19"/>
              </w:rPr>
              <w:t>Transfer Duty</w:t>
            </w:r>
          </w:p>
          <w:p>
            <w:pPr>
              <w:pStyle w:val="TableParagraph"/>
              <w:spacing w:before="109"/>
              <w:ind w:left="272"/>
              <w:rPr>
                <w:sz w:val="19"/>
              </w:rPr>
            </w:pPr>
            <w:r>
              <w:rPr>
                <w:sz w:val="19"/>
              </w:rPr>
              <w:t>Vehicle Licence Duty</w:t>
            </w:r>
          </w:p>
        </w:tc>
        <w:tc>
          <w:tcPr>
            <w:tcW w:w="1548" w:type="dxa"/>
            <w:tcBorders>
              <w:top w:val="single" w:sz="8" w:space="0" w:color="FFFFFF"/>
              <w:left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tcBorders>
            <w:shd w:val="clear" w:color="auto" w:fill="F4F4F4"/>
          </w:tcPr>
          <w:p>
            <w:pPr>
              <w:pStyle w:val="TableParagraph"/>
              <w:ind w:right="111"/>
              <w:jc w:val="right"/>
              <w:rPr>
                <w:sz w:val="19"/>
              </w:rPr>
            </w:pPr>
            <w:r>
              <w:rPr>
                <w:w w:val="95"/>
                <w:sz w:val="19"/>
              </w:rPr>
              <w:t>1,387,238</w:t>
            </w:r>
          </w:p>
        </w:tc>
        <w:tc>
          <w:tcPr>
            <w:tcW w:w="1548" w:type="dxa"/>
            <w:vMerge/>
            <w:tcBorders>
              <w:top w:val="nil"/>
              <w:bottom w:val="single" w:sz="4" w:space="0" w:color="000000"/>
            </w:tcBorders>
            <w:shd w:val="clear" w:color="auto" w:fill="E1E4BB"/>
          </w:tcPr>
          <w:p>
            <w:pPr>
              <w:rPr>
                <w:sz w:val="2"/>
                <w:szCs w:val="2"/>
              </w:rPr>
            </w:pPr>
          </w:p>
        </w:tc>
        <w:tc>
          <w:tcPr>
            <w:tcW w:w="1548" w:type="dxa"/>
            <w:tcBorders>
              <w:top w:val="single" w:sz="8" w:space="0" w:color="FFFFFF"/>
              <w:right w:val="single" w:sz="8" w:space="0" w:color="FFFFFF"/>
            </w:tcBorders>
            <w:shd w:val="clear" w:color="auto" w:fill="F4F4F4"/>
          </w:tcPr>
          <w:p>
            <w:pPr>
              <w:pStyle w:val="TableParagraph"/>
              <w:ind w:right="102"/>
              <w:jc w:val="right"/>
              <w:rPr>
                <w:sz w:val="19"/>
              </w:rPr>
            </w:pPr>
            <w:r>
              <w:rPr>
                <w:w w:val="95"/>
                <w:sz w:val="19"/>
              </w:rPr>
              <w:t>1,337,635</w:t>
            </w:r>
          </w:p>
        </w:tc>
        <w:tc>
          <w:tcPr>
            <w:tcW w:w="1548" w:type="dxa"/>
            <w:tcBorders>
              <w:top w:val="single" w:sz="8" w:space="0" w:color="FFFFFF"/>
              <w:left w:val="single" w:sz="8" w:space="0" w:color="FFFFFF"/>
              <w:right w:val="single" w:sz="8" w:space="0" w:color="FFFFFF"/>
            </w:tcBorders>
            <w:shd w:val="clear" w:color="auto" w:fill="F4F4F4"/>
          </w:tcPr>
          <w:p>
            <w:pPr>
              <w:pStyle w:val="TableParagraph"/>
              <w:ind w:right="102"/>
              <w:jc w:val="right"/>
              <w:rPr>
                <w:sz w:val="19"/>
              </w:rPr>
            </w:pPr>
            <w:r>
              <w:rPr>
                <w:w w:val="95"/>
                <w:sz w:val="19"/>
              </w:rPr>
              <w:t>(30,433)</w:t>
            </w:r>
          </w:p>
        </w:tc>
        <w:tc>
          <w:tcPr>
            <w:tcW w:w="1661" w:type="dxa"/>
            <w:tcBorders>
              <w:top w:val="single" w:sz="8" w:space="0" w:color="FFFFFF"/>
              <w:left w:val="single" w:sz="8" w:space="0" w:color="FFFFFF"/>
            </w:tcBorders>
            <w:shd w:val="clear" w:color="auto" w:fill="F4F4F4"/>
          </w:tcPr>
          <w:p>
            <w:pPr>
              <w:pStyle w:val="TableParagraph"/>
              <w:ind w:right="112"/>
              <w:jc w:val="right"/>
              <w:rPr>
                <w:sz w:val="19"/>
              </w:rPr>
            </w:pPr>
            <w:r>
              <w:rPr>
                <w:w w:val="95"/>
                <w:sz w:val="19"/>
              </w:rPr>
              <w:t>19,170</w:t>
            </w:r>
          </w:p>
        </w:tc>
      </w:tr>
      <w:tr>
        <w:trPr>
          <w:trHeight w:val="322" w:hRule="atLeast"/>
        </w:trPr>
        <w:tc>
          <w:tcPr>
            <w:tcW w:w="5896" w:type="dxa"/>
            <w:vMerge/>
            <w:tcBorders>
              <w:top w:val="nil"/>
            </w:tcBorders>
            <w:shd w:val="clear" w:color="auto" w:fill="FFFFFF"/>
          </w:tcPr>
          <w:p>
            <w:pPr>
              <w:rPr>
                <w:sz w:val="2"/>
                <w:szCs w:val="2"/>
              </w:rPr>
            </w:pPr>
          </w:p>
        </w:tc>
        <w:tc>
          <w:tcPr>
            <w:tcW w:w="3096" w:type="dxa"/>
            <w:gridSpan w:val="2"/>
            <w:shd w:val="clear" w:color="auto" w:fill="FFFFFF"/>
          </w:tcPr>
          <w:p>
            <w:pPr>
              <w:pStyle w:val="TableParagraph"/>
              <w:spacing w:before="47"/>
              <w:ind w:right="111"/>
              <w:jc w:val="right"/>
              <w:rPr>
                <w:sz w:val="19"/>
              </w:rPr>
            </w:pPr>
            <w:r>
              <w:rPr>
                <w:w w:val="95"/>
                <w:sz w:val="19"/>
              </w:rPr>
              <w:t>350,367</w:t>
            </w:r>
          </w:p>
        </w:tc>
        <w:tc>
          <w:tcPr>
            <w:tcW w:w="1548" w:type="dxa"/>
            <w:vMerge/>
            <w:tcBorders>
              <w:top w:val="nil"/>
              <w:bottom w:val="single" w:sz="4" w:space="0" w:color="000000"/>
            </w:tcBorders>
            <w:shd w:val="clear" w:color="auto" w:fill="E1E4BB"/>
          </w:tcPr>
          <w:p>
            <w:pPr>
              <w:rPr>
                <w:sz w:val="2"/>
                <w:szCs w:val="2"/>
              </w:rPr>
            </w:pPr>
          </w:p>
        </w:tc>
        <w:tc>
          <w:tcPr>
            <w:tcW w:w="4757" w:type="dxa"/>
            <w:gridSpan w:val="3"/>
            <w:vMerge w:val="restart"/>
            <w:tcBorders>
              <w:bottom w:val="single" w:sz="8" w:space="0" w:color="FFFFFF"/>
            </w:tcBorders>
            <w:shd w:val="clear" w:color="auto" w:fill="F4F4F4"/>
          </w:tcPr>
          <w:p>
            <w:pPr>
              <w:pStyle w:val="TableParagraph"/>
              <w:tabs>
                <w:tab w:pos="2414" w:val="left" w:leader="none"/>
                <w:tab w:pos="4075" w:val="left" w:leader="none"/>
              </w:tabs>
              <w:spacing w:before="47"/>
              <w:ind w:left="747"/>
              <w:rPr>
                <w:sz w:val="19"/>
              </w:rPr>
            </w:pPr>
            <w:r>
              <w:rPr>
                <w:sz w:val="19"/>
              </w:rPr>
              <w:t>345,655</w:t>
              <w:tab/>
              <w:t>(6,234)</w:t>
              <w:tab/>
              <w:t>(1,522)</w:t>
            </w:r>
          </w:p>
          <w:p>
            <w:pPr>
              <w:pStyle w:val="TableParagraph"/>
              <w:tabs>
                <w:tab w:pos="2400" w:val="left" w:leader="none"/>
                <w:tab w:pos="3864" w:val="left" w:leader="none"/>
              </w:tabs>
              <w:spacing w:before="109"/>
              <w:ind w:left="746"/>
              <w:rPr>
                <w:sz w:val="19"/>
              </w:rPr>
            </w:pPr>
            <w:r>
              <w:rPr>
                <w:sz w:val="19"/>
              </w:rPr>
              <w:t>602,423</w:t>
              <w:tab/>
              <w:t>37,651</w:t>
              <w:tab/>
              <w:t>(274,729)</w:t>
            </w:r>
          </w:p>
        </w:tc>
      </w:tr>
      <w:tr>
        <w:trPr>
          <w:trHeight w:val="297" w:hRule="atLeast"/>
        </w:trPr>
        <w:tc>
          <w:tcPr>
            <w:tcW w:w="5896" w:type="dxa"/>
            <w:vMerge w:val="restart"/>
            <w:shd w:val="clear" w:color="auto" w:fill="FFFFFF"/>
          </w:tcPr>
          <w:p>
            <w:pPr>
              <w:pStyle w:val="TableParagraph"/>
              <w:ind w:left="272"/>
              <w:rPr>
                <w:sz w:val="10"/>
              </w:rPr>
            </w:pPr>
            <w:r>
              <w:rPr>
                <w:sz w:val="19"/>
              </w:rPr>
              <w:t>Other income</w:t>
            </w:r>
            <w:r>
              <w:rPr>
                <w:position w:val="6"/>
                <w:sz w:val="10"/>
              </w:rPr>
              <w:t>(a)</w:t>
            </w:r>
          </w:p>
        </w:tc>
        <w:tc>
          <w:tcPr>
            <w:tcW w:w="1548" w:type="dxa"/>
            <w:tcBorders>
              <w:top w:val="single" w:sz="8" w:space="0" w:color="FFFFFF"/>
              <w:left w:val="single" w:sz="8" w:space="0" w:color="FFFFFF"/>
              <w:right w:val="single" w:sz="8" w:space="0" w:color="FFFFFF"/>
            </w:tcBorders>
            <w:shd w:val="clear" w:color="auto" w:fill="F4F4F4"/>
          </w:tcPr>
          <w:p>
            <w:pPr>
              <w:pStyle w:val="TableParagraph"/>
              <w:jc w:val="center"/>
              <w:rPr>
                <w:sz w:val="19"/>
              </w:rPr>
            </w:pPr>
            <w:hyperlink w:history="true" w:anchor="_bookmark57">
              <w:r>
                <w:rPr>
                  <w:color w:val="A7BE39"/>
                  <w:w w:val="99"/>
                  <w:sz w:val="19"/>
                  <w:u w:val="single" w:color="A7BE39"/>
                </w:rPr>
                <w:t>4</w:t>
              </w:r>
            </w:hyperlink>
          </w:p>
        </w:tc>
        <w:tc>
          <w:tcPr>
            <w:tcW w:w="1548" w:type="dxa"/>
            <w:tcBorders>
              <w:top w:val="single" w:sz="8" w:space="0" w:color="FFFFFF"/>
              <w:left w:val="single" w:sz="8" w:space="0" w:color="FFFFFF"/>
            </w:tcBorders>
            <w:shd w:val="clear" w:color="auto" w:fill="F4F4F4"/>
          </w:tcPr>
          <w:p>
            <w:pPr>
              <w:pStyle w:val="TableParagraph"/>
              <w:ind w:right="111"/>
              <w:jc w:val="right"/>
              <w:rPr>
                <w:sz w:val="19"/>
              </w:rPr>
            </w:pPr>
            <w:r>
              <w:rPr>
                <w:w w:val="95"/>
                <w:sz w:val="19"/>
              </w:rPr>
              <w:t>290,044</w:t>
            </w:r>
          </w:p>
        </w:tc>
        <w:tc>
          <w:tcPr>
            <w:tcW w:w="1548" w:type="dxa"/>
            <w:vMerge/>
            <w:tcBorders>
              <w:top w:val="nil"/>
              <w:bottom w:val="single" w:sz="4" w:space="0" w:color="000000"/>
            </w:tcBorders>
            <w:shd w:val="clear" w:color="auto" w:fill="E1E4BB"/>
          </w:tcPr>
          <w:p>
            <w:pPr>
              <w:rPr>
                <w:sz w:val="2"/>
                <w:szCs w:val="2"/>
              </w:rPr>
            </w:pPr>
          </w:p>
        </w:tc>
        <w:tc>
          <w:tcPr>
            <w:tcW w:w="4757" w:type="dxa"/>
            <w:gridSpan w:val="3"/>
            <w:vMerge/>
            <w:tcBorders>
              <w:top w:val="nil"/>
              <w:bottom w:val="single" w:sz="8" w:space="0" w:color="FFFFFF"/>
            </w:tcBorders>
            <w:shd w:val="clear" w:color="auto" w:fill="F4F4F4"/>
          </w:tcPr>
          <w:p>
            <w:pPr>
              <w:rPr>
                <w:sz w:val="2"/>
                <w:szCs w:val="2"/>
              </w:rPr>
            </w:pPr>
          </w:p>
        </w:tc>
      </w:tr>
      <w:tr>
        <w:trPr>
          <w:trHeight w:val="317" w:hRule="atLeast"/>
        </w:trPr>
        <w:tc>
          <w:tcPr>
            <w:tcW w:w="5896" w:type="dxa"/>
            <w:vMerge/>
            <w:tcBorders>
              <w:top w:val="nil"/>
            </w:tcBorders>
            <w:shd w:val="clear" w:color="auto" w:fill="FFFFFF"/>
          </w:tcPr>
          <w:p>
            <w:pPr>
              <w:rPr>
                <w:sz w:val="2"/>
                <w:szCs w:val="2"/>
              </w:rPr>
            </w:pPr>
          </w:p>
        </w:tc>
        <w:tc>
          <w:tcPr>
            <w:tcW w:w="3096" w:type="dxa"/>
            <w:gridSpan w:val="2"/>
            <w:shd w:val="clear" w:color="auto" w:fill="FFFFFF"/>
          </w:tcPr>
          <w:p>
            <w:pPr>
              <w:pStyle w:val="TableParagraph"/>
              <w:spacing w:before="0"/>
              <w:rPr>
                <w:rFonts w:ascii="Times New Roman"/>
                <w:sz w:val="20"/>
              </w:rPr>
            </w:pPr>
          </w:p>
        </w:tc>
        <w:tc>
          <w:tcPr>
            <w:tcW w:w="1548" w:type="dxa"/>
            <w:vMerge/>
            <w:tcBorders>
              <w:top w:val="nil"/>
              <w:bottom w:val="single" w:sz="4" w:space="0" w:color="000000"/>
            </w:tcBorders>
            <w:shd w:val="clear" w:color="auto" w:fill="E1E4BB"/>
          </w:tcPr>
          <w:p>
            <w:pPr>
              <w:rPr>
                <w:sz w:val="2"/>
                <w:szCs w:val="2"/>
              </w:rPr>
            </w:pPr>
          </w:p>
        </w:tc>
        <w:tc>
          <w:tcPr>
            <w:tcW w:w="4757" w:type="dxa"/>
            <w:gridSpan w:val="3"/>
            <w:vMerge/>
            <w:tcBorders>
              <w:top w:val="nil"/>
              <w:bottom w:val="single" w:sz="8" w:space="0" w:color="FFFFFF"/>
            </w:tcBorders>
            <w:shd w:val="clear" w:color="auto" w:fill="F4F4F4"/>
          </w:tcPr>
          <w:p>
            <w:pPr>
              <w:rPr>
                <w:sz w:val="2"/>
                <w:szCs w:val="2"/>
              </w:rPr>
            </w:pPr>
          </w:p>
        </w:tc>
      </w:tr>
      <w:tr>
        <w:trPr>
          <w:trHeight w:val="307" w:hRule="atLeast"/>
        </w:trPr>
        <w:tc>
          <w:tcPr>
            <w:tcW w:w="5896" w:type="dxa"/>
            <w:vMerge w:val="restart"/>
            <w:shd w:val="clear" w:color="auto" w:fill="FFFFFF"/>
          </w:tcPr>
          <w:p>
            <w:pPr>
              <w:pStyle w:val="TableParagraph"/>
              <w:ind w:left="113"/>
              <w:rPr>
                <w:sz w:val="19"/>
              </w:rPr>
            </w:pPr>
            <w:r>
              <w:rPr>
                <w:sz w:val="19"/>
              </w:rPr>
              <w:t>Other revenue</w:t>
            </w:r>
          </w:p>
          <w:p>
            <w:pPr>
              <w:pStyle w:val="TableParagraph"/>
              <w:spacing w:before="109"/>
              <w:ind w:left="272"/>
              <w:rPr>
                <w:sz w:val="19"/>
              </w:rPr>
            </w:pPr>
            <w:r>
              <w:rPr>
                <w:sz w:val="19"/>
              </w:rPr>
              <w:t>Other revenue</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20"/>
              </w:rPr>
            </w:pPr>
          </w:p>
        </w:tc>
        <w:tc>
          <w:tcPr>
            <w:tcW w:w="1548" w:type="dxa"/>
            <w:vMerge/>
            <w:tcBorders>
              <w:top w:val="nil"/>
              <w:bottom w:val="single" w:sz="4" w:space="0" w:color="000000"/>
            </w:tcBorders>
            <w:shd w:val="clear" w:color="auto" w:fill="E1E4BB"/>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102"/>
              <w:jc w:val="right"/>
              <w:rPr>
                <w:sz w:val="19"/>
              </w:rPr>
            </w:pPr>
            <w:r>
              <w:rPr>
                <w:w w:val="111"/>
                <w:sz w:val="19"/>
              </w:rPr>
              <w:t>-</w:t>
            </w:r>
          </w:p>
        </w:tc>
        <w:tc>
          <w:tcPr>
            <w:tcW w:w="1661" w:type="dxa"/>
            <w:tcBorders>
              <w:top w:val="single" w:sz="8" w:space="0" w:color="FFFFFF"/>
              <w:left w:val="single" w:sz="8" w:space="0" w:color="FFFFFF"/>
              <w:bottom w:val="single" w:sz="8" w:space="0" w:color="FFFFFF"/>
            </w:tcBorders>
            <w:shd w:val="clear" w:color="auto" w:fill="F4F4F4"/>
          </w:tcPr>
          <w:p>
            <w:pPr>
              <w:pStyle w:val="TableParagraph"/>
              <w:ind w:right="112"/>
              <w:jc w:val="right"/>
              <w:rPr>
                <w:sz w:val="19"/>
              </w:rPr>
            </w:pPr>
            <w:r>
              <w:rPr>
                <w:w w:val="111"/>
                <w:sz w:val="19"/>
              </w:rPr>
              <w:t>-</w:t>
            </w:r>
          </w:p>
        </w:tc>
      </w:tr>
      <w:tr>
        <w:trPr>
          <w:trHeight w:val="307" w:hRule="atLeast"/>
        </w:trPr>
        <w:tc>
          <w:tcPr>
            <w:tcW w:w="5896" w:type="dxa"/>
            <w:vMerge/>
            <w:tcBorders>
              <w:top w:val="nil"/>
            </w:tcBorders>
            <w:shd w:val="clear" w:color="auto" w:fill="FFFFFF"/>
          </w:tcPr>
          <w:p>
            <w:pPr>
              <w:rPr>
                <w:sz w:val="2"/>
                <w:szCs w:val="2"/>
              </w:rPr>
            </w:pPr>
          </w:p>
        </w:tc>
        <w:tc>
          <w:tcPr>
            <w:tcW w:w="3096" w:type="dxa"/>
            <w:gridSpan w:val="2"/>
            <w:shd w:val="clear" w:color="auto" w:fill="FFFFFF"/>
          </w:tcPr>
          <w:p>
            <w:pPr>
              <w:pStyle w:val="TableParagraph"/>
              <w:ind w:right="111"/>
              <w:jc w:val="right"/>
              <w:rPr>
                <w:sz w:val="19"/>
              </w:rPr>
            </w:pPr>
            <w:r>
              <w:rPr>
                <w:w w:val="95"/>
                <w:sz w:val="19"/>
              </w:rPr>
              <w:t>39,000</w:t>
            </w:r>
          </w:p>
        </w:tc>
        <w:tc>
          <w:tcPr>
            <w:tcW w:w="1548" w:type="dxa"/>
            <w:vMerge/>
            <w:tcBorders>
              <w:top w:val="nil"/>
              <w:bottom w:val="single" w:sz="4" w:space="0" w:color="000000"/>
            </w:tcBorders>
            <w:shd w:val="clear" w:color="auto" w:fill="E1E4BB"/>
          </w:tcPr>
          <w:p>
            <w:pPr>
              <w:rPr>
                <w:sz w:val="2"/>
                <w:szCs w:val="2"/>
              </w:rPr>
            </w:pPr>
          </w:p>
        </w:tc>
        <w:tc>
          <w:tcPr>
            <w:tcW w:w="4757" w:type="dxa"/>
            <w:gridSpan w:val="3"/>
            <w:tcBorders>
              <w:top w:val="single" w:sz="8" w:space="0" w:color="FFFFFF"/>
              <w:bottom w:val="single" w:sz="8" w:space="0" w:color="FFFFFF"/>
            </w:tcBorders>
            <w:shd w:val="clear" w:color="auto" w:fill="FAF9F9"/>
          </w:tcPr>
          <w:p>
            <w:pPr>
              <w:pStyle w:val="TableParagraph"/>
              <w:tabs>
                <w:tab w:pos="2506" w:val="left" w:leader="none"/>
                <w:tab w:pos="4075" w:val="left" w:leader="none"/>
              </w:tabs>
              <w:ind w:left="852"/>
              <w:rPr>
                <w:sz w:val="19"/>
              </w:rPr>
            </w:pPr>
            <w:r>
              <w:rPr>
                <w:sz w:val="19"/>
              </w:rPr>
              <w:t>41,623</w:t>
              <w:tab/>
              <w:t>1,086</w:t>
              <w:tab/>
              <w:t>(1,537)</w:t>
            </w:r>
          </w:p>
        </w:tc>
      </w:tr>
      <w:tr>
        <w:trPr>
          <w:trHeight w:val="307" w:hRule="atLeast"/>
        </w:trPr>
        <w:tc>
          <w:tcPr>
            <w:tcW w:w="5896" w:type="dxa"/>
            <w:vMerge w:val="restart"/>
            <w:shd w:val="clear" w:color="auto" w:fill="FFFFFF"/>
          </w:tcPr>
          <w:p>
            <w:pPr>
              <w:pStyle w:val="TableParagraph"/>
              <w:ind w:left="113"/>
              <w:rPr>
                <w:sz w:val="19"/>
              </w:rPr>
            </w:pPr>
            <w:r>
              <w:rPr>
                <w:sz w:val="19"/>
              </w:rPr>
              <w:t>Appropriations</w:t>
            </w:r>
          </w:p>
          <w:p>
            <w:pPr>
              <w:pStyle w:val="TableParagraph"/>
              <w:spacing w:before="109"/>
              <w:ind w:left="272"/>
              <w:rPr>
                <w:i/>
                <w:sz w:val="19"/>
              </w:rPr>
            </w:pPr>
            <w:r>
              <w:rPr>
                <w:i/>
                <w:sz w:val="19"/>
              </w:rPr>
              <w:t>First home Owners Grant Act 2000</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tcBorders>
            <w:shd w:val="clear" w:color="auto" w:fill="F4F4F4"/>
          </w:tcPr>
          <w:p>
            <w:pPr>
              <w:pStyle w:val="TableParagraph"/>
              <w:spacing w:before="0"/>
              <w:rPr>
                <w:rFonts w:ascii="Times New Roman"/>
                <w:sz w:val="20"/>
              </w:rPr>
            </w:pPr>
          </w:p>
        </w:tc>
        <w:tc>
          <w:tcPr>
            <w:tcW w:w="1548" w:type="dxa"/>
            <w:vMerge/>
            <w:tcBorders>
              <w:top w:val="nil"/>
              <w:bottom w:val="single" w:sz="4" w:space="0" w:color="000000"/>
            </w:tcBorders>
            <w:shd w:val="clear" w:color="auto" w:fill="E1E4BB"/>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102"/>
              <w:jc w:val="right"/>
              <w:rPr>
                <w:sz w:val="19"/>
              </w:rPr>
            </w:pPr>
            <w:r>
              <w:rPr>
                <w:w w:val="111"/>
                <w:sz w:val="19"/>
              </w:rPr>
              <w:t>-</w:t>
            </w:r>
          </w:p>
        </w:tc>
        <w:tc>
          <w:tcPr>
            <w:tcW w:w="1661" w:type="dxa"/>
            <w:tcBorders>
              <w:top w:val="single" w:sz="8" w:space="0" w:color="FFFFFF"/>
              <w:left w:val="single" w:sz="8" w:space="0" w:color="FFFFFF"/>
              <w:bottom w:val="single" w:sz="8" w:space="0" w:color="FFFFFF"/>
            </w:tcBorders>
            <w:shd w:val="clear" w:color="auto" w:fill="F4F4F4"/>
          </w:tcPr>
          <w:p>
            <w:pPr>
              <w:pStyle w:val="TableParagraph"/>
              <w:ind w:right="111"/>
              <w:jc w:val="right"/>
              <w:rPr>
                <w:sz w:val="19"/>
              </w:rPr>
            </w:pPr>
            <w:r>
              <w:rPr>
                <w:w w:val="111"/>
                <w:sz w:val="19"/>
              </w:rPr>
              <w:t>-</w:t>
            </w:r>
          </w:p>
        </w:tc>
      </w:tr>
      <w:tr>
        <w:trPr>
          <w:trHeight w:val="307" w:hRule="atLeast"/>
        </w:trPr>
        <w:tc>
          <w:tcPr>
            <w:tcW w:w="5896" w:type="dxa"/>
            <w:vMerge/>
            <w:tcBorders>
              <w:top w:val="nil"/>
            </w:tcBorders>
            <w:shd w:val="clear" w:color="auto" w:fill="FFFFFF"/>
          </w:tcPr>
          <w:p>
            <w:pPr>
              <w:rPr>
                <w:sz w:val="2"/>
                <w:szCs w:val="2"/>
              </w:rPr>
            </w:pPr>
          </w:p>
        </w:tc>
        <w:tc>
          <w:tcPr>
            <w:tcW w:w="1548" w:type="dxa"/>
            <w:shd w:val="clear" w:color="auto" w:fill="FFFFFF"/>
          </w:tcPr>
          <w:p>
            <w:pPr>
              <w:pStyle w:val="TableParagraph"/>
              <w:jc w:val="center"/>
              <w:rPr>
                <w:sz w:val="19"/>
              </w:rPr>
            </w:pPr>
            <w:hyperlink w:history="true" w:anchor="_bookmark57">
              <w:r>
                <w:rPr>
                  <w:color w:val="A7BE39"/>
                  <w:w w:val="99"/>
                  <w:sz w:val="19"/>
                  <w:u w:val="single" w:color="A7BE39"/>
                </w:rPr>
                <w:t>5</w:t>
              </w:r>
            </w:hyperlink>
          </w:p>
        </w:tc>
        <w:tc>
          <w:tcPr>
            <w:tcW w:w="1548" w:type="dxa"/>
            <w:shd w:val="clear" w:color="auto" w:fill="FFFFFF"/>
          </w:tcPr>
          <w:p>
            <w:pPr>
              <w:pStyle w:val="TableParagraph"/>
              <w:ind w:right="111"/>
              <w:jc w:val="right"/>
              <w:rPr>
                <w:sz w:val="19"/>
              </w:rPr>
            </w:pPr>
            <w:r>
              <w:rPr>
                <w:w w:val="95"/>
                <w:sz w:val="19"/>
              </w:rPr>
              <w:t>73,678</w:t>
            </w:r>
          </w:p>
        </w:tc>
        <w:tc>
          <w:tcPr>
            <w:tcW w:w="1548" w:type="dxa"/>
            <w:vMerge/>
            <w:tcBorders>
              <w:top w:val="nil"/>
              <w:bottom w:val="single" w:sz="4" w:space="0" w:color="000000"/>
            </w:tcBorders>
            <w:shd w:val="clear" w:color="auto" w:fill="E1E4BB"/>
          </w:tcPr>
          <w:p>
            <w:pPr>
              <w:rPr>
                <w:sz w:val="2"/>
                <w:szCs w:val="2"/>
              </w:rPr>
            </w:pPr>
          </w:p>
        </w:tc>
        <w:tc>
          <w:tcPr>
            <w:tcW w:w="4757" w:type="dxa"/>
            <w:gridSpan w:val="3"/>
            <w:tcBorders>
              <w:top w:val="single" w:sz="8" w:space="0" w:color="FFFFFF"/>
              <w:bottom w:val="single" w:sz="8" w:space="0" w:color="FFFFFF"/>
            </w:tcBorders>
            <w:shd w:val="clear" w:color="auto" w:fill="FAF9F9"/>
          </w:tcPr>
          <w:p>
            <w:pPr>
              <w:pStyle w:val="TableParagraph"/>
              <w:tabs>
                <w:tab w:pos="2572" w:val="left" w:leader="none"/>
                <w:tab w:pos="3969" w:val="left" w:leader="none"/>
              </w:tabs>
              <w:ind w:left="852"/>
              <w:rPr>
                <w:sz w:val="19"/>
              </w:rPr>
            </w:pPr>
            <w:r>
              <w:rPr>
                <w:sz w:val="19"/>
              </w:rPr>
              <w:t>98,582</w:t>
              <w:tab/>
              <w:t>(913)</w:t>
              <w:tab/>
              <w:t>(25,817)</w:t>
            </w:r>
          </w:p>
        </w:tc>
      </w:tr>
      <w:tr>
        <w:trPr>
          <w:trHeight w:val="307" w:hRule="atLeast"/>
        </w:trPr>
        <w:tc>
          <w:tcPr>
            <w:tcW w:w="5896" w:type="dxa"/>
            <w:vMerge w:val="restart"/>
            <w:shd w:val="clear" w:color="auto" w:fill="FFFFFF"/>
          </w:tcPr>
          <w:p>
            <w:pPr>
              <w:pStyle w:val="TableParagraph"/>
              <w:ind w:left="272"/>
              <w:rPr>
                <w:sz w:val="10"/>
              </w:rPr>
            </w:pPr>
            <w:r>
              <w:rPr>
                <w:sz w:val="19"/>
              </w:rPr>
              <w:t>Administered Grants and Transfer Payments</w:t>
            </w:r>
            <w:r>
              <w:rPr>
                <w:position w:val="6"/>
                <w:sz w:val="10"/>
              </w:rPr>
              <w:t>(b)</w:t>
            </w:r>
          </w:p>
          <w:p>
            <w:pPr>
              <w:pStyle w:val="TableParagraph"/>
              <w:spacing w:before="109"/>
              <w:ind w:left="113"/>
              <w:rPr>
                <w:sz w:val="19"/>
              </w:rPr>
            </w:pPr>
            <w:r>
              <w:rPr>
                <w:sz w:val="19"/>
              </w:rPr>
              <w:t>Collections raised on behalf of other agencies</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jc w:val="center"/>
              <w:rPr>
                <w:sz w:val="19"/>
              </w:rPr>
            </w:pPr>
            <w:hyperlink w:history="true" w:anchor="_bookmark57">
              <w:r>
                <w:rPr>
                  <w:color w:val="A7BE39"/>
                  <w:w w:val="99"/>
                  <w:sz w:val="19"/>
                  <w:u w:val="single" w:color="A7BE39"/>
                </w:rPr>
                <w:t>6</w:t>
              </w:r>
            </w:hyperlink>
          </w:p>
        </w:tc>
        <w:tc>
          <w:tcPr>
            <w:tcW w:w="1548" w:type="dxa"/>
            <w:tcBorders>
              <w:top w:val="single" w:sz="8" w:space="0" w:color="FFFFFF"/>
              <w:left w:val="single" w:sz="8" w:space="0" w:color="FFFFFF"/>
              <w:bottom w:val="single" w:sz="8" w:space="0" w:color="FFFFFF"/>
            </w:tcBorders>
            <w:shd w:val="clear" w:color="auto" w:fill="F4F4F4"/>
          </w:tcPr>
          <w:p>
            <w:pPr>
              <w:pStyle w:val="TableParagraph"/>
              <w:ind w:right="111"/>
              <w:jc w:val="right"/>
              <w:rPr>
                <w:sz w:val="19"/>
              </w:rPr>
            </w:pPr>
            <w:r>
              <w:rPr>
                <w:w w:val="95"/>
                <w:sz w:val="19"/>
              </w:rPr>
              <w:t>204,210</w:t>
            </w:r>
          </w:p>
        </w:tc>
        <w:tc>
          <w:tcPr>
            <w:tcW w:w="1548" w:type="dxa"/>
            <w:vMerge/>
            <w:tcBorders>
              <w:top w:val="nil"/>
              <w:bottom w:val="single" w:sz="4" w:space="0" w:color="000000"/>
            </w:tcBorders>
            <w:shd w:val="clear" w:color="auto" w:fill="E1E4BB"/>
          </w:tcPr>
          <w:p>
            <w:pPr>
              <w:rPr>
                <w:sz w:val="2"/>
                <w:szCs w:val="2"/>
              </w:rPr>
            </w:pPr>
          </w:p>
        </w:tc>
        <w:tc>
          <w:tcPr>
            <w:tcW w:w="1548" w:type="dxa"/>
            <w:tcBorders>
              <w:top w:val="single" w:sz="8" w:space="0" w:color="FFFFFF"/>
              <w:bottom w:val="single" w:sz="8" w:space="0" w:color="FFFFFF"/>
              <w:right w:val="single" w:sz="8" w:space="0" w:color="FFFFFF"/>
            </w:tcBorders>
            <w:shd w:val="clear" w:color="auto" w:fill="F4F4F4"/>
          </w:tcPr>
          <w:p>
            <w:pPr>
              <w:pStyle w:val="TableParagraph"/>
              <w:ind w:right="102"/>
              <w:jc w:val="right"/>
              <w:rPr>
                <w:sz w:val="19"/>
              </w:rPr>
            </w:pPr>
            <w:r>
              <w:rPr>
                <w:w w:val="95"/>
                <w:sz w:val="19"/>
              </w:rPr>
              <w:t>148,881</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102"/>
              <w:jc w:val="right"/>
              <w:rPr>
                <w:sz w:val="19"/>
              </w:rPr>
            </w:pPr>
            <w:r>
              <w:rPr>
                <w:w w:val="95"/>
                <w:sz w:val="19"/>
              </w:rPr>
              <w:t>(39,929)</w:t>
            </w:r>
          </w:p>
        </w:tc>
        <w:tc>
          <w:tcPr>
            <w:tcW w:w="1661" w:type="dxa"/>
            <w:tcBorders>
              <w:top w:val="single" w:sz="8" w:space="0" w:color="FFFFFF"/>
              <w:left w:val="single" w:sz="8" w:space="0" w:color="FFFFFF"/>
              <w:bottom w:val="single" w:sz="8" w:space="0" w:color="FFFFFF"/>
            </w:tcBorders>
            <w:shd w:val="clear" w:color="auto" w:fill="F4F4F4"/>
          </w:tcPr>
          <w:p>
            <w:pPr>
              <w:pStyle w:val="TableParagraph"/>
              <w:ind w:right="112"/>
              <w:jc w:val="right"/>
              <w:rPr>
                <w:sz w:val="19"/>
              </w:rPr>
            </w:pPr>
            <w:r>
              <w:rPr>
                <w:w w:val="95"/>
                <w:sz w:val="19"/>
              </w:rPr>
              <w:t>15,401</w:t>
            </w:r>
          </w:p>
        </w:tc>
      </w:tr>
      <w:tr>
        <w:trPr>
          <w:trHeight w:val="307" w:hRule="atLeast"/>
        </w:trPr>
        <w:tc>
          <w:tcPr>
            <w:tcW w:w="5896" w:type="dxa"/>
            <w:vMerge/>
            <w:tcBorders>
              <w:top w:val="nil"/>
            </w:tcBorders>
            <w:shd w:val="clear" w:color="auto" w:fill="FFFFFF"/>
          </w:tcPr>
          <w:p>
            <w:pPr>
              <w:rPr>
                <w:sz w:val="2"/>
                <w:szCs w:val="2"/>
              </w:rPr>
            </w:pPr>
          </w:p>
        </w:tc>
        <w:tc>
          <w:tcPr>
            <w:tcW w:w="3096" w:type="dxa"/>
            <w:gridSpan w:val="2"/>
            <w:shd w:val="clear" w:color="auto" w:fill="FFFFFF"/>
          </w:tcPr>
          <w:p>
            <w:pPr>
              <w:pStyle w:val="TableParagraph"/>
              <w:ind w:right="111"/>
              <w:jc w:val="right"/>
              <w:rPr>
                <w:sz w:val="19"/>
              </w:rPr>
            </w:pPr>
            <w:r>
              <w:rPr>
                <w:w w:val="95"/>
                <w:sz w:val="19"/>
              </w:rPr>
              <w:t>65,331</w:t>
            </w:r>
          </w:p>
        </w:tc>
        <w:tc>
          <w:tcPr>
            <w:tcW w:w="1548" w:type="dxa"/>
            <w:vMerge/>
            <w:tcBorders>
              <w:top w:val="nil"/>
              <w:bottom w:val="single" w:sz="4" w:space="0" w:color="000000"/>
            </w:tcBorders>
            <w:shd w:val="clear" w:color="auto" w:fill="E1E4BB"/>
          </w:tcPr>
          <w:p>
            <w:pPr>
              <w:rPr>
                <w:sz w:val="2"/>
                <w:szCs w:val="2"/>
              </w:rPr>
            </w:pPr>
          </w:p>
        </w:tc>
        <w:tc>
          <w:tcPr>
            <w:tcW w:w="4757" w:type="dxa"/>
            <w:gridSpan w:val="3"/>
            <w:tcBorders>
              <w:top w:val="single" w:sz="8" w:space="0" w:color="FFFFFF"/>
              <w:bottom w:val="single" w:sz="4" w:space="0" w:color="000000"/>
            </w:tcBorders>
            <w:shd w:val="clear" w:color="auto" w:fill="FAF9F9"/>
          </w:tcPr>
          <w:p>
            <w:pPr>
              <w:pStyle w:val="TableParagraph"/>
              <w:tabs>
                <w:tab w:pos="2414" w:val="left" w:leader="none"/>
                <w:tab w:pos="4325" w:val="left" w:leader="none"/>
              </w:tabs>
              <w:ind w:left="852"/>
              <w:rPr>
                <w:sz w:val="19"/>
              </w:rPr>
            </w:pPr>
            <w:r>
              <w:rPr>
                <w:sz w:val="19"/>
              </w:rPr>
              <w:t>63,043</w:t>
              <w:tab/>
              <w:t>(1,782)</w:t>
              <w:tab/>
              <w:t>506</w:t>
            </w:r>
          </w:p>
        </w:tc>
      </w:tr>
      <w:tr>
        <w:trPr>
          <w:trHeight w:val="307" w:hRule="atLeast"/>
        </w:trPr>
        <w:tc>
          <w:tcPr>
            <w:tcW w:w="5896" w:type="dxa"/>
            <w:tcBorders>
              <w:top w:val="single" w:sz="8" w:space="0" w:color="FFFFFF"/>
              <w:bottom w:val="single" w:sz="8" w:space="0" w:color="FFFFFF"/>
              <w:right w:val="single" w:sz="8" w:space="0" w:color="FFFFFF"/>
            </w:tcBorders>
            <w:shd w:val="clear" w:color="auto" w:fill="F4F4F4"/>
          </w:tcPr>
          <w:p>
            <w:pPr>
              <w:pStyle w:val="TableParagraph"/>
              <w:ind w:left="113"/>
              <w:rPr>
                <w:b/>
                <w:sz w:val="19"/>
              </w:rPr>
            </w:pPr>
            <w:r>
              <w:rPr>
                <w:b/>
                <w:sz w:val="19"/>
              </w:rPr>
              <w:t>Total Administered Income</w:t>
            </w:r>
          </w:p>
        </w:tc>
        <w:tc>
          <w:tcPr>
            <w:tcW w:w="1548"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spacing w:before="0"/>
              <w:rPr>
                <w:rFonts w:ascii="Times New Roman"/>
                <w:sz w:val="20"/>
              </w:rPr>
            </w:pPr>
          </w:p>
        </w:tc>
        <w:tc>
          <w:tcPr>
            <w:tcW w:w="1548" w:type="dxa"/>
            <w:tcBorders>
              <w:top w:val="single" w:sz="4" w:space="0" w:color="000000"/>
              <w:left w:val="single" w:sz="8" w:space="0" w:color="FFFFFF"/>
              <w:bottom w:val="single" w:sz="4" w:space="0" w:color="000000"/>
            </w:tcBorders>
            <w:shd w:val="clear" w:color="auto" w:fill="F4F4F4"/>
          </w:tcPr>
          <w:p>
            <w:pPr>
              <w:pStyle w:val="TableParagraph"/>
              <w:ind w:right="111"/>
              <w:jc w:val="right"/>
              <w:rPr>
                <w:b/>
                <w:sz w:val="19"/>
              </w:rPr>
            </w:pPr>
            <w:r>
              <w:rPr>
                <w:b/>
                <w:w w:val="95"/>
                <w:sz w:val="19"/>
              </w:rPr>
              <w:t>7,483,357</w:t>
            </w:r>
          </w:p>
        </w:tc>
        <w:tc>
          <w:tcPr>
            <w:tcW w:w="1548" w:type="dxa"/>
            <w:tcBorders>
              <w:top w:val="single" w:sz="4" w:space="0" w:color="000000"/>
              <w:bottom w:val="single" w:sz="4" w:space="0" w:color="000000"/>
            </w:tcBorders>
            <w:shd w:val="clear" w:color="auto" w:fill="DFE1B8"/>
          </w:tcPr>
          <w:p>
            <w:pPr>
              <w:pStyle w:val="TableParagraph"/>
              <w:ind w:left="589"/>
              <w:rPr>
                <w:b/>
                <w:sz w:val="19"/>
              </w:rPr>
            </w:pPr>
            <w:r>
              <w:rPr>
                <w:b/>
                <w:sz w:val="19"/>
              </w:rPr>
              <w:t>7,140,027</w:t>
            </w:r>
          </w:p>
        </w:tc>
        <w:tc>
          <w:tcPr>
            <w:tcW w:w="1548" w:type="dxa"/>
            <w:tcBorders>
              <w:top w:val="single" w:sz="4" w:space="0" w:color="000000"/>
              <w:bottom w:val="single" w:sz="4" w:space="0" w:color="000000"/>
              <w:right w:val="single" w:sz="8" w:space="0" w:color="FFFFFF"/>
            </w:tcBorders>
            <w:shd w:val="clear" w:color="auto" w:fill="F4F4F4"/>
          </w:tcPr>
          <w:p>
            <w:pPr>
              <w:pStyle w:val="TableParagraph"/>
              <w:ind w:right="102"/>
              <w:jc w:val="right"/>
              <w:rPr>
                <w:b/>
                <w:sz w:val="19"/>
              </w:rPr>
            </w:pPr>
            <w:r>
              <w:rPr>
                <w:b/>
                <w:w w:val="95"/>
                <w:sz w:val="19"/>
              </w:rPr>
              <w:t>7,667,246</w:t>
            </w:r>
          </w:p>
        </w:tc>
        <w:tc>
          <w:tcPr>
            <w:tcW w:w="1548" w:type="dxa"/>
            <w:tcBorders>
              <w:top w:val="single" w:sz="4" w:space="0" w:color="000000"/>
              <w:left w:val="single" w:sz="8" w:space="0" w:color="FFFFFF"/>
              <w:bottom w:val="single" w:sz="4" w:space="0" w:color="000000"/>
              <w:right w:val="single" w:sz="8" w:space="0" w:color="FFFFFF"/>
            </w:tcBorders>
            <w:shd w:val="clear" w:color="auto" w:fill="F4F4F4"/>
          </w:tcPr>
          <w:p>
            <w:pPr>
              <w:pStyle w:val="TableParagraph"/>
              <w:ind w:right="102"/>
              <w:jc w:val="right"/>
              <w:rPr>
                <w:b/>
                <w:sz w:val="19"/>
              </w:rPr>
            </w:pPr>
            <w:r>
              <w:rPr>
                <w:b/>
                <w:w w:val="95"/>
                <w:sz w:val="19"/>
              </w:rPr>
              <w:t>(343,330)</w:t>
            </w:r>
          </w:p>
        </w:tc>
        <w:tc>
          <w:tcPr>
            <w:tcW w:w="1661" w:type="dxa"/>
            <w:tcBorders>
              <w:top w:val="single" w:sz="4" w:space="0" w:color="000000"/>
              <w:left w:val="single" w:sz="8" w:space="0" w:color="FFFFFF"/>
              <w:bottom w:val="single" w:sz="4" w:space="0" w:color="000000"/>
            </w:tcBorders>
            <w:shd w:val="clear" w:color="auto" w:fill="F4F4F4"/>
          </w:tcPr>
          <w:p>
            <w:pPr>
              <w:pStyle w:val="TableParagraph"/>
              <w:ind w:right="112"/>
              <w:jc w:val="right"/>
              <w:rPr>
                <w:b/>
                <w:sz w:val="19"/>
              </w:rPr>
            </w:pPr>
            <w:r>
              <w:rPr>
                <w:b/>
                <w:w w:val="95"/>
                <w:sz w:val="19"/>
              </w:rPr>
              <w:t>(527,219)</w:t>
            </w:r>
          </w:p>
        </w:tc>
      </w:tr>
    </w:tbl>
    <w:p>
      <w:pPr>
        <w:spacing w:after="0"/>
        <w:jc w:val="right"/>
        <w:rPr>
          <w:sz w:val="19"/>
        </w:rPr>
        <w:sectPr>
          <w:footerReference w:type="default" r:id="rId240"/>
          <w:pgSz w:w="16840" w:h="11910" w:orient="landscape"/>
          <w:pgMar w:footer="448" w:header="0" w:top="0" w:bottom="640" w:left="0" w:right="0"/>
        </w:sectPr>
      </w:pPr>
    </w:p>
    <w:p>
      <w:pPr>
        <w:tabs>
          <w:tab w:pos="14432" w:val="left" w:leader="none"/>
        </w:tabs>
        <w:spacing w:line="240" w:lineRule="auto"/>
        <w:ind w:left="9621" w:right="-58" w:firstLine="0"/>
        <w:rPr>
          <w:sz w:val="20"/>
        </w:rPr>
      </w:pP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27232"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27352"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27376"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pict>
          <v:group style="position:absolute;margin-left:38.2677pt;margin-top:99.770996pt;width:764.8pt;height:148.75pt;mso-position-horizontal-relative:page;mso-position-vertical-relative:paragraph;z-index:-786448" coordorigin="765,1995" coordsize="15296,2975">
            <v:shape style="position:absolute;left:765;top:1995;width:8992;height:982" coordorigin="765,1995" coordsize="8992,982" path="m9757,2650l8209,2650,6661,2650,765,2650,765,2977,6661,2977,8209,2977,9757,2977,9757,2650m9757,1995l8209,1995,6661,1995,765,1995,765,2323,6661,2323,8209,2323,9757,2323,9757,1995e" filled="true" fillcolor="#f4f4f4" stroked="false">
              <v:path arrowok="t"/>
              <v:fill type="solid"/>
            </v:shape>
            <v:shape style="position:absolute;left:765;top:2322;width:8992;height:328" coordorigin="765,2323" coordsize="8992,328" path="m9757,2323l8209,2323,6661,2323,765,2323,765,2650,6661,2650,8209,2650,9757,2650,9757,2323e" filled="true" fillcolor="#faf9f9" stroked="false">
              <v:path arrowok="t"/>
              <v:fill type="solid"/>
            </v:shape>
            <v:shape style="position:absolute;left:765;top:3304;width:8992;height:328" coordorigin="765,3304" coordsize="8992,328" path="m9757,3304l8209,3304,6661,3304,765,3304,765,3631,6661,3631,8209,3631,9757,3631,9757,3304e" filled="true" fillcolor="#f4f4f4" stroked="false">
              <v:path arrowok="t"/>
              <v:fill type="solid"/>
            </v:shape>
            <v:shape style="position:absolute;left:765;top:2976;width:8992;height:328" coordorigin="765,2977" coordsize="8992,328" path="m9757,2977l8209,2977,6661,2977,765,2977,765,3304,6661,3304,8209,3304,9757,3304,9757,2977e" filled="true" fillcolor="#faf9f9" stroked="false">
              <v:path arrowok="t"/>
              <v:fill type="solid"/>
            </v:shape>
            <v:shape style="position:absolute;left:765;top:3958;width:8992;height:328" coordorigin="765,3958" coordsize="8992,328" path="m9757,3958l8209,3958,6661,3958,765,3958,765,4286,6661,4286,8209,4286,9757,4286,9757,3958e" filled="true" fillcolor="#f4f4f4" stroked="false">
              <v:path arrowok="t"/>
              <v:fill type="solid"/>
            </v:shape>
            <v:shape style="position:absolute;left:765;top:3631;width:8992;height:982" coordorigin="765,3631" coordsize="8992,982" path="m9757,4286l8209,4286,6661,4286,765,4286,765,4613,6661,4613,8209,4613,9757,4613,9757,4286m9757,3631l8209,3631,6661,3631,765,3631,765,3958,6661,3958,8209,3958,9757,3958,9757,3631e" filled="true" fillcolor="#faf9f9" stroked="false">
              <v:path arrowok="t"/>
              <v:fill type="solid"/>
            </v:shape>
            <v:shape style="position:absolute;left:765;top:2312;width:8992;height:2311" coordorigin="765,2313" coordsize="8992,2311" path="m6651,4603l765,4603,765,4623,6651,4623,6651,4603m6651,4276l765,4276,765,4296,6651,4296,6651,4276m6651,3948l765,3948,765,3968,6651,3968,6651,3948m6651,3621l765,3621,765,3641,6651,3641,6651,3621m6651,3294l765,3294,765,3314,6651,3314,6651,3294m6651,2967l765,2967,765,2987,6651,2987,6651,2967m6651,2640l765,2640,765,2660,6651,2660,6651,2640m6651,2313l765,2313,765,2333,6651,2333,6651,2313m8199,4603l6671,4603,6671,4623,8199,4623,8199,4603m8199,4276l6671,4276,6671,4296,8199,4296,8199,4276m8199,3948l6671,3948,6671,3968,8199,3968,8199,3948m8199,3621l6671,3621,6671,3641,8199,3641,8199,3621m8199,3294l6671,3294,6671,3314,8199,3314,8199,3294m8199,2967l6671,2967,6671,2987,8199,2987,8199,2967m8199,2640l6671,2640,6671,2660,8199,2660,8199,2640m8199,2313l6671,2313,6671,2333,8199,2333,8199,2313m9757,3621l8219,3621,8219,3641,9757,3641,9757,3621m9757,3294l8219,3294,8219,3314,9757,3314,9757,3294m9757,2967l8219,2967,8219,2987,9757,2987,9757,2967m9757,2640l8219,2640,8219,2660,9757,2660,9757,2640m9757,2313l8219,2313,8219,2333,9757,2333,9757,2313e" filled="true" fillcolor="#ffffff" stroked="false">
              <v:path arrowok="t"/>
              <v:fill type="solid"/>
            </v:shape>
            <v:line style="position:absolute" from="6661,2323" to="6661,2000" stroked="true" strokeweight="1pt" strokecolor="#ffffff">
              <v:stroke dashstyle="solid"/>
            </v:line>
            <v:line style="position:absolute" from="8209,2323" to="8209,2000" stroked="true" strokeweight="1pt" strokecolor="#ffffff">
              <v:stroke dashstyle="solid"/>
            </v:line>
            <v:line style="position:absolute" from="6661,2650" to="6661,2323" stroked="true" strokeweight="1pt" strokecolor="#ffffff">
              <v:stroke dashstyle="solid"/>
            </v:line>
            <v:line style="position:absolute" from="8209,2650" to="8209,2323" stroked="true" strokeweight="1pt" strokecolor="#ffffff">
              <v:stroke dashstyle="solid"/>
            </v:line>
            <v:line style="position:absolute" from="6661,2977" to="6661,2650" stroked="true" strokeweight="1pt" strokecolor="#ffffff">
              <v:stroke dashstyle="solid"/>
            </v:line>
            <v:line style="position:absolute" from="8209,2977" to="8209,2650" stroked="true" strokeweight="1pt" strokecolor="#ffffff">
              <v:stroke dashstyle="solid"/>
            </v:line>
            <v:line style="position:absolute" from="6661,3304" to="6661,2977" stroked="true" strokeweight="1pt" strokecolor="#ffffff">
              <v:stroke dashstyle="solid"/>
            </v:line>
            <v:line style="position:absolute" from="8209,3304" to="8209,2977" stroked="true" strokeweight="1pt" strokecolor="#ffffff">
              <v:stroke dashstyle="solid"/>
            </v:line>
            <v:line style="position:absolute" from="6661,3631" to="6661,3304" stroked="true" strokeweight="1pt" strokecolor="#ffffff">
              <v:stroke dashstyle="solid"/>
            </v:line>
            <v:line style="position:absolute" from="8209,3631" to="8209,3304" stroked="true" strokeweight="1pt" strokecolor="#ffffff">
              <v:stroke dashstyle="solid"/>
            </v:line>
            <v:line style="position:absolute" from="6661,3958" to="6661,3631" stroked="true" strokeweight="1pt" strokecolor="#ffffff">
              <v:stroke dashstyle="solid"/>
            </v:line>
            <v:line style="position:absolute" from="8209,3958" to="8209,3631" stroked="true" strokeweight="1pt" strokecolor="#ffffff">
              <v:stroke dashstyle="solid"/>
            </v:line>
            <v:line style="position:absolute" from="6661,4286" to="6661,3958" stroked="true" strokeweight="1pt" strokecolor="#ffffff">
              <v:stroke dashstyle="solid"/>
            </v:line>
            <v:line style="position:absolute" from="8209,4286" to="8209,3958" stroked="true" strokeweight="1pt" strokecolor="#ffffff">
              <v:stroke dashstyle="solid"/>
            </v:line>
            <v:line style="position:absolute" from="6661,4613" to="6661,4286" stroked="true" strokeweight="1pt" strokecolor="#ffffff">
              <v:stroke dashstyle="solid"/>
            </v:line>
            <v:line style="position:absolute" from="8209,4613" to="8209,4286" stroked="true" strokeweight="1pt" strokecolor="#ffffff">
              <v:stroke dashstyle="solid"/>
            </v:line>
            <v:shape style="position:absolute;left:765;top:4909;width:15296;height:60" coordorigin="765,4910" coordsize="15296,60" path="m16061,4910l16061,4910,8209,4910,8209,4930,6661,4930,765,4930,765,4950,6661,4950,8209,4950,8209,4970,16061,4970,16061,4910e" filled="true" fillcolor="#ffffff" stroked="false">
              <v:path arrowok="t"/>
              <v:fill type="solid"/>
            </v:shape>
            <v:line style="position:absolute" from="6661,4930" to="6661,4613" stroked="true" strokeweight="1pt" strokecolor="#ffffff">
              <v:stroke dashstyle="solid"/>
            </v:line>
            <v:line style="position:absolute" from="8209,4910" to="8209,4613" stroked="true" strokeweight="1pt" strokecolor="#ffffff">
              <v:stroke dashstyle="solid"/>
            </v:line>
            <v:shape style="position:absolute;left:11304;top:1995;width:4757;height:982" coordorigin="11305,1995" coordsize="4757,982" path="m12852,2650l11305,2650,11305,2977,12852,2977,12852,2650m12852,1995l11305,1995,11305,2323,12852,2323,12852,1995m16061,2650l14400,2650,12852,2650,12852,2977,14400,2977,16061,2977,16061,2650m16061,1995l14400,1995,12852,1995,12852,2323,14400,2323,16061,2323,16061,1995e" filled="true" fillcolor="#f4f4f4" stroked="false">
              <v:path arrowok="t"/>
              <v:fill type="solid"/>
            </v:shape>
            <v:shape style="position:absolute;left:11304;top:2322;width:4757;height:328" coordorigin="11305,2323" coordsize="4757,328" path="m12852,2323l11305,2323,11305,2650,12852,2650,12852,2323m16061,2323l14400,2323,12852,2323,12852,2650,14400,2650,16061,2650,16061,2323e" filled="true" fillcolor="#faf9f9" stroked="false">
              <v:path arrowok="t"/>
              <v:fill type="solid"/>
            </v:shape>
            <v:shape style="position:absolute;left:11304;top:3304;width:4757;height:328" coordorigin="11305,3304" coordsize="4757,328" path="m12852,3304l11305,3304,11305,3631,12852,3631,12852,3304m16061,3304l14400,3304,12852,3304,12852,3631,14400,3631,16061,3631,16061,3304e" filled="true" fillcolor="#f4f4f4" stroked="false">
              <v:path arrowok="t"/>
              <v:fill type="solid"/>
            </v:shape>
            <v:shape style="position:absolute;left:11304;top:2976;width:4757;height:328" coordorigin="11305,2977" coordsize="4757,328" path="m12852,2977l11305,2977,11305,3304,12852,3304,12852,2977m16061,2977l14400,2977,12852,2977,12852,3304,14400,3304,16061,3304,16061,2977e" filled="true" fillcolor="#faf9f9" stroked="false">
              <v:path arrowok="t"/>
              <v:fill type="solid"/>
            </v:shape>
            <v:shape style="position:absolute;left:11304;top:3958;width:4757;height:328" coordorigin="11305,3958" coordsize="4757,328" path="m12852,3958l11305,3958,11305,4286,12852,4286,12852,3958m16061,3958l14400,3958,12852,3958,12852,4286,14400,4286,16061,4286,16061,3958e" filled="true" fillcolor="#f4f4f4" stroked="false">
              <v:path arrowok="t"/>
              <v:fill type="solid"/>
            </v:shape>
            <v:shape style="position:absolute;left:11304;top:3631;width:4757;height:982" coordorigin="11305,3631" coordsize="4757,982" path="m12852,4286l11305,4286,11305,4613,12852,4613,12852,4286m12852,3631l11305,3631,11305,3958,12852,3958,12852,3631m16061,4286l14400,4286,12852,4286,12852,4613,14400,4613,16061,4613,16061,4286m16061,3631l14400,3631,12852,3631,12852,3958,14400,3958,16061,3958,16061,3631e" filled="true" fillcolor="#faf9f9" stroked="false">
              <v:path arrowok="t"/>
              <v:fill type="solid"/>
            </v:shape>
            <v:shape style="position:absolute;left:11304;top:2312;width:4757;height:1329" coordorigin="11305,2313" coordsize="4757,1329" path="m12842,3621l11305,3621,11305,3641,12842,3641,12842,3621m12842,3294l11305,3294,11305,3314,12842,3314,12842,3294m12842,2967l11305,2967,11305,2987,12842,2987,12842,2967m12842,2640l11305,2640,11305,2660,12842,2660,12842,2640m12842,2313l11305,2313,11305,2333,12842,2333,12842,2313m14390,3621l12862,3621,12862,3641,14390,3641,14390,3621m14390,3294l12862,3294,12862,3314,14390,3314,14390,3294m14390,2967l12862,2967,12862,2987,14390,2987,14390,2967m14390,2640l12862,2640,12862,2660,14390,2660,14390,2640m14390,2313l12862,2313,12862,2333,14390,2333,14390,2313m16061,3621l14410,3621,14410,3641,16061,3641,16061,3621m16061,3294l14410,3294,14410,3314,16061,3314,16061,3294m16061,2967l14410,2967,14410,2987,16061,2987,16061,2967m16061,2640l14410,2640,14410,2660,16061,2660,16061,2640m16061,2313l14410,2313,14410,2333,16061,2333,16061,2313e" filled="true" fillcolor="#ffffff" stroked="false">
              <v:path arrowok="t"/>
              <v:fill type="solid"/>
            </v:shape>
            <v:line style="position:absolute" from="12852,2323" to="12852,2000" stroked="true" strokeweight="1pt" strokecolor="#ffffff">
              <v:stroke dashstyle="solid"/>
            </v:line>
            <v:line style="position:absolute" from="14400,2323" to="14400,2000" stroked="true" strokeweight="1pt" strokecolor="#ffffff">
              <v:stroke dashstyle="solid"/>
            </v:line>
            <v:line style="position:absolute" from="12852,2650" to="12852,2323" stroked="true" strokeweight="1pt" strokecolor="#ffffff">
              <v:stroke dashstyle="solid"/>
            </v:line>
            <v:line style="position:absolute" from="14400,2650" to="14400,2323" stroked="true" strokeweight="1pt" strokecolor="#ffffff">
              <v:stroke dashstyle="solid"/>
            </v:line>
            <v:line style="position:absolute" from="12852,2977" to="12852,2650" stroked="true" strokeweight="1pt" strokecolor="#ffffff">
              <v:stroke dashstyle="solid"/>
            </v:line>
            <v:line style="position:absolute" from="14400,2977" to="14400,2650" stroked="true" strokeweight="1pt" strokecolor="#ffffff">
              <v:stroke dashstyle="solid"/>
            </v:line>
            <v:line style="position:absolute" from="12852,3304" to="12852,2977" stroked="true" strokeweight="1pt" strokecolor="#ffffff">
              <v:stroke dashstyle="solid"/>
            </v:line>
            <v:line style="position:absolute" from="14400,3304" to="14400,2977" stroked="true" strokeweight="1pt" strokecolor="#ffffff">
              <v:stroke dashstyle="solid"/>
            </v:line>
            <v:line style="position:absolute" from="12852,3631" to="12852,3304" stroked="true" strokeweight="1pt" strokecolor="#ffffff">
              <v:stroke dashstyle="solid"/>
            </v:line>
            <v:line style="position:absolute" from="14400,3631" to="14400,3304" stroked="true" strokeweight="1pt" strokecolor="#ffffff">
              <v:stroke dashstyle="solid"/>
            </v:line>
            <v:line style="position:absolute" from="12852,3953" to="12852,3631" stroked="true" strokeweight="1pt" strokecolor="#ffffff">
              <v:stroke dashstyle="solid"/>
            </v:line>
            <v:line style="position:absolute" from="14400,3953" to="14400,3631" stroked="true" strokeweight="1pt" strokecolor="#ffffff">
              <v:stroke dashstyle="solid"/>
            </v:line>
            <v:line style="position:absolute" from="12852,4281" to="12852,3963" stroked="true" strokeweight="1pt" strokecolor="#ffffff">
              <v:stroke dashstyle="solid"/>
            </v:line>
            <v:line style="position:absolute" from="14400,4281" to="14400,3963" stroked="true" strokeweight="1pt" strokecolor="#ffffff">
              <v:stroke dashstyle="solid"/>
            </v:line>
            <v:line style="position:absolute" from="12852,4608" to="12852,4291" stroked="true" strokeweight="1pt" strokecolor="#ffffff">
              <v:stroke dashstyle="solid"/>
            </v:line>
            <v:line style="position:absolute" from="14400,4608" to="14400,4291" stroked="true" strokeweight="1pt" strokecolor="#ffffff">
              <v:stroke dashstyle="solid"/>
            </v:line>
            <v:line style="position:absolute" from="12852,4910" to="12852,4618" stroked="true" strokeweight="1pt" strokecolor="#ffffff">
              <v:stroke dashstyle="solid"/>
            </v:line>
            <v:line style="position:absolute" from="14400,4910" to="14400,4618" stroked="true" strokeweight="1pt" strokecolor="#ffffff">
              <v:stroke dashstyle="solid"/>
            </v:line>
            <w10:wrap type="none"/>
          </v:group>
        </w:pict>
      </w:r>
      <w:r>
        <w:rPr>
          <w:color w:val="A7BE39"/>
        </w:rPr>
        <w:t>For the year ended 30 June 2017</w:t>
      </w:r>
    </w:p>
    <w:p>
      <w:pPr>
        <w:pStyle w:val="BodyText"/>
        <w:spacing w:before="6" w:after="1"/>
        <w:rPr>
          <w:sz w:val="28"/>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11"/>
        <w:gridCol w:w="1743"/>
        <w:gridCol w:w="1538"/>
        <w:gridCol w:w="1548"/>
        <w:gridCol w:w="1621"/>
        <w:gridCol w:w="1495"/>
        <w:gridCol w:w="1640"/>
      </w:tblGrid>
      <w:tr>
        <w:trPr>
          <w:trHeight w:val="951" w:hRule="atLeast"/>
        </w:trPr>
        <w:tc>
          <w:tcPr>
            <w:tcW w:w="5711" w:type="dxa"/>
            <w:vMerge w:val="restart"/>
            <w:shd w:val="clear" w:color="auto" w:fill="783A79"/>
          </w:tcPr>
          <w:p>
            <w:pPr>
              <w:pStyle w:val="TableParagraph"/>
              <w:spacing w:before="0"/>
              <w:rPr>
                <w:rFonts w:ascii="Times New Roman"/>
                <w:sz w:val="18"/>
              </w:rPr>
            </w:pPr>
          </w:p>
        </w:tc>
        <w:tc>
          <w:tcPr>
            <w:tcW w:w="1743" w:type="dxa"/>
            <w:shd w:val="clear" w:color="auto" w:fill="783A79"/>
          </w:tcPr>
          <w:p>
            <w:pPr>
              <w:pStyle w:val="TableParagraph"/>
              <w:spacing w:before="47"/>
              <w:ind w:left="304" w:right="130"/>
              <w:jc w:val="center"/>
              <w:rPr>
                <w:b/>
                <w:sz w:val="19"/>
              </w:rPr>
            </w:pPr>
            <w:r>
              <w:rPr>
                <w:b/>
                <w:color w:val="FFFFFF"/>
                <w:sz w:val="19"/>
              </w:rPr>
              <w:t>Variance Note</w:t>
            </w:r>
          </w:p>
        </w:tc>
        <w:tc>
          <w:tcPr>
            <w:tcW w:w="1538" w:type="dxa"/>
            <w:shd w:val="clear" w:color="auto" w:fill="783A79"/>
          </w:tcPr>
          <w:p>
            <w:pPr>
              <w:pStyle w:val="TableParagraph"/>
              <w:spacing w:before="47"/>
              <w:ind w:right="111"/>
              <w:jc w:val="right"/>
              <w:rPr>
                <w:b/>
                <w:sz w:val="19"/>
              </w:rPr>
            </w:pPr>
            <w:r>
              <w:rPr>
                <w:b/>
                <w:color w:val="FFFFFF"/>
                <w:sz w:val="19"/>
              </w:rPr>
              <w:t>Estimate 2017</w:t>
            </w:r>
          </w:p>
        </w:tc>
        <w:tc>
          <w:tcPr>
            <w:tcW w:w="1548" w:type="dxa"/>
            <w:shd w:val="clear" w:color="auto" w:fill="783A79"/>
          </w:tcPr>
          <w:p>
            <w:pPr>
              <w:pStyle w:val="TableParagraph"/>
              <w:spacing w:before="47"/>
              <w:ind w:right="112"/>
              <w:jc w:val="right"/>
              <w:rPr>
                <w:b/>
                <w:sz w:val="19"/>
              </w:rPr>
            </w:pPr>
            <w:r>
              <w:rPr>
                <w:b/>
                <w:color w:val="FFFFFF"/>
                <w:sz w:val="19"/>
              </w:rPr>
              <w:t>Actual 2017</w:t>
            </w:r>
          </w:p>
        </w:tc>
        <w:tc>
          <w:tcPr>
            <w:tcW w:w="1621" w:type="dxa"/>
            <w:shd w:val="clear" w:color="auto" w:fill="783A79"/>
          </w:tcPr>
          <w:p>
            <w:pPr>
              <w:pStyle w:val="TableParagraph"/>
              <w:spacing w:before="47"/>
              <w:ind w:right="185"/>
              <w:jc w:val="right"/>
              <w:rPr>
                <w:b/>
                <w:sz w:val="19"/>
              </w:rPr>
            </w:pPr>
            <w:r>
              <w:rPr>
                <w:b/>
                <w:color w:val="FFFFFF"/>
                <w:sz w:val="19"/>
              </w:rPr>
              <w:t>Actual 2016</w:t>
            </w:r>
          </w:p>
        </w:tc>
        <w:tc>
          <w:tcPr>
            <w:tcW w:w="1495" w:type="dxa"/>
            <w:shd w:val="clear" w:color="auto" w:fill="783A79"/>
          </w:tcPr>
          <w:p>
            <w:pPr>
              <w:pStyle w:val="TableParagraph"/>
              <w:spacing w:line="249" w:lineRule="auto" w:before="47"/>
              <w:ind w:left="185" w:right="132" w:firstLine="393"/>
              <w:jc w:val="right"/>
              <w:rPr>
                <w:b/>
                <w:sz w:val="19"/>
              </w:rPr>
            </w:pPr>
            <w:r>
              <w:rPr>
                <w:b/>
                <w:color w:val="FFFFFF"/>
                <w:spacing w:val="-2"/>
                <w:sz w:val="19"/>
              </w:rPr>
              <w:t>Variance </w:t>
            </w:r>
            <w:r>
              <w:rPr>
                <w:b/>
                <w:color w:val="FFFFFF"/>
                <w:sz w:val="19"/>
              </w:rPr>
              <w:t>between estimate</w:t>
            </w:r>
            <w:r>
              <w:rPr>
                <w:b/>
                <w:color w:val="FFFFFF"/>
                <w:spacing w:val="14"/>
                <w:sz w:val="19"/>
              </w:rPr>
              <w:t> </w:t>
            </w:r>
            <w:r>
              <w:rPr>
                <w:b/>
                <w:color w:val="FFFFFF"/>
                <w:spacing w:val="-6"/>
                <w:sz w:val="19"/>
              </w:rPr>
              <w:t>and</w:t>
            </w:r>
          </w:p>
          <w:p>
            <w:pPr>
              <w:pStyle w:val="TableParagraph"/>
              <w:spacing w:line="200" w:lineRule="exact" w:before="3"/>
              <w:ind w:right="132"/>
              <w:jc w:val="right"/>
              <w:rPr>
                <w:b/>
                <w:sz w:val="19"/>
              </w:rPr>
            </w:pPr>
            <w:r>
              <w:rPr>
                <w:b/>
                <w:color w:val="FFFFFF"/>
                <w:sz w:val="19"/>
              </w:rPr>
              <w:t>actual</w:t>
            </w:r>
          </w:p>
        </w:tc>
        <w:tc>
          <w:tcPr>
            <w:tcW w:w="1640" w:type="dxa"/>
            <w:shd w:val="clear" w:color="auto" w:fill="783A79"/>
          </w:tcPr>
          <w:p>
            <w:pPr>
              <w:pStyle w:val="TableParagraph"/>
              <w:spacing w:line="249" w:lineRule="auto" w:before="47"/>
              <w:ind w:left="132" w:right="111" w:firstLine="612"/>
              <w:jc w:val="both"/>
              <w:rPr>
                <w:b/>
                <w:sz w:val="19"/>
              </w:rPr>
            </w:pPr>
            <w:r>
              <w:rPr>
                <w:b/>
                <w:color w:val="FFFFFF"/>
                <w:spacing w:val="-2"/>
                <w:sz w:val="19"/>
              </w:rPr>
              <w:t>Variance </w:t>
            </w:r>
            <w:r>
              <w:rPr>
                <w:b/>
                <w:color w:val="FFFFFF"/>
                <w:sz w:val="19"/>
              </w:rPr>
              <w:t>between actual results for</w:t>
            </w:r>
            <w:r>
              <w:rPr>
                <w:b/>
                <w:color w:val="FFFFFF"/>
                <w:spacing w:val="-12"/>
                <w:sz w:val="19"/>
              </w:rPr>
              <w:t> </w:t>
            </w:r>
            <w:r>
              <w:rPr>
                <w:b/>
                <w:color w:val="FFFFFF"/>
                <w:spacing w:val="-4"/>
                <w:sz w:val="19"/>
              </w:rPr>
              <w:t>2017</w:t>
            </w:r>
          </w:p>
          <w:p>
            <w:pPr>
              <w:pStyle w:val="TableParagraph"/>
              <w:spacing w:line="200" w:lineRule="exact" w:before="3"/>
              <w:ind w:left="713"/>
              <w:rPr>
                <w:b/>
                <w:sz w:val="19"/>
              </w:rPr>
            </w:pPr>
            <w:r>
              <w:rPr>
                <w:b/>
                <w:color w:val="FFFFFF"/>
                <w:sz w:val="19"/>
              </w:rPr>
              <w:t>and</w:t>
            </w:r>
            <w:r>
              <w:rPr>
                <w:b/>
                <w:color w:val="FFFFFF"/>
                <w:spacing w:val="-1"/>
                <w:sz w:val="19"/>
              </w:rPr>
              <w:t> </w:t>
            </w:r>
            <w:r>
              <w:rPr>
                <w:b/>
                <w:color w:val="FFFFFF"/>
                <w:sz w:val="19"/>
              </w:rPr>
              <w:t>2016</w:t>
            </w:r>
          </w:p>
        </w:tc>
      </w:tr>
      <w:tr>
        <w:trPr>
          <w:trHeight w:val="270" w:hRule="atLeast"/>
        </w:trPr>
        <w:tc>
          <w:tcPr>
            <w:tcW w:w="5711" w:type="dxa"/>
            <w:vMerge/>
            <w:tcBorders>
              <w:top w:val="nil"/>
            </w:tcBorders>
            <w:shd w:val="clear" w:color="auto" w:fill="783A79"/>
          </w:tcPr>
          <w:p>
            <w:pPr>
              <w:rPr>
                <w:sz w:val="2"/>
                <w:szCs w:val="2"/>
              </w:rPr>
            </w:pPr>
          </w:p>
        </w:tc>
        <w:tc>
          <w:tcPr>
            <w:tcW w:w="1743" w:type="dxa"/>
            <w:shd w:val="clear" w:color="auto" w:fill="783A79"/>
          </w:tcPr>
          <w:p>
            <w:pPr>
              <w:pStyle w:val="TableParagraph"/>
              <w:spacing w:before="0"/>
              <w:rPr>
                <w:rFonts w:ascii="Times New Roman"/>
                <w:sz w:val="18"/>
              </w:rPr>
            </w:pPr>
          </w:p>
        </w:tc>
        <w:tc>
          <w:tcPr>
            <w:tcW w:w="1538" w:type="dxa"/>
            <w:shd w:val="clear" w:color="auto" w:fill="783A79"/>
          </w:tcPr>
          <w:p>
            <w:pPr>
              <w:pStyle w:val="TableParagraph"/>
              <w:spacing w:before="7"/>
              <w:ind w:right="111"/>
              <w:jc w:val="right"/>
              <w:rPr>
                <w:b/>
                <w:sz w:val="19"/>
              </w:rPr>
            </w:pPr>
            <w:r>
              <w:rPr>
                <w:b/>
                <w:color w:val="FFFFFF"/>
                <w:w w:val="95"/>
                <w:sz w:val="19"/>
              </w:rPr>
              <w:t>$000</w:t>
            </w:r>
          </w:p>
        </w:tc>
        <w:tc>
          <w:tcPr>
            <w:tcW w:w="1548" w:type="dxa"/>
            <w:shd w:val="clear" w:color="auto" w:fill="783A79"/>
          </w:tcPr>
          <w:p>
            <w:pPr>
              <w:pStyle w:val="TableParagraph"/>
              <w:spacing w:before="7"/>
              <w:ind w:right="112"/>
              <w:jc w:val="right"/>
              <w:rPr>
                <w:b/>
                <w:sz w:val="19"/>
              </w:rPr>
            </w:pPr>
            <w:r>
              <w:rPr>
                <w:b/>
                <w:color w:val="FFFFFF"/>
                <w:w w:val="95"/>
                <w:sz w:val="19"/>
              </w:rPr>
              <w:t>$000</w:t>
            </w:r>
          </w:p>
        </w:tc>
        <w:tc>
          <w:tcPr>
            <w:tcW w:w="1621" w:type="dxa"/>
            <w:shd w:val="clear" w:color="auto" w:fill="783A79"/>
          </w:tcPr>
          <w:p>
            <w:pPr>
              <w:pStyle w:val="TableParagraph"/>
              <w:spacing w:before="7"/>
              <w:ind w:right="185"/>
              <w:jc w:val="right"/>
              <w:rPr>
                <w:b/>
                <w:sz w:val="19"/>
              </w:rPr>
            </w:pPr>
            <w:r>
              <w:rPr>
                <w:b/>
                <w:color w:val="FFFFFF"/>
                <w:w w:val="95"/>
                <w:sz w:val="19"/>
              </w:rPr>
              <w:t>$000</w:t>
            </w:r>
          </w:p>
        </w:tc>
        <w:tc>
          <w:tcPr>
            <w:tcW w:w="1495" w:type="dxa"/>
            <w:shd w:val="clear" w:color="auto" w:fill="783A79"/>
          </w:tcPr>
          <w:p>
            <w:pPr>
              <w:pStyle w:val="TableParagraph"/>
              <w:spacing w:before="7"/>
              <w:ind w:right="132"/>
              <w:jc w:val="right"/>
              <w:rPr>
                <w:b/>
                <w:sz w:val="19"/>
              </w:rPr>
            </w:pPr>
            <w:r>
              <w:rPr>
                <w:b/>
                <w:color w:val="FFFFFF"/>
                <w:w w:val="95"/>
                <w:sz w:val="19"/>
              </w:rPr>
              <w:t>$000</w:t>
            </w:r>
          </w:p>
        </w:tc>
        <w:tc>
          <w:tcPr>
            <w:tcW w:w="1640" w:type="dxa"/>
            <w:shd w:val="clear" w:color="auto" w:fill="783A79"/>
          </w:tcPr>
          <w:p>
            <w:pPr>
              <w:pStyle w:val="TableParagraph"/>
              <w:spacing w:before="7"/>
              <w:ind w:right="111"/>
              <w:jc w:val="right"/>
              <w:rPr>
                <w:b/>
                <w:sz w:val="19"/>
              </w:rPr>
            </w:pPr>
            <w:r>
              <w:rPr>
                <w:b/>
                <w:color w:val="FFFFFF"/>
                <w:w w:val="95"/>
                <w:sz w:val="19"/>
              </w:rPr>
              <w:t>$000</w:t>
            </w:r>
          </w:p>
        </w:tc>
      </w:tr>
      <w:tr>
        <w:trPr>
          <w:trHeight w:val="967" w:hRule="atLeast"/>
        </w:trPr>
        <w:tc>
          <w:tcPr>
            <w:tcW w:w="5711" w:type="dxa"/>
          </w:tcPr>
          <w:p>
            <w:pPr>
              <w:pStyle w:val="TableParagraph"/>
              <w:spacing w:before="42"/>
              <w:ind w:left="113"/>
              <w:rPr>
                <w:b/>
                <w:sz w:val="19"/>
              </w:rPr>
            </w:pPr>
            <w:r>
              <w:rPr>
                <w:b/>
                <w:sz w:val="19"/>
              </w:rPr>
              <w:t>EXPENSES</w:t>
            </w:r>
          </w:p>
          <w:p>
            <w:pPr>
              <w:pStyle w:val="TableParagraph"/>
              <w:spacing w:before="109"/>
              <w:ind w:left="113"/>
              <w:rPr>
                <w:sz w:val="19"/>
              </w:rPr>
            </w:pPr>
            <w:r>
              <w:rPr>
                <w:sz w:val="19"/>
              </w:rPr>
              <w:t>Grants, subsidies and transfers</w:t>
            </w:r>
          </w:p>
          <w:p>
            <w:pPr>
              <w:pStyle w:val="TableParagraph"/>
              <w:spacing w:before="109"/>
              <w:ind w:left="272"/>
              <w:rPr>
                <w:sz w:val="10"/>
              </w:rPr>
            </w:pPr>
            <w:r>
              <w:rPr>
                <w:sz w:val="19"/>
              </w:rPr>
              <w:t>Administered Grants, Subsidies and Other Transfer Payments</w:t>
            </w:r>
            <w:r>
              <w:rPr>
                <w:position w:val="6"/>
                <w:sz w:val="10"/>
              </w:rPr>
              <w:t>(b)</w:t>
            </w:r>
          </w:p>
        </w:tc>
        <w:tc>
          <w:tcPr>
            <w:tcW w:w="1743" w:type="dxa"/>
          </w:tcPr>
          <w:p>
            <w:pPr>
              <w:pStyle w:val="TableParagraph"/>
              <w:spacing w:before="0"/>
              <w:rPr>
                <w:sz w:val="22"/>
              </w:rPr>
            </w:pPr>
          </w:p>
          <w:p>
            <w:pPr>
              <w:pStyle w:val="TableParagraph"/>
              <w:spacing w:before="0"/>
              <w:rPr>
                <w:sz w:val="22"/>
              </w:rPr>
            </w:pPr>
          </w:p>
          <w:p>
            <w:pPr>
              <w:pStyle w:val="TableParagraph"/>
              <w:spacing w:before="191"/>
              <w:ind w:left="174"/>
              <w:jc w:val="center"/>
              <w:rPr>
                <w:sz w:val="19"/>
              </w:rPr>
            </w:pPr>
            <w:hyperlink w:history="true" w:anchor="_bookmark57">
              <w:r>
                <w:rPr>
                  <w:color w:val="A7BE39"/>
                  <w:w w:val="99"/>
                  <w:sz w:val="19"/>
                  <w:u w:val="single" w:color="A7BE39"/>
                </w:rPr>
                <w:t>6</w:t>
              </w:r>
            </w:hyperlink>
          </w:p>
        </w:tc>
        <w:tc>
          <w:tcPr>
            <w:tcW w:w="1538" w:type="dxa"/>
          </w:tcPr>
          <w:p>
            <w:pPr>
              <w:pStyle w:val="TableParagraph"/>
              <w:spacing w:before="0"/>
              <w:rPr>
                <w:sz w:val="22"/>
              </w:rPr>
            </w:pPr>
          </w:p>
          <w:p>
            <w:pPr>
              <w:pStyle w:val="TableParagraph"/>
              <w:spacing w:before="0"/>
              <w:rPr>
                <w:sz w:val="22"/>
              </w:rPr>
            </w:pPr>
          </w:p>
          <w:p>
            <w:pPr>
              <w:pStyle w:val="TableParagraph"/>
              <w:spacing w:before="191"/>
              <w:ind w:right="111"/>
              <w:jc w:val="right"/>
              <w:rPr>
                <w:sz w:val="19"/>
              </w:rPr>
            </w:pPr>
            <w:r>
              <w:rPr>
                <w:w w:val="95"/>
                <w:sz w:val="19"/>
              </w:rPr>
              <w:t>204,210</w:t>
            </w:r>
          </w:p>
        </w:tc>
        <w:tc>
          <w:tcPr>
            <w:tcW w:w="1548" w:type="dxa"/>
            <w:shd w:val="clear" w:color="auto" w:fill="E1E4BB"/>
          </w:tcPr>
          <w:p>
            <w:pPr>
              <w:pStyle w:val="TableParagraph"/>
              <w:spacing w:before="0"/>
              <w:rPr>
                <w:sz w:val="22"/>
              </w:rPr>
            </w:pPr>
          </w:p>
          <w:p>
            <w:pPr>
              <w:pStyle w:val="TableParagraph"/>
              <w:spacing w:before="0"/>
              <w:rPr>
                <w:sz w:val="22"/>
              </w:rPr>
            </w:pPr>
          </w:p>
          <w:p>
            <w:pPr>
              <w:pStyle w:val="TableParagraph"/>
              <w:spacing w:before="191"/>
              <w:ind w:right="112"/>
              <w:jc w:val="right"/>
              <w:rPr>
                <w:sz w:val="19"/>
              </w:rPr>
            </w:pPr>
            <w:r>
              <w:rPr>
                <w:w w:val="95"/>
                <w:sz w:val="19"/>
              </w:rPr>
              <w:t>164,281</w:t>
            </w:r>
          </w:p>
        </w:tc>
        <w:tc>
          <w:tcPr>
            <w:tcW w:w="1621" w:type="dxa"/>
          </w:tcPr>
          <w:p>
            <w:pPr>
              <w:pStyle w:val="TableParagraph"/>
              <w:spacing w:before="0"/>
              <w:rPr>
                <w:sz w:val="22"/>
              </w:rPr>
            </w:pPr>
          </w:p>
          <w:p>
            <w:pPr>
              <w:pStyle w:val="TableParagraph"/>
              <w:spacing w:before="0"/>
              <w:rPr>
                <w:sz w:val="22"/>
              </w:rPr>
            </w:pPr>
          </w:p>
          <w:p>
            <w:pPr>
              <w:pStyle w:val="TableParagraph"/>
              <w:spacing w:before="191"/>
              <w:ind w:right="185"/>
              <w:jc w:val="right"/>
              <w:rPr>
                <w:sz w:val="19"/>
              </w:rPr>
            </w:pPr>
            <w:r>
              <w:rPr>
                <w:w w:val="95"/>
                <w:sz w:val="19"/>
              </w:rPr>
              <w:t>148,881</w:t>
            </w:r>
          </w:p>
        </w:tc>
        <w:tc>
          <w:tcPr>
            <w:tcW w:w="1495" w:type="dxa"/>
          </w:tcPr>
          <w:p>
            <w:pPr>
              <w:pStyle w:val="TableParagraph"/>
              <w:spacing w:before="0"/>
              <w:rPr>
                <w:sz w:val="22"/>
              </w:rPr>
            </w:pPr>
          </w:p>
          <w:p>
            <w:pPr>
              <w:pStyle w:val="TableParagraph"/>
              <w:spacing w:before="0"/>
              <w:rPr>
                <w:sz w:val="22"/>
              </w:rPr>
            </w:pPr>
          </w:p>
          <w:p>
            <w:pPr>
              <w:pStyle w:val="TableParagraph"/>
              <w:spacing w:before="191"/>
              <w:ind w:right="132"/>
              <w:jc w:val="right"/>
              <w:rPr>
                <w:sz w:val="19"/>
              </w:rPr>
            </w:pPr>
            <w:r>
              <w:rPr>
                <w:w w:val="95"/>
                <w:sz w:val="19"/>
              </w:rPr>
              <w:t>(39,929)</w:t>
            </w:r>
          </w:p>
        </w:tc>
        <w:tc>
          <w:tcPr>
            <w:tcW w:w="1640" w:type="dxa"/>
          </w:tcPr>
          <w:p>
            <w:pPr>
              <w:pStyle w:val="TableParagraph"/>
              <w:spacing w:before="0"/>
              <w:rPr>
                <w:sz w:val="22"/>
              </w:rPr>
            </w:pPr>
          </w:p>
          <w:p>
            <w:pPr>
              <w:pStyle w:val="TableParagraph"/>
              <w:spacing w:before="0"/>
              <w:rPr>
                <w:sz w:val="22"/>
              </w:rPr>
            </w:pPr>
          </w:p>
          <w:p>
            <w:pPr>
              <w:pStyle w:val="TableParagraph"/>
              <w:spacing w:before="191"/>
              <w:ind w:right="111"/>
              <w:jc w:val="right"/>
              <w:rPr>
                <w:sz w:val="19"/>
              </w:rPr>
            </w:pPr>
            <w:r>
              <w:rPr>
                <w:w w:val="95"/>
                <w:sz w:val="19"/>
              </w:rPr>
              <w:t>15,401</w:t>
            </w:r>
          </w:p>
        </w:tc>
      </w:tr>
      <w:tr>
        <w:trPr>
          <w:trHeight w:val="327" w:hRule="atLeast"/>
        </w:trPr>
        <w:tc>
          <w:tcPr>
            <w:tcW w:w="5711" w:type="dxa"/>
            <w:shd w:val="clear" w:color="auto" w:fill="FAF9F9"/>
          </w:tcPr>
          <w:p>
            <w:pPr>
              <w:pStyle w:val="TableParagraph"/>
              <w:spacing w:before="57"/>
              <w:ind w:left="272"/>
              <w:rPr>
                <w:sz w:val="19"/>
              </w:rPr>
            </w:pPr>
            <w:r>
              <w:rPr>
                <w:sz w:val="19"/>
              </w:rPr>
              <w:t>First Home Owners Scheme</w:t>
            </w:r>
          </w:p>
        </w:tc>
        <w:tc>
          <w:tcPr>
            <w:tcW w:w="1743" w:type="dxa"/>
            <w:shd w:val="clear" w:color="auto" w:fill="FAF9F9"/>
          </w:tcPr>
          <w:p>
            <w:pPr>
              <w:pStyle w:val="TableParagraph"/>
              <w:spacing w:before="57"/>
              <w:ind w:left="174"/>
              <w:jc w:val="center"/>
              <w:rPr>
                <w:sz w:val="19"/>
              </w:rPr>
            </w:pPr>
            <w:hyperlink w:history="true" w:anchor="_bookmark57">
              <w:r>
                <w:rPr>
                  <w:color w:val="A7BE39"/>
                  <w:w w:val="99"/>
                  <w:sz w:val="19"/>
                  <w:u w:val="single" w:color="A7BE39"/>
                </w:rPr>
                <w:t>5</w:t>
              </w:r>
            </w:hyperlink>
          </w:p>
        </w:tc>
        <w:tc>
          <w:tcPr>
            <w:tcW w:w="1538" w:type="dxa"/>
            <w:shd w:val="clear" w:color="auto" w:fill="FAF9F9"/>
          </w:tcPr>
          <w:p>
            <w:pPr>
              <w:pStyle w:val="TableParagraph"/>
              <w:spacing w:before="57"/>
              <w:ind w:right="111"/>
              <w:jc w:val="right"/>
              <w:rPr>
                <w:sz w:val="19"/>
              </w:rPr>
            </w:pPr>
            <w:r>
              <w:rPr>
                <w:w w:val="95"/>
                <w:sz w:val="19"/>
              </w:rPr>
              <w:t>73,678</w:t>
            </w:r>
          </w:p>
        </w:tc>
        <w:tc>
          <w:tcPr>
            <w:tcW w:w="1548" w:type="dxa"/>
            <w:shd w:val="clear" w:color="auto" w:fill="E1E4BB"/>
          </w:tcPr>
          <w:p>
            <w:pPr>
              <w:pStyle w:val="TableParagraph"/>
              <w:spacing w:before="57"/>
              <w:ind w:right="112"/>
              <w:jc w:val="right"/>
              <w:rPr>
                <w:sz w:val="19"/>
              </w:rPr>
            </w:pPr>
            <w:r>
              <w:rPr>
                <w:w w:val="95"/>
                <w:sz w:val="19"/>
              </w:rPr>
              <w:t>72,765</w:t>
            </w:r>
          </w:p>
        </w:tc>
        <w:tc>
          <w:tcPr>
            <w:tcW w:w="1621" w:type="dxa"/>
            <w:shd w:val="clear" w:color="auto" w:fill="FAF9F9"/>
          </w:tcPr>
          <w:p>
            <w:pPr>
              <w:pStyle w:val="TableParagraph"/>
              <w:spacing w:before="57"/>
              <w:ind w:right="185"/>
              <w:jc w:val="right"/>
              <w:rPr>
                <w:sz w:val="19"/>
              </w:rPr>
            </w:pPr>
            <w:r>
              <w:rPr>
                <w:w w:val="95"/>
                <w:sz w:val="19"/>
              </w:rPr>
              <w:t>98,582</w:t>
            </w:r>
          </w:p>
        </w:tc>
        <w:tc>
          <w:tcPr>
            <w:tcW w:w="1495" w:type="dxa"/>
            <w:shd w:val="clear" w:color="auto" w:fill="FAF9F9"/>
          </w:tcPr>
          <w:p>
            <w:pPr>
              <w:pStyle w:val="TableParagraph"/>
              <w:spacing w:before="57"/>
              <w:ind w:right="132"/>
              <w:jc w:val="right"/>
              <w:rPr>
                <w:sz w:val="19"/>
              </w:rPr>
            </w:pPr>
            <w:r>
              <w:rPr>
                <w:w w:val="90"/>
                <w:sz w:val="19"/>
              </w:rPr>
              <w:t>(913)</w:t>
            </w:r>
          </w:p>
        </w:tc>
        <w:tc>
          <w:tcPr>
            <w:tcW w:w="1640" w:type="dxa"/>
            <w:shd w:val="clear" w:color="auto" w:fill="FAF9F9"/>
          </w:tcPr>
          <w:p>
            <w:pPr>
              <w:pStyle w:val="TableParagraph"/>
              <w:spacing w:before="57"/>
              <w:ind w:right="111"/>
              <w:jc w:val="right"/>
              <w:rPr>
                <w:sz w:val="19"/>
              </w:rPr>
            </w:pPr>
            <w:r>
              <w:rPr>
                <w:w w:val="95"/>
                <w:sz w:val="19"/>
              </w:rPr>
              <w:t>(25,817)</w:t>
            </w:r>
          </w:p>
        </w:tc>
      </w:tr>
      <w:tr>
        <w:trPr>
          <w:trHeight w:val="327" w:hRule="atLeast"/>
        </w:trPr>
        <w:tc>
          <w:tcPr>
            <w:tcW w:w="5711" w:type="dxa"/>
            <w:shd w:val="clear" w:color="auto" w:fill="F4F4F4"/>
          </w:tcPr>
          <w:p>
            <w:pPr>
              <w:pStyle w:val="TableParagraph"/>
              <w:spacing w:before="57"/>
              <w:ind w:left="113"/>
              <w:rPr>
                <w:sz w:val="19"/>
              </w:rPr>
            </w:pPr>
            <w:r>
              <w:rPr>
                <w:sz w:val="19"/>
              </w:rPr>
              <w:t>Other expenses</w:t>
            </w:r>
          </w:p>
        </w:tc>
        <w:tc>
          <w:tcPr>
            <w:tcW w:w="1743" w:type="dxa"/>
            <w:shd w:val="clear" w:color="auto" w:fill="F4F4F4"/>
          </w:tcPr>
          <w:p>
            <w:pPr>
              <w:pStyle w:val="TableParagraph"/>
              <w:spacing w:before="57"/>
              <w:ind w:left="174"/>
              <w:jc w:val="center"/>
              <w:rPr>
                <w:sz w:val="19"/>
              </w:rPr>
            </w:pPr>
            <w:hyperlink w:history="true" w:anchor="_bookmark57">
              <w:r>
                <w:rPr>
                  <w:color w:val="A7BE39"/>
                  <w:w w:val="99"/>
                  <w:sz w:val="19"/>
                  <w:u w:val="single" w:color="A7BE39"/>
                </w:rPr>
                <w:t>7</w:t>
              </w:r>
            </w:hyperlink>
          </w:p>
        </w:tc>
        <w:tc>
          <w:tcPr>
            <w:tcW w:w="1538" w:type="dxa"/>
            <w:shd w:val="clear" w:color="auto" w:fill="F4F4F4"/>
          </w:tcPr>
          <w:p>
            <w:pPr>
              <w:pStyle w:val="TableParagraph"/>
              <w:spacing w:before="57"/>
              <w:ind w:right="111"/>
              <w:jc w:val="right"/>
              <w:rPr>
                <w:sz w:val="19"/>
              </w:rPr>
            </w:pPr>
            <w:r>
              <w:rPr>
                <w:w w:val="95"/>
                <w:sz w:val="19"/>
              </w:rPr>
              <w:t>7,140,138</w:t>
            </w:r>
          </w:p>
        </w:tc>
        <w:tc>
          <w:tcPr>
            <w:tcW w:w="1548" w:type="dxa"/>
            <w:shd w:val="clear" w:color="auto" w:fill="DFE1B8"/>
          </w:tcPr>
          <w:p>
            <w:pPr>
              <w:pStyle w:val="TableParagraph"/>
              <w:spacing w:before="57"/>
              <w:ind w:right="112"/>
              <w:jc w:val="right"/>
              <w:rPr>
                <w:sz w:val="19"/>
              </w:rPr>
            </w:pPr>
            <w:r>
              <w:rPr>
                <w:w w:val="95"/>
                <w:sz w:val="19"/>
              </w:rPr>
              <w:t>6,712,652</w:t>
            </w:r>
          </w:p>
        </w:tc>
        <w:tc>
          <w:tcPr>
            <w:tcW w:w="1621" w:type="dxa"/>
            <w:shd w:val="clear" w:color="auto" w:fill="F4F4F4"/>
          </w:tcPr>
          <w:p>
            <w:pPr>
              <w:pStyle w:val="TableParagraph"/>
              <w:spacing w:before="57"/>
              <w:ind w:right="185"/>
              <w:jc w:val="right"/>
              <w:rPr>
                <w:sz w:val="19"/>
              </w:rPr>
            </w:pPr>
            <w:r>
              <w:rPr>
                <w:w w:val="95"/>
                <w:sz w:val="19"/>
              </w:rPr>
              <w:t>7,435,650</w:t>
            </w:r>
          </w:p>
        </w:tc>
        <w:tc>
          <w:tcPr>
            <w:tcW w:w="1495" w:type="dxa"/>
            <w:shd w:val="clear" w:color="auto" w:fill="F4F4F4"/>
          </w:tcPr>
          <w:p>
            <w:pPr>
              <w:pStyle w:val="TableParagraph"/>
              <w:spacing w:before="57"/>
              <w:ind w:right="132"/>
              <w:jc w:val="right"/>
              <w:rPr>
                <w:sz w:val="19"/>
              </w:rPr>
            </w:pPr>
            <w:r>
              <w:rPr>
                <w:w w:val="95"/>
                <w:sz w:val="19"/>
              </w:rPr>
              <w:t>(427,486)</w:t>
            </w:r>
          </w:p>
        </w:tc>
        <w:tc>
          <w:tcPr>
            <w:tcW w:w="1640" w:type="dxa"/>
            <w:shd w:val="clear" w:color="auto" w:fill="F4F4F4"/>
          </w:tcPr>
          <w:p>
            <w:pPr>
              <w:pStyle w:val="TableParagraph"/>
              <w:spacing w:before="57"/>
              <w:ind w:right="111"/>
              <w:jc w:val="right"/>
              <w:rPr>
                <w:sz w:val="19"/>
              </w:rPr>
            </w:pPr>
            <w:r>
              <w:rPr>
                <w:w w:val="95"/>
                <w:sz w:val="19"/>
              </w:rPr>
              <w:t>(722,998)</w:t>
            </w:r>
          </w:p>
        </w:tc>
      </w:tr>
      <w:tr>
        <w:trPr>
          <w:trHeight w:val="336" w:hRule="atLeast"/>
        </w:trPr>
        <w:tc>
          <w:tcPr>
            <w:tcW w:w="5711" w:type="dxa"/>
            <w:shd w:val="clear" w:color="auto" w:fill="FAF9F9"/>
          </w:tcPr>
          <w:p>
            <w:pPr>
              <w:pStyle w:val="TableParagraph"/>
              <w:spacing w:before="57"/>
              <w:ind w:left="113"/>
              <w:rPr>
                <w:sz w:val="19"/>
              </w:rPr>
            </w:pPr>
            <w:r>
              <w:rPr>
                <w:sz w:val="19"/>
              </w:rPr>
              <w:t>Collections transferred to other agencies</w:t>
            </w:r>
          </w:p>
        </w:tc>
        <w:tc>
          <w:tcPr>
            <w:tcW w:w="1743" w:type="dxa"/>
            <w:shd w:val="clear" w:color="auto" w:fill="FAF9F9"/>
          </w:tcPr>
          <w:p>
            <w:pPr>
              <w:pStyle w:val="TableParagraph"/>
              <w:spacing w:before="0"/>
              <w:rPr>
                <w:rFonts w:ascii="Times New Roman"/>
                <w:sz w:val="18"/>
              </w:rPr>
            </w:pPr>
          </w:p>
        </w:tc>
        <w:tc>
          <w:tcPr>
            <w:tcW w:w="1538" w:type="dxa"/>
            <w:tcBorders>
              <w:bottom w:val="single" w:sz="4" w:space="0" w:color="000000"/>
            </w:tcBorders>
            <w:shd w:val="clear" w:color="auto" w:fill="FAF9F9"/>
          </w:tcPr>
          <w:p>
            <w:pPr>
              <w:pStyle w:val="TableParagraph"/>
              <w:spacing w:before="57"/>
              <w:ind w:right="111"/>
              <w:jc w:val="right"/>
              <w:rPr>
                <w:sz w:val="19"/>
              </w:rPr>
            </w:pPr>
            <w:r>
              <w:rPr>
                <w:w w:val="95"/>
                <w:sz w:val="19"/>
              </w:rPr>
              <w:t>65,331</w:t>
            </w:r>
          </w:p>
        </w:tc>
        <w:tc>
          <w:tcPr>
            <w:tcW w:w="1548" w:type="dxa"/>
            <w:tcBorders>
              <w:bottom w:val="single" w:sz="4" w:space="0" w:color="000000"/>
            </w:tcBorders>
            <w:shd w:val="clear" w:color="auto" w:fill="E1E4BB"/>
          </w:tcPr>
          <w:p>
            <w:pPr>
              <w:pStyle w:val="TableParagraph"/>
              <w:spacing w:before="57"/>
              <w:ind w:right="111"/>
              <w:jc w:val="right"/>
              <w:rPr>
                <w:sz w:val="19"/>
              </w:rPr>
            </w:pPr>
            <w:r>
              <w:rPr>
                <w:w w:val="95"/>
                <w:sz w:val="19"/>
              </w:rPr>
              <w:t>63,549</w:t>
            </w:r>
          </w:p>
        </w:tc>
        <w:tc>
          <w:tcPr>
            <w:tcW w:w="1621" w:type="dxa"/>
            <w:tcBorders>
              <w:bottom w:val="single" w:sz="4" w:space="0" w:color="000000"/>
            </w:tcBorders>
            <w:shd w:val="clear" w:color="auto" w:fill="FAF9F9"/>
          </w:tcPr>
          <w:p>
            <w:pPr>
              <w:pStyle w:val="TableParagraph"/>
              <w:spacing w:before="57"/>
              <w:ind w:right="185"/>
              <w:jc w:val="right"/>
              <w:rPr>
                <w:sz w:val="19"/>
              </w:rPr>
            </w:pPr>
            <w:r>
              <w:rPr>
                <w:w w:val="95"/>
                <w:sz w:val="19"/>
              </w:rPr>
              <w:t>63,043</w:t>
            </w:r>
          </w:p>
        </w:tc>
        <w:tc>
          <w:tcPr>
            <w:tcW w:w="1495" w:type="dxa"/>
            <w:tcBorders>
              <w:bottom w:val="single" w:sz="4" w:space="0" w:color="000000"/>
            </w:tcBorders>
            <w:shd w:val="clear" w:color="auto" w:fill="FAF9F9"/>
          </w:tcPr>
          <w:p>
            <w:pPr>
              <w:pStyle w:val="TableParagraph"/>
              <w:spacing w:before="57"/>
              <w:ind w:right="132"/>
              <w:jc w:val="right"/>
              <w:rPr>
                <w:sz w:val="19"/>
              </w:rPr>
            </w:pPr>
            <w:r>
              <w:rPr>
                <w:w w:val="90"/>
                <w:sz w:val="19"/>
              </w:rPr>
              <w:t>(1,782)</w:t>
            </w:r>
          </w:p>
        </w:tc>
        <w:tc>
          <w:tcPr>
            <w:tcW w:w="1640" w:type="dxa"/>
            <w:tcBorders>
              <w:bottom w:val="single" w:sz="4" w:space="0" w:color="000000"/>
            </w:tcBorders>
            <w:shd w:val="clear" w:color="auto" w:fill="FAF9F9"/>
          </w:tcPr>
          <w:p>
            <w:pPr>
              <w:pStyle w:val="TableParagraph"/>
              <w:spacing w:before="57"/>
              <w:ind w:right="111"/>
              <w:jc w:val="right"/>
              <w:rPr>
                <w:sz w:val="19"/>
              </w:rPr>
            </w:pPr>
            <w:r>
              <w:rPr>
                <w:w w:val="95"/>
                <w:sz w:val="19"/>
              </w:rPr>
              <w:t>506</w:t>
            </w:r>
          </w:p>
        </w:tc>
      </w:tr>
      <w:tr>
        <w:trPr>
          <w:trHeight w:val="317" w:hRule="atLeast"/>
        </w:trPr>
        <w:tc>
          <w:tcPr>
            <w:tcW w:w="5711" w:type="dxa"/>
            <w:shd w:val="clear" w:color="auto" w:fill="F4F4F4"/>
          </w:tcPr>
          <w:p>
            <w:pPr>
              <w:pStyle w:val="TableParagraph"/>
              <w:spacing w:before="37"/>
              <w:ind w:left="113"/>
              <w:rPr>
                <w:b/>
                <w:sz w:val="19"/>
              </w:rPr>
            </w:pPr>
            <w:r>
              <w:rPr>
                <w:b/>
                <w:sz w:val="19"/>
              </w:rPr>
              <w:t>Total Administered Expenses</w:t>
            </w:r>
          </w:p>
        </w:tc>
        <w:tc>
          <w:tcPr>
            <w:tcW w:w="1743" w:type="dxa"/>
            <w:shd w:val="clear" w:color="auto" w:fill="F4F4F4"/>
          </w:tcPr>
          <w:p>
            <w:pPr>
              <w:pStyle w:val="TableParagraph"/>
              <w:spacing w:before="0"/>
              <w:rPr>
                <w:rFonts w:ascii="Times New Roman"/>
                <w:sz w:val="18"/>
              </w:rPr>
            </w:pPr>
          </w:p>
        </w:tc>
        <w:tc>
          <w:tcPr>
            <w:tcW w:w="1538" w:type="dxa"/>
            <w:tcBorders>
              <w:top w:val="single" w:sz="4" w:space="0" w:color="000000"/>
              <w:bottom w:val="single" w:sz="4" w:space="0" w:color="000000"/>
            </w:tcBorders>
            <w:shd w:val="clear" w:color="auto" w:fill="F4F4F4"/>
          </w:tcPr>
          <w:p>
            <w:pPr>
              <w:pStyle w:val="TableParagraph"/>
              <w:spacing w:before="37"/>
              <w:ind w:right="111"/>
              <w:jc w:val="right"/>
              <w:rPr>
                <w:b/>
                <w:sz w:val="19"/>
              </w:rPr>
            </w:pPr>
            <w:r>
              <w:rPr>
                <w:b/>
                <w:w w:val="95"/>
                <w:sz w:val="19"/>
              </w:rPr>
              <w:t>7,483,357</w:t>
            </w:r>
          </w:p>
        </w:tc>
        <w:tc>
          <w:tcPr>
            <w:tcW w:w="1548" w:type="dxa"/>
            <w:tcBorders>
              <w:top w:val="single" w:sz="4" w:space="0" w:color="000000"/>
              <w:bottom w:val="single" w:sz="4" w:space="0" w:color="000000"/>
            </w:tcBorders>
            <w:shd w:val="clear" w:color="auto" w:fill="DFE1B8"/>
          </w:tcPr>
          <w:p>
            <w:pPr>
              <w:pStyle w:val="TableParagraph"/>
              <w:spacing w:before="37"/>
              <w:ind w:right="111"/>
              <w:jc w:val="right"/>
              <w:rPr>
                <w:b/>
                <w:sz w:val="19"/>
              </w:rPr>
            </w:pPr>
            <w:r>
              <w:rPr>
                <w:b/>
                <w:w w:val="95"/>
                <w:sz w:val="19"/>
              </w:rPr>
              <w:t>7,013,248</w:t>
            </w:r>
          </w:p>
        </w:tc>
        <w:tc>
          <w:tcPr>
            <w:tcW w:w="1621" w:type="dxa"/>
            <w:tcBorders>
              <w:top w:val="single" w:sz="4" w:space="0" w:color="000000"/>
              <w:bottom w:val="single" w:sz="4" w:space="0" w:color="000000"/>
            </w:tcBorders>
            <w:shd w:val="clear" w:color="auto" w:fill="F4F4F4"/>
          </w:tcPr>
          <w:p>
            <w:pPr>
              <w:pStyle w:val="TableParagraph"/>
              <w:spacing w:before="37"/>
              <w:ind w:right="185"/>
              <w:jc w:val="right"/>
              <w:rPr>
                <w:b/>
                <w:sz w:val="19"/>
              </w:rPr>
            </w:pPr>
            <w:r>
              <w:rPr>
                <w:b/>
                <w:w w:val="95"/>
                <w:sz w:val="19"/>
              </w:rPr>
              <w:t>7,746,156</w:t>
            </w:r>
          </w:p>
        </w:tc>
        <w:tc>
          <w:tcPr>
            <w:tcW w:w="1495" w:type="dxa"/>
            <w:tcBorders>
              <w:top w:val="single" w:sz="4" w:space="0" w:color="000000"/>
              <w:bottom w:val="single" w:sz="4" w:space="0" w:color="000000"/>
            </w:tcBorders>
            <w:shd w:val="clear" w:color="auto" w:fill="F4F4F4"/>
          </w:tcPr>
          <w:p>
            <w:pPr>
              <w:pStyle w:val="TableParagraph"/>
              <w:spacing w:before="37"/>
              <w:ind w:right="132"/>
              <w:jc w:val="right"/>
              <w:rPr>
                <w:b/>
                <w:sz w:val="19"/>
              </w:rPr>
            </w:pPr>
            <w:r>
              <w:rPr>
                <w:b/>
                <w:w w:val="95"/>
                <w:sz w:val="19"/>
              </w:rPr>
              <w:t>(470,109)</w:t>
            </w:r>
          </w:p>
        </w:tc>
        <w:tc>
          <w:tcPr>
            <w:tcW w:w="1640" w:type="dxa"/>
            <w:tcBorders>
              <w:top w:val="single" w:sz="4" w:space="0" w:color="000000"/>
              <w:bottom w:val="single" w:sz="4" w:space="0" w:color="000000"/>
            </w:tcBorders>
            <w:shd w:val="clear" w:color="auto" w:fill="F4F4F4"/>
          </w:tcPr>
          <w:p>
            <w:pPr>
              <w:pStyle w:val="TableParagraph"/>
              <w:spacing w:before="37"/>
              <w:ind w:right="111"/>
              <w:jc w:val="right"/>
              <w:rPr>
                <w:b/>
                <w:sz w:val="19"/>
              </w:rPr>
            </w:pPr>
            <w:r>
              <w:rPr>
                <w:b/>
                <w:w w:val="95"/>
                <w:sz w:val="19"/>
              </w:rPr>
              <w:t>(732,908)</w:t>
            </w:r>
          </w:p>
        </w:tc>
      </w:tr>
      <w:tr>
        <w:trPr>
          <w:trHeight w:val="317" w:hRule="atLeast"/>
        </w:trPr>
        <w:tc>
          <w:tcPr>
            <w:tcW w:w="5711" w:type="dxa"/>
            <w:shd w:val="clear" w:color="auto" w:fill="FAF9F9"/>
          </w:tcPr>
          <w:p>
            <w:pPr>
              <w:pStyle w:val="TableParagraph"/>
              <w:spacing w:before="0"/>
              <w:rPr>
                <w:rFonts w:ascii="Times New Roman"/>
                <w:sz w:val="18"/>
              </w:rPr>
            </w:pPr>
          </w:p>
        </w:tc>
        <w:tc>
          <w:tcPr>
            <w:tcW w:w="1743" w:type="dxa"/>
            <w:shd w:val="clear" w:color="auto" w:fill="FAF9F9"/>
          </w:tcPr>
          <w:p>
            <w:pPr>
              <w:pStyle w:val="TableParagraph"/>
              <w:spacing w:before="0"/>
              <w:rPr>
                <w:rFonts w:ascii="Times New Roman"/>
                <w:sz w:val="18"/>
              </w:rPr>
            </w:pPr>
          </w:p>
        </w:tc>
        <w:tc>
          <w:tcPr>
            <w:tcW w:w="1538" w:type="dxa"/>
            <w:tcBorders>
              <w:top w:val="single" w:sz="4" w:space="0" w:color="000000"/>
              <w:bottom w:val="single" w:sz="4" w:space="0" w:color="000000"/>
            </w:tcBorders>
            <w:shd w:val="clear" w:color="auto" w:fill="FAF9F9"/>
          </w:tcPr>
          <w:p>
            <w:pPr>
              <w:pStyle w:val="TableParagraph"/>
              <w:spacing w:before="0"/>
              <w:rPr>
                <w:rFonts w:ascii="Times New Roman"/>
                <w:sz w:val="18"/>
              </w:rPr>
            </w:pPr>
          </w:p>
        </w:tc>
        <w:tc>
          <w:tcPr>
            <w:tcW w:w="1548" w:type="dxa"/>
            <w:tcBorders>
              <w:top w:val="single" w:sz="4" w:space="0" w:color="000000"/>
              <w:bottom w:val="single" w:sz="4" w:space="0" w:color="000000"/>
            </w:tcBorders>
            <w:shd w:val="clear" w:color="auto" w:fill="E1E4BB"/>
          </w:tcPr>
          <w:p>
            <w:pPr>
              <w:pStyle w:val="TableParagraph"/>
              <w:spacing w:before="0"/>
              <w:rPr>
                <w:rFonts w:ascii="Times New Roman"/>
                <w:sz w:val="18"/>
              </w:rPr>
            </w:pPr>
          </w:p>
        </w:tc>
        <w:tc>
          <w:tcPr>
            <w:tcW w:w="1621" w:type="dxa"/>
            <w:tcBorders>
              <w:top w:val="single" w:sz="4" w:space="0" w:color="000000"/>
              <w:bottom w:val="single" w:sz="4" w:space="0" w:color="000000"/>
            </w:tcBorders>
            <w:shd w:val="clear" w:color="auto" w:fill="FAF9F9"/>
          </w:tcPr>
          <w:p>
            <w:pPr>
              <w:pStyle w:val="TableParagraph"/>
              <w:spacing w:before="0"/>
              <w:rPr>
                <w:rFonts w:ascii="Times New Roman"/>
                <w:sz w:val="18"/>
              </w:rPr>
            </w:pPr>
          </w:p>
        </w:tc>
        <w:tc>
          <w:tcPr>
            <w:tcW w:w="1495" w:type="dxa"/>
            <w:tcBorders>
              <w:top w:val="single" w:sz="4" w:space="0" w:color="000000"/>
              <w:bottom w:val="single" w:sz="4" w:space="0" w:color="000000"/>
            </w:tcBorders>
            <w:shd w:val="clear" w:color="auto" w:fill="FAF9F9"/>
          </w:tcPr>
          <w:p>
            <w:pPr>
              <w:pStyle w:val="TableParagraph"/>
              <w:spacing w:before="0"/>
              <w:rPr>
                <w:rFonts w:ascii="Times New Roman"/>
                <w:sz w:val="18"/>
              </w:rPr>
            </w:pPr>
          </w:p>
        </w:tc>
        <w:tc>
          <w:tcPr>
            <w:tcW w:w="1640" w:type="dxa"/>
            <w:tcBorders>
              <w:top w:val="single" w:sz="4" w:space="0" w:color="000000"/>
              <w:bottom w:val="single" w:sz="4" w:space="0" w:color="000000"/>
            </w:tcBorders>
            <w:shd w:val="clear" w:color="auto" w:fill="FAF9F9"/>
          </w:tcPr>
          <w:p>
            <w:pPr>
              <w:pStyle w:val="TableParagraph"/>
              <w:spacing w:before="0"/>
              <w:rPr>
                <w:rFonts w:ascii="Times New Roman"/>
                <w:sz w:val="18"/>
              </w:rPr>
            </w:pPr>
          </w:p>
        </w:tc>
      </w:tr>
      <w:tr>
        <w:trPr>
          <w:trHeight w:val="299" w:hRule="atLeast"/>
        </w:trPr>
        <w:tc>
          <w:tcPr>
            <w:tcW w:w="5711" w:type="dxa"/>
            <w:shd w:val="clear" w:color="auto" w:fill="F4F4F4"/>
          </w:tcPr>
          <w:p>
            <w:pPr>
              <w:pStyle w:val="TableParagraph"/>
              <w:spacing w:before="37"/>
              <w:ind w:left="113"/>
              <w:rPr>
                <w:b/>
                <w:sz w:val="19"/>
              </w:rPr>
            </w:pPr>
            <w:r>
              <w:rPr>
                <w:b/>
                <w:sz w:val="19"/>
              </w:rPr>
              <w:t>NET INCOME FROM ADMINISTERED ITEMS</w:t>
            </w:r>
          </w:p>
        </w:tc>
        <w:tc>
          <w:tcPr>
            <w:tcW w:w="1743" w:type="dxa"/>
            <w:shd w:val="clear" w:color="auto" w:fill="F4F4F4"/>
          </w:tcPr>
          <w:p>
            <w:pPr>
              <w:pStyle w:val="TableParagraph"/>
              <w:spacing w:before="0"/>
              <w:rPr>
                <w:rFonts w:ascii="Times New Roman"/>
                <w:sz w:val="18"/>
              </w:rPr>
            </w:pPr>
          </w:p>
        </w:tc>
        <w:tc>
          <w:tcPr>
            <w:tcW w:w="1538" w:type="dxa"/>
            <w:tcBorders>
              <w:top w:val="single" w:sz="4" w:space="0" w:color="000000"/>
              <w:bottom w:val="double" w:sz="2" w:space="0" w:color="000000"/>
            </w:tcBorders>
            <w:shd w:val="clear" w:color="auto" w:fill="F4F4F4"/>
          </w:tcPr>
          <w:p>
            <w:pPr>
              <w:pStyle w:val="TableParagraph"/>
              <w:spacing w:before="37"/>
              <w:ind w:right="111"/>
              <w:jc w:val="right"/>
              <w:rPr>
                <w:b/>
                <w:sz w:val="19"/>
              </w:rPr>
            </w:pPr>
            <w:r>
              <w:rPr>
                <w:b/>
                <w:w w:val="122"/>
                <w:sz w:val="19"/>
              </w:rPr>
              <w:t>-</w:t>
            </w:r>
          </w:p>
        </w:tc>
        <w:tc>
          <w:tcPr>
            <w:tcW w:w="1548" w:type="dxa"/>
            <w:tcBorders>
              <w:top w:val="single" w:sz="4" w:space="0" w:color="000000"/>
              <w:bottom w:val="double" w:sz="2" w:space="0" w:color="000000"/>
            </w:tcBorders>
            <w:shd w:val="clear" w:color="auto" w:fill="DFE1B8"/>
          </w:tcPr>
          <w:p>
            <w:pPr>
              <w:pStyle w:val="TableParagraph"/>
              <w:spacing w:before="37"/>
              <w:ind w:right="111"/>
              <w:jc w:val="right"/>
              <w:rPr>
                <w:b/>
                <w:sz w:val="19"/>
              </w:rPr>
            </w:pPr>
            <w:r>
              <w:rPr>
                <w:b/>
                <w:w w:val="95"/>
                <w:sz w:val="19"/>
              </w:rPr>
              <w:t>126,779</w:t>
            </w:r>
          </w:p>
        </w:tc>
        <w:tc>
          <w:tcPr>
            <w:tcW w:w="1621" w:type="dxa"/>
            <w:tcBorders>
              <w:top w:val="single" w:sz="4" w:space="0" w:color="000000"/>
              <w:bottom w:val="double" w:sz="2" w:space="0" w:color="000000"/>
            </w:tcBorders>
            <w:shd w:val="clear" w:color="auto" w:fill="F4F4F4"/>
          </w:tcPr>
          <w:p>
            <w:pPr>
              <w:pStyle w:val="TableParagraph"/>
              <w:spacing w:before="37"/>
              <w:ind w:right="184"/>
              <w:jc w:val="right"/>
              <w:rPr>
                <w:b/>
                <w:sz w:val="19"/>
              </w:rPr>
            </w:pPr>
            <w:r>
              <w:rPr>
                <w:b/>
                <w:w w:val="95"/>
                <w:sz w:val="19"/>
              </w:rPr>
              <w:t>(78,911)</w:t>
            </w:r>
          </w:p>
        </w:tc>
        <w:tc>
          <w:tcPr>
            <w:tcW w:w="1495" w:type="dxa"/>
            <w:tcBorders>
              <w:top w:val="single" w:sz="4" w:space="0" w:color="000000"/>
              <w:bottom w:val="double" w:sz="2" w:space="0" w:color="000000"/>
            </w:tcBorders>
            <w:shd w:val="clear" w:color="auto" w:fill="F4F4F4"/>
          </w:tcPr>
          <w:p>
            <w:pPr>
              <w:pStyle w:val="TableParagraph"/>
              <w:spacing w:before="37"/>
              <w:ind w:right="132"/>
              <w:jc w:val="right"/>
              <w:rPr>
                <w:b/>
                <w:sz w:val="19"/>
              </w:rPr>
            </w:pPr>
            <w:r>
              <w:rPr>
                <w:b/>
                <w:w w:val="95"/>
                <w:sz w:val="19"/>
              </w:rPr>
              <w:t>126,779</w:t>
            </w:r>
          </w:p>
        </w:tc>
        <w:tc>
          <w:tcPr>
            <w:tcW w:w="1640" w:type="dxa"/>
            <w:tcBorders>
              <w:top w:val="single" w:sz="4" w:space="0" w:color="000000"/>
              <w:bottom w:val="double" w:sz="2" w:space="0" w:color="000000"/>
            </w:tcBorders>
            <w:shd w:val="clear" w:color="auto" w:fill="F4F4F4"/>
          </w:tcPr>
          <w:p>
            <w:pPr>
              <w:pStyle w:val="TableParagraph"/>
              <w:spacing w:before="37"/>
              <w:ind w:right="110"/>
              <w:jc w:val="right"/>
              <w:rPr>
                <w:b/>
                <w:sz w:val="19"/>
              </w:rPr>
            </w:pPr>
            <w:r>
              <w:rPr>
                <w:b/>
                <w:w w:val="95"/>
                <w:sz w:val="19"/>
              </w:rPr>
              <w:t>205,690</w:t>
            </w:r>
          </w:p>
        </w:tc>
      </w:tr>
    </w:tbl>
    <w:p>
      <w:pPr>
        <w:pStyle w:val="ListParagraph"/>
        <w:numPr>
          <w:ilvl w:val="1"/>
          <w:numId w:val="25"/>
        </w:numPr>
        <w:tabs>
          <w:tab w:pos="958" w:val="left" w:leader="none"/>
        </w:tabs>
        <w:spacing w:line="240" w:lineRule="auto" w:before="333" w:after="0"/>
        <w:ind w:left="957" w:right="0" w:hanging="192"/>
        <w:jc w:val="left"/>
        <w:rPr>
          <w:sz w:val="15"/>
        </w:rPr>
      </w:pPr>
      <w:r>
        <w:rPr>
          <w:sz w:val="15"/>
        </w:rPr>
        <w:t>Other</w:t>
      </w:r>
      <w:r>
        <w:rPr>
          <w:spacing w:val="-3"/>
          <w:sz w:val="15"/>
        </w:rPr>
        <w:t> </w:t>
      </w:r>
      <w:r>
        <w:rPr>
          <w:sz w:val="15"/>
        </w:rPr>
        <w:t>income</w:t>
      </w:r>
      <w:r>
        <w:rPr>
          <w:spacing w:val="-3"/>
          <w:sz w:val="15"/>
        </w:rPr>
        <w:t> </w:t>
      </w:r>
      <w:r>
        <w:rPr>
          <w:sz w:val="15"/>
        </w:rPr>
        <w:t>includes</w:t>
      </w:r>
      <w:r>
        <w:rPr>
          <w:spacing w:val="-3"/>
          <w:sz w:val="15"/>
        </w:rPr>
        <w:t> </w:t>
      </w:r>
      <w:r>
        <w:rPr>
          <w:sz w:val="15"/>
        </w:rPr>
        <w:t>Metropolitan</w:t>
      </w:r>
      <w:r>
        <w:rPr>
          <w:spacing w:val="-3"/>
          <w:sz w:val="15"/>
        </w:rPr>
        <w:t> </w:t>
      </w:r>
      <w:r>
        <w:rPr>
          <w:sz w:val="15"/>
        </w:rPr>
        <w:t>Region</w:t>
      </w:r>
      <w:r>
        <w:rPr>
          <w:spacing w:val="-3"/>
          <w:sz w:val="15"/>
        </w:rPr>
        <w:t> </w:t>
      </w:r>
      <w:r>
        <w:rPr>
          <w:sz w:val="15"/>
        </w:rPr>
        <w:t>Improvement</w:t>
      </w:r>
      <w:r>
        <w:rPr>
          <w:spacing w:val="-3"/>
          <w:sz w:val="15"/>
        </w:rPr>
        <w:t> </w:t>
      </w:r>
      <w:r>
        <w:rPr>
          <w:spacing w:val="-5"/>
          <w:sz w:val="15"/>
        </w:rPr>
        <w:t>Tax,</w:t>
      </w:r>
      <w:r>
        <w:rPr>
          <w:spacing w:val="-3"/>
          <w:sz w:val="15"/>
        </w:rPr>
        <w:t> </w:t>
      </w:r>
      <w:r>
        <w:rPr>
          <w:sz w:val="15"/>
        </w:rPr>
        <w:t>Racing</w:t>
      </w:r>
      <w:r>
        <w:rPr>
          <w:spacing w:val="-3"/>
          <w:sz w:val="15"/>
        </w:rPr>
        <w:t> </w:t>
      </w:r>
      <w:r>
        <w:rPr>
          <w:sz w:val="15"/>
        </w:rPr>
        <w:t>and</w:t>
      </w:r>
      <w:r>
        <w:rPr>
          <w:spacing w:val="-3"/>
          <w:sz w:val="15"/>
        </w:rPr>
        <w:t> </w:t>
      </w:r>
      <w:r>
        <w:rPr>
          <w:sz w:val="15"/>
        </w:rPr>
        <w:t>Wagering</w:t>
      </w:r>
      <w:r>
        <w:rPr>
          <w:spacing w:val="-3"/>
          <w:sz w:val="15"/>
        </w:rPr>
        <w:t> </w:t>
      </w:r>
      <w:r>
        <w:rPr>
          <w:sz w:val="15"/>
        </w:rPr>
        <w:t>Western</w:t>
      </w:r>
      <w:r>
        <w:rPr>
          <w:spacing w:val="-3"/>
          <w:sz w:val="15"/>
        </w:rPr>
        <w:t> </w:t>
      </w:r>
      <w:r>
        <w:rPr>
          <w:sz w:val="15"/>
        </w:rPr>
        <w:t>Australia</w:t>
      </w:r>
      <w:r>
        <w:rPr>
          <w:spacing w:val="-2"/>
          <w:sz w:val="15"/>
        </w:rPr>
        <w:t> </w:t>
      </w:r>
      <w:r>
        <w:rPr>
          <w:spacing w:val="-5"/>
          <w:sz w:val="15"/>
        </w:rPr>
        <w:t>Tax,</w:t>
      </w:r>
      <w:r>
        <w:rPr>
          <w:spacing w:val="-3"/>
          <w:sz w:val="15"/>
        </w:rPr>
        <w:t> </w:t>
      </w:r>
      <w:r>
        <w:rPr>
          <w:sz w:val="15"/>
        </w:rPr>
        <w:t>Landholder</w:t>
      </w:r>
      <w:r>
        <w:rPr>
          <w:spacing w:val="-3"/>
          <w:sz w:val="15"/>
        </w:rPr>
        <w:t> Duty, </w:t>
      </w:r>
      <w:r>
        <w:rPr>
          <w:sz w:val="15"/>
        </w:rPr>
        <w:t>Other</w:t>
      </w:r>
      <w:r>
        <w:rPr>
          <w:spacing w:val="-3"/>
          <w:sz w:val="15"/>
        </w:rPr>
        <w:t> </w:t>
      </w:r>
      <w:r>
        <w:rPr>
          <w:sz w:val="15"/>
        </w:rPr>
        <w:t>Duties</w:t>
      </w:r>
      <w:r>
        <w:rPr>
          <w:spacing w:val="-3"/>
          <w:sz w:val="15"/>
        </w:rPr>
        <w:t> </w:t>
      </w:r>
      <w:r>
        <w:rPr>
          <w:sz w:val="15"/>
        </w:rPr>
        <w:t>and</w:t>
      </w:r>
      <w:r>
        <w:rPr>
          <w:spacing w:val="-3"/>
          <w:sz w:val="15"/>
        </w:rPr>
        <w:t> </w:t>
      </w:r>
      <w:r>
        <w:rPr>
          <w:sz w:val="15"/>
        </w:rPr>
        <w:t>Commonwealth</w:t>
      </w:r>
      <w:r>
        <w:rPr>
          <w:spacing w:val="-3"/>
          <w:sz w:val="15"/>
        </w:rPr>
        <w:t> </w:t>
      </w:r>
      <w:r>
        <w:rPr>
          <w:sz w:val="15"/>
        </w:rPr>
        <w:t>Mirror</w:t>
      </w:r>
      <w:r>
        <w:rPr>
          <w:spacing w:val="-3"/>
          <w:sz w:val="15"/>
        </w:rPr>
        <w:t> Taxes.</w:t>
      </w:r>
    </w:p>
    <w:p>
      <w:pPr>
        <w:pStyle w:val="ListParagraph"/>
        <w:numPr>
          <w:ilvl w:val="1"/>
          <w:numId w:val="25"/>
        </w:numPr>
        <w:tabs>
          <w:tab w:pos="966" w:val="left" w:leader="none"/>
        </w:tabs>
        <w:spacing w:line="278" w:lineRule="auto" w:before="27" w:after="0"/>
        <w:ind w:left="973" w:right="899" w:hanging="208"/>
        <w:jc w:val="left"/>
        <w:rPr>
          <w:sz w:val="15"/>
        </w:rPr>
      </w:pPr>
      <w:r>
        <w:rPr>
          <w:sz w:val="15"/>
        </w:rPr>
        <w:t>Subsidies</w:t>
      </w:r>
      <w:r>
        <w:rPr>
          <w:spacing w:val="-16"/>
          <w:sz w:val="15"/>
        </w:rPr>
        <w:t> </w:t>
      </w:r>
      <w:r>
        <w:rPr>
          <w:sz w:val="15"/>
        </w:rPr>
        <w:t>and</w:t>
      </w:r>
      <w:r>
        <w:rPr>
          <w:spacing w:val="-17"/>
          <w:sz w:val="15"/>
        </w:rPr>
        <w:t> </w:t>
      </w:r>
      <w:r>
        <w:rPr>
          <w:sz w:val="15"/>
        </w:rPr>
        <w:t>Other</w:t>
      </w:r>
      <w:r>
        <w:rPr>
          <w:spacing w:val="-16"/>
          <w:sz w:val="15"/>
        </w:rPr>
        <w:t> </w:t>
      </w:r>
      <w:r>
        <w:rPr>
          <w:sz w:val="15"/>
        </w:rPr>
        <w:t>Transfer</w:t>
      </w:r>
      <w:r>
        <w:rPr>
          <w:spacing w:val="-16"/>
          <w:sz w:val="15"/>
        </w:rPr>
        <w:t> </w:t>
      </w:r>
      <w:r>
        <w:rPr>
          <w:sz w:val="15"/>
        </w:rPr>
        <w:t>Payments</w:t>
      </w:r>
      <w:r>
        <w:rPr>
          <w:spacing w:val="-16"/>
          <w:sz w:val="15"/>
        </w:rPr>
        <w:t> </w:t>
      </w:r>
      <w:r>
        <w:rPr>
          <w:sz w:val="15"/>
        </w:rPr>
        <w:t>includes</w:t>
      </w:r>
      <w:r>
        <w:rPr>
          <w:spacing w:val="-16"/>
          <w:sz w:val="15"/>
        </w:rPr>
        <w:t> </w:t>
      </w:r>
      <w:r>
        <w:rPr>
          <w:sz w:val="15"/>
        </w:rPr>
        <w:t>Pensioner</w:t>
      </w:r>
      <w:r>
        <w:rPr>
          <w:spacing w:val="-16"/>
          <w:sz w:val="15"/>
        </w:rPr>
        <w:t> </w:t>
      </w:r>
      <w:r>
        <w:rPr>
          <w:sz w:val="15"/>
        </w:rPr>
        <w:t>concessions</w:t>
      </w:r>
      <w:r>
        <w:rPr>
          <w:spacing w:val="-16"/>
          <w:sz w:val="15"/>
        </w:rPr>
        <w:t> </w:t>
      </w:r>
      <w:r>
        <w:rPr>
          <w:sz w:val="15"/>
        </w:rPr>
        <w:t>for</w:t>
      </w:r>
      <w:r>
        <w:rPr>
          <w:spacing w:val="-16"/>
          <w:sz w:val="15"/>
        </w:rPr>
        <w:t> </w:t>
      </w:r>
      <w:r>
        <w:rPr>
          <w:sz w:val="15"/>
        </w:rPr>
        <w:t>Local</w:t>
      </w:r>
      <w:r>
        <w:rPr>
          <w:spacing w:val="-16"/>
          <w:sz w:val="15"/>
        </w:rPr>
        <w:t> </w:t>
      </w:r>
      <w:r>
        <w:rPr>
          <w:sz w:val="15"/>
        </w:rPr>
        <w:t>Government</w:t>
      </w:r>
      <w:r>
        <w:rPr>
          <w:spacing w:val="-16"/>
          <w:sz w:val="15"/>
        </w:rPr>
        <w:t> </w:t>
      </w:r>
      <w:r>
        <w:rPr>
          <w:sz w:val="15"/>
        </w:rPr>
        <w:t>and</w:t>
      </w:r>
      <w:r>
        <w:rPr>
          <w:spacing w:val="-16"/>
          <w:sz w:val="15"/>
        </w:rPr>
        <w:t> </w:t>
      </w:r>
      <w:r>
        <w:rPr>
          <w:sz w:val="15"/>
        </w:rPr>
        <w:t>Water</w:t>
      </w:r>
      <w:r>
        <w:rPr>
          <w:spacing w:val="-16"/>
          <w:sz w:val="15"/>
        </w:rPr>
        <w:t> </w:t>
      </w:r>
      <w:r>
        <w:rPr>
          <w:sz w:val="15"/>
        </w:rPr>
        <w:t>rates</w:t>
      </w:r>
      <w:r>
        <w:rPr>
          <w:spacing w:val="-16"/>
          <w:sz w:val="15"/>
        </w:rPr>
        <w:t> </w:t>
      </w:r>
      <w:r>
        <w:rPr>
          <w:sz w:val="15"/>
        </w:rPr>
        <w:t>and</w:t>
      </w:r>
      <w:r>
        <w:rPr>
          <w:spacing w:val="-16"/>
          <w:sz w:val="15"/>
        </w:rPr>
        <w:t> </w:t>
      </w:r>
      <w:r>
        <w:rPr>
          <w:sz w:val="15"/>
        </w:rPr>
        <w:t>Refund</w:t>
      </w:r>
      <w:r>
        <w:rPr>
          <w:spacing w:val="-16"/>
          <w:sz w:val="15"/>
        </w:rPr>
        <w:t> </w:t>
      </w:r>
      <w:r>
        <w:rPr>
          <w:sz w:val="15"/>
        </w:rPr>
        <w:t>of</w:t>
      </w:r>
      <w:r>
        <w:rPr>
          <w:spacing w:val="-16"/>
          <w:sz w:val="15"/>
        </w:rPr>
        <w:t> </w:t>
      </w:r>
      <w:r>
        <w:rPr>
          <w:sz w:val="15"/>
        </w:rPr>
        <w:t>Past</w:t>
      </w:r>
      <w:r>
        <w:rPr>
          <w:spacing w:val="-16"/>
          <w:sz w:val="15"/>
        </w:rPr>
        <w:t> </w:t>
      </w:r>
      <w:r>
        <w:rPr>
          <w:spacing w:val="-3"/>
          <w:sz w:val="15"/>
        </w:rPr>
        <w:t>Years</w:t>
      </w:r>
      <w:r>
        <w:rPr>
          <w:spacing w:val="-16"/>
          <w:sz w:val="15"/>
        </w:rPr>
        <w:t> </w:t>
      </w:r>
      <w:r>
        <w:rPr>
          <w:sz w:val="15"/>
        </w:rPr>
        <w:t>Revenue.</w:t>
      </w:r>
      <w:r>
        <w:rPr>
          <w:spacing w:val="-16"/>
          <w:sz w:val="15"/>
        </w:rPr>
        <w:t> </w:t>
      </w:r>
      <w:r>
        <w:rPr>
          <w:sz w:val="15"/>
        </w:rPr>
        <w:t>2017</w:t>
      </w:r>
      <w:r>
        <w:rPr>
          <w:spacing w:val="-16"/>
          <w:sz w:val="15"/>
        </w:rPr>
        <w:t> </w:t>
      </w:r>
      <w:r>
        <w:rPr>
          <w:sz w:val="15"/>
        </w:rPr>
        <w:t>actuals</w:t>
      </w:r>
      <w:r>
        <w:rPr>
          <w:spacing w:val="-16"/>
          <w:sz w:val="15"/>
        </w:rPr>
        <w:t> </w:t>
      </w:r>
      <w:r>
        <w:rPr>
          <w:sz w:val="15"/>
        </w:rPr>
        <w:t>include</w:t>
      </w:r>
      <w:r>
        <w:rPr>
          <w:spacing w:val="-16"/>
          <w:sz w:val="15"/>
        </w:rPr>
        <w:t> </w:t>
      </w:r>
      <w:r>
        <w:rPr>
          <w:sz w:val="15"/>
        </w:rPr>
        <w:t>$5.5</w:t>
      </w:r>
      <w:r>
        <w:rPr>
          <w:spacing w:val="-16"/>
          <w:sz w:val="15"/>
        </w:rPr>
        <w:t> </w:t>
      </w:r>
      <w:r>
        <w:rPr>
          <w:sz w:val="15"/>
        </w:rPr>
        <w:t>million</w:t>
      </w:r>
      <w:r>
        <w:rPr>
          <w:spacing w:val="-16"/>
          <w:sz w:val="15"/>
        </w:rPr>
        <w:t> </w:t>
      </w:r>
      <w:r>
        <w:rPr>
          <w:sz w:val="15"/>
        </w:rPr>
        <w:t>under</w:t>
      </w:r>
      <w:r>
        <w:rPr>
          <w:spacing w:val="-16"/>
          <w:sz w:val="15"/>
        </w:rPr>
        <w:t> </w:t>
      </w:r>
      <w:r>
        <w:rPr>
          <w:sz w:val="15"/>
        </w:rPr>
        <w:t>the</w:t>
      </w:r>
      <w:r>
        <w:rPr>
          <w:spacing w:val="-16"/>
          <w:sz w:val="15"/>
        </w:rPr>
        <w:t> </w:t>
      </w:r>
      <w:r>
        <w:rPr>
          <w:sz w:val="15"/>
        </w:rPr>
        <w:t>First</w:t>
      </w:r>
      <w:r>
        <w:rPr>
          <w:spacing w:val="-16"/>
          <w:sz w:val="15"/>
        </w:rPr>
        <w:t> </w:t>
      </w:r>
      <w:r>
        <w:rPr>
          <w:sz w:val="15"/>
        </w:rPr>
        <w:t>Home</w:t>
      </w:r>
      <w:r>
        <w:rPr>
          <w:spacing w:val="-16"/>
          <w:sz w:val="15"/>
        </w:rPr>
        <w:t> </w:t>
      </w:r>
      <w:r>
        <w:rPr>
          <w:sz w:val="15"/>
        </w:rPr>
        <w:t>Owners</w:t>
      </w:r>
      <w:r>
        <w:rPr>
          <w:spacing w:val="-16"/>
          <w:sz w:val="15"/>
        </w:rPr>
        <w:t> </w:t>
      </w:r>
      <w:r>
        <w:rPr>
          <w:sz w:val="15"/>
        </w:rPr>
        <w:t>Grant</w:t>
      </w:r>
      <w:r>
        <w:rPr>
          <w:spacing w:val="-16"/>
          <w:sz w:val="15"/>
        </w:rPr>
        <w:t> </w:t>
      </w:r>
      <w:r>
        <w:rPr>
          <w:sz w:val="15"/>
        </w:rPr>
        <w:t>Boost</w:t>
      </w:r>
      <w:r>
        <w:rPr>
          <w:spacing w:val="-16"/>
          <w:sz w:val="15"/>
        </w:rPr>
        <w:t> </w:t>
      </w:r>
      <w:r>
        <w:rPr>
          <w:spacing w:val="-3"/>
          <w:sz w:val="15"/>
        </w:rPr>
        <w:t>scheme </w:t>
      </w:r>
      <w:r>
        <w:rPr>
          <w:sz w:val="15"/>
        </w:rPr>
        <w:t>announced 27 December 2016 and funded by Item 70: Amount provided for Administered Grants, Subsidies and Other Transfer</w:t>
      </w:r>
      <w:r>
        <w:rPr>
          <w:spacing w:val="-29"/>
          <w:sz w:val="15"/>
        </w:rPr>
        <w:t> </w:t>
      </w:r>
      <w:r>
        <w:rPr>
          <w:sz w:val="15"/>
        </w:rPr>
        <w:t>Payments.</w:t>
      </w:r>
    </w:p>
    <w:p>
      <w:pPr>
        <w:spacing w:after="0" w:line="278" w:lineRule="auto"/>
        <w:jc w:val="left"/>
        <w:rPr>
          <w:sz w:val="15"/>
        </w:rPr>
        <w:sectPr>
          <w:footerReference w:type="default" r:id="rId241"/>
          <w:pgSz w:w="16840" w:h="11910" w:orient="landscape"/>
          <w:pgMar w:footer="448" w:header="0" w:top="0" w:bottom="640" w:left="0" w:right="0"/>
        </w:sectPr>
      </w:pPr>
    </w:p>
    <w:p>
      <w:pPr>
        <w:tabs>
          <w:tab w:pos="14432" w:val="left" w:leader="none"/>
        </w:tabs>
        <w:spacing w:line="240" w:lineRule="auto"/>
        <w:ind w:left="9621" w:right="-58" w:firstLine="0"/>
        <w:rPr>
          <w:sz w:val="20"/>
        </w:rPr>
      </w:pPr>
      <w:bookmarkStart w:name="_bookmark57" w:id="59"/>
      <w:bookmarkEnd w:id="59"/>
      <w:r>
        <w:rPr/>
      </w:r>
      <w:r>
        <w:rPr>
          <w:sz w:val="20"/>
        </w:rPr>
        <w:pict>
          <v:shape style="width:120.3pt;height:42.55pt;mso-position-horizontal-relative:char;mso-position-vertical-relative:line" type="#_x0000_t202" filled="true" fillcolor="#bec85c" stroked="false">
            <w10:anchorlock/>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spacing w:before="7"/>
        <w:rPr>
          <w:sz w:val="23"/>
        </w:rPr>
      </w:pPr>
    </w:p>
    <w:p>
      <w:pPr>
        <w:pStyle w:val="Heading1"/>
      </w:pPr>
      <w:r>
        <w:rPr/>
        <w:pict>
          <v:group style="position:absolute;margin-left:763.172119pt;margin-top:-3.594212pt;width:61.1pt;height:45.2pt;mso-position-horizontal-relative:page;mso-position-vertical-relative:paragraph;z-index:27472"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481.1pt;height:42.55pt;mso-position-horizontal-relative:page;mso-position-vertical-relative:paragraph;z-index:27592" coordorigin="0,-1147" coordsize="9622,851">
            <v:rect style="position:absolute;left:7216;top:-1148;width:2406;height:851" filled="true" fillcolor="#e6e7e8" stroked="false">
              <v:fill type="solid"/>
            </v:rect>
            <v:shape style="position:absolute;left:7216;top:-1148;width:583;height:583" type="#_x0000_t75" stroked="false">
              <v:imagedata r:id="rId174" o:title=""/>
            </v:shape>
            <v:shape style="position:absolute;left:7217;top:-1148;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4801;top:-1148;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148;width:2397;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1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pict>
          <v:shape style="position:absolute;margin-left:601.348999pt;margin-top:-57.37421pt;width:120.3pt;height:42.55pt;mso-position-horizontal-relative:page;mso-position-vertical-relative:paragraph;z-index:27616" type="#_x0000_t202" filled="true" fillcolor="#b6c247"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4"/>
        <w:rPr>
          <w:sz w:val="15"/>
        </w:rPr>
      </w:pPr>
    </w:p>
    <w:p>
      <w:pPr>
        <w:spacing w:after="0"/>
        <w:rPr>
          <w:sz w:val="15"/>
        </w:rPr>
        <w:sectPr>
          <w:footerReference w:type="default" r:id="rId242"/>
          <w:pgSz w:w="16840" w:h="11910" w:orient="landscape"/>
          <w:pgMar w:footer="448" w:header="0" w:top="0" w:bottom="640" w:left="0" w:right="0"/>
        </w:sectPr>
      </w:pPr>
    </w:p>
    <w:p>
      <w:pPr>
        <w:spacing w:before="103"/>
        <w:ind w:left="765" w:right="0" w:firstLine="0"/>
        <w:jc w:val="left"/>
        <w:rPr>
          <w:i/>
          <w:sz w:val="22"/>
        </w:rPr>
      </w:pPr>
      <w:r>
        <w:rPr>
          <w:i/>
          <w:color w:val="6F2770"/>
          <w:sz w:val="22"/>
        </w:rPr>
        <w:t>Major Estimate and Actual (2017) Variance Narratives</w:t>
      </w:r>
    </w:p>
    <w:p>
      <w:pPr>
        <w:pStyle w:val="ListParagraph"/>
        <w:numPr>
          <w:ilvl w:val="0"/>
          <w:numId w:val="26"/>
        </w:numPr>
        <w:tabs>
          <w:tab w:pos="1010" w:val="left" w:leader="none"/>
        </w:tabs>
        <w:spacing w:line="249" w:lineRule="auto" w:before="11" w:after="0"/>
        <w:ind w:left="1010" w:right="0" w:hanging="245"/>
        <w:jc w:val="left"/>
        <w:rPr>
          <w:sz w:val="22"/>
        </w:rPr>
      </w:pPr>
      <w:r>
        <w:rPr>
          <w:sz w:val="22"/>
        </w:rPr>
        <w:t>Payroll</w:t>
      </w:r>
      <w:r>
        <w:rPr>
          <w:spacing w:val="-19"/>
          <w:sz w:val="22"/>
        </w:rPr>
        <w:t> </w:t>
      </w:r>
      <w:r>
        <w:rPr>
          <w:sz w:val="22"/>
        </w:rPr>
        <w:t>tax</w:t>
      </w:r>
      <w:r>
        <w:rPr>
          <w:spacing w:val="-19"/>
          <w:sz w:val="22"/>
        </w:rPr>
        <w:t> </w:t>
      </w:r>
      <w:r>
        <w:rPr>
          <w:sz w:val="22"/>
        </w:rPr>
        <w:t>collections</w:t>
      </w:r>
      <w:r>
        <w:rPr>
          <w:spacing w:val="-19"/>
          <w:sz w:val="22"/>
        </w:rPr>
        <w:t> </w:t>
      </w:r>
      <w:r>
        <w:rPr>
          <w:sz w:val="22"/>
        </w:rPr>
        <w:t>were</w:t>
      </w:r>
      <w:r>
        <w:rPr>
          <w:spacing w:val="-19"/>
          <w:sz w:val="22"/>
        </w:rPr>
        <w:t> </w:t>
      </w:r>
      <w:r>
        <w:rPr>
          <w:sz w:val="22"/>
        </w:rPr>
        <w:t>$268.8</w:t>
      </w:r>
      <w:r>
        <w:rPr>
          <w:spacing w:val="-18"/>
          <w:sz w:val="22"/>
        </w:rPr>
        <w:t> </w:t>
      </w:r>
      <w:r>
        <w:rPr>
          <w:sz w:val="22"/>
        </w:rPr>
        <w:t>million</w:t>
      </w:r>
      <w:r>
        <w:rPr>
          <w:spacing w:val="-19"/>
          <w:sz w:val="22"/>
        </w:rPr>
        <w:t> </w:t>
      </w:r>
      <w:r>
        <w:rPr>
          <w:sz w:val="22"/>
        </w:rPr>
        <w:t>lower</w:t>
      </w:r>
      <w:r>
        <w:rPr>
          <w:spacing w:val="-19"/>
          <w:sz w:val="22"/>
        </w:rPr>
        <w:t> </w:t>
      </w:r>
      <w:r>
        <w:rPr>
          <w:sz w:val="22"/>
        </w:rPr>
        <w:t>in</w:t>
      </w:r>
      <w:r>
        <w:rPr>
          <w:spacing w:val="-19"/>
          <w:sz w:val="22"/>
        </w:rPr>
        <w:t> </w:t>
      </w:r>
      <w:r>
        <w:rPr>
          <w:sz w:val="22"/>
        </w:rPr>
        <w:t>2017</w:t>
      </w:r>
      <w:r>
        <w:rPr>
          <w:spacing w:val="-18"/>
          <w:sz w:val="22"/>
        </w:rPr>
        <w:t> </w:t>
      </w:r>
      <w:r>
        <w:rPr>
          <w:sz w:val="22"/>
        </w:rPr>
        <w:t>following</w:t>
      </w:r>
      <w:r>
        <w:rPr>
          <w:spacing w:val="-19"/>
          <w:sz w:val="22"/>
        </w:rPr>
        <w:t> </w:t>
      </w:r>
      <w:r>
        <w:rPr>
          <w:sz w:val="22"/>
        </w:rPr>
        <w:t>weaker than</w:t>
      </w:r>
      <w:r>
        <w:rPr>
          <w:spacing w:val="-18"/>
          <w:sz w:val="22"/>
        </w:rPr>
        <w:t> </w:t>
      </w:r>
      <w:r>
        <w:rPr>
          <w:sz w:val="22"/>
        </w:rPr>
        <w:t>expected</w:t>
      </w:r>
      <w:r>
        <w:rPr>
          <w:spacing w:val="-18"/>
          <w:sz w:val="22"/>
        </w:rPr>
        <w:t> </w:t>
      </w:r>
      <w:r>
        <w:rPr>
          <w:sz w:val="22"/>
        </w:rPr>
        <w:t>growth</w:t>
      </w:r>
      <w:r>
        <w:rPr>
          <w:spacing w:val="-18"/>
          <w:sz w:val="22"/>
        </w:rPr>
        <w:t> </w:t>
      </w:r>
      <w:r>
        <w:rPr>
          <w:sz w:val="22"/>
        </w:rPr>
        <w:t>in</w:t>
      </w:r>
      <w:r>
        <w:rPr>
          <w:spacing w:val="-18"/>
          <w:sz w:val="22"/>
        </w:rPr>
        <w:t> </w:t>
      </w:r>
      <w:r>
        <w:rPr>
          <w:sz w:val="22"/>
        </w:rPr>
        <w:t>employment</w:t>
      </w:r>
      <w:r>
        <w:rPr>
          <w:spacing w:val="-18"/>
          <w:sz w:val="22"/>
        </w:rPr>
        <w:t> </w:t>
      </w:r>
      <w:r>
        <w:rPr>
          <w:sz w:val="22"/>
        </w:rPr>
        <w:t>and</w:t>
      </w:r>
      <w:r>
        <w:rPr>
          <w:spacing w:val="-18"/>
          <w:sz w:val="22"/>
        </w:rPr>
        <w:t> </w:t>
      </w:r>
      <w:r>
        <w:rPr>
          <w:sz w:val="22"/>
        </w:rPr>
        <w:t>wages,</w:t>
      </w:r>
      <w:r>
        <w:rPr>
          <w:spacing w:val="-18"/>
          <w:sz w:val="22"/>
        </w:rPr>
        <w:t> </w:t>
      </w:r>
      <w:r>
        <w:rPr>
          <w:sz w:val="22"/>
        </w:rPr>
        <w:t>particularly</w:t>
      </w:r>
      <w:r>
        <w:rPr>
          <w:spacing w:val="-18"/>
          <w:sz w:val="22"/>
        </w:rPr>
        <w:t> </w:t>
      </w:r>
      <w:r>
        <w:rPr>
          <w:sz w:val="22"/>
        </w:rPr>
        <w:t>in</w:t>
      </w:r>
      <w:r>
        <w:rPr>
          <w:spacing w:val="-18"/>
          <w:sz w:val="22"/>
        </w:rPr>
        <w:t> </w:t>
      </w:r>
      <w:r>
        <w:rPr>
          <w:sz w:val="22"/>
        </w:rPr>
        <w:t>the</w:t>
      </w:r>
      <w:r>
        <w:rPr>
          <w:spacing w:val="-18"/>
          <w:sz w:val="22"/>
        </w:rPr>
        <w:t> </w:t>
      </w:r>
      <w:r>
        <w:rPr>
          <w:spacing w:val="-4"/>
          <w:sz w:val="22"/>
        </w:rPr>
        <w:t>mining </w:t>
      </w:r>
      <w:r>
        <w:rPr>
          <w:sz w:val="22"/>
        </w:rPr>
        <w:t>and construction</w:t>
      </w:r>
      <w:r>
        <w:rPr>
          <w:spacing w:val="-1"/>
          <w:sz w:val="22"/>
        </w:rPr>
        <w:t> </w:t>
      </w:r>
      <w:r>
        <w:rPr>
          <w:sz w:val="22"/>
        </w:rPr>
        <w:t>sectors.</w:t>
      </w:r>
    </w:p>
    <w:p>
      <w:pPr>
        <w:pStyle w:val="ListParagraph"/>
        <w:numPr>
          <w:ilvl w:val="0"/>
          <w:numId w:val="26"/>
        </w:numPr>
        <w:tabs>
          <w:tab w:pos="1010" w:val="left" w:leader="none"/>
        </w:tabs>
        <w:spacing w:line="249" w:lineRule="auto" w:before="3" w:after="0"/>
        <w:ind w:left="1010" w:right="82" w:hanging="245"/>
        <w:jc w:val="left"/>
        <w:rPr>
          <w:sz w:val="22"/>
        </w:rPr>
      </w:pPr>
      <w:r>
        <w:rPr>
          <w:sz w:val="22"/>
        </w:rPr>
        <w:t>Revenue</w:t>
      </w:r>
      <w:r>
        <w:rPr>
          <w:spacing w:val="-19"/>
          <w:sz w:val="22"/>
        </w:rPr>
        <w:t> </w:t>
      </w:r>
      <w:r>
        <w:rPr>
          <w:sz w:val="22"/>
        </w:rPr>
        <w:t>from</w:t>
      </w:r>
      <w:r>
        <w:rPr>
          <w:spacing w:val="-19"/>
          <w:sz w:val="22"/>
        </w:rPr>
        <w:t> </w:t>
      </w:r>
      <w:r>
        <w:rPr>
          <w:sz w:val="22"/>
        </w:rPr>
        <w:t>‘other</w:t>
      </w:r>
      <w:r>
        <w:rPr>
          <w:spacing w:val="-18"/>
          <w:sz w:val="22"/>
        </w:rPr>
        <w:t> </w:t>
      </w:r>
      <w:r>
        <w:rPr>
          <w:sz w:val="22"/>
        </w:rPr>
        <w:t>taxes’</w:t>
      </w:r>
      <w:r>
        <w:rPr>
          <w:spacing w:val="-19"/>
          <w:sz w:val="22"/>
        </w:rPr>
        <w:t> </w:t>
      </w:r>
      <w:r>
        <w:rPr>
          <w:sz w:val="22"/>
        </w:rPr>
        <w:t>was</w:t>
      </w:r>
      <w:r>
        <w:rPr>
          <w:spacing w:val="-19"/>
          <w:sz w:val="22"/>
        </w:rPr>
        <w:t> </w:t>
      </w:r>
      <w:r>
        <w:rPr>
          <w:sz w:val="22"/>
        </w:rPr>
        <w:t>$37.7</w:t>
      </w:r>
      <w:r>
        <w:rPr>
          <w:spacing w:val="-18"/>
          <w:sz w:val="22"/>
        </w:rPr>
        <w:t> </w:t>
      </w:r>
      <w:r>
        <w:rPr>
          <w:sz w:val="22"/>
        </w:rPr>
        <w:t>million</w:t>
      </w:r>
      <w:r>
        <w:rPr>
          <w:spacing w:val="-19"/>
          <w:sz w:val="22"/>
        </w:rPr>
        <w:t> </w:t>
      </w:r>
      <w:r>
        <w:rPr>
          <w:sz w:val="22"/>
        </w:rPr>
        <w:t>higher</w:t>
      </w:r>
      <w:r>
        <w:rPr>
          <w:spacing w:val="-19"/>
          <w:sz w:val="22"/>
        </w:rPr>
        <w:t> </w:t>
      </w:r>
      <w:r>
        <w:rPr>
          <w:sz w:val="22"/>
        </w:rPr>
        <w:t>in</w:t>
      </w:r>
      <w:r>
        <w:rPr>
          <w:spacing w:val="-18"/>
          <w:sz w:val="22"/>
        </w:rPr>
        <w:t> </w:t>
      </w:r>
      <w:r>
        <w:rPr>
          <w:sz w:val="22"/>
        </w:rPr>
        <w:t>2017</w:t>
      </w:r>
      <w:r>
        <w:rPr>
          <w:spacing w:val="-19"/>
          <w:sz w:val="22"/>
        </w:rPr>
        <w:t> </w:t>
      </w:r>
      <w:r>
        <w:rPr>
          <w:sz w:val="22"/>
        </w:rPr>
        <w:t>primarily</w:t>
      </w:r>
      <w:r>
        <w:rPr>
          <w:spacing w:val="-19"/>
          <w:sz w:val="22"/>
        </w:rPr>
        <w:t> </w:t>
      </w:r>
      <w:r>
        <w:rPr>
          <w:spacing w:val="-6"/>
          <w:sz w:val="22"/>
        </w:rPr>
        <w:t>due </w:t>
      </w:r>
      <w:r>
        <w:rPr>
          <w:sz w:val="22"/>
        </w:rPr>
        <w:t>to</w:t>
      </w:r>
      <w:r>
        <w:rPr>
          <w:spacing w:val="-16"/>
          <w:sz w:val="22"/>
        </w:rPr>
        <w:t> </w:t>
      </w:r>
      <w:r>
        <w:rPr>
          <w:sz w:val="22"/>
        </w:rPr>
        <w:t>higher</w:t>
      </w:r>
      <w:r>
        <w:rPr>
          <w:spacing w:val="-16"/>
          <w:sz w:val="22"/>
        </w:rPr>
        <w:t> </w:t>
      </w:r>
      <w:r>
        <w:rPr>
          <w:sz w:val="22"/>
        </w:rPr>
        <w:t>landholder</w:t>
      </w:r>
      <w:r>
        <w:rPr>
          <w:spacing w:val="-15"/>
          <w:sz w:val="22"/>
        </w:rPr>
        <w:t> </w:t>
      </w:r>
      <w:r>
        <w:rPr>
          <w:sz w:val="22"/>
        </w:rPr>
        <w:t>duty</w:t>
      </w:r>
      <w:r>
        <w:rPr>
          <w:spacing w:val="-16"/>
          <w:sz w:val="22"/>
        </w:rPr>
        <w:t> </w:t>
      </w:r>
      <w:r>
        <w:rPr>
          <w:sz w:val="22"/>
        </w:rPr>
        <w:t>collections</w:t>
      </w:r>
      <w:r>
        <w:rPr>
          <w:spacing w:val="-16"/>
          <w:sz w:val="22"/>
        </w:rPr>
        <w:t> </w:t>
      </w:r>
      <w:r>
        <w:rPr>
          <w:sz w:val="22"/>
        </w:rPr>
        <w:t>from</w:t>
      </w:r>
      <w:r>
        <w:rPr>
          <w:spacing w:val="-15"/>
          <w:sz w:val="22"/>
        </w:rPr>
        <w:t> </w:t>
      </w:r>
      <w:r>
        <w:rPr>
          <w:sz w:val="22"/>
        </w:rPr>
        <w:t>a</w:t>
      </w:r>
      <w:r>
        <w:rPr>
          <w:spacing w:val="-16"/>
          <w:sz w:val="22"/>
        </w:rPr>
        <w:t> </w:t>
      </w:r>
      <w:r>
        <w:rPr>
          <w:sz w:val="22"/>
        </w:rPr>
        <w:t>number</w:t>
      </w:r>
      <w:r>
        <w:rPr>
          <w:spacing w:val="-16"/>
          <w:sz w:val="22"/>
        </w:rPr>
        <w:t> </w:t>
      </w:r>
      <w:r>
        <w:rPr>
          <w:sz w:val="22"/>
        </w:rPr>
        <w:t>of</w:t>
      </w:r>
      <w:r>
        <w:rPr>
          <w:spacing w:val="-15"/>
          <w:sz w:val="22"/>
        </w:rPr>
        <w:t> </w:t>
      </w:r>
      <w:r>
        <w:rPr>
          <w:sz w:val="22"/>
        </w:rPr>
        <w:t>large</w:t>
      </w:r>
      <w:r>
        <w:rPr>
          <w:spacing w:val="-16"/>
          <w:sz w:val="22"/>
        </w:rPr>
        <w:t> </w:t>
      </w:r>
      <w:r>
        <w:rPr>
          <w:sz w:val="22"/>
        </w:rPr>
        <w:t>commercial transactions</w:t>
      </w:r>
      <w:r>
        <w:rPr>
          <w:spacing w:val="-26"/>
          <w:sz w:val="22"/>
        </w:rPr>
        <w:t> </w:t>
      </w:r>
      <w:r>
        <w:rPr>
          <w:sz w:val="22"/>
        </w:rPr>
        <w:t>(large</w:t>
      </w:r>
      <w:r>
        <w:rPr>
          <w:spacing w:val="-25"/>
          <w:sz w:val="22"/>
        </w:rPr>
        <w:t> </w:t>
      </w:r>
      <w:r>
        <w:rPr>
          <w:sz w:val="22"/>
        </w:rPr>
        <w:t>commercial</w:t>
      </w:r>
      <w:r>
        <w:rPr>
          <w:spacing w:val="-25"/>
          <w:sz w:val="22"/>
        </w:rPr>
        <w:t> </w:t>
      </w:r>
      <w:r>
        <w:rPr>
          <w:sz w:val="22"/>
        </w:rPr>
        <w:t>transactions</w:t>
      </w:r>
      <w:r>
        <w:rPr>
          <w:spacing w:val="-26"/>
          <w:sz w:val="22"/>
        </w:rPr>
        <w:t> </w:t>
      </w:r>
      <w:r>
        <w:rPr>
          <w:sz w:val="22"/>
        </w:rPr>
        <w:t>are</w:t>
      </w:r>
      <w:r>
        <w:rPr>
          <w:spacing w:val="-25"/>
          <w:sz w:val="22"/>
        </w:rPr>
        <w:t> </w:t>
      </w:r>
      <w:r>
        <w:rPr>
          <w:sz w:val="22"/>
        </w:rPr>
        <w:t>often</w:t>
      </w:r>
      <w:r>
        <w:rPr>
          <w:spacing w:val="-25"/>
          <w:sz w:val="22"/>
        </w:rPr>
        <w:t> </w:t>
      </w:r>
      <w:r>
        <w:rPr>
          <w:sz w:val="22"/>
        </w:rPr>
        <w:t>infrequent,</w:t>
      </w:r>
      <w:r>
        <w:rPr>
          <w:spacing w:val="-26"/>
          <w:sz w:val="22"/>
        </w:rPr>
        <w:t> </w:t>
      </w:r>
      <w:r>
        <w:rPr>
          <w:sz w:val="22"/>
        </w:rPr>
        <w:t>large</w:t>
      </w:r>
      <w:r>
        <w:rPr>
          <w:spacing w:val="-25"/>
          <w:sz w:val="22"/>
        </w:rPr>
        <w:t> </w:t>
      </w:r>
      <w:r>
        <w:rPr>
          <w:sz w:val="22"/>
        </w:rPr>
        <w:t>in magnitude and volatile within and between</w:t>
      </w:r>
      <w:r>
        <w:rPr>
          <w:spacing w:val="-25"/>
          <w:sz w:val="22"/>
        </w:rPr>
        <w:t> </w:t>
      </w:r>
      <w:r>
        <w:rPr>
          <w:sz w:val="22"/>
        </w:rPr>
        <w:t>years).</w:t>
      </w:r>
    </w:p>
    <w:p>
      <w:pPr>
        <w:pStyle w:val="ListParagraph"/>
        <w:numPr>
          <w:ilvl w:val="0"/>
          <w:numId w:val="27"/>
        </w:numPr>
        <w:tabs>
          <w:tab w:pos="1010" w:val="left" w:leader="none"/>
        </w:tabs>
        <w:spacing w:line="240" w:lineRule="auto" w:before="3" w:after="0"/>
        <w:ind w:left="1010" w:right="0" w:hanging="245"/>
        <w:jc w:val="left"/>
        <w:rPr>
          <w:sz w:val="22"/>
        </w:rPr>
      </w:pPr>
      <w:r>
        <w:rPr>
          <w:sz w:val="22"/>
        </w:rPr>
        <w:t>Administered</w:t>
      </w:r>
      <w:r>
        <w:rPr>
          <w:spacing w:val="-10"/>
          <w:sz w:val="22"/>
        </w:rPr>
        <w:t> </w:t>
      </w:r>
      <w:r>
        <w:rPr>
          <w:sz w:val="22"/>
        </w:rPr>
        <w:t>grants,</w:t>
      </w:r>
      <w:r>
        <w:rPr>
          <w:spacing w:val="-9"/>
          <w:sz w:val="22"/>
        </w:rPr>
        <w:t> </w:t>
      </w:r>
      <w:r>
        <w:rPr>
          <w:sz w:val="22"/>
        </w:rPr>
        <w:t>subsidies</w:t>
      </w:r>
      <w:r>
        <w:rPr>
          <w:spacing w:val="-9"/>
          <w:sz w:val="22"/>
        </w:rPr>
        <w:t> </w:t>
      </w:r>
      <w:r>
        <w:rPr>
          <w:sz w:val="22"/>
        </w:rPr>
        <w:t>and</w:t>
      </w:r>
      <w:r>
        <w:rPr>
          <w:spacing w:val="-9"/>
          <w:sz w:val="22"/>
        </w:rPr>
        <w:t> </w:t>
      </w:r>
      <w:r>
        <w:rPr>
          <w:sz w:val="22"/>
        </w:rPr>
        <w:t>other</w:t>
      </w:r>
      <w:r>
        <w:rPr>
          <w:spacing w:val="-9"/>
          <w:sz w:val="22"/>
        </w:rPr>
        <w:t> </w:t>
      </w:r>
      <w:r>
        <w:rPr>
          <w:sz w:val="22"/>
        </w:rPr>
        <w:t>transfer</w:t>
      </w:r>
      <w:r>
        <w:rPr>
          <w:spacing w:val="-9"/>
          <w:sz w:val="22"/>
        </w:rPr>
        <w:t> </w:t>
      </w:r>
      <w:r>
        <w:rPr>
          <w:sz w:val="22"/>
        </w:rPr>
        <w:t>payments</w:t>
      </w:r>
      <w:r>
        <w:rPr>
          <w:spacing w:val="-9"/>
          <w:sz w:val="22"/>
        </w:rPr>
        <w:t> </w:t>
      </w:r>
      <w:r>
        <w:rPr>
          <w:sz w:val="22"/>
        </w:rPr>
        <w:t>were</w:t>
      </w:r>
    </w:p>
    <w:p>
      <w:pPr>
        <w:pStyle w:val="BodyText"/>
        <w:spacing w:line="249" w:lineRule="auto" w:before="11"/>
        <w:ind w:left="1009" w:right="55"/>
      </w:pPr>
      <w:r>
        <w:rPr/>
        <w:t>$39.9 million lower than estimated at the time of the 2016-17 Budget, mainly</w:t>
      </w:r>
      <w:r>
        <w:rPr>
          <w:spacing w:val="-20"/>
        </w:rPr>
        <w:t> </w:t>
      </w:r>
      <w:r>
        <w:rPr/>
        <w:t>reflecting</w:t>
      </w:r>
      <w:r>
        <w:rPr>
          <w:spacing w:val="-19"/>
        </w:rPr>
        <w:t> </w:t>
      </w:r>
      <w:r>
        <w:rPr/>
        <w:t>lower</w:t>
      </w:r>
      <w:r>
        <w:rPr>
          <w:spacing w:val="-19"/>
        </w:rPr>
        <w:t> </w:t>
      </w:r>
      <w:r>
        <w:rPr/>
        <w:t>than</w:t>
      </w:r>
      <w:r>
        <w:rPr>
          <w:spacing w:val="-20"/>
        </w:rPr>
        <w:t> </w:t>
      </w:r>
      <w:r>
        <w:rPr/>
        <w:t>expected</w:t>
      </w:r>
      <w:r>
        <w:rPr>
          <w:spacing w:val="-19"/>
        </w:rPr>
        <w:t> </w:t>
      </w:r>
      <w:r>
        <w:rPr/>
        <w:t>refunds</w:t>
      </w:r>
      <w:r>
        <w:rPr>
          <w:spacing w:val="-19"/>
        </w:rPr>
        <w:t> </w:t>
      </w:r>
      <w:r>
        <w:rPr/>
        <w:t>of</w:t>
      </w:r>
      <w:r>
        <w:rPr>
          <w:spacing w:val="-20"/>
        </w:rPr>
        <w:t> </w:t>
      </w:r>
      <w:r>
        <w:rPr/>
        <w:t>past</w:t>
      </w:r>
      <w:r>
        <w:rPr>
          <w:spacing w:val="-19"/>
        </w:rPr>
        <w:t> </w:t>
      </w:r>
      <w:r>
        <w:rPr/>
        <w:t>years’</w:t>
      </w:r>
      <w:r>
        <w:rPr>
          <w:spacing w:val="-19"/>
        </w:rPr>
        <w:t> </w:t>
      </w:r>
      <w:r>
        <w:rPr/>
        <w:t>revenue</w:t>
      </w:r>
      <w:r>
        <w:rPr>
          <w:spacing w:val="-20"/>
        </w:rPr>
        <w:t> </w:t>
      </w:r>
      <w:r>
        <w:rPr/>
        <w:t>and local</w:t>
      </w:r>
      <w:r>
        <w:rPr>
          <w:spacing w:val="-24"/>
        </w:rPr>
        <w:t> </w:t>
      </w:r>
      <w:r>
        <w:rPr/>
        <w:t>government</w:t>
      </w:r>
      <w:r>
        <w:rPr>
          <w:spacing w:val="-23"/>
        </w:rPr>
        <w:t> </w:t>
      </w:r>
      <w:r>
        <w:rPr/>
        <w:t>rates</w:t>
      </w:r>
      <w:r>
        <w:rPr>
          <w:spacing w:val="-24"/>
        </w:rPr>
        <w:t> </w:t>
      </w:r>
      <w:r>
        <w:rPr/>
        <w:t>rebates</w:t>
      </w:r>
      <w:r>
        <w:rPr>
          <w:spacing w:val="-23"/>
        </w:rPr>
        <w:t> </w:t>
      </w:r>
      <w:r>
        <w:rPr/>
        <w:t>for</w:t>
      </w:r>
      <w:r>
        <w:rPr>
          <w:spacing w:val="-23"/>
        </w:rPr>
        <w:t> </w:t>
      </w:r>
      <w:r>
        <w:rPr/>
        <w:t>pensioners</w:t>
      </w:r>
      <w:r>
        <w:rPr>
          <w:spacing w:val="-24"/>
        </w:rPr>
        <w:t> </w:t>
      </w:r>
      <w:r>
        <w:rPr/>
        <w:t>and</w:t>
      </w:r>
      <w:r>
        <w:rPr>
          <w:spacing w:val="-23"/>
        </w:rPr>
        <w:t> </w:t>
      </w:r>
      <w:r>
        <w:rPr/>
        <w:t>seniors.</w:t>
      </w:r>
      <w:r>
        <w:rPr>
          <w:spacing w:val="-24"/>
        </w:rPr>
        <w:t> </w:t>
      </w:r>
      <w:r>
        <w:rPr/>
        <w:t>Lower</w:t>
      </w:r>
      <w:r>
        <w:rPr>
          <w:spacing w:val="-23"/>
        </w:rPr>
        <w:t> </w:t>
      </w:r>
      <w:r>
        <w:rPr>
          <w:spacing w:val="-4"/>
        </w:rPr>
        <w:t>refunds </w:t>
      </w:r>
      <w:r>
        <w:rPr/>
        <w:t>from</w:t>
      </w:r>
      <w:r>
        <w:rPr>
          <w:spacing w:val="-20"/>
        </w:rPr>
        <w:t> </w:t>
      </w:r>
      <w:r>
        <w:rPr/>
        <w:t>past</w:t>
      </w:r>
      <w:r>
        <w:rPr>
          <w:spacing w:val="-20"/>
        </w:rPr>
        <w:t> </w:t>
      </w:r>
      <w:r>
        <w:rPr/>
        <w:t>years’</w:t>
      </w:r>
      <w:r>
        <w:rPr>
          <w:spacing w:val="-20"/>
        </w:rPr>
        <w:t> </w:t>
      </w:r>
      <w:r>
        <w:rPr/>
        <w:t>revenue</w:t>
      </w:r>
      <w:r>
        <w:rPr>
          <w:spacing w:val="-20"/>
        </w:rPr>
        <w:t> </w:t>
      </w:r>
      <w:r>
        <w:rPr/>
        <w:t>(down</w:t>
      </w:r>
      <w:r>
        <w:rPr>
          <w:spacing w:val="-20"/>
        </w:rPr>
        <w:t> </w:t>
      </w:r>
      <w:r>
        <w:rPr/>
        <w:t>$36.9</w:t>
      </w:r>
      <w:r>
        <w:rPr>
          <w:spacing w:val="-20"/>
        </w:rPr>
        <w:t> </w:t>
      </w:r>
      <w:r>
        <w:rPr/>
        <w:t>million)</w:t>
      </w:r>
      <w:r>
        <w:rPr>
          <w:spacing w:val="-20"/>
        </w:rPr>
        <w:t> </w:t>
      </w:r>
      <w:r>
        <w:rPr/>
        <w:t>was</w:t>
      </w:r>
      <w:r>
        <w:rPr>
          <w:spacing w:val="-20"/>
        </w:rPr>
        <w:t> </w:t>
      </w:r>
      <w:r>
        <w:rPr/>
        <w:t>primarily</w:t>
      </w:r>
      <w:r>
        <w:rPr>
          <w:spacing w:val="-20"/>
        </w:rPr>
        <w:t> </w:t>
      </w:r>
      <w:r>
        <w:rPr/>
        <w:t>in</w:t>
      </w:r>
      <w:r>
        <w:rPr>
          <w:spacing w:val="-20"/>
        </w:rPr>
        <w:t> </w:t>
      </w:r>
      <w:r>
        <w:rPr/>
        <w:t>the</w:t>
      </w:r>
      <w:r>
        <w:rPr>
          <w:spacing w:val="-20"/>
        </w:rPr>
        <w:t> </w:t>
      </w:r>
      <w:r>
        <w:rPr/>
        <w:t>area</w:t>
      </w:r>
      <w:r>
        <w:rPr>
          <w:spacing w:val="-20"/>
        </w:rPr>
        <w:t> </w:t>
      </w:r>
      <w:r>
        <w:rPr/>
        <w:t>of transfer duty</w:t>
      </w:r>
      <w:r>
        <w:rPr>
          <w:spacing w:val="-2"/>
        </w:rPr>
        <w:t> </w:t>
      </w:r>
      <w:r>
        <w:rPr/>
        <w:t>refunds.</w:t>
      </w:r>
    </w:p>
    <w:p>
      <w:pPr>
        <w:pStyle w:val="ListParagraph"/>
        <w:numPr>
          <w:ilvl w:val="0"/>
          <w:numId w:val="27"/>
        </w:numPr>
        <w:tabs>
          <w:tab w:pos="1010" w:val="left" w:leader="none"/>
        </w:tabs>
        <w:spacing w:line="249" w:lineRule="auto" w:before="5" w:after="0"/>
        <w:ind w:left="1010" w:right="238" w:hanging="245"/>
        <w:jc w:val="left"/>
        <w:rPr>
          <w:sz w:val="22"/>
        </w:rPr>
      </w:pPr>
      <w:r>
        <w:rPr>
          <w:sz w:val="22"/>
        </w:rPr>
        <w:t>Other expenses largely relate to taxation revenue collected by the Department</w:t>
      </w:r>
      <w:r>
        <w:rPr>
          <w:spacing w:val="-15"/>
          <w:sz w:val="22"/>
        </w:rPr>
        <w:t> </w:t>
      </w:r>
      <w:r>
        <w:rPr>
          <w:sz w:val="22"/>
        </w:rPr>
        <w:t>and</w:t>
      </w:r>
      <w:r>
        <w:rPr>
          <w:spacing w:val="-14"/>
          <w:sz w:val="22"/>
        </w:rPr>
        <w:t> </w:t>
      </w:r>
      <w:r>
        <w:rPr>
          <w:sz w:val="22"/>
        </w:rPr>
        <w:t>then</w:t>
      </w:r>
      <w:r>
        <w:rPr>
          <w:spacing w:val="-14"/>
          <w:sz w:val="22"/>
        </w:rPr>
        <w:t> </w:t>
      </w:r>
      <w:r>
        <w:rPr>
          <w:sz w:val="22"/>
        </w:rPr>
        <w:t>paid</w:t>
      </w:r>
      <w:r>
        <w:rPr>
          <w:spacing w:val="-15"/>
          <w:sz w:val="22"/>
        </w:rPr>
        <w:t> </w:t>
      </w:r>
      <w:r>
        <w:rPr>
          <w:sz w:val="22"/>
        </w:rPr>
        <w:t>on</w:t>
      </w:r>
      <w:r>
        <w:rPr>
          <w:spacing w:val="-14"/>
          <w:sz w:val="22"/>
        </w:rPr>
        <w:t> </w:t>
      </w:r>
      <w:r>
        <w:rPr>
          <w:sz w:val="22"/>
        </w:rPr>
        <w:t>to</w:t>
      </w:r>
      <w:r>
        <w:rPr>
          <w:spacing w:val="-14"/>
          <w:sz w:val="22"/>
        </w:rPr>
        <w:t> </w:t>
      </w:r>
      <w:r>
        <w:rPr>
          <w:sz w:val="22"/>
        </w:rPr>
        <w:t>the</w:t>
      </w:r>
      <w:r>
        <w:rPr>
          <w:spacing w:val="-14"/>
          <w:sz w:val="22"/>
        </w:rPr>
        <w:t> </w:t>
      </w:r>
      <w:r>
        <w:rPr>
          <w:sz w:val="22"/>
        </w:rPr>
        <w:t>Consolidated</w:t>
      </w:r>
      <w:r>
        <w:rPr>
          <w:spacing w:val="-15"/>
          <w:sz w:val="22"/>
        </w:rPr>
        <w:t> </w:t>
      </w:r>
      <w:r>
        <w:rPr>
          <w:sz w:val="22"/>
        </w:rPr>
        <w:t>Account.</w:t>
      </w:r>
      <w:r>
        <w:rPr>
          <w:spacing w:val="-14"/>
          <w:sz w:val="22"/>
        </w:rPr>
        <w:t> </w:t>
      </w:r>
      <w:r>
        <w:rPr>
          <w:spacing w:val="-3"/>
          <w:sz w:val="22"/>
        </w:rPr>
        <w:t>Transfers</w:t>
      </w:r>
      <w:r>
        <w:rPr>
          <w:spacing w:val="-14"/>
          <w:sz w:val="22"/>
        </w:rPr>
        <w:t> </w:t>
      </w:r>
      <w:r>
        <w:rPr>
          <w:spacing w:val="-8"/>
          <w:sz w:val="22"/>
        </w:rPr>
        <w:t>to </w:t>
      </w:r>
      <w:r>
        <w:rPr>
          <w:sz w:val="22"/>
        </w:rPr>
        <w:t>the</w:t>
      </w:r>
      <w:r>
        <w:rPr>
          <w:spacing w:val="-6"/>
          <w:sz w:val="22"/>
        </w:rPr>
        <w:t> </w:t>
      </w:r>
      <w:r>
        <w:rPr>
          <w:sz w:val="22"/>
        </w:rPr>
        <w:t>Consolidated</w:t>
      </w:r>
      <w:r>
        <w:rPr>
          <w:spacing w:val="-6"/>
          <w:sz w:val="22"/>
        </w:rPr>
        <w:t> </w:t>
      </w:r>
      <w:r>
        <w:rPr>
          <w:sz w:val="22"/>
        </w:rPr>
        <w:t>Account</w:t>
      </w:r>
      <w:r>
        <w:rPr>
          <w:spacing w:val="-6"/>
          <w:sz w:val="22"/>
        </w:rPr>
        <w:t> </w:t>
      </w:r>
      <w:r>
        <w:rPr>
          <w:sz w:val="22"/>
        </w:rPr>
        <w:t>were</w:t>
      </w:r>
      <w:r>
        <w:rPr>
          <w:spacing w:val="-5"/>
          <w:sz w:val="22"/>
        </w:rPr>
        <w:t> </w:t>
      </w:r>
      <w:r>
        <w:rPr>
          <w:sz w:val="22"/>
        </w:rPr>
        <w:t>$427.5</w:t>
      </w:r>
      <w:r>
        <w:rPr>
          <w:spacing w:val="-6"/>
          <w:sz w:val="22"/>
        </w:rPr>
        <w:t> </w:t>
      </w:r>
      <w:r>
        <w:rPr>
          <w:sz w:val="22"/>
        </w:rPr>
        <w:t>million</w:t>
      </w:r>
      <w:r>
        <w:rPr>
          <w:spacing w:val="-6"/>
          <w:sz w:val="22"/>
        </w:rPr>
        <w:t> </w:t>
      </w:r>
      <w:r>
        <w:rPr>
          <w:sz w:val="22"/>
        </w:rPr>
        <w:t>lower</w:t>
      </w:r>
      <w:r>
        <w:rPr>
          <w:spacing w:val="-5"/>
          <w:sz w:val="22"/>
        </w:rPr>
        <w:t> </w:t>
      </w:r>
      <w:r>
        <w:rPr>
          <w:sz w:val="22"/>
        </w:rPr>
        <w:t>than</w:t>
      </w:r>
      <w:r>
        <w:rPr>
          <w:spacing w:val="-6"/>
          <w:sz w:val="22"/>
        </w:rPr>
        <w:t> </w:t>
      </w:r>
      <w:r>
        <w:rPr>
          <w:sz w:val="22"/>
        </w:rPr>
        <w:t>the</w:t>
      </w:r>
    </w:p>
    <w:p>
      <w:pPr>
        <w:pStyle w:val="BodyText"/>
        <w:spacing w:line="249" w:lineRule="auto" w:before="2"/>
        <w:ind w:left="1009" w:right="376"/>
      </w:pPr>
      <w:r>
        <w:rPr/>
        <w:t>2017</w:t>
      </w:r>
      <w:r>
        <w:rPr>
          <w:spacing w:val="-27"/>
        </w:rPr>
        <w:t> </w:t>
      </w:r>
      <w:r>
        <w:rPr/>
        <w:t>estimate,</w:t>
      </w:r>
      <w:r>
        <w:rPr>
          <w:spacing w:val="-27"/>
        </w:rPr>
        <w:t> </w:t>
      </w:r>
      <w:r>
        <w:rPr/>
        <w:t>mainly</w:t>
      </w:r>
      <w:r>
        <w:rPr>
          <w:spacing w:val="-26"/>
        </w:rPr>
        <w:t> </w:t>
      </w:r>
      <w:r>
        <w:rPr/>
        <w:t>reflecting</w:t>
      </w:r>
      <w:r>
        <w:rPr>
          <w:spacing w:val="-27"/>
        </w:rPr>
        <w:t> </w:t>
      </w:r>
      <w:r>
        <w:rPr/>
        <w:t>lower</w:t>
      </w:r>
      <w:r>
        <w:rPr>
          <w:spacing w:val="-27"/>
        </w:rPr>
        <w:t> </w:t>
      </w:r>
      <w:r>
        <w:rPr/>
        <w:t>than</w:t>
      </w:r>
      <w:r>
        <w:rPr>
          <w:spacing w:val="-26"/>
        </w:rPr>
        <w:t> </w:t>
      </w:r>
      <w:r>
        <w:rPr/>
        <w:t>estimated</w:t>
      </w:r>
      <w:r>
        <w:rPr>
          <w:spacing w:val="-27"/>
        </w:rPr>
        <w:t> </w:t>
      </w:r>
      <w:r>
        <w:rPr/>
        <w:t>taxation</w:t>
      </w:r>
      <w:r>
        <w:rPr>
          <w:spacing w:val="-27"/>
        </w:rPr>
        <w:t> </w:t>
      </w:r>
      <w:r>
        <w:rPr>
          <w:spacing w:val="-4"/>
        </w:rPr>
        <w:t>revenue </w:t>
      </w:r>
      <w:r>
        <w:rPr/>
        <w:t>(attributable</w:t>
      </w:r>
      <w:r>
        <w:rPr>
          <w:spacing w:val="-22"/>
        </w:rPr>
        <w:t> </w:t>
      </w:r>
      <w:r>
        <w:rPr/>
        <w:t>to</w:t>
      </w:r>
      <w:r>
        <w:rPr>
          <w:spacing w:val="-22"/>
        </w:rPr>
        <w:t> </w:t>
      </w:r>
      <w:r>
        <w:rPr/>
        <w:t>soft</w:t>
      </w:r>
      <w:r>
        <w:rPr>
          <w:spacing w:val="-22"/>
        </w:rPr>
        <w:t> </w:t>
      </w:r>
      <w:r>
        <w:rPr/>
        <w:t>economic</w:t>
      </w:r>
      <w:r>
        <w:rPr>
          <w:spacing w:val="-22"/>
        </w:rPr>
        <w:t> </w:t>
      </w:r>
      <w:r>
        <w:rPr/>
        <w:t>conditions</w:t>
      </w:r>
      <w:r>
        <w:rPr>
          <w:spacing w:val="-22"/>
        </w:rPr>
        <w:t> </w:t>
      </w:r>
      <w:r>
        <w:rPr/>
        <w:t>in</w:t>
      </w:r>
      <w:r>
        <w:rPr>
          <w:spacing w:val="-22"/>
        </w:rPr>
        <w:t> </w:t>
      </w:r>
      <w:r>
        <w:rPr/>
        <w:t>Western</w:t>
      </w:r>
      <w:r>
        <w:rPr>
          <w:spacing w:val="-22"/>
        </w:rPr>
        <w:t> </w:t>
      </w:r>
      <w:r>
        <w:rPr/>
        <w:t>Australia</w:t>
      </w:r>
      <w:r>
        <w:rPr>
          <w:spacing w:val="-22"/>
        </w:rPr>
        <w:t> </w:t>
      </w:r>
      <w:r>
        <w:rPr/>
        <w:t>in</w:t>
      </w:r>
      <w:r>
        <w:rPr>
          <w:spacing w:val="-22"/>
        </w:rPr>
        <w:t> </w:t>
      </w:r>
      <w:r>
        <w:rPr/>
        <w:t>2017).</w:t>
      </w:r>
    </w:p>
    <w:p>
      <w:pPr>
        <w:spacing w:before="103"/>
        <w:ind w:left="556" w:right="0" w:firstLine="0"/>
        <w:jc w:val="left"/>
        <w:rPr>
          <w:i/>
          <w:sz w:val="22"/>
        </w:rPr>
      </w:pPr>
      <w:r>
        <w:rPr/>
        <w:br w:type="column"/>
      </w:r>
      <w:r>
        <w:rPr>
          <w:i/>
          <w:color w:val="6F2770"/>
          <w:sz w:val="22"/>
        </w:rPr>
        <w:t>Major Actual (2017) and Comparative (2016) Variance Narratives</w:t>
      </w:r>
    </w:p>
    <w:p>
      <w:pPr>
        <w:pStyle w:val="ListParagraph"/>
        <w:numPr>
          <w:ilvl w:val="0"/>
          <w:numId w:val="28"/>
        </w:numPr>
        <w:tabs>
          <w:tab w:pos="801" w:val="left" w:leader="none"/>
        </w:tabs>
        <w:spacing w:line="249" w:lineRule="auto" w:before="11" w:after="0"/>
        <w:ind w:left="800" w:right="795" w:hanging="244"/>
        <w:jc w:val="left"/>
        <w:rPr>
          <w:sz w:val="22"/>
        </w:rPr>
      </w:pPr>
      <w:r>
        <w:rPr>
          <w:sz w:val="22"/>
        </w:rPr>
        <w:t>Collections</w:t>
      </w:r>
      <w:r>
        <w:rPr>
          <w:spacing w:val="-16"/>
          <w:sz w:val="22"/>
        </w:rPr>
        <w:t> </w:t>
      </w:r>
      <w:r>
        <w:rPr>
          <w:sz w:val="22"/>
        </w:rPr>
        <w:t>increased</w:t>
      </w:r>
      <w:r>
        <w:rPr>
          <w:spacing w:val="-15"/>
          <w:sz w:val="22"/>
        </w:rPr>
        <w:t> </w:t>
      </w:r>
      <w:r>
        <w:rPr>
          <w:sz w:val="22"/>
        </w:rPr>
        <w:t>by</w:t>
      </w:r>
      <w:r>
        <w:rPr>
          <w:spacing w:val="-15"/>
          <w:sz w:val="22"/>
        </w:rPr>
        <w:t> </w:t>
      </w:r>
      <w:r>
        <w:rPr>
          <w:sz w:val="22"/>
        </w:rPr>
        <w:t>$49.9</w:t>
      </w:r>
      <w:r>
        <w:rPr>
          <w:spacing w:val="-15"/>
          <w:sz w:val="22"/>
        </w:rPr>
        <w:t> </w:t>
      </w:r>
      <w:r>
        <w:rPr>
          <w:sz w:val="22"/>
        </w:rPr>
        <w:t>million</w:t>
      </w:r>
      <w:r>
        <w:rPr>
          <w:spacing w:val="-15"/>
          <w:sz w:val="22"/>
        </w:rPr>
        <w:t> </w:t>
      </w:r>
      <w:r>
        <w:rPr>
          <w:sz w:val="22"/>
        </w:rPr>
        <w:t>mainly</w:t>
      </w:r>
      <w:r>
        <w:rPr>
          <w:spacing w:val="-15"/>
          <w:sz w:val="22"/>
        </w:rPr>
        <w:t> </w:t>
      </w:r>
      <w:r>
        <w:rPr>
          <w:sz w:val="22"/>
        </w:rPr>
        <w:t>due</w:t>
      </w:r>
      <w:r>
        <w:rPr>
          <w:spacing w:val="-16"/>
          <w:sz w:val="22"/>
        </w:rPr>
        <w:t> </w:t>
      </w:r>
      <w:r>
        <w:rPr>
          <w:sz w:val="22"/>
        </w:rPr>
        <w:t>to</w:t>
      </w:r>
      <w:r>
        <w:rPr>
          <w:spacing w:val="-15"/>
          <w:sz w:val="22"/>
        </w:rPr>
        <w:t> </w:t>
      </w:r>
      <w:r>
        <w:rPr>
          <w:sz w:val="22"/>
        </w:rPr>
        <w:t>the</w:t>
      </w:r>
      <w:r>
        <w:rPr>
          <w:spacing w:val="-15"/>
          <w:sz w:val="22"/>
        </w:rPr>
        <w:t> </w:t>
      </w:r>
      <w:r>
        <w:rPr>
          <w:sz w:val="22"/>
        </w:rPr>
        <w:t>introduction</w:t>
      </w:r>
      <w:r>
        <w:rPr>
          <w:spacing w:val="-15"/>
          <w:sz w:val="22"/>
        </w:rPr>
        <w:t> </w:t>
      </w:r>
      <w:r>
        <w:rPr>
          <w:sz w:val="22"/>
        </w:rPr>
        <w:t>of</w:t>
      </w:r>
      <w:r>
        <w:rPr>
          <w:spacing w:val="-15"/>
          <w:sz w:val="22"/>
        </w:rPr>
        <w:t> </w:t>
      </w:r>
      <w:r>
        <w:rPr>
          <w:sz w:val="22"/>
        </w:rPr>
        <w:t>the Compulsory Third Party insurance scheme to cover all people catastrophically</w:t>
      </w:r>
      <w:r>
        <w:rPr>
          <w:spacing w:val="-22"/>
          <w:sz w:val="22"/>
        </w:rPr>
        <w:t> </w:t>
      </w:r>
      <w:r>
        <w:rPr>
          <w:sz w:val="22"/>
        </w:rPr>
        <w:t>injured</w:t>
      </w:r>
      <w:r>
        <w:rPr>
          <w:spacing w:val="-21"/>
          <w:sz w:val="22"/>
        </w:rPr>
        <w:t> </w:t>
      </w:r>
      <w:r>
        <w:rPr>
          <w:sz w:val="22"/>
        </w:rPr>
        <w:t>in</w:t>
      </w:r>
      <w:r>
        <w:rPr>
          <w:spacing w:val="-21"/>
          <w:sz w:val="22"/>
        </w:rPr>
        <w:t> </w:t>
      </w:r>
      <w:r>
        <w:rPr>
          <w:sz w:val="22"/>
        </w:rPr>
        <w:t>a</w:t>
      </w:r>
      <w:r>
        <w:rPr>
          <w:spacing w:val="-22"/>
          <w:sz w:val="22"/>
        </w:rPr>
        <w:t> </w:t>
      </w:r>
      <w:r>
        <w:rPr>
          <w:sz w:val="22"/>
        </w:rPr>
        <w:t>motor</w:t>
      </w:r>
      <w:r>
        <w:rPr>
          <w:spacing w:val="-21"/>
          <w:sz w:val="22"/>
        </w:rPr>
        <w:t> </w:t>
      </w:r>
      <w:r>
        <w:rPr>
          <w:sz w:val="22"/>
        </w:rPr>
        <w:t>vehicle</w:t>
      </w:r>
      <w:r>
        <w:rPr>
          <w:spacing w:val="-21"/>
          <w:sz w:val="22"/>
        </w:rPr>
        <w:t> </w:t>
      </w:r>
      <w:r>
        <w:rPr>
          <w:sz w:val="22"/>
        </w:rPr>
        <w:t>crash</w:t>
      </w:r>
      <w:r>
        <w:rPr>
          <w:spacing w:val="-22"/>
          <w:sz w:val="22"/>
        </w:rPr>
        <w:t> </w:t>
      </w:r>
      <w:r>
        <w:rPr>
          <w:sz w:val="22"/>
        </w:rPr>
        <w:t>and</w:t>
      </w:r>
      <w:r>
        <w:rPr>
          <w:spacing w:val="-21"/>
          <w:sz w:val="22"/>
        </w:rPr>
        <w:t> </w:t>
      </w:r>
      <w:r>
        <w:rPr>
          <w:sz w:val="22"/>
        </w:rPr>
        <w:t>targeted</w:t>
      </w:r>
      <w:r>
        <w:rPr>
          <w:spacing w:val="-21"/>
          <w:sz w:val="22"/>
        </w:rPr>
        <w:t> </w:t>
      </w:r>
      <w:r>
        <w:rPr>
          <w:sz w:val="22"/>
        </w:rPr>
        <w:t>compliance</w:t>
      </w:r>
      <w:r>
        <w:rPr>
          <w:spacing w:val="-22"/>
          <w:sz w:val="22"/>
        </w:rPr>
        <w:t> </w:t>
      </w:r>
      <w:r>
        <w:rPr>
          <w:spacing w:val="-9"/>
          <w:sz w:val="22"/>
        </w:rPr>
        <w:t>by </w:t>
      </w:r>
      <w:r>
        <w:rPr>
          <w:sz w:val="22"/>
        </w:rPr>
        <w:t>the Office of State</w:t>
      </w:r>
      <w:r>
        <w:rPr>
          <w:spacing w:val="-6"/>
          <w:sz w:val="22"/>
        </w:rPr>
        <w:t> </w:t>
      </w:r>
      <w:r>
        <w:rPr>
          <w:sz w:val="22"/>
        </w:rPr>
        <w:t>Revenue.</w:t>
      </w:r>
    </w:p>
    <w:p>
      <w:pPr>
        <w:pStyle w:val="ListParagraph"/>
        <w:numPr>
          <w:ilvl w:val="0"/>
          <w:numId w:val="28"/>
        </w:numPr>
        <w:tabs>
          <w:tab w:pos="801" w:val="left" w:leader="none"/>
        </w:tabs>
        <w:spacing w:line="249" w:lineRule="auto" w:before="4" w:after="0"/>
        <w:ind w:left="800" w:right="815" w:hanging="244"/>
        <w:jc w:val="left"/>
        <w:rPr>
          <w:sz w:val="22"/>
        </w:rPr>
      </w:pPr>
      <w:r>
        <w:rPr>
          <w:sz w:val="22"/>
        </w:rPr>
        <w:t>Land</w:t>
      </w:r>
      <w:r>
        <w:rPr>
          <w:spacing w:val="-18"/>
          <w:sz w:val="22"/>
        </w:rPr>
        <w:t> </w:t>
      </w:r>
      <w:r>
        <w:rPr>
          <w:sz w:val="22"/>
        </w:rPr>
        <w:t>tax</w:t>
      </w:r>
      <w:r>
        <w:rPr>
          <w:spacing w:val="-17"/>
          <w:sz w:val="22"/>
        </w:rPr>
        <w:t> </w:t>
      </w:r>
      <w:r>
        <w:rPr>
          <w:sz w:val="22"/>
        </w:rPr>
        <w:t>collections</w:t>
      </w:r>
      <w:r>
        <w:rPr>
          <w:spacing w:val="-17"/>
          <w:sz w:val="22"/>
        </w:rPr>
        <w:t> </w:t>
      </w:r>
      <w:r>
        <w:rPr>
          <w:sz w:val="22"/>
        </w:rPr>
        <w:t>decreased</w:t>
      </w:r>
      <w:r>
        <w:rPr>
          <w:spacing w:val="-17"/>
          <w:sz w:val="22"/>
        </w:rPr>
        <w:t> </w:t>
      </w:r>
      <w:r>
        <w:rPr>
          <w:sz w:val="22"/>
        </w:rPr>
        <w:t>due</w:t>
      </w:r>
      <w:r>
        <w:rPr>
          <w:spacing w:val="-17"/>
          <w:sz w:val="22"/>
        </w:rPr>
        <w:t> </w:t>
      </w:r>
      <w:r>
        <w:rPr>
          <w:sz w:val="22"/>
        </w:rPr>
        <w:t>to</w:t>
      </w:r>
      <w:r>
        <w:rPr>
          <w:spacing w:val="-17"/>
          <w:sz w:val="22"/>
        </w:rPr>
        <w:t> </w:t>
      </w:r>
      <w:r>
        <w:rPr>
          <w:sz w:val="22"/>
        </w:rPr>
        <w:t>a</w:t>
      </w:r>
      <w:r>
        <w:rPr>
          <w:spacing w:val="-17"/>
          <w:sz w:val="22"/>
        </w:rPr>
        <w:t> </w:t>
      </w:r>
      <w:r>
        <w:rPr>
          <w:sz w:val="22"/>
        </w:rPr>
        <w:t>decline</w:t>
      </w:r>
      <w:r>
        <w:rPr>
          <w:spacing w:val="-17"/>
          <w:sz w:val="22"/>
        </w:rPr>
        <w:t> </w:t>
      </w:r>
      <w:r>
        <w:rPr>
          <w:sz w:val="22"/>
        </w:rPr>
        <w:t>in</w:t>
      </w:r>
      <w:r>
        <w:rPr>
          <w:spacing w:val="-17"/>
          <w:sz w:val="22"/>
        </w:rPr>
        <w:t> </w:t>
      </w:r>
      <w:r>
        <w:rPr>
          <w:sz w:val="22"/>
        </w:rPr>
        <w:t>the</w:t>
      </w:r>
      <w:r>
        <w:rPr>
          <w:spacing w:val="-17"/>
          <w:sz w:val="22"/>
        </w:rPr>
        <w:t> </w:t>
      </w:r>
      <w:r>
        <w:rPr>
          <w:sz w:val="22"/>
        </w:rPr>
        <w:t>value</w:t>
      </w:r>
      <w:r>
        <w:rPr>
          <w:spacing w:val="-17"/>
          <w:sz w:val="22"/>
        </w:rPr>
        <w:t> </w:t>
      </w:r>
      <w:r>
        <w:rPr>
          <w:sz w:val="22"/>
        </w:rPr>
        <w:t>of</w:t>
      </w:r>
      <w:r>
        <w:rPr>
          <w:spacing w:val="-17"/>
          <w:sz w:val="22"/>
        </w:rPr>
        <w:t> </w:t>
      </w:r>
      <w:r>
        <w:rPr>
          <w:sz w:val="22"/>
        </w:rPr>
        <w:t>taxable</w:t>
      </w:r>
      <w:r>
        <w:rPr>
          <w:spacing w:val="-17"/>
          <w:sz w:val="22"/>
        </w:rPr>
        <w:t> </w:t>
      </w:r>
      <w:r>
        <w:rPr>
          <w:spacing w:val="-4"/>
          <w:sz w:val="22"/>
        </w:rPr>
        <w:t>land, </w:t>
      </w:r>
      <w:r>
        <w:rPr>
          <w:sz w:val="22"/>
        </w:rPr>
        <w:t>consistent with broader weakness in the housing</w:t>
      </w:r>
      <w:r>
        <w:rPr>
          <w:spacing w:val="-28"/>
          <w:sz w:val="22"/>
        </w:rPr>
        <w:t> </w:t>
      </w:r>
      <w:r>
        <w:rPr>
          <w:sz w:val="22"/>
        </w:rPr>
        <w:t>market.</w:t>
      </w:r>
    </w:p>
    <w:p>
      <w:pPr>
        <w:pStyle w:val="ListParagraph"/>
        <w:numPr>
          <w:ilvl w:val="0"/>
          <w:numId w:val="28"/>
        </w:numPr>
        <w:tabs>
          <w:tab w:pos="801" w:val="left" w:leader="none"/>
        </w:tabs>
        <w:spacing w:line="249" w:lineRule="auto" w:before="1" w:after="0"/>
        <w:ind w:left="800" w:right="996" w:hanging="244"/>
        <w:jc w:val="left"/>
        <w:rPr>
          <w:sz w:val="22"/>
        </w:rPr>
      </w:pPr>
      <w:r>
        <w:rPr>
          <w:sz w:val="22"/>
        </w:rPr>
        <w:t>Payroll tax collections were $236.8 million lower in line with lower employment, and total private sector wages. This was compounded by compositional</w:t>
      </w:r>
      <w:r>
        <w:rPr>
          <w:spacing w:val="-19"/>
          <w:sz w:val="22"/>
        </w:rPr>
        <w:t> </w:t>
      </w:r>
      <w:r>
        <w:rPr>
          <w:sz w:val="22"/>
        </w:rPr>
        <w:t>movements</w:t>
      </w:r>
      <w:r>
        <w:rPr>
          <w:spacing w:val="-19"/>
          <w:sz w:val="22"/>
        </w:rPr>
        <w:t> </w:t>
      </w:r>
      <w:r>
        <w:rPr>
          <w:sz w:val="22"/>
        </w:rPr>
        <w:t>in</w:t>
      </w:r>
      <w:r>
        <w:rPr>
          <w:spacing w:val="-19"/>
          <w:sz w:val="22"/>
        </w:rPr>
        <w:t> </w:t>
      </w:r>
      <w:r>
        <w:rPr>
          <w:sz w:val="22"/>
        </w:rPr>
        <w:t>the</w:t>
      </w:r>
      <w:r>
        <w:rPr>
          <w:spacing w:val="-19"/>
          <w:sz w:val="22"/>
        </w:rPr>
        <w:t> </w:t>
      </w:r>
      <w:r>
        <w:rPr>
          <w:sz w:val="22"/>
        </w:rPr>
        <w:t>labour</w:t>
      </w:r>
      <w:r>
        <w:rPr>
          <w:spacing w:val="-19"/>
          <w:sz w:val="22"/>
        </w:rPr>
        <w:t> </w:t>
      </w:r>
      <w:r>
        <w:rPr>
          <w:sz w:val="22"/>
        </w:rPr>
        <w:t>market,</w:t>
      </w:r>
      <w:r>
        <w:rPr>
          <w:spacing w:val="-19"/>
          <w:sz w:val="22"/>
        </w:rPr>
        <w:t> </w:t>
      </w:r>
      <w:r>
        <w:rPr>
          <w:sz w:val="22"/>
        </w:rPr>
        <w:t>with</w:t>
      </w:r>
      <w:r>
        <w:rPr>
          <w:spacing w:val="-18"/>
          <w:sz w:val="22"/>
        </w:rPr>
        <w:t> </w:t>
      </w:r>
      <w:r>
        <w:rPr>
          <w:sz w:val="22"/>
        </w:rPr>
        <w:t>lower</w:t>
      </w:r>
      <w:r>
        <w:rPr>
          <w:spacing w:val="-19"/>
          <w:sz w:val="22"/>
        </w:rPr>
        <w:t> </w:t>
      </w:r>
      <w:r>
        <w:rPr>
          <w:sz w:val="22"/>
        </w:rPr>
        <w:t>employment</w:t>
      </w:r>
      <w:r>
        <w:rPr>
          <w:spacing w:val="-19"/>
          <w:sz w:val="22"/>
        </w:rPr>
        <w:t> </w:t>
      </w:r>
      <w:r>
        <w:rPr>
          <w:spacing w:val="-9"/>
          <w:sz w:val="22"/>
        </w:rPr>
        <w:t>in </w:t>
      </w:r>
      <w:r>
        <w:rPr>
          <w:sz w:val="22"/>
        </w:rPr>
        <w:t>the mining and construction</w:t>
      </w:r>
      <w:r>
        <w:rPr>
          <w:spacing w:val="-5"/>
          <w:sz w:val="22"/>
        </w:rPr>
        <w:t> </w:t>
      </w:r>
      <w:r>
        <w:rPr>
          <w:sz w:val="22"/>
        </w:rPr>
        <w:t>sectors.</w:t>
      </w:r>
    </w:p>
    <w:p>
      <w:pPr>
        <w:pStyle w:val="ListParagraph"/>
        <w:numPr>
          <w:ilvl w:val="0"/>
          <w:numId w:val="28"/>
        </w:numPr>
        <w:tabs>
          <w:tab w:pos="801" w:val="left" w:leader="none"/>
        </w:tabs>
        <w:spacing w:line="249" w:lineRule="auto" w:before="4" w:after="0"/>
        <w:ind w:left="800" w:right="770" w:hanging="244"/>
        <w:jc w:val="left"/>
        <w:rPr>
          <w:sz w:val="22"/>
        </w:rPr>
      </w:pPr>
      <w:r>
        <w:rPr>
          <w:sz w:val="22"/>
        </w:rPr>
        <w:t>Other tax income was lower than 2016 by $274.7 million, largely due to lower</w:t>
      </w:r>
      <w:r>
        <w:rPr>
          <w:spacing w:val="-24"/>
          <w:sz w:val="22"/>
        </w:rPr>
        <w:t> </w:t>
      </w:r>
      <w:r>
        <w:rPr>
          <w:sz w:val="22"/>
        </w:rPr>
        <w:t>landholder</w:t>
      </w:r>
      <w:r>
        <w:rPr>
          <w:spacing w:val="-24"/>
          <w:sz w:val="22"/>
        </w:rPr>
        <w:t> </w:t>
      </w:r>
      <w:r>
        <w:rPr>
          <w:sz w:val="22"/>
        </w:rPr>
        <w:t>duty</w:t>
      </w:r>
      <w:r>
        <w:rPr>
          <w:spacing w:val="-24"/>
          <w:sz w:val="22"/>
        </w:rPr>
        <w:t> </w:t>
      </w:r>
      <w:r>
        <w:rPr>
          <w:sz w:val="22"/>
        </w:rPr>
        <w:t>collections</w:t>
      </w:r>
      <w:r>
        <w:rPr>
          <w:spacing w:val="-23"/>
          <w:sz w:val="22"/>
        </w:rPr>
        <w:t> </w:t>
      </w:r>
      <w:r>
        <w:rPr>
          <w:sz w:val="22"/>
        </w:rPr>
        <w:t>(down</w:t>
      </w:r>
      <w:r>
        <w:rPr>
          <w:spacing w:val="-24"/>
          <w:sz w:val="22"/>
        </w:rPr>
        <w:t> </w:t>
      </w:r>
      <w:r>
        <w:rPr>
          <w:sz w:val="22"/>
        </w:rPr>
        <w:t>$267.8</w:t>
      </w:r>
      <w:r>
        <w:rPr>
          <w:spacing w:val="-24"/>
          <w:sz w:val="22"/>
        </w:rPr>
        <w:t> </w:t>
      </w:r>
      <w:r>
        <w:rPr>
          <w:sz w:val="22"/>
        </w:rPr>
        <w:t>million),</w:t>
      </w:r>
      <w:r>
        <w:rPr>
          <w:spacing w:val="-24"/>
          <w:sz w:val="22"/>
        </w:rPr>
        <w:t> </w:t>
      </w:r>
      <w:r>
        <w:rPr>
          <w:sz w:val="22"/>
        </w:rPr>
        <w:t>reflecting</w:t>
      </w:r>
      <w:r>
        <w:rPr>
          <w:spacing w:val="-23"/>
          <w:sz w:val="22"/>
        </w:rPr>
        <w:t> </w:t>
      </w:r>
      <w:r>
        <w:rPr>
          <w:sz w:val="22"/>
        </w:rPr>
        <w:t>lower</w:t>
      </w:r>
      <w:r>
        <w:rPr>
          <w:spacing w:val="-24"/>
          <w:sz w:val="22"/>
        </w:rPr>
        <w:t> </w:t>
      </w:r>
      <w:r>
        <w:rPr>
          <w:spacing w:val="-4"/>
          <w:sz w:val="22"/>
        </w:rPr>
        <w:t>duty </w:t>
      </w:r>
      <w:r>
        <w:rPr>
          <w:sz w:val="22"/>
        </w:rPr>
        <w:t>from</w:t>
      </w:r>
      <w:r>
        <w:rPr>
          <w:spacing w:val="-23"/>
          <w:sz w:val="22"/>
        </w:rPr>
        <w:t> </w:t>
      </w:r>
      <w:r>
        <w:rPr>
          <w:sz w:val="22"/>
        </w:rPr>
        <w:t>large</w:t>
      </w:r>
      <w:r>
        <w:rPr>
          <w:spacing w:val="-22"/>
          <w:sz w:val="22"/>
        </w:rPr>
        <w:t> </w:t>
      </w:r>
      <w:r>
        <w:rPr>
          <w:sz w:val="22"/>
        </w:rPr>
        <w:t>commercial</w:t>
      </w:r>
      <w:r>
        <w:rPr>
          <w:spacing w:val="-22"/>
          <w:sz w:val="22"/>
        </w:rPr>
        <w:t> </w:t>
      </w:r>
      <w:r>
        <w:rPr>
          <w:sz w:val="22"/>
        </w:rPr>
        <w:t>transactions</w:t>
      </w:r>
      <w:r>
        <w:rPr>
          <w:spacing w:val="-22"/>
          <w:sz w:val="22"/>
        </w:rPr>
        <w:t> </w:t>
      </w:r>
      <w:r>
        <w:rPr>
          <w:sz w:val="22"/>
        </w:rPr>
        <w:t>in</w:t>
      </w:r>
      <w:r>
        <w:rPr>
          <w:spacing w:val="-22"/>
          <w:sz w:val="22"/>
        </w:rPr>
        <w:t> </w:t>
      </w:r>
      <w:r>
        <w:rPr>
          <w:sz w:val="22"/>
        </w:rPr>
        <w:t>2017</w:t>
      </w:r>
      <w:r>
        <w:rPr>
          <w:spacing w:val="-22"/>
          <w:sz w:val="22"/>
        </w:rPr>
        <w:t> </w:t>
      </w:r>
      <w:r>
        <w:rPr>
          <w:sz w:val="22"/>
        </w:rPr>
        <w:t>following</w:t>
      </w:r>
      <w:r>
        <w:rPr>
          <w:spacing w:val="-22"/>
          <w:sz w:val="22"/>
        </w:rPr>
        <w:t> </w:t>
      </w:r>
      <w:r>
        <w:rPr>
          <w:sz w:val="22"/>
        </w:rPr>
        <w:t>very</w:t>
      </w:r>
      <w:r>
        <w:rPr>
          <w:spacing w:val="-22"/>
          <w:sz w:val="22"/>
        </w:rPr>
        <w:t> </w:t>
      </w:r>
      <w:r>
        <w:rPr>
          <w:sz w:val="22"/>
        </w:rPr>
        <w:t>strong</w:t>
      </w:r>
      <w:r>
        <w:rPr>
          <w:spacing w:val="-22"/>
          <w:sz w:val="22"/>
        </w:rPr>
        <w:t> </w:t>
      </w:r>
      <w:r>
        <w:rPr>
          <w:sz w:val="22"/>
        </w:rPr>
        <w:t>collections in</w:t>
      </w:r>
      <w:r>
        <w:rPr>
          <w:spacing w:val="-1"/>
          <w:sz w:val="22"/>
        </w:rPr>
        <w:t> </w:t>
      </w:r>
      <w:r>
        <w:rPr>
          <w:sz w:val="22"/>
        </w:rPr>
        <w:t>2016.</w:t>
      </w:r>
    </w:p>
    <w:p>
      <w:pPr>
        <w:pStyle w:val="ListParagraph"/>
        <w:numPr>
          <w:ilvl w:val="0"/>
          <w:numId w:val="28"/>
        </w:numPr>
        <w:tabs>
          <w:tab w:pos="801" w:val="left" w:leader="none"/>
        </w:tabs>
        <w:spacing w:line="249" w:lineRule="auto" w:before="4" w:after="0"/>
        <w:ind w:left="800" w:right="1174" w:hanging="244"/>
        <w:jc w:val="left"/>
        <w:rPr>
          <w:sz w:val="22"/>
        </w:rPr>
      </w:pPr>
      <w:r>
        <w:rPr>
          <w:sz w:val="22"/>
        </w:rPr>
        <w:t>First</w:t>
      </w:r>
      <w:r>
        <w:rPr>
          <w:spacing w:val="-19"/>
          <w:sz w:val="22"/>
        </w:rPr>
        <w:t> </w:t>
      </w:r>
      <w:r>
        <w:rPr>
          <w:sz w:val="22"/>
        </w:rPr>
        <w:t>Home</w:t>
      </w:r>
      <w:r>
        <w:rPr>
          <w:spacing w:val="-18"/>
          <w:sz w:val="22"/>
        </w:rPr>
        <w:t> </w:t>
      </w:r>
      <w:r>
        <w:rPr>
          <w:sz w:val="22"/>
        </w:rPr>
        <w:t>Owner</w:t>
      </w:r>
      <w:r>
        <w:rPr>
          <w:spacing w:val="-18"/>
          <w:sz w:val="22"/>
        </w:rPr>
        <w:t> </w:t>
      </w:r>
      <w:r>
        <w:rPr>
          <w:sz w:val="22"/>
        </w:rPr>
        <w:t>Grants</w:t>
      </w:r>
      <w:r>
        <w:rPr>
          <w:spacing w:val="-19"/>
          <w:sz w:val="22"/>
        </w:rPr>
        <w:t> </w:t>
      </w:r>
      <w:r>
        <w:rPr>
          <w:sz w:val="22"/>
        </w:rPr>
        <w:t>were</w:t>
      </w:r>
      <w:r>
        <w:rPr>
          <w:spacing w:val="-18"/>
          <w:sz w:val="22"/>
        </w:rPr>
        <w:t> </w:t>
      </w:r>
      <w:r>
        <w:rPr>
          <w:sz w:val="22"/>
        </w:rPr>
        <w:t>$25.8</w:t>
      </w:r>
      <w:r>
        <w:rPr>
          <w:spacing w:val="-18"/>
          <w:sz w:val="22"/>
        </w:rPr>
        <w:t> </w:t>
      </w:r>
      <w:r>
        <w:rPr>
          <w:sz w:val="22"/>
        </w:rPr>
        <w:t>million</w:t>
      </w:r>
      <w:r>
        <w:rPr>
          <w:spacing w:val="-18"/>
          <w:sz w:val="22"/>
        </w:rPr>
        <w:t> </w:t>
      </w:r>
      <w:r>
        <w:rPr>
          <w:sz w:val="22"/>
        </w:rPr>
        <w:t>lower</w:t>
      </w:r>
      <w:r>
        <w:rPr>
          <w:spacing w:val="-19"/>
          <w:sz w:val="22"/>
        </w:rPr>
        <w:t> </w:t>
      </w:r>
      <w:r>
        <w:rPr>
          <w:sz w:val="22"/>
        </w:rPr>
        <w:t>in</w:t>
      </w:r>
      <w:r>
        <w:rPr>
          <w:spacing w:val="-18"/>
          <w:sz w:val="22"/>
        </w:rPr>
        <w:t> </w:t>
      </w:r>
      <w:r>
        <w:rPr>
          <w:sz w:val="22"/>
        </w:rPr>
        <w:t>2017</w:t>
      </w:r>
      <w:r>
        <w:rPr>
          <w:spacing w:val="-18"/>
          <w:sz w:val="22"/>
        </w:rPr>
        <w:t> </w:t>
      </w:r>
      <w:r>
        <w:rPr>
          <w:sz w:val="22"/>
        </w:rPr>
        <w:t>following</w:t>
      </w:r>
      <w:r>
        <w:rPr>
          <w:spacing w:val="-18"/>
          <w:sz w:val="22"/>
        </w:rPr>
        <w:t> </w:t>
      </w:r>
      <w:r>
        <w:rPr>
          <w:spacing w:val="-6"/>
          <w:sz w:val="22"/>
        </w:rPr>
        <w:t>the </w:t>
      </w:r>
      <w:r>
        <w:rPr>
          <w:sz w:val="22"/>
        </w:rPr>
        <w:t>abolition</w:t>
      </w:r>
      <w:r>
        <w:rPr>
          <w:spacing w:val="-8"/>
          <w:sz w:val="22"/>
        </w:rPr>
        <w:t> </w:t>
      </w:r>
      <w:r>
        <w:rPr>
          <w:sz w:val="22"/>
        </w:rPr>
        <w:t>of</w:t>
      </w:r>
      <w:r>
        <w:rPr>
          <w:spacing w:val="-7"/>
          <w:sz w:val="22"/>
        </w:rPr>
        <w:t> </w:t>
      </w:r>
      <w:r>
        <w:rPr>
          <w:sz w:val="22"/>
        </w:rPr>
        <w:t>the</w:t>
      </w:r>
      <w:r>
        <w:rPr>
          <w:spacing w:val="-7"/>
          <w:sz w:val="22"/>
        </w:rPr>
        <w:t> </w:t>
      </w:r>
      <w:r>
        <w:rPr>
          <w:sz w:val="22"/>
        </w:rPr>
        <w:t>grant</w:t>
      </w:r>
      <w:r>
        <w:rPr>
          <w:spacing w:val="-7"/>
          <w:sz w:val="22"/>
        </w:rPr>
        <w:t> </w:t>
      </w:r>
      <w:r>
        <w:rPr>
          <w:sz w:val="22"/>
        </w:rPr>
        <w:t>for</w:t>
      </w:r>
      <w:r>
        <w:rPr>
          <w:spacing w:val="-7"/>
          <w:sz w:val="22"/>
        </w:rPr>
        <w:t> </w:t>
      </w:r>
      <w:r>
        <w:rPr>
          <w:sz w:val="22"/>
        </w:rPr>
        <w:t>established</w:t>
      </w:r>
      <w:r>
        <w:rPr>
          <w:spacing w:val="-8"/>
          <w:sz w:val="22"/>
        </w:rPr>
        <w:t> </w:t>
      </w:r>
      <w:r>
        <w:rPr>
          <w:sz w:val="22"/>
        </w:rPr>
        <w:t>home</w:t>
      </w:r>
      <w:r>
        <w:rPr>
          <w:spacing w:val="-7"/>
          <w:sz w:val="22"/>
        </w:rPr>
        <w:t> </w:t>
      </w:r>
      <w:r>
        <w:rPr>
          <w:sz w:val="22"/>
        </w:rPr>
        <w:t>purchases.</w:t>
      </w:r>
      <w:r>
        <w:rPr>
          <w:spacing w:val="-7"/>
          <w:sz w:val="22"/>
        </w:rPr>
        <w:t> </w:t>
      </w:r>
      <w:r>
        <w:rPr>
          <w:sz w:val="22"/>
        </w:rPr>
        <w:t>In</w:t>
      </w:r>
      <w:r>
        <w:rPr>
          <w:spacing w:val="-7"/>
          <w:sz w:val="22"/>
        </w:rPr>
        <w:t> </w:t>
      </w:r>
      <w:r>
        <w:rPr>
          <w:sz w:val="22"/>
        </w:rPr>
        <w:t>2016,</w:t>
      </w:r>
    </w:p>
    <w:p>
      <w:pPr>
        <w:pStyle w:val="BodyText"/>
        <w:spacing w:line="249" w:lineRule="auto" w:before="1"/>
        <w:ind w:left="800" w:right="881"/>
      </w:pPr>
      <w:r>
        <w:rPr/>
        <w:t>4,511 grants were paid for established homes, while in 2017 there were only</w:t>
      </w:r>
      <w:r>
        <w:rPr>
          <w:spacing w:val="-14"/>
        </w:rPr>
        <w:t> </w:t>
      </w:r>
      <w:r>
        <w:rPr/>
        <w:t>56</w:t>
      </w:r>
      <w:r>
        <w:rPr>
          <w:spacing w:val="-14"/>
        </w:rPr>
        <w:t> </w:t>
      </w:r>
      <w:r>
        <w:rPr/>
        <w:t>such</w:t>
      </w:r>
      <w:r>
        <w:rPr>
          <w:spacing w:val="-14"/>
        </w:rPr>
        <w:t> </w:t>
      </w:r>
      <w:r>
        <w:rPr/>
        <w:t>grants.</w:t>
      </w:r>
      <w:r>
        <w:rPr>
          <w:spacing w:val="-14"/>
        </w:rPr>
        <w:t> </w:t>
      </w:r>
      <w:r>
        <w:rPr/>
        <w:t>New</w:t>
      </w:r>
      <w:r>
        <w:rPr>
          <w:spacing w:val="-14"/>
        </w:rPr>
        <w:t> </w:t>
      </w:r>
      <w:r>
        <w:rPr/>
        <w:t>home</w:t>
      </w:r>
      <w:r>
        <w:rPr>
          <w:spacing w:val="-14"/>
        </w:rPr>
        <w:t> </w:t>
      </w:r>
      <w:r>
        <w:rPr/>
        <w:t>grants</w:t>
      </w:r>
      <w:r>
        <w:rPr>
          <w:spacing w:val="-14"/>
        </w:rPr>
        <w:t> </w:t>
      </w:r>
      <w:r>
        <w:rPr/>
        <w:t>were</w:t>
      </w:r>
      <w:r>
        <w:rPr>
          <w:spacing w:val="-14"/>
        </w:rPr>
        <w:t> </w:t>
      </w:r>
      <w:r>
        <w:rPr/>
        <w:t>lower</w:t>
      </w:r>
      <w:r>
        <w:rPr>
          <w:spacing w:val="-14"/>
        </w:rPr>
        <w:t> </w:t>
      </w:r>
      <w:r>
        <w:rPr/>
        <w:t>during</w:t>
      </w:r>
      <w:r>
        <w:rPr>
          <w:spacing w:val="-14"/>
        </w:rPr>
        <w:t> </w:t>
      </w:r>
      <w:r>
        <w:rPr/>
        <w:t>the</w:t>
      </w:r>
      <w:r>
        <w:rPr>
          <w:spacing w:val="-14"/>
        </w:rPr>
        <w:t> </w:t>
      </w:r>
      <w:r>
        <w:rPr/>
        <w:t>same</w:t>
      </w:r>
      <w:r>
        <w:rPr>
          <w:spacing w:val="-14"/>
        </w:rPr>
        <w:t> </w:t>
      </w:r>
      <w:r>
        <w:rPr>
          <w:spacing w:val="-3"/>
        </w:rPr>
        <w:t>period, </w:t>
      </w:r>
      <w:r>
        <w:rPr/>
        <w:t>which</w:t>
      </w:r>
      <w:r>
        <w:rPr>
          <w:spacing w:val="-15"/>
        </w:rPr>
        <w:t> </w:t>
      </w:r>
      <w:r>
        <w:rPr/>
        <w:t>is</w:t>
      </w:r>
      <w:r>
        <w:rPr>
          <w:spacing w:val="-14"/>
        </w:rPr>
        <w:t> </w:t>
      </w:r>
      <w:r>
        <w:rPr/>
        <w:t>consistent</w:t>
      </w:r>
      <w:r>
        <w:rPr>
          <w:spacing w:val="-14"/>
        </w:rPr>
        <w:t> </w:t>
      </w:r>
      <w:r>
        <w:rPr/>
        <w:t>with</w:t>
      </w:r>
      <w:r>
        <w:rPr>
          <w:spacing w:val="-14"/>
        </w:rPr>
        <w:t> </w:t>
      </w:r>
      <w:r>
        <w:rPr/>
        <w:t>available</w:t>
      </w:r>
      <w:r>
        <w:rPr>
          <w:spacing w:val="-15"/>
        </w:rPr>
        <w:t> </w:t>
      </w:r>
      <w:r>
        <w:rPr/>
        <w:t>data</w:t>
      </w:r>
      <w:r>
        <w:rPr>
          <w:spacing w:val="-14"/>
        </w:rPr>
        <w:t> </w:t>
      </w:r>
      <w:r>
        <w:rPr/>
        <w:t>on</w:t>
      </w:r>
      <w:r>
        <w:rPr>
          <w:spacing w:val="-14"/>
        </w:rPr>
        <w:t> </w:t>
      </w:r>
      <w:r>
        <w:rPr/>
        <w:t>demographic</w:t>
      </w:r>
      <w:r>
        <w:rPr>
          <w:spacing w:val="-14"/>
        </w:rPr>
        <w:t> </w:t>
      </w:r>
      <w:r>
        <w:rPr/>
        <w:t>factors</w:t>
      </w:r>
      <w:r>
        <w:rPr>
          <w:spacing w:val="-15"/>
        </w:rPr>
        <w:t> </w:t>
      </w:r>
      <w:r>
        <w:rPr/>
        <w:t>and</w:t>
      </w:r>
      <w:r>
        <w:rPr>
          <w:spacing w:val="-14"/>
        </w:rPr>
        <w:t> </w:t>
      </w:r>
      <w:r>
        <w:rPr/>
        <w:t>softer economic conditions in</w:t>
      </w:r>
      <w:r>
        <w:rPr>
          <w:spacing w:val="-2"/>
        </w:rPr>
        <w:t> </w:t>
      </w:r>
      <w:r>
        <w:rPr/>
        <w:t>2017.</w:t>
      </w:r>
    </w:p>
    <w:p>
      <w:pPr>
        <w:pStyle w:val="ListParagraph"/>
        <w:numPr>
          <w:ilvl w:val="0"/>
          <w:numId w:val="29"/>
        </w:numPr>
        <w:tabs>
          <w:tab w:pos="801" w:val="left" w:leader="none"/>
        </w:tabs>
        <w:spacing w:line="249" w:lineRule="auto" w:before="4" w:after="0"/>
        <w:ind w:left="800" w:right="1024" w:hanging="244"/>
        <w:jc w:val="left"/>
        <w:rPr>
          <w:sz w:val="22"/>
        </w:rPr>
      </w:pPr>
      <w:r>
        <w:rPr>
          <w:sz w:val="22"/>
        </w:rPr>
        <w:t>Other expenses largely relate to taxation revenue collected by the Department and then paid on to the Consolidated Account which were lower</w:t>
      </w:r>
      <w:r>
        <w:rPr>
          <w:spacing w:val="-19"/>
          <w:sz w:val="22"/>
        </w:rPr>
        <w:t> </w:t>
      </w:r>
      <w:r>
        <w:rPr>
          <w:sz w:val="22"/>
        </w:rPr>
        <w:t>in</w:t>
      </w:r>
      <w:r>
        <w:rPr>
          <w:spacing w:val="-19"/>
          <w:sz w:val="22"/>
        </w:rPr>
        <w:t> </w:t>
      </w:r>
      <w:r>
        <w:rPr>
          <w:sz w:val="22"/>
        </w:rPr>
        <w:t>2017.</w:t>
      </w:r>
      <w:r>
        <w:rPr>
          <w:spacing w:val="-19"/>
          <w:sz w:val="22"/>
        </w:rPr>
        <w:t> </w:t>
      </w:r>
      <w:r>
        <w:rPr>
          <w:sz w:val="22"/>
        </w:rPr>
        <w:t>This</w:t>
      </w:r>
      <w:r>
        <w:rPr>
          <w:spacing w:val="-19"/>
          <w:sz w:val="22"/>
        </w:rPr>
        <w:t> </w:t>
      </w:r>
      <w:r>
        <w:rPr>
          <w:sz w:val="22"/>
        </w:rPr>
        <w:t>reflects</w:t>
      </w:r>
      <w:r>
        <w:rPr>
          <w:spacing w:val="-19"/>
          <w:sz w:val="22"/>
        </w:rPr>
        <w:t> </w:t>
      </w:r>
      <w:r>
        <w:rPr>
          <w:sz w:val="22"/>
        </w:rPr>
        <w:t>the</w:t>
      </w:r>
      <w:r>
        <w:rPr>
          <w:spacing w:val="-19"/>
          <w:sz w:val="22"/>
        </w:rPr>
        <w:t> </w:t>
      </w:r>
      <w:r>
        <w:rPr>
          <w:sz w:val="22"/>
        </w:rPr>
        <w:t>decline</w:t>
      </w:r>
      <w:r>
        <w:rPr>
          <w:spacing w:val="-19"/>
          <w:sz w:val="22"/>
        </w:rPr>
        <w:t> </w:t>
      </w:r>
      <w:r>
        <w:rPr>
          <w:sz w:val="22"/>
        </w:rPr>
        <w:t>in</w:t>
      </w:r>
      <w:r>
        <w:rPr>
          <w:spacing w:val="-19"/>
          <w:sz w:val="22"/>
        </w:rPr>
        <w:t> </w:t>
      </w:r>
      <w:r>
        <w:rPr>
          <w:sz w:val="22"/>
        </w:rPr>
        <w:t>taxation</w:t>
      </w:r>
      <w:r>
        <w:rPr>
          <w:spacing w:val="-19"/>
          <w:sz w:val="22"/>
        </w:rPr>
        <w:t> </w:t>
      </w:r>
      <w:r>
        <w:rPr>
          <w:sz w:val="22"/>
        </w:rPr>
        <w:t>collections,</w:t>
      </w:r>
      <w:r>
        <w:rPr>
          <w:spacing w:val="-19"/>
          <w:sz w:val="22"/>
        </w:rPr>
        <w:t> </w:t>
      </w:r>
      <w:r>
        <w:rPr>
          <w:sz w:val="22"/>
        </w:rPr>
        <w:t>mainly</w:t>
      </w:r>
      <w:r>
        <w:rPr>
          <w:spacing w:val="-19"/>
          <w:sz w:val="22"/>
        </w:rPr>
        <w:t> </w:t>
      </w:r>
      <w:r>
        <w:rPr>
          <w:sz w:val="22"/>
        </w:rPr>
        <w:t>due to</w:t>
      </w:r>
      <w:r>
        <w:rPr>
          <w:spacing w:val="-16"/>
          <w:sz w:val="22"/>
        </w:rPr>
        <w:t> </w:t>
      </w:r>
      <w:r>
        <w:rPr>
          <w:sz w:val="22"/>
        </w:rPr>
        <w:t>soft</w:t>
      </w:r>
      <w:r>
        <w:rPr>
          <w:spacing w:val="-15"/>
          <w:sz w:val="22"/>
        </w:rPr>
        <w:t> </w:t>
      </w:r>
      <w:r>
        <w:rPr>
          <w:sz w:val="22"/>
        </w:rPr>
        <w:t>economic</w:t>
      </w:r>
      <w:r>
        <w:rPr>
          <w:spacing w:val="-16"/>
          <w:sz w:val="22"/>
        </w:rPr>
        <w:t> </w:t>
      </w:r>
      <w:r>
        <w:rPr>
          <w:sz w:val="22"/>
        </w:rPr>
        <w:t>conditions,</w:t>
      </w:r>
      <w:r>
        <w:rPr>
          <w:spacing w:val="-15"/>
          <w:sz w:val="22"/>
        </w:rPr>
        <w:t> </w:t>
      </w:r>
      <w:r>
        <w:rPr>
          <w:sz w:val="22"/>
        </w:rPr>
        <w:t>together</w:t>
      </w:r>
      <w:r>
        <w:rPr>
          <w:spacing w:val="-16"/>
          <w:sz w:val="22"/>
        </w:rPr>
        <w:t> </w:t>
      </w:r>
      <w:r>
        <w:rPr>
          <w:sz w:val="22"/>
        </w:rPr>
        <w:t>with</w:t>
      </w:r>
      <w:r>
        <w:rPr>
          <w:spacing w:val="-15"/>
          <w:sz w:val="22"/>
        </w:rPr>
        <w:t> </w:t>
      </w:r>
      <w:r>
        <w:rPr>
          <w:sz w:val="22"/>
        </w:rPr>
        <w:t>timing</w:t>
      </w:r>
      <w:r>
        <w:rPr>
          <w:spacing w:val="-15"/>
          <w:sz w:val="22"/>
        </w:rPr>
        <w:t> </w:t>
      </w:r>
      <w:r>
        <w:rPr>
          <w:sz w:val="22"/>
        </w:rPr>
        <w:t>differences</w:t>
      </w:r>
      <w:r>
        <w:rPr>
          <w:spacing w:val="-16"/>
          <w:sz w:val="22"/>
        </w:rPr>
        <w:t> </w:t>
      </w:r>
      <w:r>
        <w:rPr>
          <w:sz w:val="22"/>
        </w:rPr>
        <w:t>between</w:t>
      </w:r>
      <w:r>
        <w:rPr>
          <w:spacing w:val="-15"/>
          <w:sz w:val="22"/>
        </w:rPr>
        <w:t> </w:t>
      </w:r>
      <w:r>
        <w:rPr>
          <w:spacing w:val="-6"/>
          <w:sz w:val="22"/>
        </w:rPr>
        <w:t>the </w:t>
      </w:r>
      <w:r>
        <w:rPr>
          <w:sz w:val="22"/>
        </w:rPr>
        <w:t>recognition</w:t>
      </w:r>
      <w:r>
        <w:rPr>
          <w:spacing w:val="-14"/>
          <w:sz w:val="22"/>
        </w:rPr>
        <w:t> </w:t>
      </w:r>
      <w:r>
        <w:rPr>
          <w:sz w:val="22"/>
        </w:rPr>
        <w:t>of</w:t>
      </w:r>
      <w:r>
        <w:rPr>
          <w:spacing w:val="-13"/>
          <w:sz w:val="22"/>
        </w:rPr>
        <w:t> </w:t>
      </w:r>
      <w:r>
        <w:rPr>
          <w:sz w:val="22"/>
        </w:rPr>
        <w:t>revenue</w:t>
      </w:r>
      <w:r>
        <w:rPr>
          <w:spacing w:val="-14"/>
          <w:sz w:val="22"/>
        </w:rPr>
        <w:t> </w:t>
      </w:r>
      <w:r>
        <w:rPr>
          <w:sz w:val="22"/>
        </w:rPr>
        <w:t>and</w:t>
      </w:r>
      <w:r>
        <w:rPr>
          <w:spacing w:val="-13"/>
          <w:sz w:val="22"/>
        </w:rPr>
        <w:t> </w:t>
      </w:r>
      <w:r>
        <w:rPr>
          <w:sz w:val="22"/>
        </w:rPr>
        <w:t>the</w:t>
      </w:r>
      <w:r>
        <w:rPr>
          <w:spacing w:val="-14"/>
          <w:sz w:val="22"/>
        </w:rPr>
        <w:t> </w:t>
      </w:r>
      <w:r>
        <w:rPr>
          <w:sz w:val="22"/>
        </w:rPr>
        <w:t>receipt</w:t>
      </w:r>
      <w:r>
        <w:rPr>
          <w:spacing w:val="-13"/>
          <w:sz w:val="22"/>
        </w:rPr>
        <w:t> </w:t>
      </w:r>
      <w:r>
        <w:rPr>
          <w:sz w:val="22"/>
        </w:rPr>
        <w:t>of</w:t>
      </w:r>
      <w:r>
        <w:rPr>
          <w:spacing w:val="-14"/>
          <w:sz w:val="22"/>
        </w:rPr>
        <w:t> </w:t>
      </w:r>
      <w:r>
        <w:rPr>
          <w:sz w:val="22"/>
        </w:rPr>
        <w:t>the</w:t>
      </w:r>
      <w:r>
        <w:rPr>
          <w:spacing w:val="-13"/>
          <w:sz w:val="22"/>
        </w:rPr>
        <w:t> </w:t>
      </w:r>
      <w:r>
        <w:rPr>
          <w:sz w:val="22"/>
        </w:rPr>
        <w:t>associated</w:t>
      </w:r>
      <w:r>
        <w:rPr>
          <w:spacing w:val="-14"/>
          <w:sz w:val="22"/>
        </w:rPr>
        <w:t> </w:t>
      </w:r>
      <w:r>
        <w:rPr>
          <w:sz w:val="22"/>
        </w:rPr>
        <w:t>tax</w:t>
      </w:r>
      <w:r>
        <w:rPr>
          <w:spacing w:val="-13"/>
          <w:sz w:val="22"/>
        </w:rPr>
        <w:t> </w:t>
      </w:r>
      <w:r>
        <w:rPr>
          <w:sz w:val="22"/>
        </w:rPr>
        <w:t>payments.</w:t>
      </w:r>
    </w:p>
    <w:p>
      <w:pPr>
        <w:spacing w:after="0" w:line="249" w:lineRule="auto"/>
        <w:jc w:val="left"/>
        <w:rPr>
          <w:sz w:val="22"/>
        </w:rPr>
        <w:sectPr>
          <w:type w:val="continuous"/>
          <w:pgSz w:w="16840" w:h="11910" w:orient="landscape"/>
          <w:pgMar w:top="0" w:bottom="0" w:left="0" w:right="0"/>
          <w:cols w:num="2" w:equalWidth="0">
            <w:col w:w="8036" w:space="40"/>
            <w:col w:w="8764"/>
          </w:cols>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5"/>
        <w:rPr>
          <w:sz w:val="21"/>
        </w:rPr>
      </w:pPr>
    </w:p>
    <w:p>
      <w:pPr>
        <w:pStyle w:val="Heading1"/>
      </w:pPr>
      <w:r>
        <w:rPr/>
        <w:pict>
          <v:group style="position:absolute;margin-left:763.172119pt;margin-top:-3.594212pt;width:61.1pt;height:45.2pt;mso-position-horizontal-relative:page;mso-position-vertical-relative:paragraph;z-index:27760"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120.3pt;height:42.55pt;mso-position-horizontal-relative:page;mso-position-vertical-relative:paragraph;z-index:27808" coordorigin="0,-1147" coordsize="2406,851">
            <v:rect style="position:absolute;left:0;top:-1148;width:2406;height:851" filled="true" fillcolor="#aebd37" stroked="false">
              <v:fill type="solid"/>
            </v:rect>
            <v:line style="position:absolute" from="0,-1147" to="0,-297" stroked="true" strokeweight="0pt" strokecolor="#aebd37">
              <v:stroke dashstyle="solid"/>
            </v:line>
            <v:shape style="position:absolute;left:0;top:-1148;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7421pt;width:360.85pt;height:42.55pt;mso-position-horizontal-relative:page;mso-position-vertical-relative:paragraph;z-index:27904" coordorigin="9622,-1147" coordsize="7217,851">
            <v:rect style="position:absolute;left:14432;top:-1148;width:2406;height:851" filled="true" fillcolor="#aebd37"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8;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8;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rPr>
        <w:t>Notes </w:t>
      </w:r>
      <w:r>
        <w:rPr>
          <w:color w:val="6F2770"/>
          <w:spacing w:val="-17"/>
        </w:rPr>
        <w:t>to </w:t>
      </w:r>
      <w:r>
        <w:rPr>
          <w:color w:val="6F2770"/>
          <w:spacing w:val="-10"/>
        </w:rPr>
        <w:t>the </w:t>
      </w:r>
      <w:r>
        <w:rPr>
          <w:color w:val="6F2770"/>
          <w:spacing w:val="-14"/>
        </w:rPr>
        <w:t>Financial</w:t>
      </w:r>
      <w:r>
        <w:rPr>
          <w:color w:val="6F2770"/>
          <w:spacing w:val="-89"/>
        </w:rPr>
        <w:t> </w:t>
      </w:r>
      <w:r>
        <w:rPr>
          <w:color w:val="6F2770"/>
          <w:spacing w:val="-17"/>
        </w:rPr>
        <w:t>Statements</w:t>
      </w:r>
    </w:p>
    <w:p>
      <w:pPr>
        <w:pStyle w:val="Heading4"/>
      </w:pPr>
      <w:r>
        <w:rPr>
          <w:color w:val="A7BE39"/>
        </w:rPr>
        <w:t>For the year ended 30 June 2017</w:t>
      </w:r>
    </w:p>
    <w:p>
      <w:pPr>
        <w:pStyle w:val="BodyText"/>
        <w:spacing w:before="10"/>
        <w:rPr>
          <w:sz w:val="12"/>
        </w:rPr>
      </w:pPr>
    </w:p>
    <w:p>
      <w:pPr>
        <w:spacing w:after="0"/>
        <w:rPr>
          <w:sz w:val="12"/>
        </w:rPr>
        <w:sectPr>
          <w:footerReference w:type="default" r:id="rId243"/>
          <w:pgSz w:w="16840" w:h="11910" w:orient="landscape"/>
          <w:pgMar w:footer="1607" w:header="0" w:top="0" w:bottom="1800" w:left="0" w:right="0"/>
        </w:sectPr>
      </w:pPr>
    </w:p>
    <w:p>
      <w:pPr>
        <w:pStyle w:val="Heading5"/>
      </w:pPr>
      <w:r>
        <w:rPr>
          <w:color w:val="6F2770"/>
        </w:rPr>
        <w:t>Note 47. Supplementary financial information</w:t>
      </w:r>
    </w:p>
    <w:p>
      <w:pPr>
        <w:pStyle w:val="Heading6"/>
        <w:numPr>
          <w:ilvl w:val="1"/>
          <w:numId w:val="29"/>
        </w:numPr>
        <w:tabs>
          <w:tab w:pos="1084" w:val="left" w:leader="none"/>
        </w:tabs>
        <w:spacing w:line="240" w:lineRule="auto" w:before="254" w:after="0"/>
        <w:ind w:left="1083" w:right="0" w:hanging="318"/>
        <w:jc w:val="left"/>
      </w:pPr>
      <w:r>
        <w:rPr/>
        <w:t>Write-offs</w:t>
      </w:r>
    </w:p>
    <w:p>
      <w:pPr>
        <w:pStyle w:val="BodyText"/>
        <w:spacing w:line="249" w:lineRule="auto" w:before="11"/>
        <w:ind w:left="765" w:right="32"/>
      </w:pPr>
      <w:r>
        <w:rPr/>
        <w:pict>
          <v:shape style="position:absolute;margin-left:431.574799pt;margin-top:2.844484pt;width:373.55pt;height:289.45pt;mso-position-horizontal-relative:page;mso-position-vertical-relative:paragraph;z-index:27928"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606"/>
                    <w:gridCol w:w="1417"/>
                    <w:gridCol w:w="1417"/>
                  </w:tblGrid>
                  <w:tr>
                    <w:trPr>
                      <w:trHeight w:val="533" w:hRule="atLeast"/>
                    </w:trPr>
                    <w:tc>
                      <w:tcPr>
                        <w:tcW w:w="6023" w:type="dxa"/>
                        <w:gridSpan w:val="2"/>
                        <w:tcBorders>
                          <w:top w:val="nil"/>
                          <w:bottom w:val="nil"/>
                          <w:right w:val="nil"/>
                        </w:tcBorders>
                        <w:shd w:val="clear" w:color="auto" w:fill="783A79"/>
                      </w:tcPr>
                      <w:p>
                        <w:pPr>
                          <w:pStyle w:val="TableParagraph"/>
                          <w:spacing w:before="42"/>
                          <w:ind w:right="100"/>
                          <w:jc w:val="right"/>
                          <w:rPr>
                            <w:b/>
                            <w:sz w:val="19"/>
                          </w:rPr>
                        </w:pPr>
                        <w:r>
                          <w:rPr>
                            <w:b/>
                            <w:color w:val="FFFFFF"/>
                            <w:w w:val="95"/>
                            <w:sz w:val="19"/>
                          </w:rPr>
                          <w:t>2017</w:t>
                        </w:r>
                      </w:p>
                      <w:p>
                        <w:pPr>
                          <w:pStyle w:val="TableParagraph"/>
                          <w:spacing w:before="10"/>
                          <w:ind w:right="100"/>
                          <w:jc w:val="right"/>
                          <w:rPr>
                            <w:b/>
                            <w:sz w:val="19"/>
                          </w:rPr>
                        </w:pPr>
                        <w:r>
                          <w:rPr>
                            <w:b/>
                            <w:color w:val="FFFFFF"/>
                            <w:w w:val="95"/>
                            <w:sz w:val="19"/>
                          </w:rPr>
                          <w:t>$000</w:t>
                        </w:r>
                      </w:p>
                    </w:tc>
                    <w:tc>
                      <w:tcPr>
                        <w:tcW w:w="1417" w:type="dxa"/>
                        <w:tcBorders>
                          <w:top w:val="nil"/>
                          <w:left w:val="nil"/>
                          <w:bottom w:val="nil"/>
                          <w:right w:val="nil"/>
                        </w:tcBorders>
                        <w:shd w:val="clear" w:color="auto" w:fill="783A79"/>
                      </w:tcPr>
                      <w:p>
                        <w:pPr>
                          <w:pStyle w:val="TableParagraph"/>
                          <w:spacing w:before="42"/>
                          <w:ind w:left="892"/>
                          <w:rPr>
                            <w:b/>
                            <w:sz w:val="19"/>
                          </w:rPr>
                        </w:pPr>
                        <w:r>
                          <w:rPr>
                            <w:b/>
                            <w:color w:val="FFFFFF"/>
                            <w:sz w:val="19"/>
                          </w:rPr>
                          <w:t>2016</w:t>
                        </w:r>
                      </w:p>
                      <w:p>
                        <w:pPr>
                          <w:pStyle w:val="TableParagraph"/>
                          <w:spacing w:before="10"/>
                          <w:ind w:left="892"/>
                          <w:rPr>
                            <w:b/>
                            <w:sz w:val="19"/>
                          </w:rPr>
                        </w:pPr>
                        <w:r>
                          <w:rPr>
                            <w:b/>
                            <w:color w:val="FFFFFF"/>
                            <w:sz w:val="19"/>
                          </w:rPr>
                          <w:t>$000</w:t>
                        </w:r>
                      </w:p>
                    </w:tc>
                  </w:tr>
                  <w:tr>
                    <w:trPr>
                      <w:trHeight w:val="317" w:hRule="atLeast"/>
                    </w:trPr>
                    <w:tc>
                      <w:tcPr>
                        <w:tcW w:w="4606" w:type="dxa"/>
                        <w:tcBorders>
                          <w:top w:val="nil"/>
                          <w:right w:val="nil"/>
                        </w:tcBorders>
                        <w:shd w:val="clear" w:color="auto" w:fill="F4F4F4"/>
                      </w:tcPr>
                      <w:p>
                        <w:pPr>
                          <w:pStyle w:val="TableParagraph"/>
                          <w:spacing w:before="42"/>
                          <w:ind w:left="113"/>
                          <w:rPr>
                            <w:b/>
                            <w:sz w:val="19"/>
                          </w:rPr>
                        </w:pPr>
                        <w:r>
                          <w:rPr>
                            <w:b/>
                            <w:sz w:val="19"/>
                          </w:rPr>
                          <w:t>Revenue</w:t>
                        </w:r>
                      </w:p>
                    </w:tc>
                    <w:tc>
                      <w:tcPr>
                        <w:tcW w:w="1417" w:type="dxa"/>
                        <w:tcBorders>
                          <w:top w:val="nil"/>
                          <w:left w:val="nil"/>
                          <w:bottom w:val="single" w:sz="4" w:space="0" w:color="000000"/>
                          <w:right w:val="nil"/>
                        </w:tcBorders>
                        <w:shd w:val="clear" w:color="auto" w:fill="DFE1B8"/>
                      </w:tcPr>
                      <w:p>
                        <w:pPr>
                          <w:pStyle w:val="TableParagraph"/>
                          <w:spacing w:before="42"/>
                          <w:ind w:right="100"/>
                          <w:jc w:val="right"/>
                          <w:rPr>
                            <w:sz w:val="19"/>
                          </w:rPr>
                        </w:pPr>
                        <w:r>
                          <w:rPr>
                            <w:w w:val="95"/>
                            <w:sz w:val="19"/>
                          </w:rPr>
                          <w:t>3,337</w:t>
                        </w:r>
                      </w:p>
                    </w:tc>
                    <w:tc>
                      <w:tcPr>
                        <w:tcW w:w="1417" w:type="dxa"/>
                        <w:tcBorders>
                          <w:top w:val="nil"/>
                          <w:left w:val="nil"/>
                          <w:bottom w:val="single" w:sz="4" w:space="0" w:color="000000"/>
                        </w:tcBorders>
                        <w:shd w:val="clear" w:color="auto" w:fill="F4F4F4"/>
                      </w:tcPr>
                      <w:p>
                        <w:pPr>
                          <w:pStyle w:val="TableParagraph"/>
                          <w:spacing w:before="42"/>
                          <w:ind w:right="90"/>
                          <w:jc w:val="right"/>
                          <w:rPr>
                            <w:sz w:val="19"/>
                          </w:rPr>
                        </w:pPr>
                        <w:r>
                          <w:rPr>
                            <w:w w:val="95"/>
                            <w:sz w:val="19"/>
                          </w:rPr>
                          <w:t>1,665</w:t>
                        </w:r>
                      </w:p>
                    </w:tc>
                  </w:tr>
                  <w:tr>
                    <w:trPr>
                      <w:trHeight w:val="307" w:hRule="atLeast"/>
                    </w:trPr>
                    <w:tc>
                      <w:tcPr>
                        <w:tcW w:w="4606" w:type="dxa"/>
                        <w:tcBorders>
                          <w:right w:val="nil"/>
                        </w:tcBorders>
                        <w:shd w:val="clear" w:color="auto" w:fill="FAF9F9"/>
                      </w:tcPr>
                      <w:p>
                        <w:pPr>
                          <w:pStyle w:val="TableParagraph"/>
                          <w:ind w:left="113"/>
                          <w:rPr>
                            <w:sz w:val="19"/>
                          </w:rPr>
                        </w:pPr>
                        <w:r>
                          <w:rPr>
                            <w:sz w:val="19"/>
                          </w:rPr>
                          <w:t>Commonwealth receipts</w:t>
                        </w:r>
                      </w:p>
                    </w:tc>
                    <w:tc>
                      <w:tcPr>
                        <w:tcW w:w="1417" w:type="dxa"/>
                        <w:tcBorders>
                          <w:top w:val="single" w:sz="4" w:space="0" w:color="000000"/>
                          <w:left w:val="nil"/>
                          <w:bottom w:val="single" w:sz="4" w:space="0" w:color="000000"/>
                          <w:right w:val="nil"/>
                        </w:tcBorders>
                        <w:shd w:val="clear" w:color="auto" w:fill="E1E4BB"/>
                      </w:tcPr>
                      <w:p>
                        <w:pPr>
                          <w:pStyle w:val="TableParagraph"/>
                          <w:ind w:right="100"/>
                          <w:jc w:val="right"/>
                          <w:rPr>
                            <w:b/>
                            <w:sz w:val="19"/>
                          </w:rPr>
                        </w:pPr>
                        <w:r>
                          <w:rPr>
                            <w:b/>
                            <w:w w:val="95"/>
                            <w:sz w:val="19"/>
                          </w:rPr>
                          <w:t>3,337</w:t>
                        </w:r>
                      </w:p>
                    </w:tc>
                    <w:tc>
                      <w:tcPr>
                        <w:tcW w:w="1417" w:type="dxa"/>
                        <w:tcBorders>
                          <w:top w:val="single" w:sz="4" w:space="0" w:color="000000"/>
                          <w:left w:val="nil"/>
                          <w:bottom w:val="single" w:sz="4" w:space="0" w:color="000000"/>
                        </w:tcBorders>
                        <w:shd w:val="clear" w:color="auto" w:fill="FAF9F9"/>
                      </w:tcPr>
                      <w:p>
                        <w:pPr>
                          <w:pStyle w:val="TableParagraph"/>
                          <w:ind w:right="89"/>
                          <w:jc w:val="right"/>
                          <w:rPr>
                            <w:b/>
                            <w:sz w:val="19"/>
                          </w:rPr>
                        </w:pPr>
                        <w:r>
                          <w:rPr>
                            <w:b/>
                            <w:w w:val="95"/>
                            <w:sz w:val="19"/>
                          </w:rPr>
                          <w:t>1,665</w:t>
                        </w:r>
                      </w:p>
                    </w:tc>
                  </w:tr>
                  <w:tr>
                    <w:trPr>
                      <w:trHeight w:val="307" w:hRule="atLeast"/>
                    </w:trPr>
                    <w:tc>
                      <w:tcPr>
                        <w:tcW w:w="4606" w:type="dxa"/>
                        <w:tcBorders>
                          <w:right w:val="nil"/>
                        </w:tcBorders>
                        <w:shd w:val="clear" w:color="auto" w:fill="F4F4F4"/>
                      </w:tcPr>
                      <w:p>
                        <w:pPr>
                          <w:pStyle w:val="TableParagraph"/>
                          <w:spacing w:before="0"/>
                          <w:rPr>
                            <w:rFonts w:ascii="Times New Roman"/>
                            <w:sz w:val="22"/>
                          </w:rPr>
                        </w:pPr>
                      </w:p>
                    </w:tc>
                    <w:tc>
                      <w:tcPr>
                        <w:tcW w:w="1417" w:type="dxa"/>
                        <w:tcBorders>
                          <w:top w:val="single" w:sz="4" w:space="0" w:color="000000"/>
                          <w:left w:val="nil"/>
                          <w:bottom w:val="nil"/>
                          <w:right w:val="nil"/>
                        </w:tcBorders>
                        <w:shd w:val="clear" w:color="auto" w:fill="E1E4BB"/>
                      </w:tcPr>
                      <w:p>
                        <w:pPr>
                          <w:pStyle w:val="TableParagraph"/>
                          <w:spacing w:before="0"/>
                          <w:rPr>
                            <w:rFonts w:ascii="Times New Roman"/>
                            <w:sz w:val="22"/>
                          </w:rPr>
                        </w:pPr>
                      </w:p>
                    </w:tc>
                    <w:tc>
                      <w:tcPr>
                        <w:tcW w:w="1417" w:type="dxa"/>
                        <w:tcBorders>
                          <w:top w:val="single" w:sz="4" w:space="0" w:color="000000"/>
                          <w:left w:val="nil"/>
                        </w:tcBorders>
                        <w:shd w:val="clear" w:color="auto" w:fill="F4F4F4"/>
                      </w:tcPr>
                      <w:p>
                        <w:pPr>
                          <w:pStyle w:val="TableParagraph"/>
                          <w:spacing w:before="0"/>
                          <w:rPr>
                            <w:rFonts w:ascii="Times New Roman"/>
                            <w:sz w:val="22"/>
                          </w:rPr>
                        </w:pPr>
                      </w:p>
                    </w:tc>
                  </w:tr>
                  <w:tr>
                    <w:trPr>
                      <w:trHeight w:val="307" w:hRule="atLeast"/>
                    </w:trPr>
                    <w:tc>
                      <w:tcPr>
                        <w:tcW w:w="4606" w:type="dxa"/>
                        <w:tcBorders>
                          <w:right w:val="nil"/>
                        </w:tcBorders>
                        <w:shd w:val="clear" w:color="auto" w:fill="FAF9F9"/>
                      </w:tcPr>
                      <w:p>
                        <w:pPr>
                          <w:pStyle w:val="TableParagraph"/>
                          <w:ind w:left="113"/>
                          <w:rPr>
                            <w:b/>
                            <w:sz w:val="19"/>
                          </w:rPr>
                        </w:pPr>
                        <w:r>
                          <w:rPr>
                            <w:b/>
                            <w:sz w:val="19"/>
                          </w:rPr>
                          <w:t>Expenditure</w:t>
                        </w:r>
                      </w:p>
                    </w:tc>
                    <w:tc>
                      <w:tcPr>
                        <w:tcW w:w="1417" w:type="dxa"/>
                        <w:tcBorders>
                          <w:top w:val="nil"/>
                          <w:left w:val="nil"/>
                          <w:bottom w:val="nil"/>
                          <w:right w:val="nil"/>
                        </w:tcBorders>
                        <w:shd w:val="clear" w:color="auto" w:fill="E1E4BB"/>
                      </w:tcPr>
                      <w:p>
                        <w:pPr>
                          <w:pStyle w:val="TableParagraph"/>
                          <w:spacing w:before="0"/>
                          <w:rPr>
                            <w:rFonts w:ascii="Times New Roman"/>
                            <w:sz w:val="22"/>
                          </w:rPr>
                        </w:pPr>
                      </w:p>
                    </w:tc>
                    <w:tc>
                      <w:tcPr>
                        <w:tcW w:w="1417" w:type="dxa"/>
                        <w:tcBorders>
                          <w:left w:val="nil"/>
                        </w:tcBorders>
                        <w:shd w:val="clear" w:color="auto" w:fill="FAF9F9"/>
                      </w:tcPr>
                      <w:p>
                        <w:pPr>
                          <w:pStyle w:val="TableParagraph"/>
                          <w:spacing w:before="0"/>
                          <w:rPr>
                            <w:rFonts w:ascii="Times New Roman"/>
                            <w:sz w:val="22"/>
                          </w:rPr>
                        </w:pPr>
                      </w:p>
                    </w:tc>
                  </w:tr>
                  <w:tr>
                    <w:trPr>
                      <w:trHeight w:val="307" w:hRule="atLeast"/>
                    </w:trPr>
                    <w:tc>
                      <w:tcPr>
                        <w:tcW w:w="4606" w:type="dxa"/>
                        <w:tcBorders>
                          <w:right w:val="nil"/>
                        </w:tcBorders>
                        <w:shd w:val="clear" w:color="auto" w:fill="F4F4F4"/>
                      </w:tcPr>
                      <w:p>
                        <w:pPr>
                          <w:pStyle w:val="TableParagraph"/>
                          <w:ind w:left="113"/>
                          <w:rPr>
                            <w:sz w:val="19"/>
                          </w:rPr>
                        </w:pPr>
                        <w:r>
                          <w:rPr>
                            <w:sz w:val="19"/>
                          </w:rPr>
                          <w:t>Consultants and contractors</w:t>
                        </w:r>
                      </w:p>
                    </w:tc>
                    <w:tc>
                      <w:tcPr>
                        <w:tcW w:w="1417" w:type="dxa"/>
                        <w:tcBorders>
                          <w:top w:val="nil"/>
                          <w:left w:val="nil"/>
                          <w:bottom w:val="nil"/>
                          <w:right w:val="nil"/>
                        </w:tcBorders>
                        <w:shd w:val="clear" w:color="auto" w:fill="E1E4BB"/>
                      </w:tcPr>
                      <w:p>
                        <w:pPr>
                          <w:pStyle w:val="TableParagraph"/>
                          <w:ind w:right="100"/>
                          <w:jc w:val="right"/>
                          <w:rPr>
                            <w:sz w:val="19"/>
                          </w:rPr>
                        </w:pPr>
                        <w:r>
                          <w:rPr>
                            <w:w w:val="95"/>
                            <w:sz w:val="19"/>
                          </w:rPr>
                          <w:t>969</w:t>
                        </w:r>
                      </w:p>
                    </w:tc>
                    <w:tc>
                      <w:tcPr>
                        <w:tcW w:w="1417" w:type="dxa"/>
                        <w:tcBorders>
                          <w:left w:val="nil"/>
                        </w:tcBorders>
                        <w:shd w:val="clear" w:color="auto" w:fill="F4F4F4"/>
                      </w:tcPr>
                      <w:p>
                        <w:pPr>
                          <w:pStyle w:val="TableParagraph"/>
                          <w:ind w:right="89"/>
                          <w:jc w:val="right"/>
                          <w:rPr>
                            <w:sz w:val="19"/>
                          </w:rPr>
                        </w:pPr>
                        <w:r>
                          <w:rPr>
                            <w:w w:val="95"/>
                            <w:sz w:val="19"/>
                          </w:rPr>
                          <w:t>969</w:t>
                        </w:r>
                      </w:p>
                    </w:tc>
                  </w:tr>
                  <w:tr>
                    <w:trPr>
                      <w:trHeight w:val="307" w:hRule="atLeast"/>
                    </w:trPr>
                    <w:tc>
                      <w:tcPr>
                        <w:tcW w:w="4606" w:type="dxa"/>
                        <w:tcBorders>
                          <w:right w:val="nil"/>
                        </w:tcBorders>
                        <w:shd w:val="clear" w:color="auto" w:fill="FAF9F9"/>
                      </w:tcPr>
                      <w:p>
                        <w:pPr>
                          <w:pStyle w:val="TableParagraph"/>
                          <w:ind w:left="114"/>
                          <w:rPr>
                            <w:sz w:val="19"/>
                          </w:rPr>
                        </w:pPr>
                        <w:r>
                          <w:rPr>
                            <w:sz w:val="19"/>
                          </w:rPr>
                          <w:t>Administration and other costs</w:t>
                        </w:r>
                      </w:p>
                    </w:tc>
                    <w:tc>
                      <w:tcPr>
                        <w:tcW w:w="1417" w:type="dxa"/>
                        <w:tcBorders>
                          <w:top w:val="nil"/>
                          <w:left w:val="nil"/>
                          <w:bottom w:val="nil"/>
                          <w:right w:val="nil"/>
                        </w:tcBorders>
                        <w:shd w:val="clear" w:color="auto" w:fill="E1E4BB"/>
                      </w:tcPr>
                      <w:p>
                        <w:pPr>
                          <w:pStyle w:val="TableParagraph"/>
                          <w:ind w:right="100"/>
                          <w:jc w:val="right"/>
                          <w:rPr>
                            <w:sz w:val="19"/>
                          </w:rPr>
                        </w:pPr>
                        <w:r>
                          <w:rPr>
                            <w:w w:val="95"/>
                            <w:sz w:val="19"/>
                          </w:rPr>
                          <w:t>1,689</w:t>
                        </w:r>
                      </w:p>
                    </w:tc>
                    <w:tc>
                      <w:tcPr>
                        <w:tcW w:w="1417" w:type="dxa"/>
                        <w:tcBorders>
                          <w:left w:val="nil"/>
                        </w:tcBorders>
                        <w:shd w:val="clear" w:color="auto" w:fill="FAF9F9"/>
                      </w:tcPr>
                      <w:p>
                        <w:pPr>
                          <w:pStyle w:val="TableParagraph"/>
                          <w:ind w:right="89"/>
                          <w:jc w:val="right"/>
                          <w:rPr>
                            <w:sz w:val="19"/>
                          </w:rPr>
                        </w:pPr>
                        <w:r>
                          <w:rPr>
                            <w:w w:val="95"/>
                            <w:sz w:val="19"/>
                          </w:rPr>
                          <w:t>945</w:t>
                        </w:r>
                      </w:p>
                    </w:tc>
                  </w:tr>
                  <w:tr>
                    <w:trPr>
                      <w:trHeight w:val="307" w:hRule="atLeast"/>
                    </w:trPr>
                    <w:tc>
                      <w:tcPr>
                        <w:tcW w:w="4606" w:type="dxa"/>
                        <w:tcBorders>
                          <w:right w:val="nil"/>
                        </w:tcBorders>
                        <w:shd w:val="clear" w:color="auto" w:fill="F4F4F4"/>
                      </w:tcPr>
                      <w:p>
                        <w:pPr>
                          <w:pStyle w:val="TableParagraph"/>
                          <w:ind w:left="114"/>
                          <w:rPr>
                            <w:sz w:val="19"/>
                          </w:rPr>
                        </w:pPr>
                        <w:r>
                          <w:rPr>
                            <w:sz w:val="19"/>
                          </w:rPr>
                          <w:t>Payroll Tax and business franchise</w:t>
                        </w:r>
                      </w:p>
                    </w:tc>
                    <w:tc>
                      <w:tcPr>
                        <w:tcW w:w="1417" w:type="dxa"/>
                        <w:tcBorders>
                          <w:top w:val="nil"/>
                          <w:left w:val="nil"/>
                          <w:bottom w:val="nil"/>
                          <w:right w:val="nil"/>
                        </w:tcBorders>
                        <w:shd w:val="clear" w:color="auto" w:fill="E1E4BB"/>
                      </w:tcPr>
                      <w:p>
                        <w:pPr>
                          <w:pStyle w:val="TableParagraph"/>
                          <w:ind w:right="99"/>
                          <w:jc w:val="right"/>
                          <w:rPr>
                            <w:sz w:val="19"/>
                          </w:rPr>
                        </w:pPr>
                        <w:r>
                          <w:rPr>
                            <w:w w:val="95"/>
                            <w:sz w:val="19"/>
                          </w:rPr>
                          <w:t>30</w:t>
                        </w:r>
                      </w:p>
                    </w:tc>
                    <w:tc>
                      <w:tcPr>
                        <w:tcW w:w="1417" w:type="dxa"/>
                        <w:tcBorders>
                          <w:left w:val="nil"/>
                        </w:tcBorders>
                        <w:shd w:val="clear" w:color="auto" w:fill="F4F4F4"/>
                      </w:tcPr>
                      <w:p>
                        <w:pPr>
                          <w:pStyle w:val="TableParagraph"/>
                          <w:ind w:right="89"/>
                          <w:jc w:val="right"/>
                          <w:rPr>
                            <w:sz w:val="19"/>
                          </w:rPr>
                        </w:pPr>
                        <w:r>
                          <w:rPr>
                            <w:w w:val="95"/>
                            <w:sz w:val="19"/>
                          </w:rPr>
                          <w:t>34</w:t>
                        </w:r>
                      </w:p>
                    </w:tc>
                  </w:tr>
                  <w:tr>
                    <w:trPr>
                      <w:trHeight w:val="307" w:hRule="atLeast"/>
                    </w:trPr>
                    <w:tc>
                      <w:tcPr>
                        <w:tcW w:w="4606" w:type="dxa"/>
                        <w:tcBorders>
                          <w:right w:val="nil"/>
                        </w:tcBorders>
                        <w:shd w:val="clear" w:color="auto" w:fill="FAF9F9"/>
                      </w:tcPr>
                      <w:p>
                        <w:pPr>
                          <w:pStyle w:val="TableParagraph"/>
                          <w:ind w:left="114"/>
                          <w:rPr>
                            <w:sz w:val="19"/>
                          </w:rPr>
                        </w:pPr>
                        <w:r>
                          <w:rPr>
                            <w:sz w:val="19"/>
                          </w:rPr>
                          <w:t>Duties</w:t>
                        </w:r>
                      </w:p>
                    </w:tc>
                    <w:tc>
                      <w:tcPr>
                        <w:tcW w:w="1417" w:type="dxa"/>
                        <w:tcBorders>
                          <w:top w:val="nil"/>
                          <w:left w:val="nil"/>
                          <w:bottom w:val="nil"/>
                          <w:right w:val="nil"/>
                        </w:tcBorders>
                        <w:shd w:val="clear" w:color="auto" w:fill="E1E4BB"/>
                      </w:tcPr>
                      <w:p>
                        <w:pPr>
                          <w:pStyle w:val="TableParagraph"/>
                          <w:ind w:right="99"/>
                          <w:jc w:val="right"/>
                          <w:rPr>
                            <w:sz w:val="19"/>
                          </w:rPr>
                        </w:pPr>
                        <w:r>
                          <w:rPr>
                            <w:w w:val="99"/>
                            <w:sz w:val="19"/>
                          </w:rPr>
                          <w:t>1</w:t>
                        </w:r>
                      </w:p>
                    </w:tc>
                    <w:tc>
                      <w:tcPr>
                        <w:tcW w:w="1417" w:type="dxa"/>
                        <w:tcBorders>
                          <w:left w:val="nil"/>
                        </w:tcBorders>
                        <w:shd w:val="clear" w:color="auto" w:fill="FAF9F9"/>
                      </w:tcPr>
                      <w:p>
                        <w:pPr>
                          <w:pStyle w:val="TableParagraph"/>
                          <w:ind w:right="89"/>
                          <w:jc w:val="right"/>
                          <w:rPr>
                            <w:sz w:val="19"/>
                          </w:rPr>
                        </w:pPr>
                        <w:r>
                          <w:rPr>
                            <w:w w:val="99"/>
                            <w:sz w:val="19"/>
                          </w:rPr>
                          <w:t>1</w:t>
                        </w:r>
                      </w:p>
                    </w:tc>
                  </w:tr>
                  <w:tr>
                    <w:trPr>
                      <w:trHeight w:val="307" w:hRule="atLeast"/>
                    </w:trPr>
                    <w:tc>
                      <w:tcPr>
                        <w:tcW w:w="4606" w:type="dxa"/>
                        <w:tcBorders>
                          <w:right w:val="nil"/>
                        </w:tcBorders>
                        <w:shd w:val="clear" w:color="auto" w:fill="F4F4F4"/>
                      </w:tcPr>
                      <w:p>
                        <w:pPr>
                          <w:pStyle w:val="TableParagraph"/>
                          <w:ind w:left="114"/>
                          <w:rPr>
                            <w:sz w:val="19"/>
                          </w:rPr>
                        </w:pPr>
                        <w:r>
                          <w:rPr>
                            <w:sz w:val="19"/>
                          </w:rPr>
                          <w:t>Land Tax</w:t>
                        </w:r>
                      </w:p>
                    </w:tc>
                    <w:tc>
                      <w:tcPr>
                        <w:tcW w:w="1417" w:type="dxa"/>
                        <w:tcBorders>
                          <w:top w:val="nil"/>
                          <w:left w:val="nil"/>
                          <w:bottom w:val="nil"/>
                          <w:right w:val="nil"/>
                        </w:tcBorders>
                        <w:shd w:val="clear" w:color="auto" w:fill="E1E4BB"/>
                      </w:tcPr>
                      <w:p>
                        <w:pPr>
                          <w:pStyle w:val="TableParagraph"/>
                          <w:ind w:right="99"/>
                          <w:jc w:val="right"/>
                          <w:rPr>
                            <w:sz w:val="19"/>
                          </w:rPr>
                        </w:pPr>
                        <w:r>
                          <w:rPr>
                            <w:w w:val="99"/>
                            <w:sz w:val="19"/>
                          </w:rPr>
                          <w:t>2</w:t>
                        </w:r>
                      </w:p>
                    </w:tc>
                    <w:tc>
                      <w:tcPr>
                        <w:tcW w:w="1417" w:type="dxa"/>
                        <w:tcBorders>
                          <w:left w:val="nil"/>
                        </w:tcBorders>
                        <w:shd w:val="clear" w:color="auto" w:fill="F4F4F4"/>
                      </w:tcPr>
                      <w:p>
                        <w:pPr>
                          <w:pStyle w:val="TableParagraph"/>
                          <w:ind w:right="89"/>
                          <w:jc w:val="right"/>
                          <w:rPr>
                            <w:sz w:val="19"/>
                          </w:rPr>
                        </w:pPr>
                        <w:r>
                          <w:rPr>
                            <w:w w:val="99"/>
                            <w:sz w:val="19"/>
                          </w:rPr>
                          <w:t>3</w:t>
                        </w:r>
                      </w:p>
                    </w:tc>
                  </w:tr>
                  <w:tr>
                    <w:trPr>
                      <w:trHeight w:val="307" w:hRule="atLeast"/>
                    </w:trPr>
                    <w:tc>
                      <w:tcPr>
                        <w:tcW w:w="4606" w:type="dxa"/>
                        <w:tcBorders>
                          <w:right w:val="nil"/>
                        </w:tcBorders>
                        <w:shd w:val="clear" w:color="auto" w:fill="FAF9F9"/>
                      </w:tcPr>
                      <w:p>
                        <w:pPr>
                          <w:pStyle w:val="TableParagraph"/>
                          <w:ind w:left="114"/>
                          <w:rPr>
                            <w:sz w:val="19"/>
                          </w:rPr>
                        </w:pPr>
                        <w:r>
                          <w:rPr>
                            <w:sz w:val="19"/>
                          </w:rPr>
                          <w:t>Compliance</w:t>
                        </w:r>
                      </w:p>
                    </w:tc>
                    <w:tc>
                      <w:tcPr>
                        <w:tcW w:w="1417" w:type="dxa"/>
                        <w:tcBorders>
                          <w:top w:val="nil"/>
                          <w:left w:val="nil"/>
                          <w:bottom w:val="single" w:sz="4" w:space="0" w:color="000000"/>
                          <w:right w:val="nil"/>
                        </w:tcBorders>
                        <w:shd w:val="clear" w:color="auto" w:fill="E1E4BB"/>
                      </w:tcPr>
                      <w:p>
                        <w:pPr>
                          <w:pStyle w:val="TableParagraph"/>
                          <w:ind w:right="99"/>
                          <w:jc w:val="right"/>
                          <w:rPr>
                            <w:sz w:val="19"/>
                          </w:rPr>
                        </w:pPr>
                        <w:r>
                          <w:rPr>
                            <w:w w:val="95"/>
                            <w:sz w:val="19"/>
                          </w:rPr>
                          <w:t>12</w:t>
                        </w:r>
                      </w:p>
                    </w:tc>
                    <w:tc>
                      <w:tcPr>
                        <w:tcW w:w="1417" w:type="dxa"/>
                        <w:tcBorders>
                          <w:left w:val="nil"/>
                          <w:bottom w:val="single" w:sz="4" w:space="0" w:color="000000"/>
                        </w:tcBorders>
                        <w:shd w:val="clear" w:color="auto" w:fill="FAF9F9"/>
                      </w:tcPr>
                      <w:p>
                        <w:pPr>
                          <w:pStyle w:val="TableParagraph"/>
                          <w:ind w:right="88"/>
                          <w:jc w:val="right"/>
                          <w:rPr>
                            <w:sz w:val="19"/>
                          </w:rPr>
                        </w:pPr>
                        <w:r>
                          <w:rPr>
                            <w:w w:val="95"/>
                            <w:sz w:val="19"/>
                          </w:rPr>
                          <w:t>47</w:t>
                        </w:r>
                      </w:p>
                    </w:tc>
                  </w:tr>
                  <w:tr>
                    <w:trPr>
                      <w:trHeight w:val="307" w:hRule="atLeast"/>
                    </w:trPr>
                    <w:tc>
                      <w:tcPr>
                        <w:tcW w:w="4606" w:type="dxa"/>
                        <w:tcBorders>
                          <w:right w:val="nil"/>
                        </w:tcBorders>
                        <w:shd w:val="clear" w:color="auto" w:fill="F4F4F4"/>
                      </w:tcPr>
                      <w:p>
                        <w:pPr>
                          <w:pStyle w:val="TableParagraph"/>
                          <w:spacing w:before="0"/>
                          <w:rPr>
                            <w:rFonts w:ascii="Times New Roman"/>
                            <w:sz w:val="22"/>
                          </w:rPr>
                        </w:pPr>
                      </w:p>
                    </w:tc>
                    <w:tc>
                      <w:tcPr>
                        <w:tcW w:w="1417" w:type="dxa"/>
                        <w:tcBorders>
                          <w:top w:val="single" w:sz="4" w:space="0" w:color="000000"/>
                          <w:left w:val="nil"/>
                          <w:bottom w:val="single" w:sz="4" w:space="0" w:color="000000"/>
                          <w:right w:val="nil"/>
                        </w:tcBorders>
                        <w:shd w:val="clear" w:color="auto" w:fill="DFE1B8"/>
                      </w:tcPr>
                      <w:p>
                        <w:pPr>
                          <w:pStyle w:val="TableParagraph"/>
                          <w:ind w:right="99"/>
                          <w:jc w:val="right"/>
                          <w:rPr>
                            <w:b/>
                            <w:sz w:val="19"/>
                          </w:rPr>
                        </w:pPr>
                        <w:r>
                          <w:rPr>
                            <w:b/>
                            <w:w w:val="95"/>
                            <w:sz w:val="19"/>
                          </w:rPr>
                          <w:t>2,703</w:t>
                        </w:r>
                      </w:p>
                    </w:tc>
                    <w:tc>
                      <w:tcPr>
                        <w:tcW w:w="1417" w:type="dxa"/>
                        <w:tcBorders>
                          <w:top w:val="single" w:sz="4" w:space="0" w:color="000000"/>
                          <w:left w:val="nil"/>
                          <w:bottom w:val="single" w:sz="4" w:space="0" w:color="000000"/>
                        </w:tcBorders>
                        <w:shd w:val="clear" w:color="auto" w:fill="F4F4F4"/>
                      </w:tcPr>
                      <w:p>
                        <w:pPr>
                          <w:pStyle w:val="TableParagraph"/>
                          <w:ind w:right="88"/>
                          <w:jc w:val="right"/>
                          <w:rPr>
                            <w:b/>
                            <w:sz w:val="19"/>
                          </w:rPr>
                        </w:pPr>
                        <w:r>
                          <w:rPr>
                            <w:b/>
                            <w:w w:val="95"/>
                            <w:sz w:val="19"/>
                          </w:rPr>
                          <w:t>1,999</w:t>
                        </w:r>
                      </w:p>
                    </w:tc>
                  </w:tr>
                  <w:tr>
                    <w:trPr>
                      <w:trHeight w:val="307" w:hRule="atLeast"/>
                    </w:trPr>
                    <w:tc>
                      <w:tcPr>
                        <w:tcW w:w="4606" w:type="dxa"/>
                        <w:tcBorders>
                          <w:right w:val="nil"/>
                        </w:tcBorders>
                        <w:shd w:val="clear" w:color="auto" w:fill="FAF9F9"/>
                      </w:tcPr>
                      <w:p>
                        <w:pPr>
                          <w:pStyle w:val="TableParagraph"/>
                          <w:ind w:left="115"/>
                          <w:rPr>
                            <w:sz w:val="19"/>
                          </w:rPr>
                        </w:pPr>
                        <w:r>
                          <w:rPr>
                            <w:sz w:val="19"/>
                          </w:rPr>
                          <w:t>Surplus/(deficit) for the period</w:t>
                        </w:r>
                      </w:p>
                    </w:tc>
                    <w:tc>
                      <w:tcPr>
                        <w:tcW w:w="1417" w:type="dxa"/>
                        <w:tcBorders>
                          <w:top w:val="single" w:sz="4" w:space="0" w:color="000000"/>
                          <w:left w:val="nil"/>
                          <w:bottom w:val="nil"/>
                          <w:right w:val="nil"/>
                        </w:tcBorders>
                        <w:shd w:val="clear" w:color="auto" w:fill="DFE1B8"/>
                      </w:tcPr>
                      <w:p>
                        <w:pPr>
                          <w:pStyle w:val="TableParagraph"/>
                          <w:ind w:right="99"/>
                          <w:jc w:val="right"/>
                          <w:rPr>
                            <w:b/>
                            <w:sz w:val="19"/>
                          </w:rPr>
                        </w:pPr>
                        <w:r>
                          <w:rPr>
                            <w:b/>
                            <w:w w:val="95"/>
                            <w:sz w:val="19"/>
                          </w:rPr>
                          <w:t>634</w:t>
                        </w:r>
                      </w:p>
                    </w:tc>
                    <w:tc>
                      <w:tcPr>
                        <w:tcW w:w="1417" w:type="dxa"/>
                        <w:tcBorders>
                          <w:top w:val="single" w:sz="4" w:space="0" w:color="000000"/>
                          <w:left w:val="nil"/>
                        </w:tcBorders>
                        <w:shd w:val="clear" w:color="auto" w:fill="FAF9F9"/>
                      </w:tcPr>
                      <w:p>
                        <w:pPr>
                          <w:pStyle w:val="TableParagraph"/>
                          <w:ind w:right="88"/>
                          <w:jc w:val="right"/>
                          <w:rPr>
                            <w:b/>
                            <w:sz w:val="19"/>
                          </w:rPr>
                        </w:pPr>
                        <w:r>
                          <w:rPr>
                            <w:b/>
                            <w:w w:val="95"/>
                            <w:sz w:val="19"/>
                          </w:rPr>
                          <w:t>(334)</w:t>
                        </w:r>
                      </w:p>
                    </w:tc>
                  </w:tr>
                  <w:tr>
                    <w:trPr>
                      <w:trHeight w:val="307" w:hRule="atLeast"/>
                    </w:trPr>
                    <w:tc>
                      <w:tcPr>
                        <w:tcW w:w="4606" w:type="dxa"/>
                        <w:tcBorders>
                          <w:right w:val="nil"/>
                        </w:tcBorders>
                        <w:shd w:val="clear" w:color="auto" w:fill="F4F4F4"/>
                      </w:tcPr>
                      <w:p>
                        <w:pPr>
                          <w:pStyle w:val="TableParagraph"/>
                          <w:spacing w:before="0"/>
                          <w:rPr>
                            <w:rFonts w:ascii="Times New Roman"/>
                            <w:sz w:val="22"/>
                          </w:rPr>
                        </w:pPr>
                      </w:p>
                    </w:tc>
                    <w:tc>
                      <w:tcPr>
                        <w:tcW w:w="1417" w:type="dxa"/>
                        <w:tcBorders>
                          <w:top w:val="nil"/>
                          <w:left w:val="nil"/>
                          <w:bottom w:val="nil"/>
                          <w:right w:val="nil"/>
                        </w:tcBorders>
                        <w:shd w:val="clear" w:color="auto" w:fill="DFE1B8"/>
                      </w:tcPr>
                      <w:p>
                        <w:pPr>
                          <w:pStyle w:val="TableParagraph"/>
                          <w:spacing w:before="0"/>
                          <w:rPr>
                            <w:rFonts w:ascii="Times New Roman"/>
                            <w:sz w:val="22"/>
                          </w:rPr>
                        </w:pPr>
                      </w:p>
                    </w:tc>
                    <w:tc>
                      <w:tcPr>
                        <w:tcW w:w="1417" w:type="dxa"/>
                        <w:tcBorders>
                          <w:left w:val="nil"/>
                        </w:tcBorders>
                        <w:shd w:val="clear" w:color="auto" w:fill="F4F4F4"/>
                      </w:tcPr>
                      <w:p>
                        <w:pPr>
                          <w:pStyle w:val="TableParagraph"/>
                          <w:spacing w:before="0"/>
                          <w:rPr>
                            <w:rFonts w:ascii="Times New Roman"/>
                            <w:sz w:val="22"/>
                          </w:rPr>
                        </w:pPr>
                      </w:p>
                    </w:tc>
                  </w:tr>
                  <w:tr>
                    <w:trPr>
                      <w:trHeight w:val="307" w:hRule="atLeast"/>
                    </w:trPr>
                    <w:tc>
                      <w:tcPr>
                        <w:tcW w:w="4606" w:type="dxa"/>
                        <w:tcBorders>
                          <w:right w:val="nil"/>
                        </w:tcBorders>
                        <w:shd w:val="clear" w:color="auto" w:fill="FAF9F9"/>
                      </w:tcPr>
                      <w:p>
                        <w:pPr>
                          <w:pStyle w:val="TableParagraph"/>
                          <w:ind w:left="115"/>
                          <w:rPr>
                            <w:sz w:val="19"/>
                          </w:rPr>
                        </w:pPr>
                        <w:r>
                          <w:rPr>
                            <w:sz w:val="19"/>
                          </w:rPr>
                          <w:t>Balance brought forward</w:t>
                        </w:r>
                      </w:p>
                    </w:tc>
                    <w:tc>
                      <w:tcPr>
                        <w:tcW w:w="1417" w:type="dxa"/>
                        <w:tcBorders>
                          <w:top w:val="nil"/>
                          <w:left w:val="nil"/>
                          <w:bottom w:val="single" w:sz="4" w:space="0" w:color="000000"/>
                          <w:right w:val="nil"/>
                        </w:tcBorders>
                        <w:shd w:val="clear" w:color="auto" w:fill="DFE1B8"/>
                      </w:tcPr>
                      <w:p>
                        <w:pPr>
                          <w:pStyle w:val="TableParagraph"/>
                          <w:ind w:right="98"/>
                          <w:jc w:val="right"/>
                          <w:rPr>
                            <w:b/>
                            <w:sz w:val="19"/>
                          </w:rPr>
                        </w:pPr>
                        <w:r>
                          <w:rPr>
                            <w:b/>
                            <w:w w:val="95"/>
                            <w:sz w:val="19"/>
                          </w:rPr>
                          <w:t>10</w:t>
                        </w:r>
                      </w:p>
                    </w:tc>
                    <w:tc>
                      <w:tcPr>
                        <w:tcW w:w="1417" w:type="dxa"/>
                        <w:tcBorders>
                          <w:left w:val="nil"/>
                          <w:bottom w:val="single" w:sz="4" w:space="0" w:color="000000"/>
                        </w:tcBorders>
                        <w:shd w:val="clear" w:color="auto" w:fill="FAF9F9"/>
                      </w:tcPr>
                      <w:p>
                        <w:pPr>
                          <w:pStyle w:val="TableParagraph"/>
                          <w:ind w:right="88"/>
                          <w:jc w:val="right"/>
                          <w:rPr>
                            <w:b/>
                            <w:sz w:val="19"/>
                          </w:rPr>
                        </w:pPr>
                        <w:r>
                          <w:rPr>
                            <w:b/>
                            <w:w w:val="95"/>
                            <w:sz w:val="19"/>
                          </w:rPr>
                          <w:t>344</w:t>
                        </w:r>
                      </w:p>
                    </w:tc>
                  </w:tr>
                  <w:tr>
                    <w:trPr>
                      <w:trHeight w:val="307" w:hRule="atLeast"/>
                    </w:trPr>
                    <w:tc>
                      <w:tcPr>
                        <w:tcW w:w="4606" w:type="dxa"/>
                        <w:tcBorders>
                          <w:right w:val="nil"/>
                        </w:tcBorders>
                        <w:shd w:val="clear" w:color="auto" w:fill="F4F4F4"/>
                      </w:tcPr>
                      <w:p>
                        <w:pPr>
                          <w:pStyle w:val="TableParagraph"/>
                          <w:ind w:left="115"/>
                          <w:rPr>
                            <w:sz w:val="19"/>
                          </w:rPr>
                        </w:pPr>
                        <w:r>
                          <w:rPr>
                            <w:sz w:val="19"/>
                          </w:rPr>
                          <w:t>Prior year adjustment</w:t>
                        </w:r>
                      </w:p>
                    </w:tc>
                    <w:tc>
                      <w:tcPr>
                        <w:tcW w:w="1417" w:type="dxa"/>
                        <w:tcBorders>
                          <w:top w:val="single" w:sz="4" w:space="0" w:color="000000"/>
                          <w:left w:val="nil"/>
                          <w:bottom w:val="single" w:sz="4" w:space="0" w:color="000000"/>
                          <w:right w:val="nil"/>
                        </w:tcBorders>
                        <w:shd w:val="clear" w:color="auto" w:fill="DFE1B8"/>
                      </w:tcPr>
                      <w:p>
                        <w:pPr>
                          <w:pStyle w:val="TableParagraph"/>
                          <w:ind w:right="98"/>
                          <w:jc w:val="right"/>
                          <w:rPr>
                            <w:b/>
                            <w:sz w:val="19"/>
                          </w:rPr>
                        </w:pPr>
                        <w:r>
                          <w:rPr>
                            <w:b/>
                            <w:w w:val="122"/>
                            <w:sz w:val="19"/>
                          </w:rPr>
                          <w:t>-</w:t>
                        </w:r>
                      </w:p>
                    </w:tc>
                    <w:tc>
                      <w:tcPr>
                        <w:tcW w:w="1417" w:type="dxa"/>
                        <w:tcBorders>
                          <w:top w:val="single" w:sz="4" w:space="0" w:color="000000"/>
                          <w:left w:val="nil"/>
                          <w:bottom w:val="single" w:sz="4" w:space="0" w:color="000000"/>
                        </w:tcBorders>
                        <w:shd w:val="clear" w:color="auto" w:fill="F4F4F4"/>
                      </w:tcPr>
                      <w:p>
                        <w:pPr>
                          <w:pStyle w:val="TableParagraph"/>
                          <w:ind w:right="88"/>
                          <w:jc w:val="right"/>
                          <w:rPr>
                            <w:b/>
                            <w:sz w:val="19"/>
                          </w:rPr>
                        </w:pPr>
                        <w:r>
                          <w:rPr>
                            <w:b/>
                            <w:w w:val="122"/>
                            <w:sz w:val="19"/>
                          </w:rPr>
                          <w:t>-</w:t>
                        </w:r>
                      </w:p>
                    </w:tc>
                  </w:tr>
                  <w:tr>
                    <w:trPr>
                      <w:trHeight w:val="277" w:hRule="atLeast"/>
                    </w:trPr>
                    <w:tc>
                      <w:tcPr>
                        <w:tcW w:w="4606" w:type="dxa"/>
                        <w:tcBorders>
                          <w:right w:val="nil"/>
                        </w:tcBorders>
                        <w:shd w:val="clear" w:color="auto" w:fill="FAF9F9"/>
                      </w:tcPr>
                      <w:p>
                        <w:pPr>
                          <w:pStyle w:val="TableParagraph"/>
                          <w:spacing w:before="33"/>
                          <w:ind w:left="115"/>
                          <w:rPr>
                            <w:sz w:val="19"/>
                          </w:rPr>
                        </w:pPr>
                        <w:r>
                          <w:rPr>
                            <w:sz w:val="19"/>
                          </w:rPr>
                          <w:t>Balance carried forward</w:t>
                        </w:r>
                      </w:p>
                    </w:tc>
                    <w:tc>
                      <w:tcPr>
                        <w:tcW w:w="1417" w:type="dxa"/>
                        <w:tcBorders>
                          <w:top w:val="single" w:sz="4" w:space="0" w:color="000000"/>
                          <w:left w:val="nil"/>
                          <w:bottom w:val="single" w:sz="24" w:space="0" w:color="FFFFFF"/>
                          <w:right w:val="nil"/>
                        </w:tcBorders>
                        <w:shd w:val="clear" w:color="auto" w:fill="E1E4BB"/>
                      </w:tcPr>
                      <w:p>
                        <w:pPr>
                          <w:pStyle w:val="TableParagraph"/>
                          <w:spacing w:before="33"/>
                          <w:ind w:right="98"/>
                          <w:jc w:val="right"/>
                          <w:rPr>
                            <w:b/>
                            <w:sz w:val="19"/>
                          </w:rPr>
                        </w:pPr>
                        <w:r>
                          <w:rPr>
                            <w:b/>
                            <w:w w:val="95"/>
                            <w:sz w:val="19"/>
                          </w:rPr>
                          <w:t>644</w:t>
                        </w:r>
                      </w:p>
                    </w:tc>
                    <w:tc>
                      <w:tcPr>
                        <w:tcW w:w="1417" w:type="dxa"/>
                        <w:tcBorders>
                          <w:top w:val="single" w:sz="4" w:space="0" w:color="000000"/>
                          <w:left w:val="nil"/>
                          <w:bottom w:val="single" w:sz="24" w:space="0" w:color="FFFFFF"/>
                        </w:tcBorders>
                        <w:shd w:val="clear" w:color="auto" w:fill="FAF9F9"/>
                      </w:tcPr>
                      <w:p>
                        <w:pPr>
                          <w:pStyle w:val="TableParagraph"/>
                          <w:spacing w:before="33"/>
                          <w:ind w:right="88"/>
                          <w:jc w:val="right"/>
                          <w:rPr>
                            <w:b/>
                            <w:sz w:val="19"/>
                          </w:rPr>
                        </w:pPr>
                        <w:r>
                          <w:rPr>
                            <w:b/>
                            <w:w w:val="95"/>
                            <w:sz w:val="19"/>
                          </w:rPr>
                          <w:t>10</w:t>
                        </w:r>
                      </w:p>
                    </w:tc>
                  </w:tr>
                </w:tbl>
                <w:p>
                  <w:pPr>
                    <w:pStyle w:val="BodyText"/>
                  </w:pPr>
                </w:p>
              </w:txbxContent>
            </v:textbox>
            <w10:wrap type="none"/>
          </v:shape>
        </w:pict>
      </w:r>
      <w:r>
        <w:rPr/>
        <w:pict>
          <v:shape style="position:absolute;margin-left:34.7244pt;margin-top:28.844484pt;width:373.55pt;height:93.15pt;mso-position-horizontal-relative:page;mso-position-vertical-relative:paragraph;z-index:27952"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606"/>
                    <w:gridCol w:w="1417"/>
                    <w:gridCol w:w="1417"/>
                  </w:tblGrid>
                  <w:tr>
                    <w:trPr>
                      <w:trHeight w:val="533" w:hRule="atLeast"/>
                    </w:trPr>
                    <w:tc>
                      <w:tcPr>
                        <w:tcW w:w="7440" w:type="dxa"/>
                        <w:gridSpan w:val="3"/>
                        <w:tcBorders>
                          <w:top w:val="nil"/>
                          <w:bottom w:val="nil"/>
                          <w:right w:val="nil"/>
                        </w:tcBorders>
                        <w:shd w:val="clear" w:color="auto" w:fill="783A79"/>
                      </w:tcPr>
                      <w:p>
                        <w:pPr>
                          <w:pStyle w:val="TableParagraph"/>
                          <w:tabs>
                            <w:tab w:pos="1417" w:val="left" w:leader="none"/>
                          </w:tabs>
                          <w:spacing w:before="42"/>
                          <w:ind w:right="100"/>
                          <w:jc w:val="right"/>
                          <w:rPr>
                            <w:b/>
                            <w:sz w:val="19"/>
                          </w:rPr>
                        </w:pPr>
                        <w:r>
                          <w:rPr>
                            <w:b/>
                            <w:color w:val="FFFFFF"/>
                            <w:sz w:val="19"/>
                          </w:rPr>
                          <w:t>2017</w:t>
                          <w:tab/>
                        </w:r>
                        <w:r>
                          <w:rPr>
                            <w:b/>
                            <w:color w:val="FFFFFF"/>
                            <w:w w:val="95"/>
                            <w:sz w:val="19"/>
                          </w:rPr>
                          <w:t>2016</w:t>
                        </w:r>
                      </w:p>
                      <w:p>
                        <w:pPr>
                          <w:pStyle w:val="TableParagraph"/>
                          <w:tabs>
                            <w:tab w:pos="1417" w:val="left" w:leader="none"/>
                          </w:tabs>
                          <w:spacing w:before="10"/>
                          <w:ind w:right="100"/>
                          <w:jc w:val="right"/>
                          <w:rPr>
                            <w:b/>
                            <w:sz w:val="19"/>
                          </w:rPr>
                        </w:pPr>
                        <w:r>
                          <w:rPr>
                            <w:b/>
                            <w:color w:val="FFFFFF"/>
                            <w:sz w:val="19"/>
                          </w:rPr>
                          <w:t>$000</w:t>
                          <w:tab/>
                        </w:r>
                        <w:r>
                          <w:rPr>
                            <w:b/>
                            <w:color w:val="FFFFFF"/>
                            <w:w w:val="95"/>
                            <w:sz w:val="19"/>
                          </w:rPr>
                          <w:t>$000</w:t>
                        </w:r>
                      </w:p>
                    </w:tc>
                  </w:tr>
                  <w:tr>
                    <w:trPr>
                      <w:trHeight w:val="317" w:hRule="atLeast"/>
                    </w:trPr>
                    <w:tc>
                      <w:tcPr>
                        <w:tcW w:w="4606" w:type="dxa"/>
                        <w:tcBorders>
                          <w:top w:val="nil"/>
                          <w:right w:val="nil"/>
                        </w:tcBorders>
                        <w:shd w:val="clear" w:color="auto" w:fill="F4F4F4"/>
                      </w:tcPr>
                      <w:p>
                        <w:pPr>
                          <w:pStyle w:val="TableParagraph"/>
                          <w:spacing w:before="42"/>
                          <w:ind w:left="113"/>
                          <w:rPr>
                            <w:sz w:val="19"/>
                          </w:rPr>
                        </w:pPr>
                        <w:r>
                          <w:rPr>
                            <w:sz w:val="19"/>
                          </w:rPr>
                          <w:t>The accountable authority</w:t>
                        </w:r>
                      </w:p>
                    </w:tc>
                    <w:tc>
                      <w:tcPr>
                        <w:tcW w:w="1417" w:type="dxa"/>
                        <w:vMerge w:val="restart"/>
                        <w:tcBorders>
                          <w:top w:val="nil"/>
                          <w:left w:val="nil"/>
                          <w:bottom w:val="single" w:sz="4" w:space="0" w:color="000000"/>
                          <w:right w:val="nil"/>
                        </w:tcBorders>
                        <w:shd w:val="clear" w:color="auto" w:fill="E1E4BB"/>
                      </w:tcPr>
                      <w:p>
                        <w:pPr>
                          <w:pStyle w:val="TableParagraph"/>
                          <w:spacing w:before="42"/>
                          <w:ind w:left="839"/>
                          <w:rPr>
                            <w:sz w:val="19"/>
                          </w:rPr>
                        </w:pPr>
                        <w:r>
                          <w:rPr>
                            <w:sz w:val="19"/>
                          </w:rPr>
                          <w:t>7,135</w:t>
                        </w:r>
                      </w:p>
                      <w:p>
                        <w:pPr>
                          <w:pStyle w:val="TableParagraph"/>
                          <w:spacing w:before="109"/>
                          <w:ind w:left="839"/>
                          <w:rPr>
                            <w:sz w:val="19"/>
                          </w:rPr>
                        </w:pPr>
                        <w:r>
                          <w:rPr>
                            <w:sz w:val="19"/>
                          </w:rPr>
                          <w:t>4,500</w:t>
                        </w:r>
                      </w:p>
                      <w:p>
                        <w:pPr>
                          <w:pStyle w:val="TableParagraph"/>
                          <w:spacing w:before="109"/>
                          <w:ind w:left="839"/>
                          <w:rPr>
                            <w:sz w:val="19"/>
                          </w:rPr>
                        </w:pPr>
                        <w:r>
                          <w:rPr>
                            <w:sz w:val="19"/>
                          </w:rPr>
                          <w:t>7,904</w:t>
                        </w:r>
                      </w:p>
                    </w:tc>
                    <w:tc>
                      <w:tcPr>
                        <w:tcW w:w="1417" w:type="dxa"/>
                        <w:tcBorders>
                          <w:top w:val="nil"/>
                          <w:left w:val="nil"/>
                        </w:tcBorders>
                        <w:shd w:val="clear" w:color="auto" w:fill="F4F4F4"/>
                      </w:tcPr>
                      <w:p>
                        <w:pPr>
                          <w:pStyle w:val="TableParagraph"/>
                          <w:spacing w:before="42"/>
                          <w:ind w:right="90"/>
                          <w:jc w:val="right"/>
                          <w:rPr>
                            <w:sz w:val="19"/>
                          </w:rPr>
                        </w:pPr>
                        <w:r>
                          <w:rPr>
                            <w:w w:val="95"/>
                            <w:sz w:val="19"/>
                          </w:rPr>
                          <w:t>8,460</w:t>
                        </w:r>
                      </w:p>
                    </w:tc>
                  </w:tr>
                  <w:tr>
                    <w:trPr>
                      <w:trHeight w:val="307" w:hRule="atLeast"/>
                    </w:trPr>
                    <w:tc>
                      <w:tcPr>
                        <w:tcW w:w="4606" w:type="dxa"/>
                        <w:tcBorders>
                          <w:right w:val="nil"/>
                        </w:tcBorders>
                        <w:shd w:val="clear" w:color="auto" w:fill="FAF9F9"/>
                      </w:tcPr>
                      <w:p>
                        <w:pPr>
                          <w:pStyle w:val="TableParagraph"/>
                          <w:ind w:left="113"/>
                          <w:rPr>
                            <w:sz w:val="19"/>
                          </w:rPr>
                        </w:pPr>
                        <w:r>
                          <w:rPr>
                            <w:sz w:val="19"/>
                          </w:rPr>
                          <w:t>The Minister</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tcBorders>
                        <w:shd w:val="clear" w:color="auto" w:fill="FAF9F9"/>
                      </w:tcPr>
                      <w:p>
                        <w:pPr>
                          <w:pStyle w:val="TableParagraph"/>
                          <w:ind w:right="89"/>
                          <w:jc w:val="right"/>
                          <w:rPr>
                            <w:sz w:val="19"/>
                          </w:rPr>
                        </w:pPr>
                        <w:r>
                          <w:rPr>
                            <w:w w:val="95"/>
                            <w:sz w:val="19"/>
                          </w:rPr>
                          <w:t>4,687</w:t>
                        </w:r>
                      </w:p>
                    </w:tc>
                  </w:tr>
                  <w:tr>
                    <w:trPr>
                      <w:trHeight w:val="307" w:hRule="atLeast"/>
                    </w:trPr>
                    <w:tc>
                      <w:tcPr>
                        <w:tcW w:w="4606" w:type="dxa"/>
                        <w:tcBorders>
                          <w:right w:val="nil"/>
                        </w:tcBorders>
                        <w:shd w:val="clear" w:color="auto" w:fill="F4F4F4"/>
                      </w:tcPr>
                      <w:p>
                        <w:pPr>
                          <w:pStyle w:val="TableParagraph"/>
                          <w:ind w:left="113"/>
                          <w:rPr>
                            <w:sz w:val="19"/>
                          </w:rPr>
                        </w:pPr>
                        <w:r>
                          <w:rPr>
                            <w:sz w:val="19"/>
                          </w:rPr>
                          <w:t>Executive Council</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bottom w:val="single" w:sz="4" w:space="0" w:color="000000"/>
                        </w:tcBorders>
                        <w:shd w:val="clear" w:color="auto" w:fill="F4F4F4"/>
                      </w:tcPr>
                      <w:p>
                        <w:pPr>
                          <w:pStyle w:val="TableParagraph"/>
                          <w:ind w:right="89"/>
                          <w:jc w:val="right"/>
                          <w:rPr>
                            <w:sz w:val="19"/>
                          </w:rPr>
                        </w:pPr>
                        <w:r>
                          <w:rPr>
                            <w:w w:val="95"/>
                            <w:sz w:val="19"/>
                          </w:rPr>
                          <w:t>11,911</w:t>
                        </w:r>
                      </w:p>
                    </w:tc>
                  </w:tr>
                  <w:tr>
                    <w:trPr>
                      <w:trHeight w:val="277" w:hRule="atLeast"/>
                    </w:trPr>
                    <w:tc>
                      <w:tcPr>
                        <w:tcW w:w="4606" w:type="dxa"/>
                        <w:tcBorders>
                          <w:right w:val="nil"/>
                        </w:tcBorders>
                        <w:shd w:val="clear" w:color="auto" w:fill="FAF9F9"/>
                      </w:tcPr>
                      <w:p>
                        <w:pPr>
                          <w:pStyle w:val="TableParagraph"/>
                          <w:spacing w:before="0"/>
                          <w:rPr>
                            <w:rFonts w:ascii="Times New Roman"/>
                            <w:sz w:val="20"/>
                          </w:rPr>
                        </w:pPr>
                      </w:p>
                    </w:tc>
                    <w:tc>
                      <w:tcPr>
                        <w:tcW w:w="1417" w:type="dxa"/>
                        <w:tcBorders>
                          <w:top w:val="single" w:sz="4" w:space="0" w:color="000000"/>
                          <w:left w:val="nil"/>
                          <w:bottom w:val="single" w:sz="24" w:space="0" w:color="FFFFFF"/>
                          <w:right w:val="nil"/>
                        </w:tcBorders>
                        <w:shd w:val="clear" w:color="auto" w:fill="E1E4BB"/>
                      </w:tcPr>
                      <w:p>
                        <w:pPr>
                          <w:pStyle w:val="TableParagraph"/>
                          <w:ind w:left="733"/>
                          <w:rPr>
                            <w:b/>
                            <w:sz w:val="19"/>
                          </w:rPr>
                        </w:pPr>
                        <w:r>
                          <w:rPr>
                            <w:b/>
                            <w:sz w:val="19"/>
                          </w:rPr>
                          <w:t>19,539</w:t>
                        </w:r>
                      </w:p>
                    </w:tc>
                    <w:tc>
                      <w:tcPr>
                        <w:tcW w:w="1417" w:type="dxa"/>
                        <w:tcBorders>
                          <w:top w:val="single" w:sz="4" w:space="0" w:color="000000"/>
                          <w:left w:val="nil"/>
                          <w:bottom w:val="single" w:sz="24" w:space="0" w:color="FFFFFF"/>
                        </w:tcBorders>
                        <w:shd w:val="clear" w:color="auto" w:fill="FAF9F9"/>
                      </w:tcPr>
                      <w:p>
                        <w:pPr>
                          <w:pStyle w:val="TableParagraph"/>
                          <w:ind w:right="89"/>
                          <w:jc w:val="right"/>
                          <w:rPr>
                            <w:b/>
                            <w:sz w:val="19"/>
                          </w:rPr>
                        </w:pPr>
                        <w:r>
                          <w:rPr>
                            <w:b/>
                            <w:w w:val="95"/>
                            <w:sz w:val="19"/>
                          </w:rPr>
                          <w:t>25,058</w:t>
                        </w:r>
                      </w:p>
                    </w:tc>
                  </w:tr>
                </w:tbl>
                <w:p>
                  <w:pPr>
                    <w:pStyle w:val="BodyText"/>
                  </w:pPr>
                </w:p>
              </w:txbxContent>
            </v:textbox>
            <w10:wrap type="none"/>
          </v:shape>
        </w:pict>
      </w:r>
      <w:r>
        <w:rPr/>
        <w:t>During</w:t>
      </w:r>
      <w:r>
        <w:rPr>
          <w:spacing w:val="-22"/>
        </w:rPr>
        <w:t> </w:t>
      </w:r>
      <w:r>
        <w:rPr/>
        <w:t>the</w:t>
      </w:r>
      <w:r>
        <w:rPr>
          <w:spacing w:val="-21"/>
        </w:rPr>
        <w:t> </w:t>
      </w:r>
      <w:r>
        <w:rPr/>
        <w:t>financial</w:t>
      </w:r>
      <w:r>
        <w:rPr>
          <w:spacing w:val="-22"/>
        </w:rPr>
        <w:t> </w:t>
      </w:r>
      <w:r>
        <w:rPr/>
        <w:t>year</w:t>
      </w:r>
      <w:r>
        <w:rPr>
          <w:spacing w:val="-21"/>
        </w:rPr>
        <w:t> </w:t>
      </w:r>
      <w:r>
        <w:rPr/>
        <w:t>$19.5</w:t>
      </w:r>
      <w:r>
        <w:rPr>
          <w:spacing w:val="-22"/>
        </w:rPr>
        <w:t> </w:t>
      </w:r>
      <w:r>
        <w:rPr/>
        <w:t>million</w:t>
      </w:r>
      <w:r>
        <w:rPr>
          <w:spacing w:val="-21"/>
        </w:rPr>
        <w:t> </w:t>
      </w:r>
      <w:r>
        <w:rPr/>
        <w:t>was</w:t>
      </w:r>
      <w:r>
        <w:rPr>
          <w:spacing w:val="-22"/>
        </w:rPr>
        <w:t> </w:t>
      </w:r>
      <w:r>
        <w:rPr/>
        <w:t>written</w:t>
      </w:r>
      <w:r>
        <w:rPr>
          <w:spacing w:val="-21"/>
        </w:rPr>
        <w:t> </w:t>
      </w:r>
      <w:r>
        <w:rPr/>
        <w:t>off</w:t>
      </w:r>
      <w:r>
        <w:rPr>
          <w:spacing w:val="-22"/>
        </w:rPr>
        <w:t> </w:t>
      </w:r>
      <w:r>
        <w:rPr/>
        <w:t>by</w:t>
      </w:r>
      <w:r>
        <w:rPr>
          <w:spacing w:val="-21"/>
        </w:rPr>
        <w:t> </w:t>
      </w:r>
      <w:r>
        <w:rPr/>
        <w:t>the</w:t>
      </w:r>
      <w:r>
        <w:rPr>
          <w:spacing w:val="-22"/>
        </w:rPr>
        <w:t> </w:t>
      </w:r>
      <w:r>
        <w:rPr/>
        <w:t>Department under the authority</w:t>
      </w:r>
      <w:r>
        <w:rPr>
          <w:spacing w:val="-3"/>
        </w:rPr>
        <w:t> </w:t>
      </w:r>
      <w:r>
        <w:rPr/>
        <w:t>of:</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33"/>
        </w:rPr>
      </w:pPr>
    </w:p>
    <w:p>
      <w:pPr>
        <w:pStyle w:val="Heading6"/>
        <w:numPr>
          <w:ilvl w:val="1"/>
          <w:numId w:val="29"/>
        </w:numPr>
        <w:tabs>
          <w:tab w:pos="1092" w:val="left" w:leader="none"/>
        </w:tabs>
        <w:spacing w:line="240" w:lineRule="auto" w:before="0" w:after="0"/>
        <w:ind w:left="1091" w:right="0" w:hanging="326"/>
        <w:jc w:val="left"/>
      </w:pPr>
      <w:r>
        <w:rPr/>
        <w:pict>
          <v:shape style="position:absolute;margin-left:34.7244pt;margin-top:15.466458pt;width:373.55pt;height:76.8pt;mso-position-horizontal-relative:page;mso-position-vertical-relative:paragraph;z-index:27976"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606"/>
                    <w:gridCol w:w="1417"/>
                    <w:gridCol w:w="1417"/>
                  </w:tblGrid>
                  <w:tr>
                    <w:trPr>
                      <w:trHeight w:val="533" w:hRule="atLeast"/>
                    </w:trPr>
                    <w:tc>
                      <w:tcPr>
                        <w:tcW w:w="7440" w:type="dxa"/>
                        <w:gridSpan w:val="3"/>
                        <w:tcBorders>
                          <w:top w:val="nil"/>
                          <w:bottom w:val="nil"/>
                          <w:right w:val="nil"/>
                        </w:tcBorders>
                        <w:shd w:val="clear" w:color="auto" w:fill="783A79"/>
                      </w:tcPr>
                      <w:p>
                        <w:pPr>
                          <w:pStyle w:val="TableParagraph"/>
                          <w:tabs>
                            <w:tab w:pos="1417" w:val="left" w:leader="none"/>
                          </w:tabs>
                          <w:spacing w:before="42"/>
                          <w:ind w:right="100"/>
                          <w:jc w:val="right"/>
                          <w:rPr>
                            <w:b/>
                            <w:sz w:val="19"/>
                          </w:rPr>
                        </w:pPr>
                        <w:r>
                          <w:rPr>
                            <w:b/>
                            <w:color w:val="FFFFFF"/>
                            <w:sz w:val="19"/>
                          </w:rPr>
                          <w:t>2017</w:t>
                          <w:tab/>
                        </w:r>
                        <w:r>
                          <w:rPr>
                            <w:b/>
                            <w:color w:val="FFFFFF"/>
                            <w:w w:val="95"/>
                            <w:sz w:val="19"/>
                          </w:rPr>
                          <w:t>2016</w:t>
                        </w:r>
                      </w:p>
                      <w:p>
                        <w:pPr>
                          <w:pStyle w:val="TableParagraph"/>
                          <w:tabs>
                            <w:tab w:pos="1417" w:val="left" w:leader="none"/>
                          </w:tabs>
                          <w:spacing w:before="10"/>
                          <w:ind w:right="100"/>
                          <w:jc w:val="right"/>
                          <w:rPr>
                            <w:b/>
                            <w:sz w:val="19"/>
                          </w:rPr>
                        </w:pPr>
                        <w:r>
                          <w:rPr>
                            <w:b/>
                            <w:color w:val="FFFFFF"/>
                            <w:sz w:val="19"/>
                          </w:rPr>
                          <w:t>$000</w:t>
                          <w:tab/>
                        </w:r>
                        <w:r>
                          <w:rPr>
                            <w:b/>
                            <w:color w:val="FFFFFF"/>
                            <w:w w:val="95"/>
                            <w:sz w:val="19"/>
                          </w:rPr>
                          <w:t>$000</w:t>
                        </w:r>
                      </w:p>
                    </w:tc>
                  </w:tr>
                  <w:tr>
                    <w:trPr>
                      <w:trHeight w:val="317" w:hRule="atLeast"/>
                    </w:trPr>
                    <w:tc>
                      <w:tcPr>
                        <w:tcW w:w="4606" w:type="dxa"/>
                        <w:tcBorders>
                          <w:top w:val="nil"/>
                          <w:right w:val="nil"/>
                        </w:tcBorders>
                        <w:shd w:val="clear" w:color="auto" w:fill="F4F4F4"/>
                      </w:tcPr>
                      <w:p>
                        <w:pPr>
                          <w:pStyle w:val="TableParagraph"/>
                          <w:spacing w:before="42"/>
                          <w:ind w:left="113"/>
                          <w:rPr>
                            <w:sz w:val="19"/>
                          </w:rPr>
                        </w:pPr>
                        <w:r>
                          <w:rPr>
                            <w:sz w:val="19"/>
                          </w:rPr>
                          <w:t>Public assets</w:t>
                        </w:r>
                      </w:p>
                    </w:tc>
                    <w:tc>
                      <w:tcPr>
                        <w:tcW w:w="1417" w:type="dxa"/>
                        <w:vMerge w:val="restart"/>
                        <w:tcBorders>
                          <w:top w:val="nil"/>
                          <w:left w:val="nil"/>
                          <w:bottom w:val="single" w:sz="4" w:space="0" w:color="000000"/>
                          <w:right w:val="nil"/>
                        </w:tcBorders>
                        <w:shd w:val="clear" w:color="auto" w:fill="E1E4BB"/>
                      </w:tcPr>
                      <w:p>
                        <w:pPr>
                          <w:pStyle w:val="TableParagraph"/>
                          <w:spacing w:before="42"/>
                          <w:ind w:left="745" w:right="9"/>
                          <w:jc w:val="center"/>
                          <w:rPr>
                            <w:sz w:val="19"/>
                          </w:rPr>
                        </w:pPr>
                        <w:r>
                          <w:rPr>
                            <w:sz w:val="19"/>
                          </w:rPr>
                          <w:t>1,504</w:t>
                        </w:r>
                      </w:p>
                      <w:p>
                        <w:pPr>
                          <w:pStyle w:val="TableParagraph"/>
                          <w:spacing w:before="109"/>
                          <w:ind w:left="711" w:right="80"/>
                          <w:jc w:val="center"/>
                          <w:rPr>
                            <w:sz w:val="19"/>
                          </w:rPr>
                        </w:pPr>
                        <w:r>
                          <w:rPr>
                            <w:sz w:val="19"/>
                          </w:rPr>
                          <w:t>18,035</w:t>
                        </w:r>
                      </w:p>
                    </w:tc>
                    <w:tc>
                      <w:tcPr>
                        <w:tcW w:w="1417" w:type="dxa"/>
                        <w:tcBorders>
                          <w:top w:val="nil"/>
                          <w:left w:val="nil"/>
                        </w:tcBorders>
                        <w:shd w:val="clear" w:color="auto" w:fill="F4F4F4"/>
                      </w:tcPr>
                      <w:p>
                        <w:pPr>
                          <w:pStyle w:val="TableParagraph"/>
                          <w:spacing w:before="42"/>
                          <w:ind w:right="90"/>
                          <w:jc w:val="right"/>
                          <w:rPr>
                            <w:sz w:val="19"/>
                          </w:rPr>
                        </w:pPr>
                        <w:r>
                          <w:rPr>
                            <w:w w:val="95"/>
                            <w:sz w:val="19"/>
                          </w:rPr>
                          <w:t>1,465</w:t>
                        </w:r>
                      </w:p>
                    </w:tc>
                  </w:tr>
                  <w:tr>
                    <w:trPr>
                      <w:trHeight w:val="307" w:hRule="atLeast"/>
                    </w:trPr>
                    <w:tc>
                      <w:tcPr>
                        <w:tcW w:w="4606" w:type="dxa"/>
                        <w:tcBorders>
                          <w:right w:val="nil"/>
                        </w:tcBorders>
                        <w:shd w:val="clear" w:color="auto" w:fill="FAF9F9"/>
                      </w:tcPr>
                      <w:p>
                        <w:pPr>
                          <w:pStyle w:val="TableParagraph"/>
                          <w:ind w:left="113"/>
                          <w:rPr>
                            <w:sz w:val="19"/>
                          </w:rPr>
                        </w:pPr>
                        <w:r>
                          <w:rPr>
                            <w:sz w:val="19"/>
                          </w:rPr>
                          <w:t>Debts due to the State</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bottom w:val="single" w:sz="4" w:space="0" w:color="000000"/>
                        </w:tcBorders>
                        <w:shd w:val="clear" w:color="auto" w:fill="FAF9F9"/>
                      </w:tcPr>
                      <w:p>
                        <w:pPr>
                          <w:pStyle w:val="TableParagraph"/>
                          <w:ind w:right="89"/>
                          <w:jc w:val="right"/>
                          <w:rPr>
                            <w:sz w:val="19"/>
                          </w:rPr>
                        </w:pPr>
                        <w:r>
                          <w:rPr>
                            <w:w w:val="95"/>
                            <w:sz w:val="19"/>
                          </w:rPr>
                          <w:t>23,593</w:t>
                        </w:r>
                      </w:p>
                    </w:tc>
                  </w:tr>
                  <w:tr>
                    <w:trPr>
                      <w:trHeight w:val="277" w:hRule="atLeast"/>
                    </w:trPr>
                    <w:tc>
                      <w:tcPr>
                        <w:tcW w:w="4606" w:type="dxa"/>
                        <w:tcBorders>
                          <w:right w:val="nil"/>
                        </w:tcBorders>
                        <w:shd w:val="clear" w:color="auto" w:fill="F4F4F4"/>
                      </w:tcPr>
                      <w:p>
                        <w:pPr>
                          <w:pStyle w:val="TableParagraph"/>
                          <w:spacing w:before="0"/>
                          <w:rPr>
                            <w:rFonts w:ascii="Times New Roman"/>
                            <w:sz w:val="20"/>
                          </w:rPr>
                        </w:pPr>
                      </w:p>
                    </w:tc>
                    <w:tc>
                      <w:tcPr>
                        <w:tcW w:w="1417" w:type="dxa"/>
                        <w:tcBorders>
                          <w:top w:val="single" w:sz="4" w:space="0" w:color="000000"/>
                          <w:left w:val="nil"/>
                          <w:bottom w:val="single" w:sz="24" w:space="0" w:color="FFFFFF"/>
                          <w:right w:val="nil"/>
                        </w:tcBorders>
                        <w:shd w:val="clear" w:color="auto" w:fill="DFE1B8"/>
                      </w:tcPr>
                      <w:p>
                        <w:pPr>
                          <w:pStyle w:val="TableParagraph"/>
                          <w:ind w:left="733"/>
                          <w:rPr>
                            <w:b/>
                            <w:sz w:val="19"/>
                          </w:rPr>
                        </w:pPr>
                        <w:r>
                          <w:rPr>
                            <w:b/>
                            <w:sz w:val="19"/>
                          </w:rPr>
                          <w:t>19,539</w:t>
                        </w:r>
                      </w:p>
                    </w:tc>
                    <w:tc>
                      <w:tcPr>
                        <w:tcW w:w="1417" w:type="dxa"/>
                        <w:tcBorders>
                          <w:top w:val="single" w:sz="4" w:space="0" w:color="000000"/>
                          <w:left w:val="nil"/>
                          <w:bottom w:val="single" w:sz="24" w:space="0" w:color="FFFFFF"/>
                        </w:tcBorders>
                        <w:shd w:val="clear" w:color="auto" w:fill="F4F4F4"/>
                      </w:tcPr>
                      <w:p>
                        <w:pPr>
                          <w:pStyle w:val="TableParagraph"/>
                          <w:ind w:right="89"/>
                          <w:jc w:val="right"/>
                          <w:rPr>
                            <w:b/>
                            <w:sz w:val="19"/>
                          </w:rPr>
                        </w:pPr>
                        <w:r>
                          <w:rPr>
                            <w:b/>
                            <w:w w:val="95"/>
                            <w:sz w:val="19"/>
                          </w:rPr>
                          <w:t>25,058</w:t>
                        </w:r>
                      </w:p>
                    </w:tc>
                  </w:tr>
                </w:tbl>
                <w:p>
                  <w:pPr>
                    <w:pStyle w:val="BodyText"/>
                  </w:pPr>
                </w:p>
              </w:txbxContent>
            </v:textbox>
            <w10:wrap type="none"/>
          </v:shape>
        </w:pict>
      </w:r>
      <w:r>
        <w:rPr/>
        <w:t>Write-offs by</w:t>
      </w:r>
      <w:r>
        <w:rPr>
          <w:spacing w:val="7"/>
        </w:rPr>
        <w:t> </w:t>
      </w:r>
      <w:r>
        <w:rPr/>
        <w:t>category</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4"/>
        <w:rPr>
          <w:b/>
          <w:sz w:val="37"/>
        </w:rPr>
      </w:pPr>
    </w:p>
    <w:p>
      <w:pPr>
        <w:pStyle w:val="ListParagraph"/>
        <w:numPr>
          <w:ilvl w:val="1"/>
          <w:numId w:val="29"/>
        </w:numPr>
        <w:tabs>
          <w:tab w:pos="1084" w:val="left" w:leader="none"/>
        </w:tabs>
        <w:spacing w:line="240" w:lineRule="auto" w:before="0" w:after="0"/>
        <w:ind w:left="1083" w:right="0" w:hanging="318"/>
        <w:jc w:val="left"/>
        <w:rPr>
          <w:b/>
          <w:sz w:val="22"/>
        </w:rPr>
      </w:pPr>
      <w:r>
        <w:rPr>
          <w:b/>
          <w:sz w:val="22"/>
        </w:rPr>
        <w:t>Act of grace</w:t>
      </w:r>
      <w:r>
        <w:rPr>
          <w:b/>
          <w:spacing w:val="11"/>
          <w:sz w:val="22"/>
        </w:rPr>
        <w:t> </w:t>
      </w:r>
      <w:r>
        <w:rPr>
          <w:b/>
          <w:sz w:val="22"/>
        </w:rPr>
        <w:t>payments</w:t>
      </w:r>
    </w:p>
    <w:p>
      <w:pPr>
        <w:spacing w:line="235" w:lineRule="auto" w:before="115"/>
        <w:ind w:left="765" w:right="2787" w:firstLine="0"/>
        <w:jc w:val="left"/>
        <w:rPr>
          <w:sz w:val="32"/>
        </w:rPr>
      </w:pPr>
      <w:r>
        <w:rPr/>
        <w:br w:type="column"/>
      </w:r>
      <w:r>
        <w:rPr>
          <w:color w:val="6F2770"/>
          <w:sz w:val="32"/>
        </w:rPr>
        <w:t>Note</w:t>
      </w:r>
      <w:r>
        <w:rPr>
          <w:color w:val="6F2770"/>
          <w:spacing w:val="-49"/>
          <w:sz w:val="32"/>
        </w:rPr>
        <w:t> </w:t>
      </w:r>
      <w:r>
        <w:rPr>
          <w:color w:val="6F2770"/>
          <w:sz w:val="32"/>
        </w:rPr>
        <w:t>48.</w:t>
      </w:r>
      <w:r>
        <w:rPr>
          <w:color w:val="6F2770"/>
          <w:spacing w:val="-49"/>
          <w:sz w:val="32"/>
        </w:rPr>
        <w:t> </w:t>
      </w:r>
      <w:r>
        <w:rPr>
          <w:color w:val="6F2770"/>
          <w:sz w:val="32"/>
        </w:rPr>
        <w:t>Service</w:t>
      </w:r>
      <w:r>
        <w:rPr>
          <w:color w:val="6F2770"/>
          <w:spacing w:val="-48"/>
          <w:sz w:val="32"/>
        </w:rPr>
        <w:t> </w:t>
      </w:r>
      <w:r>
        <w:rPr>
          <w:color w:val="6F2770"/>
          <w:sz w:val="32"/>
        </w:rPr>
        <w:t>delivery</w:t>
      </w:r>
      <w:r>
        <w:rPr>
          <w:color w:val="6F2770"/>
          <w:spacing w:val="-49"/>
          <w:sz w:val="32"/>
        </w:rPr>
        <w:t> </w:t>
      </w:r>
      <w:r>
        <w:rPr>
          <w:color w:val="6F2770"/>
          <w:spacing w:val="-2"/>
          <w:sz w:val="32"/>
        </w:rPr>
        <w:t>arrangements </w:t>
      </w:r>
      <w:r>
        <w:rPr>
          <w:color w:val="6F2770"/>
          <w:sz w:val="32"/>
        </w:rPr>
        <w:t>Indian Ocean</w:t>
      </w:r>
      <w:r>
        <w:rPr>
          <w:color w:val="6F2770"/>
          <w:spacing w:val="-12"/>
          <w:sz w:val="32"/>
        </w:rPr>
        <w:t> </w:t>
      </w:r>
      <w:r>
        <w:rPr>
          <w:color w:val="6F2770"/>
          <w:spacing w:val="-4"/>
          <w:sz w:val="32"/>
        </w:rPr>
        <w:t>Territories</w:t>
      </w:r>
    </w:p>
    <w:p>
      <w:pPr>
        <w:spacing w:after="0" w:line="235" w:lineRule="auto"/>
        <w:jc w:val="left"/>
        <w:rPr>
          <w:sz w:val="32"/>
        </w:rPr>
        <w:sectPr>
          <w:type w:val="continuous"/>
          <w:pgSz w:w="16840" w:h="11910" w:orient="landscape"/>
          <w:pgMar w:top="0" w:bottom="0" w:left="0" w:right="0"/>
          <w:cols w:num="2" w:equalWidth="0">
            <w:col w:w="7587" w:space="279"/>
            <w:col w:w="8974"/>
          </w:cols>
        </w:sectPr>
      </w:pPr>
    </w:p>
    <w:p>
      <w:pPr>
        <w:pStyle w:val="BodyText"/>
        <w:spacing w:before="6"/>
        <w:rPr>
          <w:sz w:val="4"/>
        </w:rPr>
      </w:pPr>
    </w:p>
    <w:tbl>
      <w:tblPr>
        <w:tblW w:w="0" w:type="auto"/>
        <w:jc w:val="left"/>
        <w:tblInd w:w="7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606"/>
        <w:gridCol w:w="1417"/>
        <w:gridCol w:w="1417"/>
      </w:tblGrid>
      <w:tr>
        <w:trPr>
          <w:trHeight w:val="538" w:hRule="atLeast"/>
        </w:trPr>
        <w:tc>
          <w:tcPr>
            <w:tcW w:w="7440" w:type="dxa"/>
            <w:gridSpan w:val="3"/>
            <w:tcBorders>
              <w:top w:val="nil"/>
              <w:bottom w:val="nil"/>
            </w:tcBorders>
            <w:shd w:val="clear" w:color="auto" w:fill="783A79"/>
          </w:tcPr>
          <w:p>
            <w:pPr>
              <w:pStyle w:val="TableParagraph"/>
              <w:tabs>
                <w:tab w:pos="1417" w:val="left" w:leader="none"/>
              </w:tabs>
              <w:spacing w:before="42"/>
              <w:ind w:right="90"/>
              <w:jc w:val="right"/>
              <w:rPr>
                <w:b/>
                <w:sz w:val="19"/>
              </w:rPr>
            </w:pPr>
            <w:r>
              <w:rPr>
                <w:b/>
                <w:color w:val="FFFFFF"/>
                <w:sz w:val="19"/>
              </w:rPr>
              <w:t>2017</w:t>
              <w:tab/>
            </w:r>
            <w:r>
              <w:rPr>
                <w:b/>
                <w:color w:val="FFFFFF"/>
                <w:w w:val="95"/>
                <w:sz w:val="19"/>
              </w:rPr>
              <w:t>2016</w:t>
            </w:r>
          </w:p>
          <w:p>
            <w:pPr>
              <w:pStyle w:val="TableParagraph"/>
              <w:tabs>
                <w:tab w:pos="1417" w:val="left" w:leader="none"/>
              </w:tabs>
              <w:spacing w:before="10"/>
              <w:ind w:right="90"/>
              <w:jc w:val="right"/>
              <w:rPr>
                <w:b/>
                <w:sz w:val="19"/>
              </w:rPr>
            </w:pPr>
            <w:r>
              <w:rPr>
                <w:b/>
                <w:color w:val="FFFFFF"/>
                <w:sz w:val="19"/>
              </w:rPr>
              <w:t>$000</w:t>
              <w:tab/>
            </w:r>
            <w:r>
              <w:rPr>
                <w:b/>
                <w:color w:val="FFFFFF"/>
                <w:w w:val="95"/>
                <w:sz w:val="19"/>
              </w:rPr>
              <w:t>$000</w:t>
            </w:r>
          </w:p>
        </w:tc>
      </w:tr>
      <w:tr>
        <w:trPr>
          <w:trHeight w:val="312" w:hRule="atLeast"/>
        </w:trPr>
        <w:tc>
          <w:tcPr>
            <w:tcW w:w="4606" w:type="dxa"/>
            <w:tcBorders>
              <w:top w:val="nil"/>
              <w:right w:val="nil"/>
            </w:tcBorders>
            <w:shd w:val="clear" w:color="auto" w:fill="F4F4F4"/>
          </w:tcPr>
          <w:p>
            <w:pPr>
              <w:pStyle w:val="TableParagraph"/>
              <w:spacing w:before="37"/>
              <w:ind w:left="113"/>
              <w:rPr>
                <w:sz w:val="19"/>
              </w:rPr>
            </w:pPr>
            <w:r>
              <w:rPr>
                <w:sz w:val="19"/>
              </w:rPr>
              <w:t>Act of grace payments</w:t>
            </w:r>
          </w:p>
        </w:tc>
        <w:tc>
          <w:tcPr>
            <w:tcW w:w="1417" w:type="dxa"/>
            <w:tcBorders>
              <w:top w:val="nil"/>
              <w:left w:val="nil"/>
              <w:bottom w:val="single" w:sz="4" w:space="0" w:color="000000"/>
              <w:right w:val="nil"/>
            </w:tcBorders>
            <w:shd w:val="clear" w:color="auto" w:fill="DFE1B8"/>
          </w:tcPr>
          <w:p>
            <w:pPr>
              <w:pStyle w:val="TableParagraph"/>
              <w:spacing w:before="37"/>
              <w:ind w:right="100"/>
              <w:jc w:val="right"/>
              <w:rPr>
                <w:sz w:val="19"/>
              </w:rPr>
            </w:pPr>
            <w:r>
              <w:rPr>
                <w:w w:val="111"/>
                <w:sz w:val="19"/>
              </w:rPr>
              <w:t>-</w:t>
            </w:r>
          </w:p>
        </w:tc>
        <w:tc>
          <w:tcPr>
            <w:tcW w:w="1417" w:type="dxa"/>
            <w:tcBorders>
              <w:top w:val="nil"/>
              <w:left w:val="nil"/>
              <w:bottom w:val="single" w:sz="4" w:space="0" w:color="000000"/>
            </w:tcBorders>
            <w:shd w:val="clear" w:color="auto" w:fill="F4F4F4"/>
          </w:tcPr>
          <w:p>
            <w:pPr>
              <w:pStyle w:val="TableParagraph"/>
              <w:spacing w:before="37"/>
              <w:ind w:right="90"/>
              <w:jc w:val="right"/>
              <w:rPr>
                <w:sz w:val="19"/>
              </w:rPr>
            </w:pPr>
            <w:r>
              <w:rPr>
                <w:w w:val="95"/>
                <w:sz w:val="19"/>
              </w:rPr>
              <w:t>10</w:t>
            </w:r>
          </w:p>
        </w:tc>
      </w:tr>
      <w:tr>
        <w:trPr>
          <w:trHeight w:val="277" w:hRule="atLeast"/>
        </w:trPr>
        <w:tc>
          <w:tcPr>
            <w:tcW w:w="4606" w:type="dxa"/>
            <w:tcBorders>
              <w:right w:val="nil"/>
            </w:tcBorders>
            <w:shd w:val="clear" w:color="auto" w:fill="FAF9F9"/>
          </w:tcPr>
          <w:p>
            <w:pPr>
              <w:pStyle w:val="TableParagraph"/>
              <w:spacing w:before="0"/>
              <w:rPr>
                <w:rFonts w:ascii="Times New Roman"/>
                <w:sz w:val="20"/>
              </w:rPr>
            </w:pPr>
          </w:p>
        </w:tc>
        <w:tc>
          <w:tcPr>
            <w:tcW w:w="1417" w:type="dxa"/>
            <w:tcBorders>
              <w:top w:val="single" w:sz="4" w:space="0" w:color="000000"/>
              <w:left w:val="nil"/>
              <w:bottom w:val="single" w:sz="24" w:space="0" w:color="FFFFFF"/>
              <w:right w:val="nil"/>
            </w:tcBorders>
            <w:shd w:val="clear" w:color="auto" w:fill="E1E4BB"/>
          </w:tcPr>
          <w:p>
            <w:pPr>
              <w:pStyle w:val="TableParagraph"/>
              <w:ind w:right="100"/>
              <w:jc w:val="right"/>
              <w:rPr>
                <w:b/>
                <w:sz w:val="19"/>
              </w:rPr>
            </w:pPr>
            <w:r>
              <w:rPr>
                <w:b/>
                <w:w w:val="122"/>
                <w:sz w:val="19"/>
              </w:rPr>
              <w:t>-</w:t>
            </w:r>
          </w:p>
        </w:tc>
        <w:tc>
          <w:tcPr>
            <w:tcW w:w="1417" w:type="dxa"/>
            <w:tcBorders>
              <w:top w:val="single" w:sz="4" w:space="0" w:color="000000"/>
              <w:left w:val="nil"/>
              <w:bottom w:val="single" w:sz="24" w:space="0" w:color="FFFFFF"/>
            </w:tcBorders>
            <w:shd w:val="clear" w:color="auto" w:fill="FAF9F9"/>
          </w:tcPr>
          <w:p>
            <w:pPr>
              <w:pStyle w:val="TableParagraph"/>
              <w:ind w:right="90"/>
              <w:jc w:val="right"/>
              <w:rPr>
                <w:b/>
                <w:sz w:val="19"/>
              </w:rPr>
            </w:pPr>
            <w:r>
              <w:rPr>
                <w:b/>
                <w:w w:val="95"/>
                <w:sz w:val="19"/>
              </w:rPr>
              <w:t>10</w:t>
            </w:r>
          </w:p>
        </w:tc>
      </w:tr>
    </w:tbl>
    <w:p>
      <w:pPr>
        <w:spacing w:after="0"/>
        <w:jc w:val="right"/>
        <w:rPr>
          <w:sz w:val="19"/>
        </w:rPr>
        <w:sectPr>
          <w:type w:val="continuous"/>
          <w:pgSz w:w="16840" w:h="11910" w:orient="landscape"/>
          <w:pgMar w:top="0" w:bottom="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5"/>
        <w:rPr>
          <w:sz w:val="21"/>
        </w:rPr>
      </w:pPr>
    </w:p>
    <w:p>
      <w:pPr>
        <w:spacing w:before="92"/>
        <w:ind w:left="765" w:right="0" w:firstLine="0"/>
        <w:jc w:val="left"/>
        <w:rPr>
          <w:sz w:val="72"/>
        </w:rPr>
      </w:pPr>
      <w:r>
        <w:rPr/>
        <w:pict>
          <v:group style="position:absolute;margin-left:763.172119pt;margin-top:-3.594212pt;width:61.1pt;height:45.2pt;mso-position-horizontal-relative:page;mso-position-vertical-relative:paragraph;z-index:28120"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422;top:378;width:2;height:4" coordorigin="15423,378" coordsize="2,4" path="m15424,378l15423,380,15424,381,15424,378xe" filled="true" fillcolor="#b9c369" stroked="false">
              <v:path arrowok="t"/>
              <v:fill type="solid"/>
            </v:shape>
            <v:shape style="position:absolute;left:16324;top:378;width:2;height:4" coordorigin="16324,378" coordsize="2,4" path="m16324,378l16324,381,16326,380,16324,378xe" filled="true" fillcolor="#bec29e"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120.3pt;height:42.55pt;mso-position-horizontal-relative:page;mso-position-vertical-relative:paragraph;z-index:28168" coordorigin="0,-1147" coordsize="2406,851">
            <v:rect style="position:absolute;left:0;top:-1148;width:2406;height:851" filled="true" fillcolor="#aebd37" stroked="false">
              <v:fill type="solid"/>
            </v:rect>
            <v:shape style="position:absolute;left:0;top:-1148;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7421pt;width:360.85pt;height:42.55pt;mso-position-horizontal-relative:page;mso-position-vertical-relative:paragraph;z-index:28264" coordorigin="9622,-1147" coordsize="7217,851">
            <v:rect style="position:absolute;left:14432;top:-1148;width:2406;height:851" filled="true" fillcolor="#aebd37"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8;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8;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sz w:val="72"/>
        </w:rPr>
        <w:t>Notes </w:t>
      </w:r>
      <w:r>
        <w:rPr>
          <w:color w:val="6F2770"/>
          <w:spacing w:val="-17"/>
          <w:sz w:val="72"/>
        </w:rPr>
        <w:t>to </w:t>
      </w:r>
      <w:r>
        <w:rPr>
          <w:color w:val="6F2770"/>
          <w:spacing w:val="-10"/>
          <w:sz w:val="72"/>
        </w:rPr>
        <w:t>the </w:t>
      </w:r>
      <w:r>
        <w:rPr>
          <w:color w:val="6F2770"/>
          <w:spacing w:val="-14"/>
          <w:sz w:val="72"/>
        </w:rPr>
        <w:t>Financial</w:t>
      </w:r>
      <w:r>
        <w:rPr>
          <w:color w:val="6F2770"/>
          <w:spacing w:val="-89"/>
          <w:sz w:val="72"/>
        </w:rPr>
        <w:t> </w:t>
      </w:r>
      <w:r>
        <w:rPr>
          <w:color w:val="6F2770"/>
          <w:spacing w:val="-17"/>
          <w:sz w:val="72"/>
        </w:rPr>
        <w:t>Statements</w:t>
      </w:r>
    </w:p>
    <w:p>
      <w:pPr>
        <w:spacing w:before="30"/>
        <w:ind w:left="765" w:right="0" w:firstLine="0"/>
        <w:jc w:val="left"/>
        <w:rPr>
          <w:sz w:val="36"/>
        </w:rPr>
      </w:pPr>
      <w:r>
        <w:rPr>
          <w:color w:val="A7BE39"/>
          <w:sz w:val="36"/>
        </w:rPr>
        <w:t>For the year ended 30 June 2017</w:t>
      </w:r>
    </w:p>
    <w:p>
      <w:pPr>
        <w:pStyle w:val="BodyText"/>
        <w:spacing w:before="10"/>
        <w:rPr>
          <w:sz w:val="12"/>
        </w:rPr>
      </w:pPr>
    </w:p>
    <w:p>
      <w:pPr>
        <w:spacing w:after="0"/>
        <w:rPr>
          <w:sz w:val="12"/>
        </w:rPr>
        <w:sectPr>
          <w:footerReference w:type="default" r:id="rId244"/>
          <w:pgSz w:w="16840" w:h="11910" w:orient="landscape"/>
          <w:pgMar w:footer="1702" w:header="0" w:top="0" w:bottom="1900" w:left="0" w:right="0"/>
        </w:sectPr>
      </w:pPr>
    </w:p>
    <w:p>
      <w:pPr>
        <w:spacing w:before="109"/>
        <w:ind w:left="765" w:right="0" w:firstLine="0"/>
        <w:jc w:val="left"/>
        <w:rPr>
          <w:sz w:val="32"/>
        </w:rPr>
      </w:pPr>
      <w:r>
        <w:rPr>
          <w:color w:val="6F2770"/>
          <w:sz w:val="32"/>
        </w:rPr>
        <w:t>Note 49. Special Purpose Accounts - administered</w:t>
      </w:r>
    </w:p>
    <w:p>
      <w:pPr>
        <w:spacing w:before="254"/>
        <w:ind w:left="765" w:right="0" w:firstLine="0"/>
        <w:jc w:val="left"/>
        <w:rPr>
          <w:i/>
          <w:sz w:val="22"/>
        </w:rPr>
      </w:pPr>
      <w:r>
        <w:rPr/>
        <w:pict>
          <v:shape style="position:absolute;margin-left:431.575012pt;margin-top:14.194066pt;width:372.05pt;height:224.25pt;mso-position-horizontal-relative:page;mso-position-vertical-relative:paragraph;z-index:282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6"/>
                    <w:gridCol w:w="1417"/>
                    <w:gridCol w:w="1417"/>
                  </w:tblGrid>
                  <w:tr>
                    <w:trPr>
                      <w:trHeight w:val="543" w:hRule="atLeast"/>
                    </w:trPr>
                    <w:tc>
                      <w:tcPr>
                        <w:tcW w:w="6023" w:type="dxa"/>
                        <w:gridSpan w:val="2"/>
                        <w:shd w:val="clear" w:color="auto" w:fill="783A79"/>
                      </w:tcPr>
                      <w:p>
                        <w:pPr>
                          <w:pStyle w:val="TableParagraph"/>
                          <w:spacing w:before="47"/>
                          <w:ind w:right="110"/>
                          <w:jc w:val="right"/>
                          <w:rPr>
                            <w:b/>
                            <w:sz w:val="19"/>
                          </w:rPr>
                        </w:pPr>
                        <w:r>
                          <w:rPr>
                            <w:b/>
                            <w:color w:val="FFFFFF"/>
                            <w:w w:val="95"/>
                            <w:sz w:val="19"/>
                          </w:rPr>
                          <w:t>2017</w:t>
                        </w:r>
                      </w:p>
                      <w:p>
                        <w:pPr>
                          <w:pStyle w:val="TableParagraph"/>
                          <w:spacing w:before="10"/>
                          <w:ind w:right="110"/>
                          <w:jc w:val="right"/>
                          <w:rPr>
                            <w:b/>
                            <w:sz w:val="19"/>
                          </w:rPr>
                        </w:pPr>
                        <w:r>
                          <w:rPr>
                            <w:b/>
                            <w:color w:val="FFFFFF"/>
                            <w:w w:val="95"/>
                            <w:sz w:val="19"/>
                          </w:rPr>
                          <w:t>$000</w:t>
                        </w:r>
                      </w:p>
                    </w:tc>
                    <w:tc>
                      <w:tcPr>
                        <w:tcW w:w="1417" w:type="dxa"/>
                        <w:shd w:val="clear" w:color="auto" w:fill="783A79"/>
                      </w:tcPr>
                      <w:p>
                        <w:pPr>
                          <w:pStyle w:val="TableParagraph"/>
                          <w:spacing w:before="47"/>
                          <w:ind w:left="882"/>
                          <w:rPr>
                            <w:b/>
                            <w:sz w:val="19"/>
                          </w:rPr>
                        </w:pPr>
                        <w:r>
                          <w:rPr>
                            <w:b/>
                            <w:color w:val="FFFFFF"/>
                            <w:sz w:val="19"/>
                          </w:rPr>
                          <w:t>2016</w:t>
                        </w:r>
                      </w:p>
                      <w:p>
                        <w:pPr>
                          <w:pStyle w:val="TableParagraph"/>
                          <w:spacing w:before="10"/>
                          <w:ind w:left="882"/>
                          <w:rPr>
                            <w:b/>
                            <w:sz w:val="19"/>
                          </w:rPr>
                        </w:pPr>
                        <w:r>
                          <w:rPr>
                            <w:b/>
                            <w:color w:val="FFFFFF"/>
                            <w:sz w:val="19"/>
                          </w:rPr>
                          <w:t>$000</w:t>
                        </w:r>
                      </w:p>
                    </w:tc>
                  </w:tr>
                  <w:tr>
                    <w:trPr>
                      <w:trHeight w:val="312" w:hRule="atLeast"/>
                    </w:trPr>
                    <w:tc>
                      <w:tcPr>
                        <w:tcW w:w="4606" w:type="dxa"/>
                        <w:tcBorders>
                          <w:bottom w:val="single" w:sz="8" w:space="0" w:color="FFFFFF"/>
                        </w:tcBorders>
                        <w:shd w:val="clear" w:color="auto" w:fill="FAF9F9"/>
                      </w:tcPr>
                      <w:p>
                        <w:pPr>
                          <w:pStyle w:val="TableParagraph"/>
                          <w:spacing w:before="37"/>
                          <w:ind w:left="113"/>
                          <w:rPr>
                            <w:i/>
                            <w:sz w:val="19"/>
                          </w:rPr>
                        </w:pPr>
                        <w:r>
                          <w:rPr>
                            <w:i/>
                            <w:color w:val="A7BE39"/>
                            <w:sz w:val="19"/>
                          </w:rPr>
                          <w:t>Income</w:t>
                        </w:r>
                      </w:p>
                    </w:tc>
                    <w:tc>
                      <w:tcPr>
                        <w:tcW w:w="1417" w:type="dxa"/>
                        <w:shd w:val="clear" w:color="auto" w:fill="E1E4BB"/>
                      </w:tcPr>
                      <w:p>
                        <w:pPr>
                          <w:pStyle w:val="TableParagraph"/>
                          <w:spacing w:before="0"/>
                          <w:rPr>
                            <w:rFonts w:ascii="Times New Roman"/>
                            <w:sz w:val="20"/>
                          </w:rPr>
                        </w:pPr>
                      </w:p>
                    </w:tc>
                    <w:tc>
                      <w:tcPr>
                        <w:tcW w:w="1417" w:type="dxa"/>
                        <w:tcBorders>
                          <w:bottom w:val="single" w:sz="8" w:space="0" w:color="FFFFFF"/>
                        </w:tcBorders>
                        <w:shd w:val="clear" w:color="auto" w:fill="FAF9F9"/>
                      </w:tcPr>
                      <w:p>
                        <w:pPr>
                          <w:pStyle w:val="TableParagraph"/>
                          <w:spacing w:before="0"/>
                          <w:rPr>
                            <w:rFonts w:ascii="Times New Roman"/>
                            <w:sz w:val="20"/>
                          </w:rPr>
                        </w:pP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3"/>
                          <w:rPr>
                            <w:sz w:val="19"/>
                          </w:rPr>
                        </w:pPr>
                        <w:r>
                          <w:rPr>
                            <w:sz w:val="19"/>
                          </w:rPr>
                          <w:t>Taxation</w:t>
                        </w:r>
                      </w:p>
                    </w:tc>
                    <w:tc>
                      <w:tcPr>
                        <w:tcW w:w="1417" w:type="dxa"/>
                        <w:shd w:val="clear" w:color="auto" w:fill="E1E4BB"/>
                      </w:tcPr>
                      <w:p>
                        <w:pPr>
                          <w:pStyle w:val="TableParagraph"/>
                          <w:ind w:right="110"/>
                          <w:jc w:val="right"/>
                          <w:rPr>
                            <w:sz w:val="19"/>
                          </w:rPr>
                        </w:pPr>
                        <w:r>
                          <w:rPr>
                            <w:w w:val="95"/>
                            <w:sz w:val="19"/>
                          </w:rPr>
                          <w:t>6,799,345</w:t>
                        </w:r>
                      </w:p>
                    </w:tc>
                    <w:tc>
                      <w:tcPr>
                        <w:tcW w:w="1417"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7,315,117</w:t>
                        </w: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3"/>
                          <w:rPr>
                            <w:sz w:val="19"/>
                          </w:rPr>
                        </w:pPr>
                        <w:r>
                          <w:rPr>
                            <w:sz w:val="19"/>
                          </w:rPr>
                          <w:t>Other revenue</w:t>
                        </w:r>
                      </w:p>
                    </w:tc>
                    <w:tc>
                      <w:tcPr>
                        <w:tcW w:w="1417" w:type="dxa"/>
                        <w:shd w:val="clear" w:color="auto" w:fill="E1E4BB"/>
                      </w:tcPr>
                      <w:p>
                        <w:pPr>
                          <w:pStyle w:val="TableParagraph"/>
                          <w:ind w:right="110"/>
                          <w:jc w:val="right"/>
                          <w:rPr>
                            <w:sz w:val="19"/>
                          </w:rPr>
                        </w:pPr>
                        <w:r>
                          <w:rPr>
                            <w:w w:val="95"/>
                            <w:sz w:val="19"/>
                          </w:rPr>
                          <w:t>40,086</w:t>
                        </w:r>
                      </w:p>
                    </w:tc>
                    <w:tc>
                      <w:tcPr>
                        <w:tcW w:w="1417" w:type="dxa"/>
                        <w:tcBorders>
                          <w:top w:val="single" w:sz="8" w:space="0" w:color="FFFFFF"/>
                          <w:bottom w:val="single" w:sz="8" w:space="0" w:color="FFFFFF"/>
                        </w:tcBorders>
                        <w:shd w:val="clear" w:color="auto" w:fill="FAF9F9"/>
                      </w:tcPr>
                      <w:p>
                        <w:pPr>
                          <w:pStyle w:val="TableParagraph"/>
                          <w:ind w:right="109"/>
                          <w:jc w:val="right"/>
                          <w:rPr>
                            <w:sz w:val="19"/>
                          </w:rPr>
                        </w:pPr>
                        <w:r>
                          <w:rPr>
                            <w:w w:val="95"/>
                            <w:sz w:val="19"/>
                          </w:rPr>
                          <w:t>41,623</w:t>
                        </w: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3"/>
                          <w:rPr>
                            <w:sz w:val="19"/>
                          </w:rPr>
                        </w:pPr>
                        <w:r>
                          <w:rPr>
                            <w:sz w:val="19"/>
                          </w:rPr>
                          <w:t>Appropriations</w:t>
                        </w:r>
                      </w:p>
                    </w:tc>
                    <w:tc>
                      <w:tcPr>
                        <w:tcW w:w="1417" w:type="dxa"/>
                        <w:shd w:val="clear" w:color="auto" w:fill="E1E4BB"/>
                      </w:tcPr>
                      <w:p>
                        <w:pPr>
                          <w:pStyle w:val="TableParagraph"/>
                          <w:ind w:right="110"/>
                          <w:jc w:val="right"/>
                          <w:rPr>
                            <w:sz w:val="19"/>
                          </w:rPr>
                        </w:pPr>
                        <w:r>
                          <w:rPr>
                            <w:w w:val="95"/>
                            <w:sz w:val="19"/>
                          </w:rPr>
                          <w:t>237,046</w:t>
                        </w:r>
                      </w:p>
                    </w:tc>
                    <w:tc>
                      <w:tcPr>
                        <w:tcW w:w="1417" w:type="dxa"/>
                        <w:tcBorders>
                          <w:top w:val="single" w:sz="8" w:space="0" w:color="FFFFFF"/>
                          <w:bottom w:val="single" w:sz="8" w:space="0" w:color="FFFFFF"/>
                        </w:tcBorders>
                        <w:shd w:val="clear" w:color="auto" w:fill="F4F4F4"/>
                      </w:tcPr>
                      <w:p>
                        <w:pPr>
                          <w:pStyle w:val="TableParagraph"/>
                          <w:ind w:right="109"/>
                          <w:jc w:val="right"/>
                          <w:rPr>
                            <w:sz w:val="19"/>
                          </w:rPr>
                        </w:pPr>
                        <w:r>
                          <w:rPr>
                            <w:w w:val="95"/>
                            <w:sz w:val="19"/>
                          </w:rPr>
                          <w:t>247,463</w:t>
                        </w: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4"/>
                          <w:rPr>
                            <w:sz w:val="19"/>
                          </w:rPr>
                        </w:pPr>
                        <w:r>
                          <w:rPr>
                            <w:sz w:val="19"/>
                          </w:rPr>
                          <w:t>Collections raised on behalf of other agencies</w:t>
                        </w:r>
                      </w:p>
                    </w:tc>
                    <w:tc>
                      <w:tcPr>
                        <w:tcW w:w="1417" w:type="dxa"/>
                        <w:tcBorders>
                          <w:bottom w:val="single" w:sz="4" w:space="0" w:color="000000"/>
                        </w:tcBorders>
                        <w:shd w:val="clear" w:color="auto" w:fill="E1E4BB"/>
                      </w:tcPr>
                      <w:p>
                        <w:pPr>
                          <w:pStyle w:val="TableParagraph"/>
                          <w:ind w:right="110"/>
                          <w:jc w:val="right"/>
                          <w:rPr>
                            <w:sz w:val="19"/>
                          </w:rPr>
                        </w:pPr>
                        <w:r>
                          <w:rPr>
                            <w:w w:val="95"/>
                            <w:sz w:val="19"/>
                          </w:rPr>
                          <w:t>63,549</w:t>
                        </w:r>
                      </w:p>
                    </w:tc>
                    <w:tc>
                      <w:tcPr>
                        <w:tcW w:w="1417" w:type="dxa"/>
                        <w:tcBorders>
                          <w:top w:val="single" w:sz="8" w:space="0" w:color="FFFFFF"/>
                          <w:bottom w:val="single" w:sz="4" w:space="0" w:color="000000"/>
                        </w:tcBorders>
                        <w:shd w:val="clear" w:color="auto" w:fill="FAF9F9"/>
                      </w:tcPr>
                      <w:p>
                        <w:pPr>
                          <w:pStyle w:val="TableParagraph"/>
                          <w:ind w:right="109"/>
                          <w:jc w:val="right"/>
                          <w:rPr>
                            <w:sz w:val="19"/>
                          </w:rPr>
                        </w:pPr>
                        <w:r>
                          <w:rPr>
                            <w:w w:val="95"/>
                            <w:sz w:val="19"/>
                          </w:rPr>
                          <w:t>63,043</w:t>
                        </w:r>
                      </w:p>
                    </w:tc>
                  </w:tr>
                  <w:tr>
                    <w:trPr>
                      <w:trHeight w:val="284" w:hRule="atLeast"/>
                    </w:trPr>
                    <w:tc>
                      <w:tcPr>
                        <w:tcW w:w="4606" w:type="dxa"/>
                        <w:tcBorders>
                          <w:top w:val="single" w:sz="8" w:space="0" w:color="FFFFFF"/>
                          <w:bottom w:val="single" w:sz="8" w:space="0" w:color="FFFFFF"/>
                        </w:tcBorders>
                        <w:shd w:val="clear" w:color="auto" w:fill="F4F4F4"/>
                      </w:tcPr>
                      <w:p>
                        <w:pPr>
                          <w:pStyle w:val="TableParagraph"/>
                          <w:ind w:left="114"/>
                          <w:rPr>
                            <w:b/>
                            <w:sz w:val="19"/>
                          </w:rPr>
                        </w:pPr>
                        <w:r>
                          <w:rPr>
                            <w:b/>
                            <w:sz w:val="19"/>
                          </w:rPr>
                          <w:t>Total Administered revenues</w:t>
                        </w:r>
                      </w:p>
                    </w:tc>
                    <w:tc>
                      <w:tcPr>
                        <w:tcW w:w="1417" w:type="dxa"/>
                        <w:tcBorders>
                          <w:top w:val="single" w:sz="4" w:space="0" w:color="000000"/>
                          <w:bottom w:val="double" w:sz="2" w:space="0" w:color="000000"/>
                        </w:tcBorders>
                        <w:shd w:val="clear" w:color="auto" w:fill="DFE1B8"/>
                      </w:tcPr>
                      <w:p>
                        <w:pPr>
                          <w:pStyle w:val="TableParagraph"/>
                          <w:ind w:right="109"/>
                          <w:jc w:val="right"/>
                          <w:rPr>
                            <w:b/>
                            <w:sz w:val="19"/>
                          </w:rPr>
                        </w:pPr>
                        <w:r>
                          <w:rPr>
                            <w:b/>
                            <w:w w:val="95"/>
                            <w:sz w:val="19"/>
                          </w:rPr>
                          <w:t>7,140,026</w:t>
                        </w:r>
                      </w:p>
                    </w:tc>
                    <w:tc>
                      <w:tcPr>
                        <w:tcW w:w="1417" w:type="dxa"/>
                        <w:tcBorders>
                          <w:top w:val="single" w:sz="4" w:space="0" w:color="000000"/>
                          <w:bottom w:val="double" w:sz="2" w:space="0" w:color="000000"/>
                        </w:tcBorders>
                        <w:shd w:val="clear" w:color="auto" w:fill="F4F4F4"/>
                      </w:tcPr>
                      <w:p>
                        <w:pPr>
                          <w:pStyle w:val="TableParagraph"/>
                          <w:ind w:right="109"/>
                          <w:jc w:val="right"/>
                          <w:rPr>
                            <w:b/>
                            <w:sz w:val="19"/>
                          </w:rPr>
                        </w:pPr>
                        <w:r>
                          <w:rPr>
                            <w:b/>
                            <w:w w:val="95"/>
                            <w:sz w:val="19"/>
                          </w:rPr>
                          <w:t>7,667,246</w:t>
                        </w:r>
                      </w:p>
                    </w:tc>
                  </w:tr>
                  <w:tr>
                    <w:trPr>
                      <w:trHeight w:val="304" w:hRule="atLeast"/>
                    </w:trPr>
                    <w:tc>
                      <w:tcPr>
                        <w:tcW w:w="4606"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417" w:type="dxa"/>
                        <w:tcBorders>
                          <w:top w:val="double" w:sz="2" w:space="0" w:color="000000"/>
                        </w:tcBorders>
                        <w:shd w:val="clear" w:color="auto" w:fill="E1E4BB"/>
                      </w:tcPr>
                      <w:p>
                        <w:pPr>
                          <w:pStyle w:val="TableParagraph"/>
                          <w:spacing w:before="0"/>
                          <w:rPr>
                            <w:rFonts w:ascii="Times New Roman"/>
                            <w:sz w:val="20"/>
                          </w:rPr>
                        </w:pPr>
                      </w:p>
                    </w:tc>
                    <w:tc>
                      <w:tcPr>
                        <w:tcW w:w="1417" w:type="dxa"/>
                        <w:tcBorders>
                          <w:top w:val="double" w:sz="2" w:space="0" w:color="000000"/>
                          <w:bottom w:val="single" w:sz="8" w:space="0" w:color="FFFFFF"/>
                        </w:tcBorders>
                        <w:shd w:val="clear" w:color="auto" w:fill="FAF9F9"/>
                      </w:tcPr>
                      <w:p>
                        <w:pPr>
                          <w:pStyle w:val="TableParagraph"/>
                          <w:spacing w:before="0"/>
                          <w:rPr>
                            <w:rFonts w:ascii="Times New Roman"/>
                            <w:sz w:val="20"/>
                          </w:rPr>
                        </w:pP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4"/>
                          <w:rPr>
                            <w:i/>
                            <w:sz w:val="19"/>
                          </w:rPr>
                        </w:pPr>
                        <w:r>
                          <w:rPr>
                            <w:i/>
                            <w:color w:val="A7BE39"/>
                            <w:sz w:val="19"/>
                          </w:rPr>
                          <w:t>Expenses</w:t>
                        </w:r>
                      </w:p>
                    </w:tc>
                    <w:tc>
                      <w:tcPr>
                        <w:tcW w:w="1417" w:type="dxa"/>
                        <w:shd w:val="clear" w:color="auto" w:fill="E1E4BB"/>
                      </w:tcPr>
                      <w:p>
                        <w:pPr>
                          <w:pStyle w:val="TableParagraph"/>
                          <w:spacing w:before="0"/>
                          <w:rPr>
                            <w:rFonts w:ascii="Times New Roman"/>
                            <w:sz w:val="20"/>
                          </w:rPr>
                        </w:pPr>
                      </w:p>
                    </w:tc>
                    <w:tc>
                      <w:tcPr>
                        <w:tcW w:w="1417"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4"/>
                          <w:rPr>
                            <w:sz w:val="19"/>
                          </w:rPr>
                        </w:pPr>
                        <w:r>
                          <w:rPr>
                            <w:sz w:val="19"/>
                          </w:rPr>
                          <w:t>Grants, subsidies and transfers</w:t>
                        </w:r>
                      </w:p>
                    </w:tc>
                    <w:tc>
                      <w:tcPr>
                        <w:tcW w:w="1417" w:type="dxa"/>
                        <w:shd w:val="clear" w:color="auto" w:fill="E1E4BB"/>
                      </w:tcPr>
                      <w:p>
                        <w:pPr>
                          <w:pStyle w:val="TableParagraph"/>
                          <w:ind w:right="109"/>
                          <w:jc w:val="right"/>
                          <w:rPr>
                            <w:sz w:val="19"/>
                          </w:rPr>
                        </w:pPr>
                        <w:r>
                          <w:rPr>
                            <w:w w:val="95"/>
                            <w:sz w:val="19"/>
                          </w:rPr>
                          <w:t>237,046</w:t>
                        </w:r>
                      </w:p>
                    </w:tc>
                    <w:tc>
                      <w:tcPr>
                        <w:tcW w:w="1417" w:type="dxa"/>
                        <w:tcBorders>
                          <w:top w:val="single" w:sz="8" w:space="0" w:color="FFFFFF"/>
                          <w:bottom w:val="single" w:sz="8" w:space="0" w:color="FFFFFF"/>
                        </w:tcBorders>
                        <w:shd w:val="clear" w:color="auto" w:fill="FAF9F9"/>
                      </w:tcPr>
                      <w:p>
                        <w:pPr>
                          <w:pStyle w:val="TableParagraph"/>
                          <w:ind w:right="109"/>
                          <w:jc w:val="right"/>
                          <w:rPr>
                            <w:sz w:val="19"/>
                          </w:rPr>
                        </w:pPr>
                        <w:r>
                          <w:rPr>
                            <w:w w:val="95"/>
                            <w:sz w:val="19"/>
                          </w:rPr>
                          <w:t>247,463</w:t>
                        </w: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4"/>
                          <w:rPr>
                            <w:sz w:val="19"/>
                          </w:rPr>
                        </w:pPr>
                        <w:r>
                          <w:rPr>
                            <w:sz w:val="19"/>
                          </w:rPr>
                          <w:t>Other expenses</w:t>
                        </w:r>
                      </w:p>
                    </w:tc>
                    <w:tc>
                      <w:tcPr>
                        <w:tcW w:w="1417" w:type="dxa"/>
                        <w:shd w:val="clear" w:color="auto" w:fill="E1E4BB"/>
                      </w:tcPr>
                      <w:p>
                        <w:pPr>
                          <w:pStyle w:val="TableParagraph"/>
                          <w:ind w:right="109"/>
                          <w:jc w:val="right"/>
                          <w:rPr>
                            <w:sz w:val="19"/>
                          </w:rPr>
                        </w:pPr>
                        <w:r>
                          <w:rPr>
                            <w:w w:val="95"/>
                            <w:sz w:val="19"/>
                          </w:rPr>
                          <w:t>6,712,652</w:t>
                        </w:r>
                      </w:p>
                    </w:tc>
                    <w:tc>
                      <w:tcPr>
                        <w:tcW w:w="1417" w:type="dxa"/>
                        <w:tcBorders>
                          <w:top w:val="single" w:sz="8" w:space="0" w:color="FFFFFF"/>
                          <w:bottom w:val="single" w:sz="8" w:space="0" w:color="FFFFFF"/>
                        </w:tcBorders>
                        <w:shd w:val="clear" w:color="auto" w:fill="F4F4F4"/>
                      </w:tcPr>
                      <w:p>
                        <w:pPr>
                          <w:pStyle w:val="TableParagraph"/>
                          <w:ind w:right="109"/>
                          <w:jc w:val="right"/>
                          <w:rPr>
                            <w:sz w:val="19"/>
                          </w:rPr>
                        </w:pPr>
                        <w:r>
                          <w:rPr>
                            <w:w w:val="95"/>
                            <w:sz w:val="19"/>
                          </w:rPr>
                          <w:t>7,435,650</w:t>
                        </w: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4"/>
                          <w:rPr>
                            <w:sz w:val="19"/>
                          </w:rPr>
                        </w:pPr>
                        <w:r>
                          <w:rPr>
                            <w:sz w:val="19"/>
                          </w:rPr>
                          <w:t>Collections transferred to other agencies</w:t>
                        </w:r>
                      </w:p>
                    </w:tc>
                    <w:tc>
                      <w:tcPr>
                        <w:tcW w:w="1417" w:type="dxa"/>
                        <w:tcBorders>
                          <w:bottom w:val="single" w:sz="4" w:space="0" w:color="000000"/>
                        </w:tcBorders>
                        <w:shd w:val="clear" w:color="auto" w:fill="E1E4BB"/>
                      </w:tcPr>
                      <w:p>
                        <w:pPr>
                          <w:pStyle w:val="TableParagraph"/>
                          <w:ind w:right="109"/>
                          <w:jc w:val="right"/>
                          <w:rPr>
                            <w:sz w:val="19"/>
                          </w:rPr>
                        </w:pPr>
                        <w:r>
                          <w:rPr>
                            <w:w w:val="95"/>
                            <w:sz w:val="19"/>
                          </w:rPr>
                          <w:t>63,549</w:t>
                        </w:r>
                      </w:p>
                    </w:tc>
                    <w:tc>
                      <w:tcPr>
                        <w:tcW w:w="1417" w:type="dxa"/>
                        <w:tcBorders>
                          <w:top w:val="single" w:sz="8" w:space="0" w:color="FFFFFF"/>
                          <w:bottom w:val="single" w:sz="4" w:space="0" w:color="000000"/>
                        </w:tcBorders>
                        <w:shd w:val="clear" w:color="auto" w:fill="FAF9F9"/>
                      </w:tcPr>
                      <w:p>
                        <w:pPr>
                          <w:pStyle w:val="TableParagraph"/>
                          <w:ind w:right="108"/>
                          <w:jc w:val="right"/>
                          <w:rPr>
                            <w:sz w:val="19"/>
                          </w:rPr>
                        </w:pPr>
                        <w:r>
                          <w:rPr>
                            <w:w w:val="95"/>
                            <w:sz w:val="19"/>
                          </w:rPr>
                          <w:t>63,043</w:t>
                        </w:r>
                      </w:p>
                    </w:tc>
                  </w:tr>
                  <w:tr>
                    <w:trPr>
                      <w:trHeight w:val="277" w:hRule="atLeast"/>
                    </w:trPr>
                    <w:tc>
                      <w:tcPr>
                        <w:tcW w:w="4606" w:type="dxa"/>
                        <w:tcBorders>
                          <w:top w:val="single" w:sz="8" w:space="0" w:color="FFFFFF"/>
                          <w:bottom w:val="single" w:sz="8" w:space="0" w:color="FFFFFF"/>
                        </w:tcBorders>
                        <w:shd w:val="clear" w:color="auto" w:fill="F4F4F4"/>
                      </w:tcPr>
                      <w:p>
                        <w:pPr>
                          <w:pStyle w:val="TableParagraph"/>
                          <w:ind w:left="115"/>
                          <w:rPr>
                            <w:b/>
                            <w:sz w:val="19"/>
                          </w:rPr>
                        </w:pPr>
                        <w:r>
                          <w:rPr>
                            <w:b/>
                            <w:sz w:val="19"/>
                          </w:rPr>
                          <w:t>Total Administered expenses</w:t>
                        </w:r>
                      </w:p>
                    </w:tc>
                    <w:tc>
                      <w:tcPr>
                        <w:tcW w:w="1417" w:type="dxa"/>
                        <w:tcBorders>
                          <w:top w:val="single" w:sz="4" w:space="0" w:color="000000"/>
                          <w:bottom w:val="single" w:sz="24" w:space="0" w:color="FFFFFF"/>
                        </w:tcBorders>
                        <w:shd w:val="clear" w:color="auto" w:fill="DFE1B8"/>
                      </w:tcPr>
                      <w:p>
                        <w:pPr>
                          <w:pStyle w:val="TableParagraph"/>
                          <w:ind w:right="109"/>
                          <w:jc w:val="right"/>
                          <w:rPr>
                            <w:b/>
                            <w:sz w:val="19"/>
                          </w:rPr>
                        </w:pPr>
                        <w:r>
                          <w:rPr>
                            <w:b/>
                            <w:w w:val="95"/>
                            <w:sz w:val="19"/>
                          </w:rPr>
                          <w:t>7,013,247</w:t>
                        </w:r>
                      </w:p>
                    </w:tc>
                    <w:tc>
                      <w:tcPr>
                        <w:tcW w:w="1417" w:type="dxa"/>
                        <w:tcBorders>
                          <w:top w:val="single" w:sz="4" w:space="0" w:color="000000"/>
                          <w:bottom w:val="single" w:sz="24" w:space="0" w:color="FFFFFF"/>
                        </w:tcBorders>
                        <w:shd w:val="clear" w:color="auto" w:fill="F4F4F4"/>
                      </w:tcPr>
                      <w:p>
                        <w:pPr>
                          <w:pStyle w:val="TableParagraph"/>
                          <w:ind w:right="108"/>
                          <w:jc w:val="right"/>
                          <w:rPr>
                            <w:b/>
                            <w:sz w:val="19"/>
                          </w:rPr>
                        </w:pPr>
                        <w:r>
                          <w:rPr>
                            <w:b/>
                            <w:w w:val="95"/>
                            <w:sz w:val="19"/>
                          </w:rPr>
                          <w:t>7,746,156</w:t>
                        </w:r>
                      </w:p>
                    </w:tc>
                  </w:tr>
                </w:tbl>
                <w:p>
                  <w:pPr>
                    <w:pStyle w:val="BodyText"/>
                  </w:pPr>
                </w:p>
              </w:txbxContent>
            </v:textbox>
            <w10:wrap type="none"/>
          </v:shape>
        </w:pict>
      </w:r>
      <w:r>
        <w:rPr>
          <w:sz w:val="22"/>
        </w:rPr>
        <w:t>Special</w:t>
      </w:r>
      <w:r>
        <w:rPr>
          <w:spacing w:val="-18"/>
          <w:sz w:val="22"/>
        </w:rPr>
        <w:t> </w:t>
      </w:r>
      <w:r>
        <w:rPr>
          <w:sz w:val="22"/>
        </w:rPr>
        <w:t>purpose</w:t>
      </w:r>
      <w:r>
        <w:rPr>
          <w:spacing w:val="-17"/>
          <w:sz w:val="22"/>
        </w:rPr>
        <w:t> </w:t>
      </w:r>
      <w:r>
        <w:rPr>
          <w:sz w:val="22"/>
        </w:rPr>
        <w:t>account</w:t>
      </w:r>
      <w:r>
        <w:rPr>
          <w:spacing w:val="-17"/>
          <w:sz w:val="22"/>
        </w:rPr>
        <w:t> </w:t>
      </w:r>
      <w:r>
        <w:rPr>
          <w:sz w:val="22"/>
        </w:rPr>
        <w:t>Section</w:t>
      </w:r>
      <w:r>
        <w:rPr>
          <w:spacing w:val="-17"/>
          <w:sz w:val="22"/>
        </w:rPr>
        <w:t> </w:t>
      </w:r>
      <w:r>
        <w:rPr>
          <w:sz w:val="22"/>
        </w:rPr>
        <w:t>10</w:t>
      </w:r>
      <w:r>
        <w:rPr>
          <w:spacing w:val="-17"/>
          <w:sz w:val="22"/>
        </w:rPr>
        <w:t> </w:t>
      </w:r>
      <w:r>
        <w:rPr>
          <w:sz w:val="22"/>
        </w:rPr>
        <w:t>of</w:t>
      </w:r>
      <w:r>
        <w:rPr>
          <w:spacing w:val="-17"/>
          <w:sz w:val="22"/>
        </w:rPr>
        <w:t> </w:t>
      </w:r>
      <w:r>
        <w:rPr>
          <w:sz w:val="22"/>
        </w:rPr>
        <w:t>the</w:t>
      </w:r>
      <w:r>
        <w:rPr>
          <w:spacing w:val="-17"/>
          <w:sz w:val="22"/>
        </w:rPr>
        <w:t> </w:t>
      </w:r>
      <w:r>
        <w:rPr>
          <w:i/>
          <w:sz w:val="22"/>
        </w:rPr>
        <w:t>Financial</w:t>
      </w:r>
      <w:r>
        <w:rPr>
          <w:i/>
          <w:spacing w:val="-17"/>
          <w:sz w:val="22"/>
        </w:rPr>
        <w:t> </w:t>
      </w:r>
      <w:r>
        <w:rPr>
          <w:i/>
          <w:sz w:val="22"/>
        </w:rPr>
        <w:t>Management</w:t>
      </w:r>
      <w:r>
        <w:rPr>
          <w:i/>
          <w:spacing w:val="-17"/>
          <w:sz w:val="22"/>
        </w:rPr>
        <w:t> </w:t>
      </w:r>
      <w:r>
        <w:rPr>
          <w:i/>
          <w:sz w:val="22"/>
        </w:rPr>
        <w:t>Act</w:t>
      </w:r>
      <w:r>
        <w:rPr>
          <w:i/>
          <w:spacing w:val="-17"/>
          <w:sz w:val="22"/>
        </w:rPr>
        <w:t> </w:t>
      </w:r>
      <w:r>
        <w:rPr>
          <w:i/>
          <w:spacing w:val="-5"/>
          <w:sz w:val="22"/>
        </w:rPr>
        <w:t>2006</w:t>
      </w:r>
    </w:p>
    <w:p>
      <w:pPr>
        <w:pStyle w:val="Heading5"/>
        <w:ind w:left="665"/>
      </w:pPr>
      <w:r>
        <w:rPr/>
        <w:br w:type="column"/>
      </w:r>
      <w:r>
        <w:rPr>
          <w:color w:val="6F2770"/>
        </w:rPr>
        <w:t>Note 50. Administered income and expenses</w:t>
      </w:r>
    </w:p>
    <w:p>
      <w:pPr>
        <w:spacing w:after="0"/>
        <w:sectPr>
          <w:type w:val="continuous"/>
          <w:pgSz w:w="16840" w:h="11910" w:orient="landscape"/>
          <w:pgMar w:top="0" w:bottom="0" w:left="0" w:right="0"/>
          <w:cols w:num="2" w:equalWidth="0">
            <w:col w:w="7927" w:space="40"/>
            <w:col w:w="8873"/>
          </w:cols>
        </w:sectPr>
      </w:pPr>
    </w:p>
    <w:p>
      <w:pPr>
        <w:pStyle w:val="BodyText"/>
        <w:rPr>
          <w:sz w:val="20"/>
        </w:rPr>
      </w:pPr>
    </w:p>
    <w:p>
      <w:pPr>
        <w:pStyle w:val="BodyText"/>
        <w:spacing w:before="9"/>
        <w:rPr>
          <w:sz w:val="12"/>
        </w:rPr>
      </w:pP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606"/>
        <w:gridCol w:w="1417"/>
        <w:gridCol w:w="1417"/>
      </w:tblGrid>
      <w:tr>
        <w:trPr>
          <w:trHeight w:val="533" w:hRule="atLeast"/>
        </w:trPr>
        <w:tc>
          <w:tcPr>
            <w:tcW w:w="6023" w:type="dxa"/>
            <w:gridSpan w:val="2"/>
            <w:tcBorders>
              <w:top w:val="nil"/>
              <w:bottom w:val="nil"/>
              <w:right w:val="nil"/>
            </w:tcBorders>
            <w:shd w:val="clear" w:color="auto" w:fill="783A79"/>
          </w:tcPr>
          <w:p>
            <w:pPr>
              <w:pStyle w:val="TableParagraph"/>
              <w:spacing w:before="42"/>
              <w:ind w:right="100"/>
              <w:jc w:val="right"/>
              <w:rPr>
                <w:b/>
                <w:sz w:val="19"/>
              </w:rPr>
            </w:pPr>
            <w:r>
              <w:rPr>
                <w:b/>
                <w:color w:val="FFFFFF"/>
                <w:w w:val="95"/>
                <w:sz w:val="19"/>
              </w:rPr>
              <w:t>2017</w:t>
            </w:r>
          </w:p>
          <w:p>
            <w:pPr>
              <w:pStyle w:val="TableParagraph"/>
              <w:spacing w:before="10"/>
              <w:ind w:right="100"/>
              <w:jc w:val="right"/>
              <w:rPr>
                <w:b/>
                <w:sz w:val="19"/>
              </w:rPr>
            </w:pPr>
            <w:r>
              <w:rPr>
                <w:b/>
                <w:color w:val="FFFFFF"/>
                <w:w w:val="95"/>
                <w:sz w:val="19"/>
              </w:rPr>
              <w:t>$000</w:t>
            </w:r>
          </w:p>
        </w:tc>
        <w:tc>
          <w:tcPr>
            <w:tcW w:w="1417" w:type="dxa"/>
            <w:tcBorders>
              <w:top w:val="nil"/>
              <w:left w:val="nil"/>
              <w:bottom w:val="nil"/>
              <w:right w:val="nil"/>
            </w:tcBorders>
            <w:shd w:val="clear" w:color="auto" w:fill="783A79"/>
          </w:tcPr>
          <w:p>
            <w:pPr>
              <w:pStyle w:val="TableParagraph"/>
              <w:spacing w:before="42"/>
              <w:ind w:left="892"/>
              <w:rPr>
                <w:b/>
                <w:sz w:val="19"/>
              </w:rPr>
            </w:pPr>
            <w:r>
              <w:rPr>
                <w:b/>
                <w:color w:val="FFFFFF"/>
                <w:sz w:val="19"/>
              </w:rPr>
              <w:t>2016</w:t>
            </w:r>
          </w:p>
          <w:p>
            <w:pPr>
              <w:pStyle w:val="TableParagraph"/>
              <w:spacing w:before="10"/>
              <w:ind w:left="892"/>
              <w:rPr>
                <w:b/>
                <w:sz w:val="19"/>
              </w:rPr>
            </w:pPr>
            <w:r>
              <w:rPr>
                <w:b/>
                <w:color w:val="FFFFFF"/>
                <w:sz w:val="19"/>
              </w:rPr>
              <w:t>$000</w:t>
            </w:r>
          </w:p>
        </w:tc>
      </w:tr>
      <w:tr>
        <w:trPr>
          <w:trHeight w:val="1207" w:hRule="atLeast"/>
        </w:trPr>
        <w:tc>
          <w:tcPr>
            <w:tcW w:w="4606" w:type="dxa"/>
            <w:tcBorders>
              <w:top w:val="nil"/>
              <w:right w:val="nil"/>
            </w:tcBorders>
            <w:shd w:val="clear" w:color="auto" w:fill="F4F4F4"/>
          </w:tcPr>
          <w:p>
            <w:pPr>
              <w:pStyle w:val="TableParagraph"/>
              <w:spacing w:line="249" w:lineRule="auto" w:before="42"/>
              <w:ind w:left="113" w:right="152"/>
              <w:rPr>
                <w:sz w:val="19"/>
              </w:rPr>
            </w:pPr>
            <w:r>
              <w:rPr>
                <w:i/>
                <w:sz w:val="19"/>
              </w:rPr>
              <w:t>Departmental</w:t>
            </w:r>
            <w:r>
              <w:rPr>
                <w:i/>
                <w:spacing w:val="-29"/>
                <w:sz w:val="19"/>
              </w:rPr>
              <w:t> </w:t>
            </w:r>
            <w:r>
              <w:rPr>
                <w:i/>
                <w:sz w:val="19"/>
              </w:rPr>
              <w:t>Receipts</w:t>
            </w:r>
            <w:r>
              <w:rPr>
                <w:i/>
                <w:spacing w:val="-28"/>
                <w:sz w:val="19"/>
              </w:rPr>
              <w:t> </w:t>
            </w:r>
            <w:r>
              <w:rPr>
                <w:i/>
                <w:sz w:val="19"/>
              </w:rPr>
              <w:t>in</w:t>
            </w:r>
            <w:r>
              <w:rPr>
                <w:i/>
                <w:spacing w:val="-28"/>
                <w:sz w:val="19"/>
              </w:rPr>
              <w:t> </w:t>
            </w:r>
            <w:r>
              <w:rPr>
                <w:i/>
                <w:sz w:val="19"/>
              </w:rPr>
              <w:t>Suspense</w:t>
            </w:r>
            <w:r>
              <w:rPr>
                <w:i/>
                <w:spacing w:val="-29"/>
                <w:sz w:val="19"/>
              </w:rPr>
              <w:t> </w:t>
            </w:r>
            <w:r>
              <w:rPr>
                <w:i/>
                <w:sz w:val="19"/>
              </w:rPr>
              <w:t>–</w:t>
            </w:r>
            <w:r>
              <w:rPr>
                <w:i/>
                <w:spacing w:val="-28"/>
                <w:sz w:val="19"/>
              </w:rPr>
              <w:t> </w:t>
            </w:r>
            <w:r>
              <w:rPr>
                <w:i/>
                <w:sz w:val="19"/>
              </w:rPr>
              <w:t>State</w:t>
            </w:r>
            <w:r>
              <w:rPr>
                <w:i/>
                <w:spacing w:val="-28"/>
                <w:sz w:val="19"/>
              </w:rPr>
              <w:t> </w:t>
            </w:r>
            <w:r>
              <w:rPr>
                <w:i/>
                <w:spacing w:val="-3"/>
                <w:sz w:val="19"/>
              </w:rPr>
              <w:t>Revenue </w:t>
            </w:r>
            <w:r>
              <w:rPr>
                <w:sz w:val="19"/>
              </w:rPr>
              <w:t>The purpose of the special purpose account is to hold funds pending identification of the purpose of which</w:t>
            </w:r>
            <w:r>
              <w:rPr>
                <w:spacing w:val="-20"/>
                <w:sz w:val="19"/>
              </w:rPr>
              <w:t> </w:t>
            </w:r>
            <w:r>
              <w:rPr>
                <w:sz w:val="19"/>
              </w:rPr>
              <w:t>those</w:t>
            </w:r>
            <w:r>
              <w:rPr>
                <w:spacing w:val="-19"/>
                <w:sz w:val="19"/>
              </w:rPr>
              <w:t> </w:t>
            </w:r>
            <w:r>
              <w:rPr>
                <w:sz w:val="19"/>
              </w:rPr>
              <w:t>monies</w:t>
            </w:r>
            <w:r>
              <w:rPr>
                <w:spacing w:val="-19"/>
                <w:sz w:val="19"/>
              </w:rPr>
              <w:t> </w:t>
            </w:r>
            <w:r>
              <w:rPr>
                <w:sz w:val="19"/>
              </w:rPr>
              <w:t>were</w:t>
            </w:r>
            <w:r>
              <w:rPr>
                <w:spacing w:val="-20"/>
                <w:sz w:val="19"/>
              </w:rPr>
              <w:t> </w:t>
            </w:r>
            <w:r>
              <w:rPr>
                <w:sz w:val="19"/>
              </w:rPr>
              <w:t>received</w:t>
            </w:r>
            <w:r>
              <w:rPr>
                <w:spacing w:val="-19"/>
                <w:sz w:val="19"/>
              </w:rPr>
              <w:t> </w:t>
            </w:r>
            <w:r>
              <w:rPr>
                <w:sz w:val="19"/>
              </w:rPr>
              <w:t>or</w:t>
            </w:r>
            <w:r>
              <w:rPr>
                <w:spacing w:val="-19"/>
                <w:sz w:val="19"/>
              </w:rPr>
              <w:t> </w:t>
            </w:r>
            <w:r>
              <w:rPr>
                <w:sz w:val="19"/>
              </w:rPr>
              <w:t>identification</w:t>
            </w:r>
            <w:r>
              <w:rPr>
                <w:spacing w:val="-20"/>
                <w:sz w:val="19"/>
              </w:rPr>
              <w:t> </w:t>
            </w:r>
            <w:r>
              <w:rPr>
                <w:sz w:val="19"/>
              </w:rPr>
              <w:t>of where</w:t>
            </w:r>
            <w:r>
              <w:rPr>
                <w:spacing w:val="-6"/>
                <w:sz w:val="19"/>
              </w:rPr>
              <w:t> </w:t>
            </w:r>
            <w:r>
              <w:rPr>
                <w:sz w:val="19"/>
              </w:rPr>
              <w:t>those</w:t>
            </w:r>
            <w:r>
              <w:rPr>
                <w:spacing w:val="-6"/>
                <w:sz w:val="19"/>
              </w:rPr>
              <w:t> </w:t>
            </w:r>
            <w:r>
              <w:rPr>
                <w:sz w:val="19"/>
              </w:rPr>
              <w:t>monies</w:t>
            </w:r>
            <w:r>
              <w:rPr>
                <w:spacing w:val="-6"/>
                <w:sz w:val="19"/>
              </w:rPr>
              <w:t> </w:t>
            </w:r>
            <w:r>
              <w:rPr>
                <w:sz w:val="19"/>
              </w:rPr>
              <w:t>are</w:t>
            </w:r>
            <w:r>
              <w:rPr>
                <w:spacing w:val="-6"/>
                <w:sz w:val="19"/>
              </w:rPr>
              <w:t> </w:t>
            </w:r>
            <w:r>
              <w:rPr>
                <w:sz w:val="19"/>
              </w:rPr>
              <w:t>to</w:t>
            </w:r>
            <w:r>
              <w:rPr>
                <w:spacing w:val="-5"/>
                <w:sz w:val="19"/>
              </w:rPr>
              <w:t> </w:t>
            </w:r>
            <w:r>
              <w:rPr>
                <w:sz w:val="19"/>
              </w:rPr>
              <w:t>be</w:t>
            </w:r>
            <w:r>
              <w:rPr>
                <w:spacing w:val="-6"/>
                <w:sz w:val="19"/>
              </w:rPr>
              <w:t> </w:t>
            </w:r>
            <w:r>
              <w:rPr>
                <w:sz w:val="19"/>
              </w:rPr>
              <w:t>credited</w:t>
            </w:r>
            <w:r>
              <w:rPr>
                <w:spacing w:val="-6"/>
                <w:sz w:val="19"/>
              </w:rPr>
              <w:t> </w:t>
            </w:r>
            <w:r>
              <w:rPr>
                <w:sz w:val="19"/>
              </w:rPr>
              <w:t>or</w:t>
            </w:r>
            <w:r>
              <w:rPr>
                <w:spacing w:val="-6"/>
                <w:sz w:val="19"/>
              </w:rPr>
              <w:t> </w:t>
            </w:r>
            <w:r>
              <w:rPr>
                <w:sz w:val="19"/>
              </w:rPr>
              <w:t>paid.</w:t>
            </w:r>
          </w:p>
        </w:tc>
        <w:tc>
          <w:tcPr>
            <w:tcW w:w="1417" w:type="dxa"/>
            <w:tcBorders>
              <w:top w:val="nil"/>
              <w:left w:val="nil"/>
              <w:bottom w:val="nil"/>
              <w:right w:val="nil"/>
            </w:tcBorders>
            <w:shd w:val="clear" w:color="auto" w:fill="DFE1B8"/>
          </w:tcPr>
          <w:p>
            <w:pPr>
              <w:pStyle w:val="TableParagraph"/>
              <w:spacing w:before="0"/>
              <w:rPr>
                <w:rFonts w:ascii="Times New Roman"/>
                <w:sz w:val="20"/>
              </w:rPr>
            </w:pPr>
          </w:p>
        </w:tc>
        <w:tc>
          <w:tcPr>
            <w:tcW w:w="1417" w:type="dxa"/>
            <w:tcBorders>
              <w:top w:val="nil"/>
              <w:left w:val="nil"/>
            </w:tcBorders>
            <w:shd w:val="clear" w:color="auto" w:fill="F4F4F4"/>
          </w:tcPr>
          <w:p>
            <w:pPr>
              <w:pStyle w:val="TableParagraph"/>
              <w:spacing w:before="0"/>
              <w:rPr>
                <w:rFonts w:ascii="Times New Roman"/>
                <w:sz w:val="20"/>
              </w:rPr>
            </w:pPr>
          </w:p>
        </w:tc>
      </w:tr>
      <w:tr>
        <w:trPr>
          <w:trHeight w:val="307" w:hRule="atLeast"/>
        </w:trPr>
        <w:tc>
          <w:tcPr>
            <w:tcW w:w="4606" w:type="dxa"/>
            <w:tcBorders>
              <w:right w:val="nil"/>
            </w:tcBorders>
            <w:shd w:val="clear" w:color="auto" w:fill="FAF9F9"/>
          </w:tcPr>
          <w:p>
            <w:pPr>
              <w:pStyle w:val="TableParagraph"/>
              <w:ind w:left="113"/>
              <w:rPr>
                <w:sz w:val="19"/>
              </w:rPr>
            </w:pPr>
            <w:r>
              <w:rPr>
                <w:sz w:val="19"/>
              </w:rPr>
              <w:t>Balance at the start of period</w:t>
            </w:r>
          </w:p>
        </w:tc>
        <w:tc>
          <w:tcPr>
            <w:tcW w:w="1417" w:type="dxa"/>
            <w:tcBorders>
              <w:top w:val="nil"/>
              <w:left w:val="nil"/>
              <w:bottom w:val="nil"/>
              <w:right w:val="nil"/>
            </w:tcBorders>
            <w:shd w:val="clear" w:color="auto" w:fill="DFE1B8"/>
          </w:tcPr>
          <w:p>
            <w:pPr>
              <w:pStyle w:val="TableParagraph"/>
              <w:ind w:right="100"/>
              <w:jc w:val="right"/>
              <w:rPr>
                <w:sz w:val="19"/>
              </w:rPr>
            </w:pPr>
            <w:r>
              <w:rPr>
                <w:w w:val="99"/>
                <w:sz w:val="19"/>
              </w:rPr>
              <w:t>1</w:t>
            </w:r>
          </w:p>
        </w:tc>
        <w:tc>
          <w:tcPr>
            <w:tcW w:w="1417" w:type="dxa"/>
            <w:tcBorders>
              <w:left w:val="nil"/>
            </w:tcBorders>
            <w:shd w:val="clear" w:color="auto" w:fill="FAF9F9"/>
          </w:tcPr>
          <w:p>
            <w:pPr>
              <w:pStyle w:val="TableParagraph"/>
              <w:ind w:right="90"/>
              <w:jc w:val="right"/>
              <w:rPr>
                <w:sz w:val="19"/>
              </w:rPr>
            </w:pPr>
            <w:r>
              <w:rPr>
                <w:w w:val="99"/>
                <w:sz w:val="19"/>
              </w:rPr>
              <w:t>1</w:t>
            </w:r>
          </w:p>
        </w:tc>
      </w:tr>
      <w:tr>
        <w:trPr>
          <w:trHeight w:val="307" w:hRule="atLeast"/>
        </w:trPr>
        <w:tc>
          <w:tcPr>
            <w:tcW w:w="4606" w:type="dxa"/>
            <w:tcBorders>
              <w:right w:val="nil"/>
            </w:tcBorders>
            <w:shd w:val="clear" w:color="auto" w:fill="F4F4F4"/>
          </w:tcPr>
          <w:p>
            <w:pPr>
              <w:pStyle w:val="TableParagraph"/>
              <w:ind w:left="113"/>
              <w:rPr>
                <w:sz w:val="19"/>
              </w:rPr>
            </w:pPr>
            <w:r>
              <w:rPr>
                <w:sz w:val="19"/>
              </w:rPr>
              <w:t>Receipts</w:t>
            </w:r>
          </w:p>
        </w:tc>
        <w:tc>
          <w:tcPr>
            <w:tcW w:w="1417" w:type="dxa"/>
            <w:tcBorders>
              <w:top w:val="nil"/>
              <w:left w:val="nil"/>
              <w:bottom w:val="nil"/>
              <w:right w:val="nil"/>
            </w:tcBorders>
            <w:shd w:val="clear" w:color="auto" w:fill="DFE1B8"/>
          </w:tcPr>
          <w:p>
            <w:pPr>
              <w:pStyle w:val="TableParagraph"/>
              <w:ind w:right="100"/>
              <w:jc w:val="right"/>
              <w:rPr>
                <w:sz w:val="19"/>
              </w:rPr>
            </w:pPr>
            <w:r>
              <w:rPr>
                <w:w w:val="99"/>
                <w:sz w:val="19"/>
              </w:rPr>
              <w:t>3</w:t>
            </w:r>
          </w:p>
        </w:tc>
        <w:tc>
          <w:tcPr>
            <w:tcW w:w="1417" w:type="dxa"/>
            <w:tcBorders>
              <w:left w:val="nil"/>
            </w:tcBorders>
            <w:shd w:val="clear" w:color="auto" w:fill="F4F4F4"/>
          </w:tcPr>
          <w:p>
            <w:pPr>
              <w:pStyle w:val="TableParagraph"/>
              <w:ind w:right="89"/>
              <w:jc w:val="right"/>
              <w:rPr>
                <w:sz w:val="19"/>
              </w:rPr>
            </w:pPr>
            <w:r>
              <w:rPr>
                <w:w w:val="111"/>
                <w:sz w:val="19"/>
              </w:rPr>
              <w:t>-</w:t>
            </w:r>
          </w:p>
        </w:tc>
      </w:tr>
      <w:tr>
        <w:trPr>
          <w:trHeight w:val="307" w:hRule="atLeast"/>
        </w:trPr>
        <w:tc>
          <w:tcPr>
            <w:tcW w:w="4606" w:type="dxa"/>
            <w:tcBorders>
              <w:right w:val="nil"/>
            </w:tcBorders>
            <w:shd w:val="clear" w:color="auto" w:fill="FAF9F9"/>
          </w:tcPr>
          <w:p>
            <w:pPr>
              <w:pStyle w:val="TableParagraph"/>
              <w:ind w:left="113"/>
              <w:rPr>
                <w:sz w:val="19"/>
              </w:rPr>
            </w:pPr>
            <w:r>
              <w:rPr>
                <w:sz w:val="19"/>
              </w:rPr>
              <w:t>Payments</w:t>
            </w:r>
          </w:p>
        </w:tc>
        <w:tc>
          <w:tcPr>
            <w:tcW w:w="1417" w:type="dxa"/>
            <w:tcBorders>
              <w:top w:val="nil"/>
              <w:left w:val="nil"/>
              <w:bottom w:val="single" w:sz="4" w:space="0" w:color="000000"/>
              <w:right w:val="nil"/>
            </w:tcBorders>
            <w:shd w:val="clear" w:color="auto" w:fill="DFE1B8"/>
          </w:tcPr>
          <w:p>
            <w:pPr>
              <w:pStyle w:val="TableParagraph"/>
              <w:ind w:right="100"/>
              <w:jc w:val="right"/>
              <w:rPr>
                <w:sz w:val="19"/>
              </w:rPr>
            </w:pPr>
            <w:r>
              <w:rPr>
                <w:w w:val="80"/>
                <w:sz w:val="19"/>
              </w:rPr>
              <w:t>(3)</w:t>
            </w:r>
          </w:p>
        </w:tc>
        <w:tc>
          <w:tcPr>
            <w:tcW w:w="1417" w:type="dxa"/>
            <w:tcBorders>
              <w:left w:val="nil"/>
              <w:bottom w:val="single" w:sz="4" w:space="0" w:color="000000"/>
            </w:tcBorders>
            <w:shd w:val="clear" w:color="auto" w:fill="FAF9F9"/>
          </w:tcPr>
          <w:p>
            <w:pPr>
              <w:pStyle w:val="TableParagraph"/>
              <w:ind w:right="89"/>
              <w:jc w:val="right"/>
              <w:rPr>
                <w:sz w:val="19"/>
              </w:rPr>
            </w:pPr>
            <w:r>
              <w:rPr>
                <w:w w:val="111"/>
                <w:sz w:val="19"/>
              </w:rPr>
              <w:t>-</w:t>
            </w:r>
          </w:p>
        </w:tc>
      </w:tr>
      <w:tr>
        <w:trPr>
          <w:trHeight w:val="284" w:hRule="atLeast"/>
        </w:trPr>
        <w:tc>
          <w:tcPr>
            <w:tcW w:w="4606" w:type="dxa"/>
            <w:tcBorders>
              <w:right w:val="nil"/>
            </w:tcBorders>
            <w:shd w:val="clear" w:color="auto" w:fill="F4F4F4"/>
          </w:tcPr>
          <w:p>
            <w:pPr>
              <w:pStyle w:val="TableParagraph"/>
              <w:ind w:left="114"/>
              <w:rPr>
                <w:b/>
                <w:sz w:val="19"/>
              </w:rPr>
            </w:pPr>
            <w:r>
              <w:rPr>
                <w:b/>
                <w:sz w:val="19"/>
              </w:rPr>
              <w:t>Balance at the end of period</w:t>
            </w:r>
          </w:p>
        </w:tc>
        <w:tc>
          <w:tcPr>
            <w:tcW w:w="1417" w:type="dxa"/>
            <w:tcBorders>
              <w:top w:val="single" w:sz="4" w:space="0" w:color="000000"/>
              <w:left w:val="nil"/>
              <w:bottom w:val="double" w:sz="2" w:space="0" w:color="000000"/>
              <w:right w:val="nil"/>
            </w:tcBorders>
            <w:shd w:val="clear" w:color="auto" w:fill="DFE1B8"/>
          </w:tcPr>
          <w:p>
            <w:pPr>
              <w:pStyle w:val="TableParagraph"/>
              <w:ind w:right="100"/>
              <w:jc w:val="right"/>
              <w:rPr>
                <w:b/>
                <w:sz w:val="19"/>
              </w:rPr>
            </w:pPr>
            <w:r>
              <w:rPr>
                <w:b/>
                <w:w w:val="99"/>
                <w:sz w:val="19"/>
              </w:rPr>
              <w:t>1</w:t>
            </w:r>
          </w:p>
        </w:tc>
        <w:tc>
          <w:tcPr>
            <w:tcW w:w="1417" w:type="dxa"/>
            <w:tcBorders>
              <w:top w:val="single" w:sz="4" w:space="0" w:color="000000"/>
              <w:left w:val="nil"/>
              <w:bottom w:val="double" w:sz="2" w:space="0" w:color="000000"/>
            </w:tcBorders>
            <w:shd w:val="clear" w:color="auto" w:fill="F4F4F4"/>
          </w:tcPr>
          <w:p>
            <w:pPr>
              <w:pStyle w:val="TableParagraph"/>
              <w:ind w:right="89"/>
              <w:jc w:val="right"/>
              <w:rPr>
                <w:b/>
                <w:sz w:val="19"/>
              </w:rPr>
            </w:pPr>
            <w:r>
              <w:rPr>
                <w:b/>
                <w:w w:val="99"/>
                <w:sz w:val="19"/>
              </w:rPr>
              <w:t>1</w:t>
            </w:r>
          </w:p>
        </w:tc>
      </w:tr>
      <w:tr>
        <w:trPr>
          <w:trHeight w:val="304" w:hRule="atLeast"/>
        </w:trPr>
        <w:tc>
          <w:tcPr>
            <w:tcW w:w="4606" w:type="dxa"/>
            <w:tcBorders>
              <w:right w:val="nil"/>
            </w:tcBorders>
            <w:shd w:val="clear" w:color="auto" w:fill="FAF9F9"/>
          </w:tcPr>
          <w:p>
            <w:pPr>
              <w:pStyle w:val="TableParagraph"/>
              <w:spacing w:before="0"/>
              <w:rPr>
                <w:rFonts w:ascii="Times New Roman"/>
                <w:sz w:val="20"/>
              </w:rPr>
            </w:pPr>
          </w:p>
        </w:tc>
        <w:tc>
          <w:tcPr>
            <w:tcW w:w="1417" w:type="dxa"/>
            <w:tcBorders>
              <w:top w:val="double" w:sz="2" w:space="0" w:color="000000"/>
              <w:left w:val="nil"/>
              <w:bottom w:val="nil"/>
              <w:right w:val="nil"/>
            </w:tcBorders>
            <w:shd w:val="clear" w:color="auto" w:fill="DFE1B8"/>
          </w:tcPr>
          <w:p>
            <w:pPr>
              <w:pStyle w:val="TableParagraph"/>
              <w:spacing w:before="0"/>
              <w:rPr>
                <w:rFonts w:ascii="Times New Roman"/>
                <w:sz w:val="20"/>
              </w:rPr>
            </w:pPr>
          </w:p>
        </w:tc>
        <w:tc>
          <w:tcPr>
            <w:tcW w:w="1417" w:type="dxa"/>
            <w:tcBorders>
              <w:top w:val="double" w:sz="2" w:space="0" w:color="000000"/>
              <w:left w:val="nil"/>
            </w:tcBorders>
            <w:shd w:val="clear" w:color="auto" w:fill="FAF9F9"/>
          </w:tcPr>
          <w:p>
            <w:pPr>
              <w:pStyle w:val="TableParagraph"/>
              <w:spacing w:before="0"/>
              <w:rPr>
                <w:rFonts w:ascii="Times New Roman"/>
                <w:sz w:val="20"/>
              </w:rPr>
            </w:pPr>
          </w:p>
        </w:tc>
      </w:tr>
      <w:tr>
        <w:trPr>
          <w:trHeight w:val="1197" w:hRule="atLeast"/>
        </w:trPr>
        <w:tc>
          <w:tcPr>
            <w:tcW w:w="4606" w:type="dxa"/>
            <w:tcBorders>
              <w:right w:val="nil"/>
            </w:tcBorders>
            <w:shd w:val="clear" w:color="auto" w:fill="F4F4F4"/>
          </w:tcPr>
          <w:p>
            <w:pPr>
              <w:pStyle w:val="TableParagraph"/>
              <w:ind w:left="114"/>
              <w:rPr>
                <w:i/>
                <w:sz w:val="19"/>
              </w:rPr>
            </w:pPr>
            <w:r>
              <w:rPr>
                <w:i/>
                <w:sz w:val="19"/>
              </w:rPr>
              <w:t>Indian Ocean Territories</w:t>
            </w:r>
          </w:p>
          <w:p>
            <w:pPr>
              <w:pStyle w:val="TableParagraph"/>
              <w:spacing w:line="249" w:lineRule="auto" w:before="10"/>
              <w:ind w:left="114" w:right="88"/>
              <w:rPr>
                <w:sz w:val="19"/>
              </w:rPr>
            </w:pPr>
            <w:r>
              <w:rPr>
                <w:sz w:val="19"/>
              </w:rPr>
              <w:t>The</w:t>
            </w:r>
            <w:r>
              <w:rPr>
                <w:spacing w:val="-13"/>
                <w:sz w:val="19"/>
              </w:rPr>
              <w:t> </w:t>
            </w:r>
            <w:r>
              <w:rPr>
                <w:sz w:val="19"/>
              </w:rPr>
              <w:t>purpose</w:t>
            </w:r>
            <w:r>
              <w:rPr>
                <w:spacing w:val="-13"/>
                <w:sz w:val="19"/>
              </w:rPr>
              <w:t> </w:t>
            </w:r>
            <w:r>
              <w:rPr>
                <w:sz w:val="19"/>
              </w:rPr>
              <w:t>of</w:t>
            </w:r>
            <w:r>
              <w:rPr>
                <w:spacing w:val="-13"/>
                <w:sz w:val="19"/>
              </w:rPr>
              <w:t> </w:t>
            </w:r>
            <w:r>
              <w:rPr>
                <w:sz w:val="19"/>
              </w:rPr>
              <w:t>the</w:t>
            </w:r>
            <w:r>
              <w:rPr>
                <w:spacing w:val="-12"/>
                <w:sz w:val="19"/>
              </w:rPr>
              <w:t> </w:t>
            </w:r>
            <w:r>
              <w:rPr>
                <w:sz w:val="19"/>
              </w:rPr>
              <w:t>special</w:t>
            </w:r>
            <w:r>
              <w:rPr>
                <w:spacing w:val="-13"/>
                <w:sz w:val="19"/>
              </w:rPr>
              <w:t> </w:t>
            </w:r>
            <w:r>
              <w:rPr>
                <w:sz w:val="19"/>
              </w:rPr>
              <w:t>account</w:t>
            </w:r>
            <w:r>
              <w:rPr>
                <w:spacing w:val="-13"/>
                <w:sz w:val="19"/>
              </w:rPr>
              <w:t> </w:t>
            </w:r>
            <w:r>
              <w:rPr>
                <w:sz w:val="19"/>
              </w:rPr>
              <w:t>is</w:t>
            </w:r>
            <w:r>
              <w:rPr>
                <w:spacing w:val="-12"/>
                <w:sz w:val="19"/>
              </w:rPr>
              <w:t> </w:t>
            </w:r>
            <w:r>
              <w:rPr>
                <w:sz w:val="19"/>
              </w:rPr>
              <w:t>to</w:t>
            </w:r>
            <w:r>
              <w:rPr>
                <w:spacing w:val="-13"/>
                <w:sz w:val="19"/>
              </w:rPr>
              <w:t> </w:t>
            </w:r>
            <w:r>
              <w:rPr>
                <w:sz w:val="19"/>
              </w:rPr>
              <w:t>hold</w:t>
            </w:r>
            <w:r>
              <w:rPr>
                <w:spacing w:val="-13"/>
                <w:sz w:val="19"/>
              </w:rPr>
              <w:t> </w:t>
            </w:r>
            <w:r>
              <w:rPr>
                <w:sz w:val="19"/>
              </w:rPr>
              <w:t>taxation collections</w:t>
            </w:r>
            <w:r>
              <w:rPr>
                <w:spacing w:val="-10"/>
                <w:sz w:val="19"/>
              </w:rPr>
              <w:t> </w:t>
            </w:r>
            <w:r>
              <w:rPr>
                <w:sz w:val="19"/>
              </w:rPr>
              <w:t>pending</w:t>
            </w:r>
            <w:r>
              <w:rPr>
                <w:spacing w:val="-10"/>
                <w:sz w:val="19"/>
              </w:rPr>
              <w:t> </w:t>
            </w:r>
            <w:r>
              <w:rPr>
                <w:sz w:val="19"/>
              </w:rPr>
              <w:t>transfer</w:t>
            </w:r>
            <w:r>
              <w:rPr>
                <w:spacing w:val="-9"/>
                <w:sz w:val="19"/>
              </w:rPr>
              <w:t> </w:t>
            </w:r>
            <w:r>
              <w:rPr>
                <w:sz w:val="19"/>
              </w:rPr>
              <w:t>to</w:t>
            </w:r>
            <w:r>
              <w:rPr>
                <w:spacing w:val="-10"/>
                <w:sz w:val="19"/>
              </w:rPr>
              <w:t> </w:t>
            </w:r>
            <w:r>
              <w:rPr>
                <w:sz w:val="19"/>
              </w:rPr>
              <w:t>the</w:t>
            </w:r>
            <w:r>
              <w:rPr>
                <w:spacing w:val="-10"/>
                <w:sz w:val="19"/>
              </w:rPr>
              <w:t> </w:t>
            </w:r>
            <w:r>
              <w:rPr>
                <w:sz w:val="19"/>
              </w:rPr>
              <w:t>Commonwealth</w:t>
            </w:r>
          </w:p>
          <w:p>
            <w:pPr>
              <w:pStyle w:val="TableParagraph"/>
              <w:spacing w:line="249" w:lineRule="auto" w:before="1"/>
              <w:ind w:left="114" w:right="369"/>
              <w:rPr>
                <w:sz w:val="19"/>
              </w:rPr>
            </w:pPr>
            <w:r>
              <w:rPr>
                <w:sz w:val="19"/>
              </w:rPr>
              <w:t>of Australia in accordance with the Service Level Agreement entered into with the </w:t>
            </w:r>
            <w:r>
              <w:rPr>
                <w:spacing w:val="-2"/>
                <w:sz w:val="19"/>
              </w:rPr>
              <w:t>Commonwealth.</w:t>
            </w:r>
          </w:p>
        </w:tc>
        <w:tc>
          <w:tcPr>
            <w:tcW w:w="1417" w:type="dxa"/>
            <w:tcBorders>
              <w:top w:val="nil"/>
              <w:left w:val="nil"/>
              <w:bottom w:val="nil"/>
              <w:right w:val="nil"/>
            </w:tcBorders>
            <w:shd w:val="clear" w:color="auto" w:fill="DFE1B8"/>
          </w:tcPr>
          <w:p>
            <w:pPr>
              <w:pStyle w:val="TableParagraph"/>
              <w:spacing w:before="0"/>
              <w:rPr>
                <w:rFonts w:ascii="Times New Roman"/>
                <w:sz w:val="20"/>
              </w:rPr>
            </w:pPr>
          </w:p>
        </w:tc>
        <w:tc>
          <w:tcPr>
            <w:tcW w:w="1417" w:type="dxa"/>
            <w:tcBorders>
              <w:left w:val="nil"/>
            </w:tcBorders>
            <w:shd w:val="clear" w:color="auto" w:fill="F4F4F4"/>
          </w:tcPr>
          <w:p>
            <w:pPr>
              <w:pStyle w:val="TableParagraph"/>
              <w:spacing w:before="0"/>
              <w:rPr>
                <w:rFonts w:ascii="Times New Roman"/>
                <w:sz w:val="20"/>
              </w:rPr>
            </w:pPr>
          </w:p>
        </w:tc>
      </w:tr>
      <w:tr>
        <w:trPr>
          <w:trHeight w:val="307" w:hRule="atLeast"/>
        </w:trPr>
        <w:tc>
          <w:tcPr>
            <w:tcW w:w="4606" w:type="dxa"/>
            <w:tcBorders>
              <w:right w:val="nil"/>
            </w:tcBorders>
            <w:shd w:val="clear" w:color="auto" w:fill="FAF9F9"/>
          </w:tcPr>
          <w:p>
            <w:pPr>
              <w:pStyle w:val="TableParagraph"/>
              <w:ind w:left="114"/>
              <w:rPr>
                <w:sz w:val="19"/>
              </w:rPr>
            </w:pPr>
            <w:r>
              <w:rPr>
                <w:sz w:val="19"/>
              </w:rPr>
              <w:t>Balance at the start of period</w:t>
            </w:r>
          </w:p>
        </w:tc>
        <w:tc>
          <w:tcPr>
            <w:tcW w:w="1417" w:type="dxa"/>
            <w:tcBorders>
              <w:top w:val="nil"/>
              <w:left w:val="nil"/>
              <w:bottom w:val="nil"/>
              <w:right w:val="nil"/>
            </w:tcBorders>
            <w:shd w:val="clear" w:color="auto" w:fill="DFE1B8"/>
          </w:tcPr>
          <w:p>
            <w:pPr>
              <w:pStyle w:val="TableParagraph"/>
              <w:ind w:right="99"/>
              <w:jc w:val="right"/>
              <w:rPr>
                <w:sz w:val="19"/>
              </w:rPr>
            </w:pPr>
            <w:r>
              <w:rPr>
                <w:w w:val="95"/>
                <w:sz w:val="19"/>
              </w:rPr>
              <w:t>382</w:t>
            </w:r>
          </w:p>
        </w:tc>
        <w:tc>
          <w:tcPr>
            <w:tcW w:w="1417" w:type="dxa"/>
            <w:tcBorders>
              <w:left w:val="nil"/>
            </w:tcBorders>
            <w:shd w:val="clear" w:color="auto" w:fill="FAF9F9"/>
          </w:tcPr>
          <w:p>
            <w:pPr>
              <w:pStyle w:val="TableParagraph"/>
              <w:ind w:right="89"/>
              <w:jc w:val="right"/>
              <w:rPr>
                <w:sz w:val="19"/>
              </w:rPr>
            </w:pPr>
            <w:r>
              <w:rPr>
                <w:w w:val="95"/>
                <w:sz w:val="19"/>
              </w:rPr>
              <w:t>150</w:t>
            </w:r>
          </w:p>
        </w:tc>
      </w:tr>
      <w:tr>
        <w:trPr>
          <w:trHeight w:val="307" w:hRule="atLeast"/>
        </w:trPr>
        <w:tc>
          <w:tcPr>
            <w:tcW w:w="4606" w:type="dxa"/>
            <w:tcBorders>
              <w:right w:val="nil"/>
            </w:tcBorders>
            <w:shd w:val="clear" w:color="auto" w:fill="F4F4F4"/>
          </w:tcPr>
          <w:p>
            <w:pPr>
              <w:pStyle w:val="TableParagraph"/>
              <w:ind w:left="114"/>
              <w:rPr>
                <w:sz w:val="19"/>
              </w:rPr>
            </w:pPr>
            <w:r>
              <w:rPr>
                <w:sz w:val="19"/>
              </w:rPr>
              <w:t>Receipts</w:t>
            </w:r>
          </w:p>
        </w:tc>
        <w:tc>
          <w:tcPr>
            <w:tcW w:w="1417" w:type="dxa"/>
            <w:tcBorders>
              <w:top w:val="nil"/>
              <w:left w:val="nil"/>
              <w:bottom w:val="nil"/>
              <w:right w:val="nil"/>
            </w:tcBorders>
            <w:shd w:val="clear" w:color="auto" w:fill="DFE1B8"/>
          </w:tcPr>
          <w:p>
            <w:pPr>
              <w:pStyle w:val="TableParagraph"/>
              <w:ind w:right="99"/>
              <w:jc w:val="right"/>
              <w:rPr>
                <w:sz w:val="19"/>
              </w:rPr>
            </w:pPr>
            <w:r>
              <w:rPr>
                <w:w w:val="95"/>
                <w:sz w:val="19"/>
              </w:rPr>
              <w:t>5,065</w:t>
            </w:r>
          </w:p>
        </w:tc>
        <w:tc>
          <w:tcPr>
            <w:tcW w:w="1417" w:type="dxa"/>
            <w:tcBorders>
              <w:left w:val="nil"/>
            </w:tcBorders>
            <w:shd w:val="clear" w:color="auto" w:fill="F4F4F4"/>
          </w:tcPr>
          <w:p>
            <w:pPr>
              <w:pStyle w:val="TableParagraph"/>
              <w:ind w:right="89"/>
              <w:jc w:val="right"/>
              <w:rPr>
                <w:sz w:val="19"/>
              </w:rPr>
            </w:pPr>
            <w:r>
              <w:rPr>
                <w:w w:val="95"/>
                <w:sz w:val="19"/>
              </w:rPr>
              <w:t>5,037</w:t>
            </w:r>
          </w:p>
        </w:tc>
      </w:tr>
      <w:tr>
        <w:trPr>
          <w:trHeight w:val="307" w:hRule="atLeast"/>
        </w:trPr>
        <w:tc>
          <w:tcPr>
            <w:tcW w:w="4606" w:type="dxa"/>
            <w:tcBorders>
              <w:right w:val="nil"/>
            </w:tcBorders>
            <w:shd w:val="clear" w:color="auto" w:fill="FAF9F9"/>
          </w:tcPr>
          <w:p>
            <w:pPr>
              <w:pStyle w:val="TableParagraph"/>
              <w:ind w:left="114"/>
              <w:rPr>
                <w:sz w:val="19"/>
              </w:rPr>
            </w:pPr>
            <w:r>
              <w:rPr>
                <w:sz w:val="19"/>
              </w:rPr>
              <w:t>Payments</w:t>
            </w:r>
          </w:p>
        </w:tc>
        <w:tc>
          <w:tcPr>
            <w:tcW w:w="1417" w:type="dxa"/>
            <w:tcBorders>
              <w:top w:val="nil"/>
              <w:left w:val="nil"/>
              <w:bottom w:val="single" w:sz="4" w:space="0" w:color="000000"/>
              <w:right w:val="nil"/>
            </w:tcBorders>
            <w:shd w:val="clear" w:color="auto" w:fill="DFE1B8"/>
          </w:tcPr>
          <w:p>
            <w:pPr>
              <w:pStyle w:val="TableParagraph"/>
              <w:ind w:right="99"/>
              <w:jc w:val="right"/>
              <w:rPr>
                <w:sz w:val="19"/>
              </w:rPr>
            </w:pPr>
            <w:r>
              <w:rPr>
                <w:w w:val="90"/>
                <w:sz w:val="19"/>
              </w:rPr>
              <w:t>(4,112)</w:t>
            </w:r>
          </w:p>
        </w:tc>
        <w:tc>
          <w:tcPr>
            <w:tcW w:w="1417" w:type="dxa"/>
            <w:tcBorders>
              <w:left w:val="nil"/>
              <w:bottom w:val="single" w:sz="4" w:space="0" w:color="000000"/>
            </w:tcBorders>
            <w:shd w:val="clear" w:color="auto" w:fill="FAF9F9"/>
          </w:tcPr>
          <w:p>
            <w:pPr>
              <w:pStyle w:val="TableParagraph"/>
              <w:ind w:right="89"/>
              <w:jc w:val="right"/>
              <w:rPr>
                <w:sz w:val="19"/>
              </w:rPr>
            </w:pPr>
            <w:r>
              <w:rPr>
                <w:w w:val="90"/>
                <w:sz w:val="19"/>
              </w:rPr>
              <w:t>(4,805)</w:t>
            </w:r>
          </w:p>
        </w:tc>
      </w:tr>
      <w:tr>
        <w:trPr>
          <w:trHeight w:val="277" w:hRule="atLeast"/>
        </w:trPr>
        <w:tc>
          <w:tcPr>
            <w:tcW w:w="4606" w:type="dxa"/>
            <w:tcBorders>
              <w:right w:val="nil"/>
            </w:tcBorders>
            <w:shd w:val="clear" w:color="auto" w:fill="F4F4F4"/>
          </w:tcPr>
          <w:p>
            <w:pPr>
              <w:pStyle w:val="TableParagraph"/>
              <w:ind w:left="114"/>
              <w:rPr>
                <w:b/>
                <w:sz w:val="19"/>
              </w:rPr>
            </w:pPr>
            <w:r>
              <w:rPr>
                <w:b/>
                <w:sz w:val="19"/>
              </w:rPr>
              <w:t>Balance at the end of period</w:t>
            </w:r>
          </w:p>
        </w:tc>
        <w:tc>
          <w:tcPr>
            <w:tcW w:w="1417" w:type="dxa"/>
            <w:tcBorders>
              <w:top w:val="single" w:sz="4" w:space="0" w:color="000000"/>
              <w:left w:val="nil"/>
              <w:bottom w:val="single" w:sz="24" w:space="0" w:color="FFFFFF"/>
              <w:right w:val="nil"/>
            </w:tcBorders>
            <w:shd w:val="clear" w:color="auto" w:fill="DFE1B8"/>
          </w:tcPr>
          <w:p>
            <w:pPr>
              <w:pStyle w:val="TableParagraph"/>
              <w:ind w:right="99"/>
              <w:jc w:val="right"/>
              <w:rPr>
                <w:b/>
                <w:sz w:val="19"/>
              </w:rPr>
            </w:pPr>
            <w:r>
              <w:rPr>
                <w:b/>
                <w:w w:val="95"/>
                <w:sz w:val="19"/>
              </w:rPr>
              <w:t>1,335</w:t>
            </w:r>
          </w:p>
        </w:tc>
        <w:tc>
          <w:tcPr>
            <w:tcW w:w="1417" w:type="dxa"/>
            <w:tcBorders>
              <w:top w:val="single" w:sz="4" w:space="0" w:color="000000"/>
              <w:left w:val="nil"/>
              <w:bottom w:val="single" w:sz="24" w:space="0" w:color="FFFFFF"/>
            </w:tcBorders>
            <w:shd w:val="clear" w:color="auto" w:fill="F4F4F4"/>
          </w:tcPr>
          <w:p>
            <w:pPr>
              <w:pStyle w:val="TableParagraph"/>
              <w:ind w:right="88"/>
              <w:jc w:val="right"/>
              <w:rPr>
                <w:b/>
                <w:sz w:val="19"/>
              </w:rPr>
            </w:pPr>
            <w:r>
              <w:rPr>
                <w:b/>
                <w:w w:val="95"/>
                <w:sz w:val="19"/>
              </w:rPr>
              <w:t>382</w:t>
            </w:r>
          </w:p>
        </w:tc>
      </w:tr>
    </w:tbl>
    <w:p>
      <w:pPr>
        <w:spacing w:after="0"/>
        <w:jc w:val="right"/>
        <w:rPr>
          <w:sz w:val="19"/>
        </w:rPr>
        <w:sectPr>
          <w:type w:val="continuous"/>
          <w:pgSz w:w="16840" w:h="11910" w:orient="landscape"/>
          <w:pgMar w:top="0" w:bottom="0" w:left="0" w:right="0"/>
        </w:sectPr>
      </w:pPr>
    </w:p>
    <w:p>
      <w:pPr>
        <w:pStyle w:val="BodyText"/>
        <w:ind w:left="2397"/>
        <w:rPr>
          <w:sz w:val="20"/>
        </w:rPr>
      </w:pPr>
      <w:r>
        <w:rPr>
          <w:sz w:val="20"/>
        </w:rPr>
        <w:pict>
          <v:group style="width:361.25pt;height:42.55pt;mso-position-horizontal-relative:char;mso-position-vertical-relative:line" coordorigin="0,0" coordsize="7225,851">
            <v:rect style="position:absolute;left:4819;top:0;width:2406;height:851" filled="true" fillcolor="#e6e7e8" stroked="false">
              <v:fill type="solid"/>
            </v:rect>
            <v:shape style="position:absolute;left:4819;top:0;width:583;height:583" type="#_x0000_t75" stroked="false">
              <v:imagedata r:id="rId174" o:title=""/>
            </v:shape>
            <v:shape style="position:absolute;left:4819;top:0;width:2405;height:851" type="#_x0000_t202" filled="false" stroked="false">
              <v:textbox inset="0,0,0,0">
                <w:txbxContent>
                  <w:p>
                    <w:pPr>
                      <w:spacing w:line="249" w:lineRule="auto" w:before="182"/>
                      <w:ind w:left="587" w:right="0" w:firstLine="125"/>
                      <w:jc w:val="left"/>
                      <w:rPr>
                        <w:sz w:val="20"/>
                      </w:rPr>
                    </w:pPr>
                    <w:hyperlink w:history="true" w:anchor="_bookmark19">
                      <w:r>
                        <w:rPr>
                          <w:color w:val="6F2770"/>
                          <w:sz w:val="20"/>
                        </w:rPr>
                        <w:t>FINANCIAL</w:t>
                      </w:r>
                    </w:hyperlink>
                    <w:r>
                      <w:rPr>
                        <w:color w:val="6F2770"/>
                        <w:sz w:val="20"/>
                      </w:rPr>
                      <w:t> </w:t>
                    </w:r>
                    <w:hyperlink w:history="true" w:anchor="_bookmark19">
                      <w:r>
                        <w:rPr>
                          <w:color w:val="6F2770"/>
                          <w:w w:val="90"/>
                          <w:sz w:val="20"/>
                        </w:rPr>
                        <w:t>STATEMENTS</w:t>
                      </w:r>
                    </w:hyperlink>
                  </w:p>
                </w:txbxContent>
              </v:textbox>
              <w10:wrap type="none"/>
            </v:shape>
            <v:shape style="position:absolute;left:2404;top:0;width:2416;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0;top:0;width:2405;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5"/>
        <w:rPr>
          <w:sz w:val="21"/>
        </w:rPr>
      </w:pPr>
    </w:p>
    <w:p>
      <w:pPr>
        <w:spacing w:before="92"/>
        <w:ind w:left="765" w:right="0" w:firstLine="0"/>
        <w:jc w:val="left"/>
        <w:rPr>
          <w:sz w:val="72"/>
        </w:rPr>
      </w:pPr>
      <w:r>
        <w:rPr/>
        <w:pict>
          <v:group style="position:absolute;margin-left:763.172119pt;margin-top:-3.594212pt;width:61.1pt;height:45.2pt;mso-position-horizontal-relative:page;mso-position-vertical-relative:paragraph;z-index:28456" coordorigin="15263,-72" coordsize="1222,904">
            <v:shape style="position:absolute;left:15424;top:-72;width:900;height:904" coordorigin="15424,-72" coordsize="900,904" path="m15874,-72l15424,378,15424,381,15874,831,16324,381,16324,378,15874,-72xe" filled="true" fillcolor="#c4cd71" stroked="false">
              <v:path arrowok="t"/>
              <v:fill type="solid"/>
            </v:shape>
            <v:shape style="position:absolute;left:15263;top:218;width:161;height:322" type="#_x0000_t75" stroked="false">
              <v:imagedata r:id="rId16" o:title=""/>
            </v:shape>
            <v:shape style="position:absolute;left:16324;top:218;width:161;height:322" type="#_x0000_t75" stroked="false">
              <v:imagedata r:id="rId11" o:title=""/>
            </v:shape>
            <v:shape style="position:absolute;left:15263;top:-7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57.37421pt;width:120.3pt;height:42.55pt;mso-position-horizontal-relative:page;mso-position-vertical-relative:paragraph;z-index:28504" coordorigin="0,-1147" coordsize="2406,851">
            <v:rect style="position:absolute;left:0;top:-1148;width:2406;height:851" filled="true" fillcolor="#aebd37" stroked="false">
              <v:fill type="solid"/>
            </v:rect>
            <v:line style="position:absolute" from="0,-1147" to="0,-297" stroked="true" strokeweight="0pt" strokecolor="#aebd37">
              <v:stroke dashstyle="solid"/>
            </v:line>
            <v:shape style="position:absolute;left:0;top:-1148;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group style="position:absolute;margin-left:481.080994pt;margin-top:-57.37421pt;width:360.85pt;height:42.55pt;mso-position-horizontal-relative:page;mso-position-vertical-relative:paragraph;z-index:28600" coordorigin="9622,-1147" coordsize="7217,851">
            <v:rect style="position:absolute;left:14432;top:-1148;width:2406;height:851" filled="true" fillcolor="#aebd37" stroked="false">
              <v:fill type="solid"/>
            </v:rect>
            <v:shape style="position:absolute;left:14432;top:-1148;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148;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148;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w10:wrap type="none"/>
          </v:group>
        </w:pict>
      </w:r>
      <w:r>
        <w:rPr>
          <w:color w:val="6F2770"/>
          <w:spacing w:val="-18"/>
          <w:sz w:val="72"/>
        </w:rPr>
        <w:t>Notes </w:t>
      </w:r>
      <w:r>
        <w:rPr>
          <w:color w:val="6F2770"/>
          <w:spacing w:val="-17"/>
          <w:sz w:val="72"/>
        </w:rPr>
        <w:t>to </w:t>
      </w:r>
      <w:r>
        <w:rPr>
          <w:color w:val="6F2770"/>
          <w:spacing w:val="-10"/>
          <w:sz w:val="72"/>
        </w:rPr>
        <w:t>the </w:t>
      </w:r>
      <w:r>
        <w:rPr>
          <w:color w:val="6F2770"/>
          <w:spacing w:val="-14"/>
          <w:sz w:val="72"/>
        </w:rPr>
        <w:t>Financial</w:t>
      </w:r>
      <w:r>
        <w:rPr>
          <w:color w:val="6F2770"/>
          <w:spacing w:val="-89"/>
          <w:sz w:val="72"/>
        </w:rPr>
        <w:t> </w:t>
      </w:r>
      <w:r>
        <w:rPr>
          <w:color w:val="6F2770"/>
          <w:spacing w:val="-17"/>
          <w:sz w:val="72"/>
        </w:rPr>
        <w:t>Statements</w:t>
      </w:r>
    </w:p>
    <w:p>
      <w:pPr>
        <w:spacing w:before="30"/>
        <w:ind w:left="765" w:right="0" w:firstLine="0"/>
        <w:jc w:val="left"/>
        <w:rPr>
          <w:sz w:val="36"/>
        </w:rPr>
      </w:pPr>
      <w:r>
        <w:rPr>
          <w:color w:val="A7BE39"/>
          <w:sz w:val="36"/>
        </w:rPr>
        <w:t>For the year ended 30 June 2017</w:t>
      </w:r>
    </w:p>
    <w:p>
      <w:pPr>
        <w:pStyle w:val="BodyText"/>
        <w:spacing w:before="10"/>
        <w:rPr>
          <w:sz w:val="12"/>
        </w:rPr>
      </w:pPr>
    </w:p>
    <w:p>
      <w:pPr>
        <w:spacing w:after="0"/>
        <w:rPr>
          <w:sz w:val="12"/>
        </w:rPr>
        <w:sectPr>
          <w:footerReference w:type="default" r:id="rId245"/>
          <w:pgSz w:w="16840" w:h="11910" w:orient="landscape"/>
          <w:pgMar w:footer="448" w:header="0" w:top="0" w:bottom="640" w:left="0" w:right="0"/>
        </w:sectPr>
      </w:pPr>
    </w:p>
    <w:p>
      <w:pPr>
        <w:spacing w:line="235" w:lineRule="auto" w:before="115"/>
        <w:ind w:left="765" w:right="31" w:firstLine="0"/>
        <w:jc w:val="left"/>
        <w:rPr>
          <w:sz w:val="32"/>
        </w:rPr>
      </w:pPr>
      <w:r>
        <w:rPr/>
        <w:pict>
          <v:shape style="position:absolute;margin-left:431.574799pt;margin-top:38.034245pt;width:373.55pt;height:337.5pt;mso-position-horizontal-relative:page;mso-position-vertical-relative:paragraph;z-index:28624" type="#_x0000_t202" filled="false" stroked="false">
            <v:textbox inset="0,0,0,0">
              <w:txbxContent>
                <w:tbl>
                  <w:tblPr>
                    <w:tblW w:w="0" w:type="auto"/>
                    <w:jc w:val="lef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606"/>
                    <w:gridCol w:w="1417"/>
                    <w:gridCol w:w="1417"/>
                  </w:tblGrid>
                  <w:tr>
                    <w:trPr>
                      <w:trHeight w:val="533" w:hRule="atLeast"/>
                    </w:trPr>
                    <w:tc>
                      <w:tcPr>
                        <w:tcW w:w="7440" w:type="dxa"/>
                        <w:gridSpan w:val="3"/>
                        <w:tcBorders>
                          <w:top w:val="nil"/>
                          <w:bottom w:val="nil"/>
                          <w:right w:val="nil"/>
                        </w:tcBorders>
                        <w:shd w:val="clear" w:color="auto" w:fill="783A79"/>
                      </w:tcPr>
                      <w:p>
                        <w:pPr>
                          <w:pStyle w:val="TableParagraph"/>
                          <w:tabs>
                            <w:tab w:pos="1417" w:val="left" w:leader="none"/>
                          </w:tabs>
                          <w:spacing w:before="42"/>
                          <w:ind w:right="100"/>
                          <w:jc w:val="right"/>
                          <w:rPr>
                            <w:b/>
                            <w:sz w:val="19"/>
                          </w:rPr>
                        </w:pPr>
                        <w:r>
                          <w:rPr>
                            <w:b/>
                            <w:color w:val="FFFFFF"/>
                            <w:sz w:val="19"/>
                          </w:rPr>
                          <w:t>2017</w:t>
                          <w:tab/>
                        </w:r>
                        <w:r>
                          <w:rPr>
                            <w:b/>
                            <w:color w:val="FFFFFF"/>
                            <w:w w:val="95"/>
                            <w:sz w:val="19"/>
                          </w:rPr>
                          <w:t>2016</w:t>
                        </w:r>
                      </w:p>
                      <w:p>
                        <w:pPr>
                          <w:pStyle w:val="TableParagraph"/>
                          <w:tabs>
                            <w:tab w:pos="1417" w:val="left" w:leader="none"/>
                          </w:tabs>
                          <w:spacing w:before="10"/>
                          <w:ind w:right="100"/>
                          <w:jc w:val="right"/>
                          <w:rPr>
                            <w:b/>
                            <w:sz w:val="19"/>
                          </w:rPr>
                        </w:pPr>
                        <w:r>
                          <w:rPr>
                            <w:b/>
                            <w:color w:val="FFFFFF"/>
                            <w:sz w:val="19"/>
                          </w:rPr>
                          <w:t>$000</w:t>
                          <w:tab/>
                        </w:r>
                        <w:r>
                          <w:rPr>
                            <w:b/>
                            <w:color w:val="FFFFFF"/>
                            <w:w w:val="95"/>
                            <w:sz w:val="19"/>
                          </w:rPr>
                          <w:t>$000</w:t>
                        </w:r>
                      </w:p>
                    </w:tc>
                  </w:tr>
                  <w:tr>
                    <w:trPr>
                      <w:trHeight w:val="317" w:hRule="atLeast"/>
                    </w:trPr>
                    <w:tc>
                      <w:tcPr>
                        <w:tcW w:w="4606" w:type="dxa"/>
                        <w:tcBorders>
                          <w:top w:val="nil"/>
                          <w:right w:val="nil"/>
                        </w:tcBorders>
                        <w:shd w:val="clear" w:color="auto" w:fill="F4F4F4"/>
                      </w:tcPr>
                      <w:p>
                        <w:pPr>
                          <w:pStyle w:val="TableParagraph"/>
                          <w:spacing w:before="42"/>
                          <w:ind w:left="113"/>
                          <w:rPr>
                            <w:i/>
                            <w:sz w:val="19"/>
                          </w:rPr>
                        </w:pPr>
                        <w:r>
                          <w:rPr>
                            <w:i/>
                            <w:color w:val="A7BE39"/>
                            <w:sz w:val="19"/>
                          </w:rPr>
                          <w:t>Current Assets</w:t>
                        </w:r>
                      </w:p>
                    </w:tc>
                    <w:tc>
                      <w:tcPr>
                        <w:tcW w:w="1417" w:type="dxa"/>
                        <w:vMerge w:val="restart"/>
                        <w:tcBorders>
                          <w:top w:val="nil"/>
                          <w:left w:val="nil"/>
                          <w:bottom w:val="single" w:sz="4" w:space="0" w:color="000000"/>
                          <w:right w:val="nil"/>
                        </w:tcBorders>
                        <w:shd w:val="clear" w:color="auto" w:fill="E1E4BB"/>
                      </w:tcPr>
                      <w:p>
                        <w:pPr>
                          <w:pStyle w:val="TableParagraph"/>
                          <w:spacing w:before="1"/>
                          <w:rPr>
                            <w:sz w:val="32"/>
                          </w:rPr>
                        </w:pPr>
                      </w:p>
                      <w:p>
                        <w:pPr>
                          <w:pStyle w:val="TableParagraph"/>
                          <w:spacing w:before="0"/>
                          <w:ind w:left="605" w:right="80"/>
                          <w:jc w:val="center"/>
                          <w:rPr>
                            <w:sz w:val="19"/>
                          </w:rPr>
                        </w:pPr>
                        <w:r>
                          <w:rPr>
                            <w:sz w:val="19"/>
                          </w:rPr>
                          <w:t>667,048</w:t>
                        </w:r>
                      </w:p>
                      <w:p>
                        <w:pPr>
                          <w:pStyle w:val="TableParagraph"/>
                          <w:spacing w:before="109"/>
                          <w:ind w:left="711" w:right="80"/>
                          <w:jc w:val="center"/>
                          <w:rPr>
                            <w:sz w:val="19"/>
                          </w:rPr>
                        </w:pPr>
                        <w:r>
                          <w:rPr>
                            <w:sz w:val="19"/>
                          </w:rPr>
                          <w:t>39,847</w:t>
                        </w:r>
                      </w:p>
                      <w:p>
                        <w:pPr>
                          <w:pStyle w:val="TableParagraph"/>
                          <w:spacing w:before="109"/>
                          <w:ind w:left="711" w:right="80"/>
                          <w:jc w:val="center"/>
                          <w:rPr>
                            <w:sz w:val="19"/>
                          </w:rPr>
                        </w:pPr>
                        <w:r>
                          <w:rPr>
                            <w:sz w:val="19"/>
                          </w:rPr>
                          <w:t>19,536</w:t>
                        </w:r>
                      </w:p>
                    </w:tc>
                    <w:tc>
                      <w:tcPr>
                        <w:tcW w:w="1417" w:type="dxa"/>
                        <w:tcBorders>
                          <w:top w:val="nil"/>
                          <w:left w:val="nil"/>
                        </w:tcBorders>
                        <w:shd w:val="clear" w:color="auto" w:fill="F4F4F4"/>
                      </w:tcPr>
                      <w:p>
                        <w:pPr>
                          <w:pStyle w:val="TableParagraph"/>
                          <w:spacing w:before="0"/>
                          <w:rPr>
                            <w:rFonts w:ascii="Times New Roman"/>
                            <w:sz w:val="20"/>
                          </w:rPr>
                        </w:pPr>
                      </w:p>
                    </w:tc>
                  </w:tr>
                  <w:tr>
                    <w:trPr>
                      <w:trHeight w:val="307" w:hRule="atLeast"/>
                    </w:trPr>
                    <w:tc>
                      <w:tcPr>
                        <w:tcW w:w="4606" w:type="dxa"/>
                        <w:tcBorders>
                          <w:right w:val="nil"/>
                        </w:tcBorders>
                        <w:shd w:val="clear" w:color="auto" w:fill="FAF9F9"/>
                      </w:tcPr>
                      <w:p>
                        <w:pPr>
                          <w:pStyle w:val="TableParagraph"/>
                          <w:ind w:left="113"/>
                          <w:rPr>
                            <w:sz w:val="19"/>
                          </w:rPr>
                        </w:pPr>
                        <w:r>
                          <w:rPr>
                            <w:sz w:val="19"/>
                          </w:rPr>
                          <w:t>Taxation Receivable</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tcBorders>
                        <w:shd w:val="clear" w:color="auto" w:fill="FAF9F9"/>
                      </w:tcPr>
                      <w:p>
                        <w:pPr>
                          <w:pStyle w:val="TableParagraph"/>
                          <w:ind w:right="90"/>
                          <w:jc w:val="right"/>
                          <w:rPr>
                            <w:sz w:val="19"/>
                          </w:rPr>
                        </w:pPr>
                        <w:r>
                          <w:rPr>
                            <w:w w:val="95"/>
                            <w:sz w:val="19"/>
                          </w:rPr>
                          <w:t>540,566</w:t>
                        </w:r>
                      </w:p>
                    </w:tc>
                  </w:tr>
                  <w:tr>
                    <w:trPr>
                      <w:trHeight w:val="307" w:hRule="atLeast"/>
                    </w:trPr>
                    <w:tc>
                      <w:tcPr>
                        <w:tcW w:w="4606" w:type="dxa"/>
                        <w:tcBorders>
                          <w:right w:val="nil"/>
                        </w:tcBorders>
                        <w:shd w:val="clear" w:color="auto" w:fill="F4F4F4"/>
                      </w:tcPr>
                      <w:p>
                        <w:pPr>
                          <w:pStyle w:val="TableParagraph"/>
                          <w:ind w:left="113"/>
                          <w:rPr>
                            <w:sz w:val="19"/>
                          </w:rPr>
                        </w:pPr>
                        <w:r>
                          <w:rPr>
                            <w:sz w:val="19"/>
                          </w:rPr>
                          <w:t>Other Debtors</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tcBorders>
                        <w:shd w:val="clear" w:color="auto" w:fill="F4F4F4"/>
                      </w:tcPr>
                      <w:p>
                        <w:pPr>
                          <w:pStyle w:val="TableParagraph"/>
                          <w:ind w:right="89"/>
                          <w:jc w:val="right"/>
                          <w:rPr>
                            <w:sz w:val="19"/>
                          </w:rPr>
                        </w:pPr>
                        <w:r>
                          <w:rPr>
                            <w:w w:val="95"/>
                            <w:sz w:val="19"/>
                          </w:rPr>
                          <w:t>37,181</w:t>
                        </w:r>
                      </w:p>
                    </w:tc>
                  </w:tr>
                  <w:tr>
                    <w:trPr>
                      <w:trHeight w:val="307" w:hRule="atLeast"/>
                    </w:trPr>
                    <w:tc>
                      <w:tcPr>
                        <w:tcW w:w="4606" w:type="dxa"/>
                        <w:tcBorders>
                          <w:right w:val="nil"/>
                        </w:tcBorders>
                        <w:shd w:val="clear" w:color="auto" w:fill="FAF9F9"/>
                      </w:tcPr>
                      <w:p>
                        <w:pPr>
                          <w:pStyle w:val="TableParagraph"/>
                          <w:ind w:left="113"/>
                          <w:rPr>
                            <w:sz w:val="19"/>
                          </w:rPr>
                        </w:pPr>
                        <w:r>
                          <w:rPr>
                            <w:sz w:val="19"/>
                          </w:rPr>
                          <w:t>Other Current Assets</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bottom w:val="single" w:sz="4" w:space="0" w:color="000000"/>
                        </w:tcBorders>
                        <w:shd w:val="clear" w:color="auto" w:fill="FAF9F9"/>
                      </w:tcPr>
                      <w:p>
                        <w:pPr>
                          <w:pStyle w:val="TableParagraph"/>
                          <w:ind w:right="89"/>
                          <w:jc w:val="right"/>
                          <w:rPr>
                            <w:sz w:val="19"/>
                          </w:rPr>
                        </w:pPr>
                        <w:r>
                          <w:rPr>
                            <w:w w:val="95"/>
                            <w:sz w:val="19"/>
                          </w:rPr>
                          <w:t>20,778</w:t>
                        </w:r>
                      </w:p>
                    </w:tc>
                  </w:tr>
                  <w:tr>
                    <w:trPr>
                      <w:trHeight w:val="284" w:hRule="atLeast"/>
                    </w:trPr>
                    <w:tc>
                      <w:tcPr>
                        <w:tcW w:w="4606" w:type="dxa"/>
                        <w:tcBorders>
                          <w:right w:val="nil"/>
                        </w:tcBorders>
                        <w:shd w:val="clear" w:color="auto" w:fill="F4F4F4"/>
                      </w:tcPr>
                      <w:p>
                        <w:pPr>
                          <w:pStyle w:val="TableParagraph"/>
                          <w:ind w:left="114"/>
                          <w:rPr>
                            <w:b/>
                            <w:sz w:val="19"/>
                          </w:rPr>
                        </w:pPr>
                        <w:r>
                          <w:rPr>
                            <w:b/>
                            <w:sz w:val="19"/>
                          </w:rPr>
                          <w:t>Total Administered Current Assets</w:t>
                        </w:r>
                      </w:p>
                    </w:tc>
                    <w:tc>
                      <w:tcPr>
                        <w:tcW w:w="1417" w:type="dxa"/>
                        <w:tcBorders>
                          <w:top w:val="single" w:sz="4" w:space="0" w:color="000000"/>
                          <w:left w:val="nil"/>
                          <w:bottom w:val="double" w:sz="2" w:space="0" w:color="000000"/>
                          <w:right w:val="nil"/>
                        </w:tcBorders>
                        <w:shd w:val="clear" w:color="auto" w:fill="DFE1B8"/>
                      </w:tcPr>
                      <w:p>
                        <w:pPr>
                          <w:pStyle w:val="TableParagraph"/>
                          <w:ind w:right="100"/>
                          <w:jc w:val="right"/>
                          <w:rPr>
                            <w:b/>
                            <w:sz w:val="19"/>
                          </w:rPr>
                        </w:pPr>
                        <w:r>
                          <w:rPr>
                            <w:b/>
                            <w:w w:val="95"/>
                            <w:sz w:val="19"/>
                          </w:rPr>
                          <w:t>726,431</w:t>
                        </w:r>
                      </w:p>
                    </w:tc>
                    <w:tc>
                      <w:tcPr>
                        <w:tcW w:w="1417" w:type="dxa"/>
                        <w:tcBorders>
                          <w:top w:val="single" w:sz="4" w:space="0" w:color="000000"/>
                          <w:left w:val="nil"/>
                          <w:bottom w:val="double" w:sz="2" w:space="0" w:color="000000"/>
                        </w:tcBorders>
                        <w:shd w:val="clear" w:color="auto" w:fill="F4F4F4"/>
                      </w:tcPr>
                      <w:p>
                        <w:pPr>
                          <w:pStyle w:val="TableParagraph"/>
                          <w:ind w:right="89"/>
                          <w:jc w:val="right"/>
                          <w:rPr>
                            <w:b/>
                            <w:sz w:val="19"/>
                          </w:rPr>
                        </w:pPr>
                        <w:r>
                          <w:rPr>
                            <w:b/>
                            <w:w w:val="95"/>
                            <w:sz w:val="19"/>
                          </w:rPr>
                          <w:t>598,525</w:t>
                        </w:r>
                      </w:p>
                    </w:tc>
                  </w:tr>
                  <w:tr>
                    <w:trPr>
                      <w:trHeight w:val="304" w:hRule="atLeast"/>
                    </w:trPr>
                    <w:tc>
                      <w:tcPr>
                        <w:tcW w:w="4606" w:type="dxa"/>
                        <w:tcBorders>
                          <w:right w:val="nil"/>
                        </w:tcBorders>
                        <w:shd w:val="clear" w:color="auto" w:fill="FAF9F9"/>
                      </w:tcPr>
                      <w:p>
                        <w:pPr>
                          <w:pStyle w:val="TableParagraph"/>
                          <w:spacing w:before="0"/>
                          <w:rPr>
                            <w:rFonts w:ascii="Times New Roman"/>
                            <w:sz w:val="20"/>
                          </w:rPr>
                        </w:pPr>
                      </w:p>
                    </w:tc>
                    <w:tc>
                      <w:tcPr>
                        <w:tcW w:w="1417" w:type="dxa"/>
                        <w:vMerge w:val="restart"/>
                        <w:tcBorders>
                          <w:top w:val="double" w:sz="2" w:space="0" w:color="000000"/>
                          <w:left w:val="nil"/>
                          <w:bottom w:val="single" w:sz="4" w:space="0" w:color="000000"/>
                          <w:right w:val="nil"/>
                        </w:tcBorders>
                        <w:shd w:val="clear" w:color="auto" w:fill="DFE1B8"/>
                      </w:tcPr>
                      <w:p>
                        <w:pPr>
                          <w:pStyle w:val="TableParagraph"/>
                          <w:spacing w:before="0"/>
                          <w:rPr>
                            <w:sz w:val="22"/>
                          </w:rPr>
                        </w:pPr>
                      </w:p>
                      <w:p>
                        <w:pPr>
                          <w:pStyle w:val="TableParagraph"/>
                          <w:spacing w:before="0"/>
                          <w:rPr>
                            <w:sz w:val="22"/>
                          </w:rPr>
                        </w:pPr>
                      </w:p>
                      <w:p>
                        <w:pPr>
                          <w:pStyle w:val="TableParagraph"/>
                          <w:spacing w:before="178"/>
                          <w:ind w:left="734"/>
                          <w:rPr>
                            <w:sz w:val="19"/>
                          </w:rPr>
                        </w:pPr>
                        <w:r>
                          <w:rPr>
                            <w:sz w:val="19"/>
                          </w:rPr>
                          <w:t>51,300</w:t>
                        </w:r>
                      </w:p>
                    </w:tc>
                    <w:tc>
                      <w:tcPr>
                        <w:tcW w:w="1417" w:type="dxa"/>
                        <w:tcBorders>
                          <w:top w:val="double" w:sz="2" w:space="0" w:color="000000"/>
                          <w:left w:val="nil"/>
                        </w:tcBorders>
                        <w:shd w:val="clear" w:color="auto" w:fill="FAF9F9"/>
                      </w:tcPr>
                      <w:p>
                        <w:pPr>
                          <w:pStyle w:val="TableParagraph"/>
                          <w:spacing w:before="0"/>
                          <w:rPr>
                            <w:rFonts w:ascii="Times New Roman"/>
                            <w:sz w:val="20"/>
                          </w:rPr>
                        </w:pPr>
                      </w:p>
                    </w:tc>
                  </w:tr>
                  <w:tr>
                    <w:trPr>
                      <w:trHeight w:val="307" w:hRule="atLeast"/>
                    </w:trPr>
                    <w:tc>
                      <w:tcPr>
                        <w:tcW w:w="4606" w:type="dxa"/>
                        <w:tcBorders>
                          <w:right w:val="nil"/>
                        </w:tcBorders>
                        <w:shd w:val="clear" w:color="auto" w:fill="F4F4F4"/>
                      </w:tcPr>
                      <w:p>
                        <w:pPr>
                          <w:pStyle w:val="TableParagraph"/>
                          <w:ind w:left="114"/>
                          <w:rPr>
                            <w:i/>
                            <w:sz w:val="19"/>
                          </w:rPr>
                        </w:pPr>
                        <w:r>
                          <w:rPr>
                            <w:i/>
                            <w:color w:val="A7BE39"/>
                            <w:sz w:val="19"/>
                          </w:rPr>
                          <w:t>Non-Current Assets</w:t>
                        </w:r>
                      </w:p>
                    </w:tc>
                    <w:tc>
                      <w:tcPr>
                        <w:tcW w:w="1417" w:type="dxa"/>
                        <w:vMerge/>
                        <w:tcBorders>
                          <w:top w:val="nil"/>
                          <w:left w:val="nil"/>
                          <w:bottom w:val="single" w:sz="4" w:space="0" w:color="000000"/>
                          <w:right w:val="nil"/>
                        </w:tcBorders>
                        <w:shd w:val="clear" w:color="auto" w:fill="DFE1B8"/>
                      </w:tcPr>
                      <w:p>
                        <w:pPr>
                          <w:rPr>
                            <w:sz w:val="2"/>
                            <w:szCs w:val="2"/>
                          </w:rPr>
                        </w:pPr>
                      </w:p>
                    </w:tc>
                    <w:tc>
                      <w:tcPr>
                        <w:tcW w:w="1417" w:type="dxa"/>
                        <w:tcBorders>
                          <w:left w:val="nil"/>
                        </w:tcBorders>
                        <w:shd w:val="clear" w:color="auto" w:fill="F4F4F4"/>
                      </w:tcPr>
                      <w:p>
                        <w:pPr>
                          <w:pStyle w:val="TableParagraph"/>
                          <w:spacing w:before="0"/>
                          <w:rPr>
                            <w:rFonts w:ascii="Times New Roman"/>
                            <w:sz w:val="20"/>
                          </w:rPr>
                        </w:pPr>
                      </w:p>
                    </w:tc>
                  </w:tr>
                  <w:tr>
                    <w:trPr>
                      <w:trHeight w:val="307" w:hRule="atLeast"/>
                    </w:trPr>
                    <w:tc>
                      <w:tcPr>
                        <w:tcW w:w="4606" w:type="dxa"/>
                        <w:tcBorders>
                          <w:right w:val="nil"/>
                        </w:tcBorders>
                        <w:shd w:val="clear" w:color="auto" w:fill="FAF9F9"/>
                      </w:tcPr>
                      <w:p>
                        <w:pPr>
                          <w:pStyle w:val="TableParagraph"/>
                          <w:ind w:left="114"/>
                          <w:rPr>
                            <w:sz w:val="19"/>
                          </w:rPr>
                        </w:pPr>
                        <w:r>
                          <w:rPr>
                            <w:sz w:val="19"/>
                          </w:rPr>
                          <w:t>Other Receivables</w:t>
                        </w:r>
                      </w:p>
                    </w:tc>
                    <w:tc>
                      <w:tcPr>
                        <w:tcW w:w="1417" w:type="dxa"/>
                        <w:vMerge/>
                        <w:tcBorders>
                          <w:top w:val="nil"/>
                          <w:left w:val="nil"/>
                          <w:bottom w:val="single" w:sz="4" w:space="0" w:color="000000"/>
                          <w:right w:val="nil"/>
                        </w:tcBorders>
                        <w:shd w:val="clear" w:color="auto" w:fill="DFE1B8"/>
                      </w:tcPr>
                      <w:p>
                        <w:pPr>
                          <w:rPr>
                            <w:sz w:val="2"/>
                            <w:szCs w:val="2"/>
                          </w:rPr>
                        </w:pPr>
                      </w:p>
                    </w:tc>
                    <w:tc>
                      <w:tcPr>
                        <w:tcW w:w="1417" w:type="dxa"/>
                        <w:tcBorders>
                          <w:left w:val="nil"/>
                          <w:bottom w:val="single" w:sz="4" w:space="0" w:color="000000"/>
                        </w:tcBorders>
                        <w:shd w:val="clear" w:color="auto" w:fill="FAF9F9"/>
                      </w:tcPr>
                      <w:p>
                        <w:pPr>
                          <w:pStyle w:val="TableParagraph"/>
                          <w:ind w:right="89"/>
                          <w:jc w:val="right"/>
                          <w:rPr>
                            <w:sz w:val="19"/>
                          </w:rPr>
                        </w:pPr>
                        <w:r>
                          <w:rPr>
                            <w:w w:val="95"/>
                            <w:sz w:val="19"/>
                          </w:rPr>
                          <w:t>51,300</w:t>
                        </w:r>
                      </w:p>
                    </w:tc>
                  </w:tr>
                  <w:tr>
                    <w:trPr>
                      <w:trHeight w:val="307" w:hRule="atLeast"/>
                    </w:trPr>
                    <w:tc>
                      <w:tcPr>
                        <w:tcW w:w="4606" w:type="dxa"/>
                        <w:tcBorders>
                          <w:right w:val="nil"/>
                        </w:tcBorders>
                        <w:shd w:val="clear" w:color="auto" w:fill="F4F4F4"/>
                      </w:tcPr>
                      <w:p>
                        <w:pPr>
                          <w:pStyle w:val="TableParagraph"/>
                          <w:ind w:left="114"/>
                          <w:rPr>
                            <w:b/>
                            <w:sz w:val="19"/>
                          </w:rPr>
                        </w:pPr>
                        <w:r>
                          <w:rPr>
                            <w:b/>
                            <w:sz w:val="19"/>
                          </w:rPr>
                          <w:t>Total Administered Non-Current Assets</w:t>
                        </w:r>
                      </w:p>
                    </w:tc>
                    <w:tc>
                      <w:tcPr>
                        <w:tcW w:w="1417" w:type="dxa"/>
                        <w:tcBorders>
                          <w:top w:val="single" w:sz="4" w:space="0" w:color="000000"/>
                          <w:left w:val="nil"/>
                          <w:bottom w:val="single" w:sz="4" w:space="0" w:color="000000"/>
                          <w:right w:val="nil"/>
                        </w:tcBorders>
                        <w:shd w:val="clear" w:color="auto" w:fill="DFE1B8"/>
                      </w:tcPr>
                      <w:p>
                        <w:pPr>
                          <w:pStyle w:val="TableParagraph"/>
                          <w:ind w:right="99"/>
                          <w:jc w:val="right"/>
                          <w:rPr>
                            <w:b/>
                            <w:sz w:val="19"/>
                          </w:rPr>
                        </w:pPr>
                        <w:r>
                          <w:rPr>
                            <w:b/>
                            <w:w w:val="95"/>
                            <w:sz w:val="19"/>
                          </w:rPr>
                          <w:t>51,300</w:t>
                        </w:r>
                      </w:p>
                    </w:tc>
                    <w:tc>
                      <w:tcPr>
                        <w:tcW w:w="1417" w:type="dxa"/>
                        <w:tcBorders>
                          <w:top w:val="single" w:sz="4" w:space="0" w:color="000000"/>
                          <w:left w:val="nil"/>
                          <w:bottom w:val="single" w:sz="4" w:space="0" w:color="000000"/>
                        </w:tcBorders>
                        <w:shd w:val="clear" w:color="auto" w:fill="F4F4F4"/>
                      </w:tcPr>
                      <w:p>
                        <w:pPr>
                          <w:pStyle w:val="TableParagraph"/>
                          <w:ind w:right="89"/>
                          <w:jc w:val="right"/>
                          <w:rPr>
                            <w:b/>
                            <w:sz w:val="19"/>
                          </w:rPr>
                        </w:pPr>
                        <w:r>
                          <w:rPr>
                            <w:b/>
                            <w:w w:val="95"/>
                            <w:sz w:val="19"/>
                          </w:rPr>
                          <w:t>51,300</w:t>
                        </w:r>
                      </w:p>
                    </w:tc>
                  </w:tr>
                  <w:tr>
                    <w:trPr>
                      <w:trHeight w:val="284" w:hRule="atLeast"/>
                    </w:trPr>
                    <w:tc>
                      <w:tcPr>
                        <w:tcW w:w="4606" w:type="dxa"/>
                        <w:tcBorders>
                          <w:right w:val="nil"/>
                        </w:tcBorders>
                        <w:shd w:val="clear" w:color="auto" w:fill="FAF9F9"/>
                      </w:tcPr>
                      <w:p>
                        <w:pPr>
                          <w:pStyle w:val="TableParagraph"/>
                          <w:ind w:left="114"/>
                          <w:rPr>
                            <w:b/>
                            <w:sz w:val="19"/>
                          </w:rPr>
                        </w:pPr>
                        <w:r>
                          <w:rPr>
                            <w:b/>
                            <w:sz w:val="19"/>
                          </w:rPr>
                          <w:t>Total Administered Assets</w:t>
                        </w:r>
                      </w:p>
                    </w:tc>
                    <w:tc>
                      <w:tcPr>
                        <w:tcW w:w="1417" w:type="dxa"/>
                        <w:tcBorders>
                          <w:top w:val="single" w:sz="4" w:space="0" w:color="000000"/>
                          <w:left w:val="nil"/>
                          <w:bottom w:val="double" w:sz="2" w:space="0" w:color="000000"/>
                          <w:right w:val="nil"/>
                        </w:tcBorders>
                        <w:shd w:val="clear" w:color="auto" w:fill="E1E4BB"/>
                      </w:tcPr>
                      <w:p>
                        <w:pPr>
                          <w:pStyle w:val="TableParagraph"/>
                          <w:ind w:right="99"/>
                          <w:jc w:val="right"/>
                          <w:rPr>
                            <w:b/>
                            <w:sz w:val="19"/>
                          </w:rPr>
                        </w:pPr>
                        <w:r>
                          <w:rPr>
                            <w:b/>
                            <w:w w:val="95"/>
                            <w:sz w:val="19"/>
                          </w:rPr>
                          <w:t>777,731</w:t>
                        </w:r>
                      </w:p>
                    </w:tc>
                    <w:tc>
                      <w:tcPr>
                        <w:tcW w:w="1417" w:type="dxa"/>
                        <w:tcBorders>
                          <w:top w:val="single" w:sz="4" w:space="0" w:color="000000"/>
                          <w:left w:val="nil"/>
                          <w:bottom w:val="double" w:sz="2" w:space="0" w:color="000000"/>
                        </w:tcBorders>
                        <w:shd w:val="clear" w:color="auto" w:fill="FAF9F9"/>
                      </w:tcPr>
                      <w:p>
                        <w:pPr>
                          <w:pStyle w:val="TableParagraph"/>
                          <w:ind w:right="89"/>
                          <w:jc w:val="right"/>
                          <w:rPr>
                            <w:b/>
                            <w:sz w:val="19"/>
                          </w:rPr>
                        </w:pPr>
                        <w:r>
                          <w:rPr>
                            <w:b/>
                            <w:w w:val="95"/>
                            <w:sz w:val="19"/>
                          </w:rPr>
                          <w:t>649,825</w:t>
                        </w:r>
                      </w:p>
                    </w:tc>
                  </w:tr>
                  <w:tr>
                    <w:trPr>
                      <w:trHeight w:val="304" w:hRule="atLeast"/>
                    </w:trPr>
                    <w:tc>
                      <w:tcPr>
                        <w:tcW w:w="4606" w:type="dxa"/>
                        <w:tcBorders>
                          <w:right w:val="nil"/>
                        </w:tcBorders>
                        <w:shd w:val="clear" w:color="auto" w:fill="F4F4F4"/>
                      </w:tcPr>
                      <w:p>
                        <w:pPr>
                          <w:pStyle w:val="TableParagraph"/>
                          <w:spacing w:before="0"/>
                          <w:rPr>
                            <w:rFonts w:ascii="Times New Roman"/>
                            <w:sz w:val="20"/>
                          </w:rPr>
                        </w:pPr>
                      </w:p>
                    </w:tc>
                    <w:tc>
                      <w:tcPr>
                        <w:tcW w:w="1417" w:type="dxa"/>
                        <w:vMerge w:val="restart"/>
                        <w:tcBorders>
                          <w:top w:val="double" w:sz="2" w:space="0" w:color="000000"/>
                          <w:left w:val="nil"/>
                          <w:bottom w:val="single" w:sz="4" w:space="0" w:color="000000"/>
                          <w:right w:val="nil"/>
                        </w:tcBorders>
                        <w:shd w:val="clear" w:color="auto" w:fill="E1E4BB"/>
                      </w:tcPr>
                      <w:p>
                        <w:pPr>
                          <w:pStyle w:val="TableParagraph"/>
                          <w:spacing w:before="0"/>
                          <w:rPr>
                            <w:sz w:val="22"/>
                          </w:rPr>
                        </w:pPr>
                      </w:p>
                      <w:p>
                        <w:pPr>
                          <w:pStyle w:val="TableParagraph"/>
                          <w:spacing w:before="0"/>
                          <w:rPr>
                            <w:sz w:val="22"/>
                          </w:rPr>
                        </w:pPr>
                      </w:p>
                      <w:p>
                        <w:pPr>
                          <w:pStyle w:val="TableParagraph"/>
                          <w:spacing w:before="178"/>
                          <w:ind w:left="734"/>
                          <w:rPr>
                            <w:sz w:val="19"/>
                          </w:rPr>
                        </w:pPr>
                        <w:r>
                          <w:rPr>
                            <w:sz w:val="19"/>
                          </w:rPr>
                          <w:t>59,384</w:t>
                        </w:r>
                      </w:p>
                    </w:tc>
                    <w:tc>
                      <w:tcPr>
                        <w:tcW w:w="1417" w:type="dxa"/>
                        <w:tcBorders>
                          <w:top w:val="double" w:sz="2" w:space="0" w:color="000000"/>
                          <w:left w:val="nil"/>
                        </w:tcBorders>
                        <w:shd w:val="clear" w:color="auto" w:fill="F4F4F4"/>
                      </w:tcPr>
                      <w:p>
                        <w:pPr>
                          <w:pStyle w:val="TableParagraph"/>
                          <w:spacing w:before="0"/>
                          <w:rPr>
                            <w:rFonts w:ascii="Times New Roman"/>
                            <w:sz w:val="20"/>
                          </w:rPr>
                        </w:pPr>
                      </w:p>
                    </w:tc>
                  </w:tr>
                  <w:tr>
                    <w:trPr>
                      <w:trHeight w:val="307" w:hRule="atLeast"/>
                    </w:trPr>
                    <w:tc>
                      <w:tcPr>
                        <w:tcW w:w="4606" w:type="dxa"/>
                        <w:tcBorders>
                          <w:right w:val="nil"/>
                        </w:tcBorders>
                        <w:shd w:val="clear" w:color="auto" w:fill="FAF9F9"/>
                      </w:tcPr>
                      <w:p>
                        <w:pPr>
                          <w:pStyle w:val="TableParagraph"/>
                          <w:ind w:left="114"/>
                          <w:rPr>
                            <w:i/>
                            <w:sz w:val="19"/>
                          </w:rPr>
                        </w:pPr>
                        <w:r>
                          <w:rPr>
                            <w:i/>
                            <w:color w:val="A7BE39"/>
                            <w:sz w:val="19"/>
                          </w:rPr>
                          <w:t>Current Liabilities</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tcBorders>
                        <w:shd w:val="clear" w:color="auto" w:fill="FAF9F9"/>
                      </w:tcPr>
                      <w:p>
                        <w:pPr>
                          <w:pStyle w:val="TableParagraph"/>
                          <w:spacing w:before="0"/>
                          <w:rPr>
                            <w:rFonts w:ascii="Times New Roman"/>
                            <w:sz w:val="20"/>
                          </w:rPr>
                        </w:pPr>
                      </w:p>
                    </w:tc>
                  </w:tr>
                  <w:tr>
                    <w:trPr>
                      <w:trHeight w:val="307" w:hRule="atLeast"/>
                    </w:trPr>
                    <w:tc>
                      <w:tcPr>
                        <w:tcW w:w="4606" w:type="dxa"/>
                        <w:tcBorders>
                          <w:right w:val="nil"/>
                        </w:tcBorders>
                        <w:shd w:val="clear" w:color="auto" w:fill="F4F4F4"/>
                      </w:tcPr>
                      <w:p>
                        <w:pPr>
                          <w:pStyle w:val="TableParagraph"/>
                          <w:ind w:left="114"/>
                          <w:rPr>
                            <w:sz w:val="19"/>
                          </w:rPr>
                        </w:pPr>
                        <w:r>
                          <w:rPr>
                            <w:sz w:val="19"/>
                          </w:rPr>
                          <w:t>Other Payables</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bottom w:val="single" w:sz="4" w:space="0" w:color="000000"/>
                        </w:tcBorders>
                        <w:shd w:val="clear" w:color="auto" w:fill="F4F4F4"/>
                      </w:tcPr>
                      <w:p>
                        <w:pPr>
                          <w:pStyle w:val="TableParagraph"/>
                          <w:ind w:right="88"/>
                          <w:jc w:val="right"/>
                          <w:rPr>
                            <w:sz w:val="19"/>
                          </w:rPr>
                        </w:pPr>
                        <w:r>
                          <w:rPr>
                            <w:w w:val="95"/>
                            <w:sz w:val="19"/>
                          </w:rPr>
                          <w:t>57,960</w:t>
                        </w:r>
                      </w:p>
                    </w:tc>
                  </w:tr>
                  <w:tr>
                    <w:trPr>
                      <w:trHeight w:val="284" w:hRule="atLeast"/>
                    </w:trPr>
                    <w:tc>
                      <w:tcPr>
                        <w:tcW w:w="4606" w:type="dxa"/>
                        <w:tcBorders>
                          <w:right w:val="nil"/>
                        </w:tcBorders>
                        <w:shd w:val="clear" w:color="auto" w:fill="FAF9F9"/>
                      </w:tcPr>
                      <w:p>
                        <w:pPr>
                          <w:pStyle w:val="TableParagraph"/>
                          <w:ind w:left="115"/>
                          <w:rPr>
                            <w:b/>
                            <w:sz w:val="19"/>
                          </w:rPr>
                        </w:pPr>
                        <w:r>
                          <w:rPr>
                            <w:b/>
                            <w:sz w:val="19"/>
                          </w:rPr>
                          <w:t>Total Administered Current Liabilities</w:t>
                        </w:r>
                      </w:p>
                    </w:tc>
                    <w:tc>
                      <w:tcPr>
                        <w:tcW w:w="1417" w:type="dxa"/>
                        <w:tcBorders>
                          <w:top w:val="single" w:sz="4" w:space="0" w:color="000000"/>
                          <w:left w:val="nil"/>
                          <w:bottom w:val="double" w:sz="2" w:space="0" w:color="000000"/>
                          <w:right w:val="nil"/>
                        </w:tcBorders>
                        <w:shd w:val="clear" w:color="auto" w:fill="E1E4BB"/>
                      </w:tcPr>
                      <w:p>
                        <w:pPr>
                          <w:pStyle w:val="TableParagraph"/>
                          <w:ind w:right="99"/>
                          <w:jc w:val="right"/>
                          <w:rPr>
                            <w:b/>
                            <w:sz w:val="19"/>
                          </w:rPr>
                        </w:pPr>
                        <w:r>
                          <w:rPr>
                            <w:b/>
                            <w:w w:val="95"/>
                            <w:sz w:val="19"/>
                          </w:rPr>
                          <w:t>59,384</w:t>
                        </w:r>
                      </w:p>
                    </w:tc>
                    <w:tc>
                      <w:tcPr>
                        <w:tcW w:w="1417" w:type="dxa"/>
                        <w:tcBorders>
                          <w:top w:val="single" w:sz="4" w:space="0" w:color="000000"/>
                          <w:left w:val="nil"/>
                          <w:bottom w:val="double" w:sz="2" w:space="0" w:color="000000"/>
                        </w:tcBorders>
                        <w:shd w:val="clear" w:color="auto" w:fill="FAF9F9"/>
                      </w:tcPr>
                      <w:p>
                        <w:pPr>
                          <w:pStyle w:val="TableParagraph"/>
                          <w:ind w:right="88"/>
                          <w:jc w:val="right"/>
                          <w:rPr>
                            <w:b/>
                            <w:sz w:val="19"/>
                          </w:rPr>
                        </w:pPr>
                        <w:r>
                          <w:rPr>
                            <w:b/>
                            <w:w w:val="95"/>
                            <w:sz w:val="19"/>
                          </w:rPr>
                          <w:t>57,960</w:t>
                        </w:r>
                      </w:p>
                    </w:tc>
                  </w:tr>
                  <w:tr>
                    <w:trPr>
                      <w:trHeight w:val="304" w:hRule="atLeast"/>
                    </w:trPr>
                    <w:tc>
                      <w:tcPr>
                        <w:tcW w:w="4606" w:type="dxa"/>
                        <w:tcBorders>
                          <w:right w:val="nil"/>
                        </w:tcBorders>
                        <w:shd w:val="clear" w:color="auto" w:fill="F4F4F4"/>
                      </w:tcPr>
                      <w:p>
                        <w:pPr>
                          <w:pStyle w:val="TableParagraph"/>
                          <w:spacing w:before="0"/>
                          <w:rPr>
                            <w:rFonts w:ascii="Times New Roman"/>
                            <w:sz w:val="20"/>
                          </w:rPr>
                        </w:pPr>
                      </w:p>
                    </w:tc>
                    <w:tc>
                      <w:tcPr>
                        <w:tcW w:w="1417" w:type="dxa"/>
                        <w:vMerge w:val="restart"/>
                        <w:tcBorders>
                          <w:top w:val="double" w:sz="2" w:space="0" w:color="000000"/>
                          <w:left w:val="nil"/>
                          <w:bottom w:val="single" w:sz="4" w:space="0" w:color="000000"/>
                          <w:right w:val="nil"/>
                        </w:tcBorders>
                        <w:shd w:val="clear" w:color="auto" w:fill="E1E4BB"/>
                      </w:tcPr>
                      <w:p>
                        <w:pPr>
                          <w:pStyle w:val="TableParagraph"/>
                          <w:spacing w:before="0"/>
                          <w:rPr>
                            <w:sz w:val="22"/>
                          </w:rPr>
                        </w:pPr>
                      </w:p>
                      <w:p>
                        <w:pPr>
                          <w:pStyle w:val="TableParagraph"/>
                          <w:spacing w:before="0"/>
                          <w:rPr>
                            <w:sz w:val="22"/>
                          </w:rPr>
                        </w:pPr>
                      </w:p>
                      <w:p>
                        <w:pPr>
                          <w:pStyle w:val="TableParagraph"/>
                          <w:spacing w:before="178"/>
                          <w:ind w:right="98"/>
                          <w:jc w:val="right"/>
                          <w:rPr>
                            <w:b/>
                            <w:sz w:val="19"/>
                          </w:rPr>
                        </w:pPr>
                        <w:r>
                          <w:rPr>
                            <w:b/>
                            <w:w w:val="122"/>
                            <w:sz w:val="19"/>
                          </w:rPr>
                          <w:t>-</w:t>
                        </w:r>
                      </w:p>
                    </w:tc>
                    <w:tc>
                      <w:tcPr>
                        <w:tcW w:w="1417" w:type="dxa"/>
                        <w:tcBorders>
                          <w:top w:val="double" w:sz="2" w:space="0" w:color="000000"/>
                          <w:left w:val="nil"/>
                        </w:tcBorders>
                        <w:shd w:val="clear" w:color="auto" w:fill="F4F4F4"/>
                      </w:tcPr>
                      <w:p>
                        <w:pPr>
                          <w:pStyle w:val="TableParagraph"/>
                          <w:spacing w:before="0"/>
                          <w:rPr>
                            <w:rFonts w:ascii="Times New Roman"/>
                            <w:sz w:val="20"/>
                          </w:rPr>
                        </w:pPr>
                      </w:p>
                    </w:tc>
                  </w:tr>
                  <w:tr>
                    <w:trPr>
                      <w:trHeight w:val="307" w:hRule="atLeast"/>
                    </w:trPr>
                    <w:tc>
                      <w:tcPr>
                        <w:tcW w:w="4606" w:type="dxa"/>
                        <w:tcBorders>
                          <w:right w:val="nil"/>
                        </w:tcBorders>
                        <w:shd w:val="clear" w:color="auto" w:fill="FAF9F9"/>
                      </w:tcPr>
                      <w:p>
                        <w:pPr>
                          <w:pStyle w:val="TableParagraph"/>
                          <w:spacing w:before="33"/>
                          <w:ind w:left="115"/>
                          <w:rPr>
                            <w:i/>
                            <w:sz w:val="19"/>
                          </w:rPr>
                        </w:pPr>
                        <w:r>
                          <w:rPr>
                            <w:i/>
                            <w:color w:val="A7BE39"/>
                            <w:sz w:val="19"/>
                          </w:rPr>
                          <w:t>Non-Current Liabilities</w:t>
                        </w: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tcBorders>
                        <w:shd w:val="clear" w:color="auto" w:fill="FAF9F9"/>
                      </w:tcPr>
                      <w:p>
                        <w:pPr>
                          <w:pStyle w:val="TableParagraph"/>
                          <w:spacing w:before="0"/>
                          <w:rPr>
                            <w:rFonts w:ascii="Times New Roman"/>
                            <w:sz w:val="20"/>
                          </w:rPr>
                        </w:pPr>
                      </w:p>
                    </w:tc>
                  </w:tr>
                  <w:tr>
                    <w:trPr>
                      <w:trHeight w:val="307" w:hRule="atLeast"/>
                    </w:trPr>
                    <w:tc>
                      <w:tcPr>
                        <w:tcW w:w="4606" w:type="dxa"/>
                        <w:tcBorders>
                          <w:right w:val="nil"/>
                        </w:tcBorders>
                        <w:shd w:val="clear" w:color="auto" w:fill="F4F4F4"/>
                      </w:tcPr>
                      <w:p>
                        <w:pPr>
                          <w:pStyle w:val="TableParagraph"/>
                          <w:spacing w:before="0"/>
                          <w:rPr>
                            <w:rFonts w:ascii="Times New Roman"/>
                            <w:sz w:val="20"/>
                          </w:rPr>
                        </w:pPr>
                      </w:p>
                    </w:tc>
                    <w:tc>
                      <w:tcPr>
                        <w:tcW w:w="1417" w:type="dxa"/>
                        <w:vMerge/>
                        <w:tcBorders>
                          <w:top w:val="nil"/>
                          <w:left w:val="nil"/>
                          <w:bottom w:val="single" w:sz="4" w:space="0" w:color="000000"/>
                          <w:right w:val="nil"/>
                        </w:tcBorders>
                        <w:shd w:val="clear" w:color="auto" w:fill="E1E4BB"/>
                      </w:tcPr>
                      <w:p>
                        <w:pPr>
                          <w:rPr>
                            <w:sz w:val="2"/>
                            <w:szCs w:val="2"/>
                          </w:rPr>
                        </w:pPr>
                      </w:p>
                    </w:tc>
                    <w:tc>
                      <w:tcPr>
                        <w:tcW w:w="1417" w:type="dxa"/>
                        <w:tcBorders>
                          <w:left w:val="nil"/>
                          <w:bottom w:val="single" w:sz="4" w:space="0" w:color="000000"/>
                        </w:tcBorders>
                        <w:shd w:val="clear" w:color="auto" w:fill="F4F4F4"/>
                      </w:tcPr>
                      <w:p>
                        <w:pPr>
                          <w:pStyle w:val="TableParagraph"/>
                          <w:spacing w:before="33"/>
                          <w:ind w:right="88"/>
                          <w:jc w:val="right"/>
                          <w:rPr>
                            <w:b/>
                            <w:sz w:val="19"/>
                          </w:rPr>
                        </w:pPr>
                        <w:r>
                          <w:rPr>
                            <w:b/>
                            <w:w w:val="122"/>
                            <w:sz w:val="19"/>
                          </w:rPr>
                          <w:t>-</w:t>
                        </w:r>
                      </w:p>
                    </w:tc>
                  </w:tr>
                  <w:tr>
                    <w:trPr>
                      <w:trHeight w:val="307" w:hRule="atLeast"/>
                    </w:trPr>
                    <w:tc>
                      <w:tcPr>
                        <w:tcW w:w="4606" w:type="dxa"/>
                        <w:tcBorders>
                          <w:right w:val="nil"/>
                        </w:tcBorders>
                        <w:shd w:val="clear" w:color="auto" w:fill="FAF9F9"/>
                      </w:tcPr>
                      <w:p>
                        <w:pPr>
                          <w:pStyle w:val="TableParagraph"/>
                          <w:spacing w:before="33"/>
                          <w:ind w:left="115"/>
                          <w:rPr>
                            <w:b/>
                            <w:sz w:val="19"/>
                          </w:rPr>
                        </w:pPr>
                        <w:r>
                          <w:rPr>
                            <w:b/>
                            <w:sz w:val="19"/>
                          </w:rPr>
                          <w:t>Total Administered Non-Current Liabilities</w:t>
                        </w:r>
                      </w:p>
                    </w:tc>
                    <w:tc>
                      <w:tcPr>
                        <w:tcW w:w="1417" w:type="dxa"/>
                        <w:tcBorders>
                          <w:top w:val="single" w:sz="4" w:space="0" w:color="000000"/>
                          <w:left w:val="nil"/>
                          <w:bottom w:val="single" w:sz="4" w:space="0" w:color="000000"/>
                          <w:right w:val="nil"/>
                        </w:tcBorders>
                        <w:shd w:val="clear" w:color="auto" w:fill="E1E4BB"/>
                      </w:tcPr>
                      <w:p>
                        <w:pPr>
                          <w:pStyle w:val="TableParagraph"/>
                          <w:spacing w:before="33"/>
                          <w:ind w:right="98"/>
                          <w:jc w:val="right"/>
                          <w:rPr>
                            <w:b/>
                            <w:sz w:val="19"/>
                          </w:rPr>
                        </w:pPr>
                        <w:r>
                          <w:rPr>
                            <w:b/>
                            <w:w w:val="122"/>
                            <w:sz w:val="19"/>
                          </w:rPr>
                          <w:t>-</w:t>
                        </w:r>
                      </w:p>
                    </w:tc>
                    <w:tc>
                      <w:tcPr>
                        <w:tcW w:w="1417" w:type="dxa"/>
                        <w:tcBorders>
                          <w:top w:val="single" w:sz="4" w:space="0" w:color="000000"/>
                          <w:left w:val="nil"/>
                          <w:bottom w:val="single" w:sz="4" w:space="0" w:color="000000"/>
                        </w:tcBorders>
                        <w:shd w:val="clear" w:color="auto" w:fill="FAF9F9"/>
                      </w:tcPr>
                      <w:p>
                        <w:pPr>
                          <w:pStyle w:val="TableParagraph"/>
                          <w:spacing w:before="33"/>
                          <w:ind w:right="88"/>
                          <w:jc w:val="right"/>
                          <w:rPr>
                            <w:b/>
                            <w:sz w:val="19"/>
                          </w:rPr>
                        </w:pPr>
                        <w:r>
                          <w:rPr>
                            <w:b/>
                            <w:w w:val="122"/>
                            <w:sz w:val="19"/>
                          </w:rPr>
                          <w:t>-</w:t>
                        </w:r>
                      </w:p>
                    </w:tc>
                  </w:tr>
                  <w:tr>
                    <w:trPr>
                      <w:trHeight w:val="297" w:hRule="atLeast"/>
                    </w:trPr>
                    <w:tc>
                      <w:tcPr>
                        <w:tcW w:w="4606" w:type="dxa"/>
                        <w:tcBorders>
                          <w:right w:val="nil"/>
                        </w:tcBorders>
                        <w:shd w:val="clear" w:color="auto" w:fill="F4F4F4"/>
                      </w:tcPr>
                      <w:p>
                        <w:pPr>
                          <w:pStyle w:val="TableParagraph"/>
                          <w:spacing w:before="33"/>
                          <w:ind w:left="115"/>
                          <w:rPr>
                            <w:b/>
                            <w:sz w:val="19"/>
                          </w:rPr>
                        </w:pPr>
                        <w:r>
                          <w:rPr>
                            <w:b/>
                            <w:sz w:val="19"/>
                          </w:rPr>
                          <w:t>Total Administered Liabilities</w:t>
                        </w:r>
                      </w:p>
                    </w:tc>
                    <w:tc>
                      <w:tcPr>
                        <w:tcW w:w="1417" w:type="dxa"/>
                        <w:tcBorders>
                          <w:top w:val="single" w:sz="4" w:space="0" w:color="000000"/>
                          <w:left w:val="nil"/>
                          <w:bottom w:val="single" w:sz="6" w:space="0" w:color="000000"/>
                          <w:right w:val="nil"/>
                        </w:tcBorders>
                        <w:shd w:val="clear" w:color="auto" w:fill="DFE1B8"/>
                      </w:tcPr>
                      <w:p>
                        <w:pPr>
                          <w:pStyle w:val="TableParagraph"/>
                          <w:spacing w:before="33"/>
                          <w:ind w:right="98"/>
                          <w:jc w:val="right"/>
                          <w:rPr>
                            <w:b/>
                            <w:sz w:val="19"/>
                          </w:rPr>
                        </w:pPr>
                        <w:r>
                          <w:rPr>
                            <w:b/>
                            <w:w w:val="95"/>
                            <w:sz w:val="19"/>
                          </w:rPr>
                          <w:t>59,384</w:t>
                        </w:r>
                      </w:p>
                    </w:tc>
                    <w:tc>
                      <w:tcPr>
                        <w:tcW w:w="1417" w:type="dxa"/>
                        <w:tcBorders>
                          <w:top w:val="single" w:sz="4" w:space="0" w:color="000000"/>
                          <w:left w:val="nil"/>
                          <w:bottom w:val="single" w:sz="6" w:space="0" w:color="000000"/>
                        </w:tcBorders>
                        <w:shd w:val="clear" w:color="auto" w:fill="F4F4F4"/>
                      </w:tcPr>
                      <w:p>
                        <w:pPr>
                          <w:pStyle w:val="TableParagraph"/>
                          <w:spacing w:before="33"/>
                          <w:ind w:right="88"/>
                          <w:jc w:val="right"/>
                          <w:rPr>
                            <w:b/>
                            <w:sz w:val="19"/>
                          </w:rPr>
                        </w:pPr>
                        <w:r>
                          <w:rPr>
                            <w:b/>
                            <w:w w:val="95"/>
                            <w:sz w:val="19"/>
                          </w:rPr>
                          <w:t>57,960</w:t>
                        </w:r>
                      </w:p>
                    </w:tc>
                  </w:tr>
                </w:tbl>
                <w:p>
                  <w:pPr>
                    <w:pStyle w:val="BodyText"/>
                  </w:pPr>
                </w:p>
              </w:txbxContent>
            </v:textbox>
            <w10:wrap type="none"/>
          </v:shape>
        </w:pict>
      </w:r>
      <w:r>
        <w:rPr>
          <w:color w:val="6F2770"/>
          <w:sz w:val="32"/>
        </w:rPr>
        <w:t>Note</w:t>
      </w:r>
      <w:r>
        <w:rPr>
          <w:color w:val="6F2770"/>
          <w:spacing w:val="-31"/>
          <w:sz w:val="32"/>
        </w:rPr>
        <w:t> </w:t>
      </w:r>
      <w:r>
        <w:rPr>
          <w:color w:val="6F2770"/>
          <w:sz w:val="32"/>
        </w:rPr>
        <w:t>51.</w:t>
      </w:r>
      <w:r>
        <w:rPr>
          <w:color w:val="6F2770"/>
          <w:spacing w:val="-31"/>
          <w:sz w:val="32"/>
        </w:rPr>
        <w:t> </w:t>
      </w:r>
      <w:r>
        <w:rPr>
          <w:color w:val="6F2770"/>
          <w:sz w:val="32"/>
        </w:rPr>
        <w:t>Disclosure</w:t>
      </w:r>
      <w:r>
        <w:rPr>
          <w:color w:val="6F2770"/>
          <w:spacing w:val="-30"/>
          <w:sz w:val="32"/>
        </w:rPr>
        <w:t> </w:t>
      </w:r>
      <w:r>
        <w:rPr>
          <w:color w:val="6F2770"/>
          <w:sz w:val="32"/>
        </w:rPr>
        <w:t>of</w:t>
      </w:r>
      <w:r>
        <w:rPr>
          <w:color w:val="6F2770"/>
          <w:spacing w:val="-31"/>
          <w:sz w:val="32"/>
        </w:rPr>
        <w:t> </w:t>
      </w:r>
      <w:r>
        <w:rPr>
          <w:color w:val="6F2770"/>
          <w:sz w:val="32"/>
        </w:rPr>
        <w:t>administered</w:t>
      </w:r>
      <w:r>
        <w:rPr>
          <w:color w:val="6F2770"/>
          <w:spacing w:val="-31"/>
          <w:sz w:val="32"/>
        </w:rPr>
        <w:t> </w:t>
      </w:r>
      <w:r>
        <w:rPr>
          <w:color w:val="6F2770"/>
          <w:sz w:val="32"/>
        </w:rPr>
        <w:t>income</w:t>
      </w:r>
      <w:r>
        <w:rPr>
          <w:color w:val="6F2770"/>
          <w:spacing w:val="-30"/>
          <w:sz w:val="32"/>
        </w:rPr>
        <w:t> </w:t>
      </w:r>
      <w:r>
        <w:rPr>
          <w:color w:val="6F2770"/>
          <w:spacing w:val="-6"/>
          <w:sz w:val="32"/>
        </w:rPr>
        <w:t>and </w:t>
      </w:r>
      <w:r>
        <w:rPr>
          <w:color w:val="6F2770"/>
          <w:sz w:val="32"/>
        </w:rPr>
        <w:t>expenses by</w:t>
      </w:r>
      <w:r>
        <w:rPr>
          <w:color w:val="6F2770"/>
          <w:spacing w:val="-6"/>
          <w:sz w:val="32"/>
        </w:rPr>
        <w:t> </w:t>
      </w:r>
      <w:r>
        <w:rPr>
          <w:color w:val="6F2770"/>
          <w:sz w:val="32"/>
        </w:rPr>
        <w:t>service</w:t>
      </w:r>
    </w:p>
    <w:p>
      <w:pPr>
        <w:spacing w:before="109"/>
        <w:ind w:left="765" w:right="0" w:firstLine="0"/>
        <w:jc w:val="left"/>
        <w:rPr>
          <w:sz w:val="32"/>
        </w:rPr>
      </w:pPr>
      <w:r>
        <w:rPr/>
        <w:br w:type="column"/>
      </w:r>
      <w:r>
        <w:rPr>
          <w:color w:val="6F2770"/>
          <w:sz w:val="32"/>
        </w:rPr>
        <w:t>Note 52. Administered assets and liabilities</w:t>
      </w:r>
    </w:p>
    <w:p>
      <w:pPr>
        <w:spacing w:after="0"/>
        <w:jc w:val="left"/>
        <w:rPr>
          <w:sz w:val="32"/>
        </w:rPr>
        <w:sectPr>
          <w:type w:val="continuous"/>
          <w:pgSz w:w="16840" w:h="11910" w:orient="landscape"/>
          <w:pgMar w:top="0" w:bottom="0" w:left="0" w:right="0"/>
          <w:cols w:num="2" w:equalWidth="0">
            <w:col w:w="7427" w:space="439"/>
            <w:col w:w="8974"/>
          </w:cols>
        </w:sectPr>
      </w:pPr>
    </w:p>
    <w:p>
      <w:pPr>
        <w:pStyle w:val="BodyText"/>
        <w:spacing w:before="11"/>
        <w:rPr>
          <w:sz w:val="29"/>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6"/>
        <w:gridCol w:w="1417"/>
        <w:gridCol w:w="1417"/>
      </w:tblGrid>
      <w:tr>
        <w:trPr>
          <w:trHeight w:val="528" w:hRule="atLeast"/>
        </w:trPr>
        <w:tc>
          <w:tcPr>
            <w:tcW w:w="4606" w:type="dxa"/>
            <w:tcBorders>
              <w:bottom w:val="single" w:sz="4" w:space="0" w:color="8B5B8B"/>
            </w:tcBorders>
            <w:shd w:val="clear" w:color="auto" w:fill="783A79"/>
          </w:tcPr>
          <w:p>
            <w:pPr>
              <w:pStyle w:val="TableParagraph"/>
              <w:spacing w:line="249" w:lineRule="auto" w:before="42"/>
              <w:ind w:left="113" w:right="784"/>
              <w:rPr>
                <w:b/>
                <w:sz w:val="19"/>
              </w:rPr>
            </w:pPr>
            <w:r>
              <w:rPr>
                <w:b/>
                <w:color w:val="FFFFFF"/>
                <w:sz w:val="19"/>
              </w:rPr>
              <w:t>Revenue Assessment and Collection, and</w:t>
            </w:r>
            <w:r>
              <w:rPr>
                <w:b/>
                <w:color w:val="FFFFFF"/>
                <w:spacing w:val="-13"/>
                <w:sz w:val="19"/>
              </w:rPr>
              <w:t> </w:t>
            </w:r>
            <w:r>
              <w:rPr>
                <w:b/>
                <w:color w:val="FFFFFF"/>
                <w:sz w:val="19"/>
              </w:rPr>
              <w:t>Grants</w:t>
            </w:r>
            <w:r>
              <w:rPr>
                <w:b/>
                <w:color w:val="FFFFFF"/>
                <w:spacing w:val="-12"/>
                <w:sz w:val="19"/>
              </w:rPr>
              <w:t> </w:t>
            </w:r>
            <w:r>
              <w:rPr>
                <w:b/>
                <w:color w:val="FFFFFF"/>
                <w:sz w:val="19"/>
              </w:rPr>
              <w:t>and</w:t>
            </w:r>
            <w:r>
              <w:rPr>
                <w:b/>
                <w:color w:val="FFFFFF"/>
                <w:spacing w:val="-12"/>
                <w:sz w:val="19"/>
              </w:rPr>
              <w:t> </w:t>
            </w:r>
            <w:r>
              <w:rPr>
                <w:b/>
                <w:color w:val="FFFFFF"/>
                <w:sz w:val="19"/>
              </w:rPr>
              <w:t>Subsidies</w:t>
            </w:r>
            <w:r>
              <w:rPr>
                <w:b/>
                <w:color w:val="FFFFFF"/>
                <w:spacing w:val="-12"/>
                <w:sz w:val="19"/>
              </w:rPr>
              <w:t> </w:t>
            </w:r>
            <w:r>
              <w:rPr>
                <w:b/>
                <w:color w:val="FFFFFF"/>
                <w:sz w:val="19"/>
              </w:rPr>
              <w:t>Administration</w:t>
            </w:r>
          </w:p>
        </w:tc>
        <w:tc>
          <w:tcPr>
            <w:tcW w:w="1417" w:type="dxa"/>
            <w:tcBorders>
              <w:bottom w:val="single" w:sz="4" w:space="0" w:color="8B5B8B"/>
            </w:tcBorders>
            <w:shd w:val="clear" w:color="auto" w:fill="783A79"/>
          </w:tcPr>
          <w:p>
            <w:pPr>
              <w:pStyle w:val="TableParagraph"/>
              <w:spacing w:before="42"/>
              <w:ind w:left="881"/>
              <w:rPr>
                <w:b/>
                <w:sz w:val="19"/>
              </w:rPr>
            </w:pPr>
            <w:r>
              <w:rPr>
                <w:b/>
                <w:color w:val="FFFFFF"/>
                <w:sz w:val="19"/>
              </w:rPr>
              <w:t>2017</w:t>
            </w:r>
          </w:p>
          <w:p>
            <w:pPr>
              <w:pStyle w:val="TableParagraph"/>
              <w:spacing w:before="10"/>
              <w:ind w:left="881"/>
              <w:rPr>
                <w:b/>
                <w:sz w:val="19"/>
              </w:rPr>
            </w:pPr>
            <w:r>
              <w:rPr>
                <w:b/>
                <w:color w:val="FFFFFF"/>
                <w:sz w:val="19"/>
              </w:rPr>
              <w:t>$000</w:t>
            </w:r>
          </w:p>
        </w:tc>
        <w:tc>
          <w:tcPr>
            <w:tcW w:w="1417" w:type="dxa"/>
            <w:tcBorders>
              <w:bottom w:val="single" w:sz="4" w:space="0" w:color="8B5B8B"/>
            </w:tcBorders>
            <w:shd w:val="clear" w:color="auto" w:fill="783A79"/>
          </w:tcPr>
          <w:p>
            <w:pPr>
              <w:pStyle w:val="TableParagraph"/>
              <w:spacing w:before="42"/>
              <w:ind w:left="882"/>
              <w:rPr>
                <w:b/>
                <w:sz w:val="19"/>
              </w:rPr>
            </w:pPr>
            <w:r>
              <w:rPr>
                <w:b/>
                <w:color w:val="FFFFFF"/>
                <w:sz w:val="19"/>
              </w:rPr>
              <w:t>2016</w:t>
            </w:r>
          </w:p>
          <w:p>
            <w:pPr>
              <w:pStyle w:val="TableParagraph"/>
              <w:spacing w:before="10"/>
              <w:ind w:left="882"/>
              <w:rPr>
                <w:b/>
                <w:sz w:val="19"/>
              </w:rPr>
            </w:pPr>
            <w:r>
              <w:rPr>
                <w:b/>
                <w:color w:val="FFFFFF"/>
                <w:sz w:val="19"/>
              </w:rPr>
              <w:t>$000</w:t>
            </w:r>
          </w:p>
        </w:tc>
      </w:tr>
      <w:tr>
        <w:trPr>
          <w:trHeight w:val="312" w:hRule="atLeast"/>
        </w:trPr>
        <w:tc>
          <w:tcPr>
            <w:tcW w:w="4606" w:type="dxa"/>
            <w:tcBorders>
              <w:top w:val="single" w:sz="4" w:space="0" w:color="8B5B8B"/>
              <w:bottom w:val="single" w:sz="8" w:space="0" w:color="FFFFFF"/>
            </w:tcBorders>
            <w:shd w:val="clear" w:color="auto" w:fill="F4F4F4"/>
          </w:tcPr>
          <w:p>
            <w:pPr>
              <w:pStyle w:val="TableParagraph"/>
              <w:spacing w:before="37"/>
              <w:ind w:left="113"/>
              <w:rPr>
                <w:b/>
                <w:sz w:val="19"/>
              </w:rPr>
            </w:pPr>
            <w:r>
              <w:rPr>
                <w:b/>
                <w:sz w:val="19"/>
              </w:rPr>
              <w:t>COST OF SERVICES</w:t>
            </w:r>
          </w:p>
        </w:tc>
        <w:tc>
          <w:tcPr>
            <w:tcW w:w="1417" w:type="dxa"/>
            <w:tcBorders>
              <w:top w:val="single" w:sz="4" w:space="0" w:color="8B5B8B"/>
            </w:tcBorders>
            <w:shd w:val="clear" w:color="auto" w:fill="E1E4BB"/>
          </w:tcPr>
          <w:p>
            <w:pPr>
              <w:pStyle w:val="TableParagraph"/>
              <w:spacing w:before="0"/>
              <w:rPr>
                <w:rFonts w:ascii="Times New Roman"/>
                <w:sz w:val="20"/>
              </w:rPr>
            </w:pPr>
          </w:p>
        </w:tc>
        <w:tc>
          <w:tcPr>
            <w:tcW w:w="1417" w:type="dxa"/>
            <w:tcBorders>
              <w:top w:val="single" w:sz="4" w:space="0" w:color="8B5B8B"/>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3"/>
              <w:rPr>
                <w:i/>
                <w:sz w:val="19"/>
              </w:rPr>
            </w:pPr>
            <w:r>
              <w:rPr>
                <w:i/>
                <w:color w:val="A7BE39"/>
                <w:sz w:val="19"/>
              </w:rPr>
              <w:t>Income</w:t>
            </w:r>
          </w:p>
        </w:tc>
        <w:tc>
          <w:tcPr>
            <w:tcW w:w="1417" w:type="dxa"/>
            <w:shd w:val="clear" w:color="auto" w:fill="E1E4BB"/>
          </w:tcPr>
          <w:p>
            <w:pPr>
              <w:pStyle w:val="TableParagraph"/>
              <w:spacing w:before="0"/>
              <w:rPr>
                <w:rFonts w:ascii="Times New Roman"/>
                <w:sz w:val="20"/>
              </w:rPr>
            </w:pPr>
          </w:p>
        </w:tc>
        <w:tc>
          <w:tcPr>
            <w:tcW w:w="1417"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3"/>
              <w:rPr>
                <w:sz w:val="19"/>
              </w:rPr>
            </w:pPr>
            <w:r>
              <w:rPr>
                <w:sz w:val="19"/>
              </w:rPr>
              <w:t>Taxation</w:t>
            </w:r>
          </w:p>
        </w:tc>
        <w:tc>
          <w:tcPr>
            <w:tcW w:w="1417" w:type="dxa"/>
            <w:shd w:val="clear" w:color="auto" w:fill="E1E4BB"/>
          </w:tcPr>
          <w:p>
            <w:pPr>
              <w:pStyle w:val="TableParagraph"/>
              <w:ind w:right="110"/>
              <w:jc w:val="right"/>
              <w:rPr>
                <w:sz w:val="19"/>
              </w:rPr>
            </w:pPr>
            <w:r>
              <w:rPr>
                <w:w w:val="95"/>
                <w:sz w:val="19"/>
              </w:rPr>
              <w:t>6,799,345</w:t>
            </w:r>
          </w:p>
        </w:tc>
        <w:tc>
          <w:tcPr>
            <w:tcW w:w="1417" w:type="dxa"/>
            <w:tcBorders>
              <w:top w:val="single" w:sz="8" w:space="0" w:color="FFFFFF"/>
              <w:bottom w:val="single" w:sz="8" w:space="0" w:color="FFFFFF"/>
            </w:tcBorders>
            <w:shd w:val="clear" w:color="auto" w:fill="F4F4F4"/>
          </w:tcPr>
          <w:p>
            <w:pPr>
              <w:pStyle w:val="TableParagraph"/>
              <w:ind w:right="110"/>
              <w:jc w:val="right"/>
              <w:rPr>
                <w:sz w:val="19"/>
              </w:rPr>
            </w:pPr>
            <w:r>
              <w:rPr>
                <w:w w:val="95"/>
                <w:sz w:val="19"/>
              </w:rPr>
              <w:t>7,315,117</w:t>
            </w: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3"/>
              <w:rPr>
                <w:sz w:val="19"/>
              </w:rPr>
            </w:pPr>
            <w:r>
              <w:rPr>
                <w:sz w:val="19"/>
              </w:rPr>
              <w:t>Other revenue</w:t>
            </w:r>
          </w:p>
        </w:tc>
        <w:tc>
          <w:tcPr>
            <w:tcW w:w="1417" w:type="dxa"/>
            <w:shd w:val="clear" w:color="auto" w:fill="E1E4BB"/>
          </w:tcPr>
          <w:p>
            <w:pPr>
              <w:pStyle w:val="TableParagraph"/>
              <w:ind w:right="110"/>
              <w:jc w:val="right"/>
              <w:rPr>
                <w:sz w:val="19"/>
              </w:rPr>
            </w:pPr>
            <w:r>
              <w:rPr>
                <w:w w:val="95"/>
                <w:sz w:val="19"/>
              </w:rPr>
              <w:t>40,086</w:t>
            </w:r>
          </w:p>
        </w:tc>
        <w:tc>
          <w:tcPr>
            <w:tcW w:w="1417" w:type="dxa"/>
            <w:tcBorders>
              <w:top w:val="single" w:sz="8" w:space="0" w:color="FFFFFF"/>
              <w:bottom w:val="single" w:sz="8" w:space="0" w:color="FFFFFF"/>
            </w:tcBorders>
            <w:shd w:val="clear" w:color="auto" w:fill="FAF9F9"/>
          </w:tcPr>
          <w:p>
            <w:pPr>
              <w:pStyle w:val="TableParagraph"/>
              <w:ind w:right="109"/>
              <w:jc w:val="right"/>
              <w:rPr>
                <w:sz w:val="19"/>
              </w:rPr>
            </w:pPr>
            <w:r>
              <w:rPr>
                <w:w w:val="95"/>
                <w:sz w:val="19"/>
              </w:rPr>
              <w:t>41,623</w:t>
            </w: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3"/>
              <w:rPr>
                <w:sz w:val="19"/>
              </w:rPr>
            </w:pPr>
            <w:r>
              <w:rPr>
                <w:sz w:val="19"/>
              </w:rPr>
              <w:t>Appropriations</w:t>
            </w:r>
          </w:p>
        </w:tc>
        <w:tc>
          <w:tcPr>
            <w:tcW w:w="1417" w:type="dxa"/>
            <w:shd w:val="clear" w:color="auto" w:fill="E1E4BB"/>
          </w:tcPr>
          <w:p>
            <w:pPr>
              <w:pStyle w:val="TableParagraph"/>
              <w:ind w:right="110"/>
              <w:jc w:val="right"/>
              <w:rPr>
                <w:sz w:val="19"/>
              </w:rPr>
            </w:pPr>
            <w:r>
              <w:rPr>
                <w:w w:val="95"/>
                <w:sz w:val="19"/>
              </w:rPr>
              <w:t>237,046</w:t>
            </w:r>
          </w:p>
        </w:tc>
        <w:tc>
          <w:tcPr>
            <w:tcW w:w="1417" w:type="dxa"/>
            <w:tcBorders>
              <w:top w:val="single" w:sz="8" w:space="0" w:color="FFFFFF"/>
              <w:bottom w:val="single" w:sz="8" w:space="0" w:color="FFFFFF"/>
            </w:tcBorders>
            <w:shd w:val="clear" w:color="auto" w:fill="F4F4F4"/>
          </w:tcPr>
          <w:p>
            <w:pPr>
              <w:pStyle w:val="TableParagraph"/>
              <w:ind w:right="109"/>
              <w:jc w:val="right"/>
              <w:rPr>
                <w:sz w:val="19"/>
              </w:rPr>
            </w:pPr>
            <w:r>
              <w:rPr>
                <w:w w:val="95"/>
                <w:sz w:val="19"/>
              </w:rPr>
              <w:t>247,463</w:t>
            </w: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4"/>
              <w:rPr>
                <w:sz w:val="19"/>
              </w:rPr>
            </w:pPr>
            <w:r>
              <w:rPr>
                <w:sz w:val="19"/>
              </w:rPr>
              <w:t>Collections raised on behalf of other agencies</w:t>
            </w:r>
          </w:p>
        </w:tc>
        <w:tc>
          <w:tcPr>
            <w:tcW w:w="1417" w:type="dxa"/>
            <w:tcBorders>
              <w:bottom w:val="single" w:sz="4" w:space="0" w:color="000000"/>
            </w:tcBorders>
            <w:shd w:val="clear" w:color="auto" w:fill="E1E4BB"/>
          </w:tcPr>
          <w:p>
            <w:pPr>
              <w:pStyle w:val="TableParagraph"/>
              <w:ind w:right="109"/>
              <w:jc w:val="right"/>
              <w:rPr>
                <w:sz w:val="19"/>
              </w:rPr>
            </w:pPr>
            <w:r>
              <w:rPr>
                <w:w w:val="95"/>
                <w:sz w:val="19"/>
              </w:rPr>
              <w:t>63,549</w:t>
            </w:r>
          </w:p>
        </w:tc>
        <w:tc>
          <w:tcPr>
            <w:tcW w:w="1417" w:type="dxa"/>
            <w:tcBorders>
              <w:top w:val="single" w:sz="8" w:space="0" w:color="FFFFFF"/>
              <w:bottom w:val="single" w:sz="4" w:space="0" w:color="000000"/>
            </w:tcBorders>
            <w:shd w:val="clear" w:color="auto" w:fill="FAF9F9"/>
          </w:tcPr>
          <w:p>
            <w:pPr>
              <w:pStyle w:val="TableParagraph"/>
              <w:ind w:right="109"/>
              <w:jc w:val="right"/>
              <w:rPr>
                <w:sz w:val="19"/>
              </w:rPr>
            </w:pPr>
            <w:r>
              <w:rPr>
                <w:w w:val="95"/>
                <w:sz w:val="19"/>
              </w:rPr>
              <w:t>63,043</w:t>
            </w:r>
          </w:p>
        </w:tc>
      </w:tr>
      <w:tr>
        <w:trPr>
          <w:trHeight w:val="284" w:hRule="atLeast"/>
        </w:trPr>
        <w:tc>
          <w:tcPr>
            <w:tcW w:w="4606" w:type="dxa"/>
            <w:tcBorders>
              <w:top w:val="single" w:sz="8" w:space="0" w:color="FFFFFF"/>
              <w:bottom w:val="single" w:sz="8" w:space="0" w:color="FFFFFF"/>
            </w:tcBorders>
            <w:shd w:val="clear" w:color="auto" w:fill="F4F4F4"/>
          </w:tcPr>
          <w:p>
            <w:pPr>
              <w:pStyle w:val="TableParagraph"/>
              <w:ind w:left="114"/>
              <w:rPr>
                <w:b/>
                <w:sz w:val="19"/>
              </w:rPr>
            </w:pPr>
            <w:r>
              <w:rPr>
                <w:b/>
                <w:sz w:val="19"/>
              </w:rPr>
              <w:t>Total Administered Income</w:t>
            </w:r>
          </w:p>
        </w:tc>
        <w:tc>
          <w:tcPr>
            <w:tcW w:w="1417" w:type="dxa"/>
            <w:tcBorders>
              <w:top w:val="single" w:sz="4" w:space="0" w:color="000000"/>
              <w:bottom w:val="double" w:sz="2" w:space="0" w:color="000000"/>
            </w:tcBorders>
            <w:shd w:val="clear" w:color="auto" w:fill="DFE1B8"/>
          </w:tcPr>
          <w:p>
            <w:pPr>
              <w:pStyle w:val="TableParagraph"/>
              <w:ind w:right="109"/>
              <w:jc w:val="right"/>
              <w:rPr>
                <w:b/>
                <w:sz w:val="19"/>
              </w:rPr>
            </w:pPr>
            <w:r>
              <w:rPr>
                <w:b/>
                <w:w w:val="95"/>
                <w:sz w:val="19"/>
              </w:rPr>
              <w:t>7,140,026</w:t>
            </w:r>
          </w:p>
        </w:tc>
        <w:tc>
          <w:tcPr>
            <w:tcW w:w="1417" w:type="dxa"/>
            <w:tcBorders>
              <w:top w:val="single" w:sz="4" w:space="0" w:color="000000"/>
              <w:bottom w:val="double" w:sz="2" w:space="0" w:color="000000"/>
            </w:tcBorders>
            <w:shd w:val="clear" w:color="auto" w:fill="F4F4F4"/>
          </w:tcPr>
          <w:p>
            <w:pPr>
              <w:pStyle w:val="TableParagraph"/>
              <w:ind w:right="109"/>
              <w:jc w:val="right"/>
              <w:rPr>
                <w:b/>
                <w:sz w:val="19"/>
              </w:rPr>
            </w:pPr>
            <w:r>
              <w:rPr>
                <w:b/>
                <w:w w:val="95"/>
                <w:sz w:val="19"/>
              </w:rPr>
              <w:t>7,667,246</w:t>
            </w:r>
          </w:p>
        </w:tc>
      </w:tr>
      <w:tr>
        <w:trPr>
          <w:trHeight w:val="304" w:hRule="atLeast"/>
        </w:trPr>
        <w:tc>
          <w:tcPr>
            <w:tcW w:w="4606" w:type="dxa"/>
            <w:tcBorders>
              <w:top w:val="single" w:sz="8" w:space="0" w:color="FFFFFF"/>
              <w:bottom w:val="single" w:sz="8" w:space="0" w:color="FFFFFF"/>
            </w:tcBorders>
            <w:shd w:val="clear" w:color="auto" w:fill="FAF9F9"/>
          </w:tcPr>
          <w:p>
            <w:pPr>
              <w:pStyle w:val="TableParagraph"/>
              <w:spacing w:before="0"/>
              <w:rPr>
                <w:rFonts w:ascii="Times New Roman"/>
                <w:sz w:val="20"/>
              </w:rPr>
            </w:pPr>
          </w:p>
        </w:tc>
        <w:tc>
          <w:tcPr>
            <w:tcW w:w="1417" w:type="dxa"/>
            <w:tcBorders>
              <w:top w:val="double" w:sz="2" w:space="0" w:color="000000"/>
            </w:tcBorders>
            <w:shd w:val="clear" w:color="auto" w:fill="E1E4BB"/>
          </w:tcPr>
          <w:p>
            <w:pPr>
              <w:pStyle w:val="TableParagraph"/>
              <w:spacing w:before="0"/>
              <w:rPr>
                <w:rFonts w:ascii="Times New Roman"/>
                <w:sz w:val="20"/>
              </w:rPr>
            </w:pPr>
          </w:p>
        </w:tc>
        <w:tc>
          <w:tcPr>
            <w:tcW w:w="1417" w:type="dxa"/>
            <w:tcBorders>
              <w:top w:val="double" w:sz="2" w:space="0" w:color="000000"/>
              <w:bottom w:val="single" w:sz="8" w:space="0" w:color="FFFFFF"/>
            </w:tcBorders>
            <w:shd w:val="clear" w:color="auto" w:fill="FAF9F9"/>
          </w:tcPr>
          <w:p>
            <w:pPr>
              <w:pStyle w:val="TableParagraph"/>
              <w:spacing w:before="0"/>
              <w:rPr>
                <w:rFonts w:ascii="Times New Roman"/>
                <w:sz w:val="20"/>
              </w:rPr>
            </w:pP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4"/>
              <w:rPr>
                <w:i/>
                <w:sz w:val="19"/>
              </w:rPr>
            </w:pPr>
            <w:r>
              <w:rPr>
                <w:i/>
                <w:color w:val="A7BE39"/>
                <w:sz w:val="19"/>
              </w:rPr>
              <w:t>Expenses</w:t>
            </w:r>
          </w:p>
        </w:tc>
        <w:tc>
          <w:tcPr>
            <w:tcW w:w="1417" w:type="dxa"/>
            <w:shd w:val="clear" w:color="auto" w:fill="E1E4BB"/>
          </w:tcPr>
          <w:p>
            <w:pPr>
              <w:pStyle w:val="TableParagraph"/>
              <w:spacing w:before="0"/>
              <w:rPr>
                <w:rFonts w:ascii="Times New Roman"/>
                <w:sz w:val="20"/>
              </w:rPr>
            </w:pPr>
          </w:p>
        </w:tc>
        <w:tc>
          <w:tcPr>
            <w:tcW w:w="1417" w:type="dxa"/>
            <w:tcBorders>
              <w:top w:val="single" w:sz="8" w:space="0" w:color="FFFFFF"/>
              <w:bottom w:val="single" w:sz="8" w:space="0" w:color="FFFFFF"/>
            </w:tcBorders>
            <w:shd w:val="clear" w:color="auto" w:fill="F4F4F4"/>
          </w:tcPr>
          <w:p>
            <w:pPr>
              <w:pStyle w:val="TableParagraph"/>
              <w:spacing w:before="0"/>
              <w:rPr>
                <w:rFonts w:ascii="Times New Roman"/>
                <w:sz w:val="20"/>
              </w:rPr>
            </w:pP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4"/>
              <w:rPr>
                <w:sz w:val="19"/>
              </w:rPr>
            </w:pPr>
            <w:r>
              <w:rPr>
                <w:sz w:val="19"/>
              </w:rPr>
              <w:t>Grants, subsidies and transfers</w:t>
            </w:r>
          </w:p>
        </w:tc>
        <w:tc>
          <w:tcPr>
            <w:tcW w:w="1417" w:type="dxa"/>
            <w:shd w:val="clear" w:color="auto" w:fill="E1E4BB"/>
          </w:tcPr>
          <w:p>
            <w:pPr>
              <w:pStyle w:val="TableParagraph"/>
              <w:ind w:right="109"/>
              <w:jc w:val="right"/>
              <w:rPr>
                <w:sz w:val="19"/>
              </w:rPr>
            </w:pPr>
            <w:r>
              <w:rPr>
                <w:w w:val="95"/>
                <w:sz w:val="19"/>
              </w:rPr>
              <w:t>237,046</w:t>
            </w:r>
          </w:p>
        </w:tc>
        <w:tc>
          <w:tcPr>
            <w:tcW w:w="1417" w:type="dxa"/>
            <w:tcBorders>
              <w:top w:val="single" w:sz="8" w:space="0" w:color="FFFFFF"/>
              <w:bottom w:val="single" w:sz="8" w:space="0" w:color="FFFFFF"/>
            </w:tcBorders>
            <w:shd w:val="clear" w:color="auto" w:fill="FAF9F9"/>
          </w:tcPr>
          <w:p>
            <w:pPr>
              <w:pStyle w:val="TableParagraph"/>
              <w:ind w:right="109"/>
              <w:jc w:val="right"/>
              <w:rPr>
                <w:sz w:val="19"/>
              </w:rPr>
            </w:pPr>
            <w:r>
              <w:rPr>
                <w:w w:val="95"/>
                <w:sz w:val="19"/>
              </w:rPr>
              <w:t>247,463</w:t>
            </w:r>
          </w:p>
        </w:tc>
      </w:tr>
      <w:tr>
        <w:trPr>
          <w:trHeight w:val="307" w:hRule="atLeast"/>
        </w:trPr>
        <w:tc>
          <w:tcPr>
            <w:tcW w:w="4606" w:type="dxa"/>
            <w:tcBorders>
              <w:top w:val="single" w:sz="8" w:space="0" w:color="FFFFFF"/>
              <w:bottom w:val="single" w:sz="8" w:space="0" w:color="FFFFFF"/>
            </w:tcBorders>
            <w:shd w:val="clear" w:color="auto" w:fill="F4F4F4"/>
          </w:tcPr>
          <w:p>
            <w:pPr>
              <w:pStyle w:val="TableParagraph"/>
              <w:ind w:left="114"/>
              <w:rPr>
                <w:sz w:val="19"/>
              </w:rPr>
            </w:pPr>
            <w:r>
              <w:rPr>
                <w:sz w:val="19"/>
              </w:rPr>
              <w:t>Other expenses</w:t>
            </w:r>
          </w:p>
        </w:tc>
        <w:tc>
          <w:tcPr>
            <w:tcW w:w="1417" w:type="dxa"/>
            <w:shd w:val="clear" w:color="auto" w:fill="E1E4BB"/>
          </w:tcPr>
          <w:p>
            <w:pPr>
              <w:pStyle w:val="TableParagraph"/>
              <w:ind w:right="109"/>
              <w:jc w:val="right"/>
              <w:rPr>
                <w:sz w:val="19"/>
              </w:rPr>
            </w:pPr>
            <w:r>
              <w:rPr>
                <w:w w:val="95"/>
                <w:sz w:val="19"/>
              </w:rPr>
              <w:t>6,712,652</w:t>
            </w:r>
          </w:p>
        </w:tc>
        <w:tc>
          <w:tcPr>
            <w:tcW w:w="1417" w:type="dxa"/>
            <w:tcBorders>
              <w:top w:val="single" w:sz="8" w:space="0" w:color="FFFFFF"/>
              <w:bottom w:val="single" w:sz="8" w:space="0" w:color="FFFFFF"/>
            </w:tcBorders>
            <w:shd w:val="clear" w:color="auto" w:fill="F4F4F4"/>
          </w:tcPr>
          <w:p>
            <w:pPr>
              <w:pStyle w:val="TableParagraph"/>
              <w:ind w:right="108"/>
              <w:jc w:val="right"/>
              <w:rPr>
                <w:sz w:val="19"/>
              </w:rPr>
            </w:pPr>
            <w:r>
              <w:rPr>
                <w:w w:val="95"/>
                <w:sz w:val="19"/>
              </w:rPr>
              <w:t>7,435,650</w:t>
            </w:r>
          </w:p>
        </w:tc>
      </w:tr>
      <w:tr>
        <w:trPr>
          <w:trHeight w:val="307" w:hRule="atLeast"/>
        </w:trPr>
        <w:tc>
          <w:tcPr>
            <w:tcW w:w="4606" w:type="dxa"/>
            <w:tcBorders>
              <w:top w:val="single" w:sz="8" w:space="0" w:color="FFFFFF"/>
              <w:bottom w:val="single" w:sz="8" w:space="0" w:color="FFFFFF"/>
            </w:tcBorders>
            <w:shd w:val="clear" w:color="auto" w:fill="FAF9F9"/>
          </w:tcPr>
          <w:p>
            <w:pPr>
              <w:pStyle w:val="TableParagraph"/>
              <w:ind w:left="114"/>
              <w:rPr>
                <w:sz w:val="19"/>
              </w:rPr>
            </w:pPr>
            <w:r>
              <w:rPr>
                <w:sz w:val="19"/>
              </w:rPr>
              <w:t>Collections transferred to other agencies</w:t>
            </w:r>
          </w:p>
        </w:tc>
        <w:tc>
          <w:tcPr>
            <w:tcW w:w="1417" w:type="dxa"/>
            <w:tcBorders>
              <w:bottom w:val="single" w:sz="4" w:space="0" w:color="000000"/>
            </w:tcBorders>
            <w:shd w:val="clear" w:color="auto" w:fill="E1E4BB"/>
          </w:tcPr>
          <w:p>
            <w:pPr>
              <w:pStyle w:val="TableParagraph"/>
              <w:ind w:right="109"/>
              <w:jc w:val="right"/>
              <w:rPr>
                <w:sz w:val="19"/>
              </w:rPr>
            </w:pPr>
            <w:r>
              <w:rPr>
                <w:w w:val="95"/>
                <w:sz w:val="19"/>
              </w:rPr>
              <w:t>63,549</w:t>
            </w:r>
          </w:p>
        </w:tc>
        <w:tc>
          <w:tcPr>
            <w:tcW w:w="1417" w:type="dxa"/>
            <w:tcBorders>
              <w:top w:val="single" w:sz="8" w:space="0" w:color="FFFFFF"/>
              <w:bottom w:val="single" w:sz="4" w:space="0" w:color="000000"/>
            </w:tcBorders>
            <w:shd w:val="clear" w:color="auto" w:fill="FAF9F9"/>
          </w:tcPr>
          <w:p>
            <w:pPr>
              <w:pStyle w:val="TableParagraph"/>
              <w:ind w:right="108"/>
              <w:jc w:val="right"/>
              <w:rPr>
                <w:sz w:val="19"/>
              </w:rPr>
            </w:pPr>
            <w:r>
              <w:rPr>
                <w:w w:val="95"/>
                <w:sz w:val="19"/>
              </w:rPr>
              <w:t>63,043</w:t>
            </w:r>
          </w:p>
        </w:tc>
      </w:tr>
      <w:tr>
        <w:trPr>
          <w:trHeight w:val="264" w:hRule="atLeast"/>
        </w:trPr>
        <w:tc>
          <w:tcPr>
            <w:tcW w:w="4606" w:type="dxa"/>
            <w:tcBorders>
              <w:top w:val="single" w:sz="8" w:space="0" w:color="FFFFFF"/>
              <w:bottom w:val="single" w:sz="8" w:space="0" w:color="FFFFFF"/>
            </w:tcBorders>
            <w:shd w:val="clear" w:color="auto" w:fill="F4F4F4"/>
          </w:tcPr>
          <w:p>
            <w:pPr>
              <w:pStyle w:val="TableParagraph"/>
              <w:spacing w:line="212" w:lineRule="exact"/>
              <w:ind w:left="115"/>
              <w:rPr>
                <w:b/>
                <w:sz w:val="19"/>
              </w:rPr>
            </w:pPr>
            <w:r>
              <w:rPr>
                <w:b/>
                <w:sz w:val="19"/>
              </w:rPr>
              <w:t>Total Administered Expenses</w:t>
            </w:r>
          </w:p>
        </w:tc>
        <w:tc>
          <w:tcPr>
            <w:tcW w:w="1417" w:type="dxa"/>
            <w:tcBorders>
              <w:top w:val="single" w:sz="4" w:space="0" w:color="000000"/>
              <w:bottom w:val="single" w:sz="34" w:space="0" w:color="FFFFFF"/>
            </w:tcBorders>
            <w:shd w:val="clear" w:color="auto" w:fill="DFE1B8"/>
          </w:tcPr>
          <w:p>
            <w:pPr>
              <w:pStyle w:val="TableParagraph"/>
              <w:spacing w:line="212" w:lineRule="exact"/>
              <w:ind w:right="109"/>
              <w:jc w:val="right"/>
              <w:rPr>
                <w:b/>
                <w:sz w:val="19"/>
              </w:rPr>
            </w:pPr>
            <w:r>
              <w:rPr>
                <w:b/>
                <w:w w:val="95"/>
                <w:sz w:val="19"/>
              </w:rPr>
              <w:t>7,013,247</w:t>
            </w:r>
          </w:p>
        </w:tc>
        <w:tc>
          <w:tcPr>
            <w:tcW w:w="1417" w:type="dxa"/>
            <w:tcBorders>
              <w:top w:val="single" w:sz="4" w:space="0" w:color="000000"/>
              <w:bottom w:val="single" w:sz="34" w:space="0" w:color="FFFFFF"/>
            </w:tcBorders>
            <w:shd w:val="clear" w:color="auto" w:fill="F4F4F4"/>
          </w:tcPr>
          <w:p>
            <w:pPr>
              <w:pStyle w:val="TableParagraph"/>
              <w:spacing w:line="212" w:lineRule="exact"/>
              <w:ind w:right="108"/>
              <w:jc w:val="right"/>
              <w:rPr>
                <w:b/>
                <w:sz w:val="19"/>
              </w:rPr>
            </w:pPr>
            <w:r>
              <w:rPr>
                <w:b/>
                <w:w w:val="95"/>
                <w:sz w:val="19"/>
              </w:rPr>
              <w:t>7,746,156</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r>
        <w:rPr/>
        <w:pict>
          <v:group style="position:absolute;margin-left:662.389771pt;margin-top:8.15171pt;width:142.25pt;height:.550pt;mso-position-horizontal-relative:page;mso-position-vertical-relative:paragraph;z-index:26360;mso-wrap-distance-left:0;mso-wrap-distance-right:0" coordorigin="13248,163" coordsize="2845,11">
            <v:line style="position:absolute" from="13248,168" to="14665,168" stroked="true" strokeweight=".501pt" strokecolor="#000000">
              <v:stroke dashstyle="solid"/>
            </v:line>
            <v:line style="position:absolute" from="14665,168" to="16092,168" stroked="true" strokeweight=".501pt" strokecolor="#000000">
              <v:stroke dashstyle="solid"/>
            </v:line>
            <w10:wrap type="topAndBottom"/>
          </v:group>
        </w:pict>
      </w:r>
    </w:p>
    <w:p>
      <w:pPr>
        <w:spacing w:after="0"/>
        <w:rPr>
          <w:sz w:val="10"/>
        </w:rPr>
        <w:sectPr>
          <w:type w:val="continuous"/>
          <w:pgSz w:w="16840" w:h="11910" w:orient="landscape"/>
          <w:pgMar w:top="0" w:bottom="0" w:left="0" w:right="0"/>
        </w:sectPr>
      </w:pPr>
    </w:p>
    <w:p>
      <w:pPr>
        <w:pStyle w:val="BodyText"/>
        <w:ind w:left="4802"/>
        <w:rPr>
          <w:sz w:val="20"/>
        </w:rPr>
      </w:pPr>
      <w:bookmarkStart w:name="_bookmark58" w:id="60"/>
      <w:bookmarkEnd w:id="60"/>
      <w:r>
        <w:rPr/>
      </w:r>
      <w:r>
        <w:rPr>
          <w:sz w:val="20"/>
        </w:rPr>
        <w:pict>
          <v:group style="width:481.5pt;height:42.55pt;mso-position-horizontal-relative:char;mso-position-vertical-relative:line" coordorigin="0,0" coordsize="9630,851">
            <v:rect style="position:absolute;left:4819;top:0;width:2406;height:851" filled="true" fillcolor="#e6e7e8" stroked="false">
              <v:fill type="solid"/>
            </v:rect>
            <v:shape style="position:absolute;left:4819;top:0;width:583;height:583" type="#_x0000_t75" stroked="false">
              <v:imagedata r:id="rId247" o:title=""/>
            </v:shape>
            <v:shape style="position:absolute;left:7224;top:0;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4819;top:0;width:2406;height:851" type="#_x0000_t202" filled="false" stroked="false">
              <v:textbox inset="0,0,0,0">
                <w:txbxContent>
                  <w:p>
                    <w:pPr>
                      <w:spacing w:line="249" w:lineRule="auto" w:before="182"/>
                      <w:ind w:left="633" w:right="0" w:hanging="291"/>
                      <w:jc w:val="left"/>
                      <w:rPr>
                        <w:sz w:val="20"/>
                      </w:rPr>
                    </w:pPr>
                    <w:hyperlink w:history="true" w:anchor="_bookmark58">
                      <w:r>
                        <w:rPr>
                          <w:color w:val="6F2770"/>
                          <w:w w:val="95"/>
                          <w:sz w:val="20"/>
                        </w:rPr>
                        <w:t>KEY </w:t>
                      </w:r>
                    </w:hyperlink>
                    <w:hyperlink w:history="true" w:anchor="_bookmark58">
                      <w:r>
                        <w:rPr>
                          <w:color w:val="6F2770"/>
                          <w:w w:val="95"/>
                          <w:sz w:val="20"/>
                        </w:rPr>
                        <w:t>PERFORMANCE </w:t>
                      </w:r>
                      <w:r>
                        <w:rPr>
                          <w:color w:val="6F2770"/>
                          <w:sz w:val="20"/>
                        </w:rPr>
                        <w:t>INDICATORS</w:t>
                      </w:r>
                    </w:hyperlink>
                  </w:p>
                </w:txbxContent>
              </v:textbox>
              <w10:wrap type="none"/>
            </v:shape>
            <v:shape style="position:absolute;left:2408;top:0;width:2411;height:851" type="#_x0000_t202" filled="true" fillcolor="#c4cd71" stroked="false">
              <v:textbox inset="0,0,0,0">
                <w:txbxContent>
                  <w:p>
                    <w:pPr>
                      <w:spacing w:line="249" w:lineRule="auto" w:before="182"/>
                      <w:ind w:left="592"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0;top:0;width:2409;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group>
        </w:pict>
      </w:r>
      <w:r>
        <w:rPr>
          <w:sz w:val="20"/>
        </w:rPr>
      </w:r>
    </w:p>
    <w:p>
      <w:pPr>
        <w:pStyle w:val="BodyText"/>
        <w:rPr>
          <w:sz w:val="20"/>
        </w:rPr>
      </w:pPr>
    </w:p>
    <w:p>
      <w:pPr>
        <w:pStyle w:val="BodyText"/>
        <w:spacing w:before="1"/>
        <w:rPr>
          <w:sz w:val="20"/>
        </w:rPr>
      </w:pPr>
    </w:p>
    <w:p>
      <w:pPr>
        <w:spacing w:before="93"/>
        <w:ind w:left="765" w:right="0" w:firstLine="0"/>
        <w:jc w:val="left"/>
        <w:rPr>
          <w:sz w:val="72"/>
        </w:rPr>
      </w:pPr>
      <w:r>
        <w:rPr/>
        <w:pict>
          <v:group style="position:absolute;margin-left:763.172119pt;margin-top:-13.544211pt;width:61.1pt;height:45.2pt;mso-position-horizontal-relative:page;mso-position-vertical-relative:paragraph;z-index:28888" coordorigin="15263,-271" coordsize="1222,904">
            <v:shape style="position:absolute;left:15424;top:-271;width:900;height:904" coordorigin="15424,-271" coordsize="900,904" path="m15874,-271l15424,179,15424,182,15874,632,16324,182,16324,179,15874,-271xe" filled="true" fillcolor="#c4cd71" stroked="false">
              <v:path arrowok="t"/>
              <v:fill type="solid"/>
            </v:shape>
            <v:shape style="position:absolute;left:15422;top:179;width:2;height:4" coordorigin="15423,179" coordsize="2,4" path="m15424,179l15423,181,15424,182,15424,179xe" filled="true" fillcolor="#b9c369" stroked="false">
              <v:path arrowok="t"/>
              <v:fill type="solid"/>
            </v:shape>
            <v:shape style="position:absolute;left:16324;top:179;width:2;height:4" coordorigin="16324,179" coordsize="2,4" path="m16324,179l16324,182,16326,181,16324,179xe" filled="true" fillcolor="#bec29e" stroked="false">
              <v:path arrowok="t"/>
              <v:fill type="solid"/>
            </v:shape>
            <v:shape style="position:absolute;left:15263;top:19;width:161;height:322" type="#_x0000_t75" stroked="false">
              <v:imagedata r:id="rId16" o:title=""/>
            </v:shape>
            <v:shape style="position:absolute;left:16324;top:19;width:161;height:322" type="#_x0000_t75" stroked="false">
              <v:imagedata r:id="rId11" o:title=""/>
            </v:shape>
            <v:shape style="position:absolute;left:15263;top:-271;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67.324211pt;width:240.15pt;height:42.55pt;mso-position-horizontal-relative:page;mso-position-vertical-relative:paragraph;z-index:28960" coordorigin="0,-1346" coordsize="4803,851">
            <v:rect style="position:absolute;left:0;top:-1347;width:2406;height:851" filled="true" fillcolor="#aebd37" stroked="false">
              <v:fill type="solid"/>
            </v:rect>
            <v:shape style="position:absolute;left:0;top:-1347;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shape style="position:absolute;left:2397;top:-1347;width:2406;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w10:wrap type="none"/>
          </v:group>
        </w:pict>
      </w:r>
      <w:r>
        <w:rPr/>
        <w:pict>
          <v:group style="position:absolute;margin-left:721.619019pt;margin-top:-67.324211pt;width:120.3pt;height:42.55pt;mso-position-horizontal-relative:page;mso-position-vertical-relative:paragraph;z-index:29008" coordorigin="14432,-1346" coordsize="2406,851">
            <v:rect style="position:absolute;left:14432;top:-1347;width:2406;height:851" filled="true" fillcolor="#aebd37" stroked="false">
              <v:fill type="solid"/>
            </v:rect>
            <v:line style="position:absolute" from="16838,-1346" to="16838,-496" stroked="true" strokeweight=".001pt" strokecolor="#aebd37">
              <v:stroke dashstyle="solid"/>
            </v:line>
            <v:shape style="position:absolute;left:14432;top:-13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w10:wrap type="none"/>
          </v:group>
        </w:pict>
      </w:r>
      <w:r>
        <w:rPr>
          <w:color w:val="6F2770"/>
          <w:sz w:val="72"/>
        </w:rPr>
        <w:t>Certification of Key Performance Indicators</w:t>
      </w:r>
    </w:p>
    <w:p>
      <w:pPr>
        <w:pStyle w:val="BodyText"/>
        <w:spacing w:before="1"/>
        <w:rPr>
          <w:sz w:val="18"/>
        </w:rPr>
      </w:pPr>
      <w:r>
        <w:rPr/>
        <w:pict>
          <v:group style="position:absolute;margin-left:38.268002pt;margin-top:12.384469pt;width:372.3pt;height:389.15pt;mso-position-horizontal-relative:page;mso-position-vertical-relative:paragraph;z-index:26744;mso-wrap-distance-left:0;mso-wrap-distance-right:0" coordorigin="765,248" coordsize="7446,7783">
            <v:shape style="position:absolute;left:1066;top:4269;width:933;height:941" coordorigin="1066,4269" coordsize="933,941" path="m1563,4269l1537,4276,1534,4282,1508,4351,1478,4419,1446,4486,1413,4552,1378,4618,1342,4683,1274,4802,1243,4857,1213,4912,1182,4967,1149,5023,1115,5081,1085,5141,1068,5203,1066,5210,1095,5205,1096,5198,1111,5144,1136,5092,1165,5043,1194,4994,1224,4939,1254,4884,1285,4829,1316,4774,1356,4704,1359,4697,1384,4637,1410,4576,1437,4517,1466,4458,1488,4415,1510,4374,1527,4331,1534,4283,1563,4277,1563,4275,1563,4269xm1221,5149l1193,5154,1191,5162,1218,5155,1221,5149xm1299,4863l1291,4880,1261,4947,1232,5015,1208,5084,1193,5154,1224,5079,1252,5003,1279,4923,1299,4863xm1425,4579l1408,4611,1382,4671,1351,4742,1321,4814,1299,4863,1278,4927,1252,5003,1224,5079,1193,5154,1221,5149,1240,5069,1268,4991,1302,4915,1333,4848,1349,4798,1374,4727,1395,4675,1413,4613,1425,4579xm1333,4848l1302,4915,1268,4991,1240,5069,1221,5149,1251,5080,1277,5010,1302,4940,1333,4848xm1600,4940l1541,4940,1577,4953,1615,4971,1650,4983,1686,4990,1722,4992,1759,4994,1822,4991,1873,4981,1770,4981,1702,4971,1635,4953,1600,4940xm1992,4923l1981,4924,1974,4926,1905,4962,1837,4979,1770,4981,1873,4981,1883,4979,1941,4958,1996,4928,1999,4924,1992,4923xm1499,4450l1469,4529,1436,4607,1403,4685,1378,4743,1371,4775,1361,4857,1361,4880,1361,4900,1370,4945,1394,4976,1437,4975,1445,4971,1454,4969,1461,4963,1496,4945,1421,4945,1394,4914,1388,4860,1394,4799,1402,4749,1420,4673,1444,4597,1471,4523,1499,4450xm1521,4923l1498,4927,1477,4935,1421,4945,1496,4945,1503,4941,1541,4940,1600,4940,1567,4929,1544,4923,1521,4923xm1408,4611l1394,4636,1356,4704,1330,4773,1303,4849,1299,4863,1321,4814,1351,4742,1382,4671,1408,4611xm1395,4675l1374,4727,1349,4798,1333,4848,1336,4840,1378,4743,1389,4693,1395,4675xm1499,4450l1495,4451,1478,4485,1451,4542,1426,4600,1401,4658,1395,4675,1389,4693,1378,4743,1403,4685,1436,4607,1469,4529,1499,4450xm1563,4277l1534,4283,1527,4331,1510,4374,1488,4415,1466,4458,1437,4517,1410,4576,1384,4637,1359,4697,1356,4704,1394,4636,1408,4611,1413,4599,1442,4527,1471,4455,1474,4448,1492,4445,1503,4424,1534,4351,1563,4277,1563,4277xm1495,4451l1489,4452,1468,4495,1432,4566,1425,4579,1413,4613,1395,4675,1401,4658,1426,4599,1451,4542,1478,4485,1495,4451xm1471,4455l1442,4527,1413,4600,1408,4611,1425,4579,1441,4534,1471,4455xm1489,4452l1471,4455,1441,4534,1425,4579,1432,4566,1468,4495,1489,4452xm1492,4445l1474,4448,1471,4455,1489,4452,1492,4445xm1498,4445l1492,4445,1489,4452,1495,4451,1498,4445xm1501,4444l1498,4445,1495,4451,1499,4450,1501,4444xm1563,4277l1534,4351,1503,4424,1492,4445,1498,4445,1506,4429,1526,4391,1544,4355,1557,4317,1563,4277xe" filled="true" fillcolor="#000101" stroked="false">
              <v:path arrowok="t"/>
              <v:fill type="solid"/>
            </v:shape>
            <v:shape style="position:absolute;left:1901;top:5005;width:55;height:33" coordorigin="1902,5006" coordsize="55,33" path="m1940,5006l1922,5011,1906,5022,1902,5033,1918,5038,1936,5033,1952,5022,1956,5011,1940,5006xe" filled="true" fillcolor="#000101" stroked="false">
              <v:path arrowok="t"/>
              <v:fill type="solid"/>
            </v:shape>
            <v:shape style="position:absolute;left:767;top:250;width:7441;height:7778" type="#_x0000_t202" filled="false" stroked="true" strokeweight=".25pt" strokecolor="#939598">
              <v:textbox inset="0,0,0,0">
                <w:txbxContent>
                  <w:p>
                    <w:pPr>
                      <w:spacing w:line="240" w:lineRule="auto" w:before="0"/>
                      <w:rPr>
                        <w:sz w:val="32"/>
                      </w:rPr>
                    </w:pPr>
                  </w:p>
                  <w:p>
                    <w:pPr>
                      <w:spacing w:line="240" w:lineRule="auto" w:before="0"/>
                      <w:rPr>
                        <w:sz w:val="32"/>
                      </w:rPr>
                    </w:pPr>
                  </w:p>
                  <w:p>
                    <w:pPr>
                      <w:spacing w:before="239"/>
                      <w:ind w:left="278" w:right="0" w:firstLine="0"/>
                      <w:jc w:val="left"/>
                      <w:rPr>
                        <w:sz w:val="28"/>
                      </w:rPr>
                    </w:pPr>
                    <w:r>
                      <w:rPr>
                        <w:color w:val="A7BE39"/>
                        <w:sz w:val="28"/>
                      </w:rPr>
                      <w:t>For the year ended 30 June 2017</w:t>
                    </w:r>
                  </w:p>
                  <w:p>
                    <w:pPr>
                      <w:spacing w:line="249" w:lineRule="auto" w:before="262"/>
                      <w:ind w:left="278" w:right="593" w:firstLine="0"/>
                      <w:jc w:val="left"/>
                      <w:rPr>
                        <w:sz w:val="22"/>
                      </w:rPr>
                    </w:pPr>
                    <w:r>
                      <w:rPr>
                        <w:sz w:val="22"/>
                      </w:rPr>
                      <w:t>I hereby certify that the key performance indicators are based on proper records, are relevant and appropriate for assisting users to assess</w:t>
                    </w:r>
                    <w:r>
                      <w:rPr>
                        <w:spacing w:val="-27"/>
                        <w:sz w:val="22"/>
                      </w:rPr>
                      <w:t> </w:t>
                    </w:r>
                    <w:r>
                      <w:rPr>
                        <w:sz w:val="22"/>
                      </w:rPr>
                      <w:t>the</w:t>
                    </w:r>
                    <w:r>
                      <w:rPr>
                        <w:spacing w:val="-27"/>
                        <w:sz w:val="22"/>
                      </w:rPr>
                      <w:t> </w:t>
                    </w:r>
                    <w:r>
                      <w:rPr>
                        <w:sz w:val="22"/>
                      </w:rPr>
                      <w:t>Department</w:t>
                    </w:r>
                    <w:r>
                      <w:rPr>
                        <w:spacing w:val="-26"/>
                        <w:sz w:val="22"/>
                      </w:rPr>
                      <w:t> </w:t>
                    </w:r>
                    <w:r>
                      <w:rPr>
                        <w:sz w:val="22"/>
                      </w:rPr>
                      <w:t>of</w:t>
                    </w:r>
                    <w:r>
                      <w:rPr>
                        <w:spacing w:val="-27"/>
                        <w:sz w:val="22"/>
                      </w:rPr>
                      <w:t> </w:t>
                    </w:r>
                    <w:r>
                      <w:rPr>
                        <w:spacing w:val="-3"/>
                        <w:sz w:val="22"/>
                      </w:rPr>
                      <w:t>Finance’s</w:t>
                    </w:r>
                    <w:r>
                      <w:rPr>
                        <w:spacing w:val="-26"/>
                        <w:sz w:val="22"/>
                      </w:rPr>
                      <w:t> </w:t>
                    </w:r>
                    <w:r>
                      <w:rPr>
                        <w:sz w:val="22"/>
                      </w:rPr>
                      <w:t>performance,</w:t>
                    </w:r>
                    <w:r>
                      <w:rPr>
                        <w:spacing w:val="-27"/>
                        <w:sz w:val="22"/>
                      </w:rPr>
                      <w:t> </w:t>
                    </w:r>
                    <w:r>
                      <w:rPr>
                        <w:sz w:val="22"/>
                      </w:rPr>
                      <w:t>and</w:t>
                    </w:r>
                    <w:r>
                      <w:rPr>
                        <w:spacing w:val="-26"/>
                        <w:sz w:val="22"/>
                      </w:rPr>
                      <w:t> </w:t>
                    </w:r>
                    <w:r>
                      <w:rPr>
                        <w:sz w:val="22"/>
                      </w:rPr>
                      <w:t>fairly</w:t>
                    </w:r>
                    <w:r>
                      <w:rPr>
                        <w:spacing w:val="-27"/>
                        <w:sz w:val="22"/>
                      </w:rPr>
                      <w:t> </w:t>
                    </w:r>
                    <w:r>
                      <w:rPr>
                        <w:spacing w:val="-3"/>
                        <w:sz w:val="22"/>
                      </w:rPr>
                      <w:t>represent </w:t>
                    </w:r>
                    <w:r>
                      <w:rPr>
                        <w:sz w:val="22"/>
                      </w:rPr>
                      <w:t>the</w:t>
                    </w:r>
                    <w:r>
                      <w:rPr>
                        <w:spacing w:val="-11"/>
                        <w:sz w:val="22"/>
                      </w:rPr>
                      <w:t> </w:t>
                    </w:r>
                    <w:r>
                      <w:rPr>
                        <w:sz w:val="22"/>
                      </w:rPr>
                      <w:t>performance</w:t>
                    </w:r>
                    <w:r>
                      <w:rPr>
                        <w:spacing w:val="-10"/>
                        <w:sz w:val="22"/>
                      </w:rPr>
                      <w:t> </w:t>
                    </w:r>
                    <w:r>
                      <w:rPr>
                        <w:sz w:val="22"/>
                      </w:rPr>
                      <w:t>of</w:t>
                    </w:r>
                    <w:r>
                      <w:rPr>
                        <w:spacing w:val="-10"/>
                        <w:sz w:val="22"/>
                      </w:rPr>
                      <w:t> </w:t>
                    </w:r>
                    <w:r>
                      <w:rPr>
                        <w:sz w:val="22"/>
                      </w:rPr>
                      <w:t>the</w:t>
                    </w:r>
                    <w:r>
                      <w:rPr>
                        <w:spacing w:val="-10"/>
                        <w:sz w:val="22"/>
                      </w:rPr>
                      <w:t> </w:t>
                    </w:r>
                    <w:r>
                      <w:rPr>
                        <w:sz w:val="22"/>
                      </w:rPr>
                      <w:t>Department</w:t>
                    </w:r>
                    <w:r>
                      <w:rPr>
                        <w:spacing w:val="-10"/>
                        <w:sz w:val="22"/>
                      </w:rPr>
                      <w:t> </w:t>
                    </w:r>
                    <w:r>
                      <w:rPr>
                        <w:sz w:val="22"/>
                      </w:rPr>
                      <w:t>for</w:t>
                    </w:r>
                    <w:r>
                      <w:rPr>
                        <w:spacing w:val="-10"/>
                        <w:sz w:val="22"/>
                      </w:rPr>
                      <w:t> </w:t>
                    </w:r>
                    <w:r>
                      <w:rPr>
                        <w:sz w:val="22"/>
                      </w:rPr>
                      <w:t>the</w:t>
                    </w:r>
                    <w:r>
                      <w:rPr>
                        <w:spacing w:val="-10"/>
                        <w:sz w:val="22"/>
                      </w:rPr>
                      <w:t> </w:t>
                    </w:r>
                    <w:r>
                      <w:rPr>
                        <w:sz w:val="22"/>
                      </w:rPr>
                      <w:t>financial</w:t>
                    </w:r>
                    <w:r>
                      <w:rPr>
                        <w:spacing w:val="-10"/>
                        <w:sz w:val="22"/>
                      </w:rPr>
                      <w:t> </w:t>
                    </w:r>
                    <w:r>
                      <w:rPr>
                        <w:sz w:val="22"/>
                      </w:rPr>
                      <w:t>year</w:t>
                    </w:r>
                    <w:r>
                      <w:rPr>
                        <w:spacing w:val="-10"/>
                        <w:sz w:val="22"/>
                      </w:rPr>
                      <w:t> </w:t>
                    </w:r>
                    <w:r>
                      <w:rPr>
                        <w:sz w:val="22"/>
                      </w:rPr>
                      <w:t>ended</w:t>
                    </w:r>
                  </w:p>
                  <w:p>
                    <w:pPr>
                      <w:spacing w:before="4"/>
                      <w:ind w:left="278" w:right="0" w:firstLine="0"/>
                      <w:jc w:val="left"/>
                      <w:rPr>
                        <w:sz w:val="22"/>
                      </w:rPr>
                    </w:pPr>
                    <w:r>
                      <w:rPr>
                        <w:sz w:val="22"/>
                      </w:rPr>
                      <w:t>30 June 2017.</w: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7"/>
                      <w:rPr>
                        <w:sz w:val="28"/>
                      </w:rPr>
                    </w:pPr>
                  </w:p>
                  <w:p>
                    <w:pPr>
                      <w:spacing w:line="249" w:lineRule="auto" w:before="0"/>
                      <w:ind w:left="278" w:right="5400" w:firstLine="0"/>
                      <w:jc w:val="left"/>
                      <w:rPr>
                        <w:sz w:val="22"/>
                      </w:rPr>
                    </w:pPr>
                    <w:r>
                      <w:rPr>
                        <w:sz w:val="22"/>
                      </w:rPr>
                      <w:t>Anne Nolan </w:t>
                    </w:r>
                    <w:r>
                      <w:rPr>
                        <w:w w:val="95"/>
                        <w:sz w:val="22"/>
                      </w:rPr>
                      <w:t>Director General </w:t>
                    </w:r>
                    <w:r>
                      <w:rPr>
                        <w:sz w:val="22"/>
                      </w:rPr>
                      <w:t>23 August 2017</w:t>
                    </w:r>
                  </w:p>
                </w:txbxContent>
              </v:textbox>
              <v:stroke dashstyle="solid"/>
              <w10:wrap type="none"/>
            </v:shape>
            <w10:wrap type="topAndBottom"/>
          </v:group>
        </w:pict>
      </w:r>
      <w:r>
        <w:rPr/>
        <w:pict>
          <v:group style="position:absolute;margin-left:449.291992pt;margin-top:24.943569pt;width:391.55pt;height:337.9pt;mso-position-horizontal-relative:page;mso-position-vertical-relative:paragraph;z-index:26768;mso-wrap-distance-left:0;mso-wrap-distance-right:0" coordorigin="8986,499" coordsize="7831,6758">
            <v:shape style="position:absolute;left:10903;top:2188;width:845;height:3379" coordorigin="10904,2188" coordsize="845,3379" path="m11710,5529l11710,5529,11748,5567,11710,5529xm11668,5487l11668,5487,11707,5526,11707,5526,11668,5487xm11625,5444l11625,5444,11665,5484,11665,5484,11625,5444xm11583,5402l11583,5402,11622,5441,11622,5441,11583,5402xm11540,5359l11540,5359,11580,5399,11580,5399,11540,5359xm11498,5317l11498,5317,11537,5356,11537,5356,11498,5317xm11455,5274l11495,5314,11495,5314,11455,5274xm11413,5232l11413,5232,11453,5271,11453,5271,11413,5232xm11371,5189l11410,5229,11410,5229,11371,5189xm11328,5147l11368,5187,11368,5187,11328,5147xm11286,5105l11286,5105,11325,5144,11325,5144,11286,5105xm11243,5062l11243,5062,11283,5102,11283,5102,11243,5062xm11201,5020l11201,5020,11240,5059,11240,5059,11201,5020xm11180,4999l11180,4999,11200,5019,11180,4999xm11137,4956l11137,4956,11172,4991,11172,4991,11137,4956xm11095,4914l11095,4914,11130,4949,11130,4949,11095,4914xm11052,4871l11052,4871,11087,4906,11088,4906,11052,4871xm11010,4829l11045,4864,11045,4864,11010,4829xm10968,4786l10967,4786,11003,4822,10968,4786xm10904,4723l10904,4723,10918,4737,10904,4723xm11105,2832l10974,2963,10974,2963,11105,2832xm11344,2593l11344,2593,11132,2804,11344,2593xm11502,2434l11502,2435,11355,2582,11502,2434xm11661,2276l11661,2276,11513,2424,11513,2423,11661,2276xm11748,2188l11672,2265,11672,2265,11748,2188xe" filled="true" fillcolor="#aebd37" stroked="false">
              <v:path arrowok="t"/>
              <v:fill type="solid"/>
            </v:shape>
            <v:shape style="position:absolute;left:10903;top:2188;width:845;height:3379" coordorigin="10904,2188" coordsize="845,3379" path="m11748,5507l11710,5529,11748,5567,11748,5507xm11748,5440l11668,5487,11707,5526,11748,5502,11748,5440xm11748,5373l11625,5444,11665,5484,11748,5436,11748,5373xm11748,5306l11583,5402,11622,5441,11748,5369,11748,5306xm11748,5239l11540,5359,11580,5399,11748,5302,11748,5239xm11748,5172l11498,5317,11537,5356,11748,5235,11748,5172xm11748,5105l11455,5274,11495,5314,11748,5168,11748,5105xm11723,5053l11413,5232,11453,5271,11748,5101,11748,5078,11723,5053xm11681,5011l11371,5189,11410,5229,11720,5050,11681,5011xm11638,4968l11328,5147,11368,5187,11678,5008,11638,4968xm11596,4926l11286,5105,11325,5144,11635,4965,11596,4926xm11553,4883l11243,5062,11283,5102,11593,4923,11553,4883xm11511,4841l11201,5020,11240,5059,11550,4880,11511,4841xm11270,4975l11200,4975,11200,4987,11180,4999,11200,5019,11200,5015,11270,4975xm11270,4908l11200,4908,11200,4920,11137,4956,11172,4991,11200,4975,11270,4975,11308,4953,11200,4953,11200,4948,11270,4908xm11468,4798l11200,4953,11308,4953,11508,4838,11468,4798xm11270,4841l11200,4841,11200,4853,11095,4914,11130,4949,11200,4908,11270,4908,11308,4886,11200,4886,11200,4881,11270,4841xm11270,4774l11200,4774,11200,4786,11052,4871,11088,4906,11200,4841,11270,4841,11308,4819,11200,4819,11200,4814,11270,4774xm11426,4756l11200,4886,11308,4886,11465,4795,11426,4756xm11270,4707l11200,4707,11200,4719,11010,4829,11045,4864,11200,4774,11270,4774,11308,4752,11200,4752,11200,4747,11270,4707xm11270,4640l11200,4640,11200,4652,10968,4786,11003,4822,11200,4707,11270,4707,11308,4685,11200,4685,11200,4680,11270,4640xm11383,4713l11200,4819,11308,4819,11423,4753,11383,4713xm11243,4573l11200,4573,11200,4585,10925,4744,10960,4779,11200,4640,11270,4640,11295,4625,11288,4618,11200,4618,11200,4613,11253,4583,11243,4573xm11341,4671l11200,4752,11308,4752,11380,4710,11341,4671xm11193,4523l10982,4644,10904,4723,10918,4737,11200,4573,11243,4573,11221,4551,11200,4551,11200,4546,11210,4541,11193,4523xm11298,4628l11200,4685,11308,4685,11338,4668,11298,4628xm11256,4586l11200,4618,11288,4618,11256,4586xm11150,4480l11140,4486,11010,4617,11185,4515,11150,4480xm11213,4543l11200,4551,11221,4551,11213,4543xm11152,3273l11147,3276,11148,3278,11152,3273xm11259,3167l11200,3167,11200,3179,11104,3234,11140,3269,11180,3246,11214,3211,11200,3211,11200,3207,11244,3182,11259,3167xm11270,3100l11200,3100,11200,3112,11062,3191,11097,3227,11200,3167,11259,3167,11281,3144,11200,3144,11200,3140,11270,3100xm11233,3193l11200,3211,11214,3211,11233,3193xm11270,3033l11200,3033,11200,3045,11020,3149,11055,3184,11200,3100,11270,3100,11308,3077,11200,3077,11200,3073,11270,3033xm11391,3034l11200,3144,11281,3144,11391,3034xm11270,2966l11200,2966,11200,2978,10977,3107,11012,3142,11200,3033,11270,3033,11308,3011,11200,3011,11200,3006,11270,2966xm11270,2899l11200,2899,11200,2911,10935,3064,10970,3099,11200,2966,11270,2966,11308,2944,11200,2944,11200,2939,11270,2899xm11550,2876l11200,3077,11308,3077,11402,3023,11550,2876xm11270,2832l11200,2832,11200,2844,10946,2990,10904,3033,10927,3057,11200,2899,11270,2899,11308,2877,11200,2877,11200,2872,11270,2832xm11708,2717l11200,3011,11308,3011,11561,2865,11708,2717xm11270,2765l11200,2765,11200,2777,11105,2832,10974,2963,11200,2832,11270,2832,11308,2810,11200,2810,11200,2805,11270,2765xm11748,2627l11200,2944,11308,2944,11719,2706,11748,2677,11748,2627xm11748,2560l11200,2877,11308,2877,11748,2623,11748,2560xm11748,2493l11200,2810,11308,2810,11748,2556,11748,2493xm11748,2359l11344,2593,11132,2804,11200,2765,11270,2765,11308,2743,11200,2743,11200,2738,11748,2422,11748,2359xm11748,2426l11200,2743,11308,2743,11748,2489,11748,2426xm11748,2292l11502,2434,11355,2582,11748,2355,11748,2292xm11748,2225l11661,2276,11513,2423,11748,2288,11748,2225xm11748,2188l11672,2265,11748,2221,11748,2188xe" filled="true" fillcolor="#aebd37" stroked="false">
              <v:path arrowok="t"/>
              <v:fill type="solid"/>
            </v:shape>
            <v:shape style="position:absolute;left:11748;top:498;width:1690;height:1690" coordorigin="11748,499" coordsize="1690,1690" path="m13438,499l11748,2188,12593,1344,12593,1344,13438,499xm13438,499l13438,499,13438,499,13438,499xe" filled="true" fillcolor="#6f2770" stroked="false">
              <v:path arrowok="t"/>
              <v:fill type="solid"/>
            </v:shape>
            <v:shape style="position:absolute;left:11748;top:498;width:3379;height:1690" coordorigin="11748,499" coordsize="3379,1690" path="m12593,1344l11748,2188,11748,2188,12237,2188,12838,1588,12593,1344xm14189,1250l14282,1344,14038,1588,14638,2188,15127,2188,15127,2188,14189,1250xm13438,499l13438,499,14189,1250,13438,499xe" filled="true" fillcolor="#6f2770" stroked="false">
              <v:path arrowok="t"/>
              <v:fill type="solid"/>
            </v:shape>
            <v:shape style="position:absolute;left:11748;top:5567;width:1690;height:1690" coordorigin="11748,5567" coordsize="1690,1690" path="m11748,5567l13438,7257,11748,5567xe" filled="true" fillcolor="#5d883c" stroked="false">
              <v:path arrowok="t"/>
              <v:fill type="solid"/>
            </v:shape>
            <v:shape style="position:absolute;left:11748;top:5567;width:3379;height:1690" coordorigin="11748,5567" coordsize="3379,1690" path="m12237,5567l11748,5567,11748,5567,12734,6553,12593,6412,12838,6168,12237,5567xm15127,5567l14638,5567,14038,6168,14282,6412,13438,7257,13438,7257,15127,5567,15127,5567xm15127,5567l15127,5567,15127,5567,15127,5567xe" filled="true" fillcolor="#5d883c" stroked="false">
              <v:path arrowok="t"/>
              <v:fill type="solid"/>
            </v:shape>
            <v:shape style="position:absolute;left:15127;top:2188;width:1690;height:3379" coordorigin="15127,2188" coordsize="1690,3379" path="m15728,4478l15127,5079,15127,5567,15972,4723,15728,4478xm15972,3033l15972,3033,16817,3878,15972,3033xm15127,2188l15127,2677,15728,3278,15972,3033,15972,3033,15127,2188xe" filled="true" fillcolor="#360e3f" stroked="false">
              <v:path arrowok="t"/>
              <v:fill type="solid"/>
            </v:shape>
            <v:shape style="position:absolute;left:8985;top:498;width:7831;height:6758" type="#_x0000_t75" stroked="false">
              <v:imagedata r:id="rId248" o:title=""/>
            </v:shape>
            <w10:wrap type="topAndBottom"/>
          </v:group>
        </w:pict>
      </w:r>
    </w:p>
    <w:p>
      <w:pPr>
        <w:pStyle w:val="BodyText"/>
        <w:rPr>
          <w:sz w:val="20"/>
        </w:rPr>
      </w:pPr>
    </w:p>
    <w:p>
      <w:pPr>
        <w:pStyle w:val="BodyText"/>
        <w:rPr>
          <w:sz w:val="20"/>
        </w:rPr>
      </w:pPr>
    </w:p>
    <w:p>
      <w:pPr>
        <w:pStyle w:val="BodyText"/>
        <w:rPr>
          <w:sz w:val="20"/>
        </w:rPr>
      </w:pPr>
    </w:p>
    <w:p>
      <w:pPr>
        <w:pStyle w:val="BodyText"/>
        <w:spacing w:before="4"/>
        <w:rPr>
          <w:sz w:val="21"/>
        </w:rPr>
      </w:pPr>
    </w:p>
    <w:p>
      <w:pPr>
        <w:tabs>
          <w:tab w:pos="1227" w:val="left" w:leader="none"/>
          <w:tab w:pos="4671" w:val="left" w:leader="none"/>
          <w:tab w:pos="16072" w:val="left" w:leader="none"/>
        </w:tabs>
        <w:spacing w:before="0"/>
        <w:ind w:left="765" w:right="0" w:firstLine="0"/>
        <w:jc w:val="left"/>
        <w:rPr>
          <w:sz w:val="16"/>
        </w:rPr>
      </w:pPr>
      <w:r>
        <w:rPr/>
        <w:pict>
          <v:group style="position:absolute;margin-left:389.067291pt;margin-top:-35.020496pt;width:134.3pt;height:67.150pt;mso-position-horizontal-relative:page;mso-position-vertical-relative:paragraph;z-index:-784792" coordorigin="7781,-700" coordsize="2686,1343">
            <v:shape style="position:absolute;left:7781;top:-701;width:1795;height:1343" coordorigin="7781,-700" coordsize="1795,1343" path="m9576,-249l9124,-700,8673,-249,8221,203,7781,642,8661,642,8685,642,9564,642,9124,203,9576,-249e" filled="true" fillcolor="#ffffff" stroked="false">
              <v:path arrowok="t"/>
              <v:fill type="solid"/>
            </v:shape>
            <v:shape style="position:absolute;left:8672;top:-701;width:904;height:904" coordorigin="8673,-700" coordsize="904,904" path="m9124,-700l8673,-249,9124,203,9576,-249,9124,-700xe" filled="true" fillcolor="#d5dcc7" stroked="false">
              <v:path arrowok="t"/>
              <v:fill type="solid"/>
            </v:shape>
            <v:shape style="position:absolute;left:8221;top:-249;width:904;height:892" coordorigin="8221,-249" coordsize="904,892" path="m8673,-249l8221,203,8661,642,8685,642,9124,203,8673,-249xe" filled="true" fillcolor="#e8e9c9" stroked="false">
              <v:path arrowok="t"/>
              <v:fill type="solid"/>
            </v:shape>
            <v:shape style="position:absolute;left:7781;top:202;width:2686;height:440" coordorigin="7781,203" coordsize="2686,440" path="m8661,642l8221,203,7781,642,8661,642m10467,642l10027,203,9588,642,10467,642e" filled="true" fillcolor="#efeeeb" stroked="false">
              <v:path arrowok="t"/>
              <v:fill type="solid"/>
            </v:shape>
            <v:shape style="position:absolute;left:8684;top:202;width:880;height:440" coordorigin="8685,203" coordsize="880,440" path="m9124,203l8685,642,9564,642,9124,203xe" filled="true" fillcolor="#c0aac2" stroked="false">
              <v:path arrowok="t"/>
              <v:fill type="solid"/>
            </v:shape>
            <w10:wrap type="none"/>
          </v:group>
        </w:pict>
      </w:r>
      <w:r>
        <w:rPr>
          <w:b/>
          <w:color w:val="6F2770"/>
          <w:sz w:val="16"/>
        </w:rPr>
        <w:t>94</w:t>
        <w:tab/>
      </w: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footerReference w:type="default" r:id="rId246"/>
          <w:pgSz w:w="16840" w:h="11910" w:orient="landscape"/>
          <w:pgMar w:footer="0" w:header="0" w:top="0" w:bottom="0" w:left="0" w:right="0"/>
        </w:sectPr>
      </w:pPr>
    </w:p>
    <w:p>
      <w:pPr>
        <w:pStyle w:val="BodyText"/>
        <w:spacing w:before="1"/>
        <w:rPr>
          <w:sz w:val="17"/>
        </w:rPr>
      </w:pPr>
    </w:p>
    <w:p>
      <w:pPr>
        <w:spacing w:before="106"/>
        <w:ind w:left="0" w:right="734" w:firstLine="0"/>
        <w:jc w:val="right"/>
        <w:rPr>
          <w:sz w:val="20"/>
        </w:rPr>
      </w:pPr>
      <w:r>
        <w:rPr/>
        <w:pict>
          <v:group style="position:absolute;margin-left:360.569702pt;margin-top:-10.120531pt;width:481.35pt;height:108.95pt;mso-position-horizontal-relative:page;mso-position-vertical-relative:paragraph;z-index:-784600" coordorigin="7211,-202" coordsize="9627,2179">
            <v:shape style="position:absolute;left:15424;top:873;width:900;height:904" coordorigin="15424,873" coordsize="900,904" path="m15874,873l15424,1323,15424,1326,15874,1776,16324,1326,16324,1323,15874,873xe" filled="true" fillcolor="#c4cd71" stroked="false">
              <v:path arrowok="t"/>
              <v:fill type="solid"/>
            </v:shape>
            <v:shape style="position:absolute;left:13225;top:621;width:904;height:904" coordorigin="13225,622" coordsize="904,904" path="m13677,622l13225,1073,13677,1525,14128,1073,13677,622xe" filled="true" fillcolor="#e8e9c9" stroked="false">
              <v:path arrowok="t"/>
              <v:fill type="solid"/>
            </v:shape>
            <v:shape style="position:absolute;left:12773;top:1073;width:904;height:904" coordorigin="12774,1073" coordsize="904,904" path="m13225,1073l12774,1525,13225,1976,13677,1525,13225,1073xe" filled="true" fillcolor="#d5dac6" stroked="false">
              <v:path arrowok="t"/>
              <v:fill type="solid"/>
            </v:shape>
            <v:shape style="position:absolute;left:11870;top:170;width:2710;height:904" coordorigin="11870,170" coordsize="2710,904" path="m12774,622l12322,170,11870,622,12322,1073,12774,622m14580,622l14128,170,13677,622,14128,1073,14580,622e" filled="true" fillcolor="#efeeeb" stroked="false">
              <v:path arrowok="t"/>
              <v:fill type="solid"/>
            </v:shape>
            <v:shape style="position:absolute;left:12773;top:170;width:904;height:904" coordorigin="12774,170" coordsize="904,904" path="m13225,170l12774,622,13225,1073,13677,622,13225,170xe" filled="true" fillcolor="#c0aac2" stroked="false">
              <v:path arrowok="t"/>
              <v:fill type="solid"/>
            </v:shape>
            <v:shape style="position:absolute;left:8419;top:-203;width:1455;height:1745" coordorigin="8419,-202" coordsize="1455,1745" path="m9219,-202l9194,-202,8935,-53,8901,-19,9219,-202m9356,-202l9331,-202,8748,134,8714,168,9356,-202m9492,-202l9467,-202,8562,321,8527,355,9492,-202m9629,-202l9604,-202,8419,482,8428,491,9629,-202m9766,-202l9741,-202,8469,532,8478,541,9766,-202m9874,1062l9320,1382,9329,1392,9874,1077,9874,1062m9874,983l9270,1332,9279,1341,9874,998,9874,983m9874,905l9220,1282,9229,1291,9874,919,9874,905m9874,826l9170,1232,9179,1241,9874,840,9874,826m9874,194l8769,832,8779,841,9874,209,9874,194m9874,115l8719,782,8729,791,9874,130,9874,115m9874,36l8669,732,8679,741,9874,51,9874,36m9874,-43l8619,682,8628,691,9874,-28,9874,-43m9874,-200l8519,582,8528,591,9874,-186,9874,-200m9874,1299l9470,1532,9479,1542,9874,1314,9874,1299m9874,1220l9420,1482,9429,1492,9874,1235,9874,1220m9874,1141l9370,1432,9379,1442,9874,1156,9874,1141m9874,747l9120,1182,9129,1191,9874,761,9874,747m9874,668l9070,1132,9079,1141,9874,682,9874,668m9874,589l9020,1082,9029,1091,9874,603,9874,589m9874,510l8970,1032,8979,1041,9874,524,9874,510m9874,431l8920,982,8929,991,9874,445,9874,431m9874,352l8870,932,8879,941,9874,367,9874,352m9874,273l8820,882,8829,891,9874,288,9874,273m9874,-121l8569,632,8578,641,9874,-107,9874,-121e" filled="true" fillcolor="#cdcccd" stroked="false">
              <v:path arrowok="t"/>
              <v:fill type="solid"/>
            </v:shape>
            <v:shape style="position:absolute;left:9520;top:1378;width:355;height:514" type="#_x0000_t75" stroked="false">
              <v:imagedata r:id="rId250" o:title=""/>
            </v:shape>
            <v:shape style="position:absolute;left:9874;top:-203;width:338;height:196" type="#_x0000_t75" stroked="false">
              <v:imagedata r:id="rId251" o:title=""/>
            </v:shape>
            <v:shape style="position:absolute;left:9874;top:-203;width:1438;height:1932" coordorigin="9874,-202" coordsize="1438,1932" path="m10349,-202l10339,-202,9874,66,9874,72,10349,-202m10378,1432l9874,1723,9874,1729,10365,1446,10378,1432m10486,-202l10476,-202,9874,145,9874,151,10486,-202m10565,1246l9874,1645,9874,1650,10551,1259,10565,1246m10622,-202l10612,-202,9874,224,9874,230,10622,-202m10699,-168l10695,-171,9874,303,9874,308,10699,-168m10749,-117l10745,-121,9874,382,9874,387,10749,-117m10752,1059l9874,1566,9874,1571,10738,1073,10752,1059m10799,-67l10795,-71,9874,461,9874,466,10799,-67m10849,-17l10845,-21,9874,539,9874,545,10849,-17m10899,33l10895,29,9874,618,9874,624,10899,33m10939,872l9874,1487,9874,1492,10925,886,10939,872m10949,83l10945,79,9874,697,9874,703,10949,83m10999,133l10995,129,9874,776,9874,782,10999,133m11049,183l11045,179,9874,855,9874,861,11049,183m11099,233l11095,229,9874,934,9874,940,11099,233m11125,685l9874,1408,9874,1414,11112,699,11125,685m11149,283l11145,279,9874,1013,9874,1019,11149,283m11199,333l11195,329,9874,1092,9874,1098,11199,333m11249,383l11245,379,9874,1171,9874,1177,11249,383m11299,433l11295,429,9874,1250,9874,1256,11299,433m11312,499l9874,1329,9874,1335,11298,512,11312,499e" filled="true" fillcolor="#cdcccd" stroked="false">
              <v:path arrowok="t"/>
              <v:fill type="solid"/>
            </v:shape>
            <v:shape style="position:absolute;left:9874;top:1619;width:318;height:269" type="#_x0000_t75" stroked="false">
              <v:imagedata r:id="rId158" o:title=""/>
            </v:shape>
            <v:rect style="position:absolute;left:7211;top:-203;width:2411;height:851" filled="true" fillcolor="#c4cd71" stroked="false">
              <v:fill type="solid"/>
            </v:rect>
            <v:rect style="position:absolute;left:9621;top:-203;width:2406;height:851" filled="true" fillcolor="#e6e7e8" stroked="false">
              <v:fill type="solid"/>
            </v:rect>
            <v:shape style="position:absolute;left:9621;top:-203;width:583;height:583" type="#_x0000_t75" stroked="false">
              <v:imagedata r:id="rId247" o:title=""/>
            </v:shape>
            <v:rect style="position:absolute;left:12026;top:-203;width:2406;height:851" filled="true" fillcolor="#b6c247" stroked="false">
              <v:fill type="solid"/>
            </v:rect>
            <v:rect style="position:absolute;left:14432;top:-203;width:2406;height:851" filled="true" fillcolor="#aebd37" stroked="false">
              <v:fill type="solid"/>
            </v:rect>
            <v:shape style="position:absolute;left:15263;top:1164;width:161;height:322" type="#_x0000_t75" stroked="false">
              <v:imagedata r:id="rId16" o:title=""/>
            </v:shape>
            <v:shape style="position:absolute;left:16324;top:1163;width:161;height:322" type="#_x0000_t75" stroked="false">
              <v:imagedata r:id="rId11" o:title=""/>
            </v:shape>
            <w10:wrap type="none"/>
          </v:group>
        </w:pict>
      </w:r>
      <w:r>
        <w:rPr/>
        <w:pict>
          <v:group style="position:absolute;margin-left:0pt;margin-top:-10.120531pt;width:240.15pt;height:42.55pt;mso-position-horizontal-relative:page;mso-position-vertical-relative:paragraph;z-index:29104" coordorigin="0,-202" coordsize="4803,851">
            <v:rect style="position:absolute;left:0;top:-203;width:2406;height:851" filled="true" fillcolor="#aebd37" stroked="false">
              <v:fill type="solid"/>
            </v:rect>
            <v:shape style="position:absolute;left:0;top:-203;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shape style="position:absolute;left:2397;top:-203;width:2406;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w10:wrap type="none"/>
          </v:group>
        </w:pict>
      </w:r>
      <w:r>
        <w:rPr/>
        <w:pict>
          <v:shape style="position:absolute;margin-left:601.348999pt;margin-top:-10.120531pt;width:120.3pt;height:42.55pt;mso-position-horizontal-relative:page;mso-position-vertical-relative:paragraph;z-index:29128"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481.079712pt;margin-top:-10.120531pt;width:120.3pt;height:42.55pt;mso-position-horizontal-relative:page;mso-position-vertical-relative:paragraph;z-index:29152" type="#_x0000_t202" filled="false" stroked="false">
            <v:textbox inset="0,0,0,0">
              <w:txbxContent>
                <w:p>
                  <w:pPr>
                    <w:spacing w:line="249" w:lineRule="auto" w:before="182"/>
                    <w:ind w:left="633" w:right="0" w:hanging="291"/>
                    <w:jc w:val="left"/>
                    <w:rPr>
                      <w:sz w:val="20"/>
                    </w:rPr>
                  </w:pPr>
                  <w:hyperlink w:history="true" w:anchor="_bookmark58">
                    <w:r>
                      <w:rPr>
                        <w:color w:val="6F2770"/>
                        <w:w w:val="95"/>
                        <w:sz w:val="20"/>
                      </w:rPr>
                      <w:t>KEY </w:t>
                    </w:r>
                  </w:hyperlink>
                  <w:hyperlink w:history="true" w:anchor="_bookmark58">
                    <w:r>
                      <w:rPr>
                        <w:color w:val="6F2770"/>
                        <w:w w:val="95"/>
                        <w:sz w:val="20"/>
                      </w:rPr>
                      <w:t>PERFORMANCE </w:t>
                    </w:r>
                    <w:r>
                      <w:rPr>
                        <w:color w:val="6F2770"/>
                        <w:sz w:val="20"/>
                      </w:rPr>
                      <w:t>INDICATORS</w:t>
                    </w:r>
                  </w:hyperlink>
                </w:p>
              </w:txbxContent>
            </v:textbox>
            <w10:wrap type="none"/>
          </v:shape>
        </w:pict>
      </w:r>
      <w:r>
        <w:rPr/>
        <w:pict>
          <v:shape style="position:absolute;margin-left:360.569702pt;margin-top:-10.120531pt;width:120.55pt;height:42.55pt;mso-position-horizontal-relative:page;mso-position-vertical-relative:paragraph;z-index:29176" type="#_x0000_t202" filled="false" stroked="false">
            <v:textbox inset="0,0,0,0">
              <w:txbxContent>
                <w:p>
                  <w:pPr>
                    <w:spacing w:line="249" w:lineRule="auto" w:before="182"/>
                    <w:ind w:left="592"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w10:wrap type="none"/>
          </v:shape>
        </w:pict>
      </w:r>
      <w:r>
        <w:rPr/>
        <w:pict>
          <v:shape style="position:absolute;margin-left:240.123001pt;margin-top:-10.120531pt;width:120.45pt;height:42.55pt;mso-position-horizontal-relative:page;mso-position-vertical-relative:paragraph;z-index:29200"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w:pict>
      </w:r>
      <w:bookmarkStart w:name="_bookmark59" w:id="61"/>
      <w:bookmarkEnd w:id="61"/>
      <w:r>
        <w:rPr/>
      </w:r>
      <w:hyperlink w:history="true" w:anchor="_bookmark73">
        <w:r>
          <w:rPr>
            <w:color w:val="FFFFFF"/>
            <w:w w:val="90"/>
            <w:sz w:val="20"/>
          </w:rPr>
          <w:t>APPENDIX</w:t>
        </w:r>
      </w:hyperlink>
    </w:p>
    <w:p>
      <w:pPr>
        <w:pStyle w:val="BodyText"/>
        <w:rPr>
          <w:sz w:val="20"/>
        </w:rPr>
      </w:pPr>
    </w:p>
    <w:p>
      <w:pPr>
        <w:pStyle w:val="BodyText"/>
        <w:rPr>
          <w:sz w:val="20"/>
        </w:rPr>
      </w:pPr>
    </w:p>
    <w:p>
      <w:pPr>
        <w:pStyle w:val="BodyText"/>
        <w:spacing w:before="8"/>
        <w:rPr>
          <w:sz w:val="21"/>
        </w:rPr>
      </w:pPr>
    </w:p>
    <w:p>
      <w:pPr>
        <w:spacing w:after="0"/>
        <w:rPr>
          <w:sz w:val="21"/>
        </w:rPr>
        <w:sectPr>
          <w:footerReference w:type="default" r:id="rId249"/>
          <w:pgSz w:w="16840" w:h="11910" w:orient="landscape"/>
          <w:pgMar w:footer="448" w:header="0" w:top="0" w:bottom="640" w:left="0" w:right="0"/>
        </w:sectPr>
      </w:pPr>
    </w:p>
    <w:p>
      <w:pPr>
        <w:pStyle w:val="Heading1"/>
        <w:spacing w:before="192"/>
      </w:pPr>
      <w:r>
        <w:rPr>
          <w:color w:val="6F2770"/>
        </w:rPr>
        <w:t>Performance Assessment</w:t>
      </w:r>
    </w:p>
    <w:p>
      <w:pPr>
        <w:pStyle w:val="Heading4"/>
        <w:spacing w:before="110"/>
      </w:pPr>
      <w:r>
        <w:rPr>
          <w:color w:val="A7BE39"/>
        </w:rPr>
        <w:t>Outcomes</w:t>
      </w:r>
    </w:p>
    <w:p>
      <w:pPr>
        <w:pStyle w:val="BodyText"/>
        <w:spacing w:before="245"/>
        <w:ind w:left="765"/>
      </w:pPr>
      <w:r>
        <w:rPr/>
        <w:t>The Government desired outcomes that the Department works to achieve through its services are:</w:t>
      </w:r>
    </w:p>
    <w:p>
      <w:pPr>
        <w:pStyle w:val="BodyText"/>
        <w:spacing w:before="3"/>
      </w:pPr>
    </w:p>
    <w:p>
      <w:pPr>
        <w:pStyle w:val="Heading6"/>
        <w:tabs>
          <w:tab w:pos="5820" w:val="left" w:leader="none"/>
          <w:tab w:pos="10753" w:val="left" w:leader="none"/>
        </w:tabs>
        <w:ind w:left="888"/>
      </w:pPr>
      <w:r>
        <w:rPr/>
        <w:t>Government</w:t>
      </w:r>
      <w:r>
        <w:rPr>
          <w:spacing w:val="-4"/>
        </w:rPr>
        <w:t> </w:t>
      </w:r>
      <w:r>
        <w:rPr/>
        <w:t>Goals</w:t>
        <w:tab/>
        <w:t>Desired</w:t>
      </w:r>
      <w:r>
        <w:rPr>
          <w:spacing w:val="3"/>
        </w:rPr>
        <w:t> </w:t>
      </w:r>
      <w:r>
        <w:rPr/>
        <w:t>Outcomes</w:t>
        <w:tab/>
        <w:t>Services</w:t>
      </w:r>
    </w:p>
    <w:p>
      <w:pPr>
        <w:spacing w:line="208" w:lineRule="auto" w:before="124"/>
        <w:ind w:left="765" w:right="672" w:firstLine="0"/>
        <w:jc w:val="center"/>
        <w:rPr>
          <w:sz w:val="16"/>
        </w:rPr>
      </w:pPr>
      <w:r>
        <w:rPr/>
        <w:br w:type="column"/>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2" w:equalWidth="0">
            <w:col w:w="11690" w:space="3130"/>
            <w:col w:w="2020"/>
          </w:cols>
        </w:sectPr>
      </w:pPr>
    </w:p>
    <w:p>
      <w:pPr>
        <w:pStyle w:val="BodyText"/>
        <w:spacing w:before="6"/>
        <w:rPr>
          <w:sz w:val="2"/>
        </w:rPr>
      </w:pPr>
    </w:p>
    <w:tbl>
      <w:tblPr>
        <w:tblW w:w="0" w:type="auto"/>
        <w:jc w:val="left"/>
        <w:tblInd w:w="7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932"/>
        <w:gridCol w:w="4932"/>
        <w:gridCol w:w="5442"/>
      </w:tblGrid>
      <w:tr>
        <w:trPr>
          <w:trHeight w:val="307" w:hRule="atLeast"/>
        </w:trPr>
        <w:tc>
          <w:tcPr>
            <w:tcW w:w="15306" w:type="dxa"/>
            <w:gridSpan w:val="3"/>
            <w:shd w:val="clear" w:color="auto" w:fill="783A79"/>
          </w:tcPr>
          <w:p>
            <w:pPr>
              <w:pStyle w:val="TableParagraph"/>
              <w:spacing w:before="25"/>
              <w:ind w:left="113"/>
              <w:rPr>
                <w:b/>
                <w:sz w:val="22"/>
              </w:rPr>
            </w:pPr>
            <w:r>
              <w:rPr>
                <w:b/>
                <w:color w:val="FFFFFF"/>
                <w:sz w:val="22"/>
              </w:rPr>
              <w:t>Financial and Economic Responsibility</w:t>
            </w:r>
          </w:p>
        </w:tc>
      </w:tr>
      <w:tr>
        <w:trPr>
          <w:trHeight w:val="571" w:hRule="atLeast"/>
        </w:trPr>
        <w:tc>
          <w:tcPr>
            <w:tcW w:w="4932" w:type="dxa"/>
            <w:vMerge w:val="restart"/>
            <w:tcBorders>
              <w:left w:val="nil"/>
            </w:tcBorders>
          </w:tcPr>
          <w:p>
            <w:pPr>
              <w:pStyle w:val="TableParagraph"/>
              <w:spacing w:line="249" w:lineRule="auto" w:before="25"/>
              <w:ind w:left="123" w:right="95"/>
              <w:rPr>
                <w:sz w:val="22"/>
              </w:rPr>
            </w:pPr>
            <w:r>
              <w:rPr>
                <w:sz w:val="22"/>
              </w:rPr>
              <w:t>Responsibly managing the </w:t>
            </w:r>
            <w:r>
              <w:rPr>
                <w:spacing w:val="-4"/>
                <w:sz w:val="22"/>
              </w:rPr>
              <w:t>State’s </w:t>
            </w:r>
            <w:r>
              <w:rPr>
                <w:sz w:val="22"/>
              </w:rPr>
              <w:t>finances through the efficient and effective delivery of services, encouraging economic activity and reducing</w:t>
            </w:r>
            <w:r>
              <w:rPr>
                <w:spacing w:val="-21"/>
                <w:sz w:val="22"/>
              </w:rPr>
              <w:t> </w:t>
            </w:r>
            <w:r>
              <w:rPr>
                <w:sz w:val="22"/>
              </w:rPr>
              <w:t>regulatory</w:t>
            </w:r>
            <w:r>
              <w:rPr>
                <w:spacing w:val="-20"/>
                <w:sz w:val="22"/>
              </w:rPr>
              <w:t> </w:t>
            </w:r>
            <w:r>
              <w:rPr>
                <w:sz w:val="22"/>
              </w:rPr>
              <w:t>burdens</w:t>
            </w:r>
            <w:r>
              <w:rPr>
                <w:spacing w:val="-21"/>
                <w:sz w:val="22"/>
              </w:rPr>
              <w:t> </w:t>
            </w:r>
            <w:r>
              <w:rPr>
                <w:sz w:val="22"/>
              </w:rPr>
              <w:t>on</w:t>
            </w:r>
            <w:r>
              <w:rPr>
                <w:spacing w:val="-20"/>
                <w:sz w:val="22"/>
              </w:rPr>
              <w:t> </w:t>
            </w:r>
            <w:r>
              <w:rPr>
                <w:sz w:val="22"/>
              </w:rPr>
              <w:t>the</w:t>
            </w:r>
            <w:r>
              <w:rPr>
                <w:spacing w:val="-21"/>
                <w:sz w:val="22"/>
              </w:rPr>
              <w:t> </w:t>
            </w:r>
            <w:r>
              <w:rPr>
                <w:sz w:val="22"/>
              </w:rPr>
              <w:t>private</w:t>
            </w:r>
            <w:r>
              <w:rPr>
                <w:spacing w:val="-20"/>
                <w:sz w:val="22"/>
              </w:rPr>
              <w:t> </w:t>
            </w:r>
            <w:r>
              <w:rPr>
                <w:spacing w:val="-7"/>
                <w:sz w:val="22"/>
              </w:rPr>
              <w:t>sector.</w:t>
            </w:r>
          </w:p>
        </w:tc>
        <w:tc>
          <w:tcPr>
            <w:tcW w:w="4932" w:type="dxa"/>
            <w:tcBorders>
              <w:right w:val="single" w:sz="4" w:space="0" w:color="FFFFFF"/>
            </w:tcBorders>
            <w:shd w:val="clear" w:color="auto" w:fill="F2F3E1"/>
          </w:tcPr>
          <w:p>
            <w:pPr>
              <w:pStyle w:val="TableParagraph"/>
              <w:spacing w:line="260" w:lineRule="atLeast" w:before="18"/>
              <w:ind w:left="113" w:right="142"/>
              <w:rPr>
                <w:sz w:val="22"/>
              </w:rPr>
            </w:pPr>
            <w:r>
              <w:rPr>
                <w:sz w:val="22"/>
              </w:rPr>
              <w:t>Due</w:t>
            </w:r>
            <w:r>
              <w:rPr>
                <w:spacing w:val="-26"/>
                <w:sz w:val="22"/>
              </w:rPr>
              <w:t> </w:t>
            </w:r>
            <w:r>
              <w:rPr>
                <w:sz w:val="22"/>
              </w:rPr>
              <w:t>and</w:t>
            </w:r>
            <w:r>
              <w:rPr>
                <w:spacing w:val="-25"/>
                <w:sz w:val="22"/>
              </w:rPr>
              <w:t> </w:t>
            </w:r>
            <w:r>
              <w:rPr>
                <w:sz w:val="22"/>
              </w:rPr>
              <w:t>payable</w:t>
            </w:r>
            <w:r>
              <w:rPr>
                <w:spacing w:val="-26"/>
                <w:sz w:val="22"/>
              </w:rPr>
              <w:t> </w:t>
            </w:r>
            <w:r>
              <w:rPr>
                <w:sz w:val="22"/>
              </w:rPr>
              <w:t>revenue</w:t>
            </w:r>
            <w:r>
              <w:rPr>
                <w:spacing w:val="-25"/>
                <w:sz w:val="22"/>
              </w:rPr>
              <w:t> </w:t>
            </w:r>
            <w:r>
              <w:rPr>
                <w:sz w:val="22"/>
              </w:rPr>
              <w:t>is</w:t>
            </w:r>
            <w:r>
              <w:rPr>
                <w:spacing w:val="-26"/>
                <w:sz w:val="22"/>
              </w:rPr>
              <w:t> </w:t>
            </w:r>
            <w:r>
              <w:rPr>
                <w:sz w:val="22"/>
              </w:rPr>
              <w:t>collected</w:t>
            </w:r>
            <w:r>
              <w:rPr>
                <w:spacing w:val="-25"/>
                <w:sz w:val="22"/>
              </w:rPr>
              <w:t> </w:t>
            </w:r>
            <w:r>
              <w:rPr>
                <w:sz w:val="22"/>
              </w:rPr>
              <w:t>and</w:t>
            </w:r>
            <w:r>
              <w:rPr>
                <w:spacing w:val="-25"/>
                <w:sz w:val="22"/>
              </w:rPr>
              <w:t> </w:t>
            </w:r>
            <w:r>
              <w:rPr>
                <w:spacing w:val="-3"/>
                <w:sz w:val="22"/>
              </w:rPr>
              <w:t>eligible </w:t>
            </w:r>
            <w:r>
              <w:rPr>
                <w:sz w:val="22"/>
              </w:rPr>
              <w:t>grants, subsidies and rebates</w:t>
            </w:r>
            <w:r>
              <w:rPr>
                <w:spacing w:val="-15"/>
                <w:sz w:val="22"/>
              </w:rPr>
              <w:t> </w:t>
            </w:r>
            <w:r>
              <w:rPr>
                <w:sz w:val="22"/>
              </w:rPr>
              <w:t>paid.</w:t>
            </w:r>
          </w:p>
        </w:tc>
        <w:tc>
          <w:tcPr>
            <w:tcW w:w="5442" w:type="dxa"/>
            <w:tcBorders>
              <w:left w:val="single" w:sz="4" w:space="0" w:color="FFFFFF"/>
            </w:tcBorders>
            <w:shd w:val="clear" w:color="auto" w:fill="F2F3E1"/>
          </w:tcPr>
          <w:p>
            <w:pPr>
              <w:pStyle w:val="TableParagraph"/>
              <w:spacing w:line="260" w:lineRule="atLeast" w:before="18"/>
              <w:ind w:left="118" w:right="346"/>
              <w:rPr>
                <w:sz w:val="22"/>
              </w:rPr>
            </w:pPr>
            <w:r>
              <w:rPr>
                <w:sz w:val="22"/>
              </w:rPr>
              <w:t>Revenue</w:t>
            </w:r>
            <w:r>
              <w:rPr>
                <w:spacing w:val="-26"/>
                <w:sz w:val="22"/>
              </w:rPr>
              <w:t> </w:t>
            </w:r>
            <w:r>
              <w:rPr>
                <w:sz w:val="22"/>
              </w:rPr>
              <w:t>assessment</w:t>
            </w:r>
            <w:r>
              <w:rPr>
                <w:spacing w:val="-25"/>
                <w:sz w:val="22"/>
              </w:rPr>
              <w:t> </w:t>
            </w:r>
            <w:r>
              <w:rPr>
                <w:sz w:val="22"/>
              </w:rPr>
              <w:t>and</w:t>
            </w:r>
            <w:r>
              <w:rPr>
                <w:spacing w:val="-25"/>
                <w:sz w:val="22"/>
              </w:rPr>
              <w:t> </w:t>
            </w:r>
            <w:r>
              <w:rPr>
                <w:sz w:val="22"/>
              </w:rPr>
              <w:t>collection,</w:t>
            </w:r>
            <w:r>
              <w:rPr>
                <w:spacing w:val="-26"/>
                <w:sz w:val="22"/>
              </w:rPr>
              <w:t> </w:t>
            </w:r>
            <w:r>
              <w:rPr>
                <w:sz w:val="22"/>
              </w:rPr>
              <w:t>and</w:t>
            </w:r>
            <w:r>
              <w:rPr>
                <w:spacing w:val="-25"/>
                <w:sz w:val="22"/>
              </w:rPr>
              <w:t> </w:t>
            </w:r>
            <w:r>
              <w:rPr>
                <w:sz w:val="22"/>
              </w:rPr>
              <w:t>grants</w:t>
            </w:r>
            <w:r>
              <w:rPr>
                <w:spacing w:val="-25"/>
                <w:sz w:val="22"/>
              </w:rPr>
              <w:t> </w:t>
            </w:r>
            <w:r>
              <w:rPr>
                <w:spacing w:val="-6"/>
                <w:sz w:val="22"/>
              </w:rPr>
              <w:t>and </w:t>
            </w:r>
            <w:r>
              <w:rPr>
                <w:sz w:val="22"/>
              </w:rPr>
              <w:t>subsidies</w:t>
            </w:r>
            <w:r>
              <w:rPr>
                <w:spacing w:val="-2"/>
                <w:sz w:val="22"/>
              </w:rPr>
              <w:t> </w:t>
            </w:r>
            <w:r>
              <w:rPr>
                <w:sz w:val="22"/>
              </w:rPr>
              <w:t>administration.</w:t>
            </w:r>
          </w:p>
        </w:tc>
      </w:tr>
      <w:tr>
        <w:trPr>
          <w:trHeight w:val="835" w:hRule="atLeast"/>
        </w:trPr>
        <w:tc>
          <w:tcPr>
            <w:tcW w:w="4932" w:type="dxa"/>
            <w:vMerge/>
            <w:tcBorders>
              <w:top w:val="nil"/>
              <w:left w:val="nil"/>
            </w:tcBorders>
          </w:tcPr>
          <w:p>
            <w:pPr>
              <w:rPr>
                <w:sz w:val="2"/>
                <w:szCs w:val="2"/>
              </w:rPr>
            </w:pPr>
          </w:p>
        </w:tc>
        <w:tc>
          <w:tcPr>
            <w:tcW w:w="4932" w:type="dxa"/>
            <w:tcBorders>
              <w:right w:val="single" w:sz="4" w:space="0" w:color="FFFFFF"/>
            </w:tcBorders>
            <w:shd w:val="clear" w:color="auto" w:fill="E2D9E3"/>
          </w:tcPr>
          <w:p>
            <w:pPr>
              <w:pStyle w:val="TableParagraph"/>
              <w:spacing w:line="249" w:lineRule="auto" w:before="25"/>
              <w:ind w:left="113" w:right="520"/>
              <w:rPr>
                <w:sz w:val="22"/>
              </w:rPr>
            </w:pPr>
            <w:r>
              <w:rPr>
                <w:sz w:val="22"/>
              </w:rPr>
              <w:t>A</w:t>
            </w:r>
            <w:r>
              <w:rPr>
                <w:spacing w:val="-32"/>
                <w:sz w:val="22"/>
              </w:rPr>
              <w:t> </w:t>
            </w:r>
            <w:r>
              <w:rPr>
                <w:sz w:val="22"/>
              </w:rPr>
              <w:t>sustainable,</w:t>
            </w:r>
            <w:r>
              <w:rPr>
                <w:spacing w:val="-31"/>
                <w:sz w:val="22"/>
              </w:rPr>
              <w:t> </w:t>
            </w:r>
            <w:r>
              <w:rPr>
                <w:sz w:val="22"/>
              </w:rPr>
              <w:t>efficient,</w:t>
            </w:r>
            <w:r>
              <w:rPr>
                <w:spacing w:val="-32"/>
                <w:sz w:val="22"/>
              </w:rPr>
              <w:t> </w:t>
            </w:r>
            <w:r>
              <w:rPr>
                <w:sz w:val="22"/>
              </w:rPr>
              <w:t>secure</w:t>
            </w:r>
            <w:r>
              <w:rPr>
                <w:spacing w:val="-31"/>
                <w:sz w:val="22"/>
              </w:rPr>
              <w:t> </w:t>
            </w:r>
            <w:r>
              <w:rPr>
                <w:sz w:val="22"/>
              </w:rPr>
              <w:t>and</w:t>
            </w:r>
            <w:r>
              <w:rPr>
                <w:spacing w:val="-32"/>
                <w:sz w:val="22"/>
              </w:rPr>
              <w:t> </w:t>
            </w:r>
            <w:r>
              <w:rPr>
                <w:spacing w:val="-3"/>
                <w:sz w:val="22"/>
              </w:rPr>
              <w:t>affordable </w:t>
            </w:r>
            <w:r>
              <w:rPr>
                <w:sz w:val="22"/>
              </w:rPr>
              <w:t>energy</w:t>
            </w:r>
            <w:r>
              <w:rPr>
                <w:spacing w:val="-1"/>
                <w:sz w:val="22"/>
              </w:rPr>
              <w:t> </w:t>
            </w:r>
            <w:r>
              <w:rPr>
                <w:spacing w:val="-3"/>
                <w:sz w:val="22"/>
              </w:rPr>
              <w:t>sector.</w:t>
            </w:r>
          </w:p>
        </w:tc>
        <w:tc>
          <w:tcPr>
            <w:tcW w:w="5442" w:type="dxa"/>
            <w:tcBorders>
              <w:left w:val="single" w:sz="4" w:space="0" w:color="FFFFFF"/>
            </w:tcBorders>
            <w:shd w:val="clear" w:color="auto" w:fill="E2D9E3"/>
          </w:tcPr>
          <w:p>
            <w:pPr>
              <w:pStyle w:val="TableParagraph"/>
              <w:spacing w:line="249" w:lineRule="auto" w:before="25"/>
              <w:ind w:left="118" w:right="206"/>
              <w:rPr>
                <w:sz w:val="22"/>
              </w:rPr>
            </w:pPr>
            <w:r>
              <w:rPr>
                <w:sz w:val="22"/>
              </w:rPr>
              <w:t>Development and implementation of energy policy and</w:t>
            </w:r>
            <w:r>
              <w:rPr>
                <w:spacing w:val="-19"/>
                <w:sz w:val="22"/>
              </w:rPr>
              <w:t> </w:t>
            </w:r>
            <w:r>
              <w:rPr>
                <w:sz w:val="22"/>
              </w:rPr>
              <w:t>economic</w:t>
            </w:r>
            <w:r>
              <w:rPr>
                <w:spacing w:val="-18"/>
                <w:sz w:val="22"/>
              </w:rPr>
              <w:t> </w:t>
            </w:r>
            <w:r>
              <w:rPr>
                <w:sz w:val="22"/>
              </w:rPr>
              <w:t>reform;</w:t>
            </w:r>
            <w:r>
              <w:rPr>
                <w:spacing w:val="-18"/>
                <w:sz w:val="22"/>
              </w:rPr>
              <w:t> </w:t>
            </w:r>
            <w:r>
              <w:rPr>
                <w:sz w:val="22"/>
              </w:rPr>
              <w:t>assessment</w:t>
            </w:r>
            <w:r>
              <w:rPr>
                <w:spacing w:val="-18"/>
                <w:sz w:val="22"/>
              </w:rPr>
              <w:t> </w:t>
            </w:r>
            <w:r>
              <w:rPr>
                <w:sz w:val="22"/>
              </w:rPr>
              <w:t>of</w:t>
            </w:r>
            <w:r>
              <w:rPr>
                <w:spacing w:val="-18"/>
                <w:sz w:val="22"/>
              </w:rPr>
              <w:t> </w:t>
            </w:r>
            <w:r>
              <w:rPr>
                <w:sz w:val="22"/>
              </w:rPr>
              <w:t>proposed</w:t>
            </w:r>
            <w:r>
              <w:rPr>
                <w:spacing w:val="-18"/>
                <w:sz w:val="22"/>
              </w:rPr>
              <w:t> </w:t>
            </w:r>
            <w:r>
              <w:rPr>
                <w:spacing w:val="-3"/>
                <w:sz w:val="22"/>
              </w:rPr>
              <w:t>policy </w:t>
            </w:r>
            <w:r>
              <w:rPr>
                <w:sz w:val="22"/>
              </w:rPr>
              <w:t>changes</w:t>
            </w:r>
            <w:r>
              <w:rPr>
                <w:spacing w:val="-8"/>
                <w:sz w:val="22"/>
              </w:rPr>
              <w:t> </w:t>
            </w:r>
            <w:r>
              <w:rPr>
                <w:sz w:val="22"/>
              </w:rPr>
              <w:t>and</w:t>
            </w:r>
            <w:r>
              <w:rPr>
                <w:spacing w:val="-8"/>
                <w:sz w:val="22"/>
              </w:rPr>
              <w:t> </w:t>
            </w:r>
            <w:r>
              <w:rPr>
                <w:sz w:val="22"/>
              </w:rPr>
              <w:t>the</w:t>
            </w:r>
            <w:r>
              <w:rPr>
                <w:spacing w:val="-8"/>
                <w:sz w:val="22"/>
              </w:rPr>
              <w:t> </w:t>
            </w:r>
            <w:r>
              <w:rPr>
                <w:sz w:val="22"/>
              </w:rPr>
              <w:t>impact</w:t>
            </w:r>
            <w:r>
              <w:rPr>
                <w:spacing w:val="-8"/>
                <w:sz w:val="22"/>
              </w:rPr>
              <w:t> </w:t>
            </w:r>
            <w:r>
              <w:rPr>
                <w:sz w:val="22"/>
              </w:rPr>
              <w:t>on</w:t>
            </w:r>
            <w:r>
              <w:rPr>
                <w:spacing w:val="-8"/>
                <w:sz w:val="22"/>
              </w:rPr>
              <w:t> </w:t>
            </w:r>
            <w:r>
              <w:rPr>
                <w:sz w:val="22"/>
              </w:rPr>
              <w:t>regulatory</w:t>
            </w:r>
            <w:r>
              <w:rPr>
                <w:spacing w:val="-8"/>
                <w:sz w:val="22"/>
              </w:rPr>
              <w:t> </w:t>
            </w:r>
            <w:r>
              <w:rPr>
                <w:sz w:val="22"/>
              </w:rPr>
              <w:t>functions.</w:t>
            </w:r>
          </w:p>
        </w:tc>
      </w:tr>
      <w:tr>
        <w:trPr>
          <w:trHeight w:val="307" w:hRule="atLeast"/>
        </w:trPr>
        <w:tc>
          <w:tcPr>
            <w:tcW w:w="15306" w:type="dxa"/>
            <w:gridSpan w:val="3"/>
            <w:shd w:val="clear" w:color="auto" w:fill="783A79"/>
          </w:tcPr>
          <w:p>
            <w:pPr>
              <w:pStyle w:val="TableParagraph"/>
              <w:spacing w:before="25"/>
              <w:ind w:left="112"/>
              <w:rPr>
                <w:b/>
                <w:sz w:val="22"/>
              </w:rPr>
            </w:pPr>
            <w:r>
              <w:rPr>
                <w:b/>
                <w:color w:val="FFFFFF"/>
                <w:sz w:val="22"/>
              </w:rPr>
              <w:t>Results-Based Service Delivery</w:t>
            </w:r>
          </w:p>
        </w:tc>
      </w:tr>
      <w:tr>
        <w:trPr>
          <w:trHeight w:val="1099" w:hRule="atLeast"/>
        </w:trPr>
        <w:tc>
          <w:tcPr>
            <w:tcW w:w="4932" w:type="dxa"/>
            <w:vMerge w:val="restart"/>
            <w:tcBorders>
              <w:left w:val="nil"/>
            </w:tcBorders>
          </w:tcPr>
          <w:p>
            <w:pPr>
              <w:pStyle w:val="TableParagraph"/>
              <w:spacing w:line="249" w:lineRule="auto" w:before="25"/>
              <w:ind w:left="122" w:right="252"/>
              <w:rPr>
                <w:sz w:val="22"/>
              </w:rPr>
            </w:pPr>
            <w:r>
              <w:rPr>
                <w:sz w:val="22"/>
              </w:rPr>
              <w:t>Greater</w:t>
            </w:r>
            <w:r>
              <w:rPr>
                <w:spacing w:val="-27"/>
                <w:sz w:val="22"/>
              </w:rPr>
              <w:t> </w:t>
            </w:r>
            <w:r>
              <w:rPr>
                <w:sz w:val="22"/>
              </w:rPr>
              <w:t>focus</w:t>
            </w:r>
            <w:r>
              <w:rPr>
                <w:spacing w:val="-26"/>
                <w:sz w:val="22"/>
              </w:rPr>
              <w:t> </w:t>
            </w:r>
            <w:r>
              <w:rPr>
                <w:sz w:val="22"/>
              </w:rPr>
              <w:t>on</w:t>
            </w:r>
            <w:r>
              <w:rPr>
                <w:spacing w:val="-26"/>
                <w:sz w:val="22"/>
              </w:rPr>
              <w:t> </w:t>
            </w:r>
            <w:r>
              <w:rPr>
                <w:sz w:val="22"/>
              </w:rPr>
              <w:t>achieving</w:t>
            </w:r>
            <w:r>
              <w:rPr>
                <w:spacing w:val="-26"/>
                <w:sz w:val="22"/>
              </w:rPr>
              <w:t> </w:t>
            </w:r>
            <w:r>
              <w:rPr>
                <w:sz w:val="22"/>
              </w:rPr>
              <w:t>results</w:t>
            </w:r>
            <w:r>
              <w:rPr>
                <w:spacing w:val="-27"/>
                <w:sz w:val="22"/>
              </w:rPr>
              <w:t> </w:t>
            </w:r>
            <w:r>
              <w:rPr>
                <w:sz w:val="22"/>
              </w:rPr>
              <w:t>in</w:t>
            </w:r>
            <w:r>
              <w:rPr>
                <w:spacing w:val="-26"/>
                <w:sz w:val="22"/>
              </w:rPr>
              <w:t> </w:t>
            </w:r>
            <w:r>
              <w:rPr>
                <w:sz w:val="22"/>
              </w:rPr>
              <w:t>key</w:t>
            </w:r>
            <w:r>
              <w:rPr>
                <w:spacing w:val="-26"/>
                <w:sz w:val="22"/>
              </w:rPr>
              <w:t> </w:t>
            </w:r>
            <w:r>
              <w:rPr>
                <w:spacing w:val="-3"/>
                <w:sz w:val="22"/>
              </w:rPr>
              <w:t>service </w:t>
            </w:r>
            <w:r>
              <w:rPr>
                <w:sz w:val="22"/>
              </w:rPr>
              <w:t>delivery areas for the benefit of all Western Australians.</w:t>
            </w:r>
          </w:p>
        </w:tc>
        <w:tc>
          <w:tcPr>
            <w:tcW w:w="4932" w:type="dxa"/>
            <w:tcBorders>
              <w:right w:val="single" w:sz="4" w:space="0" w:color="FFFFFF"/>
            </w:tcBorders>
            <w:shd w:val="clear" w:color="auto" w:fill="E4E7DB"/>
          </w:tcPr>
          <w:p>
            <w:pPr>
              <w:pStyle w:val="TableParagraph"/>
              <w:spacing w:before="25"/>
              <w:ind w:left="113"/>
              <w:rPr>
                <w:sz w:val="22"/>
              </w:rPr>
            </w:pPr>
            <w:r>
              <w:rPr>
                <w:sz w:val="22"/>
              </w:rPr>
              <w:t>Value-for-money from public sector procurement.</w:t>
            </w:r>
          </w:p>
        </w:tc>
        <w:tc>
          <w:tcPr>
            <w:tcW w:w="5442" w:type="dxa"/>
            <w:tcBorders>
              <w:left w:val="single" w:sz="4" w:space="0" w:color="FFFFFF"/>
            </w:tcBorders>
            <w:shd w:val="clear" w:color="auto" w:fill="E4E7DB"/>
          </w:tcPr>
          <w:p>
            <w:pPr>
              <w:pStyle w:val="TableParagraph"/>
              <w:spacing w:line="249" w:lineRule="auto" w:before="25"/>
              <w:ind w:left="118" w:right="338"/>
              <w:rPr>
                <w:sz w:val="22"/>
              </w:rPr>
            </w:pPr>
            <w:r>
              <w:rPr>
                <w:sz w:val="22"/>
              </w:rPr>
              <w:t>Development and management of Common Use Contract Arrangements, State Fleet leasing and disposal,</w:t>
            </w:r>
            <w:r>
              <w:rPr>
                <w:spacing w:val="-28"/>
                <w:sz w:val="22"/>
              </w:rPr>
              <w:t> </w:t>
            </w:r>
            <w:r>
              <w:rPr>
                <w:sz w:val="22"/>
              </w:rPr>
              <w:t>and</w:t>
            </w:r>
            <w:r>
              <w:rPr>
                <w:spacing w:val="-28"/>
                <w:sz w:val="22"/>
              </w:rPr>
              <w:t> </w:t>
            </w:r>
            <w:r>
              <w:rPr>
                <w:sz w:val="22"/>
              </w:rPr>
              <w:t>providing</w:t>
            </w:r>
            <w:r>
              <w:rPr>
                <w:spacing w:val="-28"/>
                <w:sz w:val="22"/>
              </w:rPr>
              <w:t> </w:t>
            </w:r>
            <w:r>
              <w:rPr>
                <w:sz w:val="22"/>
              </w:rPr>
              <w:t>facilitation</w:t>
            </w:r>
            <w:r>
              <w:rPr>
                <w:spacing w:val="-28"/>
                <w:sz w:val="22"/>
              </w:rPr>
              <w:t> </w:t>
            </w:r>
            <w:r>
              <w:rPr>
                <w:sz w:val="22"/>
              </w:rPr>
              <w:t>service</w:t>
            </w:r>
            <w:r>
              <w:rPr>
                <w:spacing w:val="-28"/>
                <w:sz w:val="22"/>
              </w:rPr>
              <w:t> </w:t>
            </w:r>
            <w:r>
              <w:rPr>
                <w:sz w:val="22"/>
              </w:rPr>
              <w:t>for</w:t>
            </w:r>
            <w:r>
              <w:rPr>
                <w:spacing w:val="-28"/>
                <w:sz w:val="22"/>
              </w:rPr>
              <w:t> </w:t>
            </w:r>
            <w:r>
              <w:rPr>
                <w:spacing w:val="-3"/>
                <w:sz w:val="22"/>
              </w:rPr>
              <w:t>agency </w:t>
            </w:r>
            <w:r>
              <w:rPr>
                <w:sz w:val="22"/>
              </w:rPr>
              <w:t>specific</w:t>
            </w:r>
            <w:r>
              <w:rPr>
                <w:spacing w:val="-1"/>
                <w:sz w:val="22"/>
              </w:rPr>
              <w:t> </w:t>
            </w:r>
            <w:r>
              <w:rPr>
                <w:sz w:val="22"/>
              </w:rPr>
              <w:t>contracts.</w:t>
            </w:r>
          </w:p>
        </w:tc>
      </w:tr>
      <w:tr>
        <w:trPr>
          <w:trHeight w:val="571" w:hRule="atLeast"/>
        </w:trPr>
        <w:tc>
          <w:tcPr>
            <w:tcW w:w="4932" w:type="dxa"/>
            <w:vMerge/>
            <w:tcBorders>
              <w:top w:val="nil"/>
              <w:left w:val="nil"/>
            </w:tcBorders>
          </w:tcPr>
          <w:p>
            <w:pPr>
              <w:rPr>
                <w:sz w:val="2"/>
                <w:szCs w:val="2"/>
              </w:rPr>
            </w:pPr>
          </w:p>
        </w:tc>
        <w:tc>
          <w:tcPr>
            <w:tcW w:w="4932" w:type="dxa"/>
            <w:tcBorders>
              <w:right w:val="single" w:sz="4" w:space="0" w:color="FFFFFF"/>
            </w:tcBorders>
            <w:shd w:val="clear" w:color="auto" w:fill="C0B6C3"/>
          </w:tcPr>
          <w:p>
            <w:pPr>
              <w:pStyle w:val="TableParagraph"/>
              <w:spacing w:line="260" w:lineRule="atLeast" w:before="18"/>
              <w:ind w:left="113" w:right="196"/>
              <w:rPr>
                <w:sz w:val="22"/>
              </w:rPr>
            </w:pPr>
            <w:r>
              <w:rPr>
                <w:sz w:val="22"/>
              </w:rPr>
              <w:t>Efficient</w:t>
            </w:r>
            <w:r>
              <w:rPr>
                <w:spacing w:val="-28"/>
                <w:sz w:val="22"/>
              </w:rPr>
              <w:t> </w:t>
            </w:r>
            <w:r>
              <w:rPr>
                <w:sz w:val="22"/>
              </w:rPr>
              <w:t>and</w:t>
            </w:r>
            <w:r>
              <w:rPr>
                <w:spacing w:val="-27"/>
                <w:sz w:val="22"/>
              </w:rPr>
              <w:t> </w:t>
            </w:r>
            <w:r>
              <w:rPr>
                <w:sz w:val="22"/>
              </w:rPr>
              <w:t>effective</w:t>
            </w:r>
            <w:r>
              <w:rPr>
                <w:spacing w:val="-27"/>
                <w:sz w:val="22"/>
              </w:rPr>
              <w:t> </w:t>
            </w:r>
            <w:r>
              <w:rPr>
                <w:sz w:val="22"/>
              </w:rPr>
              <w:t>corporate</w:t>
            </w:r>
            <w:r>
              <w:rPr>
                <w:spacing w:val="-27"/>
                <w:sz w:val="22"/>
              </w:rPr>
              <w:t> </w:t>
            </w:r>
            <w:r>
              <w:rPr>
                <w:sz w:val="22"/>
              </w:rPr>
              <w:t>services</w:t>
            </w:r>
            <w:r>
              <w:rPr>
                <w:spacing w:val="-27"/>
                <w:sz w:val="22"/>
              </w:rPr>
              <w:t> </w:t>
            </w:r>
            <w:r>
              <w:rPr>
                <w:sz w:val="22"/>
              </w:rPr>
              <w:t>to</w:t>
            </w:r>
            <w:r>
              <w:rPr>
                <w:spacing w:val="-27"/>
                <w:sz w:val="22"/>
              </w:rPr>
              <w:t> </w:t>
            </w:r>
            <w:r>
              <w:rPr>
                <w:spacing w:val="-3"/>
                <w:sz w:val="22"/>
              </w:rPr>
              <w:t>client </w:t>
            </w:r>
            <w:r>
              <w:rPr>
                <w:sz w:val="22"/>
              </w:rPr>
              <w:t>agencies.</w:t>
            </w:r>
          </w:p>
        </w:tc>
        <w:tc>
          <w:tcPr>
            <w:tcW w:w="5442" w:type="dxa"/>
            <w:tcBorders>
              <w:left w:val="single" w:sz="4" w:space="0" w:color="FFFFFF"/>
            </w:tcBorders>
            <w:shd w:val="clear" w:color="auto" w:fill="C0B6C3"/>
          </w:tcPr>
          <w:p>
            <w:pPr>
              <w:pStyle w:val="TableParagraph"/>
              <w:spacing w:before="25"/>
              <w:ind w:left="118"/>
              <w:rPr>
                <w:sz w:val="22"/>
              </w:rPr>
            </w:pPr>
            <w:r>
              <w:rPr>
                <w:sz w:val="22"/>
              </w:rPr>
              <w:t>Corporate services to client agencies.</w:t>
            </w:r>
          </w:p>
        </w:tc>
      </w:tr>
      <w:tr>
        <w:trPr>
          <w:trHeight w:val="307" w:hRule="atLeast"/>
        </w:trPr>
        <w:tc>
          <w:tcPr>
            <w:tcW w:w="15306" w:type="dxa"/>
            <w:gridSpan w:val="3"/>
            <w:shd w:val="clear" w:color="auto" w:fill="783A79"/>
          </w:tcPr>
          <w:p>
            <w:pPr>
              <w:pStyle w:val="TableParagraph"/>
              <w:spacing w:before="25"/>
              <w:ind w:left="112"/>
              <w:rPr>
                <w:b/>
                <w:sz w:val="22"/>
              </w:rPr>
            </w:pPr>
            <w:r>
              <w:rPr>
                <w:b/>
                <w:color w:val="FFFFFF"/>
                <w:sz w:val="22"/>
              </w:rPr>
              <w:t>State Building – Major Projects</w:t>
            </w:r>
          </w:p>
        </w:tc>
      </w:tr>
      <w:tr>
        <w:trPr>
          <w:trHeight w:val="835" w:hRule="atLeast"/>
        </w:trPr>
        <w:tc>
          <w:tcPr>
            <w:tcW w:w="4932" w:type="dxa"/>
            <w:tcBorders>
              <w:left w:val="nil"/>
              <w:bottom w:val="nil"/>
            </w:tcBorders>
          </w:tcPr>
          <w:p>
            <w:pPr>
              <w:pStyle w:val="TableParagraph"/>
              <w:spacing w:line="249" w:lineRule="auto" w:before="25"/>
              <w:ind w:left="122" w:right="246"/>
              <w:rPr>
                <w:sz w:val="22"/>
              </w:rPr>
            </w:pPr>
            <w:r>
              <w:rPr>
                <w:sz w:val="22"/>
              </w:rPr>
              <w:t>Building strategic infrastructure that will create jobs</w:t>
            </w:r>
            <w:r>
              <w:rPr>
                <w:spacing w:val="-26"/>
                <w:sz w:val="22"/>
              </w:rPr>
              <w:t> </w:t>
            </w:r>
            <w:r>
              <w:rPr>
                <w:sz w:val="22"/>
              </w:rPr>
              <w:t>and</w:t>
            </w:r>
            <w:r>
              <w:rPr>
                <w:spacing w:val="-26"/>
                <w:sz w:val="22"/>
              </w:rPr>
              <w:t> </w:t>
            </w:r>
            <w:r>
              <w:rPr>
                <w:sz w:val="22"/>
              </w:rPr>
              <w:t>underpin</w:t>
            </w:r>
            <w:r>
              <w:rPr>
                <w:spacing w:val="-25"/>
                <w:sz w:val="22"/>
              </w:rPr>
              <w:t> </w:t>
            </w:r>
            <w:r>
              <w:rPr>
                <w:sz w:val="22"/>
              </w:rPr>
              <w:t>Western</w:t>
            </w:r>
            <w:r>
              <w:rPr>
                <w:spacing w:val="-26"/>
                <w:sz w:val="22"/>
              </w:rPr>
              <w:t> </w:t>
            </w:r>
            <w:r>
              <w:rPr>
                <w:spacing w:val="-3"/>
                <w:sz w:val="22"/>
              </w:rPr>
              <w:t>Australia’s</w:t>
            </w:r>
            <w:r>
              <w:rPr>
                <w:spacing w:val="-26"/>
                <w:sz w:val="22"/>
              </w:rPr>
              <w:t> </w:t>
            </w:r>
            <w:r>
              <w:rPr>
                <w:sz w:val="22"/>
              </w:rPr>
              <w:t>long-term economic</w:t>
            </w:r>
            <w:r>
              <w:rPr>
                <w:spacing w:val="-2"/>
                <w:sz w:val="22"/>
              </w:rPr>
              <w:t> </w:t>
            </w:r>
            <w:r>
              <w:rPr>
                <w:sz w:val="22"/>
              </w:rPr>
              <w:t>development.</w:t>
            </w:r>
          </w:p>
        </w:tc>
        <w:tc>
          <w:tcPr>
            <w:tcW w:w="4932" w:type="dxa"/>
            <w:tcBorders>
              <w:right w:val="single" w:sz="4" w:space="0" w:color="FFFFFF"/>
            </w:tcBorders>
            <w:shd w:val="clear" w:color="auto" w:fill="EFEFF0"/>
          </w:tcPr>
          <w:p>
            <w:pPr>
              <w:pStyle w:val="TableParagraph"/>
              <w:spacing w:line="249" w:lineRule="auto" w:before="25"/>
              <w:ind w:left="112" w:right="83"/>
              <w:rPr>
                <w:sz w:val="22"/>
              </w:rPr>
            </w:pPr>
            <w:r>
              <w:rPr>
                <w:sz w:val="22"/>
              </w:rPr>
              <w:t>Value-for-money from the management of the Government’s</w:t>
            </w:r>
            <w:r>
              <w:rPr>
                <w:spacing w:val="-42"/>
                <w:sz w:val="22"/>
              </w:rPr>
              <w:t> </w:t>
            </w:r>
            <w:r>
              <w:rPr>
                <w:sz w:val="22"/>
              </w:rPr>
              <w:t>non-residential</w:t>
            </w:r>
            <w:r>
              <w:rPr>
                <w:spacing w:val="-41"/>
                <w:sz w:val="22"/>
              </w:rPr>
              <w:t> </w:t>
            </w:r>
            <w:r>
              <w:rPr>
                <w:sz w:val="22"/>
              </w:rPr>
              <w:t>buildings</w:t>
            </w:r>
            <w:r>
              <w:rPr>
                <w:spacing w:val="-41"/>
                <w:sz w:val="22"/>
              </w:rPr>
              <w:t> </w:t>
            </w:r>
            <w:r>
              <w:rPr>
                <w:sz w:val="22"/>
              </w:rPr>
              <w:t>and</w:t>
            </w:r>
            <w:r>
              <w:rPr>
                <w:spacing w:val="-42"/>
                <w:sz w:val="22"/>
              </w:rPr>
              <w:t> </w:t>
            </w:r>
            <w:r>
              <w:rPr>
                <w:sz w:val="22"/>
              </w:rPr>
              <w:t>public works.</w:t>
            </w:r>
          </w:p>
        </w:tc>
        <w:tc>
          <w:tcPr>
            <w:tcW w:w="5442" w:type="dxa"/>
            <w:tcBorders>
              <w:left w:val="single" w:sz="4" w:space="0" w:color="FFFFFF"/>
            </w:tcBorders>
            <w:shd w:val="clear" w:color="auto" w:fill="EFEFF0"/>
          </w:tcPr>
          <w:p>
            <w:pPr>
              <w:pStyle w:val="TableParagraph"/>
              <w:spacing w:line="249" w:lineRule="auto" w:before="25"/>
              <w:ind w:left="118" w:right="453"/>
              <w:rPr>
                <w:sz w:val="22"/>
              </w:rPr>
            </w:pPr>
            <w:r>
              <w:rPr>
                <w:sz w:val="22"/>
              </w:rPr>
              <w:t>Leads the planning, </w:t>
            </w:r>
            <w:r>
              <w:rPr>
                <w:spacing w:val="-3"/>
                <w:sz w:val="22"/>
              </w:rPr>
              <w:t>delivery, </w:t>
            </w:r>
            <w:r>
              <w:rPr>
                <w:sz w:val="22"/>
              </w:rPr>
              <w:t>management and maintenance</w:t>
            </w:r>
            <w:r>
              <w:rPr>
                <w:spacing w:val="-25"/>
                <w:sz w:val="22"/>
              </w:rPr>
              <w:t> </w:t>
            </w:r>
            <w:r>
              <w:rPr>
                <w:sz w:val="22"/>
              </w:rPr>
              <w:t>of</w:t>
            </w:r>
            <w:r>
              <w:rPr>
                <w:spacing w:val="-25"/>
                <w:sz w:val="22"/>
              </w:rPr>
              <w:t> </w:t>
            </w:r>
            <w:r>
              <w:rPr>
                <w:sz w:val="22"/>
              </w:rPr>
              <w:t>government</w:t>
            </w:r>
            <w:r>
              <w:rPr>
                <w:spacing w:val="-25"/>
                <w:sz w:val="22"/>
              </w:rPr>
              <w:t> </w:t>
            </w:r>
            <w:r>
              <w:rPr>
                <w:sz w:val="22"/>
              </w:rPr>
              <w:t>buildings,</w:t>
            </w:r>
            <w:r>
              <w:rPr>
                <w:spacing w:val="-24"/>
                <w:sz w:val="22"/>
              </w:rPr>
              <w:t> </w:t>
            </w:r>
            <w:r>
              <w:rPr>
                <w:sz w:val="22"/>
              </w:rPr>
              <w:t>projects</w:t>
            </w:r>
            <w:r>
              <w:rPr>
                <w:spacing w:val="-25"/>
                <w:sz w:val="22"/>
              </w:rPr>
              <w:t> </w:t>
            </w:r>
            <w:r>
              <w:rPr>
                <w:spacing w:val="-6"/>
                <w:sz w:val="22"/>
              </w:rPr>
              <w:t>and </w:t>
            </w:r>
            <w:r>
              <w:rPr>
                <w:sz w:val="22"/>
              </w:rPr>
              <w:t>office</w:t>
            </w:r>
            <w:r>
              <w:rPr>
                <w:spacing w:val="-1"/>
                <w:sz w:val="22"/>
              </w:rPr>
              <w:t> </w:t>
            </w:r>
            <w:r>
              <w:rPr>
                <w:sz w:val="22"/>
              </w:rPr>
              <w:t>accommodation.</w:t>
            </w:r>
          </w:p>
        </w:tc>
      </w:tr>
    </w:tbl>
    <w:p>
      <w:pPr>
        <w:pStyle w:val="BodyText"/>
        <w:spacing w:before="3"/>
        <w:rPr>
          <w:sz w:val="15"/>
        </w:rPr>
      </w:pPr>
    </w:p>
    <w:p>
      <w:pPr>
        <w:pStyle w:val="Heading4"/>
        <w:spacing w:before="111"/>
      </w:pPr>
      <w:r>
        <w:rPr>
          <w:color w:val="A7BE39"/>
        </w:rPr>
        <w:t>Measuring the Performance</w:t>
      </w:r>
    </w:p>
    <w:p>
      <w:pPr>
        <w:pStyle w:val="BodyText"/>
        <w:spacing w:line="249" w:lineRule="auto" w:before="245"/>
        <w:ind w:left="765" w:right="781"/>
      </w:pPr>
      <w:r>
        <w:rPr/>
        <w:t>The</w:t>
      </w:r>
      <w:r>
        <w:rPr>
          <w:spacing w:val="-22"/>
        </w:rPr>
        <w:t> </w:t>
      </w:r>
      <w:r>
        <w:rPr/>
        <w:t>Department</w:t>
      </w:r>
      <w:r>
        <w:rPr>
          <w:spacing w:val="-22"/>
        </w:rPr>
        <w:t> </w:t>
      </w:r>
      <w:r>
        <w:rPr/>
        <w:t>of</w:t>
      </w:r>
      <w:r>
        <w:rPr>
          <w:spacing w:val="-22"/>
        </w:rPr>
        <w:t> </w:t>
      </w:r>
      <w:r>
        <w:rPr/>
        <w:t>Finance</w:t>
      </w:r>
      <w:r>
        <w:rPr>
          <w:spacing w:val="-21"/>
        </w:rPr>
        <w:t> </w:t>
      </w:r>
      <w:r>
        <w:rPr/>
        <w:t>measures</w:t>
      </w:r>
      <w:r>
        <w:rPr>
          <w:spacing w:val="-22"/>
        </w:rPr>
        <w:t> </w:t>
      </w:r>
      <w:r>
        <w:rPr/>
        <w:t>its</w:t>
      </w:r>
      <w:r>
        <w:rPr>
          <w:spacing w:val="-22"/>
        </w:rPr>
        <w:t> </w:t>
      </w:r>
      <w:r>
        <w:rPr/>
        <w:t>performance</w:t>
      </w:r>
      <w:r>
        <w:rPr>
          <w:spacing w:val="-22"/>
        </w:rPr>
        <w:t> </w:t>
      </w:r>
      <w:r>
        <w:rPr/>
        <w:t>through</w:t>
      </w:r>
      <w:r>
        <w:rPr>
          <w:spacing w:val="-21"/>
        </w:rPr>
        <w:t> </w:t>
      </w:r>
      <w:r>
        <w:rPr/>
        <w:t>statistical</w:t>
      </w:r>
      <w:r>
        <w:rPr>
          <w:spacing w:val="-22"/>
        </w:rPr>
        <w:t> </w:t>
      </w:r>
      <w:r>
        <w:rPr/>
        <w:t>information</w:t>
      </w:r>
      <w:r>
        <w:rPr>
          <w:spacing w:val="-22"/>
        </w:rPr>
        <w:t> </w:t>
      </w:r>
      <w:r>
        <w:rPr/>
        <w:t>and</w:t>
      </w:r>
      <w:r>
        <w:rPr>
          <w:spacing w:val="-21"/>
        </w:rPr>
        <w:t> </w:t>
      </w:r>
      <w:r>
        <w:rPr/>
        <w:t>survey</w:t>
      </w:r>
      <w:r>
        <w:rPr>
          <w:spacing w:val="-22"/>
        </w:rPr>
        <w:t> </w:t>
      </w:r>
      <w:r>
        <w:rPr/>
        <w:t>questionnaires.</w:t>
      </w:r>
      <w:r>
        <w:rPr>
          <w:spacing w:val="-22"/>
        </w:rPr>
        <w:t> </w:t>
      </w:r>
      <w:r>
        <w:rPr/>
        <w:t>Statistical</w:t>
      </w:r>
      <w:r>
        <w:rPr>
          <w:spacing w:val="-22"/>
        </w:rPr>
        <w:t> </w:t>
      </w:r>
      <w:r>
        <w:rPr/>
        <w:t>indicators</w:t>
      </w:r>
      <w:r>
        <w:rPr>
          <w:spacing w:val="-21"/>
        </w:rPr>
        <w:t> </w:t>
      </w:r>
      <w:r>
        <w:rPr/>
        <w:t>are</w:t>
      </w:r>
      <w:r>
        <w:rPr>
          <w:spacing w:val="-22"/>
        </w:rPr>
        <w:t> </w:t>
      </w:r>
      <w:r>
        <w:rPr/>
        <w:t>included</w:t>
      </w:r>
      <w:r>
        <w:rPr>
          <w:spacing w:val="-22"/>
        </w:rPr>
        <w:t> </w:t>
      </w:r>
      <w:r>
        <w:rPr/>
        <w:t>to</w:t>
      </w:r>
      <w:r>
        <w:rPr>
          <w:spacing w:val="-22"/>
        </w:rPr>
        <w:t> </w:t>
      </w:r>
      <w:r>
        <w:rPr/>
        <w:t>help</w:t>
      </w:r>
      <w:r>
        <w:rPr>
          <w:spacing w:val="-21"/>
        </w:rPr>
        <w:t> </w:t>
      </w:r>
      <w:r>
        <w:rPr/>
        <w:t>report performance</w:t>
      </w:r>
      <w:r>
        <w:rPr>
          <w:spacing w:val="-18"/>
        </w:rPr>
        <w:t> </w:t>
      </w:r>
      <w:r>
        <w:rPr/>
        <w:t>in</w:t>
      </w:r>
      <w:r>
        <w:rPr>
          <w:spacing w:val="-17"/>
        </w:rPr>
        <w:t> </w:t>
      </w:r>
      <w:r>
        <w:rPr/>
        <w:t>both</w:t>
      </w:r>
      <w:r>
        <w:rPr>
          <w:spacing w:val="-17"/>
        </w:rPr>
        <w:t> </w:t>
      </w:r>
      <w:r>
        <w:rPr/>
        <w:t>outcome</w:t>
      </w:r>
      <w:r>
        <w:rPr>
          <w:spacing w:val="-18"/>
        </w:rPr>
        <w:t> </w:t>
      </w:r>
      <w:r>
        <w:rPr/>
        <w:t>and</w:t>
      </w:r>
      <w:r>
        <w:rPr>
          <w:spacing w:val="-17"/>
        </w:rPr>
        <w:t> </w:t>
      </w:r>
      <w:r>
        <w:rPr/>
        <w:t>service</w:t>
      </w:r>
      <w:r>
        <w:rPr>
          <w:spacing w:val="-17"/>
        </w:rPr>
        <w:t> </w:t>
      </w:r>
      <w:r>
        <w:rPr/>
        <w:t>areas.</w:t>
      </w:r>
      <w:r>
        <w:rPr>
          <w:spacing w:val="-18"/>
        </w:rPr>
        <w:t> </w:t>
      </w:r>
      <w:r>
        <w:rPr/>
        <w:t>The</w:t>
      </w:r>
      <w:r>
        <w:rPr>
          <w:spacing w:val="-17"/>
        </w:rPr>
        <w:t> </w:t>
      </w:r>
      <w:r>
        <w:rPr/>
        <w:t>use</w:t>
      </w:r>
      <w:r>
        <w:rPr>
          <w:spacing w:val="-17"/>
        </w:rPr>
        <w:t> </w:t>
      </w:r>
      <w:r>
        <w:rPr/>
        <w:t>of</w:t>
      </w:r>
      <w:r>
        <w:rPr>
          <w:spacing w:val="-17"/>
        </w:rPr>
        <w:t> </w:t>
      </w:r>
      <w:r>
        <w:rPr/>
        <w:t>in-house</w:t>
      </w:r>
      <w:r>
        <w:rPr>
          <w:spacing w:val="-18"/>
        </w:rPr>
        <w:t> </w:t>
      </w:r>
      <w:r>
        <w:rPr/>
        <w:t>statistical</w:t>
      </w:r>
      <w:r>
        <w:rPr>
          <w:spacing w:val="-17"/>
        </w:rPr>
        <w:t> </w:t>
      </w:r>
      <w:r>
        <w:rPr/>
        <w:t>data</w:t>
      </w:r>
      <w:r>
        <w:rPr>
          <w:spacing w:val="-17"/>
        </w:rPr>
        <w:t> </w:t>
      </w:r>
      <w:r>
        <w:rPr/>
        <w:t>complements</w:t>
      </w:r>
      <w:r>
        <w:rPr>
          <w:spacing w:val="-18"/>
        </w:rPr>
        <w:t> </w:t>
      </w:r>
      <w:r>
        <w:rPr/>
        <w:t>the</w:t>
      </w:r>
      <w:r>
        <w:rPr>
          <w:spacing w:val="-17"/>
        </w:rPr>
        <w:t> </w:t>
      </w:r>
      <w:r>
        <w:rPr/>
        <w:t>survey-based</w:t>
      </w:r>
      <w:r>
        <w:rPr>
          <w:spacing w:val="-17"/>
        </w:rPr>
        <w:t> </w:t>
      </w:r>
      <w:r>
        <w:rPr/>
        <w:t>results</w:t>
      </w:r>
      <w:r>
        <w:rPr>
          <w:spacing w:val="-17"/>
        </w:rPr>
        <w:t> </w:t>
      </w:r>
      <w:r>
        <w:rPr/>
        <w:t>and</w:t>
      </w:r>
      <w:r>
        <w:rPr>
          <w:spacing w:val="-18"/>
        </w:rPr>
        <w:t> </w:t>
      </w:r>
      <w:r>
        <w:rPr/>
        <w:t>adds</w:t>
      </w:r>
      <w:r>
        <w:rPr>
          <w:spacing w:val="-17"/>
        </w:rPr>
        <w:t> </w:t>
      </w:r>
      <w:r>
        <w:rPr/>
        <w:t>scope</w:t>
      </w:r>
      <w:r>
        <w:rPr>
          <w:spacing w:val="-17"/>
        </w:rPr>
        <w:t> </w:t>
      </w:r>
      <w:r>
        <w:rPr/>
        <w:t>and</w:t>
      </w:r>
      <w:r>
        <w:rPr>
          <w:spacing w:val="-18"/>
        </w:rPr>
        <w:t> </w:t>
      </w:r>
      <w:r>
        <w:rPr/>
        <w:t>objectivity</w:t>
      </w:r>
      <w:r>
        <w:rPr>
          <w:spacing w:val="-17"/>
        </w:rPr>
        <w:t> </w:t>
      </w:r>
      <w:r>
        <w:rPr/>
        <w:t>to</w:t>
      </w:r>
      <w:r>
        <w:rPr>
          <w:spacing w:val="-17"/>
        </w:rPr>
        <w:t> </w:t>
      </w:r>
      <w:r>
        <w:rPr>
          <w:spacing w:val="-6"/>
        </w:rPr>
        <w:t>the </w:t>
      </w:r>
      <w:r>
        <w:rPr/>
        <w:t>sources of information used in measuring our</w:t>
      </w:r>
      <w:r>
        <w:rPr>
          <w:spacing w:val="-8"/>
        </w:rPr>
        <w:t> </w:t>
      </w:r>
      <w:r>
        <w:rPr/>
        <w:t>performance.</w:t>
      </w:r>
    </w:p>
    <w:p>
      <w:pPr>
        <w:spacing w:after="0" w:line="249" w:lineRule="auto"/>
        <w:sectPr>
          <w:type w:val="continuous"/>
          <w:pgSz w:w="16840" w:h="11910" w:orient="landscape"/>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1"/>
        <w:spacing w:before="93"/>
      </w:pPr>
      <w:r>
        <w:rPr/>
        <w:pict>
          <v:group style="position:absolute;margin-left:0pt;margin-top:-67.324211pt;width:841.9pt;height:104.75pt;mso-position-horizontal-relative:page;mso-position-vertical-relative:paragraph;z-index:-784216" coordorigin="0,-1346" coordsize="16838,2095">
            <v:shape style="position:absolute;left:14419;top:-1347;width:1455;height:1745" coordorigin="14419,-1346" coordsize="1455,1745" path="m15219,-1346l15194,-1346,14935,-1197,14901,-1163,15219,-1346m15356,-1346l15331,-1346,14748,-1010,14714,-976,15356,-1346m15492,-1346l15467,-1346,14562,-824,14527,-789,15492,-1346m15629,-1346l15604,-1346,14419,-662,14428,-653,15629,-1346m15766,-1346l15741,-1346,14469,-612,14478,-603,15766,-1346m15874,155l15470,388,15479,398,15874,170,15874,155m15874,76l15420,338,15429,348,15874,91,15874,76m15874,-3l15370,288,15379,297,15874,12,15874,-3m15874,-82l15320,238,15329,247,15874,-67,15874,-82m15874,-161l15270,188,15279,197,15874,-146,15874,-161m15874,-240l15220,138,15229,147,15874,-225,15874,-240m15874,-318l15170,88,15179,97,15874,-304,15874,-318m15874,-397l15120,38,15129,47,15874,-383,15874,-397m15874,-476l15070,-12,15079,-3,15874,-462,15874,-476m15874,-555l15020,-62,15029,-53,15874,-541,15874,-555m15874,-713l14920,-162,14929,-153,15874,-699,15874,-713m15874,-792l14870,-212,14879,-203,15874,-778,15874,-792m15874,-871l14819,-262,14829,-253,15874,-856,15874,-871m15874,-950l14769,-312,14779,-303,15874,-935,15874,-950m15874,-1029l14719,-362,14729,-353,15874,-1014,15874,-1029m15874,-1108l14669,-412,14679,-403,15874,-1093,15874,-1108m15874,-1187l14619,-462,14628,-453,15874,-1172,15874,-1187m15874,-1345l14519,-562,14528,-553,15874,-1330,15874,-1345m15874,-634l14970,-112,14979,-103,15874,-620,15874,-634m15874,-1266l14569,-512,14578,-503,15874,-1251,15874,-1266e" filled="true" fillcolor="#cdcccd" stroked="false">
              <v:path arrowok="t"/>
              <v:fill type="solid"/>
            </v:shape>
            <v:shape style="position:absolute;left:15520;top:234;width:354;height:514" type="#_x0000_t75" stroked="false">
              <v:imagedata r:id="rId42" o:title=""/>
            </v:shape>
            <v:shape style="position:absolute;left:15874;top:-1347;width:338;height:196" type="#_x0000_t75" stroked="false">
              <v:imagedata r:id="rId20" o:title=""/>
            </v:shape>
            <v:shape style="position:absolute;left:15874;top:-1347;width:964;height:1932" coordorigin="15874,-1346" coordsize="964,1932" path="m16349,-1346l16339,-1346,15874,-1078,15874,-1072,16349,-1346m16378,288l15874,579,15874,585,16365,302,16378,288m16486,-1346l16476,-1346,15874,-999,15874,-993,16486,-1346m16565,101l15874,500,15874,506,16551,115,16565,101m16622,-1346l16612,-1346,15874,-920,15874,-915,16622,-1346m16699,-1312l16695,-1315,15874,-841,15874,-836,16699,-1312m16749,-1262l16745,-1265,15874,-762,15874,-757,16749,-1262m16752,-85l15874,421,15874,427,16738,-72,16752,-85m16799,-1212l16795,-1215,15874,-684,15874,-678,16799,-1212m16838,-214l15874,343,15874,348,16838,-208,16838,-214m16838,-293l15874,264,15874,269,16838,-287,16838,-293m16838,-372l15874,185,15874,190,16838,-366,16838,-372m16838,-451l15874,106,15874,112,16838,-445,16838,-451m16838,-530l15874,27,15874,33,16838,-524,16838,-530m16838,-608l15874,-52,15874,-46,16838,-603,16838,-608m16838,-687l15874,-131,15874,-125,16838,-682,16838,-687m16838,-766l15874,-210,15874,-204,16838,-761,16838,-766m16838,-845l15874,-289,15874,-283,16838,-839,16838,-845m16838,-924l15874,-368,15874,-362,16838,-918,16838,-924m16838,-1003l15874,-447,15874,-441,16838,-997,16838,-1003m16838,-1082l15874,-526,15874,-520,16838,-1076,16838,-1082m16838,-1161l15874,-605,15874,-599,16838,-1155,16838,-1161e" filled="true" fillcolor="#cdcccd" stroked="false">
              <v:path arrowok="t"/>
              <v:fill type="solid"/>
            </v:shape>
            <v:shape style="position:absolute;left:15874;top:474;width:318;height:269" type="#_x0000_t75" stroked="false">
              <v:imagedata r:id="rId158" o:title=""/>
            </v:shape>
            <v:shape style="position:absolute;left:13677;top:-974;width:904;height:904" coordorigin="13677,-974" coordsize="904,904" path="m14129,-974l13677,-522,14129,-71,14580,-522,14129,-974xe" filled="true" fillcolor="#ffffff" stroked="false">
              <v:path arrowok="t"/>
              <v:fill type="solid"/>
            </v:shape>
            <v:shape style="position:absolute;left:13225;top:-523;width:904;height:904" coordorigin="13225,-522" coordsize="904,904" path="m13677,-522l13225,-71,13677,381,14129,-71,13677,-522xe" filled="true" fillcolor="#e8e9c9" stroked="false">
              <v:path arrowok="t"/>
              <v:fill type="solid"/>
            </v:shape>
            <v:shape style="position:absolute;left:11870;top:-974;width:2710;height:904" coordorigin="11871,-974" coordsize="2710,904" path="m12774,-522l12322,-974,11871,-522,12322,-71,12774,-522m14580,-522l14129,-974,13677,-522,14129,-71,14580,-522e" filled="true" fillcolor="#efeeeb" stroked="false">
              <v:path arrowok="t"/>
              <v:fill type="solid"/>
            </v:shape>
            <v:shape style="position:absolute;left:12773;top:-974;width:904;height:904" coordorigin="12774,-974" coordsize="904,904" path="m13225,-974l12774,-522,13225,-71,13677,-522,13225,-974xe" filled="true" fillcolor="#c0aac2" stroked="false">
              <v:path arrowok="t"/>
              <v:fill type="solid"/>
            </v:shape>
            <v:shape style="position:absolute;left:15424;top:-271;width:900;height:904" coordorigin="15424,-271" coordsize="900,904" path="m15874,-271l15424,179,15424,182,15874,632,16324,182,16324,179,15874,-271xe" filled="true" fillcolor="#c4cd71" stroked="false">
              <v:path arrowok="t"/>
              <v:fill type="solid"/>
            </v:shape>
            <v:shape style="position:absolute;left:15422;top:179;width:2;height:4" coordorigin="15423,179" coordsize="2,4" path="m15424,179l15423,181,15424,182,15424,179xe" filled="true" fillcolor="#b9c369" stroked="false">
              <v:path arrowok="t"/>
              <v:fill type="solid"/>
            </v:shape>
            <v:shape style="position:absolute;left:16324;top:179;width:2;height:4" coordorigin="16324,179" coordsize="2,4" path="m16324,179l16324,182,16326,181,16324,179xe" filled="true" fillcolor="#bec29e" stroked="false">
              <v:path arrowok="t"/>
              <v:fill type="solid"/>
            </v:shape>
            <v:rect style="position:absolute;left:9621;top:-1347;width:2406;height:851" filled="true" fillcolor="#e6e7e8" stroked="false">
              <v:fill type="solid"/>
            </v:rect>
            <v:shape style="position:absolute;left:9621;top:-1347;width:583;height:583" type="#_x0000_t75" stroked="false">
              <v:imagedata r:id="rId247" o:title=""/>
            </v:shape>
            <v:rect style="position:absolute;left:12026;top:-1347;width:2406;height:851" filled="true" fillcolor="#b6c247" stroked="false">
              <v:fill type="solid"/>
            </v:rect>
            <v:rect style="position:absolute;left:14432;top:-1347;width:2406;height:851" filled="true" fillcolor="#aebd37" stroked="false">
              <v:fill type="solid"/>
            </v:rect>
            <v:line style="position:absolute" from="16838,-1346" to="16838,-496" stroked="true" strokeweight=".001pt" strokecolor="#aebd37">
              <v:stroke dashstyle="solid"/>
            </v:line>
            <v:shape style="position:absolute;left:15263;top:19;width:161;height:322" type="#_x0000_t75" stroked="false">
              <v:imagedata r:id="rId16" o:title=""/>
            </v:shape>
            <v:shape style="position:absolute;left:16324;top:19;width:161;height:322" type="#_x0000_t75" stroked="false">
              <v:imagedata r:id="rId11" o:title=""/>
            </v:shape>
            <v:shape style="position:absolute;left:15585;top:0;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4432;top:-13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47;width:2406;height:851" type="#_x0000_t202" filled="false"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1347;width:2406;height:851" type="#_x0000_t202" filled="false" stroked="false">
              <v:textbox inset="0,0,0,0">
                <w:txbxContent>
                  <w:p>
                    <w:pPr>
                      <w:spacing w:line="249" w:lineRule="auto" w:before="182"/>
                      <w:ind w:left="633" w:right="0" w:hanging="291"/>
                      <w:jc w:val="left"/>
                      <w:rPr>
                        <w:sz w:val="20"/>
                      </w:rPr>
                    </w:pPr>
                    <w:hyperlink w:history="true" w:anchor="_bookmark58">
                      <w:r>
                        <w:rPr>
                          <w:color w:val="6F2770"/>
                          <w:w w:val="95"/>
                          <w:sz w:val="20"/>
                        </w:rPr>
                        <w:t>KEY </w:t>
                      </w:r>
                    </w:hyperlink>
                    <w:hyperlink w:history="true" w:anchor="_bookmark58">
                      <w:r>
                        <w:rPr>
                          <w:color w:val="6F2770"/>
                          <w:w w:val="95"/>
                          <w:sz w:val="20"/>
                        </w:rPr>
                        <w:t>PERFORMANCE </w:t>
                      </w:r>
                      <w:r>
                        <w:rPr>
                          <w:color w:val="6F2770"/>
                          <w:sz w:val="20"/>
                        </w:rPr>
                        <w:t>INDICATORS</w:t>
                      </w:r>
                    </w:hyperlink>
                  </w:p>
                </w:txbxContent>
              </v:textbox>
              <w10:wrap type="none"/>
            </v:shape>
            <v:shape style="position:absolute;left:7211;top:-1347;width:2411;height:851" type="#_x0000_t202" filled="true" fillcolor="#c4cd71" stroked="false">
              <v:textbox inset="0,0,0,0">
                <w:txbxContent>
                  <w:p>
                    <w:pPr>
                      <w:spacing w:line="249" w:lineRule="auto" w:before="182"/>
                      <w:ind w:left="592"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347;width:2409;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347;width:2398;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347;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bookmarkStart w:name="_bookmark60" w:id="62"/>
      <w:bookmarkEnd w:id="62"/>
      <w:r>
        <w:rPr/>
      </w:r>
      <w:r>
        <w:rPr>
          <w:color w:val="6F2770"/>
        </w:rPr>
        <w:t>Key Effectiveness Indicators</w:t>
      </w:r>
    </w:p>
    <w:p>
      <w:pPr>
        <w:pStyle w:val="Heading4"/>
        <w:spacing w:before="110"/>
      </w:pPr>
      <w:r>
        <w:rPr>
          <w:color w:val="A7BE39"/>
        </w:rPr>
        <w:t>State Revenue</w:t>
      </w:r>
    </w:p>
    <w:p>
      <w:pPr>
        <w:pStyle w:val="BodyText"/>
        <w:rPr>
          <w:sz w:val="12"/>
        </w:rPr>
      </w:pPr>
    </w:p>
    <w:p>
      <w:pPr>
        <w:spacing w:after="0"/>
        <w:rPr>
          <w:sz w:val="12"/>
        </w:rPr>
        <w:sectPr>
          <w:footerReference w:type="default" r:id="rId252"/>
          <w:pgSz w:w="16840" w:h="11910" w:orient="landscape"/>
          <w:pgMar w:footer="448" w:header="0" w:top="0" w:bottom="640" w:left="0" w:right="0"/>
        </w:sectPr>
      </w:pPr>
    </w:p>
    <w:p>
      <w:pPr>
        <w:pStyle w:val="Heading6"/>
        <w:spacing w:line="249" w:lineRule="auto" w:before="108"/>
        <w:ind w:right="-18"/>
      </w:pPr>
      <w:r>
        <w:rPr/>
        <w:t>Outcome 1: Due and payable revenue is collected and eligible grants, subsidies </w:t>
      </w:r>
      <w:r>
        <w:rPr>
          <w:spacing w:val="-7"/>
        </w:rPr>
        <w:t>and </w:t>
      </w:r>
      <w:r>
        <w:rPr/>
        <w:t>rebates paid</w:t>
      </w:r>
    </w:p>
    <w:p>
      <w:pPr>
        <w:pStyle w:val="BodyText"/>
        <w:spacing w:before="2"/>
        <w:rPr>
          <w:b/>
          <w:sz w:val="23"/>
        </w:rPr>
      </w:pPr>
    </w:p>
    <w:p>
      <w:pPr>
        <w:pStyle w:val="BodyText"/>
        <w:spacing w:line="249" w:lineRule="auto"/>
        <w:ind w:left="765" w:right="27"/>
      </w:pPr>
      <w:r>
        <w:rPr/>
        <w:t>The Department, through State Revenue, administers</w:t>
      </w:r>
      <w:r>
        <w:rPr>
          <w:spacing w:val="-19"/>
        </w:rPr>
        <w:t> </w:t>
      </w:r>
      <w:r>
        <w:rPr/>
        <w:t>a</w:t>
      </w:r>
      <w:r>
        <w:rPr>
          <w:spacing w:val="-18"/>
        </w:rPr>
        <w:t> </w:t>
      </w:r>
      <w:r>
        <w:rPr/>
        <w:t>range</w:t>
      </w:r>
      <w:r>
        <w:rPr>
          <w:spacing w:val="-18"/>
        </w:rPr>
        <w:t> </w:t>
      </w:r>
      <w:r>
        <w:rPr/>
        <w:t>of</w:t>
      </w:r>
      <w:r>
        <w:rPr>
          <w:spacing w:val="-18"/>
        </w:rPr>
        <w:t> </w:t>
      </w:r>
      <w:r>
        <w:rPr/>
        <w:t>revenue</w:t>
      </w:r>
      <w:r>
        <w:rPr>
          <w:spacing w:val="-18"/>
        </w:rPr>
        <w:t> </w:t>
      </w:r>
      <w:r>
        <w:rPr/>
        <w:t>laws</w:t>
      </w:r>
      <w:r>
        <w:rPr>
          <w:spacing w:val="-18"/>
        </w:rPr>
        <w:t> </w:t>
      </w:r>
      <w:r>
        <w:rPr/>
        <w:t>on</w:t>
      </w:r>
      <w:r>
        <w:rPr>
          <w:spacing w:val="-18"/>
        </w:rPr>
        <w:t> </w:t>
      </w:r>
      <w:r>
        <w:rPr/>
        <w:t>behalf of</w:t>
      </w:r>
      <w:r>
        <w:rPr>
          <w:spacing w:val="-22"/>
        </w:rPr>
        <w:t> </w:t>
      </w:r>
      <w:r>
        <w:rPr/>
        <w:t>the</w:t>
      </w:r>
      <w:r>
        <w:rPr>
          <w:spacing w:val="-21"/>
        </w:rPr>
        <w:t> </w:t>
      </w:r>
      <w:r>
        <w:rPr/>
        <w:t>Government.</w:t>
      </w:r>
      <w:r>
        <w:rPr>
          <w:spacing w:val="-22"/>
        </w:rPr>
        <w:t> </w:t>
      </w:r>
      <w:r>
        <w:rPr/>
        <w:t>This</w:t>
      </w:r>
      <w:r>
        <w:rPr>
          <w:spacing w:val="-21"/>
        </w:rPr>
        <w:t> </w:t>
      </w:r>
      <w:r>
        <w:rPr/>
        <w:t>involves</w:t>
      </w:r>
      <w:r>
        <w:rPr>
          <w:spacing w:val="-22"/>
        </w:rPr>
        <w:t> </w:t>
      </w:r>
      <w:r>
        <w:rPr/>
        <w:t>the</w:t>
      </w:r>
      <w:r>
        <w:rPr>
          <w:spacing w:val="-21"/>
        </w:rPr>
        <w:t> </w:t>
      </w:r>
      <w:r>
        <w:rPr/>
        <w:t>collection of revenue raised and payment of grants and subsidies</w:t>
      </w:r>
      <w:r>
        <w:rPr>
          <w:spacing w:val="-28"/>
        </w:rPr>
        <w:t> </w:t>
      </w:r>
      <w:r>
        <w:rPr/>
        <w:t>under</w:t>
      </w:r>
      <w:r>
        <w:rPr>
          <w:spacing w:val="-28"/>
        </w:rPr>
        <w:t> </w:t>
      </w:r>
      <w:r>
        <w:rPr/>
        <w:t>relevant</w:t>
      </w:r>
      <w:r>
        <w:rPr>
          <w:spacing w:val="-28"/>
        </w:rPr>
        <w:t> </w:t>
      </w:r>
      <w:r>
        <w:rPr/>
        <w:t>legislation,</w:t>
      </w:r>
      <w:r>
        <w:rPr>
          <w:spacing w:val="-28"/>
        </w:rPr>
        <w:t> </w:t>
      </w:r>
      <w:r>
        <w:rPr/>
        <w:t>as</w:t>
      </w:r>
      <w:r>
        <w:rPr>
          <w:spacing w:val="-28"/>
        </w:rPr>
        <w:t> </w:t>
      </w:r>
      <w:r>
        <w:rPr/>
        <w:t>well</w:t>
      </w:r>
      <w:r>
        <w:rPr>
          <w:spacing w:val="-28"/>
        </w:rPr>
        <w:t> </w:t>
      </w:r>
      <w:r>
        <w:rPr/>
        <w:t>as</w:t>
      </w:r>
      <w:r>
        <w:rPr>
          <w:spacing w:val="-28"/>
        </w:rPr>
        <w:t> </w:t>
      </w:r>
      <w:r>
        <w:rPr>
          <w:spacing w:val="-18"/>
        </w:rPr>
        <w:t>a </w:t>
      </w:r>
      <w:r>
        <w:rPr/>
        <w:t>number of administrative-based</w:t>
      </w:r>
      <w:r>
        <w:rPr>
          <w:spacing w:val="-29"/>
        </w:rPr>
        <w:t> </w:t>
      </w:r>
      <w:r>
        <w:rPr/>
        <w:t>schemes.</w:t>
      </w:r>
    </w:p>
    <w:p>
      <w:pPr>
        <w:pStyle w:val="Heading6"/>
        <w:spacing w:before="108"/>
        <w:ind w:left="675"/>
        <w:rPr>
          <w:sz w:val="10"/>
        </w:rPr>
      </w:pPr>
      <w:r>
        <w:rPr>
          <w:b w:val="0"/>
        </w:rPr>
        <w:br w:type="column"/>
      </w:r>
      <w:r>
        <w:rPr/>
        <w:t>Extent to which due revenue is collected (%)</w:t>
      </w:r>
      <w:r>
        <w:rPr>
          <w:spacing w:val="-31"/>
        </w:rPr>
        <w:t> </w:t>
      </w:r>
      <w:r>
        <w:rPr>
          <w:spacing w:val="-7"/>
          <w:position w:val="8"/>
          <w:sz w:val="10"/>
        </w:rPr>
        <w:t>(a)</w:t>
      </w:r>
    </w:p>
    <w:p>
      <w:pPr>
        <w:spacing w:line="249" w:lineRule="auto" w:before="108"/>
        <w:ind w:left="407" w:right="68" w:firstLine="0"/>
        <w:jc w:val="left"/>
        <w:rPr>
          <w:b/>
          <w:sz w:val="10"/>
        </w:rPr>
      </w:pPr>
      <w:r>
        <w:rPr/>
        <w:br w:type="column"/>
      </w:r>
      <w:r>
        <w:rPr>
          <w:b/>
          <w:sz w:val="22"/>
        </w:rPr>
        <w:t>Extent to which correct grants, subsidies and rebates are paid (%) </w:t>
      </w:r>
      <w:r>
        <w:rPr>
          <w:b/>
          <w:position w:val="8"/>
          <w:sz w:val="10"/>
        </w:rPr>
        <w:t>(b)</w:t>
      </w:r>
    </w:p>
    <w:p>
      <w:pPr>
        <w:spacing w:after="0" w:line="249" w:lineRule="auto"/>
        <w:jc w:val="left"/>
        <w:rPr>
          <w:sz w:val="10"/>
        </w:rPr>
        <w:sectPr>
          <w:type w:val="continuous"/>
          <w:pgSz w:w="16840" w:h="11910" w:orient="landscape"/>
          <w:pgMar w:top="0" w:bottom="0" w:left="0" w:right="0"/>
          <w:cols w:num="3" w:equalWidth="0">
            <w:col w:w="5294" w:space="40"/>
            <w:col w:w="5473" w:space="39"/>
            <w:col w:w="5994"/>
          </w:cols>
        </w:sectPr>
      </w:pPr>
    </w:p>
    <w:p>
      <w:pPr>
        <w:pStyle w:val="BodyText"/>
        <w:spacing w:before="2"/>
        <w:rPr>
          <w:b/>
          <w:sz w:val="14"/>
        </w:rPr>
      </w:pPr>
    </w:p>
    <w:p>
      <w:pPr>
        <w:spacing w:after="0"/>
        <w:rPr>
          <w:sz w:val="14"/>
        </w:rPr>
        <w:sectPr>
          <w:type w:val="continuous"/>
          <w:pgSz w:w="16840" w:h="11910" w:orient="landscape"/>
          <w:pgMar w:top="0" w:bottom="0" w:left="0" w:right="0"/>
        </w:sectPr>
      </w:pPr>
    </w:p>
    <w:p>
      <w:pPr>
        <w:pStyle w:val="BodyText"/>
        <w:spacing w:line="249" w:lineRule="auto" w:before="107"/>
        <w:ind w:left="765" w:right="-11"/>
      </w:pPr>
      <w:r>
        <w:rPr/>
        <w:t>The key effectiveness indicator for revenue collection provides a measure of the accuracy of</w:t>
      </w:r>
      <w:r>
        <w:rPr>
          <w:spacing w:val="-24"/>
        </w:rPr>
        <w:t> </w:t>
      </w:r>
      <w:r>
        <w:rPr/>
        <w:t>the</w:t>
      </w:r>
      <w:r>
        <w:rPr>
          <w:spacing w:val="-23"/>
        </w:rPr>
        <w:t> </w:t>
      </w:r>
      <w:r>
        <w:rPr/>
        <w:t>revenue</w:t>
      </w:r>
      <w:r>
        <w:rPr>
          <w:spacing w:val="-24"/>
        </w:rPr>
        <w:t> </w:t>
      </w:r>
      <w:r>
        <w:rPr/>
        <w:t>assessment</w:t>
      </w:r>
      <w:r>
        <w:rPr>
          <w:spacing w:val="-23"/>
        </w:rPr>
        <w:t> </w:t>
      </w:r>
      <w:r>
        <w:rPr/>
        <w:t>process,</w:t>
      </w:r>
      <w:r>
        <w:rPr>
          <w:spacing w:val="-24"/>
        </w:rPr>
        <w:t> </w:t>
      </w:r>
      <w:r>
        <w:rPr/>
        <w:t>the</w:t>
      </w:r>
      <w:r>
        <w:rPr>
          <w:spacing w:val="-23"/>
        </w:rPr>
        <w:t> </w:t>
      </w:r>
      <w:r>
        <w:rPr/>
        <w:t>level</w:t>
      </w:r>
      <w:r>
        <w:rPr>
          <w:spacing w:val="-24"/>
        </w:rPr>
        <w:t> </w:t>
      </w:r>
      <w:r>
        <w:rPr>
          <w:spacing w:val="-6"/>
        </w:rPr>
        <w:t>of </w:t>
      </w:r>
      <w:r>
        <w:rPr/>
        <w:t>compliance</w:t>
      </w:r>
      <w:r>
        <w:rPr>
          <w:spacing w:val="-17"/>
        </w:rPr>
        <w:t> </w:t>
      </w:r>
      <w:r>
        <w:rPr/>
        <w:t>by</w:t>
      </w:r>
      <w:r>
        <w:rPr>
          <w:spacing w:val="-17"/>
        </w:rPr>
        <w:t> </w:t>
      </w:r>
      <w:r>
        <w:rPr/>
        <w:t>taxpayers</w:t>
      </w:r>
      <w:r>
        <w:rPr>
          <w:spacing w:val="-17"/>
        </w:rPr>
        <w:t> </w:t>
      </w:r>
      <w:r>
        <w:rPr/>
        <w:t>and</w:t>
      </w:r>
      <w:r>
        <w:rPr>
          <w:spacing w:val="-16"/>
        </w:rPr>
        <w:t> </w:t>
      </w:r>
      <w:r>
        <w:rPr/>
        <w:t>the</w:t>
      </w:r>
      <w:r>
        <w:rPr>
          <w:spacing w:val="-17"/>
        </w:rPr>
        <w:t> </w:t>
      </w:r>
      <w:r>
        <w:rPr/>
        <w:t>timeliness</w:t>
      </w:r>
      <w:r>
        <w:rPr>
          <w:spacing w:val="-17"/>
        </w:rPr>
        <w:t> </w:t>
      </w:r>
      <w:r>
        <w:rPr/>
        <w:t>of processing</w:t>
      </w:r>
      <w:r>
        <w:rPr>
          <w:spacing w:val="-36"/>
        </w:rPr>
        <w:t> </w:t>
      </w:r>
      <w:r>
        <w:rPr/>
        <w:t>assessments.</w:t>
      </w:r>
      <w:r>
        <w:rPr>
          <w:spacing w:val="-35"/>
        </w:rPr>
        <w:t> </w:t>
      </w:r>
      <w:r>
        <w:rPr/>
        <w:t>These</w:t>
      </w:r>
      <w:r>
        <w:rPr>
          <w:spacing w:val="-36"/>
        </w:rPr>
        <w:t> </w:t>
      </w:r>
      <w:r>
        <w:rPr/>
        <w:t>are</w:t>
      </w:r>
      <w:r>
        <w:rPr>
          <w:spacing w:val="-35"/>
        </w:rPr>
        <w:t> </w:t>
      </w:r>
      <w:r>
        <w:rPr>
          <w:spacing w:val="-3"/>
        </w:rPr>
        <w:t>considered</w:t>
      </w:r>
    </w:p>
    <w:p>
      <w:pPr>
        <w:pStyle w:val="BodyText"/>
      </w:pPr>
      <w:r>
        <w:rPr/>
        <w:br w:type="column"/>
      </w:r>
      <w:r>
        <w:rPr/>
      </w:r>
    </w:p>
    <w:p>
      <w:pPr>
        <w:pStyle w:val="BodyText"/>
      </w:pPr>
    </w:p>
    <w:p>
      <w:pPr>
        <w:pStyle w:val="BodyText"/>
        <w:spacing w:before="6"/>
        <w:rPr>
          <w:sz w:val="27"/>
        </w:rPr>
      </w:pPr>
    </w:p>
    <w:p>
      <w:pPr>
        <w:tabs>
          <w:tab w:pos="1765" w:val="left" w:leader="none"/>
          <w:tab w:pos="2771" w:val="left" w:leader="none"/>
          <w:tab w:pos="3777" w:val="left" w:leader="none"/>
          <w:tab w:pos="4789" w:val="left" w:leader="none"/>
          <w:tab w:pos="6002" w:val="left" w:leader="none"/>
          <w:tab w:pos="7009" w:val="left" w:leader="none"/>
          <w:tab w:pos="8015" w:val="left" w:leader="none"/>
          <w:tab w:pos="9021" w:val="left" w:leader="none"/>
        </w:tabs>
        <w:spacing w:before="0"/>
        <w:ind w:left="759" w:right="0" w:firstLine="0"/>
        <w:jc w:val="left"/>
        <w:rPr>
          <w:b/>
          <w:sz w:val="19"/>
        </w:rPr>
      </w:pPr>
      <w:r>
        <w:rPr/>
        <w:pict>
          <v:group style="position:absolute;margin-left:713.622498pt;margin-top:-143.117111pt;width:40.2pt;height:142pt;mso-position-horizontal-relative:page;mso-position-vertical-relative:paragraph;z-index:29512" coordorigin="14272,-2862" coordsize="804,2840">
            <v:shape style="position:absolute;left:14674;top:-2434;width:392;height:2401" coordorigin="14674,-2433" coordsize="392,2401" path="m15066,-2433l14674,-2042,14674,-33,15066,-33,15066,-2433xe" filled="true" fillcolor="#eae3ea" stroked="false">
              <v:path arrowok="t"/>
              <v:fill type="solid"/>
            </v:shape>
            <v:shape style="position:absolute;left:14272;top:-2458;width:804;height:2435" coordorigin="14272,-2458" coordsize="804,2435" path="m14272,-2458l14272,-23,15076,-23,15076,-28,14674,-28,14674,-33,14282,-33,14282,-2433,14297,-2433,14288,-2442,14274,-2442,14277,-2446,14285,-2446,14272,-2458xm15076,-2446l15071,-2446,15071,-28,15076,-28,15076,-2446xm14297,-2433l14282,-2433,14674,-2042,14674,-2049,14681,-2056,14674,-2056,14297,-2433xm15076,-2458l14674,-2056,14681,-2056,15071,-2446,15076,-2446,15076,-2458xm14285,-2446l14277,-2446,14274,-2442,14288,-2442,14285,-2446xe" filled="true" fillcolor="#8d5f8e" stroked="false">
              <v:path arrowok="t"/>
              <v:fill type="solid"/>
            </v:shape>
            <v:shape style="position:absolute;left:14674;top:-2446;width:397;height:2418" coordorigin="14674,-2446" coordsize="397,2418" path="m15071,-2433l15066,-2433,15066,-33,14674,-33,14674,-28,15071,-28,15071,-2433xm15071,-2446l14674,-2049,14674,-2042,15066,-2433,15071,-2433,15071,-2446xe" filled="true" fillcolor="#8b5a8b" stroked="false">
              <v:path arrowok="t"/>
              <v:fill type="solid"/>
            </v:shape>
            <v:shape style="position:absolute;left:14305;top:-2863;width:737;height:737" coordorigin="14306,-2862" coordsize="737,737" path="m14674,-2862l14306,-2494,14674,-2125,15043,-2494,14674,-2862xe" filled="true" fillcolor="#6f2770" stroked="false">
              <v:path arrowok="t"/>
              <v:fill type="solid"/>
            </v:shape>
            <v:shape style="position:absolute;left:14515;top:-2615;width:337;height:227" type="#_x0000_t202" filled="false" stroked="false">
              <v:textbox inset="0,0,0,0">
                <w:txbxContent>
                  <w:p>
                    <w:pPr>
                      <w:spacing w:before="7"/>
                      <w:ind w:left="0" w:right="0" w:firstLine="0"/>
                      <w:jc w:val="left"/>
                      <w:rPr>
                        <w:b/>
                        <w:sz w:val="19"/>
                      </w:rPr>
                    </w:pPr>
                    <w:r>
                      <w:rPr>
                        <w:b/>
                        <w:color w:val="FFFFFF"/>
                        <w:sz w:val="19"/>
                      </w:rPr>
                      <w:t>100</w:t>
                    </w:r>
                  </w:p>
                </w:txbxContent>
              </v:textbox>
              <w10:wrap type="none"/>
            </v:shape>
            <w10:wrap type="none"/>
          </v:group>
        </w:pict>
      </w:r>
      <w:r>
        <w:rPr/>
        <w:pict>
          <v:group style="position:absolute;margin-left:663.307129pt;margin-top:-143.117111pt;width:40.2pt;height:142pt;mso-position-horizontal-relative:page;mso-position-vertical-relative:paragraph;z-index:29560" coordorigin="13266,-2862" coordsize="804,2840">
            <v:shape style="position:absolute;left:13668;top:-2446;width:397;height:2418" coordorigin="13668,-2446" coordsize="397,2418" path="m14065,-2446l13668,-2049,13668,-28,14065,-28,14065,-2446xe" filled="true" fillcolor="#f5f6ea" stroked="false">
              <v:path arrowok="t"/>
              <v:fill type="solid"/>
            </v:shape>
            <v:shape style="position:absolute;left:13266;top:-2863;width:804;height:2840" coordorigin="13266,-2862" coordsize="804,2840" path="m14037,-2494l13668,-2862,13300,-2494,13668,-2125,14037,-2494m14070,-2458l14060,-2448,14060,-2433,14060,-33,13276,-33,13276,-2433,13668,-2042,13682,-2056,14060,-2433,14060,-2448,13668,-2056,13278,-2445,13266,-2458,13266,-23,14070,-23,14070,-33,14070,-2433,14070,-2458e" filled="true" fillcolor="#aebd37" stroked="false">
              <v:path arrowok="t"/>
              <v:fill type="solid"/>
            </v:shape>
            <v:shape style="position:absolute;left:13509;top:-2615;width:337;height:227" type="#_x0000_t202" filled="false" stroked="false">
              <v:textbox inset="0,0,0,0">
                <w:txbxContent>
                  <w:p>
                    <w:pPr>
                      <w:spacing w:before="7"/>
                      <w:ind w:left="0" w:right="0" w:firstLine="0"/>
                      <w:jc w:val="left"/>
                      <w:rPr>
                        <w:b/>
                        <w:sz w:val="19"/>
                      </w:rPr>
                    </w:pPr>
                    <w:r>
                      <w:rPr>
                        <w:b/>
                        <w:color w:val="FFFFFF"/>
                        <w:sz w:val="19"/>
                      </w:rPr>
                      <w:t>100</w:t>
                    </w:r>
                  </w:p>
                </w:txbxContent>
              </v:textbox>
              <w10:wrap type="none"/>
            </v:shape>
            <w10:wrap type="none"/>
          </v:group>
        </w:pict>
      </w:r>
      <w:r>
        <w:rPr/>
        <w:pict>
          <v:group style="position:absolute;margin-left:612.992188pt;margin-top:-140.117111pt;width:40.2pt;height:139pt;mso-position-horizontal-relative:page;mso-position-vertical-relative:paragraph;z-index:29608" coordorigin="12260,-2802" coordsize="804,2780">
            <v:shape style="position:absolute;left:12661;top:-2386;width:397;height:2358" coordorigin="12662,-2386" coordsize="397,2358" path="m13059,-2386l12662,-1989,12662,-28,13059,-28,13059,-2386xe" filled="true" fillcolor="#f5f6ea" stroked="false">
              <v:path arrowok="t"/>
              <v:fill type="solid"/>
            </v:shape>
            <v:shape style="position:absolute;left:12259;top:-2803;width:804;height:2780" coordorigin="12260,-2802" coordsize="804,2780" path="m13030,-2434l12662,-2802,12293,-2434,12662,-2065,13030,-2434m13064,-2398l13054,-2388,13054,-2373,13054,-33,12270,-33,12270,-2373,12662,-1982,12676,-1996,13054,-2373,13054,-2388,12662,-1996,12272,-2385,12260,-2398,12260,-23,13064,-23,13064,-33,13064,-2373,13064,-2398e" filled="true" fillcolor="#aebd37" stroked="false">
              <v:path arrowok="t"/>
              <v:fill type="solid"/>
            </v:shape>
            <v:shape style="position:absolute;left:12476;top:-2555;width:390;height:227" type="#_x0000_t202" filled="false" stroked="false">
              <v:textbox inset="0,0,0,0">
                <w:txbxContent>
                  <w:p>
                    <w:pPr>
                      <w:spacing w:before="7"/>
                      <w:ind w:left="0" w:right="0" w:firstLine="0"/>
                      <w:jc w:val="left"/>
                      <w:rPr>
                        <w:b/>
                        <w:sz w:val="19"/>
                      </w:rPr>
                    </w:pPr>
                    <w:r>
                      <w:rPr>
                        <w:b/>
                        <w:color w:val="FFFFFF"/>
                        <w:sz w:val="19"/>
                      </w:rPr>
                      <w:t>99.9</w:t>
                    </w:r>
                  </w:p>
                </w:txbxContent>
              </v:textbox>
              <w10:wrap type="none"/>
            </v:shape>
            <w10:wrap type="none"/>
          </v:group>
        </w:pict>
      </w:r>
      <w:r>
        <w:rPr/>
        <w:pict>
          <v:group style="position:absolute;margin-left:562.677185pt;margin-top:-143.117111pt;width:40.2pt;height:142pt;mso-position-horizontal-relative:page;mso-position-vertical-relative:paragraph;z-index:29656" coordorigin="11254,-2862" coordsize="804,2840">
            <v:shape style="position:absolute;left:11655;top:-2446;width:397;height:2418" coordorigin="11655,-2446" coordsize="397,2418" path="m12052,-2446l11655,-2049,11655,-28,12052,-28,12052,-2446xe" filled="true" fillcolor="#f5f6ea" stroked="false">
              <v:path arrowok="t"/>
              <v:fill type="solid"/>
            </v:shape>
            <v:shape style="position:absolute;left:11253;top:-2863;width:804;height:2840" coordorigin="11254,-2862" coordsize="804,2840" path="m12024,-2494l11655,-2862,11287,-2494,11655,-2125,12024,-2494m12057,-2458l12047,-2448,12047,-2433,12047,-33,11264,-33,11264,-2433,11655,-2042,11670,-2056,12047,-2433,12047,-2448,11655,-2056,11266,-2445,11254,-2458,11254,-23,12057,-23,12057,-33,12057,-2433,12057,-2458e" filled="true" fillcolor="#aebd37" stroked="false">
              <v:path arrowok="t"/>
              <v:fill type="solid"/>
            </v:shape>
            <v:shape style="position:absolute;left:11497;top:-2615;width:337;height:227" type="#_x0000_t202" filled="false" stroked="false">
              <v:textbox inset="0,0,0,0">
                <w:txbxContent>
                  <w:p>
                    <w:pPr>
                      <w:spacing w:before="7"/>
                      <w:ind w:left="0" w:right="0" w:firstLine="0"/>
                      <w:jc w:val="left"/>
                      <w:rPr>
                        <w:b/>
                        <w:sz w:val="19"/>
                      </w:rPr>
                    </w:pPr>
                    <w:r>
                      <w:rPr>
                        <w:b/>
                        <w:color w:val="FFFFFF"/>
                        <w:sz w:val="19"/>
                      </w:rPr>
                      <w:t>100</w:t>
                    </w:r>
                  </w:p>
                </w:txbxContent>
              </v:textbox>
              <w10:wrap type="none"/>
            </v:shape>
            <w10:wrap type="none"/>
          </v:group>
        </w:pict>
      </w:r>
      <w:r>
        <w:rPr/>
        <w:pict>
          <v:group style="position:absolute;margin-left:501.7323pt;margin-top:-122.118118pt;width:40.2pt;height:121pt;mso-position-horizontal-relative:page;mso-position-vertical-relative:paragraph;z-index:29704" coordorigin="10035,-2442" coordsize="804,2420">
            <v:shape style="position:absolute;left:10436;top:-2014;width:392;height:1981" coordorigin="10437,-2013" coordsize="392,1981" path="m10828,-2013l10437,-1622,10437,-33,10828,-33,10828,-2013xe" filled="true" fillcolor="#e1dce1" stroked="false">
              <v:path arrowok="t"/>
              <v:fill type="solid"/>
            </v:shape>
            <v:shape style="position:absolute;left:10034;top:-2038;width:804;height:2015" coordorigin="10035,-2038" coordsize="804,2015" path="m10035,-2038l10035,-23,10838,-23,10838,-28,10437,-28,10437,-33,10045,-33,10045,-2013,10059,-2013,10050,-2022,10036,-2022,10040,-2026,10047,-2026,10035,-2038xm10838,-2026l10833,-2026,10833,-28,10838,-28,10838,-2026xm10059,-2013l10045,-2013,10437,-1622,10437,-1629,10444,-1636,10437,-1636,10059,-2013xm10838,-2038l10437,-1636,10444,-1636,10833,-2026,10838,-2026,10838,-2038xm10047,-2026l10040,-2026,10036,-2022,10050,-2022,10047,-2026xe" filled="true" fillcolor="#806a83" stroked="false">
              <v:path arrowok="t"/>
              <v:fill type="solid"/>
            </v:shape>
            <v:shape style="position:absolute;left:10436;top:-2026;width:397;height:1998" coordorigin="10437,-2026" coordsize="397,1998" path="m10833,-2013l10828,-2013,10828,-33,10437,-33,10437,-28,10833,-28,10833,-2013xm10833,-2026l10437,-1629,10437,-1622,10828,-2013,10833,-2013,10833,-2026xe" filled="true" fillcolor="#79627d" stroked="false">
              <v:path arrowok="t"/>
              <v:fill type="solid"/>
            </v:shape>
            <v:shape style="position:absolute;left:10068;top:-2443;width:737;height:738" coordorigin="10068,-2442" coordsize="737,738" path="m10437,-2442l10068,-2074,10437,-1705,10805,-2074,10437,-2442xe" filled="true" fillcolor="#360f41" stroked="false">
              <v:path arrowok="t"/>
              <v:fill type="solid"/>
            </v:shape>
            <v:shape style="position:absolute;left:10335;top:-2195;width:232;height:227" type="#_x0000_t202" filled="false" stroked="false">
              <v:textbox inset="0,0,0,0">
                <w:txbxContent>
                  <w:p>
                    <w:pPr>
                      <w:spacing w:before="7"/>
                      <w:ind w:left="0" w:right="0" w:firstLine="0"/>
                      <w:jc w:val="left"/>
                      <w:rPr>
                        <w:b/>
                        <w:sz w:val="19"/>
                      </w:rPr>
                    </w:pPr>
                    <w:r>
                      <w:rPr>
                        <w:b/>
                        <w:color w:val="FFFFFF"/>
                        <w:sz w:val="19"/>
                      </w:rPr>
                      <w:t>88</w:t>
                    </w:r>
                  </w:p>
                </w:txbxContent>
              </v:textbox>
              <w10:wrap type="none"/>
            </v:shape>
            <w10:wrap type="none"/>
          </v:group>
        </w:pict>
      </w:r>
      <w:r>
        <w:rPr/>
        <w:pict>
          <v:group style="position:absolute;margin-left:451.417786pt;margin-top:-119.118118pt;width:40.2pt;height:118pt;mso-position-horizontal-relative:page;mso-position-vertical-relative:paragraph;z-index:29752" coordorigin="9028,-2382" coordsize="804,2360">
            <v:shape style="position:absolute;left:9430;top:-1954;width:392;height:1921" coordorigin="9430,-1953" coordsize="392,1921" path="m9822,-1953l9430,-1562,9430,-33,9822,-33,9822,-1953xe" filled="true" fillcolor="#eae3ea" stroked="false">
              <v:path arrowok="t"/>
              <v:fill type="solid"/>
            </v:shape>
            <v:shape style="position:absolute;left:9028;top:-1978;width:804;height:1955" coordorigin="9028,-1978" coordsize="804,1955" path="m9028,-1978l9028,-23,9832,-23,9832,-28,9430,-28,9430,-33,9038,-33,9038,-1953,9053,-1953,9044,-1962,9030,-1962,9033,-1966,9040,-1966,9028,-1978xm9832,-1966l9827,-1966,9827,-28,9832,-28,9832,-1966xm9053,-1953l9038,-1953,9430,-1562,9430,-1569,9437,-1576,9430,-1576,9053,-1953xm9832,-1978l9430,-1576,9437,-1576,9827,-1966,9832,-1966,9832,-1978xm9040,-1966l9033,-1966,9030,-1962,9044,-1962,9040,-1966xe" filled="true" fillcolor="#8d5f8e" stroked="false">
              <v:path arrowok="t"/>
              <v:fill type="solid"/>
            </v:shape>
            <v:shape style="position:absolute;left:9430;top:-1966;width:397;height:1938" coordorigin="9430,-1966" coordsize="397,1938" path="m9827,-1953l9822,-1953,9822,-33,9430,-33,9430,-28,9827,-28,9827,-1953xm9827,-1966l9430,-1569,9430,-1562,9822,-1953,9827,-1953,9827,-1966xe" filled="true" fillcolor="#8b5a8b" stroked="false">
              <v:path arrowok="t"/>
              <v:fill type="solid"/>
            </v:shape>
            <v:shape style="position:absolute;left:9061;top:-2383;width:737;height:738" coordorigin="9062,-2382" coordsize="737,738" path="m9430,-2382l9062,-2014,9430,-1645,9799,-2014,9430,-2382xe" filled="true" fillcolor="#6f2770" stroked="false">
              <v:path arrowok="t"/>
              <v:fill type="solid"/>
            </v:shape>
            <v:shape style="position:absolute;left:9324;top:-2135;width:232;height:227" type="#_x0000_t202" filled="false" stroked="false">
              <v:textbox inset="0,0,0,0">
                <w:txbxContent>
                  <w:p>
                    <w:pPr>
                      <w:spacing w:before="7"/>
                      <w:ind w:left="0" w:right="0" w:firstLine="0"/>
                      <w:jc w:val="left"/>
                      <w:rPr>
                        <w:b/>
                        <w:sz w:val="19"/>
                      </w:rPr>
                    </w:pPr>
                    <w:r>
                      <w:rPr>
                        <w:b/>
                        <w:color w:val="FFFFFF"/>
                        <w:sz w:val="19"/>
                      </w:rPr>
                      <w:t>87</w:t>
                    </w:r>
                  </w:p>
                </w:txbxContent>
              </v:textbox>
              <w10:wrap type="none"/>
            </v:shape>
            <w10:wrap type="none"/>
          </v:group>
        </w:pict>
      </w:r>
      <w:r>
        <w:rPr/>
        <w:pict>
          <v:group style="position:absolute;margin-left:300.472504pt;margin-top:-125.118118pt;width:40.2pt;height:124pt;mso-position-horizontal-relative:page;mso-position-vertical-relative:paragraph;z-index:29800" coordorigin="6009,-2502" coordsize="804,2480">
            <v:shape style="position:absolute;left:6411;top:-2086;width:397;height:2058" coordorigin="6411,-2086" coordsize="397,2058" path="m6808,-2086l6411,-1689,6411,-28,6808,-28,6808,-2086xe" filled="true" fillcolor="#f5f6ea" stroked="false">
              <v:path arrowok="t"/>
              <v:fill type="solid"/>
            </v:shape>
            <v:shape style="position:absolute;left:6009;top:-2503;width:804;height:2480" coordorigin="6009,-2502" coordsize="804,2480" path="m6780,-2134l6411,-2502,6043,-2134,6411,-1765,6780,-2134m6813,-2098l6803,-2088,6803,-2073,6803,-33,6019,-33,6019,-2073,6411,-1682,6425,-1696,6803,-2073,6803,-2088,6411,-1696,6022,-2085,6009,-2098,6009,-23,6813,-23,6813,-33,6813,-2073,6813,-2098e" filled="true" fillcolor="#aebd37" stroked="false">
              <v:path arrowok="t"/>
              <v:fill type="solid"/>
            </v:shape>
            <v:shape style="position:absolute;left:6305;top:-2255;width:232;height:227" type="#_x0000_t202" filled="false" stroked="false">
              <v:textbox inset="0,0,0,0">
                <w:txbxContent>
                  <w:p>
                    <w:pPr>
                      <w:spacing w:before="7"/>
                      <w:ind w:left="0" w:right="0" w:firstLine="0"/>
                      <w:jc w:val="left"/>
                      <w:rPr>
                        <w:b/>
                        <w:sz w:val="19"/>
                      </w:rPr>
                    </w:pPr>
                    <w:r>
                      <w:rPr>
                        <w:b/>
                        <w:color w:val="FFFFFF"/>
                        <w:sz w:val="19"/>
                      </w:rPr>
                      <w:t>89</w:t>
                    </w:r>
                  </w:p>
                </w:txbxContent>
              </v:textbox>
              <w10:wrap type="none"/>
            </v:shape>
            <w10:wrap type="none"/>
          </v:group>
        </w:pict>
      </w:r>
      <w:r>
        <w:rPr/>
        <w:pict>
          <v:group style="position:absolute;margin-left:351.037811pt;margin-top:-122.118118pt;width:40.2pt;height:121pt;mso-position-horizontal-relative:page;mso-position-vertical-relative:paragraph;z-index:29848" coordorigin="7021,-2442" coordsize="804,2420">
            <v:shape style="position:absolute;left:7422;top:-2026;width:397;height:1998" coordorigin="7423,-2026" coordsize="397,1998" path="m7819,-2026l7423,-1629,7423,-28,7819,-28,7819,-2026xe" filled="true" fillcolor="#f5f6ea" stroked="false">
              <v:path arrowok="t"/>
              <v:fill type="solid"/>
            </v:shape>
            <v:shape style="position:absolute;left:7020;top:-2443;width:804;height:2420" coordorigin="7021,-2442" coordsize="804,2420" path="m7791,-2074l7423,-2442,7054,-2074,7423,-1705,7791,-2074m7824,-2038l7814,-2028,7814,-2013,7814,-33,7031,-33,7031,-2013,7423,-1622,7437,-1636,7814,-2013,7814,-2028,7423,-1636,7033,-2025,7021,-2038,7021,-23,7824,-23,7824,-33,7824,-2013,7824,-2038e" filled="true" fillcolor="#aebd37" stroked="false">
              <v:path arrowok="t"/>
              <v:fill type="solid"/>
            </v:shape>
            <v:shape style="position:absolute;left:7316;top:-2195;width:232;height:227" type="#_x0000_t202" filled="false" stroked="false">
              <v:textbox inset="0,0,0,0">
                <w:txbxContent>
                  <w:p>
                    <w:pPr>
                      <w:spacing w:before="7"/>
                      <w:ind w:left="0" w:right="0" w:firstLine="0"/>
                      <w:jc w:val="left"/>
                      <w:rPr>
                        <w:b/>
                        <w:sz w:val="19"/>
                      </w:rPr>
                    </w:pPr>
                    <w:r>
                      <w:rPr>
                        <w:b/>
                        <w:color w:val="FFFFFF"/>
                        <w:sz w:val="19"/>
                      </w:rPr>
                      <w:t>88</w:t>
                    </w:r>
                  </w:p>
                </w:txbxContent>
              </v:textbox>
              <w10:wrap type="none"/>
            </v:shape>
            <w10:wrap type="none"/>
          </v:group>
        </w:pict>
      </w:r>
      <w:r>
        <w:rPr/>
        <w:pict>
          <v:group style="position:absolute;margin-left:401.352814pt;margin-top:-119.118118pt;width:40.2pt;height:118pt;mso-position-horizontal-relative:page;mso-position-vertical-relative:paragraph;z-index:29896" coordorigin="8027,-2382" coordsize="804,2360">
            <v:shape style="position:absolute;left:8428;top:-1954;width:392;height:1921" coordorigin="8429,-1953" coordsize="392,1921" path="m8821,-1953l8429,-1562,8429,-33,8821,-33,8821,-1953xe" filled="true" fillcolor="#f5f6ea" stroked="false">
              <v:path arrowok="t"/>
              <v:fill type="solid"/>
            </v:shape>
            <v:shape style="position:absolute;left:8027;top:-2383;width:804;height:2360" coordorigin="8027,-2382" coordsize="804,2360" path="m8797,-2014l8429,-2382,8060,-2014,8429,-1645,8797,-2014m8831,-1978l8821,-1968,8821,-1953,8821,-33,8429,-33,8037,-33,8037,-1953,8429,-1562,8821,-1953,8821,-1968,8429,-1576,8051,-1953,8043,-1962,8039,-1965,8027,-1978,8027,-23,8831,-23,8831,-28,8831,-1965,8831,-1978e" filled="true" fillcolor="#aebd37" stroked="false">
              <v:path arrowok="t"/>
              <v:fill type="solid"/>
            </v:shape>
            <v:shape style="position:absolute;left:8323;top:-2135;width:232;height:227" type="#_x0000_t202" filled="false" stroked="false">
              <v:textbox inset="0,0,0,0">
                <w:txbxContent>
                  <w:p>
                    <w:pPr>
                      <w:spacing w:before="7"/>
                      <w:ind w:left="0" w:right="0" w:firstLine="0"/>
                      <w:jc w:val="left"/>
                      <w:rPr>
                        <w:b/>
                        <w:sz w:val="19"/>
                      </w:rPr>
                    </w:pPr>
                    <w:r>
                      <w:rPr>
                        <w:b/>
                        <w:color w:val="FFFFFF"/>
                        <w:sz w:val="19"/>
                      </w:rPr>
                      <w:t>87</w:t>
                    </w:r>
                  </w:p>
                </w:txbxContent>
              </v:textbox>
              <w10:wrap type="none"/>
            </v:shape>
            <w10:wrap type="none"/>
          </v:group>
        </w:pict>
      </w:r>
      <w:r>
        <w:rPr>
          <w:b/>
          <w:w w:val="105"/>
          <w:sz w:val="19"/>
        </w:rPr>
        <w:t>2013/14</w:t>
        <w:tab/>
        <w:t>2014/15</w:t>
        <w:tab/>
        <w:t>2015/16</w:t>
        <w:tab/>
        <w:t>2016/17</w:t>
        <w:tab/>
        <w:t>2016/17</w:t>
        <w:tab/>
        <w:t>2013/14</w:t>
        <w:tab/>
        <w:t>2014/15</w:t>
        <w:tab/>
        <w:t>2015/16</w:t>
        <w:tab/>
        <w:t>2016/17</w:t>
      </w:r>
    </w:p>
    <w:p>
      <w:pPr>
        <w:tabs>
          <w:tab w:pos="1720" w:val="left" w:leader="none"/>
          <w:tab w:pos="2726" w:val="left" w:leader="none"/>
          <w:tab w:pos="3733" w:val="left" w:leader="none"/>
          <w:tab w:pos="4739" w:val="left" w:leader="none"/>
          <w:tab w:pos="5958" w:val="left" w:leader="none"/>
          <w:tab w:pos="6964" w:val="left" w:leader="none"/>
          <w:tab w:pos="7970" w:val="left" w:leader="none"/>
          <w:tab w:pos="8977" w:val="left" w:leader="none"/>
        </w:tabs>
        <w:spacing w:before="89"/>
        <w:ind w:left="714" w:right="0" w:firstLine="0"/>
        <w:jc w:val="left"/>
        <w:rPr>
          <w:sz w:val="15"/>
        </w:rPr>
      </w:pPr>
      <w:r>
        <w:rPr>
          <w:color w:val="FFFFFF"/>
          <w:w w:val="100"/>
          <w:sz w:val="15"/>
          <w:shd w:fill="BFC84C" w:color="auto" w:val="clear"/>
        </w:rPr>
        <w:t> </w:t>
      </w:r>
      <w:r>
        <w:rPr>
          <w:color w:val="FFFFFF"/>
          <w:sz w:val="15"/>
          <w:shd w:fill="BFC84C" w:color="auto" w:val="clear"/>
        </w:rPr>
        <w:t> </w:t>
      </w:r>
      <w:r>
        <w:rPr>
          <w:color w:val="FFFFFF"/>
          <w:spacing w:val="-9"/>
          <w:sz w:val="15"/>
          <w:shd w:fill="BFC84C" w:color="auto" w:val="clear"/>
        </w:rPr>
        <w:t> </w:t>
      </w:r>
      <w:r>
        <w:rPr>
          <w:color w:val="FFFFFF"/>
          <w:sz w:val="15"/>
          <w:shd w:fill="BFC84C" w:color="auto" w:val="clear"/>
        </w:rPr>
        <w:t>ACTUAL</w:t>
      </w:r>
      <w:r>
        <w:rPr>
          <w:color w:val="FFFFFF"/>
          <w:sz w:val="15"/>
        </w:rPr>
        <w:tab/>
      </w:r>
      <w:r>
        <w:rPr>
          <w:color w:val="FFFFFF"/>
          <w:sz w:val="15"/>
          <w:shd w:fill="BFC84C" w:color="auto" w:val="clear"/>
        </w:rPr>
        <w:t>ACTUAL</w:t>
      </w:r>
      <w:r>
        <w:rPr>
          <w:color w:val="FFFFFF"/>
          <w:sz w:val="15"/>
        </w:rPr>
        <w:tab/>
      </w:r>
      <w:r>
        <w:rPr>
          <w:color w:val="FFFFFF"/>
          <w:sz w:val="15"/>
          <w:shd w:fill="BFC84C" w:color="auto" w:val="clear"/>
        </w:rPr>
        <w:t>ACTUAL</w:t>
      </w:r>
      <w:r>
        <w:rPr>
          <w:color w:val="FFFFFF"/>
          <w:sz w:val="15"/>
        </w:rPr>
        <w:tab/>
      </w:r>
      <w:r>
        <w:rPr>
          <w:color w:val="FFFFFF"/>
          <w:w w:val="95"/>
          <w:sz w:val="15"/>
          <w:shd w:fill="803C83" w:color="auto" w:val="clear"/>
        </w:rPr>
        <w:t>TARGET</w:t>
      </w:r>
      <w:r>
        <w:rPr>
          <w:color w:val="FFFFFF"/>
          <w:w w:val="95"/>
          <w:sz w:val="15"/>
        </w:rPr>
        <w:tab/>
      </w:r>
      <w:r>
        <w:rPr>
          <w:color w:val="FFFFFF"/>
          <w:sz w:val="15"/>
          <w:shd w:fill="4C285B" w:color="auto" w:val="clear"/>
        </w:rPr>
        <w:t>ACTUAL</w:t>
      </w:r>
      <w:r>
        <w:rPr>
          <w:color w:val="FFFFFF"/>
          <w:sz w:val="15"/>
        </w:rPr>
        <w:tab/>
      </w:r>
      <w:r>
        <w:rPr>
          <w:color w:val="FFFFFF"/>
          <w:sz w:val="15"/>
          <w:shd w:fill="BFC84C" w:color="auto" w:val="clear"/>
        </w:rPr>
        <w:t>ACTUAL</w:t>
      </w:r>
      <w:r>
        <w:rPr>
          <w:color w:val="FFFFFF"/>
          <w:sz w:val="15"/>
        </w:rPr>
        <w:tab/>
      </w:r>
      <w:r>
        <w:rPr>
          <w:color w:val="FFFFFF"/>
          <w:sz w:val="15"/>
          <w:shd w:fill="BFC84C" w:color="auto" w:val="clear"/>
        </w:rPr>
        <w:t>ACTUAL</w:t>
      </w:r>
      <w:r>
        <w:rPr>
          <w:color w:val="FFFFFF"/>
          <w:sz w:val="15"/>
        </w:rPr>
        <w:tab/>
      </w:r>
      <w:r>
        <w:rPr>
          <w:color w:val="FFFFFF"/>
          <w:sz w:val="15"/>
          <w:shd w:fill="BFC84C" w:color="auto" w:val="clear"/>
        </w:rPr>
        <w:t>ACTUAL</w:t>
      </w:r>
      <w:r>
        <w:rPr>
          <w:color w:val="FFFFFF"/>
          <w:sz w:val="15"/>
        </w:rPr>
        <w:tab/>
      </w:r>
      <w:r>
        <w:rPr>
          <w:color w:val="FFFFFF"/>
          <w:sz w:val="15"/>
          <w:shd w:fill="803C83" w:color="auto" w:val="clear"/>
        </w:rPr>
        <w:t>TARGET</w:t>
      </w:r>
      <w:r>
        <w:rPr>
          <w:color w:val="FFFFFF"/>
          <w:spacing w:val="-5"/>
          <w:sz w:val="15"/>
          <w:shd w:fill="803C83" w:color="auto" w:val="clear"/>
        </w:rPr>
        <w:t> </w:t>
      </w:r>
    </w:p>
    <w:p>
      <w:pPr>
        <w:pStyle w:val="BodyText"/>
      </w:pPr>
      <w:r>
        <w:rPr/>
        <w:br w:type="column"/>
      </w:r>
      <w:r>
        <w:rPr/>
      </w:r>
    </w:p>
    <w:p>
      <w:pPr>
        <w:pStyle w:val="BodyText"/>
      </w:pPr>
    </w:p>
    <w:p>
      <w:pPr>
        <w:pStyle w:val="BodyText"/>
        <w:spacing w:before="6"/>
        <w:rPr>
          <w:sz w:val="27"/>
        </w:rPr>
      </w:pPr>
    </w:p>
    <w:p>
      <w:pPr>
        <w:spacing w:before="0"/>
        <w:ind w:left="222" w:right="0" w:firstLine="0"/>
        <w:jc w:val="left"/>
        <w:rPr>
          <w:b/>
          <w:sz w:val="19"/>
        </w:rPr>
      </w:pPr>
      <w:r>
        <w:rPr/>
        <w:pict>
          <v:group style="position:absolute;margin-left:763.937012pt;margin-top:-140.117111pt;width:40.2pt;height:139pt;mso-position-horizontal-relative:page;mso-position-vertical-relative:paragraph;z-index:29464" coordorigin="15279,-2802" coordsize="804,2780">
            <v:shape style="position:absolute;left:15680;top:-2374;width:392;height:2341" coordorigin="15681,-2373" coordsize="392,2341" path="m16072,-2373l15681,-1982,15681,-33,16072,-33,16072,-2373xe" filled="true" fillcolor="#e1dce1" stroked="false">
              <v:path arrowok="t"/>
              <v:fill type="solid"/>
            </v:shape>
            <v:shape style="position:absolute;left:15278;top:-2398;width:804;height:2375" coordorigin="15279,-2398" coordsize="804,2375" path="m15279,-2398l15279,-23,16082,-23,16082,-28,15681,-28,15681,-33,15289,-33,15289,-2373,15303,-2373,15294,-2382,15280,-2382,15284,-2386,15291,-2386,15279,-2398xm16082,-2386l16077,-2386,16077,-28,16082,-28,16082,-2386xm15303,-2373l15289,-2373,15681,-1982,15681,-1989,15688,-1996,15681,-1996,15303,-2373xm16082,-2398l15681,-1996,15688,-1996,16077,-2386,16082,-2386,16082,-2398xm15291,-2386l15284,-2386,15280,-2382,15294,-2382,15291,-2386xe" filled="true" fillcolor="#806a83" stroked="false">
              <v:path arrowok="t"/>
              <v:fill type="solid"/>
            </v:shape>
            <v:shape style="position:absolute;left:15680;top:-2386;width:397;height:2358" coordorigin="15681,-2386" coordsize="397,2358" path="m16077,-2373l16072,-2373,16072,-33,15681,-33,15681,-28,16077,-28,16077,-2373xm16077,-2386l15681,-1989,15681,-1982,16072,-2373,16077,-2373,16077,-2386xe" filled="true" fillcolor="#79627d" stroked="false">
              <v:path arrowok="t"/>
              <v:fill type="solid"/>
            </v:shape>
            <v:shape style="position:absolute;left:15312;top:-2803;width:737;height:737" coordorigin="15312,-2802" coordsize="737,737" path="m15681,-2802l15312,-2434,15681,-2065,16049,-2434,15681,-2802xe" filled="true" fillcolor="#360f41" stroked="false">
              <v:path arrowok="t"/>
              <v:fill type="solid"/>
            </v:shape>
            <v:shape style="position:absolute;left:15500;top:-2555;width:390;height:227" type="#_x0000_t202" filled="false" stroked="false">
              <v:textbox inset="0,0,0,0">
                <w:txbxContent>
                  <w:p>
                    <w:pPr>
                      <w:spacing w:before="7"/>
                      <w:ind w:left="0" w:right="0" w:firstLine="0"/>
                      <w:jc w:val="left"/>
                      <w:rPr>
                        <w:b/>
                        <w:sz w:val="19"/>
                      </w:rPr>
                    </w:pPr>
                    <w:r>
                      <w:rPr>
                        <w:b/>
                        <w:color w:val="FFFFFF"/>
                        <w:sz w:val="19"/>
                      </w:rPr>
                      <w:t>99.9</w:t>
                    </w:r>
                  </w:p>
                </w:txbxContent>
              </v:textbox>
              <w10:wrap type="none"/>
            </v:shape>
            <w10:wrap type="none"/>
          </v:group>
        </w:pict>
      </w:r>
      <w:r>
        <w:rPr>
          <w:b/>
          <w:w w:val="105"/>
          <w:sz w:val="19"/>
        </w:rPr>
        <w:t>2016/17</w:t>
      </w:r>
    </w:p>
    <w:p>
      <w:pPr>
        <w:spacing w:before="89"/>
        <w:ind w:left="172" w:right="0" w:firstLine="0"/>
        <w:jc w:val="left"/>
        <w:rPr>
          <w:sz w:val="15"/>
        </w:rPr>
      </w:pPr>
      <w:r>
        <w:rPr>
          <w:color w:val="FFFFFF"/>
          <w:w w:val="100"/>
          <w:sz w:val="15"/>
          <w:shd w:fill="4C285B" w:color="auto" w:val="clear"/>
        </w:rPr>
        <w:t> </w:t>
      </w:r>
      <w:r>
        <w:rPr>
          <w:color w:val="FFFFFF"/>
          <w:sz w:val="15"/>
          <w:shd w:fill="4C285B" w:color="auto" w:val="clear"/>
        </w:rPr>
        <w:t> </w:t>
      </w:r>
      <w:r>
        <w:rPr>
          <w:color w:val="FFFFFF"/>
          <w:spacing w:val="-4"/>
          <w:sz w:val="15"/>
          <w:shd w:fill="4C285B" w:color="auto" w:val="clear"/>
        </w:rPr>
        <w:t> </w:t>
      </w:r>
      <w:r>
        <w:rPr>
          <w:color w:val="FFFFFF"/>
          <w:sz w:val="15"/>
          <w:shd w:fill="4C285B" w:color="auto" w:val="clear"/>
        </w:rPr>
        <w:t>ACTUAL</w:t>
      </w:r>
      <w:r>
        <w:rPr>
          <w:color w:val="FFFFFF"/>
          <w:spacing w:val="-14"/>
          <w:sz w:val="15"/>
          <w:shd w:fill="4C285B" w:color="auto" w:val="clear"/>
        </w:rPr>
        <w:t> </w:t>
      </w:r>
    </w:p>
    <w:p>
      <w:pPr>
        <w:spacing w:after="0"/>
        <w:jc w:val="left"/>
        <w:rPr>
          <w:sz w:val="15"/>
        </w:rPr>
        <w:sectPr>
          <w:type w:val="continuous"/>
          <w:pgSz w:w="16840" w:h="11910" w:orient="landscape"/>
          <w:pgMar w:top="0" w:bottom="0" w:left="0" w:right="0"/>
          <w:cols w:num="3" w:equalWidth="0">
            <w:col w:w="5261" w:space="40"/>
            <w:col w:w="9772" w:space="39"/>
            <w:col w:w="1728"/>
          </w:cols>
        </w:sectPr>
      </w:pPr>
    </w:p>
    <w:p>
      <w:pPr>
        <w:pStyle w:val="BodyText"/>
        <w:spacing w:line="249" w:lineRule="auto" w:before="4"/>
        <w:ind w:left="765" w:right="595"/>
      </w:pPr>
      <w:r>
        <w:rPr/>
        <w:t>the</w:t>
      </w:r>
      <w:r>
        <w:rPr>
          <w:spacing w:val="-22"/>
        </w:rPr>
        <w:t> </w:t>
      </w:r>
      <w:r>
        <w:rPr/>
        <w:t>key</w:t>
      </w:r>
      <w:r>
        <w:rPr>
          <w:spacing w:val="-21"/>
        </w:rPr>
        <w:t> </w:t>
      </w:r>
      <w:r>
        <w:rPr/>
        <w:t>elements</w:t>
      </w:r>
      <w:r>
        <w:rPr>
          <w:spacing w:val="-21"/>
        </w:rPr>
        <w:t> </w:t>
      </w:r>
      <w:r>
        <w:rPr/>
        <w:t>in</w:t>
      </w:r>
      <w:r>
        <w:rPr>
          <w:spacing w:val="-21"/>
        </w:rPr>
        <w:t> </w:t>
      </w:r>
      <w:r>
        <w:rPr/>
        <w:t>the</w:t>
      </w:r>
      <w:r>
        <w:rPr>
          <w:spacing w:val="-22"/>
        </w:rPr>
        <w:t> </w:t>
      </w:r>
      <w:r>
        <w:rPr/>
        <w:t>effective</w:t>
      </w:r>
      <w:r>
        <w:rPr>
          <w:spacing w:val="-21"/>
        </w:rPr>
        <w:t> </w:t>
      </w:r>
      <w:r>
        <w:rPr/>
        <w:t>collection</w:t>
      </w:r>
      <w:r>
        <w:rPr>
          <w:spacing w:val="-21"/>
        </w:rPr>
        <w:t> </w:t>
      </w:r>
      <w:r>
        <w:rPr>
          <w:spacing w:val="-9"/>
        </w:rPr>
        <w:t>of </w:t>
      </w:r>
      <w:r>
        <w:rPr/>
        <w:t>revenue.</w:t>
      </w:r>
    </w:p>
    <w:p>
      <w:pPr>
        <w:pStyle w:val="BodyText"/>
        <w:spacing w:before="2"/>
        <w:rPr>
          <w:sz w:val="23"/>
        </w:rPr>
      </w:pPr>
    </w:p>
    <w:p>
      <w:pPr>
        <w:pStyle w:val="BodyText"/>
        <w:spacing w:line="249" w:lineRule="auto"/>
        <w:ind w:left="765" w:right="-6"/>
      </w:pPr>
      <w:r>
        <w:rPr/>
        <w:t>The key effectiveness indicator for grant, subsidy and rebate payments provides an indicator of the accuracy</w:t>
      </w:r>
      <w:r>
        <w:rPr>
          <w:spacing w:val="-22"/>
        </w:rPr>
        <w:t> </w:t>
      </w:r>
      <w:r>
        <w:rPr/>
        <w:t>of</w:t>
      </w:r>
      <w:r>
        <w:rPr>
          <w:spacing w:val="-21"/>
        </w:rPr>
        <w:t> </w:t>
      </w:r>
      <w:r>
        <w:rPr/>
        <w:t>these</w:t>
      </w:r>
      <w:r>
        <w:rPr>
          <w:spacing w:val="-22"/>
        </w:rPr>
        <w:t> </w:t>
      </w:r>
      <w:r>
        <w:rPr/>
        <w:t>government</w:t>
      </w:r>
      <w:r>
        <w:rPr>
          <w:spacing w:val="-21"/>
        </w:rPr>
        <w:t> </w:t>
      </w:r>
      <w:r>
        <w:rPr/>
        <w:t>payments</w:t>
      </w:r>
      <w:r>
        <w:rPr>
          <w:spacing w:val="-21"/>
        </w:rPr>
        <w:t> </w:t>
      </w:r>
      <w:r>
        <w:rPr/>
        <w:t>to</w:t>
      </w:r>
      <w:r>
        <w:rPr>
          <w:spacing w:val="-22"/>
        </w:rPr>
        <w:t> </w:t>
      </w:r>
      <w:r>
        <w:rPr>
          <w:spacing w:val="-3"/>
        </w:rPr>
        <w:t>eligible </w:t>
      </w:r>
      <w:r>
        <w:rPr/>
        <w:t>applicants.</w:t>
      </w:r>
    </w:p>
    <w:p>
      <w:pPr>
        <w:pStyle w:val="BodyText"/>
        <w:spacing w:before="1"/>
        <w:rPr>
          <w:sz w:val="15"/>
        </w:rPr>
      </w:pPr>
      <w:r>
        <w:rPr/>
        <w:br w:type="column"/>
      </w:r>
      <w:r>
        <w:rPr>
          <w:sz w:val="15"/>
        </w:rPr>
      </w:r>
    </w:p>
    <w:p>
      <w:pPr>
        <w:pStyle w:val="ListParagraph"/>
        <w:numPr>
          <w:ilvl w:val="0"/>
          <w:numId w:val="30"/>
        </w:numPr>
        <w:tabs>
          <w:tab w:pos="584" w:val="left" w:leader="none"/>
        </w:tabs>
        <w:spacing w:line="278" w:lineRule="auto" w:before="1" w:after="0"/>
        <w:ind w:left="599" w:right="377" w:hanging="208"/>
        <w:jc w:val="left"/>
        <w:rPr>
          <w:sz w:val="15"/>
        </w:rPr>
      </w:pPr>
      <w:r>
        <w:rPr>
          <w:sz w:val="15"/>
        </w:rPr>
        <w:t>This</w:t>
      </w:r>
      <w:r>
        <w:rPr>
          <w:spacing w:val="-15"/>
          <w:sz w:val="15"/>
        </w:rPr>
        <w:t> </w:t>
      </w:r>
      <w:r>
        <w:rPr>
          <w:sz w:val="15"/>
        </w:rPr>
        <w:t>key</w:t>
      </w:r>
      <w:r>
        <w:rPr>
          <w:spacing w:val="-16"/>
          <w:sz w:val="15"/>
        </w:rPr>
        <w:t> </w:t>
      </w:r>
      <w:r>
        <w:rPr>
          <w:sz w:val="15"/>
        </w:rPr>
        <w:t>performance</w:t>
      </w:r>
      <w:r>
        <w:rPr>
          <w:spacing w:val="-15"/>
          <w:sz w:val="15"/>
        </w:rPr>
        <w:t> </w:t>
      </w:r>
      <w:r>
        <w:rPr>
          <w:sz w:val="15"/>
        </w:rPr>
        <w:t>indicator</w:t>
      </w:r>
      <w:r>
        <w:rPr>
          <w:spacing w:val="-15"/>
          <w:sz w:val="15"/>
        </w:rPr>
        <w:t> </w:t>
      </w:r>
      <w:r>
        <w:rPr>
          <w:sz w:val="15"/>
        </w:rPr>
        <w:t>(KPI)</w:t>
      </w:r>
      <w:r>
        <w:rPr>
          <w:spacing w:val="-15"/>
          <w:sz w:val="15"/>
        </w:rPr>
        <w:t> </w:t>
      </w:r>
      <w:r>
        <w:rPr>
          <w:sz w:val="15"/>
        </w:rPr>
        <w:t>is</w:t>
      </w:r>
      <w:r>
        <w:rPr>
          <w:spacing w:val="-15"/>
          <w:sz w:val="15"/>
        </w:rPr>
        <w:t> </w:t>
      </w:r>
      <w:r>
        <w:rPr>
          <w:sz w:val="15"/>
        </w:rPr>
        <w:t>calculated</w:t>
      </w:r>
      <w:r>
        <w:rPr>
          <w:spacing w:val="-15"/>
          <w:sz w:val="15"/>
        </w:rPr>
        <w:t> </w:t>
      </w:r>
      <w:r>
        <w:rPr>
          <w:sz w:val="15"/>
        </w:rPr>
        <w:t>as</w:t>
      </w:r>
      <w:r>
        <w:rPr>
          <w:spacing w:val="-15"/>
          <w:sz w:val="15"/>
        </w:rPr>
        <w:t> </w:t>
      </w:r>
      <w:r>
        <w:rPr>
          <w:sz w:val="15"/>
        </w:rPr>
        <w:t>an</w:t>
      </w:r>
      <w:r>
        <w:rPr>
          <w:spacing w:val="-15"/>
          <w:sz w:val="15"/>
        </w:rPr>
        <w:t> </w:t>
      </w:r>
      <w:r>
        <w:rPr>
          <w:sz w:val="15"/>
        </w:rPr>
        <w:t>average for</w:t>
      </w:r>
      <w:r>
        <w:rPr>
          <w:spacing w:val="-14"/>
          <w:sz w:val="15"/>
        </w:rPr>
        <w:t> </w:t>
      </w:r>
      <w:r>
        <w:rPr>
          <w:sz w:val="15"/>
        </w:rPr>
        <w:t>land</w:t>
      </w:r>
      <w:r>
        <w:rPr>
          <w:spacing w:val="-13"/>
          <w:sz w:val="15"/>
        </w:rPr>
        <w:t> </w:t>
      </w:r>
      <w:r>
        <w:rPr>
          <w:sz w:val="15"/>
        </w:rPr>
        <w:t>tax,</w:t>
      </w:r>
      <w:r>
        <w:rPr>
          <w:spacing w:val="-13"/>
          <w:sz w:val="15"/>
        </w:rPr>
        <w:t> </w:t>
      </w:r>
      <w:r>
        <w:rPr>
          <w:sz w:val="15"/>
        </w:rPr>
        <w:t>payroll</w:t>
      </w:r>
      <w:r>
        <w:rPr>
          <w:spacing w:val="-14"/>
          <w:sz w:val="15"/>
        </w:rPr>
        <w:t> </w:t>
      </w:r>
      <w:r>
        <w:rPr>
          <w:sz w:val="15"/>
        </w:rPr>
        <w:t>tax</w:t>
      </w:r>
      <w:r>
        <w:rPr>
          <w:spacing w:val="-13"/>
          <w:sz w:val="15"/>
        </w:rPr>
        <w:t> </w:t>
      </w:r>
      <w:r>
        <w:rPr>
          <w:sz w:val="15"/>
        </w:rPr>
        <w:t>and</w:t>
      </w:r>
      <w:r>
        <w:rPr>
          <w:spacing w:val="-13"/>
          <w:sz w:val="15"/>
        </w:rPr>
        <w:t> </w:t>
      </w:r>
      <w:r>
        <w:rPr>
          <w:sz w:val="15"/>
        </w:rPr>
        <w:t>duties</w:t>
      </w:r>
      <w:r>
        <w:rPr>
          <w:spacing w:val="-14"/>
          <w:sz w:val="15"/>
        </w:rPr>
        <w:t> </w:t>
      </w:r>
      <w:r>
        <w:rPr>
          <w:sz w:val="15"/>
        </w:rPr>
        <w:t>assessments.</w:t>
      </w:r>
      <w:r>
        <w:rPr>
          <w:spacing w:val="-13"/>
          <w:sz w:val="15"/>
        </w:rPr>
        <w:t> </w:t>
      </w:r>
      <w:r>
        <w:rPr>
          <w:sz w:val="15"/>
        </w:rPr>
        <w:t>The</w:t>
      </w:r>
      <w:r>
        <w:rPr>
          <w:spacing w:val="-13"/>
          <w:sz w:val="15"/>
        </w:rPr>
        <w:t> </w:t>
      </w:r>
      <w:r>
        <w:rPr>
          <w:sz w:val="15"/>
        </w:rPr>
        <w:t>amounts</w:t>
      </w:r>
      <w:r>
        <w:rPr>
          <w:spacing w:val="-14"/>
          <w:sz w:val="15"/>
        </w:rPr>
        <w:t> </w:t>
      </w:r>
      <w:r>
        <w:rPr>
          <w:spacing w:val="-9"/>
          <w:sz w:val="15"/>
        </w:rPr>
        <w:t>are</w:t>
      </w:r>
    </w:p>
    <w:p>
      <w:pPr>
        <w:spacing w:line="278" w:lineRule="auto" w:before="0"/>
        <w:ind w:left="599" w:right="-5" w:hanging="2"/>
        <w:jc w:val="left"/>
        <w:rPr>
          <w:sz w:val="15"/>
        </w:rPr>
      </w:pPr>
      <w:r>
        <w:rPr>
          <w:sz w:val="15"/>
        </w:rPr>
        <w:t>calculated</w:t>
      </w:r>
      <w:r>
        <w:rPr>
          <w:spacing w:val="-13"/>
          <w:sz w:val="15"/>
        </w:rPr>
        <w:t> </w:t>
      </w:r>
      <w:r>
        <w:rPr>
          <w:sz w:val="15"/>
        </w:rPr>
        <w:t>by</w:t>
      </w:r>
      <w:r>
        <w:rPr>
          <w:spacing w:val="-13"/>
          <w:sz w:val="15"/>
        </w:rPr>
        <w:t> </w:t>
      </w:r>
      <w:r>
        <w:rPr>
          <w:sz w:val="15"/>
        </w:rPr>
        <w:t>subtracting</w:t>
      </w:r>
      <w:r>
        <w:rPr>
          <w:spacing w:val="-13"/>
          <w:sz w:val="15"/>
        </w:rPr>
        <w:t> </w:t>
      </w:r>
      <w:r>
        <w:rPr>
          <w:sz w:val="15"/>
        </w:rPr>
        <w:t>the</w:t>
      </w:r>
      <w:r>
        <w:rPr>
          <w:spacing w:val="-13"/>
          <w:sz w:val="15"/>
        </w:rPr>
        <w:t> </w:t>
      </w:r>
      <w:r>
        <w:rPr>
          <w:sz w:val="15"/>
        </w:rPr>
        <w:t>number</w:t>
      </w:r>
      <w:r>
        <w:rPr>
          <w:spacing w:val="-13"/>
          <w:sz w:val="15"/>
        </w:rPr>
        <w:t> </w:t>
      </w:r>
      <w:r>
        <w:rPr>
          <w:sz w:val="15"/>
        </w:rPr>
        <w:t>of</w:t>
      </w:r>
      <w:r>
        <w:rPr>
          <w:spacing w:val="-13"/>
          <w:sz w:val="15"/>
        </w:rPr>
        <w:t> </w:t>
      </w:r>
      <w:r>
        <w:rPr>
          <w:sz w:val="15"/>
        </w:rPr>
        <w:t>penalties</w:t>
      </w:r>
      <w:r>
        <w:rPr>
          <w:spacing w:val="-12"/>
          <w:sz w:val="15"/>
        </w:rPr>
        <w:t> </w:t>
      </w:r>
      <w:r>
        <w:rPr>
          <w:sz w:val="15"/>
        </w:rPr>
        <w:t>from</w:t>
      </w:r>
      <w:r>
        <w:rPr>
          <w:spacing w:val="-13"/>
          <w:sz w:val="15"/>
        </w:rPr>
        <w:t> </w:t>
      </w:r>
      <w:r>
        <w:rPr>
          <w:sz w:val="15"/>
        </w:rPr>
        <w:t>the</w:t>
      </w:r>
      <w:r>
        <w:rPr>
          <w:spacing w:val="-13"/>
          <w:sz w:val="15"/>
        </w:rPr>
        <w:t> </w:t>
      </w:r>
      <w:r>
        <w:rPr>
          <w:sz w:val="15"/>
        </w:rPr>
        <w:t>total</w:t>
      </w:r>
      <w:r>
        <w:rPr>
          <w:spacing w:val="-13"/>
          <w:sz w:val="15"/>
        </w:rPr>
        <w:t> </w:t>
      </w:r>
      <w:r>
        <w:rPr>
          <w:sz w:val="15"/>
        </w:rPr>
        <w:t>number of</w:t>
      </w:r>
      <w:r>
        <w:rPr>
          <w:spacing w:val="-7"/>
          <w:sz w:val="15"/>
        </w:rPr>
        <w:t> </w:t>
      </w:r>
      <w:r>
        <w:rPr>
          <w:sz w:val="15"/>
        </w:rPr>
        <w:t>assessments</w:t>
      </w:r>
      <w:r>
        <w:rPr>
          <w:spacing w:val="-7"/>
          <w:sz w:val="15"/>
        </w:rPr>
        <w:t> </w:t>
      </w:r>
      <w:r>
        <w:rPr>
          <w:sz w:val="15"/>
        </w:rPr>
        <w:t>(or</w:t>
      </w:r>
      <w:r>
        <w:rPr>
          <w:spacing w:val="-6"/>
          <w:sz w:val="15"/>
        </w:rPr>
        <w:t> </w:t>
      </w:r>
      <w:r>
        <w:rPr>
          <w:sz w:val="15"/>
        </w:rPr>
        <w:t>returns</w:t>
      </w:r>
      <w:r>
        <w:rPr>
          <w:spacing w:val="-7"/>
          <w:sz w:val="15"/>
        </w:rPr>
        <w:t> </w:t>
      </w:r>
      <w:r>
        <w:rPr>
          <w:sz w:val="15"/>
        </w:rPr>
        <w:t>for</w:t>
      </w:r>
      <w:r>
        <w:rPr>
          <w:spacing w:val="-7"/>
          <w:sz w:val="15"/>
        </w:rPr>
        <w:t> </w:t>
      </w:r>
      <w:r>
        <w:rPr>
          <w:sz w:val="15"/>
        </w:rPr>
        <w:t>return-based</w:t>
      </w:r>
      <w:r>
        <w:rPr>
          <w:spacing w:val="-6"/>
          <w:sz w:val="15"/>
        </w:rPr>
        <w:t> </w:t>
      </w:r>
      <w:r>
        <w:rPr>
          <w:sz w:val="15"/>
        </w:rPr>
        <w:t>taxes)</w:t>
      </w:r>
      <w:r>
        <w:rPr>
          <w:spacing w:val="-7"/>
          <w:sz w:val="15"/>
        </w:rPr>
        <w:t> </w:t>
      </w:r>
      <w:r>
        <w:rPr>
          <w:sz w:val="15"/>
        </w:rPr>
        <w:t>and</w:t>
      </w:r>
      <w:r>
        <w:rPr>
          <w:spacing w:val="-7"/>
          <w:sz w:val="15"/>
        </w:rPr>
        <w:t> </w:t>
      </w:r>
      <w:r>
        <w:rPr>
          <w:sz w:val="15"/>
        </w:rPr>
        <w:t>dividing</w:t>
      </w:r>
    </w:p>
    <w:p>
      <w:pPr>
        <w:spacing w:line="278" w:lineRule="auto" w:before="0"/>
        <w:ind w:left="599" w:right="106" w:firstLine="0"/>
        <w:jc w:val="left"/>
        <w:rPr>
          <w:sz w:val="15"/>
        </w:rPr>
      </w:pPr>
      <w:r>
        <w:rPr>
          <w:sz w:val="15"/>
        </w:rPr>
        <w:t>the result by the total number of assessments. The methodology for this calculation has been updated, to ensure the most accurate representation</w:t>
      </w:r>
      <w:r>
        <w:rPr>
          <w:spacing w:val="-14"/>
          <w:sz w:val="15"/>
        </w:rPr>
        <w:t> </w:t>
      </w:r>
      <w:r>
        <w:rPr>
          <w:sz w:val="15"/>
        </w:rPr>
        <w:t>of</w:t>
      </w:r>
      <w:r>
        <w:rPr>
          <w:spacing w:val="-14"/>
          <w:sz w:val="15"/>
        </w:rPr>
        <w:t> </w:t>
      </w:r>
      <w:r>
        <w:rPr>
          <w:sz w:val="15"/>
        </w:rPr>
        <w:t>performance.</w:t>
      </w:r>
      <w:r>
        <w:rPr>
          <w:spacing w:val="-13"/>
          <w:sz w:val="15"/>
        </w:rPr>
        <w:t> </w:t>
      </w:r>
      <w:r>
        <w:rPr>
          <w:sz w:val="15"/>
        </w:rPr>
        <w:t>Revised</w:t>
      </w:r>
      <w:r>
        <w:rPr>
          <w:spacing w:val="-14"/>
          <w:sz w:val="15"/>
        </w:rPr>
        <w:t> </w:t>
      </w:r>
      <w:r>
        <w:rPr>
          <w:sz w:val="15"/>
        </w:rPr>
        <w:t>actuals</w:t>
      </w:r>
      <w:r>
        <w:rPr>
          <w:spacing w:val="-14"/>
          <w:sz w:val="15"/>
        </w:rPr>
        <w:t> </w:t>
      </w:r>
      <w:r>
        <w:rPr>
          <w:sz w:val="15"/>
        </w:rPr>
        <w:t>for</w:t>
      </w:r>
      <w:r>
        <w:rPr>
          <w:spacing w:val="-13"/>
          <w:sz w:val="15"/>
        </w:rPr>
        <w:t> </w:t>
      </w:r>
      <w:r>
        <w:rPr>
          <w:sz w:val="15"/>
        </w:rPr>
        <w:t>2013-14,</w:t>
      </w:r>
      <w:r>
        <w:rPr>
          <w:spacing w:val="-14"/>
          <w:sz w:val="15"/>
        </w:rPr>
        <w:t> </w:t>
      </w:r>
      <w:r>
        <w:rPr>
          <w:spacing w:val="-3"/>
          <w:sz w:val="15"/>
        </w:rPr>
        <w:t>2014-15 </w:t>
      </w:r>
      <w:r>
        <w:rPr>
          <w:sz w:val="15"/>
        </w:rPr>
        <w:t>and 2015-16 and target for 2016-17 are shown</w:t>
      </w:r>
      <w:r>
        <w:rPr>
          <w:spacing w:val="-14"/>
          <w:sz w:val="15"/>
        </w:rPr>
        <w:t> </w:t>
      </w:r>
      <w:r>
        <w:rPr>
          <w:sz w:val="15"/>
        </w:rPr>
        <w:t>above.</w:t>
      </w:r>
    </w:p>
    <w:p>
      <w:pPr>
        <w:pStyle w:val="BodyText"/>
        <w:spacing w:before="1"/>
        <w:rPr>
          <w:sz w:val="15"/>
        </w:rPr>
      </w:pPr>
      <w:r>
        <w:rPr/>
        <w:br w:type="column"/>
      </w:r>
      <w:r>
        <w:rPr>
          <w:sz w:val="15"/>
        </w:rPr>
      </w:r>
    </w:p>
    <w:p>
      <w:pPr>
        <w:pStyle w:val="ListParagraph"/>
        <w:numPr>
          <w:ilvl w:val="0"/>
          <w:numId w:val="30"/>
        </w:numPr>
        <w:tabs>
          <w:tab w:pos="586" w:val="left" w:leader="none"/>
        </w:tabs>
        <w:spacing w:line="278" w:lineRule="auto" w:before="1" w:after="0"/>
        <w:ind w:left="593" w:right="836" w:hanging="208"/>
        <w:jc w:val="left"/>
        <w:rPr>
          <w:sz w:val="15"/>
        </w:rPr>
      </w:pPr>
      <w:r>
        <w:rPr>
          <w:sz w:val="15"/>
        </w:rPr>
        <w:t>The</w:t>
      </w:r>
      <w:r>
        <w:rPr>
          <w:spacing w:val="-12"/>
          <w:sz w:val="15"/>
        </w:rPr>
        <w:t> </w:t>
      </w:r>
      <w:r>
        <w:rPr>
          <w:sz w:val="15"/>
        </w:rPr>
        <w:t>measurement</w:t>
      </w:r>
      <w:r>
        <w:rPr>
          <w:spacing w:val="-11"/>
          <w:sz w:val="15"/>
        </w:rPr>
        <w:t> </w:t>
      </w:r>
      <w:r>
        <w:rPr>
          <w:sz w:val="15"/>
        </w:rPr>
        <w:t>of</w:t>
      </w:r>
      <w:r>
        <w:rPr>
          <w:spacing w:val="-12"/>
          <w:sz w:val="15"/>
        </w:rPr>
        <w:t> </w:t>
      </w:r>
      <w:r>
        <w:rPr>
          <w:sz w:val="15"/>
        </w:rPr>
        <w:t>the</w:t>
      </w:r>
      <w:r>
        <w:rPr>
          <w:spacing w:val="-11"/>
          <w:sz w:val="15"/>
        </w:rPr>
        <w:t> </w:t>
      </w:r>
      <w:r>
        <w:rPr>
          <w:sz w:val="15"/>
        </w:rPr>
        <w:t>extent</w:t>
      </w:r>
      <w:r>
        <w:rPr>
          <w:spacing w:val="-12"/>
          <w:sz w:val="15"/>
        </w:rPr>
        <w:t> </w:t>
      </w:r>
      <w:r>
        <w:rPr>
          <w:sz w:val="15"/>
        </w:rPr>
        <w:t>to</w:t>
      </w:r>
      <w:r>
        <w:rPr>
          <w:spacing w:val="-11"/>
          <w:sz w:val="15"/>
        </w:rPr>
        <w:t> </w:t>
      </w:r>
      <w:r>
        <w:rPr>
          <w:sz w:val="15"/>
        </w:rPr>
        <w:t>which</w:t>
      </w:r>
      <w:r>
        <w:rPr>
          <w:spacing w:val="-12"/>
          <w:sz w:val="15"/>
        </w:rPr>
        <w:t> </w:t>
      </w:r>
      <w:r>
        <w:rPr>
          <w:sz w:val="15"/>
        </w:rPr>
        <w:t>grants,</w:t>
      </w:r>
      <w:r>
        <w:rPr>
          <w:spacing w:val="-11"/>
          <w:sz w:val="15"/>
        </w:rPr>
        <w:t> </w:t>
      </w:r>
      <w:r>
        <w:rPr>
          <w:sz w:val="15"/>
        </w:rPr>
        <w:t>subsidies</w:t>
      </w:r>
      <w:r>
        <w:rPr>
          <w:spacing w:val="-12"/>
          <w:sz w:val="15"/>
        </w:rPr>
        <w:t> </w:t>
      </w:r>
      <w:r>
        <w:rPr>
          <w:sz w:val="15"/>
        </w:rPr>
        <w:t>and</w:t>
      </w:r>
      <w:r>
        <w:rPr>
          <w:spacing w:val="-11"/>
          <w:sz w:val="15"/>
        </w:rPr>
        <w:t> </w:t>
      </w:r>
      <w:r>
        <w:rPr>
          <w:spacing w:val="-4"/>
          <w:sz w:val="15"/>
        </w:rPr>
        <w:t>rebates </w:t>
      </w:r>
      <w:r>
        <w:rPr>
          <w:sz w:val="15"/>
        </w:rPr>
        <w:t>are</w:t>
      </w:r>
      <w:r>
        <w:rPr>
          <w:spacing w:val="-7"/>
          <w:sz w:val="15"/>
        </w:rPr>
        <w:t> </w:t>
      </w:r>
      <w:r>
        <w:rPr>
          <w:sz w:val="15"/>
        </w:rPr>
        <w:t>paid</w:t>
      </w:r>
      <w:r>
        <w:rPr>
          <w:spacing w:val="-6"/>
          <w:sz w:val="15"/>
        </w:rPr>
        <w:t> </w:t>
      </w:r>
      <w:r>
        <w:rPr>
          <w:sz w:val="15"/>
        </w:rPr>
        <w:t>correctly</w:t>
      </w:r>
      <w:r>
        <w:rPr>
          <w:spacing w:val="-6"/>
          <w:sz w:val="15"/>
        </w:rPr>
        <w:t> </w:t>
      </w:r>
      <w:r>
        <w:rPr>
          <w:sz w:val="15"/>
        </w:rPr>
        <w:t>is</w:t>
      </w:r>
      <w:r>
        <w:rPr>
          <w:spacing w:val="-6"/>
          <w:sz w:val="15"/>
        </w:rPr>
        <w:t> </w:t>
      </w:r>
      <w:r>
        <w:rPr>
          <w:sz w:val="15"/>
        </w:rPr>
        <w:t>calculated</w:t>
      </w:r>
      <w:r>
        <w:rPr>
          <w:spacing w:val="-6"/>
          <w:sz w:val="15"/>
        </w:rPr>
        <w:t> </w:t>
      </w:r>
      <w:r>
        <w:rPr>
          <w:sz w:val="15"/>
        </w:rPr>
        <w:t>by</w:t>
      </w:r>
      <w:r>
        <w:rPr>
          <w:spacing w:val="-6"/>
          <w:sz w:val="15"/>
        </w:rPr>
        <w:t> </w:t>
      </w:r>
      <w:r>
        <w:rPr>
          <w:sz w:val="15"/>
        </w:rPr>
        <w:t>totalling</w:t>
      </w:r>
      <w:r>
        <w:rPr>
          <w:spacing w:val="-6"/>
          <w:sz w:val="15"/>
        </w:rPr>
        <w:t> </w:t>
      </w:r>
      <w:r>
        <w:rPr>
          <w:sz w:val="15"/>
        </w:rPr>
        <w:t>the</w:t>
      </w:r>
      <w:r>
        <w:rPr>
          <w:spacing w:val="-6"/>
          <w:sz w:val="15"/>
        </w:rPr>
        <w:t> </w:t>
      </w:r>
      <w:r>
        <w:rPr>
          <w:sz w:val="15"/>
        </w:rPr>
        <w:t>number</w:t>
      </w:r>
      <w:r>
        <w:rPr>
          <w:spacing w:val="-6"/>
          <w:sz w:val="15"/>
        </w:rPr>
        <w:t> </w:t>
      </w:r>
      <w:r>
        <w:rPr>
          <w:sz w:val="15"/>
        </w:rPr>
        <w:t>of</w:t>
      </w:r>
      <w:r>
        <w:rPr>
          <w:spacing w:val="-6"/>
          <w:sz w:val="15"/>
        </w:rPr>
        <w:t> </w:t>
      </w:r>
      <w:r>
        <w:rPr>
          <w:sz w:val="15"/>
        </w:rPr>
        <w:t>claims</w:t>
      </w:r>
    </w:p>
    <w:p>
      <w:pPr>
        <w:spacing w:line="278" w:lineRule="auto" w:before="0"/>
        <w:ind w:left="593" w:right="932" w:firstLine="0"/>
        <w:jc w:val="left"/>
        <w:rPr>
          <w:sz w:val="15"/>
        </w:rPr>
      </w:pPr>
      <w:r>
        <w:rPr>
          <w:sz w:val="15"/>
        </w:rPr>
        <w:t>paid, and subtracting the total number of claims paid incorrectly. This</w:t>
      </w:r>
      <w:r>
        <w:rPr>
          <w:spacing w:val="-11"/>
          <w:sz w:val="15"/>
        </w:rPr>
        <w:t> </w:t>
      </w:r>
      <w:r>
        <w:rPr>
          <w:sz w:val="15"/>
        </w:rPr>
        <w:t>is</w:t>
      </w:r>
      <w:r>
        <w:rPr>
          <w:spacing w:val="-11"/>
          <w:sz w:val="15"/>
        </w:rPr>
        <w:t> </w:t>
      </w:r>
      <w:r>
        <w:rPr>
          <w:sz w:val="15"/>
        </w:rPr>
        <w:t>expressed</w:t>
      </w:r>
      <w:r>
        <w:rPr>
          <w:spacing w:val="-11"/>
          <w:sz w:val="15"/>
        </w:rPr>
        <w:t> </w:t>
      </w:r>
      <w:r>
        <w:rPr>
          <w:sz w:val="15"/>
        </w:rPr>
        <w:t>as</w:t>
      </w:r>
      <w:r>
        <w:rPr>
          <w:spacing w:val="-11"/>
          <w:sz w:val="15"/>
        </w:rPr>
        <w:t> </w:t>
      </w:r>
      <w:r>
        <w:rPr>
          <w:sz w:val="15"/>
        </w:rPr>
        <w:t>a</w:t>
      </w:r>
      <w:r>
        <w:rPr>
          <w:spacing w:val="-11"/>
          <w:sz w:val="15"/>
        </w:rPr>
        <w:t> </w:t>
      </w:r>
      <w:r>
        <w:rPr>
          <w:sz w:val="15"/>
        </w:rPr>
        <w:t>percentage</w:t>
      </w:r>
      <w:r>
        <w:rPr>
          <w:spacing w:val="-11"/>
          <w:sz w:val="15"/>
        </w:rPr>
        <w:t> </w:t>
      </w:r>
      <w:r>
        <w:rPr>
          <w:sz w:val="15"/>
        </w:rPr>
        <w:t>of</w:t>
      </w:r>
      <w:r>
        <w:rPr>
          <w:spacing w:val="-11"/>
          <w:sz w:val="15"/>
        </w:rPr>
        <w:t> </w:t>
      </w:r>
      <w:r>
        <w:rPr>
          <w:sz w:val="15"/>
        </w:rPr>
        <w:t>the</w:t>
      </w:r>
      <w:r>
        <w:rPr>
          <w:spacing w:val="-11"/>
          <w:sz w:val="15"/>
        </w:rPr>
        <w:t> </w:t>
      </w:r>
      <w:r>
        <w:rPr>
          <w:sz w:val="15"/>
        </w:rPr>
        <w:t>total</w:t>
      </w:r>
      <w:r>
        <w:rPr>
          <w:spacing w:val="-11"/>
          <w:sz w:val="15"/>
        </w:rPr>
        <w:t> </w:t>
      </w:r>
      <w:r>
        <w:rPr>
          <w:sz w:val="15"/>
        </w:rPr>
        <w:t>number</w:t>
      </w:r>
      <w:r>
        <w:rPr>
          <w:spacing w:val="-11"/>
          <w:sz w:val="15"/>
        </w:rPr>
        <w:t> </w:t>
      </w:r>
      <w:r>
        <w:rPr>
          <w:sz w:val="15"/>
        </w:rPr>
        <w:t>of</w:t>
      </w:r>
      <w:r>
        <w:rPr>
          <w:spacing w:val="-11"/>
          <w:sz w:val="15"/>
        </w:rPr>
        <w:t> </w:t>
      </w:r>
      <w:r>
        <w:rPr>
          <w:sz w:val="15"/>
        </w:rPr>
        <w:t>claims</w:t>
      </w:r>
      <w:r>
        <w:rPr>
          <w:spacing w:val="-11"/>
          <w:sz w:val="15"/>
        </w:rPr>
        <w:t> </w:t>
      </w:r>
      <w:r>
        <w:rPr>
          <w:spacing w:val="-4"/>
          <w:sz w:val="15"/>
        </w:rPr>
        <w:t>paid. </w:t>
      </w:r>
      <w:r>
        <w:rPr>
          <w:sz w:val="15"/>
        </w:rPr>
        <w:t>The payments are for First Home Owner Grant, Pensioners and Seniors</w:t>
      </w:r>
      <w:r>
        <w:rPr>
          <w:spacing w:val="-12"/>
          <w:sz w:val="15"/>
        </w:rPr>
        <w:t> </w:t>
      </w:r>
      <w:r>
        <w:rPr>
          <w:sz w:val="15"/>
        </w:rPr>
        <w:t>Rebates,</w:t>
      </w:r>
      <w:r>
        <w:rPr>
          <w:spacing w:val="-11"/>
          <w:sz w:val="15"/>
        </w:rPr>
        <w:t> </w:t>
      </w:r>
      <w:r>
        <w:rPr>
          <w:sz w:val="15"/>
        </w:rPr>
        <w:t>the</w:t>
      </w:r>
      <w:r>
        <w:rPr>
          <w:spacing w:val="-11"/>
          <w:sz w:val="15"/>
        </w:rPr>
        <w:t> </w:t>
      </w:r>
      <w:r>
        <w:rPr>
          <w:sz w:val="15"/>
        </w:rPr>
        <w:t>Life</w:t>
      </w:r>
      <w:r>
        <w:rPr>
          <w:spacing w:val="-11"/>
          <w:sz w:val="15"/>
        </w:rPr>
        <w:t> </w:t>
      </w:r>
      <w:r>
        <w:rPr>
          <w:sz w:val="15"/>
        </w:rPr>
        <w:t>Support</w:t>
      </w:r>
      <w:r>
        <w:rPr>
          <w:spacing w:val="-11"/>
          <w:sz w:val="15"/>
        </w:rPr>
        <w:t> </w:t>
      </w:r>
      <w:r>
        <w:rPr>
          <w:sz w:val="15"/>
        </w:rPr>
        <w:t>Equipment</w:t>
      </w:r>
      <w:r>
        <w:rPr>
          <w:spacing w:val="-11"/>
          <w:sz w:val="15"/>
        </w:rPr>
        <w:t> </w:t>
      </w:r>
      <w:r>
        <w:rPr>
          <w:sz w:val="15"/>
        </w:rPr>
        <w:t>Electricity</w:t>
      </w:r>
      <w:r>
        <w:rPr>
          <w:spacing w:val="-12"/>
          <w:sz w:val="15"/>
        </w:rPr>
        <w:t> </w:t>
      </w:r>
      <w:r>
        <w:rPr>
          <w:sz w:val="15"/>
        </w:rPr>
        <w:t>Subsidy,</w:t>
      </w:r>
    </w:p>
    <w:p>
      <w:pPr>
        <w:spacing w:line="278" w:lineRule="auto" w:before="0"/>
        <w:ind w:left="593" w:right="1118" w:firstLine="0"/>
        <w:jc w:val="left"/>
        <w:rPr>
          <w:sz w:val="15"/>
        </w:rPr>
      </w:pPr>
      <w:r>
        <w:rPr>
          <w:sz w:val="15"/>
        </w:rPr>
        <w:t>the</w:t>
      </w:r>
      <w:r>
        <w:rPr>
          <w:spacing w:val="-22"/>
          <w:sz w:val="15"/>
        </w:rPr>
        <w:t> </w:t>
      </w:r>
      <w:r>
        <w:rPr>
          <w:sz w:val="15"/>
        </w:rPr>
        <w:t>Thermoregulatory</w:t>
      </w:r>
      <w:r>
        <w:rPr>
          <w:spacing w:val="-22"/>
          <w:sz w:val="15"/>
        </w:rPr>
        <w:t> </w:t>
      </w:r>
      <w:r>
        <w:rPr>
          <w:sz w:val="15"/>
        </w:rPr>
        <w:t>Dysfunction</w:t>
      </w:r>
      <w:r>
        <w:rPr>
          <w:spacing w:val="-22"/>
          <w:sz w:val="15"/>
        </w:rPr>
        <w:t> </w:t>
      </w:r>
      <w:r>
        <w:rPr>
          <w:sz w:val="15"/>
        </w:rPr>
        <w:t>Energy</w:t>
      </w:r>
      <w:r>
        <w:rPr>
          <w:spacing w:val="-22"/>
          <w:sz w:val="15"/>
        </w:rPr>
        <w:t> </w:t>
      </w:r>
      <w:r>
        <w:rPr>
          <w:sz w:val="15"/>
        </w:rPr>
        <w:t>Subsidy</w:t>
      </w:r>
      <w:r>
        <w:rPr>
          <w:spacing w:val="-22"/>
          <w:sz w:val="15"/>
        </w:rPr>
        <w:t> </w:t>
      </w:r>
      <w:r>
        <w:rPr>
          <w:sz w:val="15"/>
        </w:rPr>
        <w:t>and</w:t>
      </w:r>
      <w:r>
        <w:rPr>
          <w:spacing w:val="-22"/>
          <w:sz w:val="15"/>
        </w:rPr>
        <w:t> </w:t>
      </w:r>
      <w:r>
        <w:rPr>
          <w:sz w:val="15"/>
        </w:rPr>
        <w:t>the</w:t>
      </w:r>
      <w:r>
        <w:rPr>
          <w:spacing w:val="-21"/>
          <w:sz w:val="15"/>
        </w:rPr>
        <w:t> </w:t>
      </w:r>
      <w:r>
        <w:rPr>
          <w:spacing w:val="-3"/>
          <w:sz w:val="15"/>
        </w:rPr>
        <w:t>Energy </w:t>
      </w:r>
      <w:r>
        <w:rPr>
          <w:sz w:val="15"/>
        </w:rPr>
        <w:t>Concession Extension</w:t>
      </w:r>
      <w:r>
        <w:rPr>
          <w:spacing w:val="-3"/>
          <w:sz w:val="15"/>
        </w:rPr>
        <w:t> </w:t>
      </w:r>
      <w:r>
        <w:rPr>
          <w:sz w:val="15"/>
        </w:rPr>
        <w:t>Scheme.</w:t>
      </w:r>
    </w:p>
    <w:p>
      <w:pPr>
        <w:spacing w:after="0" w:line="278" w:lineRule="auto"/>
        <w:jc w:val="left"/>
        <w:rPr>
          <w:sz w:val="15"/>
        </w:rPr>
        <w:sectPr>
          <w:type w:val="continuous"/>
          <w:pgSz w:w="16840" w:h="11910" w:orient="landscape"/>
          <w:pgMar w:top="0" w:bottom="0" w:left="0" w:right="0"/>
          <w:cols w:num="3" w:equalWidth="0">
            <w:col w:w="5579" w:space="40"/>
            <w:col w:w="5211" w:space="39"/>
            <w:col w:w="5971"/>
          </w:cols>
        </w:sectPr>
      </w:pPr>
    </w:p>
    <w:p>
      <w:pPr>
        <w:tabs>
          <w:tab w:pos="7211" w:val="left" w:leader="none"/>
          <w:tab w:pos="14432" w:val="left" w:leader="none"/>
        </w:tabs>
        <w:spacing w:line="240" w:lineRule="auto"/>
        <w:ind w:left="-10" w:right="-44" w:firstLine="0"/>
        <w:rPr>
          <w:sz w:val="20"/>
        </w:rPr>
      </w:pPr>
      <w:bookmarkStart w:name="_bookmark61" w:id="63"/>
      <w:bookmarkEnd w:id="63"/>
      <w:r>
        <w:rPr/>
      </w:r>
      <w:r>
        <w:rPr>
          <w:sz w:val="20"/>
        </w:rPr>
        <w:pict>
          <v:group style="width:240.15pt;height:56.95pt;mso-position-horizontal-relative:char;mso-position-vertical-relative:line" coordorigin="0,0" coordsize="4803,1139">
            <v:shape style="position:absolute;left:0;top:181;width:11;height:10" coordorigin="0,181" coordsize="11,10" path="m7,181l0,186,0,191,11,185,7,181xe" filled="true" fillcolor="#cdcccd" stroked="false">
              <v:path arrowok="t"/>
              <v:fill type="solid"/>
            </v:shape>
            <v:shape style="position:absolute;left:0;top:231;width:362;height:513" type="#_x0000_t75" stroked="false">
              <v:imagedata r:id="rId27" o:title=""/>
            </v:shape>
            <v:shape style="position:absolute;left:0;top:581;width:412;height:242" coordorigin="0,582" coordsize="412,242" path="m408,582l0,817,0,823,411,585,408,582xe" filled="true" fillcolor="#cdcccd" stroked="false">
              <v:path arrowok="t"/>
              <v:fill type="solid"/>
            </v:shape>
            <v:shape style="position:absolute;left:0;top:631;width:462;height:270" coordorigin="0,632" coordsize="462,270" path="m458,632l0,896,0,902,461,635,458,632xe" filled="true" fillcolor="#cdcccd" stroked="false">
              <v:path arrowok="t"/>
              <v:fill type="solid"/>
            </v:shape>
            <v:shape style="position:absolute;left:0;top:701;width:475;height:280" coordorigin="0,701" coordsize="475,280" path="m474,701l0,975,0,981,461,715,474,701xe" filled="true" fillcolor="#cdcccd" stroked="false">
              <v:path arrowok="t"/>
              <v:fill type="solid"/>
            </v:shape>
            <v:shape style="position:absolute;left:0;top:887;width:288;height:251" type="#_x0000_t75" stroked="false">
              <v:imagedata r:id="rId28" o:title=""/>
            </v:shape>
            <v:rect style="position:absolute;left:0;top:0;width:2406;height:851" filled="true" fillcolor="#aebd37" stroked="false">
              <v:fill type="solid"/>
            </v:rect>
            <v:shape style="position:absolute;left:2405;top:0;width:2398;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0;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group>
        </w:pict>
      </w:r>
      <w:r>
        <w:rPr>
          <w:sz w:val="20"/>
        </w:rPr>
      </w:r>
      <w:r>
        <w:rPr>
          <w:sz w:val="20"/>
        </w:rPr>
        <w:tab/>
      </w:r>
      <w:r>
        <w:rPr>
          <w:position w:val="30"/>
          <w:sz w:val="20"/>
        </w:rPr>
        <w:pict>
          <v:shape style="width:120.55pt;height:42.55pt;mso-position-horizontal-relative:char;mso-position-vertical-relative:line" type="#_x0000_t202" filled="false" stroked="false">
            <w10:anchorlock/>
            <v:textbox inset="0,0,0,0">
              <w:txbxContent>
                <w:p>
                  <w:pPr>
                    <w:spacing w:line="249" w:lineRule="auto" w:before="182"/>
                    <w:ind w:left="592"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shape>
        </w:pict>
      </w:r>
      <w:r>
        <w:rPr>
          <w:position w:val="30"/>
          <w:sz w:val="20"/>
        </w:rPr>
      </w:r>
      <w:r>
        <w:rPr>
          <w:position w:val="30"/>
          <w:sz w:val="20"/>
        </w:rPr>
        <w:tab/>
      </w:r>
      <w:r>
        <w:rPr>
          <w:position w:val="30"/>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shape>
        </w:pict>
      </w:r>
      <w:r>
        <w:rPr>
          <w:position w:val="30"/>
          <w:sz w:val="20"/>
        </w:rPr>
      </w:r>
    </w:p>
    <w:p>
      <w:pPr>
        <w:pStyle w:val="BodyText"/>
        <w:spacing w:before="1"/>
        <w:rPr>
          <w:sz w:val="6"/>
        </w:rPr>
      </w:pPr>
    </w:p>
    <w:p>
      <w:pPr>
        <w:spacing w:after="0"/>
        <w:rPr>
          <w:sz w:val="6"/>
        </w:rPr>
        <w:sectPr>
          <w:footerReference w:type="default" r:id="rId253"/>
          <w:pgSz w:w="16840" w:h="11910" w:orient="landscape"/>
          <w:pgMar w:footer="448" w:header="0" w:top="0" w:bottom="640" w:left="0" w:right="0"/>
        </w:sectPr>
      </w:pPr>
    </w:p>
    <w:p>
      <w:pPr>
        <w:pStyle w:val="Heading1"/>
        <w:spacing w:before="184"/>
        <w:ind w:left="755"/>
      </w:pPr>
      <w:r>
        <w:rPr/>
        <w:pict>
          <v:shape style="position:absolute;margin-left:601.348999pt;margin-top:-62.774212pt;width:120.3pt;height:42.55pt;mso-position-horizontal-relative:page;mso-position-vertical-relative:paragraph;z-index:30544"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w:pict>
      </w:r>
      <w:r>
        <w:rPr/>
        <w:pict>
          <v:shape style="position:absolute;margin-left:481.079712pt;margin-top:-62.774212pt;width:120.3pt;height:42.55pt;mso-position-horizontal-relative:page;mso-position-vertical-relative:paragraph;z-index:30568" type="#_x0000_t202" filled="false" stroked="false">
            <v:textbox inset="0,0,0,0">
              <w:txbxContent>
                <w:p>
                  <w:pPr>
                    <w:spacing w:line="249" w:lineRule="auto" w:before="182"/>
                    <w:ind w:left="633" w:right="0" w:hanging="291"/>
                    <w:jc w:val="left"/>
                    <w:rPr>
                      <w:sz w:val="20"/>
                    </w:rPr>
                  </w:pPr>
                  <w:hyperlink w:history="true" w:anchor="_bookmark58">
                    <w:r>
                      <w:rPr>
                        <w:color w:val="6F2770"/>
                        <w:w w:val="95"/>
                        <w:sz w:val="20"/>
                      </w:rPr>
                      <w:t>KEY </w:t>
                    </w:r>
                  </w:hyperlink>
                  <w:hyperlink w:history="true" w:anchor="_bookmark58">
                    <w:r>
                      <w:rPr>
                        <w:color w:val="6F2770"/>
                        <w:w w:val="95"/>
                        <w:sz w:val="20"/>
                      </w:rPr>
                      <w:t>PERFORMANCE </w:t>
                    </w:r>
                    <w:r>
                      <w:rPr>
                        <w:color w:val="6F2770"/>
                        <w:sz w:val="20"/>
                      </w:rPr>
                      <w:t>INDICATORS</w:t>
                    </w:r>
                  </w:hyperlink>
                </w:p>
              </w:txbxContent>
            </v:textbox>
            <w10:wrap type="none"/>
          </v:shape>
        </w:pict>
      </w:r>
      <w:r>
        <w:rPr/>
        <w:pict>
          <v:shape style="position:absolute;margin-left:240.123001pt;margin-top:-62.774212pt;width:120.45pt;height:42.55pt;mso-position-horizontal-relative:page;mso-position-vertical-relative:paragraph;z-index:30592"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w:pict>
      </w:r>
      <w:r>
        <w:rPr>
          <w:color w:val="6F2770"/>
          <w:w w:val="95"/>
        </w:rPr>
        <w:t>Key</w:t>
      </w:r>
      <w:r>
        <w:rPr>
          <w:color w:val="6F2770"/>
          <w:spacing w:val="-114"/>
          <w:w w:val="95"/>
        </w:rPr>
        <w:t> </w:t>
      </w:r>
      <w:r>
        <w:rPr>
          <w:color w:val="6F2770"/>
          <w:w w:val="95"/>
        </w:rPr>
        <w:t>Efficiency</w:t>
      </w:r>
      <w:r>
        <w:rPr>
          <w:color w:val="6F2770"/>
          <w:spacing w:val="-114"/>
          <w:w w:val="95"/>
        </w:rPr>
        <w:t> </w:t>
      </w:r>
      <w:r>
        <w:rPr>
          <w:color w:val="6F2770"/>
          <w:w w:val="95"/>
        </w:rPr>
        <w:t>Indicators</w:t>
      </w:r>
    </w:p>
    <w:p>
      <w:pPr>
        <w:pStyle w:val="Heading4"/>
        <w:spacing w:before="109"/>
        <w:ind w:left="755"/>
      </w:pPr>
      <w:r>
        <w:rPr>
          <w:color w:val="A7BE39"/>
        </w:rPr>
        <w:t>State Revenue</w:t>
      </w:r>
    </w:p>
    <w:p>
      <w:pPr>
        <w:spacing w:line="208" w:lineRule="auto" w:before="116"/>
        <w:ind w:left="755" w:right="672" w:firstLine="0"/>
        <w:jc w:val="center"/>
        <w:rPr>
          <w:sz w:val="16"/>
        </w:rPr>
      </w:pPr>
      <w:r>
        <w:rPr/>
        <w:br w:type="column"/>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2" w:equalWidth="0">
            <w:col w:w="7994" w:space="6836"/>
            <w:col w:w="2010"/>
          </w:cols>
        </w:sectPr>
      </w:pPr>
    </w:p>
    <w:p>
      <w:pPr>
        <w:pStyle w:val="BodyText"/>
        <w:spacing w:before="1"/>
        <w:rPr>
          <w:sz w:val="12"/>
        </w:rPr>
      </w:pPr>
    </w:p>
    <w:p>
      <w:pPr>
        <w:spacing w:after="0"/>
        <w:rPr>
          <w:sz w:val="12"/>
        </w:rPr>
        <w:sectPr>
          <w:type w:val="continuous"/>
          <w:pgSz w:w="16840" w:h="11910" w:orient="landscape"/>
          <w:pgMar w:top="0" w:bottom="0" w:left="0" w:right="0"/>
        </w:sectPr>
      </w:pPr>
    </w:p>
    <w:p>
      <w:pPr>
        <w:pStyle w:val="Heading6"/>
        <w:spacing w:line="249" w:lineRule="auto" w:before="108"/>
        <w:ind w:left="755" w:right="985"/>
        <w:jc w:val="both"/>
      </w:pPr>
      <w:r>
        <w:rPr/>
        <w:pict>
          <v:group style="position:absolute;margin-left:360.569702pt;margin-top:-146.490723pt;width:481.35pt;height:108.95pt;mso-position-horizontal-relative:page;mso-position-vertical-relative:paragraph;z-index:-783160" coordorigin="7211,-2930" coordsize="9627,2179">
            <v:shape style="position:absolute;left:15424;top:-1855;width:900;height:904" coordorigin="15424,-1854" coordsize="900,904" path="m15874,-1854l15424,-1404,15424,-1401,15874,-951,16324,-1401,16324,-1404,15874,-1854xe" filled="true" fillcolor="#c4cd71" stroked="false">
              <v:path arrowok="t"/>
              <v:fill type="solid"/>
            </v:shape>
            <v:shape style="position:absolute;left:8409;top:-2930;width:1455;height:1745" coordorigin="8409,-2930" coordsize="1455,1745" path="m9209,-2930l9184,-2930,8925,-2780,8891,-2746,9209,-2930m9346,-2930l9321,-2930,8738,-2594,8704,-2559,9346,-2930m9482,-2930l9457,-2930,8552,-2407,8517,-2373,9482,-2930m9619,-2930l9594,-2930,8409,-2246,8418,-2237,9619,-2930m9756,-2930l9731,-2930,8459,-2196,8468,-2187,9756,-2930m9864,-1428l9460,-1195,9469,-1186,9864,-1414,9864,-1428m9864,-1507l9410,-1245,9419,-1236,9864,-1493,9864,-1507m9864,-1586l9360,-1295,9369,-1286,9864,-1572,9864,-1586m9864,-1665l9310,-1345,9319,-1336,9864,-1651,9864,-1665m9864,-1744l9260,-1395,9269,-1386,9864,-1729,9864,-1744m9864,-1823l9210,-1445,9219,-1436,9864,-1808,9864,-1823m9864,-1902l9160,-1495,9169,-1486,9864,-1887,9864,-1902m9864,-1981l9110,-1545,9119,-1536,9864,-1966,9864,-1981m9864,-2060l9060,-1595,9069,-1586,9864,-2045,9864,-2060m9864,-2139l9010,-1645,9019,-1636,9864,-2124,9864,-2139m9864,-2217l8960,-1695,8969,-1686,9864,-2203,9864,-2217m9864,-2296l8910,-1745,8919,-1736,9864,-2282,9864,-2296m9864,-2375l8860,-1795,8869,-1786,9864,-2361,9864,-2375m9864,-2454l8809,-1845,8819,-1836,9864,-2440,9864,-2454m9864,-2533l8759,-1895,8769,-1886,9864,-2519,9864,-2533m9864,-2612l8709,-1946,8719,-1936,9864,-2598,9864,-2612m9864,-2691l8659,-1996,8669,-1986,9864,-2677,9864,-2691m9864,-2770l8609,-2046,8618,-2036,9864,-2756,9864,-2770m9864,-2849l8559,-2096,8568,-2086,9864,-2834,9864,-2849m9864,-2928l8509,-2146,8518,-2137,9864,-2913,9864,-2928e" filled="true" fillcolor="#cdcccd" stroked="false">
              <v:path arrowok="t"/>
              <v:fill type="solid"/>
            </v:shape>
            <v:shape style="position:absolute;left:9510;top:-1350;width:355;height:514" type="#_x0000_t75" stroked="false">
              <v:imagedata r:id="rId254" o:title=""/>
            </v:shape>
            <v:shape style="position:absolute;left:9864;top:-2930;width:338;height:196" type="#_x0000_t75" stroked="false">
              <v:imagedata r:id="rId251" o:title=""/>
            </v:shape>
            <v:shape style="position:absolute;left:9864;top:-2930;width:1438;height:1932" coordorigin="9864,-2930" coordsize="1438,1932" path="m10339,-2930l10329,-2930,9864,-2662,9864,-2656,10339,-2930m10368,-1295l9864,-1004,9864,-998,10355,-1281,10368,-1295m10476,-2930l10466,-2930,9864,-2583,9864,-2577,10476,-2930m10555,-1482l9864,-1083,9864,-1077,10541,-1468,10555,-1482m10612,-2930l10602,-2930,9864,-2504,9864,-2498,10612,-2930m10689,-2895l10685,-2899,9864,-2425,9864,-2419,10689,-2895m10739,-2845l10735,-2849,9864,-2346,9864,-2340,10739,-2845m10742,-1669l9864,-1162,9864,-1156,10728,-1655,10742,-1669m10789,-2795l10785,-2799,9864,-2267,9864,-2261,10789,-2795m10839,-2745l10835,-2748,9864,-2188,9864,-2182,10839,-2745m10889,-2695l10885,-2698,9864,-2109,9864,-2103,10889,-2695m10929,-1855l9864,-1241,9864,-1235,10915,-1842,10929,-1855m10939,-2645l10935,-2648,9864,-2030,9864,-2024,10939,-2645m10989,-2595l10985,-2598,9864,-1951,9864,-1945,10989,-2595m11039,-2545l11035,-2548,9864,-1872,9864,-1866,11039,-2545m11089,-2495l11085,-2498,9864,-1793,9864,-1787,11089,-2495m11115,-2042l9864,-1320,9864,-1314,11102,-2028,11115,-2042m11139,-2445l11135,-2448,9864,-1714,9864,-1709,11139,-2445m11189,-2395l11185,-2398,9864,-1635,9864,-1630,11189,-2395m11239,-2344l11235,-2348,9864,-1556,9864,-1551,11239,-2344m11289,-2294l11285,-2298,9864,-1478,9864,-1472,11289,-2294m11302,-2229l9864,-1399,9864,-1393,11288,-2215,11302,-2229e" filled="true" fillcolor="#cdcccd" stroked="false">
              <v:path arrowok="t"/>
              <v:fill type="solid"/>
            </v:shape>
            <v:shape style="position:absolute;left:9864;top:-1109;width:318;height:269" type="#_x0000_t75" stroked="false">
              <v:imagedata r:id="rId255" o:title=""/>
            </v:shape>
            <v:rect style="position:absolute;left:7211;top:-2930;width:2411;height:851" filled="true" fillcolor="#c4cd71" stroked="false">
              <v:fill type="solid"/>
            </v:rect>
            <v:shape style="position:absolute;left:13215;top:-2106;width:904;height:904" coordorigin="13215,-2106" coordsize="904,904" path="m13667,-2106l13215,-1654,13667,-1203,14118,-1654,13667,-2106xe" filled="true" fillcolor="#e8e9c9" stroked="false">
              <v:path arrowok="t"/>
              <v:fill type="solid"/>
            </v:shape>
            <v:shape style="position:absolute;left:12763;top:-1655;width:904;height:904" coordorigin="12764,-1654" coordsize="904,904" path="m13215,-1654l12764,-1203,13215,-751,13667,-1203,13215,-1654xe" filled="true" fillcolor="#d5dac6" stroked="false">
              <v:path arrowok="t"/>
              <v:fill type="solid"/>
            </v:shape>
            <v:shape style="position:absolute;left:11860;top:-2558;width:2710;height:904" coordorigin="11860,-2557" coordsize="2710,904" path="m12764,-2106l12312,-2557,11860,-2106,12312,-1654,12764,-2106m14570,-2106l14118,-2557,13667,-2106,14118,-1654,14570,-2106e" filled="true" fillcolor="#efeeeb" stroked="false">
              <v:path arrowok="t"/>
              <v:fill type="solid"/>
            </v:shape>
            <v:shape style="position:absolute;left:12763;top:-2558;width:904;height:904" coordorigin="12764,-2557" coordsize="904,904" path="m13215,-2557l12764,-2106,13215,-1654,13667,-2106,13215,-2557xe" filled="true" fillcolor="#c0aac2" stroked="false">
              <v:path arrowok="t"/>
              <v:fill type="solid"/>
            </v:shape>
            <v:rect style="position:absolute;left:9621;top:-2930;width:2406;height:851" filled="true" fillcolor="#e6e7e8" stroked="false">
              <v:fill type="solid"/>
            </v:rect>
            <v:shape style="position:absolute;left:9621;top:-2930;width:583;height:583" type="#_x0000_t75" stroked="false">
              <v:imagedata r:id="rId247" o:title=""/>
            </v:shape>
            <v:rect style="position:absolute;left:12026;top:-2930;width:2406;height:851" filled="true" fillcolor="#b6c247" stroked="false">
              <v:fill type="solid"/>
            </v:rect>
            <v:rect style="position:absolute;left:14432;top:-2930;width:2406;height:851" filled="true" fillcolor="#aebd37" stroked="false">
              <v:fill type="solid"/>
            </v:rect>
            <v:shape style="position:absolute;left:15263;top:-1564;width:161;height:322" type="#_x0000_t75" stroked="false">
              <v:imagedata r:id="rId16" o:title=""/>
            </v:shape>
            <v:shape style="position:absolute;left:16324;top:-1564;width:161;height:322" type="#_x0000_t75" stroked="false">
              <v:imagedata r:id="rId11" o:title=""/>
            </v:shape>
            <w10:wrap type="none"/>
          </v:group>
        </w:pict>
      </w:r>
      <w:r>
        <w:rPr/>
        <w:t>Service 1: Revenue assessment</w:t>
      </w:r>
      <w:r>
        <w:rPr>
          <w:spacing w:val="-21"/>
        </w:rPr>
        <w:t> </w:t>
      </w:r>
      <w:r>
        <w:rPr/>
        <w:t>and collection, and grants and</w:t>
      </w:r>
      <w:r>
        <w:rPr>
          <w:spacing w:val="-37"/>
        </w:rPr>
        <w:t> </w:t>
      </w:r>
      <w:r>
        <w:rPr/>
        <w:t>subsidies administration</w:t>
      </w:r>
    </w:p>
    <w:p>
      <w:pPr>
        <w:pStyle w:val="BodyText"/>
        <w:spacing w:before="2"/>
        <w:rPr>
          <w:b/>
          <w:sz w:val="23"/>
        </w:rPr>
      </w:pPr>
    </w:p>
    <w:p>
      <w:pPr>
        <w:pStyle w:val="BodyText"/>
        <w:spacing w:line="249" w:lineRule="auto"/>
        <w:ind w:left="755" w:right="205"/>
      </w:pPr>
      <w:r>
        <w:rPr/>
        <w:t>This service involves the assessment and collection</w:t>
      </w:r>
      <w:r>
        <w:rPr>
          <w:spacing w:val="-18"/>
        </w:rPr>
        <w:t> </w:t>
      </w:r>
      <w:r>
        <w:rPr/>
        <w:t>of</w:t>
      </w:r>
      <w:r>
        <w:rPr>
          <w:spacing w:val="-18"/>
        </w:rPr>
        <w:t> </w:t>
      </w:r>
      <w:r>
        <w:rPr/>
        <w:t>a</w:t>
      </w:r>
      <w:r>
        <w:rPr>
          <w:spacing w:val="-17"/>
        </w:rPr>
        <w:t> </w:t>
      </w:r>
      <w:r>
        <w:rPr/>
        <w:t>range</w:t>
      </w:r>
      <w:r>
        <w:rPr>
          <w:spacing w:val="-18"/>
        </w:rPr>
        <w:t> </w:t>
      </w:r>
      <w:r>
        <w:rPr/>
        <w:t>of</w:t>
      </w:r>
      <w:r>
        <w:rPr>
          <w:spacing w:val="-18"/>
        </w:rPr>
        <w:t> </w:t>
      </w:r>
      <w:r>
        <w:rPr/>
        <w:t>statutory</w:t>
      </w:r>
      <w:r>
        <w:rPr>
          <w:spacing w:val="-17"/>
        </w:rPr>
        <w:t> </w:t>
      </w:r>
      <w:r>
        <w:rPr/>
        <w:t>based</w:t>
      </w:r>
      <w:r>
        <w:rPr>
          <w:spacing w:val="-18"/>
        </w:rPr>
        <w:t> </w:t>
      </w:r>
      <w:r>
        <w:rPr>
          <w:spacing w:val="-4"/>
        </w:rPr>
        <w:t>revenue, </w:t>
      </w:r>
      <w:r>
        <w:rPr/>
        <w:t>including duties, land tax and payroll tax, and those that are collected on behalf of other agencies (e.g. Perth Parking Licence fees on behalf of Department of </w:t>
      </w:r>
      <w:r>
        <w:rPr>
          <w:spacing w:val="-3"/>
        </w:rPr>
        <w:t>Transport) </w:t>
      </w:r>
      <w:r>
        <w:rPr/>
        <w:t>or other jurisdictions (e.g. collection of a range of taxes for the Commonwealth in the Indian Ocean Territories).</w:t>
      </w:r>
      <w:r>
        <w:rPr>
          <w:spacing w:val="-36"/>
        </w:rPr>
        <w:t> </w:t>
      </w:r>
      <w:r>
        <w:rPr/>
        <w:t>State</w:t>
      </w:r>
      <w:r>
        <w:rPr>
          <w:spacing w:val="-36"/>
        </w:rPr>
        <w:t> </w:t>
      </w:r>
      <w:r>
        <w:rPr/>
        <w:t>Revenue</w:t>
      </w:r>
      <w:r>
        <w:rPr>
          <w:spacing w:val="-36"/>
        </w:rPr>
        <w:t> </w:t>
      </w:r>
      <w:r>
        <w:rPr/>
        <w:t>is</w:t>
      </w:r>
      <w:r>
        <w:rPr>
          <w:spacing w:val="-35"/>
        </w:rPr>
        <w:t> </w:t>
      </w:r>
      <w:r>
        <w:rPr/>
        <w:t>also</w:t>
      </w:r>
      <w:r>
        <w:rPr>
          <w:spacing w:val="-36"/>
        </w:rPr>
        <w:t> </w:t>
      </w:r>
      <w:r>
        <w:rPr/>
        <w:t>involved</w:t>
      </w:r>
      <w:r>
        <w:rPr>
          <w:spacing w:val="-36"/>
        </w:rPr>
        <w:t> </w:t>
      </w:r>
      <w:r>
        <w:rPr/>
        <w:t>in</w:t>
      </w:r>
      <w:r>
        <w:rPr>
          <w:spacing w:val="-36"/>
        </w:rPr>
        <w:t> </w:t>
      </w:r>
      <w:r>
        <w:rPr/>
        <w:t>the</w:t>
      </w:r>
    </w:p>
    <w:p>
      <w:pPr>
        <w:pStyle w:val="BodyText"/>
        <w:spacing w:line="181" w:lineRule="exact" w:before="8"/>
        <w:ind w:left="755"/>
      </w:pPr>
      <w:r>
        <w:rPr/>
        <w:pict>
          <v:group style="position:absolute;margin-left:501.230804pt;margin-top:-137.335129pt;width:40.2pt;height:146pt;mso-position-horizontal-relative:page;mso-position-vertical-relative:paragraph;z-index:30520" coordorigin="10025,-2747" coordsize="804,2920">
            <v:shape style="position:absolute;left:10426;top:-2318;width:392;height:2481" coordorigin="10427,-2318" coordsize="392,2481" path="m10818,-2318l10427,-1926,10427,163,10818,163,10818,-2318xe" filled="true" fillcolor="#e1dce1" stroked="false">
              <v:path arrowok="t"/>
              <v:fill type="solid"/>
            </v:shape>
            <v:shape style="position:absolute;left:10024;top:-2342;width:804;height:2515" coordorigin="10025,-2342" coordsize="804,2515" path="m10025,-2342l10025,173,10828,173,10828,168,10427,168,10427,163,10035,163,10035,-2318,10049,-2318,10040,-2326,10026,-2326,10030,-2330,10037,-2330,10025,-2342xm10828,-2330l10823,-2330,10823,168,10828,168,10828,-2330xm10049,-2318l10035,-2318,10427,-1926,10427,-1933,10434,-1940,10427,-1940,10049,-2318xm10828,-2342l10427,-1940,10434,-1940,10823,-2330,10828,-2330,10828,-2342xm10037,-2330l10030,-2330,10026,-2326,10040,-2326,10037,-2330xe" filled="true" fillcolor="#806a83" stroked="false">
              <v:path arrowok="t"/>
              <v:fill type="solid"/>
            </v:shape>
            <v:shape style="position:absolute;left:10426;top:-2330;width:397;height:2498" coordorigin="10427,-2330" coordsize="397,2498" path="m10823,-2318l10818,-2318,10818,163,10427,163,10427,168,10823,168,10823,-2318xm10823,-2330l10427,-1933,10427,-1926,10818,-2318,10823,-2318,10823,-2330xe" filled="true" fillcolor="#79627d" stroked="false">
              <v:path arrowok="t"/>
              <v:fill type="solid"/>
            </v:shape>
            <v:shape style="position:absolute;left:10057;top:-2747;width:737;height:738" coordorigin="10058,-2747" coordsize="737,738" path="m10427,-2747l10058,-2378,10427,-2010,10795,-2378,10427,-2747xe" filled="true" fillcolor="#360f41" stroked="false">
              <v:path arrowok="t"/>
              <v:fill type="solid"/>
            </v:shape>
            <v:shape style="position:absolute;left:10024;top:-2747;width:804;height:2920" type="#_x0000_t202" filled="false" stroked="false">
              <v:textbox inset="0,0,0,0">
                <w:txbxContent>
                  <w:p>
                    <w:pPr>
                      <w:spacing w:line="240" w:lineRule="auto" w:before="2"/>
                      <w:rPr>
                        <w:sz w:val="22"/>
                      </w:rPr>
                    </w:pPr>
                  </w:p>
                  <w:p>
                    <w:pPr>
                      <w:spacing w:before="0"/>
                      <w:ind w:left="138" w:right="0" w:firstLine="0"/>
                      <w:jc w:val="left"/>
                      <w:rPr>
                        <w:b/>
                        <w:sz w:val="10"/>
                      </w:rPr>
                    </w:pPr>
                    <w:r>
                      <w:rPr>
                        <w:b/>
                        <w:color w:val="FFFFFF"/>
                        <w:sz w:val="19"/>
                      </w:rPr>
                      <w:t>0.76 </w:t>
                    </w:r>
                    <w:r>
                      <w:rPr>
                        <w:b/>
                        <w:color w:val="FFFFFF"/>
                        <w:position w:val="6"/>
                        <w:sz w:val="10"/>
                      </w:rPr>
                      <w:t>(1)</w:t>
                    </w:r>
                  </w:p>
                </w:txbxContent>
              </v:textbox>
              <w10:wrap type="none"/>
            </v:shape>
            <w10:wrap type="none"/>
          </v:group>
        </w:pict>
      </w:r>
      <w:r>
        <w:rPr/>
        <w:t>assessment</w:t>
      </w:r>
      <w:r>
        <w:rPr>
          <w:spacing w:val="-17"/>
        </w:rPr>
        <w:t> </w:t>
      </w:r>
      <w:r>
        <w:rPr/>
        <w:t>and</w:t>
      </w:r>
      <w:r>
        <w:rPr>
          <w:spacing w:val="-16"/>
        </w:rPr>
        <w:t> </w:t>
      </w:r>
      <w:r>
        <w:rPr/>
        <w:t>payment</w:t>
      </w:r>
      <w:r>
        <w:rPr>
          <w:spacing w:val="-16"/>
        </w:rPr>
        <w:t> </w:t>
      </w:r>
      <w:r>
        <w:rPr/>
        <w:t>of</w:t>
      </w:r>
      <w:r>
        <w:rPr>
          <w:spacing w:val="-16"/>
        </w:rPr>
        <w:t> </w:t>
      </w:r>
      <w:r>
        <w:rPr/>
        <w:t>a</w:t>
      </w:r>
      <w:r>
        <w:rPr>
          <w:spacing w:val="-17"/>
        </w:rPr>
        <w:t> </w:t>
      </w:r>
      <w:r>
        <w:rPr/>
        <w:t>range</w:t>
      </w:r>
      <w:r>
        <w:rPr>
          <w:spacing w:val="-16"/>
        </w:rPr>
        <w:t> </w:t>
      </w:r>
      <w:r>
        <w:rPr/>
        <w:t>of</w:t>
      </w:r>
      <w:r>
        <w:rPr>
          <w:spacing w:val="-16"/>
        </w:rPr>
        <w:t> </w:t>
      </w:r>
      <w:r>
        <w:rPr/>
        <w:t>grants</w:t>
      </w:r>
      <w:r>
        <w:rPr>
          <w:spacing w:val="-16"/>
        </w:rPr>
        <w:t> </w:t>
      </w:r>
      <w:r>
        <w:rPr>
          <w:spacing w:val="-7"/>
        </w:rPr>
        <w:t>and</w:t>
      </w:r>
    </w:p>
    <w:p>
      <w:pPr>
        <w:pStyle w:val="Heading6"/>
        <w:spacing w:before="108"/>
        <w:ind w:left="436"/>
        <w:rPr>
          <w:sz w:val="10"/>
        </w:rPr>
      </w:pPr>
      <w:r>
        <w:rPr>
          <w:b w:val="0"/>
        </w:rPr>
        <w:br w:type="column"/>
      </w:r>
      <w:r>
        <w:rPr/>
        <w:t>Cost</w:t>
      </w:r>
      <w:r>
        <w:rPr>
          <w:spacing w:val="-4"/>
        </w:rPr>
        <w:t> </w:t>
      </w:r>
      <w:r>
        <w:rPr/>
        <w:t>per</w:t>
      </w:r>
      <w:r>
        <w:rPr>
          <w:spacing w:val="-3"/>
        </w:rPr>
        <w:t> </w:t>
      </w:r>
      <w:r>
        <w:rPr/>
        <w:t>$100</w:t>
      </w:r>
      <w:r>
        <w:rPr>
          <w:spacing w:val="-3"/>
        </w:rPr>
        <w:t> </w:t>
      </w:r>
      <w:r>
        <w:rPr/>
        <w:t>of</w:t>
      </w:r>
      <w:r>
        <w:rPr>
          <w:spacing w:val="-3"/>
        </w:rPr>
        <w:t> </w:t>
      </w:r>
      <w:r>
        <w:rPr/>
        <w:t>revenue</w:t>
      </w:r>
      <w:r>
        <w:rPr>
          <w:spacing w:val="-3"/>
        </w:rPr>
        <w:t> </w:t>
      </w:r>
      <w:r>
        <w:rPr/>
        <w:t>raised</w:t>
      </w:r>
      <w:r>
        <w:rPr>
          <w:spacing w:val="-4"/>
        </w:rPr>
        <w:t> </w:t>
      </w:r>
      <w:r>
        <w:rPr/>
        <w:t>($)</w:t>
      </w:r>
      <w:r>
        <w:rPr>
          <w:spacing w:val="-35"/>
        </w:rPr>
        <w:t> </w:t>
      </w:r>
      <w:r>
        <w:rPr>
          <w:position w:val="8"/>
          <w:sz w:val="10"/>
        </w:rPr>
        <w:t>(a)</w:t>
      </w:r>
    </w:p>
    <w:p>
      <w:pPr>
        <w:pStyle w:val="BodyText"/>
        <w:rPr>
          <w:b/>
          <w:sz w:val="20"/>
        </w:rPr>
      </w:pPr>
    </w:p>
    <w:p>
      <w:pPr>
        <w:pStyle w:val="BodyText"/>
        <w:spacing w:before="11"/>
        <w:rPr>
          <w:b/>
          <w:sz w:val="23"/>
        </w:rPr>
      </w:pPr>
      <w:r>
        <w:rPr/>
        <w:pict>
          <v:group style="position:absolute;margin-left:299.971985pt;margin-top:28.737803pt;width:40.2pt;height:127pt;mso-position-horizontal-relative:page;mso-position-vertical-relative:paragraph;z-index:28016;mso-wrap-distance-left:0;mso-wrap-distance-right:0" coordorigin="5999,575" coordsize="804,2540">
            <v:shape style="position:absolute;left:6401;top:991;width:397;height:2118" coordorigin="6401,992" coordsize="397,2118" path="m6798,992l6401,1388,6401,3109,6798,3109,6798,992xe" filled="true" fillcolor="#f5f6ea" stroked="false">
              <v:path arrowok="t"/>
              <v:fill type="solid"/>
            </v:shape>
            <v:shape style="position:absolute;left:5999;top:979;width:804;height:2135" coordorigin="5999,980" coordsize="804,2135" path="m5999,980l5999,3114,6803,3114,6803,3104,6009,3104,6009,1004,6001,995,6004,992,6012,992,5999,980xm6803,1004l6793,1004,6793,3104,6803,3104,6803,1004xm6012,992l6009,992,6009,1004,6401,1396,6415,1381,6401,1381,6012,992xm6803,980l6401,1381,6415,1381,6793,1004,6803,1004,6803,980xm6009,992l6004,992,6001,995,6009,1004,6009,992xe" filled="true" fillcolor="#aebd37" stroked="false">
              <v:path arrowok="t"/>
              <v:fill type="solid"/>
            </v:shape>
            <v:shape style="position:absolute;left:6032;top:574;width:737;height:738" coordorigin="6033,575" coordsize="737,738" path="m6401,575l6033,943,6401,1312,6770,943,6401,575xe" filled="true" fillcolor="#aebd37" stroked="false">
              <v:path arrowok="t"/>
              <v:fill type="solid"/>
            </v:shape>
            <v:shape style="position:absolute;left:6216;top:822;width:390;height:227" type="#_x0000_t202" filled="false" stroked="false">
              <v:textbox inset="0,0,0,0">
                <w:txbxContent>
                  <w:p>
                    <w:pPr>
                      <w:spacing w:before="7"/>
                      <w:ind w:left="0" w:right="0" w:firstLine="0"/>
                      <w:jc w:val="left"/>
                      <w:rPr>
                        <w:b/>
                        <w:sz w:val="19"/>
                      </w:rPr>
                    </w:pPr>
                    <w:r>
                      <w:rPr>
                        <w:b/>
                        <w:color w:val="FFFFFF"/>
                        <w:sz w:val="19"/>
                      </w:rPr>
                      <w:t>0.66</w:t>
                    </w:r>
                  </w:p>
                </w:txbxContent>
              </v:textbox>
              <w10:wrap type="none"/>
            </v:shape>
            <w10:wrap type="topAndBottom"/>
          </v:group>
        </w:pict>
      </w:r>
      <w:r>
        <w:rPr/>
        <w:pict>
          <v:group style="position:absolute;margin-left:350.286987pt;margin-top:15.737803pt;width:40.2pt;height:140pt;mso-position-horizontal-relative:page;mso-position-vertical-relative:paragraph;z-index:28064;mso-wrap-distance-left:0;mso-wrap-distance-right:0" coordorigin="7006,315" coordsize="804,2800">
            <v:shape style="position:absolute;left:7407;top:731;width:397;height:2378" coordorigin="7408,732" coordsize="397,2378" path="m7804,732l7408,1128,7408,3109,7804,3109,7804,732xe" filled="true" fillcolor="#f5f6ea" stroked="false">
              <v:path arrowok="t"/>
              <v:fill type="solid"/>
            </v:shape>
            <v:shape style="position:absolute;left:7005;top:719;width:804;height:2395" coordorigin="7006,720" coordsize="804,2395" path="m7006,720l7006,3114,7809,3114,7809,3104,7016,3104,7016,744,7007,735,7011,732,7018,732,7006,720xm7809,744l7799,744,7799,3104,7809,3104,7809,744xm7018,732l7016,732,7016,744,7408,1136,7422,1121,7408,1121,7018,732xm7809,720l7408,1121,7422,1121,7799,744,7809,744,7809,720xm7016,732l7011,732,7007,735,7016,744,7016,732xe" filled="true" fillcolor="#aebd37" stroked="false">
              <v:path arrowok="t"/>
              <v:fill type="solid"/>
            </v:shape>
            <v:shape style="position:absolute;left:7039;top:314;width:737;height:738" coordorigin="7039,315" coordsize="737,738" path="m7408,315l7039,683,7408,1052,7776,683,7408,315xe" filled="true" fillcolor="#aebd37" stroked="false">
              <v:path arrowok="t"/>
              <v:fill type="solid"/>
            </v:shape>
            <v:shape style="position:absolute;left:7222;top:562;width:390;height:227" type="#_x0000_t202" filled="false" stroked="false">
              <v:textbox inset="0,0,0,0">
                <w:txbxContent>
                  <w:p>
                    <w:pPr>
                      <w:spacing w:before="7"/>
                      <w:ind w:left="0" w:right="0" w:firstLine="0"/>
                      <w:jc w:val="left"/>
                      <w:rPr>
                        <w:b/>
                        <w:sz w:val="19"/>
                      </w:rPr>
                    </w:pPr>
                    <w:r>
                      <w:rPr>
                        <w:b/>
                        <w:color w:val="FFFFFF"/>
                        <w:sz w:val="19"/>
                      </w:rPr>
                      <w:t>0.71</w:t>
                    </w:r>
                  </w:p>
                </w:txbxContent>
              </v:textbox>
              <w10:wrap type="none"/>
            </v:shape>
            <w10:wrap type="topAndBottom"/>
          </v:group>
        </w:pict>
      </w:r>
      <w:r>
        <w:rPr/>
        <w:pict>
          <v:group style="position:absolute;margin-left:400.600891pt;margin-top:17.737803pt;width:40.2pt;height:138pt;mso-position-horizontal-relative:page;mso-position-vertical-relative:paragraph;z-index:28112;mso-wrap-distance-left:0;mso-wrap-distance-right:0" coordorigin="8012,355" coordsize="804,2760">
            <v:shape style="position:absolute;left:8413;top:771;width:397;height:2338" coordorigin="8414,772" coordsize="397,2338" path="m8811,772l8414,1168,8414,3109,8811,3109,8811,772xe" filled="true" fillcolor="#f5f6ea" stroked="false">
              <v:path arrowok="t"/>
              <v:fill type="solid"/>
            </v:shape>
            <v:shape style="position:absolute;left:8012;top:759;width:804;height:2355" coordorigin="8012,760" coordsize="804,2355" path="m8012,760l8012,3114,8816,3114,8816,3104,8022,3104,8022,784,8013,775,8017,772,8024,772,8012,760xm8816,784l8806,784,8806,3104,8816,3104,8816,784xm8024,772l8022,772,8022,784,8414,1176,8428,1161,8414,1161,8024,772xm8816,760l8414,1161,8428,1161,8806,784,8816,784,8816,760xm8022,772l8017,772,8013,775,8022,784,8022,772xe" filled="true" fillcolor="#aebd37" stroked="false">
              <v:path arrowok="t"/>
              <v:fill type="solid"/>
            </v:shape>
            <v:shape style="position:absolute;left:8045;top:354;width:737;height:738" coordorigin="8045,355" coordsize="737,738" path="m8414,355l8045,723,8414,1092,8782,723,8414,355xe" filled="true" fillcolor="#aebd37" stroked="false">
              <v:path arrowok="t"/>
              <v:fill type="solid"/>
            </v:shape>
            <v:shape style="position:absolute;left:8228;top:602;width:390;height:227" type="#_x0000_t202" filled="false" stroked="false">
              <v:textbox inset="0,0,0,0">
                <w:txbxContent>
                  <w:p>
                    <w:pPr>
                      <w:spacing w:before="7"/>
                      <w:ind w:left="0" w:right="0" w:firstLine="0"/>
                      <w:jc w:val="left"/>
                      <w:rPr>
                        <w:b/>
                        <w:sz w:val="19"/>
                      </w:rPr>
                    </w:pPr>
                    <w:r>
                      <w:rPr>
                        <w:b/>
                        <w:color w:val="FFFFFF"/>
                        <w:sz w:val="19"/>
                      </w:rPr>
                      <w:t>0.70</w:t>
                    </w:r>
                  </w:p>
                </w:txbxContent>
              </v:textbox>
              <w10:wrap type="none"/>
            </v:shape>
            <w10:wrap type="topAndBottom"/>
          </v:group>
        </w:pict>
      </w:r>
      <w:r>
        <w:rPr/>
        <w:pict>
          <v:group style="position:absolute;margin-left:450.918304pt;margin-top:15.737803pt;width:40.2pt;height:140pt;mso-position-horizontal-relative:page;mso-position-vertical-relative:paragraph;z-index:28160;mso-wrap-distance-left:0;mso-wrap-distance-right:0" coordorigin="9018,315" coordsize="804,2800">
            <v:shape style="position:absolute;left:9420;top:743;width:392;height:2361" coordorigin="9420,744" coordsize="392,2361" path="m9812,744l9420,1136,9420,3104,9812,3104,9812,744xe" filled="true" fillcolor="#eae3ea" stroked="false">
              <v:path arrowok="t"/>
              <v:fill type="solid"/>
            </v:shape>
            <v:shape style="position:absolute;left:9018;top:719;width:804;height:2395" coordorigin="9018,720" coordsize="804,2395" path="m9018,720l9018,3114,9822,3114,9822,3109,9420,3109,9420,3104,9028,3104,9028,744,9043,744,9034,735,9020,735,9023,732,9030,732,9018,720xm9822,732l9817,732,9817,3109,9822,3109,9822,732xm9043,744l9028,744,9420,1136,9420,1128,9427,1121,9420,1121,9043,744xm9822,720l9420,1121,9427,1121,9817,732,9822,732,9822,720xm9030,732l9023,732,9020,735,9034,735,9030,732xe" filled="true" fillcolor="#8d5f8e" stroked="false">
              <v:path arrowok="t"/>
              <v:fill type="solid"/>
            </v:shape>
            <v:shape style="position:absolute;left:9420;top:731;width:397;height:2378" coordorigin="9420,732" coordsize="397,2378" path="m9817,744l9812,744,9812,3104,9420,3104,9420,3109,9817,3109,9817,744xm9817,732l9420,1128,9420,1136,9812,744,9817,744,9817,732xe" filled="true" fillcolor="#8b5a8b" stroked="false">
              <v:path arrowok="t"/>
              <v:fill type="solid"/>
            </v:shape>
            <v:shape style="position:absolute;left:9051;top:314;width:737;height:738" coordorigin="9052,315" coordsize="737,738" path="m9420,315l9052,683,9420,1052,9789,683,9420,315xe" filled="true" fillcolor="#6f2770" stroked="false">
              <v:path arrowok="t"/>
              <v:fill type="solid"/>
            </v:shape>
            <v:shape style="position:absolute;left:9235;top:562;width:390;height:227" type="#_x0000_t202" filled="false" stroked="false">
              <v:textbox inset="0,0,0,0">
                <w:txbxContent>
                  <w:p>
                    <w:pPr>
                      <w:spacing w:before="7"/>
                      <w:ind w:left="0" w:right="0" w:firstLine="0"/>
                      <w:jc w:val="left"/>
                      <w:rPr>
                        <w:b/>
                        <w:sz w:val="19"/>
                      </w:rPr>
                    </w:pPr>
                    <w:r>
                      <w:rPr>
                        <w:b/>
                        <w:color w:val="FFFFFF"/>
                        <w:sz w:val="19"/>
                      </w:rPr>
                      <w:t>0.71</w:t>
                    </w:r>
                  </w:p>
                </w:txbxContent>
              </v:textbox>
              <w10:wrap type="none"/>
            </v:shape>
            <w10:wrap type="topAndBottom"/>
          </v:group>
        </w:pict>
      </w:r>
    </w:p>
    <w:p>
      <w:pPr>
        <w:spacing w:line="249" w:lineRule="auto" w:before="108"/>
        <w:ind w:left="755" w:right="824" w:firstLine="0"/>
        <w:jc w:val="left"/>
        <w:rPr>
          <w:b/>
          <w:sz w:val="10"/>
        </w:rPr>
      </w:pPr>
      <w:r>
        <w:rPr/>
        <w:br w:type="column"/>
      </w:r>
      <w:r>
        <w:rPr>
          <w:b/>
          <w:sz w:val="22"/>
        </w:rPr>
        <w:t>Average cost per application/ claim processed ($) </w:t>
      </w:r>
      <w:r>
        <w:rPr>
          <w:b/>
          <w:position w:val="8"/>
          <w:sz w:val="10"/>
        </w:rPr>
        <w:t>(b)</w:t>
      </w:r>
    </w:p>
    <w:p>
      <w:pPr>
        <w:pStyle w:val="BodyText"/>
        <w:spacing w:before="8"/>
        <w:rPr>
          <w:b/>
          <w:sz w:val="16"/>
        </w:rPr>
      </w:pPr>
      <w:r>
        <w:rPr/>
        <w:pict>
          <v:group style="position:absolute;margin-left:562.176819pt;margin-top:11.575987pt;width:40.2pt;height:142pt;mso-position-horizontal-relative:page;mso-position-vertical-relative:paragraph;z-index:28208;mso-wrap-distance-left:0;mso-wrap-distance-right:0" coordorigin="11244,232" coordsize="804,2840">
            <v:shape style="position:absolute;left:11645;top:648;width:397;height:2418" coordorigin="11645,648" coordsize="397,2418" path="m12042,648l11645,1045,11645,3066,12042,3066,12042,648xe" filled="true" fillcolor="#f5f6ea" stroked="false">
              <v:path arrowok="t"/>
              <v:fill type="solid"/>
            </v:shape>
            <v:shape style="position:absolute;left:11243;top:636;width:804;height:2435" coordorigin="11244,636" coordsize="804,2435" path="m11244,636l11244,3071,12047,3071,12047,3061,11254,3061,11254,660,11245,652,11249,648,11256,648,11244,636xm12047,660l12037,660,12037,3061,12047,3061,12047,660xm11256,648l11254,648,11254,660,11645,1052,11660,1038,11645,1038,11256,648xm12047,636l11645,1038,11660,1038,12037,660,12047,660,12047,636xm11254,648l11249,648,11245,652,11254,660,11254,648xe" filled="true" fillcolor="#aebd37" stroked="false">
              <v:path arrowok="t"/>
              <v:fill type="solid"/>
            </v:shape>
            <v:shape style="position:absolute;left:11276;top:231;width:737;height:738" coordorigin="11277,232" coordsize="737,738" path="m11645,232l11277,600,11645,969,12014,600,11645,232xe" filled="true" fillcolor="#aebd37" stroked="false">
              <v:path arrowok="t"/>
              <v:fill type="solid"/>
            </v:shape>
            <v:shape style="position:absolute;left:11407;top:479;width:496;height:227" type="#_x0000_t202" filled="false" stroked="false">
              <v:textbox inset="0,0,0,0">
                <w:txbxContent>
                  <w:p>
                    <w:pPr>
                      <w:spacing w:before="7"/>
                      <w:ind w:left="0" w:right="0" w:firstLine="0"/>
                      <w:jc w:val="left"/>
                      <w:rPr>
                        <w:b/>
                        <w:sz w:val="19"/>
                      </w:rPr>
                    </w:pPr>
                    <w:r>
                      <w:rPr>
                        <w:b/>
                        <w:color w:val="FFFFFF"/>
                        <w:sz w:val="19"/>
                      </w:rPr>
                      <w:t>11.86</w:t>
                    </w:r>
                  </w:p>
                </w:txbxContent>
              </v:textbox>
              <w10:wrap type="none"/>
            </v:shape>
            <w10:wrap type="topAndBottom"/>
          </v:group>
        </w:pict>
      </w:r>
      <w:r>
        <w:rPr/>
        <w:pict>
          <v:group style="position:absolute;margin-left:612.491699pt;margin-top:13.575987pt;width:40.2pt;height:140pt;mso-position-horizontal-relative:page;mso-position-vertical-relative:paragraph;z-index:28256;mso-wrap-distance-left:0;mso-wrap-distance-right:0" coordorigin="12250,272" coordsize="804,2800">
            <v:shape style="position:absolute;left:12651;top:688;width:397;height:2378" coordorigin="12652,688" coordsize="397,2378" path="m13049,688l12652,1085,12652,3066,13049,3066,13049,688xe" filled="true" fillcolor="#f5f6ea" stroked="false">
              <v:path arrowok="t"/>
              <v:fill type="solid"/>
            </v:shape>
            <v:shape style="position:absolute;left:12249;top:676;width:804;height:2395" coordorigin="12250,676" coordsize="804,2395" path="m12250,676l12250,3071,13054,3071,13054,3061,12260,3061,12260,700,12251,692,12255,688,12262,688,12250,676xm13054,700l13044,700,13044,3061,13054,3061,13054,700xm12262,688l12260,688,12260,700,12652,1092,12666,1078,12652,1078,12262,688xm13054,676l12652,1078,12666,1078,13044,700,13054,700,13054,676xm12260,688l12255,688,12251,692,12260,700,12260,688xe" filled="true" fillcolor="#aebd37" stroked="false">
              <v:path arrowok="t"/>
              <v:fill type="solid"/>
            </v:shape>
            <v:shape style="position:absolute;left:12283;top:271;width:737;height:738" coordorigin="12283,272" coordsize="737,738" path="m12652,272l12283,640,12652,1009,13020,640,12652,272xe" filled="true" fillcolor="#aebd37" stroked="false">
              <v:path arrowok="t"/>
              <v:fill type="solid"/>
            </v:shape>
            <v:shape style="position:absolute;left:12413;top:519;width:496;height:227" type="#_x0000_t202" filled="false" stroked="false">
              <v:textbox inset="0,0,0,0">
                <w:txbxContent>
                  <w:p>
                    <w:pPr>
                      <w:spacing w:before="7"/>
                      <w:ind w:left="0" w:right="0" w:firstLine="0"/>
                      <w:jc w:val="left"/>
                      <w:rPr>
                        <w:b/>
                        <w:sz w:val="19"/>
                      </w:rPr>
                    </w:pPr>
                    <w:r>
                      <w:rPr>
                        <w:b/>
                        <w:color w:val="FFFFFF"/>
                        <w:sz w:val="19"/>
                      </w:rPr>
                      <w:t>11.85</w:t>
                    </w:r>
                  </w:p>
                </w:txbxContent>
              </v:textbox>
              <w10:wrap type="none"/>
            </v:shape>
            <w10:wrap type="topAndBottom"/>
          </v:group>
        </w:pict>
      </w:r>
      <w:r>
        <w:rPr/>
        <w:pict>
          <v:group style="position:absolute;margin-left:662.806580pt;margin-top:18.575987pt;width:40.2pt;height:135pt;mso-position-horizontal-relative:page;mso-position-vertical-relative:paragraph;z-index:28304;mso-wrap-distance-left:0;mso-wrap-distance-right:0" coordorigin="13256,372" coordsize="804,2700">
            <v:shape style="position:absolute;left:13658;top:788;width:397;height:2278" coordorigin="13658,788" coordsize="397,2278" path="m14055,788l13658,1185,13658,3066,14055,3066,14055,788xe" filled="true" fillcolor="#f5f6ea" stroked="false">
              <v:path arrowok="t"/>
              <v:fill type="solid"/>
            </v:shape>
            <v:shape style="position:absolute;left:13256;top:776;width:804;height:2295" coordorigin="13256,776" coordsize="804,2295" path="m13256,776l13256,3071,14060,3071,14060,3061,13266,3061,13266,800,13258,792,13261,788,13268,788,13256,776xm14060,800l14050,800,14050,3061,14060,3061,14060,800xm13268,788l13266,788,13266,800,13658,1192,13672,1178,13658,1178,13268,788xm14060,776l13658,1178,13672,1178,14050,800,14060,800,14060,776xm13266,788l13261,788,13258,792,13266,800,13266,788xe" filled="true" fillcolor="#aebd37" stroked="false">
              <v:path arrowok="t"/>
              <v:fill type="solid"/>
            </v:shape>
            <v:shape style="position:absolute;left:13289;top:371;width:737;height:738" coordorigin="13289,372" coordsize="737,738" path="m13658,372l13289,740,13658,1109,14026,740,13658,372xe" filled="true" fillcolor="#aebd37" stroked="false">
              <v:path arrowok="t"/>
              <v:fill type="solid"/>
            </v:shape>
            <v:shape style="position:absolute;left:13256;top:371;width:804;height:2700" type="#_x0000_t202" filled="false" stroked="false">
              <v:textbox inset="0,0,0,0">
                <w:txbxContent>
                  <w:p>
                    <w:pPr>
                      <w:spacing w:line="240" w:lineRule="auto" w:before="2"/>
                      <w:rPr>
                        <w:b/>
                        <w:sz w:val="22"/>
                      </w:rPr>
                    </w:pPr>
                  </w:p>
                  <w:p>
                    <w:pPr>
                      <w:spacing w:before="0"/>
                      <w:ind w:left="164" w:right="0" w:firstLine="0"/>
                      <w:jc w:val="left"/>
                      <w:rPr>
                        <w:b/>
                        <w:sz w:val="19"/>
                      </w:rPr>
                    </w:pPr>
                    <w:r>
                      <w:rPr>
                        <w:b/>
                        <w:color w:val="FFFFFF"/>
                        <w:sz w:val="19"/>
                      </w:rPr>
                      <w:t>11.58</w:t>
                    </w:r>
                  </w:p>
                </w:txbxContent>
              </v:textbox>
              <w10:wrap type="none"/>
            </v:shape>
            <w10:wrap type="topAndBottom"/>
          </v:group>
        </w:pict>
      </w:r>
      <w:r>
        <w:rPr/>
        <w:pict>
          <v:group style="position:absolute;margin-left:713.12207pt;margin-top:21.575987pt;width:40.2pt;height:132pt;mso-position-horizontal-relative:page;mso-position-vertical-relative:paragraph;z-index:28352;mso-wrap-distance-left:0;mso-wrap-distance-right:0" coordorigin="14262,432" coordsize="804,2640">
            <v:shape style="position:absolute;left:14664;top:860;width:392;height:2201" coordorigin="14664,860" coordsize="392,2201" path="m15056,860l14664,1252,14664,3061,15056,3061,15056,860xe" filled="true" fillcolor="#eae3ea" stroked="false">
              <v:path arrowok="t"/>
              <v:fill type="solid"/>
            </v:shape>
            <v:shape style="position:absolute;left:14262;top:836;width:804;height:2235" coordorigin="14262,836" coordsize="804,2235" path="m14262,836l14262,3071,15066,3071,15066,3066,14664,3066,14664,3061,14272,3061,14272,860,14287,860,14278,852,14264,852,14267,848,14275,848,14262,836xm15066,848l15061,848,15061,3066,15066,3066,15066,848xm14287,860l14272,860,14664,1252,14664,1245,14671,1238,14664,1238,14287,860xm15066,836l14664,1238,14671,1238,15061,848,15066,848,15066,836xm14275,848l14267,848,14264,852,14278,852,14275,848xe" filled="true" fillcolor="#8d5f8e" stroked="false">
              <v:path arrowok="t"/>
              <v:fill type="solid"/>
            </v:shape>
            <v:shape style="position:absolute;left:14664;top:848;width:397;height:2218" coordorigin="14664,848" coordsize="397,2218" path="m15061,860l15056,860,15056,3061,14664,3061,14664,3066,15061,3066,15061,860xm15061,848l14664,1245,14664,1252,15056,860,15061,860,15061,848xe" filled="true" fillcolor="#8b5a8b" stroked="false">
              <v:path arrowok="t"/>
              <v:fill type="solid"/>
            </v:shape>
            <v:shape style="position:absolute;left:14295;top:431;width:737;height:738" coordorigin="14296,432" coordsize="737,738" path="m14664,432l14296,800,14664,1169,15033,800,14664,432xe" filled="true" fillcolor="#6f2770" stroked="false">
              <v:path arrowok="t"/>
              <v:fill type="solid"/>
            </v:shape>
            <v:shape style="position:absolute;left:14262;top:431;width:804;height:2640" type="#_x0000_t202" filled="false" stroked="false">
              <v:textbox inset="0,0,0,0">
                <w:txbxContent>
                  <w:p>
                    <w:pPr>
                      <w:spacing w:line="240" w:lineRule="auto" w:before="2"/>
                      <w:rPr>
                        <w:b/>
                        <w:sz w:val="22"/>
                      </w:rPr>
                    </w:pPr>
                  </w:p>
                  <w:p>
                    <w:pPr>
                      <w:spacing w:before="0"/>
                      <w:ind w:left="163" w:right="0" w:firstLine="0"/>
                      <w:jc w:val="left"/>
                      <w:rPr>
                        <w:b/>
                        <w:sz w:val="19"/>
                      </w:rPr>
                    </w:pPr>
                    <w:r>
                      <w:rPr>
                        <w:b/>
                        <w:color w:val="FFFFFF"/>
                        <w:sz w:val="19"/>
                      </w:rPr>
                      <w:t>11.41</w:t>
                    </w:r>
                  </w:p>
                </w:txbxContent>
              </v:textbox>
              <w10:wrap type="none"/>
            </v:shape>
            <w10:wrap type="topAndBottom"/>
          </v:group>
        </w:pict>
      </w:r>
      <w:r>
        <w:rPr/>
        <w:pict>
          <v:group style="position:absolute;margin-left:763.436523pt;margin-top:35.575985pt;width:40.2pt;height:118pt;mso-position-horizontal-relative:page;mso-position-vertical-relative:paragraph;z-index:28400;mso-wrap-distance-left:0;mso-wrap-distance-right:0" coordorigin="15269,712" coordsize="804,2360">
            <v:shape style="position:absolute;left:15670;top:1140;width:392;height:1921" coordorigin="15671,1140" coordsize="392,1921" path="m16062,1140l15671,1532,15671,3061,16062,3061,16062,1140xe" filled="true" fillcolor="#e1dce1" stroked="false">
              <v:path arrowok="t"/>
              <v:fill type="solid"/>
            </v:shape>
            <v:shape style="position:absolute;left:15268;top:1116;width:804;height:1955" coordorigin="15269,1116" coordsize="804,1955" path="m15269,1116l15269,3071,16072,3071,16072,3066,15671,3066,15671,3061,15279,3061,15279,1140,15293,1140,15284,1132,15270,1132,15274,1128,15281,1128,15269,1116xm16072,1128l16067,1128,16067,3066,16072,3066,16072,1128xm15293,1140l15279,1140,15671,1532,15671,1525,15678,1518,15671,1518,15293,1140xm16072,1116l15671,1518,15678,1518,16067,1128,16072,1128,16072,1116xm15281,1128l15274,1128,15270,1132,15284,1132,15281,1128xe" filled="true" fillcolor="#806a83" stroked="false">
              <v:path arrowok="t"/>
              <v:fill type="solid"/>
            </v:shape>
            <v:shape style="position:absolute;left:15670;top:1128;width:397;height:1938" coordorigin="15671,1128" coordsize="397,1938" path="m16067,1140l16062,1140,16062,3061,15671,3061,15671,3066,16067,3066,16067,1140xm16067,1128l15671,1525,15671,1532,16062,1140,16067,1140,16067,1128xe" filled="true" fillcolor="#79627d" stroked="false">
              <v:path arrowok="t"/>
              <v:fill type="solid"/>
            </v:shape>
            <v:shape style="position:absolute;left:15302;top:711;width:737;height:738" coordorigin="15302,712" coordsize="737,738" path="m15671,712l15302,1080,15671,1449,16039,1080,15671,712xe" filled="true" fillcolor="#360f41" stroked="false">
              <v:path arrowok="t"/>
              <v:fill type="solid"/>
            </v:shape>
            <v:shape style="position:absolute;left:15268;top:711;width:804;height:2360" type="#_x0000_t202" filled="false" stroked="false">
              <v:textbox inset="0,0,0,0">
                <w:txbxContent>
                  <w:p>
                    <w:pPr>
                      <w:spacing w:line="240" w:lineRule="auto" w:before="2"/>
                      <w:rPr>
                        <w:b/>
                        <w:sz w:val="22"/>
                      </w:rPr>
                    </w:pPr>
                  </w:p>
                  <w:p>
                    <w:pPr>
                      <w:spacing w:before="0"/>
                      <w:ind w:left="92" w:right="0" w:firstLine="0"/>
                      <w:jc w:val="left"/>
                      <w:rPr>
                        <w:b/>
                        <w:sz w:val="10"/>
                      </w:rPr>
                    </w:pPr>
                    <w:r>
                      <w:rPr>
                        <w:b/>
                        <w:color w:val="FFFFFF"/>
                        <w:sz w:val="19"/>
                      </w:rPr>
                      <w:t>10.52 </w:t>
                    </w:r>
                    <w:r>
                      <w:rPr>
                        <w:b/>
                        <w:color w:val="FFFFFF"/>
                        <w:position w:val="6"/>
                        <w:sz w:val="10"/>
                      </w:rPr>
                      <w:t>(2)</w:t>
                    </w:r>
                  </w:p>
                </w:txbxContent>
              </v:textbox>
              <w10:wrap type="none"/>
            </v:shape>
            <w10:wrap type="topAndBottom"/>
          </v:group>
        </w:pict>
      </w:r>
    </w:p>
    <w:p>
      <w:pPr>
        <w:spacing w:after="0"/>
        <w:rPr>
          <w:sz w:val="16"/>
        </w:rPr>
        <w:sectPr>
          <w:type w:val="continuous"/>
          <w:pgSz w:w="16840" w:h="11910" w:orient="landscape"/>
          <w:pgMar w:top="0" w:bottom="0" w:left="0" w:right="0"/>
          <w:cols w:num="3" w:equalWidth="0">
            <w:col w:w="5523" w:space="40"/>
            <w:col w:w="4260" w:space="665"/>
            <w:col w:w="6352"/>
          </w:cols>
        </w:sectPr>
      </w:pPr>
    </w:p>
    <w:p>
      <w:pPr>
        <w:pStyle w:val="BodyText"/>
        <w:spacing w:line="249" w:lineRule="auto" w:before="70"/>
        <w:ind w:left="755" w:right="-9"/>
      </w:pPr>
      <w:r>
        <w:rPr/>
        <w:t>subsidies</w:t>
      </w:r>
      <w:r>
        <w:rPr>
          <w:spacing w:val="-28"/>
        </w:rPr>
        <w:t> </w:t>
      </w:r>
      <w:r>
        <w:rPr/>
        <w:t>under</w:t>
      </w:r>
      <w:r>
        <w:rPr>
          <w:spacing w:val="-28"/>
        </w:rPr>
        <w:t> </w:t>
      </w:r>
      <w:r>
        <w:rPr/>
        <w:t>both</w:t>
      </w:r>
      <w:r>
        <w:rPr>
          <w:spacing w:val="-28"/>
        </w:rPr>
        <w:t> </w:t>
      </w:r>
      <w:r>
        <w:rPr/>
        <w:t>statutory</w:t>
      </w:r>
      <w:r>
        <w:rPr>
          <w:spacing w:val="-28"/>
        </w:rPr>
        <w:t> </w:t>
      </w:r>
      <w:r>
        <w:rPr/>
        <w:t>and</w:t>
      </w:r>
      <w:r>
        <w:rPr>
          <w:spacing w:val="-28"/>
        </w:rPr>
        <w:t> </w:t>
      </w:r>
      <w:r>
        <w:rPr/>
        <w:t>administrative schemes.</w:t>
      </w:r>
      <w:r>
        <w:rPr>
          <w:spacing w:val="-9"/>
        </w:rPr>
        <w:t> </w:t>
      </w:r>
      <w:r>
        <w:rPr/>
        <w:t>The</w:t>
      </w:r>
      <w:r>
        <w:rPr>
          <w:spacing w:val="-9"/>
        </w:rPr>
        <w:t> </w:t>
      </w:r>
      <w:r>
        <w:rPr/>
        <w:t>major</w:t>
      </w:r>
      <w:r>
        <w:rPr>
          <w:spacing w:val="-9"/>
        </w:rPr>
        <w:t> </w:t>
      </w:r>
      <w:r>
        <w:rPr/>
        <w:t>payments</w:t>
      </w:r>
      <w:r>
        <w:rPr>
          <w:spacing w:val="-9"/>
        </w:rPr>
        <w:t> </w:t>
      </w:r>
      <w:r>
        <w:rPr/>
        <w:t>relate</w:t>
      </w:r>
      <w:r>
        <w:rPr>
          <w:spacing w:val="-9"/>
        </w:rPr>
        <w:t> </w:t>
      </w:r>
      <w:r>
        <w:rPr/>
        <w:t>to</w:t>
      </w:r>
      <w:r>
        <w:rPr>
          <w:spacing w:val="-9"/>
        </w:rPr>
        <w:t> </w:t>
      </w:r>
      <w:r>
        <w:rPr/>
        <w:t>the</w:t>
      </w:r>
    </w:p>
    <w:p>
      <w:pPr>
        <w:tabs>
          <w:tab w:pos="1607" w:val="left" w:leader="none"/>
          <w:tab w:pos="2613" w:val="left" w:leader="none"/>
          <w:tab w:pos="3619" w:val="left" w:leader="none"/>
          <w:tab w:pos="4631" w:val="left" w:leader="none"/>
          <w:tab w:pos="5845" w:val="left" w:leader="none"/>
          <w:tab w:pos="6851" w:val="left" w:leader="none"/>
          <w:tab w:pos="7857" w:val="left" w:leader="none"/>
          <w:tab w:pos="8863" w:val="left" w:leader="none"/>
          <w:tab w:pos="9870" w:val="left" w:leader="none"/>
        </w:tabs>
        <w:spacing w:line="212" w:lineRule="exact" w:before="0"/>
        <w:ind w:left="601" w:right="0" w:firstLine="0"/>
        <w:jc w:val="left"/>
        <w:rPr>
          <w:b/>
          <w:sz w:val="19"/>
        </w:rPr>
      </w:pPr>
      <w:r>
        <w:rPr/>
        <w:br w:type="column"/>
      </w:r>
      <w:r>
        <w:rPr>
          <w:b/>
          <w:w w:val="105"/>
          <w:sz w:val="19"/>
        </w:rPr>
        <w:t>2013/14</w:t>
        <w:tab/>
        <w:t>2014/15</w:t>
        <w:tab/>
        <w:t>2015/16</w:t>
        <w:tab/>
        <w:t>2016/17</w:t>
        <w:tab/>
        <w:t>2016/17</w:t>
        <w:tab/>
        <w:t>2013/14</w:t>
        <w:tab/>
        <w:t>2014/15</w:t>
        <w:tab/>
        <w:t>2015/16</w:t>
        <w:tab/>
        <w:t>2016/17</w:t>
        <w:tab/>
        <w:t>2016/17</w:t>
      </w:r>
    </w:p>
    <w:p>
      <w:pPr>
        <w:tabs>
          <w:tab w:pos="1562" w:val="left" w:leader="none"/>
          <w:tab w:pos="2569" w:val="left" w:leader="none"/>
          <w:tab w:pos="3575" w:val="left" w:leader="none"/>
          <w:tab w:pos="4581" w:val="left" w:leader="none"/>
          <w:tab w:pos="5800" w:val="left" w:leader="none"/>
          <w:tab w:pos="6806" w:val="left" w:leader="none"/>
          <w:tab w:pos="7813" w:val="left" w:leader="none"/>
          <w:tab w:pos="8819" w:val="left" w:leader="none"/>
          <w:tab w:pos="9825" w:val="left" w:leader="none"/>
        </w:tabs>
        <w:spacing w:before="89"/>
        <w:ind w:left="556" w:right="0" w:firstLine="0"/>
        <w:jc w:val="left"/>
        <w:rPr>
          <w:sz w:val="15"/>
        </w:rPr>
      </w:pPr>
      <w:r>
        <w:rPr>
          <w:color w:val="FFFFFF"/>
          <w:w w:val="100"/>
          <w:sz w:val="15"/>
          <w:shd w:fill="BFC84C" w:color="auto" w:val="clear"/>
        </w:rPr>
        <w:t> </w:t>
      </w:r>
      <w:r>
        <w:rPr>
          <w:color w:val="FFFFFF"/>
          <w:sz w:val="15"/>
          <w:shd w:fill="BFC84C" w:color="auto" w:val="clear"/>
        </w:rPr>
        <w:t> </w:t>
      </w:r>
      <w:r>
        <w:rPr>
          <w:color w:val="FFFFFF"/>
          <w:spacing w:val="-9"/>
          <w:sz w:val="15"/>
          <w:shd w:fill="BFC84C" w:color="auto" w:val="clear"/>
        </w:rPr>
        <w:t> </w:t>
      </w:r>
      <w:r>
        <w:rPr>
          <w:color w:val="FFFFFF"/>
          <w:sz w:val="15"/>
          <w:shd w:fill="BFC84C" w:color="auto" w:val="clear"/>
        </w:rPr>
        <w:t>ACTUAL</w:t>
      </w:r>
      <w:r>
        <w:rPr>
          <w:color w:val="FFFFFF"/>
          <w:sz w:val="15"/>
        </w:rPr>
        <w:tab/>
      </w:r>
      <w:r>
        <w:rPr>
          <w:color w:val="FFFFFF"/>
          <w:sz w:val="15"/>
          <w:shd w:fill="BFC84C" w:color="auto" w:val="clear"/>
        </w:rPr>
        <w:t>ACTUAL</w:t>
      </w:r>
      <w:r>
        <w:rPr>
          <w:color w:val="FFFFFF"/>
          <w:sz w:val="15"/>
        </w:rPr>
        <w:tab/>
      </w:r>
      <w:r>
        <w:rPr>
          <w:color w:val="FFFFFF"/>
          <w:sz w:val="15"/>
          <w:shd w:fill="BFC84C" w:color="auto" w:val="clear"/>
        </w:rPr>
        <w:t>ACTUAL</w:t>
      </w:r>
      <w:r>
        <w:rPr>
          <w:color w:val="FFFFFF"/>
          <w:sz w:val="15"/>
        </w:rPr>
        <w:tab/>
      </w:r>
      <w:r>
        <w:rPr>
          <w:color w:val="FFFFFF"/>
          <w:w w:val="95"/>
          <w:sz w:val="15"/>
          <w:shd w:fill="803C83" w:color="auto" w:val="clear"/>
        </w:rPr>
        <w:t>TARGET</w:t>
      </w:r>
      <w:r>
        <w:rPr>
          <w:color w:val="FFFFFF"/>
          <w:w w:val="95"/>
          <w:sz w:val="15"/>
        </w:rPr>
        <w:tab/>
      </w:r>
      <w:r>
        <w:rPr>
          <w:color w:val="FFFFFF"/>
          <w:sz w:val="15"/>
          <w:shd w:fill="4C285B" w:color="auto" w:val="clear"/>
        </w:rPr>
        <w:t>ACTUAL</w:t>
      </w:r>
      <w:r>
        <w:rPr>
          <w:color w:val="FFFFFF"/>
          <w:sz w:val="15"/>
        </w:rPr>
        <w:tab/>
      </w:r>
      <w:r>
        <w:rPr>
          <w:color w:val="FFFFFF"/>
          <w:sz w:val="15"/>
          <w:shd w:fill="BFC84C" w:color="auto" w:val="clear"/>
        </w:rPr>
        <w:t>ACTUAL</w:t>
      </w:r>
      <w:r>
        <w:rPr>
          <w:color w:val="FFFFFF"/>
          <w:sz w:val="15"/>
        </w:rPr>
        <w:tab/>
      </w:r>
      <w:r>
        <w:rPr>
          <w:color w:val="FFFFFF"/>
          <w:sz w:val="15"/>
          <w:shd w:fill="BFC84C" w:color="auto" w:val="clear"/>
        </w:rPr>
        <w:t>ACTUAL</w:t>
      </w:r>
      <w:r>
        <w:rPr>
          <w:color w:val="FFFFFF"/>
          <w:sz w:val="15"/>
        </w:rPr>
        <w:tab/>
      </w:r>
      <w:r>
        <w:rPr>
          <w:color w:val="FFFFFF"/>
          <w:sz w:val="15"/>
          <w:shd w:fill="BFC84C" w:color="auto" w:val="clear"/>
        </w:rPr>
        <w:t>ACTUAL</w:t>
      </w:r>
      <w:r>
        <w:rPr>
          <w:color w:val="FFFFFF"/>
          <w:sz w:val="15"/>
        </w:rPr>
        <w:tab/>
      </w:r>
      <w:r>
        <w:rPr>
          <w:color w:val="FFFFFF"/>
          <w:w w:val="95"/>
          <w:sz w:val="15"/>
          <w:shd w:fill="803C83" w:color="auto" w:val="clear"/>
        </w:rPr>
        <w:t>TARGET</w:t>
      </w:r>
      <w:r>
        <w:rPr>
          <w:color w:val="FFFFFF"/>
          <w:w w:val="95"/>
          <w:sz w:val="15"/>
        </w:rPr>
        <w:tab/>
      </w:r>
      <w:r>
        <w:rPr>
          <w:color w:val="FFFFFF"/>
          <w:sz w:val="15"/>
          <w:shd w:fill="4C285B" w:color="auto" w:val="clear"/>
        </w:rPr>
        <w:t>ACTUAL</w:t>
      </w:r>
      <w:r>
        <w:rPr>
          <w:color w:val="FFFFFF"/>
          <w:spacing w:val="-10"/>
          <w:sz w:val="15"/>
          <w:shd w:fill="4C285B" w:color="auto" w:val="clear"/>
        </w:rPr>
        <w:t> </w:t>
      </w:r>
    </w:p>
    <w:p>
      <w:pPr>
        <w:spacing w:after="0"/>
        <w:jc w:val="left"/>
        <w:rPr>
          <w:sz w:val="15"/>
        </w:rPr>
        <w:sectPr>
          <w:type w:val="continuous"/>
          <w:pgSz w:w="16840" w:h="11910" w:orient="landscape"/>
          <w:pgMar w:top="0" w:bottom="0" w:left="0" w:right="0"/>
          <w:cols w:num="2" w:equalWidth="0">
            <w:col w:w="5408" w:space="40"/>
            <w:col w:w="11392"/>
          </w:cols>
        </w:sectPr>
      </w:pPr>
    </w:p>
    <w:p>
      <w:pPr>
        <w:pStyle w:val="BodyText"/>
        <w:spacing w:line="249" w:lineRule="auto" w:before="2"/>
        <w:ind w:left="755" w:right="30"/>
      </w:pPr>
      <w:r>
        <w:rPr/>
        <w:t>First</w:t>
      </w:r>
      <w:r>
        <w:rPr>
          <w:spacing w:val="-16"/>
        </w:rPr>
        <w:t> </w:t>
      </w:r>
      <w:r>
        <w:rPr/>
        <w:t>Home</w:t>
      </w:r>
      <w:r>
        <w:rPr>
          <w:spacing w:val="-16"/>
        </w:rPr>
        <w:t> </w:t>
      </w:r>
      <w:r>
        <w:rPr/>
        <w:t>Owner</w:t>
      </w:r>
      <w:r>
        <w:rPr>
          <w:spacing w:val="-16"/>
        </w:rPr>
        <w:t> </w:t>
      </w:r>
      <w:r>
        <w:rPr/>
        <w:t>Grant</w:t>
      </w:r>
      <w:r>
        <w:rPr>
          <w:spacing w:val="-16"/>
        </w:rPr>
        <w:t> </w:t>
      </w:r>
      <w:r>
        <w:rPr/>
        <w:t>Scheme,</w:t>
      </w:r>
      <w:r>
        <w:rPr>
          <w:spacing w:val="-16"/>
        </w:rPr>
        <w:t> </w:t>
      </w:r>
      <w:r>
        <w:rPr/>
        <w:t>as</w:t>
      </w:r>
      <w:r>
        <w:rPr>
          <w:spacing w:val="-16"/>
        </w:rPr>
        <w:t> </w:t>
      </w:r>
      <w:r>
        <w:rPr/>
        <w:t>well</w:t>
      </w:r>
      <w:r>
        <w:rPr>
          <w:spacing w:val="-16"/>
        </w:rPr>
        <w:t> </w:t>
      </w:r>
      <w:r>
        <w:rPr/>
        <w:t>as concessions</w:t>
      </w:r>
      <w:r>
        <w:rPr>
          <w:spacing w:val="-25"/>
        </w:rPr>
        <w:t> </w:t>
      </w:r>
      <w:r>
        <w:rPr/>
        <w:t>on</w:t>
      </w:r>
      <w:r>
        <w:rPr>
          <w:spacing w:val="-25"/>
        </w:rPr>
        <w:t> </w:t>
      </w:r>
      <w:r>
        <w:rPr/>
        <w:t>water</w:t>
      </w:r>
      <w:r>
        <w:rPr>
          <w:spacing w:val="-25"/>
        </w:rPr>
        <w:t> </w:t>
      </w:r>
      <w:r>
        <w:rPr/>
        <w:t>rates,</w:t>
      </w:r>
      <w:r>
        <w:rPr>
          <w:spacing w:val="-25"/>
        </w:rPr>
        <w:t> </w:t>
      </w:r>
      <w:r>
        <w:rPr/>
        <w:t>local</w:t>
      </w:r>
      <w:r>
        <w:rPr>
          <w:spacing w:val="-25"/>
        </w:rPr>
        <w:t> </w:t>
      </w:r>
      <w:r>
        <w:rPr/>
        <w:t>government rates and the Emergency Services Levy for pensioners and</w:t>
      </w:r>
      <w:r>
        <w:rPr>
          <w:spacing w:val="-5"/>
        </w:rPr>
        <w:t> </w:t>
      </w:r>
      <w:r>
        <w:rPr/>
        <w:t>seniors.</w:t>
      </w:r>
    </w:p>
    <w:p>
      <w:pPr>
        <w:pStyle w:val="BodyText"/>
        <w:spacing w:before="2"/>
        <w:rPr>
          <w:sz w:val="23"/>
        </w:rPr>
      </w:pPr>
    </w:p>
    <w:p>
      <w:pPr>
        <w:pStyle w:val="BodyText"/>
        <w:spacing w:before="1"/>
        <w:ind w:left="755"/>
      </w:pPr>
      <w:r>
        <w:rPr/>
        <w:t>The indicators represent the costs per unit of</w:t>
      </w:r>
    </w:p>
    <w:p>
      <w:pPr>
        <w:pStyle w:val="BodyText"/>
        <w:spacing w:before="10"/>
        <w:rPr>
          <w:sz w:val="14"/>
        </w:rPr>
      </w:pPr>
      <w:r>
        <w:rPr/>
        <w:br w:type="column"/>
      </w:r>
      <w:r>
        <w:rPr>
          <w:sz w:val="14"/>
        </w:rPr>
      </w:r>
    </w:p>
    <w:p>
      <w:pPr>
        <w:pStyle w:val="ListParagraph"/>
        <w:numPr>
          <w:ilvl w:val="1"/>
          <w:numId w:val="30"/>
        </w:numPr>
        <w:tabs>
          <w:tab w:pos="948" w:val="left" w:leader="none"/>
        </w:tabs>
        <w:spacing w:line="278" w:lineRule="auto" w:before="0" w:after="0"/>
        <w:ind w:left="963" w:right="0" w:hanging="208"/>
        <w:jc w:val="left"/>
        <w:rPr>
          <w:sz w:val="15"/>
        </w:rPr>
      </w:pPr>
      <w:r>
        <w:rPr>
          <w:sz w:val="15"/>
        </w:rPr>
        <w:t>Calculated</w:t>
      </w:r>
      <w:r>
        <w:rPr>
          <w:spacing w:val="-13"/>
          <w:sz w:val="15"/>
        </w:rPr>
        <w:t> </w:t>
      </w:r>
      <w:r>
        <w:rPr>
          <w:sz w:val="15"/>
        </w:rPr>
        <w:t>as</w:t>
      </w:r>
      <w:r>
        <w:rPr>
          <w:spacing w:val="-12"/>
          <w:sz w:val="15"/>
        </w:rPr>
        <w:t> </w:t>
      </w:r>
      <w:r>
        <w:rPr>
          <w:sz w:val="15"/>
        </w:rPr>
        <w:t>the</w:t>
      </w:r>
      <w:r>
        <w:rPr>
          <w:spacing w:val="-13"/>
          <w:sz w:val="15"/>
        </w:rPr>
        <w:t> </w:t>
      </w:r>
      <w:r>
        <w:rPr>
          <w:sz w:val="15"/>
        </w:rPr>
        <w:t>total</w:t>
      </w:r>
      <w:r>
        <w:rPr>
          <w:spacing w:val="-12"/>
          <w:sz w:val="15"/>
        </w:rPr>
        <w:t> </w:t>
      </w:r>
      <w:r>
        <w:rPr>
          <w:sz w:val="15"/>
        </w:rPr>
        <w:t>of</w:t>
      </w:r>
      <w:r>
        <w:rPr>
          <w:spacing w:val="-13"/>
          <w:sz w:val="15"/>
        </w:rPr>
        <w:t> </w:t>
      </w:r>
      <w:r>
        <w:rPr>
          <w:sz w:val="15"/>
        </w:rPr>
        <w:t>State</w:t>
      </w:r>
      <w:r>
        <w:rPr>
          <w:spacing w:val="-12"/>
          <w:sz w:val="15"/>
        </w:rPr>
        <w:t> </w:t>
      </w:r>
      <w:r>
        <w:rPr>
          <w:sz w:val="15"/>
        </w:rPr>
        <w:t>Revenue</w:t>
      </w:r>
      <w:r>
        <w:rPr>
          <w:spacing w:val="-12"/>
          <w:sz w:val="15"/>
        </w:rPr>
        <w:t> </w:t>
      </w:r>
      <w:r>
        <w:rPr>
          <w:sz w:val="15"/>
        </w:rPr>
        <w:t>costs</w:t>
      </w:r>
      <w:r>
        <w:rPr>
          <w:spacing w:val="-13"/>
          <w:sz w:val="15"/>
        </w:rPr>
        <w:t> </w:t>
      </w:r>
      <w:r>
        <w:rPr>
          <w:sz w:val="15"/>
        </w:rPr>
        <w:t>divided</w:t>
      </w:r>
      <w:r>
        <w:rPr>
          <w:spacing w:val="-12"/>
          <w:sz w:val="15"/>
        </w:rPr>
        <w:t> </w:t>
      </w:r>
      <w:r>
        <w:rPr>
          <w:sz w:val="15"/>
        </w:rPr>
        <w:t>by</w:t>
      </w:r>
      <w:r>
        <w:rPr>
          <w:spacing w:val="-13"/>
          <w:sz w:val="15"/>
        </w:rPr>
        <w:t> </w:t>
      </w:r>
      <w:r>
        <w:rPr>
          <w:sz w:val="15"/>
        </w:rPr>
        <w:t>total</w:t>
      </w:r>
      <w:r>
        <w:rPr>
          <w:spacing w:val="-12"/>
          <w:sz w:val="15"/>
        </w:rPr>
        <w:t> </w:t>
      </w:r>
      <w:r>
        <w:rPr>
          <w:spacing w:val="-4"/>
          <w:sz w:val="15"/>
        </w:rPr>
        <w:t>revenue </w:t>
      </w:r>
      <w:r>
        <w:rPr>
          <w:sz w:val="15"/>
        </w:rPr>
        <w:t>raised and multiplied by 100. A cost allocation model is used to apportion the costs of taxation administration based on full-time equivalent numbers and resource</w:t>
      </w:r>
      <w:r>
        <w:rPr>
          <w:spacing w:val="-8"/>
          <w:sz w:val="15"/>
        </w:rPr>
        <w:t> </w:t>
      </w:r>
      <w:r>
        <w:rPr>
          <w:sz w:val="15"/>
        </w:rPr>
        <w:t>usage.</w:t>
      </w:r>
    </w:p>
    <w:p>
      <w:pPr>
        <w:pStyle w:val="BodyText"/>
        <w:spacing w:before="10"/>
        <w:rPr>
          <w:sz w:val="14"/>
        </w:rPr>
      </w:pPr>
      <w:r>
        <w:rPr/>
        <w:br w:type="column"/>
      </w:r>
      <w:r>
        <w:rPr>
          <w:sz w:val="14"/>
        </w:rPr>
      </w:r>
    </w:p>
    <w:p>
      <w:pPr>
        <w:pStyle w:val="ListParagraph"/>
        <w:numPr>
          <w:ilvl w:val="1"/>
          <w:numId w:val="30"/>
        </w:numPr>
        <w:tabs>
          <w:tab w:pos="662" w:val="left" w:leader="none"/>
        </w:tabs>
        <w:spacing w:line="278" w:lineRule="auto" w:before="0" w:after="0"/>
        <w:ind w:left="669" w:right="927" w:hanging="209"/>
        <w:jc w:val="left"/>
        <w:rPr>
          <w:sz w:val="15"/>
        </w:rPr>
      </w:pPr>
      <w:r>
        <w:rPr>
          <w:sz w:val="15"/>
        </w:rPr>
        <w:t>Calculated</w:t>
      </w:r>
      <w:r>
        <w:rPr>
          <w:spacing w:val="-12"/>
          <w:sz w:val="15"/>
        </w:rPr>
        <w:t> </w:t>
      </w:r>
      <w:r>
        <w:rPr>
          <w:sz w:val="15"/>
        </w:rPr>
        <w:t>as</w:t>
      </w:r>
      <w:r>
        <w:rPr>
          <w:spacing w:val="-11"/>
          <w:sz w:val="15"/>
        </w:rPr>
        <w:t> </w:t>
      </w:r>
      <w:r>
        <w:rPr>
          <w:sz w:val="15"/>
        </w:rPr>
        <w:t>the</w:t>
      </w:r>
      <w:r>
        <w:rPr>
          <w:spacing w:val="-11"/>
          <w:sz w:val="15"/>
        </w:rPr>
        <w:t> </w:t>
      </w:r>
      <w:r>
        <w:rPr>
          <w:sz w:val="15"/>
        </w:rPr>
        <w:t>total</w:t>
      </w:r>
      <w:r>
        <w:rPr>
          <w:spacing w:val="-11"/>
          <w:sz w:val="15"/>
        </w:rPr>
        <w:t> </w:t>
      </w:r>
      <w:r>
        <w:rPr>
          <w:sz w:val="15"/>
        </w:rPr>
        <w:t>of</w:t>
      </w:r>
      <w:r>
        <w:rPr>
          <w:spacing w:val="-11"/>
          <w:sz w:val="15"/>
        </w:rPr>
        <w:t> </w:t>
      </w:r>
      <w:r>
        <w:rPr>
          <w:sz w:val="15"/>
        </w:rPr>
        <w:t>State</w:t>
      </w:r>
      <w:r>
        <w:rPr>
          <w:spacing w:val="-11"/>
          <w:sz w:val="15"/>
        </w:rPr>
        <w:t> </w:t>
      </w:r>
      <w:r>
        <w:rPr>
          <w:sz w:val="15"/>
        </w:rPr>
        <w:t>Revenue</w:t>
      </w:r>
      <w:r>
        <w:rPr>
          <w:spacing w:val="-12"/>
          <w:sz w:val="15"/>
        </w:rPr>
        <w:t> </w:t>
      </w:r>
      <w:r>
        <w:rPr>
          <w:sz w:val="15"/>
        </w:rPr>
        <w:t>costs</w:t>
      </w:r>
      <w:r>
        <w:rPr>
          <w:spacing w:val="-11"/>
          <w:sz w:val="15"/>
        </w:rPr>
        <w:t> </w:t>
      </w:r>
      <w:r>
        <w:rPr>
          <w:sz w:val="15"/>
        </w:rPr>
        <w:t>divided</w:t>
      </w:r>
      <w:r>
        <w:rPr>
          <w:spacing w:val="-11"/>
          <w:sz w:val="15"/>
        </w:rPr>
        <w:t> </w:t>
      </w:r>
      <w:r>
        <w:rPr>
          <w:sz w:val="15"/>
        </w:rPr>
        <w:t>by</w:t>
      </w:r>
      <w:r>
        <w:rPr>
          <w:spacing w:val="-11"/>
          <w:sz w:val="15"/>
        </w:rPr>
        <w:t> </w:t>
      </w:r>
      <w:r>
        <w:rPr>
          <w:sz w:val="15"/>
        </w:rPr>
        <w:t>the</w:t>
      </w:r>
      <w:r>
        <w:rPr>
          <w:spacing w:val="-11"/>
          <w:sz w:val="15"/>
        </w:rPr>
        <w:t> </w:t>
      </w:r>
      <w:r>
        <w:rPr>
          <w:spacing w:val="-3"/>
          <w:sz w:val="15"/>
        </w:rPr>
        <w:t>number </w:t>
      </w:r>
      <w:r>
        <w:rPr>
          <w:sz w:val="15"/>
        </w:rPr>
        <w:t>of</w:t>
      </w:r>
      <w:r>
        <w:rPr>
          <w:spacing w:val="-6"/>
          <w:sz w:val="15"/>
        </w:rPr>
        <w:t> </w:t>
      </w:r>
      <w:r>
        <w:rPr>
          <w:sz w:val="15"/>
        </w:rPr>
        <w:t>first</w:t>
      </w:r>
      <w:r>
        <w:rPr>
          <w:spacing w:val="-5"/>
          <w:sz w:val="15"/>
        </w:rPr>
        <w:t> </w:t>
      </w:r>
      <w:r>
        <w:rPr>
          <w:sz w:val="15"/>
        </w:rPr>
        <w:t>home</w:t>
      </w:r>
      <w:r>
        <w:rPr>
          <w:spacing w:val="-5"/>
          <w:sz w:val="15"/>
        </w:rPr>
        <w:t> </w:t>
      </w:r>
      <w:r>
        <w:rPr>
          <w:sz w:val="15"/>
        </w:rPr>
        <w:t>owner</w:t>
      </w:r>
      <w:r>
        <w:rPr>
          <w:spacing w:val="-5"/>
          <w:sz w:val="15"/>
        </w:rPr>
        <w:t> </w:t>
      </w:r>
      <w:r>
        <w:rPr>
          <w:sz w:val="15"/>
        </w:rPr>
        <w:t>grant</w:t>
      </w:r>
      <w:r>
        <w:rPr>
          <w:spacing w:val="-6"/>
          <w:sz w:val="15"/>
        </w:rPr>
        <w:t> </w:t>
      </w:r>
      <w:r>
        <w:rPr>
          <w:sz w:val="15"/>
        </w:rPr>
        <w:t>applications,</w:t>
      </w:r>
      <w:r>
        <w:rPr>
          <w:spacing w:val="-5"/>
          <w:sz w:val="15"/>
        </w:rPr>
        <w:t> </w:t>
      </w:r>
      <w:r>
        <w:rPr>
          <w:sz w:val="15"/>
        </w:rPr>
        <w:t>pensioner</w:t>
      </w:r>
      <w:r>
        <w:rPr>
          <w:spacing w:val="-5"/>
          <w:sz w:val="15"/>
        </w:rPr>
        <w:t> </w:t>
      </w:r>
      <w:r>
        <w:rPr>
          <w:sz w:val="15"/>
        </w:rPr>
        <w:t>concession</w:t>
      </w:r>
    </w:p>
    <w:p>
      <w:pPr>
        <w:spacing w:line="278" w:lineRule="auto" w:before="0"/>
        <w:ind w:left="669" w:right="1088" w:firstLine="0"/>
        <w:jc w:val="left"/>
        <w:rPr>
          <w:sz w:val="15"/>
        </w:rPr>
      </w:pPr>
      <w:r>
        <w:rPr>
          <w:sz w:val="15"/>
        </w:rPr>
        <w:t>claims and minor energy subsidy scheme applications. A cost allocation model is used to apportion the costs of processing of applications</w:t>
      </w:r>
      <w:r>
        <w:rPr>
          <w:spacing w:val="-16"/>
          <w:sz w:val="15"/>
        </w:rPr>
        <w:t> </w:t>
      </w:r>
      <w:r>
        <w:rPr>
          <w:sz w:val="15"/>
        </w:rPr>
        <w:t>and</w:t>
      </w:r>
      <w:r>
        <w:rPr>
          <w:spacing w:val="-15"/>
          <w:sz w:val="15"/>
        </w:rPr>
        <w:t> </w:t>
      </w:r>
      <w:r>
        <w:rPr>
          <w:sz w:val="15"/>
        </w:rPr>
        <w:t>claims</w:t>
      </w:r>
      <w:r>
        <w:rPr>
          <w:spacing w:val="-15"/>
          <w:sz w:val="15"/>
        </w:rPr>
        <w:t> </w:t>
      </w:r>
      <w:r>
        <w:rPr>
          <w:sz w:val="15"/>
        </w:rPr>
        <w:t>based</w:t>
      </w:r>
      <w:r>
        <w:rPr>
          <w:spacing w:val="-15"/>
          <w:sz w:val="15"/>
        </w:rPr>
        <w:t> </w:t>
      </w:r>
      <w:r>
        <w:rPr>
          <w:sz w:val="15"/>
        </w:rPr>
        <w:t>on</w:t>
      </w:r>
      <w:r>
        <w:rPr>
          <w:spacing w:val="-15"/>
          <w:sz w:val="15"/>
        </w:rPr>
        <w:t> </w:t>
      </w:r>
      <w:r>
        <w:rPr>
          <w:sz w:val="15"/>
        </w:rPr>
        <w:t>full-time</w:t>
      </w:r>
      <w:r>
        <w:rPr>
          <w:spacing w:val="-15"/>
          <w:sz w:val="15"/>
        </w:rPr>
        <w:t> </w:t>
      </w:r>
      <w:r>
        <w:rPr>
          <w:sz w:val="15"/>
        </w:rPr>
        <w:t>equivalent</w:t>
      </w:r>
      <w:r>
        <w:rPr>
          <w:spacing w:val="-15"/>
          <w:sz w:val="15"/>
        </w:rPr>
        <w:t> </w:t>
      </w:r>
      <w:r>
        <w:rPr>
          <w:sz w:val="15"/>
        </w:rPr>
        <w:t>numbers</w:t>
      </w:r>
      <w:r>
        <w:rPr>
          <w:spacing w:val="-16"/>
          <w:sz w:val="15"/>
        </w:rPr>
        <w:t> </w:t>
      </w:r>
      <w:r>
        <w:rPr>
          <w:spacing w:val="-6"/>
          <w:sz w:val="15"/>
        </w:rPr>
        <w:t>and </w:t>
      </w:r>
      <w:r>
        <w:rPr>
          <w:sz w:val="15"/>
        </w:rPr>
        <w:t>resource</w:t>
      </w:r>
      <w:r>
        <w:rPr>
          <w:spacing w:val="-1"/>
          <w:sz w:val="15"/>
        </w:rPr>
        <w:t> </w:t>
      </w:r>
      <w:r>
        <w:rPr>
          <w:sz w:val="15"/>
        </w:rPr>
        <w:t>usage.</w:t>
      </w:r>
    </w:p>
    <w:p>
      <w:pPr>
        <w:spacing w:after="0" w:line="278" w:lineRule="auto"/>
        <w:jc w:val="left"/>
        <w:rPr>
          <w:sz w:val="15"/>
        </w:rPr>
        <w:sectPr>
          <w:type w:val="continuous"/>
          <w:pgSz w:w="16840" w:h="11910" w:orient="landscape"/>
          <w:pgMar w:top="0" w:bottom="0" w:left="0" w:right="0"/>
          <w:cols w:num="3" w:equalWidth="0">
            <w:col w:w="5144" w:space="100"/>
            <w:col w:w="5499" w:space="40"/>
            <w:col w:w="6057"/>
          </w:cols>
        </w:sectPr>
      </w:pPr>
    </w:p>
    <w:p>
      <w:pPr>
        <w:pStyle w:val="BodyText"/>
        <w:spacing w:line="249" w:lineRule="auto" w:before="11"/>
        <w:ind w:left="755"/>
        <w:jc w:val="both"/>
      </w:pPr>
      <w:r>
        <w:rPr/>
        <w:t>taxation</w:t>
      </w:r>
      <w:r>
        <w:rPr>
          <w:spacing w:val="-23"/>
        </w:rPr>
        <w:t> </w:t>
      </w:r>
      <w:r>
        <w:rPr/>
        <w:t>raised</w:t>
      </w:r>
      <w:r>
        <w:rPr>
          <w:spacing w:val="-22"/>
        </w:rPr>
        <w:t> </w:t>
      </w:r>
      <w:r>
        <w:rPr/>
        <w:t>and</w:t>
      </w:r>
      <w:r>
        <w:rPr>
          <w:spacing w:val="-22"/>
        </w:rPr>
        <w:t> </w:t>
      </w:r>
      <w:r>
        <w:rPr/>
        <w:t>grant/subsidy</w:t>
      </w:r>
      <w:r>
        <w:rPr>
          <w:spacing w:val="-23"/>
        </w:rPr>
        <w:t> </w:t>
      </w:r>
      <w:r>
        <w:rPr/>
        <w:t>processed</w:t>
      </w:r>
      <w:r>
        <w:rPr>
          <w:spacing w:val="-22"/>
        </w:rPr>
        <w:t> </w:t>
      </w:r>
      <w:r>
        <w:rPr/>
        <w:t>in a</w:t>
      </w:r>
      <w:r>
        <w:rPr>
          <w:spacing w:val="-16"/>
        </w:rPr>
        <w:t> </w:t>
      </w:r>
      <w:r>
        <w:rPr/>
        <w:t>given</w:t>
      </w:r>
      <w:r>
        <w:rPr>
          <w:spacing w:val="-16"/>
        </w:rPr>
        <w:t> </w:t>
      </w:r>
      <w:r>
        <w:rPr>
          <w:spacing w:val="-5"/>
        </w:rPr>
        <w:t>year.</w:t>
      </w:r>
      <w:r>
        <w:rPr>
          <w:spacing w:val="-16"/>
        </w:rPr>
        <w:t> </w:t>
      </w:r>
      <w:r>
        <w:rPr>
          <w:spacing w:val="-5"/>
        </w:rPr>
        <w:t>Taken</w:t>
      </w:r>
      <w:r>
        <w:rPr>
          <w:spacing w:val="-16"/>
        </w:rPr>
        <w:t> </w:t>
      </w:r>
      <w:r>
        <w:rPr/>
        <w:t>into</w:t>
      </w:r>
      <w:r>
        <w:rPr>
          <w:spacing w:val="-16"/>
        </w:rPr>
        <w:t> </w:t>
      </w:r>
      <w:r>
        <w:rPr/>
        <w:t>account</w:t>
      </w:r>
      <w:r>
        <w:rPr>
          <w:spacing w:val="-16"/>
        </w:rPr>
        <w:t> </w:t>
      </w:r>
      <w:r>
        <w:rPr/>
        <w:t>with</w:t>
      </w:r>
      <w:r>
        <w:rPr>
          <w:spacing w:val="-16"/>
        </w:rPr>
        <w:t> </w:t>
      </w:r>
      <w:r>
        <w:rPr/>
        <w:t>the</w:t>
      </w:r>
      <w:r>
        <w:rPr>
          <w:spacing w:val="-16"/>
        </w:rPr>
        <w:t> </w:t>
      </w:r>
      <w:r>
        <w:rPr/>
        <w:t>notes explaining</w:t>
      </w:r>
      <w:r>
        <w:rPr>
          <w:spacing w:val="-31"/>
        </w:rPr>
        <w:t> </w:t>
      </w:r>
      <w:r>
        <w:rPr/>
        <w:t>any</w:t>
      </w:r>
      <w:r>
        <w:rPr>
          <w:spacing w:val="-31"/>
        </w:rPr>
        <w:t> </w:t>
      </w:r>
      <w:r>
        <w:rPr/>
        <w:t>variances,</w:t>
      </w:r>
      <w:r>
        <w:rPr>
          <w:spacing w:val="-30"/>
        </w:rPr>
        <w:t> </w:t>
      </w:r>
      <w:r>
        <w:rPr/>
        <w:t>it</w:t>
      </w:r>
      <w:r>
        <w:rPr>
          <w:spacing w:val="-31"/>
        </w:rPr>
        <w:t> </w:t>
      </w:r>
      <w:r>
        <w:rPr/>
        <w:t>provides</w:t>
      </w:r>
      <w:r>
        <w:rPr>
          <w:spacing w:val="-30"/>
        </w:rPr>
        <w:t> </w:t>
      </w:r>
      <w:r>
        <w:rPr/>
        <w:t>a</w:t>
      </w:r>
      <w:r>
        <w:rPr>
          <w:spacing w:val="-31"/>
        </w:rPr>
        <w:t> </w:t>
      </w:r>
      <w:r>
        <w:rPr>
          <w:spacing w:val="-4"/>
        </w:rPr>
        <w:t>measure </w:t>
      </w:r>
      <w:r>
        <w:rPr/>
        <w:t>of</w:t>
      </w:r>
      <w:r>
        <w:rPr>
          <w:spacing w:val="-1"/>
        </w:rPr>
        <w:t> </w:t>
      </w:r>
      <w:r>
        <w:rPr>
          <w:spacing w:val="-3"/>
        </w:rPr>
        <w:t>efficiency.</w:t>
      </w:r>
    </w:p>
    <w:p>
      <w:pPr>
        <w:pStyle w:val="ListParagraph"/>
        <w:numPr>
          <w:ilvl w:val="2"/>
          <w:numId w:val="30"/>
        </w:numPr>
        <w:tabs>
          <w:tab w:pos="1036" w:val="left" w:leader="none"/>
        </w:tabs>
        <w:spacing w:line="249" w:lineRule="auto" w:before="16" w:after="0"/>
        <w:ind w:left="1061" w:right="966" w:hanging="306"/>
        <w:jc w:val="both"/>
        <w:rPr>
          <w:sz w:val="22"/>
        </w:rPr>
      </w:pPr>
      <w:r>
        <w:rPr>
          <w:w w:val="93"/>
          <w:sz w:val="22"/>
        </w:rPr>
        <w:br w:type="column"/>
      </w:r>
      <w:r>
        <w:rPr>
          <w:sz w:val="22"/>
        </w:rPr>
        <w:t>Revenue</w:t>
      </w:r>
      <w:r>
        <w:rPr>
          <w:spacing w:val="-18"/>
          <w:sz w:val="22"/>
        </w:rPr>
        <w:t> </w:t>
      </w:r>
      <w:r>
        <w:rPr>
          <w:sz w:val="22"/>
        </w:rPr>
        <w:t>collections</w:t>
      </w:r>
      <w:r>
        <w:rPr>
          <w:spacing w:val="-18"/>
          <w:sz w:val="22"/>
        </w:rPr>
        <w:t> </w:t>
      </w:r>
      <w:r>
        <w:rPr>
          <w:sz w:val="22"/>
        </w:rPr>
        <w:t>have</w:t>
      </w:r>
      <w:r>
        <w:rPr>
          <w:spacing w:val="-18"/>
          <w:sz w:val="22"/>
        </w:rPr>
        <w:t> </w:t>
      </w:r>
      <w:r>
        <w:rPr>
          <w:sz w:val="22"/>
        </w:rPr>
        <w:t>reduced</w:t>
      </w:r>
      <w:r>
        <w:rPr>
          <w:spacing w:val="-18"/>
          <w:sz w:val="22"/>
        </w:rPr>
        <w:t> </w:t>
      </w:r>
      <w:r>
        <w:rPr>
          <w:sz w:val="22"/>
        </w:rPr>
        <w:t>in</w:t>
      </w:r>
      <w:r>
        <w:rPr>
          <w:spacing w:val="-18"/>
          <w:sz w:val="22"/>
        </w:rPr>
        <w:t> </w:t>
      </w:r>
      <w:r>
        <w:rPr>
          <w:sz w:val="22"/>
        </w:rPr>
        <w:t>comparison</w:t>
      </w:r>
      <w:r>
        <w:rPr>
          <w:spacing w:val="-18"/>
          <w:sz w:val="22"/>
        </w:rPr>
        <w:t> </w:t>
      </w:r>
      <w:r>
        <w:rPr>
          <w:sz w:val="22"/>
        </w:rPr>
        <w:t>to</w:t>
      </w:r>
      <w:r>
        <w:rPr>
          <w:spacing w:val="-18"/>
          <w:sz w:val="22"/>
        </w:rPr>
        <w:t> </w:t>
      </w:r>
      <w:r>
        <w:rPr>
          <w:sz w:val="22"/>
        </w:rPr>
        <w:t>prior</w:t>
      </w:r>
      <w:r>
        <w:rPr>
          <w:spacing w:val="-18"/>
          <w:sz w:val="22"/>
        </w:rPr>
        <w:t> </w:t>
      </w:r>
      <w:r>
        <w:rPr>
          <w:sz w:val="22"/>
        </w:rPr>
        <w:t>year</w:t>
      </w:r>
      <w:r>
        <w:rPr>
          <w:spacing w:val="-18"/>
          <w:sz w:val="22"/>
        </w:rPr>
        <w:t> </w:t>
      </w:r>
      <w:r>
        <w:rPr>
          <w:sz w:val="22"/>
        </w:rPr>
        <w:t>and</w:t>
      </w:r>
      <w:r>
        <w:rPr>
          <w:spacing w:val="-18"/>
          <w:sz w:val="22"/>
        </w:rPr>
        <w:t> </w:t>
      </w:r>
      <w:r>
        <w:rPr>
          <w:sz w:val="22"/>
        </w:rPr>
        <w:t>budget</w:t>
      </w:r>
      <w:r>
        <w:rPr>
          <w:spacing w:val="-18"/>
          <w:sz w:val="22"/>
        </w:rPr>
        <w:t> </w:t>
      </w:r>
      <w:r>
        <w:rPr>
          <w:sz w:val="22"/>
        </w:rPr>
        <w:t>estimates,</w:t>
      </w:r>
      <w:r>
        <w:rPr>
          <w:spacing w:val="-18"/>
          <w:sz w:val="22"/>
        </w:rPr>
        <w:t> </w:t>
      </w:r>
      <w:r>
        <w:rPr>
          <w:sz w:val="22"/>
        </w:rPr>
        <w:t>due</w:t>
      </w:r>
      <w:r>
        <w:rPr>
          <w:spacing w:val="-18"/>
          <w:sz w:val="22"/>
        </w:rPr>
        <w:t> </w:t>
      </w:r>
      <w:r>
        <w:rPr>
          <w:sz w:val="22"/>
        </w:rPr>
        <w:t>to</w:t>
      </w:r>
      <w:r>
        <w:rPr>
          <w:spacing w:val="-18"/>
          <w:sz w:val="22"/>
        </w:rPr>
        <w:t> </w:t>
      </w:r>
      <w:r>
        <w:rPr>
          <w:sz w:val="22"/>
        </w:rPr>
        <w:t>a</w:t>
      </w:r>
      <w:r>
        <w:rPr>
          <w:spacing w:val="-17"/>
          <w:sz w:val="22"/>
        </w:rPr>
        <w:t> </w:t>
      </w:r>
      <w:r>
        <w:rPr>
          <w:spacing w:val="-3"/>
          <w:sz w:val="22"/>
        </w:rPr>
        <w:t>decline </w:t>
      </w:r>
      <w:r>
        <w:rPr>
          <w:sz w:val="22"/>
        </w:rPr>
        <w:t>in</w:t>
      </w:r>
      <w:r>
        <w:rPr>
          <w:spacing w:val="-18"/>
          <w:sz w:val="22"/>
        </w:rPr>
        <w:t> </w:t>
      </w:r>
      <w:r>
        <w:rPr>
          <w:sz w:val="22"/>
        </w:rPr>
        <w:t>economic</w:t>
      </w:r>
      <w:r>
        <w:rPr>
          <w:spacing w:val="-17"/>
          <w:sz w:val="22"/>
        </w:rPr>
        <w:t> </w:t>
      </w:r>
      <w:r>
        <w:rPr>
          <w:spacing w:val="-3"/>
          <w:sz w:val="22"/>
        </w:rPr>
        <w:t>activity,</w:t>
      </w:r>
      <w:r>
        <w:rPr>
          <w:spacing w:val="-17"/>
          <w:sz w:val="22"/>
        </w:rPr>
        <w:t> </w:t>
      </w:r>
      <w:r>
        <w:rPr>
          <w:sz w:val="22"/>
        </w:rPr>
        <w:t>and</w:t>
      </w:r>
      <w:r>
        <w:rPr>
          <w:spacing w:val="-17"/>
          <w:sz w:val="22"/>
        </w:rPr>
        <w:t> </w:t>
      </w:r>
      <w:r>
        <w:rPr>
          <w:sz w:val="22"/>
        </w:rPr>
        <w:t>with</w:t>
      </w:r>
      <w:r>
        <w:rPr>
          <w:spacing w:val="-17"/>
          <w:sz w:val="22"/>
        </w:rPr>
        <w:t> </w:t>
      </w:r>
      <w:r>
        <w:rPr>
          <w:sz w:val="22"/>
        </w:rPr>
        <w:t>minimal</w:t>
      </w:r>
      <w:r>
        <w:rPr>
          <w:spacing w:val="-17"/>
          <w:sz w:val="22"/>
        </w:rPr>
        <w:t> </w:t>
      </w:r>
      <w:r>
        <w:rPr>
          <w:sz w:val="22"/>
        </w:rPr>
        <w:t>movement</w:t>
      </w:r>
      <w:r>
        <w:rPr>
          <w:spacing w:val="-17"/>
          <w:sz w:val="22"/>
        </w:rPr>
        <w:t> </w:t>
      </w:r>
      <w:r>
        <w:rPr>
          <w:sz w:val="22"/>
        </w:rPr>
        <w:t>in</w:t>
      </w:r>
      <w:r>
        <w:rPr>
          <w:spacing w:val="-17"/>
          <w:sz w:val="22"/>
        </w:rPr>
        <w:t> </w:t>
      </w:r>
      <w:r>
        <w:rPr>
          <w:sz w:val="22"/>
        </w:rPr>
        <w:t>actual</w:t>
      </w:r>
      <w:r>
        <w:rPr>
          <w:spacing w:val="-17"/>
          <w:sz w:val="22"/>
        </w:rPr>
        <w:t> </w:t>
      </w:r>
      <w:r>
        <w:rPr>
          <w:sz w:val="22"/>
        </w:rPr>
        <w:t>administrative</w:t>
      </w:r>
      <w:r>
        <w:rPr>
          <w:spacing w:val="-17"/>
          <w:sz w:val="22"/>
        </w:rPr>
        <w:t> </w:t>
      </w:r>
      <w:r>
        <w:rPr>
          <w:sz w:val="22"/>
        </w:rPr>
        <w:t>costs</w:t>
      </w:r>
      <w:r>
        <w:rPr>
          <w:spacing w:val="-17"/>
          <w:sz w:val="22"/>
        </w:rPr>
        <w:t> </w:t>
      </w:r>
      <w:r>
        <w:rPr>
          <w:sz w:val="22"/>
        </w:rPr>
        <w:t>between</w:t>
      </w:r>
      <w:r>
        <w:rPr>
          <w:spacing w:val="-17"/>
          <w:sz w:val="22"/>
        </w:rPr>
        <w:t> </w:t>
      </w:r>
      <w:r>
        <w:rPr>
          <w:sz w:val="22"/>
        </w:rPr>
        <w:t>2015-16</w:t>
      </w:r>
      <w:r>
        <w:rPr>
          <w:spacing w:val="-17"/>
          <w:sz w:val="22"/>
        </w:rPr>
        <w:t> </w:t>
      </w:r>
      <w:r>
        <w:rPr>
          <w:spacing w:val="-6"/>
          <w:sz w:val="22"/>
        </w:rPr>
        <w:t>and </w:t>
      </w:r>
      <w:r>
        <w:rPr>
          <w:sz w:val="22"/>
        </w:rPr>
        <w:t>2016-17, the average cost per $100 collected has</w:t>
      </w:r>
      <w:r>
        <w:rPr>
          <w:spacing w:val="-15"/>
          <w:sz w:val="22"/>
        </w:rPr>
        <w:t> </w:t>
      </w:r>
      <w:r>
        <w:rPr>
          <w:sz w:val="22"/>
        </w:rPr>
        <w:t>increased.</w:t>
      </w:r>
    </w:p>
    <w:p>
      <w:pPr>
        <w:pStyle w:val="ListParagraph"/>
        <w:numPr>
          <w:ilvl w:val="2"/>
          <w:numId w:val="30"/>
        </w:numPr>
        <w:tabs>
          <w:tab w:pos="1036" w:val="left" w:leader="none"/>
        </w:tabs>
        <w:spacing w:line="249" w:lineRule="auto" w:before="3" w:after="0"/>
        <w:ind w:left="1061" w:right="951" w:hanging="306"/>
        <w:jc w:val="both"/>
        <w:rPr>
          <w:sz w:val="22"/>
        </w:rPr>
      </w:pPr>
      <w:r>
        <w:rPr>
          <w:sz w:val="22"/>
        </w:rPr>
        <w:t>Increased</w:t>
      </w:r>
      <w:r>
        <w:rPr>
          <w:spacing w:val="-23"/>
          <w:sz w:val="22"/>
        </w:rPr>
        <w:t> </w:t>
      </w:r>
      <w:r>
        <w:rPr>
          <w:sz w:val="22"/>
        </w:rPr>
        <w:t>numbers</w:t>
      </w:r>
      <w:r>
        <w:rPr>
          <w:spacing w:val="-23"/>
          <w:sz w:val="22"/>
        </w:rPr>
        <w:t> </w:t>
      </w:r>
      <w:r>
        <w:rPr>
          <w:sz w:val="22"/>
        </w:rPr>
        <w:t>of</w:t>
      </w:r>
      <w:r>
        <w:rPr>
          <w:spacing w:val="-23"/>
          <w:sz w:val="22"/>
        </w:rPr>
        <w:t> </w:t>
      </w:r>
      <w:r>
        <w:rPr>
          <w:sz w:val="22"/>
        </w:rPr>
        <w:t>applications/claims,</w:t>
      </w:r>
      <w:r>
        <w:rPr>
          <w:spacing w:val="-23"/>
          <w:sz w:val="22"/>
        </w:rPr>
        <w:t> </w:t>
      </w:r>
      <w:r>
        <w:rPr>
          <w:sz w:val="22"/>
        </w:rPr>
        <w:t>due</w:t>
      </w:r>
      <w:r>
        <w:rPr>
          <w:spacing w:val="-23"/>
          <w:sz w:val="22"/>
        </w:rPr>
        <w:t> </w:t>
      </w:r>
      <w:r>
        <w:rPr>
          <w:sz w:val="22"/>
        </w:rPr>
        <w:t>to</w:t>
      </w:r>
      <w:r>
        <w:rPr>
          <w:spacing w:val="-23"/>
          <w:sz w:val="22"/>
        </w:rPr>
        <w:t> </w:t>
      </w:r>
      <w:r>
        <w:rPr>
          <w:sz w:val="22"/>
        </w:rPr>
        <w:t>a</w:t>
      </w:r>
      <w:r>
        <w:rPr>
          <w:spacing w:val="-23"/>
          <w:sz w:val="22"/>
        </w:rPr>
        <w:t> </w:t>
      </w:r>
      <w:r>
        <w:rPr>
          <w:sz w:val="22"/>
        </w:rPr>
        <w:t>higher</w:t>
      </w:r>
      <w:r>
        <w:rPr>
          <w:spacing w:val="-23"/>
          <w:sz w:val="22"/>
        </w:rPr>
        <w:t> </w:t>
      </w:r>
      <w:r>
        <w:rPr>
          <w:sz w:val="22"/>
        </w:rPr>
        <w:t>number</w:t>
      </w:r>
      <w:r>
        <w:rPr>
          <w:spacing w:val="-22"/>
          <w:sz w:val="22"/>
        </w:rPr>
        <w:t> </w:t>
      </w:r>
      <w:r>
        <w:rPr>
          <w:sz w:val="22"/>
        </w:rPr>
        <w:t>of</w:t>
      </w:r>
      <w:r>
        <w:rPr>
          <w:spacing w:val="-23"/>
          <w:sz w:val="22"/>
        </w:rPr>
        <w:t> </w:t>
      </w:r>
      <w:r>
        <w:rPr>
          <w:sz w:val="22"/>
        </w:rPr>
        <w:t>pensioners</w:t>
      </w:r>
      <w:r>
        <w:rPr>
          <w:spacing w:val="-23"/>
          <w:sz w:val="22"/>
        </w:rPr>
        <w:t> </w:t>
      </w:r>
      <w:r>
        <w:rPr>
          <w:sz w:val="22"/>
        </w:rPr>
        <w:t>and</w:t>
      </w:r>
      <w:r>
        <w:rPr>
          <w:spacing w:val="-23"/>
          <w:sz w:val="22"/>
        </w:rPr>
        <w:t> </w:t>
      </w:r>
      <w:r>
        <w:rPr>
          <w:sz w:val="22"/>
        </w:rPr>
        <w:t>seniors</w:t>
      </w:r>
      <w:r>
        <w:rPr>
          <w:spacing w:val="-23"/>
          <w:sz w:val="22"/>
        </w:rPr>
        <w:t> </w:t>
      </w:r>
      <w:r>
        <w:rPr>
          <w:sz w:val="22"/>
        </w:rPr>
        <w:t>applying for</w:t>
      </w:r>
      <w:r>
        <w:rPr>
          <w:spacing w:val="-16"/>
          <w:sz w:val="22"/>
        </w:rPr>
        <w:t> </w:t>
      </w:r>
      <w:r>
        <w:rPr>
          <w:sz w:val="22"/>
        </w:rPr>
        <w:t>concessions</w:t>
      </w:r>
      <w:r>
        <w:rPr>
          <w:spacing w:val="-16"/>
          <w:sz w:val="22"/>
        </w:rPr>
        <w:t> </w:t>
      </w:r>
      <w:r>
        <w:rPr>
          <w:sz w:val="22"/>
        </w:rPr>
        <w:t>in</w:t>
      </w:r>
      <w:r>
        <w:rPr>
          <w:spacing w:val="-16"/>
          <w:sz w:val="22"/>
        </w:rPr>
        <w:t> </w:t>
      </w:r>
      <w:r>
        <w:rPr>
          <w:sz w:val="22"/>
        </w:rPr>
        <w:t>2016-17,</w:t>
      </w:r>
      <w:r>
        <w:rPr>
          <w:spacing w:val="-16"/>
          <w:sz w:val="22"/>
        </w:rPr>
        <w:t> </w:t>
      </w:r>
      <w:r>
        <w:rPr>
          <w:sz w:val="22"/>
        </w:rPr>
        <w:t>while</w:t>
      </w:r>
      <w:r>
        <w:rPr>
          <w:spacing w:val="-16"/>
          <w:sz w:val="22"/>
        </w:rPr>
        <w:t> </w:t>
      </w:r>
      <w:r>
        <w:rPr>
          <w:sz w:val="22"/>
        </w:rPr>
        <w:t>costs</w:t>
      </w:r>
      <w:r>
        <w:rPr>
          <w:spacing w:val="-16"/>
          <w:sz w:val="22"/>
        </w:rPr>
        <w:t> </w:t>
      </w:r>
      <w:r>
        <w:rPr>
          <w:sz w:val="22"/>
        </w:rPr>
        <w:t>have</w:t>
      </w:r>
      <w:r>
        <w:rPr>
          <w:spacing w:val="-16"/>
          <w:sz w:val="22"/>
        </w:rPr>
        <w:t> </w:t>
      </w:r>
      <w:r>
        <w:rPr>
          <w:sz w:val="22"/>
        </w:rPr>
        <w:t>remained</w:t>
      </w:r>
      <w:r>
        <w:rPr>
          <w:spacing w:val="-16"/>
          <w:sz w:val="22"/>
        </w:rPr>
        <w:t> </w:t>
      </w:r>
      <w:r>
        <w:rPr>
          <w:sz w:val="22"/>
        </w:rPr>
        <w:t>stable,</w:t>
      </w:r>
      <w:r>
        <w:rPr>
          <w:spacing w:val="-16"/>
          <w:sz w:val="22"/>
        </w:rPr>
        <w:t> </w:t>
      </w:r>
      <w:r>
        <w:rPr>
          <w:sz w:val="22"/>
        </w:rPr>
        <w:t>has</w:t>
      </w:r>
      <w:r>
        <w:rPr>
          <w:spacing w:val="-16"/>
          <w:sz w:val="22"/>
        </w:rPr>
        <w:t> </w:t>
      </w:r>
      <w:r>
        <w:rPr>
          <w:sz w:val="22"/>
        </w:rPr>
        <w:t>resulted</w:t>
      </w:r>
      <w:r>
        <w:rPr>
          <w:spacing w:val="-16"/>
          <w:sz w:val="22"/>
        </w:rPr>
        <w:t> </w:t>
      </w:r>
      <w:r>
        <w:rPr>
          <w:sz w:val="22"/>
        </w:rPr>
        <w:t>in</w:t>
      </w:r>
      <w:r>
        <w:rPr>
          <w:spacing w:val="-16"/>
          <w:sz w:val="22"/>
        </w:rPr>
        <w:t> </w:t>
      </w:r>
      <w:r>
        <w:rPr>
          <w:sz w:val="22"/>
        </w:rPr>
        <w:t>a</w:t>
      </w:r>
      <w:r>
        <w:rPr>
          <w:spacing w:val="-16"/>
          <w:sz w:val="22"/>
        </w:rPr>
        <w:t> </w:t>
      </w:r>
      <w:r>
        <w:rPr>
          <w:sz w:val="22"/>
        </w:rPr>
        <w:t>lower</w:t>
      </w:r>
      <w:r>
        <w:rPr>
          <w:spacing w:val="-16"/>
          <w:sz w:val="22"/>
        </w:rPr>
        <w:t> </w:t>
      </w:r>
      <w:r>
        <w:rPr>
          <w:sz w:val="22"/>
        </w:rPr>
        <w:t>average</w:t>
      </w:r>
      <w:r>
        <w:rPr>
          <w:spacing w:val="-16"/>
          <w:sz w:val="22"/>
        </w:rPr>
        <w:t> </w:t>
      </w:r>
      <w:r>
        <w:rPr>
          <w:sz w:val="22"/>
        </w:rPr>
        <w:t>cost.</w:t>
      </w:r>
    </w:p>
    <w:p>
      <w:pPr>
        <w:spacing w:after="0" w:line="249" w:lineRule="auto"/>
        <w:jc w:val="both"/>
        <w:rPr>
          <w:sz w:val="22"/>
        </w:rPr>
        <w:sectPr>
          <w:type w:val="continuous"/>
          <w:pgSz w:w="16840" w:h="11910" w:orient="landscape"/>
          <w:pgMar w:top="0" w:bottom="0" w:left="0" w:right="0"/>
          <w:cols w:num="2" w:equalWidth="0">
            <w:col w:w="5190" w:space="54"/>
            <w:col w:w="115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1"/>
        <w:spacing w:before="93"/>
      </w:pPr>
      <w:r>
        <w:rPr/>
        <w:pict>
          <v:group style="position:absolute;margin-left:0pt;margin-top:-67.324211pt;width:841.9pt;height:104.75pt;mso-position-horizontal-relative:page;mso-position-vertical-relative:paragraph;z-index:-782824" coordorigin="0,-1346" coordsize="16838,2095">
            <v:shape style="position:absolute;left:14419;top:-1347;width:1455;height:1745" coordorigin="14419,-1346" coordsize="1455,1745" path="m15219,-1346l15194,-1346,14935,-1197,14901,-1163,15219,-1346m15356,-1346l15331,-1346,14748,-1010,14714,-976,15356,-1346m15492,-1346l15467,-1346,14562,-824,14527,-789,15492,-1346m15629,-1346l15604,-1346,14419,-662,14428,-653,15629,-1346m15766,-1346l15741,-1346,14469,-612,14478,-603,15766,-1346m15874,155l15470,388,15479,398,15874,170,15874,155m15874,76l15420,338,15429,348,15874,91,15874,76m15874,-3l15370,288,15379,297,15874,12,15874,-3m15874,-82l15320,238,15329,247,15874,-67,15874,-82m15874,-161l15270,188,15279,197,15874,-146,15874,-161m15874,-240l15220,138,15229,147,15874,-225,15874,-240m15874,-318l15170,88,15179,97,15874,-304,15874,-318m15874,-397l15120,38,15129,47,15874,-383,15874,-397m15874,-476l15070,-12,15079,-3,15874,-462,15874,-476m15874,-555l15020,-62,15029,-53,15874,-541,15874,-555m15874,-713l14920,-162,14929,-153,15874,-699,15874,-713m15874,-792l14870,-212,14879,-203,15874,-778,15874,-792m15874,-871l14819,-262,14829,-253,15874,-856,15874,-871m15874,-950l14769,-312,14779,-303,15874,-935,15874,-950m15874,-1029l14719,-362,14729,-353,15874,-1014,15874,-1029m15874,-1108l14669,-412,14679,-403,15874,-1093,15874,-1108m15874,-1187l14619,-462,14628,-453,15874,-1172,15874,-1187m15874,-1345l14519,-562,14528,-553,15874,-1330,15874,-1345m15874,-634l14970,-112,14979,-103,15874,-620,15874,-634m15874,-1266l14569,-512,14578,-503,15874,-1251,15874,-1266e" filled="true" fillcolor="#cdcccd" stroked="false">
              <v:path arrowok="t"/>
              <v:fill type="solid"/>
            </v:shape>
            <v:shape style="position:absolute;left:15520;top:234;width:354;height:514" type="#_x0000_t75" stroked="false">
              <v:imagedata r:id="rId42" o:title=""/>
            </v:shape>
            <v:shape style="position:absolute;left:15874;top:-1347;width:338;height:196" type="#_x0000_t75" stroked="false">
              <v:imagedata r:id="rId20" o:title=""/>
            </v:shape>
            <v:shape style="position:absolute;left:15874;top:-1347;width:964;height:1932" coordorigin="15874,-1346" coordsize="964,1932" path="m16349,-1346l16339,-1346,15874,-1078,15874,-1072,16349,-1346m16378,288l15874,579,15874,585,16365,302,16378,288m16486,-1346l16476,-1346,15874,-999,15874,-993,16486,-1346m16565,101l15874,500,15874,506,16551,115,16565,101m16622,-1346l16612,-1346,15874,-920,15874,-915,16622,-1346m16699,-1312l16695,-1315,15874,-841,15874,-836,16699,-1312m16749,-1262l16745,-1265,15874,-762,15874,-757,16749,-1262m16752,-85l15874,421,15874,427,16738,-72,16752,-85m16799,-1212l16795,-1215,15874,-684,15874,-678,16799,-1212m16838,-214l15874,343,15874,348,16838,-208,16838,-214m16838,-293l15874,264,15874,269,16838,-287,16838,-293m16838,-372l15874,185,15874,190,16838,-366,16838,-372m16838,-451l15874,106,15874,112,16838,-445,16838,-451m16838,-530l15874,27,15874,33,16838,-524,16838,-530m16838,-608l15874,-52,15874,-46,16838,-603,16838,-608m16838,-687l15874,-131,15874,-125,16838,-682,16838,-687m16838,-766l15874,-210,15874,-204,16838,-761,16838,-766m16838,-845l15874,-289,15874,-283,16838,-839,16838,-845m16838,-924l15874,-368,15874,-362,16838,-918,16838,-924m16838,-1003l15874,-447,15874,-441,16838,-997,16838,-1003m16838,-1082l15874,-526,15874,-520,16838,-1076,16838,-1082m16838,-1161l15874,-605,15874,-599,16838,-1155,16838,-1161e" filled="true" fillcolor="#cdcccd" stroked="false">
              <v:path arrowok="t"/>
              <v:fill type="solid"/>
            </v:shape>
            <v:shape style="position:absolute;left:15874;top:474;width:318;height:269" type="#_x0000_t75" stroked="false">
              <v:imagedata r:id="rId158" o:title=""/>
            </v:shape>
            <v:shape style="position:absolute;left:13667;top:-974;width:904;height:904" coordorigin="13667,-974" coordsize="904,904" path="m14119,-974l13667,-522,14119,-71,14570,-522,14119,-974xe" filled="true" fillcolor="#ffffff" stroked="false">
              <v:path arrowok="t"/>
              <v:fill type="solid"/>
            </v:shape>
            <v:shape style="position:absolute;left:13215;top:-523;width:904;height:904" coordorigin="13215,-522" coordsize="904,904" path="m13667,-522l13215,-71,13667,381,14119,-71,13667,-522xe" filled="true" fillcolor="#e8e9c9" stroked="false">
              <v:path arrowok="t"/>
              <v:fill type="solid"/>
            </v:shape>
            <v:shape style="position:absolute;left:11860;top:-974;width:2710;height:904" coordorigin="11861,-974" coordsize="2710,904" path="m12764,-522l12312,-974,11861,-522,12312,-71,12764,-522m14570,-522l14119,-974,13667,-522,14119,-71,14570,-522e" filled="true" fillcolor="#efeeeb" stroked="false">
              <v:path arrowok="t"/>
              <v:fill type="solid"/>
            </v:shape>
            <v:shape style="position:absolute;left:12763;top:-974;width:904;height:904" coordorigin="12764,-974" coordsize="904,904" path="m13215,-974l12764,-522,13215,-71,13667,-522,13215,-974xe" filled="true" fillcolor="#c0aac2" stroked="false">
              <v:path arrowok="t"/>
              <v:fill type="solid"/>
            </v:shape>
            <v:shape style="position:absolute;left:15424;top:-271;width:900;height:904" coordorigin="15424,-271" coordsize="900,904" path="m15874,-271l15424,179,15424,182,15874,632,16324,182,16324,179,15874,-271xe" filled="true" fillcolor="#c4cd71" stroked="false">
              <v:path arrowok="t"/>
              <v:fill type="solid"/>
            </v:shape>
            <v:shape style="position:absolute;left:15422;top:179;width:2;height:4" coordorigin="15423,179" coordsize="2,4" path="m15424,179l15423,181,15424,182,15424,179xe" filled="true" fillcolor="#b9c369" stroked="false">
              <v:path arrowok="t"/>
              <v:fill type="solid"/>
            </v:shape>
            <v:shape style="position:absolute;left:16324;top:179;width:2;height:4" coordorigin="16324,179" coordsize="2,4" path="m16324,179l16324,182,16326,181,16324,179xe" filled="true" fillcolor="#bec29e" stroked="false">
              <v:path arrowok="t"/>
              <v:fill type="solid"/>
            </v:shape>
            <v:rect style="position:absolute;left:9621;top:-1347;width:2406;height:851" filled="true" fillcolor="#e6e7e8" stroked="false">
              <v:fill type="solid"/>
            </v:rect>
            <v:shape style="position:absolute;left:9621;top:-1347;width:583;height:583" type="#_x0000_t75" stroked="false">
              <v:imagedata r:id="rId247" o:title=""/>
            </v:shape>
            <v:rect style="position:absolute;left:12026;top:-1347;width:2406;height:851" filled="true" fillcolor="#b6c247" stroked="false">
              <v:fill type="solid"/>
            </v:rect>
            <v:rect style="position:absolute;left:14432;top:-1347;width:2406;height:851" filled="true" fillcolor="#aebd37" stroked="false">
              <v:fill type="solid"/>
            </v:rect>
            <v:line style="position:absolute" from="16838,-1346" to="16838,-496" stroked="true" strokeweight=".001pt" strokecolor="#aebd37">
              <v:stroke dashstyle="solid"/>
            </v:line>
            <v:shape style="position:absolute;left:15263;top:19;width:161;height:322" type="#_x0000_t75" stroked="false">
              <v:imagedata r:id="rId16" o:title=""/>
            </v:shape>
            <v:shape style="position:absolute;left:16324;top:19;width:161;height:322" type="#_x0000_t75" stroked="false">
              <v:imagedata r:id="rId11" o:title=""/>
            </v:shape>
            <v:shape style="position:absolute;left:15585;top:0;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4432;top:-13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47;width:2406;height:851" type="#_x0000_t202" filled="false"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1347;width:2406;height:851" type="#_x0000_t202" filled="false" stroked="false">
              <v:textbox inset="0,0,0,0">
                <w:txbxContent>
                  <w:p>
                    <w:pPr>
                      <w:spacing w:line="249" w:lineRule="auto" w:before="182"/>
                      <w:ind w:left="633" w:right="0" w:hanging="291"/>
                      <w:jc w:val="left"/>
                      <w:rPr>
                        <w:sz w:val="20"/>
                      </w:rPr>
                    </w:pPr>
                    <w:hyperlink w:history="true" w:anchor="_bookmark58">
                      <w:r>
                        <w:rPr>
                          <w:color w:val="6F2770"/>
                          <w:w w:val="95"/>
                          <w:sz w:val="20"/>
                        </w:rPr>
                        <w:t>KEY </w:t>
                      </w:r>
                    </w:hyperlink>
                    <w:hyperlink w:history="true" w:anchor="_bookmark58">
                      <w:r>
                        <w:rPr>
                          <w:color w:val="6F2770"/>
                          <w:w w:val="95"/>
                          <w:sz w:val="20"/>
                        </w:rPr>
                        <w:t>PERFORMANCE </w:t>
                      </w:r>
                      <w:r>
                        <w:rPr>
                          <w:color w:val="6F2770"/>
                          <w:sz w:val="20"/>
                        </w:rPr>
                        <w:t>INDICATORS</w:t>
                      </w:r>
                    </w:hyperlink>
                  </w:p>
                </w:txbxContent>
              </v:textbox>
              <w10:wrap type="none"/>
            </v:shape>
            <v:shape style="position:absolute;left:7211;top:-1347;width:2411;height:851" type="#_x0000_t202" filled="true" fillcolor="#c4cd71" stroked="false">
              <v:textbox inset="0,0,0,0">
                <w:txbxContent>
                  <w:p>
                    <w:pPr>
                      <w:spacing w:line="249" w:lineRule="auto" w:before="182"/>
                      <w:ind w:left="592"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347;width:2409;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347;width:2398;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347;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bookmarkStart w:name="_bookmark62" w:id="64"/>
      <w:bookmarkEnd w:id="64"/>
      <w:r>
        <w:rPr/>
      </w:r>
      <w:r>
        <w:rPr>
          <w:color w:val="6F2770"/>
        </w:rPr>
        <w:t>Key Effectiveness Indicators</w:t>
      </w:r>
    </w:p>
    <w:p>
      <w:pPr>
        <w:pStyle w:val="Heading4"/>
        <w:spacing w:before="110"/>
      </w:pPr>
      <w:r>
        <w:rPr>
          <w:color w:val="A7BE39"/>
        </w:rPr>
        <w:t>Government Procurement</w:t>
      </w:r>
    </w:p>
    <w:p>
      <w:pPr>
        <w:pStyle w:val="BodyText"/>
        <w:rPr>
          <w:sz w:val="12"/>
        </w:rPr>
      </w:pPr>
    </w:p>
    <w:p>
      <w:pPr>
        <w:spacing w:after="0"/>
        <w:rPr>
          <w:sz w:val="12"/>
        </w:rPr>
        <w:sectPr>
          <w:footerReference w:type="default" r:id="rId256"/>
          <w:pgSz w:w="16840" w:h="11910" w:orient="landscape"/>
          <w:pgMar w:footer="448" w:header="0" w:top="0" w:bottom="640" w:left="0" w:right="0"/>
        </w:sectPr>
      </w:pPr>
    </w:p>
    <w:p>
      <w:pPr>
        <w:pStyle w:val="Heading6"/>
        <w:spacing w:line="249" w:lineRule="auto" w:before="108"/>
        <w:ind w:right="38"/>
      </w:pPr>
      <w:r>
        <w:rPr/>
        <w:t>Outcome 2: Value-for-money from public sector procurement</w:t>
      </w:r>
    </w:p>
    <w:p>
      <w:pPr>
        <w:pStyle w:val="BodyText"/>
        <w:spacing w:before="1"/>
        <w:rPr>
          <w:b/>
          <w:sz w:val="23"/>
        </w:rPr>
      </w:pPr>
    </w:p>
    <w:p>
      <w:pPr>
        <w:pStyle w:val="BodyText"/>
        <w:spacing w:line="249" w:lineRule="auto" w:before="1"/>
        <w:ind w:left="765" w:right="38"/>
      </w:pPr>
      <w:r>
        <w:rPr/>
        <w:t>This</w:t>
      </w:r>
      <w:r>
        <w:rPr>
          <w:spacing w:val="-24"/>
        </w:rPr>
        <w:t> </w:t>
      </w:r>
      <w:r>
        <w:rPr/>
        <w:t>outcome</w:t>
      </w:r>
      <w:r>
        <w:rPr>
          <w:spacing w:val="-23"/>
        </w:rPr>
        <w:t> </w:t>
      </w:r>
      <w:r>
        <w:rPr/>
        <w:t>aims</w:t>
      </w:r>
      <w:r>
        <w:rPr>
          <w:spacing w:val="-23"/>
        </w:rPr>
        <w:t> </w:t>
      </w:r>
      <w:r>
        <w:rPr/>
        <w:t>to</w:t>
      </w:r>
      <w:r>
        <w:rPr>
          <w:spacing w:val="-24"/>
        </w:rPr>
        <w:t> </w:t>
      </w:r>
      <w:r>
        <w:rPr/>
        <w:t>deliver</w:t>
      </w:r>
      <w:r>
        <w:rPr>
          <w:spacing w:val="-23"/>
        </w:rPr>
        <w:t> </w:t>
      </w:r>
      <w:r>
        <w:rPr>
          <w:spacing w:val="-3"/>
        </w:rPr>
        <w:t>value-for-money </w:t>
      </w:r>
      <w:r>
        <w:rPr/>
        <w:t>procurement services and frameworks across the Western Australian public </w:t>
      </w:r>
      <w:r>
        <w:rPr>
          <w:spacing w:val="-3"/>
        </w:rPr>
        <w:t>sector. </w:t>
      </w:r>
      <w:r>
        <w:rPr/>
        <w:t>Value-for-money</w:t>
      </w:r>
      <w:r>
        <w:rPr>
          <w:spacing w:val="-25"/>
        </w:rPr>
        <w:t> </w:t>
      </w:r>
      <w:r>
        <w:rPr/>
        <w:t>is</w:t>
      </w:r>
      <w:r>
        <w:rPr>
          <w:spacing w:val="-25"/>
        </w:rPr>
        <w:t> </w:t>
      </w:r>
      <w:r>
        <w:rPr/>
        <w:t>a</w:t>
      </w:r>
      <w:r>
        <w:rPr>
          <w:spacing w:val="-25"/>
        </w:rPr>
        <w:t> </w:t>
      </w:r>
      <w:r>
        <w:rPr/>
        <w:t>key</w:t>
      </w:r>
      <w:r>
        <w:rPr>
          <w:spacing w:val="-25"/>
        </w:rPr>
        <w:t> </w:t>
      </w:r>
      <w:r>
        <w:rPr/>
        <w:t>policy</w:t>
      </w:r>
      <w:r>
        <w:rPr>
          <w:spacing w:val="-25"/>
        </w:rPr>
        <w:t> </w:t>
      </w:r>
      <w:r>
        <w:rPr/>
        <w:t>objective</w:t>
      </w:r>
      <w:r>
        <w:rPr>
          <w:spacing w:val="-24"/>
        </w:rPr>
        <w:t> </w:t>
      </w:r>
      <w:r>
        <w:rPr/>
        <w:t>and ensures public authorities achieve the best possible outcome for the amount of money spent</w:t>
      </w:r>
      <w:r>
        <w:rPr>
          <w:spacing w:val="-15"/>
        </w:rPr>
        <w:t> </w:t>
      </w:r>
      <w:r>
        <w:rPr/>
        <w:t>when</w:t>
      </w:r>
      <w:r>
        <w:rPr>
          <w:spacing w:val="-15"/>
        </w:rPr>
        <w:t> </w:t>
      </w:r>
      <w:r>
        <w:rPr/>
        <w:t>purchasing</w:t>
      </w:r>
      <w:r>
        <w:rPr>
          <w:spacing w:val="-15"/>
        </w:rPr>
        <w:t> </w:t>
      </w:r>
      <w:r>
        <w:rPr/>
        <w:t>goods</w:t>
      </w:r>
      <w:r>
        <w:rPr>
          <w:spacing w:val="-14"/>
        </w:rPr>
        <w:t> </w:t>
      </w:r>
      <w:r>
        <w:rPr/>
        <w:t>and</w:t>
      </w:r>
      <w:r>
        <w:rPr>
          <w:spacing w:val="-15"/>
        </w:rPr>
        <w:t> </w:t>
      </w:r>
      <w:r>
        <w:rPr/>
        <w:t>services.</w:t>
      </w:r>
    </w:p>
    <w:p>
      <w:pPr>
        <w:pStyle w:val="Heading6"/>
        <w:spacing w:line="249" w:lineRule="auto" w:before="108"/>
        <w:rPr>
          <w:sz w:val="10"/>
        </w:rPr>
      </w:pPr>
      <w:r>
        <w:rPr>
          <w:b w:val="0"/>
        </w:rPr>
        <w:br w:type="column"/>
      </w:r>
      <w:r>
        <w:rPr/>
        <w:t>Profitability of the </w:t>
      </w:r>
      <w:r>
        <w:rPr>
          <w:spacing w:val="-3"/>
        </w:rPr>
        <w:t>State’s </w:t>
      </w:r>
      <w:r>
        <w:rPr/>
        <w:t>light vehicle </w:t>
      </w:r>
      <w:r>
        <w:rPr>
          <w:spacing w:val="-4"/>
        </w:rPr>
        <w:t>fleet </w:t>
      </w:r>
      <w:r>
        <w:rPr/>
        <w:t>($000) </w:t>
      </w:r>
      <w:r>
        <w:rPr>
          <w:position w:val="8"/>
          <w:sz w:val="10"/>
        </w:rPr>
        <w:t>(a)</w:t>
      </w:r>
    </w:p>
    <w:p>
      <w:pPr>
        <w:spacing w:line="249" w:lineRule="auto" w:before="108"/>
        <w:ind w:left="727" w:right="1112" w:firstLine="0"/>
        <w:jc w:val="left"/>
        <w:rPr>
          <w:b/>
          <w:sz w:val="10"/>
        </w:rPr>
      </w:pPr>
      <w:r>
        <w:rPr/>
        <w:br w:type="column"/>
      </w:r>
      <w:r>
        <w:rPr>
          <w:b/>
          <w:sz w:val="22"/>
        </w:rPr>
        <w:t>Extent to which client agencies agree that their agency contracts and CUAs achieved value-for-money (%) </w:t>
      </w:r>
      <w:r>
        <w:rPr>
          <w:b/>
          <w:position w:val="8"/>
          <w:sz w:val="10"/>
        </w:rPr>
        <w:t>(b)</w:t>
      </w:r>
    </w:p>
    <w:p>
      <w:pPr>
        <w:spacing w:after="0" w:line="249" w:lineRule="auto"/>
        <w:jc w:val="left"/>
        <w:rPr>
          <w:sz w:val="10"/>
        </w:rPr>
        <w:sectPr>
          <w:type w:val="continuous"/>
          <w:pgSz w:w="16840" w:h="11910" w:orient="landscape"/>
          <w:pgMar w:top="0" w:bottom="0" w:left="0" w:right="0"/>
          <w:cols w:num="3" w:equalWidth="0">
            <w:col w:w="5105" w:space="139"/>
            <w:col w:w="5243" w:space="40"/>
            <w:col w:w="6313"/>
          </w:cols>
        </w:sectPr>
      </w:pPr>
    </w:p>
    <w:p>
      <w:pPr>
        <w:pStyle w:val="BodyText"/>
        <w:spacing w:before="2"/>
        <w:rPr>
          <w:b/>
          <w:sz w:val="14"/>
        </w:rPr>
      </w:pPr>
    </w:p>
    <w:p>
      <w:pPr>
        <w:spacing w:after="0"/>
        <w:rPr>
          <w:sz w:val="14"/>
        </w:rPr>
        <w:sectPr>
          <w:type w:val="continuous"/>
          <w:pgSz w:w="16840" w:h="11910" w:orient="landscape"/>
          <w:pgMar w:top="0" w:bottom="0" w:left="0" w:right="0"/>
        </w:sectPr>
      </w:pPr>
    </w:p>
    <w:p>
      <w:pPr>
        <w:pStyle w:val="BodyText"/>
        <w:spacing w:line="249" w:lineRule="auto" w:before="107"/>
        <w:ind w:left="765" w:right="1203"/>
      </w:pPr>
      <w:r>
        <w:rPr/>
        <w:t>Value-for-money from public sector procurement</w:t>
      </w:r>
      <w:r>
        <w:rPr>
          <w:spacing w:val="-30"/>
        </w:rPr>
        <w:t> </w:t>
      </w:r>
      <w:r>
        <w:rPr/>
        <w:t>is</w:t>
      </w:r>
      <w:r>
        <w:rPr>
          <w:spacing w:val="-29"/>
        </w:rPr>
        <w:t> </w:t>
      </w:r>
      <w:r>
        <w:rPr/>
        <w:t>considered</w:t>
      </w:r>
      <w:r>
        <w:rPr>
          <w:spacing w:val="-29"/>
        </w:rPr>
        <w:t> </w:t>
      </w:r>
      <w:r>
        <w:rPr/>
        <w:t>effective</w:t>
      </w:r>
      <w:r>
        <w:rPr>
          <w:spacing w:val="-29"/>
        </w:rPr>
        <w:t> </w:t>
      </w:r>
      <w:r>
        <w:rPr>
          <w:spacing w:val="-6"/>
        </w:rPr>
        <w:t>if:</w:t>
      </w:r>
    </w:p>
    <w:p>
      <w:pPr>
        <w:pStyle w:val="BodyText"/>
        <w:spacing w:before="1"/>
        <w:rPr>
          <w:sz w:val="23"/>
        </w:rPr>
      </w:pPr>
    </w:p>
    <w:p>
      <w:pPr>
        <w:pStyle w:val="ListParagraph"/>
        <w:numPr>
          <w:ilvl w:val="0"/>
          <w:numId w:val="31"/>
        </w:numPr>
        <w:tabs>
          <w:tab w:pos="937" w:val="left" w:leader="none"/>
        </w:tabs>
        <w:spacing w:line="249" w:lineRule="auto" w:before="0" w:after="0"/>
        <w:ind w:left="948" w:right="0" w:hanging="183"/>
        <w:jc w:val="left"/>
        <w:rPr>
          <w:sz w:val="22"/>
        </w:rPr>
      </w:pPr>
      <w:r>
        <w:rPr>
          <w:sz w:val="22"/>
        </w:rPr>
        <w:t>Economies of scale are achieved through the aggregation</w:t>
      </w:r>
      <w:r>
        <w:rPr>
          <w:spacing w:val="-32"/>
          <w:sz w:val="22"/>
        </w:rPr>
        <w:t> </w:t>
      </w:r>
      <w:r>
        <w:rPr>
          <w:sz w:val="22"/>
        </w:rPr>
        <w:t>of</w:t>
      </w:r>
      <w:r>
        <w:rPr>
          <w:spacing w:val="-31"/>
          <w:sz w:val="22"/>
        </w:rPr>
        <w:t> </w:t>
      </w:r>
      <w:r>
        <w:rPr>
          <w:sz w:val="22"/>
        </w:rPr>
        <w:t>the</w:t>
      </w:r>
      <w:r>
        <w:rPr>
          <w:spacing w:val="-32"/>
          <w:sz w:val="22"/>
        </w:rPr>
        <w:t> </w:t>
      </w:r>
      <w:r>
        <w:rPr>
          <w:sz w:val="22"/>
        </w:rPr>
        <w:t>acquisition,</w:t>
      </w:r>
      <w:r>
        <w:rPr>
          <w:spacing w:val="-31"/>
          <w:sz w:val="22"/>
        </w:rPr>
        <w:t> </w:t>
      </w:r>
      <w:r>
        <w:rPr>
          <w:sz w:val="22"/>
        </w:rPr>
        <w:t>fleet</w:t>
      </w:r>
      <w:r>
        <w:rPr>
          <w:spacing w:val="-32"/>
          <w:sz w:val="22"/>
        </w:rPr>
        <w:t> </w:t>
      </w:r>
      <w:r>
        <w:rPr>
          <w:sz w:val="22"/>
        </w:rPr>
        <w:t>management and disposal activities related to</w:t>
      </w:r>
      <w:r>
        <w:rPr>
          <w:spacing w:val="-23"/>
          <w:sz w:val="22"/>
        </w:rPr>
        <w:t> </w:t>
      </w:r>
      <w:r>
        <w:rPr>
          <w:sz w:val="22"/>
        </w:rPr>
        <w:t>the</w:t>
      </w:r>
    </w:p>
    <w:p>
      <w:pPr>
        <w:pStyle w:val="BodyText"/>
      </w:pPr>
      <w:r>
        <w:rPr/>
        <w:br w:type="column"/>
      </w:r>
      <w:r>
        <w:rPr/>
      </w:r>
    </w:p>
    <w:p>
      <w:pPr>
        <w:pStyle w:val="BodyText"/>
      </w:pPr>
    </w:p>
    <w:p>
      <w:pPr>
        <w:pStyle w:val="BodyText"/>
        <w:spacing w:before="6"/>
        <w:rPr>
          <w:sz w:val="27"/>
        </w:rPr>
      </w:pPr>
    </w:p>
    <w:p>
      <w:pPr>
        <w:tabs>
          <w:tab w:pos="1467" w:val="left" w:leader="none"/>
          <w:tab w:pos="2473" w:val="left" w:leader="none"/>
          <w:tab w:pos="3479" w:val="left" w:leader="none"/>
          <w:tab w:pos="4491" w:val="left" w:leader="none"/>
          <w:tab w:pos="5704" w:val="left" w:leader="none"/>
          <w:tab w:pos="6711" w:val="left" w:leader="none"/>
        </w:tabs>
        <w:spacing w:before="0"/>
        <w:ind w:left="461" w:right="0" w:firstLine="0"/>
        <w:jc w:val="left"/>
        <w:rPr>
          <w:b/>
          <w:sz w:val="19"/>
        </w:rPr>
      </w:pPr>
      <w:r>
        <w:rPr/>
        <w:pict>
          <v:group style="position:absolute;margin-left:501.732208pt;margin-top:-139.118118pt;width:40.2pt;height:138pt;mso-position-horizontal-relative:page;mso-position-vertical-relative:paragraph;z-index:30856" coordorigin="10035,-2782" coordsize="804,2760">
            <v:shape style="position:absolute;left:10436;top:-2354;width:392;height:2321" coordorigin="10437,-2353" coordsize="392,2321" path="m10828,-2353l10437,-1962,10437,-33,10828,-33,10828,-2353xe" filled="true" fillcolor="#e1dce1" stroked="false">
              <v:path arrowok="t"/>
              <v:fill type="solid"/>
            </v:shape>
            <v:shape style="position:absolute;left:10034;top:-2378;width:804;height:2355" coordorigin="10035,-2378" coordsize="804,2355" path="m10035,-2378l10035,-23,10838,-23,10838,-28,10437,-28,10437,-33,10045,-33,10045,-2353,10059,-2353,10050,-2362,10036,-2362,10040,-2366,10047,-2366,10035,-2378xm10838,-2366l10833,-2366,10833,-28,10838,-28,10838,-2366xm10059,-2353l10045,-2353,10437,-1962,10437,-1969,10444,-1976,10437,-1976,10059,-2353xm10838,-2378l10437,-1976,10444,-1976,10833,-2366,10838,-2366,10838,-2378xm10047,-2366l10040,-2366,10036,-2362,10050,-2362,10047,-2366xe" filled="true" fillcolor="#806a83" stroked="false">
              <v:path arrowok="t"/>
              <v:fill type="solid"/>
            </v:shape>
            <v:shape style="position:absolute;left:10436;top:-2366;width:397;height:2338" coordorigin="10437,-2366" coordsize="397,2338" path="m10833,-2353l10828,-2353,10828,-33,10437,-33,10437,-28,10833,-28,10833,-2353xm10833,-2366l10437,-1969,10437,-1962,10828,-2353,10833,-2353,10833,-2366xe" filled="true" fillcolor="#79627d" stroked="false">
              <v:path arrowok="t"/>
              <v:fill type="solid"/>
            </v:shape>
            <v:shape style="position:absolute;left:10068;top:-2783;width:737;height:738" coordorigin="10068,-2782" coordsize="737,738" path="m10437,-2782l10068,-2414,10437,-2045,10805,-2414,10437,-2782xe" filled="true" fillcolor="#360f41" stroked="false">
              <v:path arrowok="t"/>
              <v:fill type="solid"/>
            </v:shape>
            <v:shape style="position:absolute;left:10034;top:-2783;width:804;height:2760" type="#_x0000_t202" filled="false" stroked="false">
              <v:textbox inset="0,0,0,0">
                <w:txbxContent>
                  <w:p>
                    <w:pPr>
                      <w:spacing w:line="240" w:lineRule="auto" w:before="8"/>
                      <w:rPr>
                        <w:sz w:val="22"/>
                      </w:rPr>
                    </w:pPr>
                  </w:p>
                  <w:p>
                    <w:pPr>
                      <w:spacing w:before="1"/>
                      <w:ind w:left="104" w:right="0" w:firstLine="0"/>
                      <w:jc w:val="left"/>
                      <w:rPr>
                        <w:b/>
                        <w:sz w:val="10"/>
                      </w:rPr>
                    </w:pPr>
                    <w:r>
                      <w:rPr>
                        <w:b/>
                        <w:color w:val="FFFFFF"/>
                        <w:sz w:val="16"/>
                      </w:rPr>
                      <w:t>16,671</w:t>
                    </w:r>
                    <w:r>
                      <w:rPr>
                        <w:b/>
                        <w:color w:val="FFFFFF"/>
                        <w:position w:val="4"/>
                        <w:sz w:val="10"/>
                      </w:rPr>
                      <w:t>(1)</w:t>
                    </w:r>
                  </w:p>
                </w:txbxContent>
              </v:textbox>
              <w10:wrap type="none"/>
            </v:shape>
            <w10:wrap type="none"/>
          </v:group>
        </w:pict>
      </w:r>
      <w:r>
        <w:rPr/>
        <w:pict>
          <v:group style="position:absolute;margin-left:451.417786pt;margin-top:-109.118118pt;width:40.2pt;height:108pt;mso-position-horizontal-relative:page;mso-position-vertical-relative:paragraph;z-index:30904" coordorigin="9028,-2182" coordsize="804,2160">
            <v:shape style="position:absolute;left:9430;top:-1754;width:392;height:1721" coordorigin="9430,-1753" coordsize="392,1721" path="m9822,-1753l9430,-1362,9430,-33,9822,-33,9822,-1753xe" filled="true" fillcolor="#eae3ea" stroked="false">
              <v:path arrowok="t"/>
              <v:fill type="solid"/>
            </v:shape>
            <v:shape style="position:absolute;left:9028;top:-1778;width:804;height:1755" coordorigin="9028,-1778" coordsize="804,1755" path="m9028,-1778l9028,-23,9832,-23,9832,-28,9430,-28,9430,-33,9038,-33,9038,-1753,9053,-1753,9044,-1762,9030,-1762,9033,-1766,9040,-1766,9028,-1778xm9832,-1766l9827,-1766,9827,-28,9832,-28,9832,-1766xm9053,-1753l9038,-1753,9430,-1362,9430,-1369,9437,-1376,9430,-1376,9053,-1753xm9832,-1778l9430,-1376,9437,-1376,9827,-1766,9832,-1766,9832,-1778xm9040,-1766l9033,-1766,9030,-1762,9044,-1762,9040,-1766xe" filled="true" fillcolor="#8d5f8e" stroked="false">
              <v:path arrowok="t"/>
              <v:fill type="solid"/>
            </v:shape>
            <v:shape style="position:absolute;left:9430;top:-1766;width:397;height:1738" coordorigin="9430,-1766" coordsize="397,1738" path="m9827,-1753l9822,-1753,9822,-33,9430,-33,9430,-28,9827,-28,9827,-1753xm9827,-1766l9430,-1369,9430,-1362,9822,-1753,9827,-1753,9827,-1766xe" filled="true" fillcolor="#8b5a8b" stroked="false">
              <v:path arrowok="t"/>
              <v:fill type="solid"/>
            </v:shape>
            <v:shape style="position:absolute;left:9061;top:-2183;width:737;height:738" coordorigin="9062,-2182" coordsize="737,738" path="m9430,-2182l9062,-1814,9430,-1445,9799,-1814,9430,-2182xe" filled="true" fillcolor="#6f2770" stroked="false">
              <v:path arrowok="t"/>
              <v:fill type="solid"/>
            </v:shape>
            <v:shape style="position:absolute;left:9028;top:-2183;width:804;height:2160" type="#_x0000_t202" filled="false" stroked="false">
              <v:textbox inset="0,0,0,0">
                <w:txbxContent>
                  <w:p>
                    <w:pPr>
                      <w:spacing w:line="240" w:lineRule="auto" w:before="8"/>
                      <w:rPr>
                        <w:sz w:val="22"/>
                      </w:rPr>
                    </w:pPr>
                  </w:p>
                  <w:p>
                    <w:pPr>
                      <w:spacing w:before="1"/>
                      <w:ind w:left="157" w:right="0" w:firstLine="0"/>
                      <w:jc w:val="left"/>
                      <w:rPr>
                        <w:b/>
                        <w:sz w:val="16"/>
                      </w:rPr>
                    </w:pPr>
                    <w:r>
                      <w:rPr>
                        <w:b/>
                        <w:color w:val="FFFFFF"/>
                        <w:sz w:val="16"/>
                      </w:rPr>
                      <w:t>13,457</w:t>
                    </w:r>
                  </w:p>
                </w:txbxContent>
              </v:textbox>
              <w10:wrap type="none"/>
            </v:shape>
            <w10:wrap type="none"/>
          </v:group>
        </w:pict>
      </w:r>
      <w:r>
        <w:rPr/>
        <w:pict>
          <v:group style="position:absolute;margin-left:401.102386pt;margin-top:-143.118118pt;width:40.2pt;height:142pt;mso-position-horizontal-relative:page;mso-position-vertical-relative:paragraph;z-index:30952" coordorigin="8022,-2862" coordsize="804,2840">
            <v:shape style="position:absolute;left:8423;top:-2446;width:397;height:2418" coordorigin="8424,-2446" coordsize="397,2418" path="m8821,-2446l8424,-2049,8424,-28,8821,-28,8821,-2446xe" filled="true" fillcolor="#f5f6ea" stroked="false">
              <v:path arrowok="t"/>
              <v:fill type="solid"/>
            </v:shape>
            <v:shape style="position:absolute;left:8022;top:-2863;width:804;height:2840" coordorigin="8022,-2862" coordsize="804,2840" path="m8792,-2494l8424,-2862,8055,-2494,8424,-2125,8792,-2494m8826,-2458l8816,-2448,8816,-2433,8816,-33,8032,-33,8032,-2433,8424,-2042,8438,-2056,8816,-2433,8816,-2448,8424,-2056,8034,-2445,8022,-2458,8022,-23,8826,-23,8826,-33,8826,-2433,8826,-2458e" filled="true" fillcolor="#aebd37" stroked="false">
              <v:path arrowok="t"/>
              <v:fill type="solid"/>
            </v:shape>
            <v:shape style="position:absolute;left:8179;top:-2607;width:510;height:191" type="#_x0000_t202" filled="false" stroked="false">
              <v:textbox inset="0,0,0,0">
                <w:txbxContent>
                  <w:p>
                    <w:pPr>
                      <w:spacing w:before="6"/>
                      <w:ind w:left="0" w:right="0" w:firstLine="0"/>
                      <w:jc w:val="left"/>
                      <w:rPr>
                        <w:b/>
                        <w:sz w:val="16"/>
                      </w:rPr>
                    </w:pPr>
                    <w:r>
                      <w:rPr>
                        <w:b/>
                        <w:color w:val="FFFFFF"/>
                        <w:sz w:val="16"/>
                      </w:rPr>
                      <w:t>16,871</w:t>
                    </w:r>
                  </w:p>
                </w:txbxContent>
              </v:textbox>
              <w10:wrap type="none"/>
            </v:shape>
            <w10:wrap type="none"/>
          </v:group>
        </w:pict>
      </w:r>
      <w:r>
        <w:rPr/>
        <w:pict>
          <v:group style="position:absolute;margin-left:350.787415pt;margin-top:-83.118118pt;width:40.2pt;height:82pt;mso-position-horizontal-relative:page;mso-position-vertical-relative:paragraph;z-index:31000" coordorigin="7016,-1662" coordsize="804,1640">
            <v:shape style="position:absolute;left:7417;top:-1246;width:397;height:1218" coordorigin="7418,-1246" coordsize="397,1218" path="m7814,-1246l7418,-849,7418,-28,7814,-28,7814,-1246xe" filled="true" fillcolor="#f5f6ea" stroked="false">
              <v:path arrowok="t"/>
              <v:fill type="solid"/>
            </v:shape>
            <v:shape style="position:absolute;left:7015;top:-1663;width:804;height:1640" coordorigin="7016,-1662" coordsize="804,1640" path="m7786,-1294l7418,-1662,7049,-1294,7418,-925,7786,-1294m7819,-1258l7809,-1248,7809,-1233,7809,-33,7026,-33,7026,-1233,7418,-842,7432,-856,7809,-1233,7809,-1248,7418,-856,7028,-1245,7016,-1258,7016,-23,7819,-23,7819,-33,7819,-1233,7819,-1258e" filled="true" fillcolor="#aebd37" stroked="false">
              <v:path arrowok="t"/>
              <v:fill type="solid"/>
            </v:shape>
            <v:shape style="position:absolute;left:7015;top:-1663;width:804;height:1640" type="#_x0000_t202" filled="false" stroked="false">
              <v:textbox inset="0,0,0,0">
                <w:txbxContent>
                  <w:p>
                    <w:pPr>
                      <w:spacing w:line="240" w:lineRule="auto" w:before="8"/>
                      <w:rPr>
                        <w:sz w:val="22"/>
                      </w:rPr>
                    </w:pPr>
                  </w:p>
                  <w:p>
                    <w:pPr>
                      <w:spacing w:before="1"/>
                      <w:ind w:left="157" w:right="0" w:firstLine="0"/>
                      <w:jc w:val="left"/>
                      <w:rPr>
                        <w:b/>
                        <w:sz w:val="16"/>
                      </w:rPr>
                    </w:pPr>
                    <w:r>
                      <w:rPr>
                        <w:b/>
                        <w:color w:val="FFFFFF"/>
                        <w:sz w:val="16"/>
                      </w:rPr>
                      <w:t>11,495</w:t>
                    </w:r>
                  </w:p>
                </w:txbxContent>
              </v:textbox>
              <w10:wrap type="none"/>
            </v:shape>
            <w10:wrap type="none"/>
          </v:group>
        </w:pict>
      </w:r>
      <w:r>
        <w:rPr/>
        <w:pict>
          <v:group style="position:absolute;margin-left:300.472412pt;margin-top:-74.118118pt;width:40.2pt;height:73pt;mso-position-horizontal-relative:page;mso-position-vertical-relative:paragraph;z-index:31048" coordorigin="6009,-1482" coordsize="804,1460">
            <v:shape style="position:absolute;left:6411;top:-1066;width:397;height:1038" coordorigin="6411,-1066" coordsize="397,1038" path="m6808,-1066l6411,-669,6411,-28,6808,-28,6808,-1066xe" filled="true" fillcolor="#f5f6ea" stroked="false">
              <v:path arrowok="t"/>
              <v:fill type="solid"/>
            </v:shape>
            <v:shape style="position:absolute;left:6009;top:-1483;width:804;height:1460" coordorigin="6009,-1482" coordsize="804,1460" path="m6780,-1114l6411,-1482,6043,-1114,6411,-745,6780,-1114m6813,-1078l6803,-1068,6803,-1053,6803,-33,6019,-33,6019,-1053,6411,-662,6425,-676,6803,-1053,6803,-1068,6411,-676,6022,-1065,6009,-1078,6009,-23,6813,-23,6813,-33,6813,-1053,6813,-1078e" filled="true" fillcolor="#aebd37" stroked="false">
              <v:path arrowok="t"/>
              <v:fill type="solid"/>
            </v:shape>
            <v:shape style="position:absolute;left:6009;top:-1483;width:804;height:1460" type="#_x0000_t202" filled="false" stroked="false">
              <v:textbox inset="0,0,0,0">
                <w:txbxContent>
                  <w:p>
                    <w:pPr>
                      <w:spacing w:line="240" w:lineRule="auto" w:before="8"/>
                      <w:rPr>
                        <w:sz w:val="22"/>
                      </w:rPr>
                    </w:pPr>
                  </w:p>
                  <w:p>
                    <w:pPr>
                      <w:spacing w:before="1"/>
                      <w:ind w:left="157" w:right="0" w:firstLine="0"/>
                      <w:jc w:val="left"/>
                      <w:rPr>
                        <w:b/>
                        <w:sz w:val="16"/>
                      </w:rPr>
                    </w:pPr>
                    <w:r>
                      <w:rPr>
                        <w:b/>
                        <w:color w:val="FFFFFF"/>
                        <w:sz w:val="16"/>
                      </w:rPr>
                      <w:t>11,192</w:t>
                    </w:r>
                  </w:p>
                </w:txbxContent>
              </v:textbox>
              <w10:wrap type="none"/>
            </v:shape>
            <w10:wrap type="none"/>
          </v:group>
        </w:pict>
      </w:r>
      <w:r>
        <w:rPr/>
        <w:pict>
          <v:group style="position:absolute;margin-left:612.491699pt;margin-top:-128.118118pt;width:40.2pt;height:127pt;mso-position-horizontal-relative:page;mso-position-vertical-relative:paragraph;z-index:31192" coordorigin="12250,-2562" coordsize="804,2540">
            <v:shape style="position:absolute;left:12651;top:-2146;width:397;height:2118" coordorigin="12652,-2146" coordsize="397,2118" path="m13049,-2146l12652,-1749,12652,-28,13049,-28,13049,-2146xe" filled="true" fillcolor="#f5f6ea" stroked="false">
              <v:path arrowok="t"/>
              <v:fill type="solid"/>
            </v:shape>
            <v:shape style="position:absolute;left:12249;top:-2563;width:804;height:2540" coordorigin="12250,-2562" coordsize="804,2540" path="m13020,-2194l12652,-2562,12283,-2194,12652,-1825,13020,-2194m13054,-2158l13044,-2148,13044,-2133,13044,-33,12260,-33,12260,-2133,12652,-1742,12666,-1756,13044,-2133,13044,-2148,12652,-1756,12262,-2145,12250,-2158,12250,-23,13054,-23,13054,-33,13054,-2133,13054,-2158e" filled="true" fillcolor="#aebd37" stroked="false">
              <v:path arrowok="t"/>
              <v:fill type="solid"/>
            </v:shape>
            <v:shape style="position:absolute;left:12555;top:-2315;width:232;height:227" type="#_x0000_t202" filled="false" stroked="false">
              <v:textbox inset="0,0,0,0">
                <w:txbxContent>
                  <w:p>
                    <w:pPr>
                      <w:spacing w:before="7"/>
                      <w:ind w:left="0" w:right="0" w:firstLine="0"/>
                      <w:jc w:val="left"/>
                      <w:rPr>
                        <w:b/>
                        <w:sz w:val="19"/>
                      </w:rPr>
                    </w:pPr>
                    <w:r>
                      <w:rPr>
                        <w:b/>
                        <w:color w:val="FFFFFF"/>
                        <w:sz w:val="19"/>
                      </w:rPr>
                      <w:t>87</w:t>
                    </w:r>
                  </w:p>
                </w:txbxContent>
              </v:textbox>
              <w10:wrap type="none"/>
            </v:shape>
            <w10:wrap type="none"/>
          </v:group>
        </w:pict>
      </w:r>
      <w:r>
        <w:rPr/>
        <w:pict>
          <v:group style="position:absolute;margin-left:562.176819pt;margin-top:-134.118118pt;width:40.2pt;height:133pt;mso-position-horizontal-relative:page;mso-position-vertical-relative:paragraph;z-index:31240" coordorigin="11244,-2682" coordsize="804,2660">
            <v:shape style="position:absolute;left:11645;top:-2266;width:397;height:2238" coordorigin="11645,-2266" coordsize="397,2238" path="m12042,-2266l11645,-1869,11645,-28,12042,-28,12042,-2266xe" filled="true" fillcolor="#f5f6ea" stroked="false">
              <v:path arrowok="t"/>
              <v:fill type="solid"/>
            </v:shape>
            <v:shape style="position:absolute;left:11243;top:-2683;width:804;height:2660" coordorigin="11244,-2682" coordsize="804,2660" path="m12014,-2314l11645,-2682,11277,-2314,11645,-1945,12014,-2314m12047,-2278l12037,-2268,12037,-2253,12037,-33,11254,-33,11254,-2253,11645,-1862,11660,-1876,12037,-2253,12037,-2268,11645,-1876,11256,-2265,11244,-2278,11244,-23,12047,-23,12047,-33,12047,-2253,12047,-2278e" filled="true" fillcolor="#aebd37" stroked="false">
              <v:path arrowok="t"/>
              <v:fill type="solid"/>
            </v:shape>
            <v:shape style="position:absolute;left:11549;top:-2435;width:232;height:227" type="#_x0000_t202" filled="false" stroked="false">
              <v:textbox inset="0,0,0,0">
                <w:txbxContent>
                  <w:p>
                    <w:pPr>
                      <w:spacing w:before="7"/>
                      <w:ind w:left="0" w:right="0" w:firstLine="0"/>
                      <w:jc w:val="left"/>
                      <w:rPr>
                        <w:b/>
                        <w:sz w:val="19"/>
                      </w:rPr>
                    </w:pPr>
                    <w:r>
                      <w:rPr>
                        <w:b/>
                        <w:color w:val="FFFFFF"/>
                        <w:sz w:val="19"/>
                      </w:rPr>
                      <w:t>93</w:t>
                    </w:r>
                  </w:p>
                </w:txbxContent>
              </v:textbox>
              <w10:wrap type="none"/>
            </v:shape>
            <w10:wrap type="none"/>
          </v:group>
        </w:pict>
      </w:r>
      <w:r>
        <w:rPr>
          <w:b/>
          <w:w w:val="105"/>
          <w:sz w:val="19"/>
        </w:rPr>
        <w:t>2013/14</w:t>
        <w:tab/>
        <w:t>2014/15</w:t>
        <w:tab/>
        <w:t>2015/16</w:t>
        <w:tab/>
        <w:t>2016/17</w:t>
        <w:tab/>
        <w:t>2016/17</w:t>
        <w:tab/>
        <w:t>2013/14</w:t>
        <w:tab/>
        <w:t>2014/15</w:t>
      </w:r>
    </w:p>
    <w:p>
      <w:pPr>
        <w:tabs>
          <w:tab w:pos="1422" w:val="left" w:leader="none"/>
          <w:tab w:pos="2428" w:val="left" w:leader="none"/>
          <w:tab w:pos="3435" w:val="left" w:leader="none"/>
          <w:tab w:pos="4441" w:val="left" w:leader="none"/>
          <w:tab w:pos="5650" w:val="left" w:leader="none"/>
          <w:tab w:pos="6656" w:val="left" w:leader="none"/>
        </w:tabs>
        <w:spacing w:before="89"/>
        <w:ind w:left="416" w:right="0" w:firstLine="0"/>
        <w:jc w:val="left"/>
        <w:rPr>
          <w:sz w:val="15"/>
        </w:rPr>
      </w:pPr>
      <w:r>
        <w:rPr>
          <w:color w:val="FFFFFF"/>
          <w:w w:val="100"/>
          <w:sz w:val="15"/>
          <w:shd w:fill="BFC84C" w:color="auto" w:val="clear"/>
        </w:rPr>
        <w:t> </w:t>
      </w:r>
      <w:r>
        <w:rPr>
          <w:color w:val="FFFFFF"/>
          <w:sz w:val="15"/>
          <w:shd w:fill="BFC84C" w:color="auto" w:val="clear"/>
        </w:rPr>
        <w:t> </w:t>
      </w:r>
      <w:r>
        <w:rPr>
          <w:color w:val="FFFFFF"/>
          <w:spacing w:val="-9"/>
          <w:sz w:val="15"/>
          <w:shd w:fill="BFC84C" w:color="auto" w:val="clear"/>
        </w:rPr>
        <w:t> </w:t>
      </w:r>
      <w:r>
        <w:rPr>
          <w:color w:val="FFFFFF"/>
          <w:sz w:val="15"/>
          <w:shd w:fill="BFC84C" w:color="auto" w:val="clear"/>
        </w:rPr>
        <w:t>ACTUAL</w:t>
      </w:r>
      <w:r>
        <w:rPr>
          <w:color w:val="FFFFFF"/>
          <w:sz w:val="15"/>
        </w:rPr>
        <w:tab/>
      </w:r>
      <w:r>
        <w:rPr>
          <w:color w:val="FFFFFF"/>
          <w:sz w:val="15"/>
          <w:shd w:fill="BFC84C" w:color="auto" w:val="clear"/>
        </w:rPr>
        <w:t>ACTUAL</w:t>
      </w:r>
      <w:r>
        <w:rPr>
          <w:color w:val="FFFFFF"/>
          <w:sz w:val="15"/>
        </w:rPr>
        <w:tab/>
      </w:r>
      <w:r>
        <w:rPr>
          <w:color w:val="FFFFFF"/>
          <w:sz w:val="15"/>
          <w:shd w:fill="BFC84C" w:color="auto" w:val="clear"/>
        </w:rPr>
        <w:t>ACTUAL</w:t>
      </w:r>
      <w:r>
        <w:rPr>
          <w:color w:val="FFFFFF"/>
          <w:sz w:val="15"/>
        </w:rPr>
        <w:tab/>
      </w:r>
      <w:r>
        <w:rPr>
          <w:color w:val="FFFFFF"/>
          <w:w w:val="95"/>
          <w:sz w:val="15"/>
          <w:shd w:fill="803C83" w:color="auto" w:val="clear"/>
        </w:rPr>
        <w:t>TARGET</w:t>
      </w:r>
      <w:r>
        <w:rPr>
          <w:color w:val="FFFFFF"/>
          <w:w w:val="95"/>
          <w:sz w:val="15"/>
        </w:rPr>
        <w:tab/>
      </w:r>
      <w:r>
        <w:rPr>
          <w:color w:val="FFFFFF"/>
          <w:sz w:val="15"/>
          <w:shd w:fill="4C285B" w:color="auto" w:val="clear"/>
        </w:rPr>
        <w:t>ACTUAL</w:t>
      </w:r>
      <w:r>
        <w:rPr>
          <w:color w:val="FFFFFF"/>
          <w:sz w:val="15"/>
        </w:rPr>
        <w:tab/>
      </w:r>
      <w:r>
        <w:rPr>
          <w:color w:val="FFFFFF"/>
          <w:sz w:val="15"/>
          <w:shd w:fill="BFC84C" w:color="auto" w:val="clear"/>
        </w:rPr>
        <w:t>ACTUAL</w:t>
      </w:r>
      <w:r>
        <w:rPr>
          <w:color w:val="FFFFFF"/>
          <w:sz w:val="15"/>
        </w:rPr>
        <w:tab/>
      </w:r>
      <w:r>
        <w:rPr>
          <w:color w:val="FFFFFF"/>
          <w:sz w:val="15"/>
          <w:shd w:fill="BFC84C" w:color="auto" w:val="clear"/>
        </w:rPr>
        <w:t>ACTUAL</w:t>
      </w:r>
      <w:r>
        <w:rPr>
          <w:color w:val="FFFFFF"/>
          <w:spacing w:val="-20"/>
          <w:sz w:val="15"/>
          <w:shd w:fill="BFC84C" w:color="auto" w:val="clear"/>
        </w:rPr>
        <w:t> </w:t>
      </w:r>
    </w:p>
    <w:p>
      <w:pPr>
        <w:pStyle w:val="BodyText"/>
      </w:pPr>
      <w:r>
        <w:rPr/>
        <w:br w:type="column"/>
      </w:r>
      <w:r>
        <w:rPr/>
      </w:r>
    </w:p>
    <w:p>
      <w:pPr>
        <w:pStyle w:val="BodyText"/>
      </w:pPr>
    </w:p>
    <w:p>
      <w:pPr>
        <w:pStyle w:val="BodyText"/>
        <w:spacing w:before="6"/>
        <w:rPr>
          <w:sz w:val="27"/>
        </w:rPr>
      </w:pPr>
    </w:p>
    <w:p>
      <w:pPr>
        <w:tabs>
          <w:tab w:pos="1223" w:val="left" w:leader="none"/>
          <w:tab w:pos="2229" w:val="left" w:leader="none"/>
        </w:tabs>
        <w:spacing w:before="0"/>
        <w:ind w:left="217" w:right="0" w:firstLine="0"/>
        <w:jc w:val="left"/>
        <w:rPr>
          <w:b/>
          <w:sz w:val="19"/>
        </w:rPr>
      </w:pPr>
      <w:r>
        <w:rPr/>
        <w:pict>
          <v:group style="position:absolute;margin-left:713.12207pt;margin-top:-131.118118pt;width:40.2pt;height:130pt;mso-position-horizontal-relative:page;mso-position-vertical-relative:paragraph;z-index:31096" coordorigin="14262,-2622" coordsize="804,2600">
            <v:shape style="position:absolute;left:14664;top:-2194;width:392;height:2161" coordorigin="14664,-2193" coordsize="392,2161" path="m15056,-2193l14664,-1802,14664,-33,15056,-33,15056,-2193xe" filled="true" fillcolor="#eae3ea" stroked="false">
              <v:path arrowok="t"/>
              <v:fill type="solid"/>
            </v:shape>
            <v:shape style="position:absolute;left:14262;top:-2218;width:804;height:2195" coordorigin="14262,-2218" coordsize="804,2195" path="m14262,-2218l14262,-23,15066,-23,15066,-28,14664,-28,14664,-33,14272,-33,14272,-2193,14287,-2193,14278,-2202,14264,-2202,14267,-2206,14275,-2206,14262,-2218xm15066,-2206l15061,-2206,15061,-28,15066,-28,15066,-2206xm14287,-2193l14272,-2193,14664,-1802,14664,-1809,14671,-1816,14664,-1816,14287,-2193xm15066,-2218l14664,-1816,14671,-1816,15061,-2206,15066,-2206,15066,-2218xm14275,-2206l14267,-2206,14264,-2202,14278,-2202,14275,-2206xe" filled="true" fillcolor="#8d5f8e" stroked="false">
              <v:path arrowok="t"/>
              <v:fill type="solid"/>
            </v:shape>
            <v:shape style="position:absolute;left:14664;top:-2206;width:397;height:2178" coordorigin="14664,-2206" coordsize="397,2178" path="m15061,-2193l15056,-2193,15056,-33,14664,-33,14664,-28,15061,-28,15061,-2193xm15061,-2206l14664,-1809,14664,-1802,15056,-2193,15061,-2193,15061,-2206xe" filled="true" fillcolor="#8b5a8b" stroked="false">
              <v:path arrowok="t"/>
              <v:fill type="solid"/>
            </v:shape>
            <v:shape style="position:absolute;left:14295;top:-2623;width:737;height:738" coordorigin="14296,-2622" coordsize="737,738" path="m14664,-2622l14296,-2254,14664,-1885,15033,-2254,14664,-2622xe" filled="true" fillcolor="#6f2770" stroked="false">
              <v:path arrowok="t"/>
              <v:fill type="solid"/>
            </v:shape>
            <v:shape style="position:absolute;left:14558;top:-2375;width:232;height:227" type="#_x0000_t202" filled="false" stroked="false">
              <v:textbox inset="0,0,0,0">
                <w:txbxContent>
                  <w:p>
                    <w:pPr>
                      <w:spacing w:before="7"/>
                      <w:ind w:left="0" w:right="0" w:firstLine="0"/>
                      <w:jc w:val="left"/>
                      <w:rPr>
                        <w:b/>
                        <w:sz w:val="19"/>
                      </w:rPr>
                    </w:pPr>
                    <w:r>
                      <w:rPr>
                        <w:b/>
                        <w:color w:val="FFFFFF"/>
                        <w:sz w:val="19"/>
                      </w:rPr>
                      <w:t>90</w:t>
                    </w:r>
                  </w:p>
                </w:txbxContent>
              </v:textbox>
              <w10:wrap type="none"/>
            </v:shape>
            <w10:wrap type="none"/>
          </v:group>
        </w:pict>
      </w:r>
      <w:r>
        <w:rPr/>
        <w:pict>
          <v:group style="position:absolute;margin-left:662.806580pt;margin-top:-134.118118pt;width:40.2pt;height:133pt;mso-position-horizontal-relative:page;mso-position-vertical-relative:paragraph;z-index:31144" coordorigin="13256,-2682" coordsize="804,2660">
            <v:shape style="position:absolute;left:13658;top:-2266;width:397;height:2238" coordorigin="13658,-2266" coordsize="397,2238" path="m14055,-2266l13658,-1869,13658,-28,14055,-28,14055,-2266xe" filled="true" fillcolor="#f5f6ea" stroked="false">
              <v:path arrowok="t"/>
              <v:fill type="solid"/>
            </v:shape>
            <v:shape style="position:absolute;left:13256;top:-2683;width:804;height:2660" coordorigin="13256,-2682" coordsize="804,2660" path="m14026,-2314l13658,-2682,13289,-2314,13658,-1945,14026,-2314m14060,-2278l14050,-2268,14050,-2253,14050,-33,13266,-33,13266,-2253,13658,-1862,13672,-1876,14050,-2253,14050,-2268,13658,-1876,13268,-2265,13256,-2278,13256,-23,14060,-23,14060,-33,14060,-2253,14060,-2278e" filled="true" fillcolor="#aebd37" stroked="false">
              <v:path arrowok="t"/>
              <v:fill type="solid"/>
            </v:shape>
            <v:shape style="position:absolute;left:13552;top:-2435;width:232;height:227" type="#_x0000_t202" filled="false" stroked="false">
              <v:textbox inset="0,0,0,0">
                <w:txbxContent>
                  <w:p>
                    <w:pPr>
                      <w:spacing w:before="7"/>
                      <w:ind w:left="0" w:right="0" w:firstLine="0"/>
                      <w:jc w:val="left"/>
                      <w:rPr>
                        <w:b/>
                        <w:sz w:val="19"/>
                      </w:rPr>
                    </w:pPr>
                    <w:r>
                      <w:rPr>
                        <w:b/>
                        <w:color w:val="FFFFFF"/>
                        <w:sz w:val="19"/>
                      </w:rPr>
                      <w:t>93</w:t>
                    </w:r>
                  </w:p>
                </w:txbxContent>
              </v:textbox>
              <w10:wrap type="none"/>
            </v:shape>
            <w10:wrap type="none"/>
          </v:group>
        </w:pict>
      </w:r>
      <w:r>
        <w:rPr/>
        <w:pict>
          <v:group style="position:absolute;margin-left:762.812073pt;margin-top:-134.118118pt;width:40.2pt;height:133pt;mso-position-horizontal-relative:page;mso-position-vertical-relative:paragraph;z-index:31288" coordorigin="15256,-2682" coordsize="804,2660">
            <v:shape style="position:absolute;left:15658;top:-2266;width:397;height:2238" coordorigin="15658,-2266" coordsize="397,2238" path="m16055,-2266l15658,-1869,15658,-28,16055,-28,16055,-2266xe" filled="true" fillcolor="#e1dce1" stroked="false">
              <v:path arrowok="t"/>
              <v:fill type="solid"/>
            </v:shape>
            <v:shape style="position:absolute;left:15256;top:-2278;width:804;height:2255" coordorigin="15256,-2278" coordsize="804,2255" path="m15256,-2278l15256,-23,16060,-23,16060,-33,15266,-33,15266,-2253,15258,-2262,15261,-2266,15268,-2266,15256,-2278xm16060,-2253l16050,-2253,16050,-33,16060,-33,16060,-2253xm15268,-2266l15266,-2266,15266,-2253,15658,-1862,15672,-1876,15658,-1876,15268,-2266xm16060,-2278l15658,-1876,15672,-1876,16050,-2253,16060,-2253,16060,-2278xm15266,-2266l15261,-2266,15258,-2262,15266,-2253,15266,-2266xe" filled="true" fillcolor="#806a83" stroked="false">
              <v:path arrowok="t"/>
              <v:fill type="solid"/>
            </v:shape>
            <v:shape style="position:absolute;left:15289;top:-2683;width:737;height:738" coordorigin="15290,-2682" coordsize="737,738" path="m15658,-2682l15290,-2314,15658,-1945,16027,-2314,15658,-2682xe" filled="true" fillcolor="#360f41" stroked="false">
              <v:path arrowok="t"/>
              <v:fill type="solid"/>
            </v:shape>
            <v:shape style="position:absolute;left:15478;top:-2435;width:399;height:227" type="#_x0000_t202" filled="false" stroked="false">
              <v:textbox inset="0,0,0,0">
                <w:txbxContent>
                  <w:p>
                    <w:pPr>
                      <w:spacing w:before="7"/>
                      <w:ind w:left="0" w:right="0" w:firstLine="0"/>
                      <w:jc w:val="left"/>
                      <w:rPr>
                        <w:b/>
                        <w:sz w:val="10"/>
                      </w:rPr>
                    </w:pPr>
                    <w:r>
                      <w:rPr>
                        <w:b/>
                        <w:color w:val="FFFFFF"/>
                        <w:position w:val="-5"/>
                        <w:sz w:val="19"/>
                      </w:rPr>
                      <w:t>93 </w:t>
                    </w:r>
                    <w:r>
                      <w:rPr>
                        <w:b/>
                        <w:color w:val="FFFFFF"/>
                        <w:sz w:val="10"/>
                      </w:rPr>
                      <w:t>(2)</w:t>
                    </w:r>
                  </w:p>
                </w:txbxContent>
              </v:textbox>
              <w10:wrap type="none"/>
            </v:shape>
            <w10:wrap type="none"/>
          </v:group>
        </w:pict>
      </w:r>
      <w:r>
        <w:rPr>
          <w:b/>
          <w:w w:val="105"/>
          <w:sz w:val="19"/>
        </w:rPr>
        <w:t>2015/16</w:t>
        <w:tab/>
        <w:t>2016/17</w:t>
        <w:tab/>
        <w:t>2016/17</w:t>
      </w:r>
    </w:p>
    <w:p>
      <w:pPr>
        <w:tabs>
          <w:tab w:pos="1178" w:val="left" w:leader="none"/>
          <w:tab w:pos="2185" w:val="left" w:leader="none"/>
        </w:tabs>
        <w:spacing w:before="89"/>
        <w:ind w:left="172" w:right="0" w:firstLine="0"/>
        <w:jc w:val="left"/>
        <w:rPr>
          <w:sz w:val="15"/>
        </w:rPr>
      </w:pPr>
      <w:r>
        <w:rPr>
          <w:color w:val="FFFFFF"/>
          <w:w w:val="100"/>
          <w:sz w:val="15"/>
          <w:shd w:fill="BFC84C" w:color="auto" w:val="clear"/>
        </w:rPr>
        <w:t> </w:t>
      </w:r>
      <w:r>
        <w:rPr>
          <w:color w:val="FFFFFF"/>
          <w:sz w:val="15"/>
          <w:shd w:fill="BFC84C" w:color="auto" w:val="clear"/>
        </w:rPr>
        <w:t> </w:t>
      </w:r>
      <w:r>
        <w:rPr>
          <w:color w:val="FFFFFF"/>
          <w:spacing w:val="-9"/>
          <w:sz w:val="15"/>
          <w:shd w:fill="BFC84C" w:color="auto" w:val="clear"/>
        </w:rPr>
        <w:t> </w:t>
      </w:r>
      <w:r>
        <w:rPr>
          <w:color w:val="FFFFFF"/>
          <w:sz w:val="15"/>
          <w:shd w:fill="BFC84C" w:color="auto" w:val="clear"/>
        </w:rPr>
        <w:t>ACTUAL</w:t>
      </w:r>
      <w:r>
        <w:rPr>
          <w:color w:val="FFFFFF"/>
          <w:sz w:val="15"/>
        </w:rPr>
        <w:tab/>
      </w:r>
      <w:r>
        <w:rPr>
          <w:color w:val="FFFFFF"/>
          <w:w w:val="95"/>
          <w:sz w:val="15"/>
          <w:shd w:fill="803C83" w:color="auto" w:val="clear"/>
        </w:rPr>
        <w:t>TARGET</w:t>
      </w:r>
      <w:r>
        <w:rPr>
          <w:color w:val="FFFFFF"/>
          <w:w w:val="95"/>
          <w:sz w:val="15"/>
        </w:rPr>
        <w:tab/>
      </w:r>
      <w:r>
        <w:rPr>
          <w:color w:val="FFFFFF"/>
          <w:sz w:val="15"/>
          <w:shd w:fill="4C285B" w:color="auto" w:val="clear"/>
        </w:rPr>
        <w:t>ACTUAL</w:t>
      </w:r>
      <w:r>
        <w:rPr>
          <w:color w:val="FFFFFF"/>
          <w:spacing w:val="-9"/>
          <w:sz w:val="15"/>
          <w:shd w:fill="4C285B" w:color="auto" w:val="clear"/>
        </w:rPr>
        <w:t> </w:t>
      </w:r>
    </w:p>
    <w:p>
      <w:pPr>
        <w:spacing w:after="0"/>
        <w:jc w:val="left"/>
        <w:rPr>
          <w:sz w:val="15"/>
        </w:rPr>
        <w:sectPr>
          <w:type w:val="continuous"/>
          <w:pgSz w:w="16840" w:h="11910" w:orient="landscape"/>
          <w:pgMar w:top="0" w:bottom="0" w:left="0" w:right="0"/>
          <w:cols w:num="3" w:equalWidth="0">
            <w:col w:w="5559" w:space="40"/>
            <w:col w:w="7451" w:space="39"/>
            <w:col w:w="3751"/>
          </w:cols>
        </w:sectPr>
      </w:pPr>
    </w:p>
    <w:p>
      <w:pPr>
        <w:pStyle w:val="BodyText"/>
        <w:spacing w:before="3"/>
        <w:ind w:left="948"/>
      </w:pPr>
      <w:r>
        <w:rPr/>
        <w:t>Government’s light vehicle fleet.</w:t>
      </w:r>
    </w:p>
    <w:p>
      <w:pPr>
        <w:pStyle w:val="BodyText"/>
        <w:spacing w:before="10"/>
        <w:rPr>
          <w:sz w:val="23"/>
        </w:rPr>
      </w:pPr>
    </w:p>
    <w:p>
      <w:pPr>
        <w:pStyle w:val="ListParagraph"/>
        <w:numPr>
          <w:ilvl w:val="0"/>
          <w:numId w:val="31"/>
        </w:numPr>
        <w:tabs>
          <w:tab w:pos="937" w:val="left" w:leader="none"/>
        </w:tabs>
        <w:spacing w:line="249" w:lineRule="auto" w:before="0" w:after="0"/>
        <w:ind w:left="948" w:right="0" w:hanging="183"/>
        <w:jc w:val="left"/>
        <w:rPr>
          <w:sz w:val="22"/>
        </w:rPr>
      </w:pPr>
      <w:r>
        <w:rPr>
          <w:sz w:val="22"/>
        </w:rPr>
        <w:t>Client</w:t>
      </w:r>
      <w:r>
        <w:rPr>
          <w:spacing w:val="-23"/>
          <w:sz w:val="22"/>
        </w:rPr>
        <w:t> </w:t>
      </w:r>
      <w:r>
        <w:rPr>
          <w:sz w:val="22"/>
        </w:rPr>
        <w:t>agencies</w:t>
      </w:r>
      <w:r>
        <w:rPr>
          <w:spacing w:val="-23"/>
          <w:sz w:val="22"/>
        </w:rPr>
        <w:t> </w:t>
      </w:r>
      <w:r>
        <w:rPr>
          <w:sz w:val="22"/>
        </w:rPr>
        <w:t>agree</w:t>
      </w:r>
      <w:r>
        <w:rPr>
          <w:spacing w:val="-23"/>
          <w:sz w:val="22"/>
        </w:rPr>
        <w:t> </w:t>
      </w:r>
      <w:r>
        <w:rPr>
          <w:sz w:val="22"/>
        </w:rPr>
        <w:t>that</w:t>
      </w:r>
      <w:r>
        <w:rPr>
          <w:spacing w:val="-22"/>
          <w:sz w:val="22"/>
        </w:rPr>
        <w:t> </w:t>
      </w:r>
      <w:r>
        <w:rPr>
          <w:sz w:val="22"/>
        </w:rPr>
        <w:t>their</w:t>
      </w:r>
      <w:r>
        <w:rPr>
          <w:spacing w:val="-23"/>
          <w:sz w:val="22"/>
        </w:rPr>
        <w:t> </w:t>
      </w:r>
      <w:r>
        <w:rPr>
          <w:sz w:val="22"/>
        </w:rPr>
        <w:t>agency</w:t>
      </w:r>
      <w:r>
        <w:rPr>
          <w:spacing w:val="-23"/>
          <w:sz w:val="22"/>
        </w:rPr>
        <w:t> </w:t>
      </w:r>
      <w:r>
        <w:rPr>
          <w:spacing w:val="-3"/>
          <w:sz w:val="22"/>
        </w:rPr>
        <w:t>contracts </w:t>
      </w:r>
      <w:r>
        <w:rPr>
          <w:sz w:val="22"/>
        </w:rPr>
        <w:t>and Common Use Arrangements (CUAs) are </w:t>
      </w:r>
      <w:r>
        <w:rPr>
          <w:spacing w:val="-3"/>
          <w:sz w:val="22"/>
        </w:rPr>
        <w:t>value-for-money.</w:t>
      </w:r>
    </w:p>
    <w:p>
      <w:pPr>
        <w:pStyle w:val="ListParagraph"/>
        <w:numPr>
          <w:ilvl w:val="0"/>
          <w:numId w:val="32"/>
        </w:numPr>
        <w:tabs>
          <w:tab w:pos="607" w:val="left" w:leader="none"/>
        </w:tabs>
        <w:spacing w:line="145" w:lineRule="exact" w:before="0" w:after="0"/>
        <w:ind w:left="607" w:right="0" w:hanging="192"/>
        <w:jc w:val="left"/>
        <w:rPr>
          <w:sz w:val="15"/>
        </w:rPr>
      </w:pPr>
      <w:r>
        <w:rPr>
          <w:w w:val="93"/>
          <w:sz w:val="15"/>
        </w:rPr>
        <w:br w:type="column"/>
      </w:r>
      <w:r>
        <w:rPr>
          <w:sz w:val="15"/>
        </w:rPr>
        <w:t>This</w:t>
      </w:r>
      <w:r>
        <w:rPr>
          <w:spacing w:val="-14"/>
          <w:sz w:val="15"/>
        </w:rPr>
        <w:t> </w:t>
      </w:r>
      <w:r>
        <w:rPr>
          <w:sz w:val="15"/>
        </w:rPr>
        <w:t>KPI</w:t>
      </w:r>
      <w:r>
        <w:rPr>
          <w:spacing w:val="-13"/>
          <w:sz w:val="15"/>
        </w:rPr>
        <w:t> </w:t>
      </w:r>
      <w:r>
        <w:rPr>
          <w:sz w:val="15"/>
        </w:rPr>
        <w:t>is</w:t>
      </w:r>
      <w:r>
        <w:rPr>
          <w:spacing w:val="-13"/>
          <w:sz w:val="15"/>
        </w:rPr>
        <w:t> </w:t>
      </w:r>
      <w:r>
        <w:rPr>
          <w:sz w:val="15"/>
        </w:rPr>
        <w:t>calculated</w:t>
      </w:r>
      <w:r>
        <w:rPr>
          <w:spacing w:val="-13"/>
          <w:sz w:val="15"/>
        </w:rPr>
        <w:t> </w:t>
      </w:r>
      <w:r>
        <w:rPr>
          <w:sz w:val="15"/>
        </w:rPr>
        <w:t>by</w:t>
      </w:r>
      <w:r>
        <w:rPr>
          <w:spacing w:val="-14"/>
          <w:sz w:val="15"/>
        </w:rPr>
        <w:t> </w:t>
      </w:r>
      <w:r>
        <w:rPr>
          <w:sz w:val="15"/>
        </w:rPr>
        <w:t>subtracting</w:t>
      </w:r>
      <w:r>
        <w:rPr>
          <w:spacing w:val="-13"/>
          <w:sz w:val="15"/>
        </w:rPr>
        <w:t> </w:t>
      </w:r>
      <w:r>
        <w:rPr>
          <w:sz w:val="15"/>
        </w:rPr>
        <w:t>the</w:t>
      </w:r>
      <w:r>
        <w:rPr>
          <w:spacing w:val="-13"/>
          <w:sz w:val="15"/>
        </w:rPr>
        <w:t> </w:t>
      </w:r>
      <w:r>
        <w:rPr>
          <w:sz w:val="15"/>
        </w:rPr>
        <w:t>operating</w:t>
      </w:r>
      <w:r>
        <w:rPr>
          <w:spacing w:val="-13"/>
          <w:sz w:val="15"/>
        </w:rPr>
        <w:t> </w:t>
      </w:r>
      <w:r>
        <w:rPr>
          <w:sz w:val="15"/>
        </w:rPr>
        <w:t>expenses</w:t>
      </w:r>
      <w:r>
        <w:rPr>
          <w:spacing w:val="-13"/>
          <w:sz w:val="15"/>
        </w:rPr>
        <w:t> </w:t>
      </w:r>
      <w:r>
        <w:rPr>
          <w:sz w:val="15"/>
        </w:rPr>
        <w:t>of</w:t>
      </w:r>
      <w:r>
        <w:rPr>
          <w:spacing w:val="-14"/>
          <w:sz w:val="15"/>
        </w:rPr>
        <w:t> </w:t>
      </w:r>
      <w:r>
        <w:rPr>
          <w:sz w:val="15"/>
        </w:rPr>
        <w:t>the</w:t>
      </w:r>
      <w:r>
        <w:rPr>
          <w:spacing w:val="-13"/>
          <w:sz w:val="15"/>
        </w:rPr>
        <w:t> </w:t>
      </w:r>
      <w:r>
        <w:rPr>
          <w:spacing w:val="-4"/>
          <w:sz w:val="15"/>
        </w:rPr>
        <w:t>fleet</w:t>
      </w:r>
    </w:p>
    <w:p>
      <w:pPr>
        <w:spacing w:before="27"/>
        <w:ind w:left="623" w:right="0" w:firstLine="0"/>
        <w:jc w:val="left"/>
        <w:rPr>
          <w:sz w:val="15"/>
        </w:rPr>
      </w:pPr>
      <w:r>
        <w:rPr>
          <w:sz w:val="15"/>
        </w:rPr>
        <w:t>from the operating revenue.</w:t>
      </w:r>
    </w:p>
    <w:p>
      <w:pPr>
        <w:pStyle w:val="ListParagraph"/>
        <w:numPr>
          <w:ilvl w:val="0"/>
          <w:numId w:val="32"/>
        </w:numPr>
        <w:tabs>
          <w:tab w:pos="612" w:val="left" w:leader="none"/>
        </w:tabs>
        <w:spacing w:line="145" w:lineRule="exact" w:before="0" w:after="0"/>
        <w:ind w:left="611" w:right="0" w:hanging="200"/>
        <w:jc w:val="left"/>
        <w:rPr>
          <w:sz w:val="15"/>
        </w:rPr>
      </w:pPr>
      <w:r>
        <w:rPr>
          <w:w w:val="93"/>
          <w:sz w:val="15"/>
        </w:rPr>
        <w:br w:type="column"/>
      </w:r>
      <w:r>
        <w:rPr>
          <w:sz w:val="15"/>
        </w:rPr>
        <w:t>This</w:t>
      </w:r>
      <w:r>
        <w:rPr>
          <w:spacing w:val="-4"/>
          <w:sz w:val="15"/>
        </w:rPr>
        <w:t> </w:t>
      </w:r>
      <w:r>
        <w:rPr>
          <w:sz w:val="15"/>
        </w:rPr>
        <w:t>indicator</w:t>
      </w:r>
      <w:r>
        <w:rPr>
          <w:spacing w:val="-4"/>
          <w:sz w:val="15"/>
        </w:rPr>
        <w:t> </w:t>
      </w:r>
      <w:r>
        <w:rPr>
          <w:sz w:val="15"/>
        </w:rPr>
        <w:t>is</w:t>
      </w:r>
      <w:r>
        <w:rPr>
          <w:spacing w:val="-3"/>
          <w:sz w:val="15"/>
        </w:rPr>
        <w:t> </w:t>
      </w:r>
      <w:r>
        <w:rPr>
          <w:sz w:val="15"/>
        </w:rPr>
        <w:t>calculated</w:t>
      </w:r>
      <w:r>
        <w:rPr>
          <w:spacing w:val="-4"/>
          <w:sz w:val="15"/>
        </w:rPr>
        <w:t> </w:t>
      </w:r>
      <w:r>
        <w:rPr>
          <w:sz w:val="15"/>
        </w:rPr>
        <w:t>by</w:t>
      </w:r>
      <w:r>
        <w:rPr>
          <w:spacing w:val="-4"/>
          <w:sz w:val="15"/>
        </w:rPr>
        <w:t> </w:t>
      </w:r>
      <w:r>
        <w:rPr>
          <w:sz w:val="15"/>
        </w:rPr>
        <w:t>dividing</w:t>
      </w:r>
      <w:r>
        <w:rPr>
          <w:spacing w:val="-3"/>
          <w:sz w:val="15"/>
        </w:rPr>
        <w:t> </w:t>
      </w:r>
      <w:r>
        <w:rPr>
          <w:sz w:val="15"/>
        </w:rPr>
        <w:t>the</w:t>
      </w:r>
      <w:r>
        <w:rPr>
          <w:spacing w:val="-4"/>
          <w:sz w:val="15"/>
        </w:rPr>
        <w:t> </w:t>
      </w:r>
      <w:r>
        <w:rPr>
          <w:sz w:val="15"/>
        </w:rPr>
        <w:t>total</w:t>
      </w:r>
      <w:r>
        <w:rPr>
          <w:spacing w:val="-4"/>
          <w:sz w:val="15"/>
        </w:rPr>
        <w:t> </w:t>
      </w:r>
      <w:r>
        <w:rPr>
          <w:sz w:val="15"/>
        </w:rPr>
        <w:t>number</w:t>
      </w:r>
      <w:r>
        <w:rPr>
          <w:spacing w:val="-3"/>
          <w:sz w:val="15"/>
        </w:rPr>
        <w:t> </w:t>
      </w:r>
      <w:r>
        <w:rPr>
          <w:sz w:val="15"/>
        </w:rPr>
        <w:t>of</w:t>
      </w:r>
      <w:r>
        <w:rPr>
          <w:spacing w:val="-4"/>
          <w:sz w:val="15"/>
        </w:rPr>
        <w:t> </w:t>
      </w:r>
      <w:r>
        <w:rPr>
          <w:sz w:val="15"/>
        </w:rPr>
        <w:t>satisfied</w:t>
      </w:r>
    </w:p>
    <w:p>
      <w:pPr>
        <w:spacing w:line="278" w:lineRule="auto" w:before="27"/>
        <w:ind w:left="619" w:right="1050" w:firstLine="0"/>
        <w:jc w:val="left"/>
        <w:rPr>
          <w:sz w:val="15"/>
        </w:rPr>
      </w:pPr>
      <w:r>
        <w:rPr>
          <w:sz w:val="15"/>
        </w:rPr>
        <w:t>responses</w:t>
      </w:r>
      <w:r>
        <w:rPr>
          <w:spacing w:val="-10"/>
          <w:sz w:val="15"/>
        </w:rPr>
        <w:t> </w:t>
      </w:r>
      <w:r>
        <w:rPr>
          <w:sz w:val="15"/>
        </w:rPr>
        <w:t>by</w:t>
      </w:r>
      <w:r>
        <w:rPr>
          <w:spacing w:val="-10"/>
          <w:sz w:val="15"/>
        </w:rPr>
        <w:t> </w:t>
      </w:r>
      <w:r>
        <w:rPr>
          <w:sz w:val="15"/>
        </w:rPr>
        <w:t>the</w:t>
      </w:r>
      <w:r>
        <w:rPr>
          <w:spacing w:val="-10"/>
          <w:sz w:val="15"/>
        </w:rPr>
        <w:t> </w:t>
      </w:r>
      <w:r>
        <w:rPr>
          <w:sz w:val="15"/>
        </w:rPr>
        <w:t>total</w:t>
      </w:r>
      <w:r>
        <w:rPr>
          <w:spacing w:val="-9"/>
          <w:sz w:val="15"/>
        </w:rPr>
        <w:t> </w:t>
      </w:r>
      <w:r>
        <w:rPr>
          <w:sz w:val="15"/>
        </w:rPr>
        <w:t>number</w:t>
      </w:r>
      <w:r>
        <w:rPr>
          <w:spacing w:val="-10"/>
          <w:sz w:val="15"/>
        </w:rPr>
        <w:t> </w:t>
      </w:r>
      <w:r>
        <w:rPr>
          <w:sz w:val="15"/>
        </w:rPr>
        <w:t>of</w:t>
      </w:r>
      <w:r>
        <w:rPr>
          <w:spacing w:val="-10"/>
          <w:sz w:val="15"/>
        </w:rPr>
        <w:t> </w:t>
      </w:r>
      <w:r>
        <w:rPr>
          <w:sz w:val="15"/>
        </w:rPr>
        <w:t>survey</w:t>
      </w:r>
      <w:r>
        <w:rPr>
          <w:spacing w:val="-9"/>
          <w:sz w:val="15"/>
        </w:rPr>
        <w:t> </w:t>
      </w:r>
      <w:r>
        <w:rPr>
          <w:sz w:val="15"/>
        </w:rPr>
        <w:t>respondents</w:t>
      </w:r>
      <w:r>
        <w:rPr>
          <w:spacing w:val="-10"/>
          <w:sz w:val="15"/>
        </w:rPr>
        <w:t> </w:t>
      </w:r>
      <w:r>
        <w:rPr>
          <w:sz w:val="15"/>
        </w:rPr>
        <w:t>for</w:t>
      </w:r>
      <w:r>
        <w:rPr>
          <w:spacing w:val="-10"/>
          <w:sz w:val="15"/>
        </w:rPr>
        <w:t> </w:t>
      </w:r>
      <w:r>
        <w:rPr>
          <w:sz w:val="15"/>
        </w:rPr>
        <w:t>users</w:t>
      </w:r>
      <w:r>
        <w:rPr>
          <w:spacing w:val="-9"/>
          <w:sz w:val="15"/>
        </w:rPr>
        <w:t> </w:t>
      </w:r>
      <w:r>
        <w:rPr>
          <w:sz w:val="15"/>
        </w:rPr>
        <w:t>of CUAs</w:t>
      </w:r>
      <w:r>
        <w:rPr>
          <w:spacing w:val="-14"/>
          <w:sz w:val="15"/>
        </w:rPr>
        <w:t> </w:t>
      </w:r>
      <w:r>
        <w:rPr>
          <w:sz w:val="15"/>
        </w:rPr>
        <w:t>and</w:t>
      </w:r>
      <w:r>
        <w:rPr>
          <w:spacing w:val="-14"/>
          <w:sz w:val="15"/>
        </w:rPr>
        <w:t> </w:t>
      </w:r>
      <w:r>
        <w:rPr>
          <w:sz w:val="15"/>
        </w:rPr>
        <w:t>clients</w:t>
      </w:r>
      <w:r>
        <w:rPr>
          <w:spacing w:val="-13"/>
          <w:sz w:val="15"/>
        </w:rPr>
        <w:t> </w:t>
      </w:r>
      <w:r>
        <w:rPr>
          <w:sz w:val="15"/>
        </w:rPr>
        <w:t>of</w:t>
      </w:r>
      <w:r>
        <w:rPr>
          <w:spacing w:val="-14"/>
          <w:sz w:val="15"/>
        </w:rPr>
        <w:t> </w:t>
      </w:r>
      <w:r>
        <w:rPr>
          <w:sz w:val="15"/>
        </w:rPr>
        <w:t>agency</w:t>
      </w:r>
      <w:r>
        <w:rPr>
          <w:spacing w:val="-14"/>
          <w:sz w:val="15"/>
        </w:rPr>
        <w:t> </w:t>
      </w:r>
      <w:r>
        <w:rPr>
          <w:sz w:val="15"/>
        </w:rPr>
        <w:t>specific</w:t>
      </w:r>
      <w:r>
        <w:rPr>
          <w:spacing w:val="-13"/>
          <w:sz w:val="15"/>
        </w:rPr>
        <w:t> </w:t>
      </w:r>
      <w:r>
        <w:rPr>
          <w:sz w:val="15"/>
        </w:rPr>
        <w:t>contracts</w:t>
      </w:r>
      <w:r>
        <w:rPr>
          <w:spacing w:val="-14"/>
          <w:sz w:val="15"/>
        </w:rPr>
        <w:t> </w:t>
      </w:r>
      <w:r>
        <w:rPr>
          <w:sz w:val="15"/>
        </w:rPr>
        <w:t>(950</w:t>
      </w:r>
      <w:r>
        <w:rPr>
          <w:spacing w:val="-14"/>
          <w:sz w:val="15"/>
        </w:rPr>
        <w:t> </w:t>
      </w:r>
      <w:r>
        <w:rPr>
          <w:sz w:val="15"/>
        </w:rPr>
        <w:t>surveys</w:t>
      </w:r>
      <w:r>
        <w:rPr>
          <w:spacing w:val="-13"/>
          <w:sz w:val="15"/>
        </w:rPr>
        <w:t> </w:t>
      </w:r>
      <w:r>
        <w:rPr>
          <w:spacing w:val="-3"/>
          <w:sz w:val="15"/>
        </w:rPr>
        <w:t>issued; </w:t>
      </w:r>
      <w:r>
        <w:rPr>
          <w:sz w:val="15"/>
        </w:rPr>
        <w:t>769</w:t>
      </w:r>
      <w:r>
        <w:rPr>
          <w:spacing w:val="-4"/>
          <w:sz w:val="15"/>
        </w:rPr>
        <w:t> </w:t>
      </w:r>
      <w:r>
        <w:rPr>
          <w:sz w:val="15"/>
        </w:rPr>
        <w:t>responses;</w:t>
      </w:r>
      <w:r>
        <w:rPr>
          <w:spacing w:val="-3"/>
          <w:sz w:val="15"/>
        </w:rPr>
        <w:t> </w:t>
      </w:r>
      <w:r>
        <w:rPr>
          <w:sz w:val="15"/>
        </w:rPr>
        <w:t>81</w:t>
      </w:r>
      <w:r>
        <w:rPr>
          <w:spacing w:val="-3"/>
          <w:sz w:val="15"/>
        </w:rPr>
        <w:t> </w:t>
      </w:r>
      <w:r>
        <w:rPr>
          <w:sz w:val="15"/>
        </w:rPr>
        <w:t>per</w:t>
      </w:r>
      <w:r>
        <w:rPr>
          <w:spacing w:val="-4"/>
          <w:sz w:val="15"/>
        </w:rPr>
        <w:t> </w:t>
      </w:r>
      <w:r>
        <w:rPr>
          <w:sz w:val="15"/>
        </w:rPr>
        <w:t>cent</w:t>
      </w:r>
      <w:r>
        <w:rPr>
          <w:spacing w:val="-3"/>
          <w:sz w:val="15"/>
        </w:rPr>
        <w:t> </w:t>
      </w:r>
      <w:r>
        <w:rPr>
          <w:sz w:val="15"/>
        </w:rPr>
        <w:t>response</w:t>
      </w:r>
      <w:r>
        <w:rPr>
          <w:spacing w:val="-3"/>
          <w:sz w:val="15"/>
        </w:rPr>
        <w:t> </w:t>
      </w:r>
      <w:r>
        <w:rPr>
          <w:sz w:val="15"/>
        </w:rPr>
        <w:t>rate;</w:t>
      </w:r>
      <w:r>
        <w:rPr>
          <w:spacing w:val="-3"/>
          <w:sz w:val="15"/>
        </w:rPr>
        <w:t> </w:t>
      </w:r>
      <w:r>
        <w:rPr>
          <w:sz w:val="15"/>
        </w:rPr>
        <w:t>+/-</w:t>
      </w:r>
      <w:r>
        <w:rPr>
          <w:spacing w:val="-4"/>
          <w:sz w:val="15"/>
        </w:rPr>
        <w:t> </w:t>
      </w:r>
      <w:r>
        <w:rPr>
          <w:sz w:val="15"/>
        </w:rPr>
        <w:t>1.5</w:t>
      </w:r>
      <w:r>
        <w:rPr>
          <w:spacing w:val="-3"/>
          <w:sz w:val="15"/>
        </w:rPr>
        <w:t> </w:t>
      </w:r>
      <w:r>
        <w:rPr>
          <w:sz w:val="15"/>
        </w:rPr>
        <w:t>per</w:t>
      </w:r>
      <w:r>
        <w:rPr>
          <w:spacing w:val="-3"/>
          <w:sz w:val="15"/>
        </w:rPr>
        <w:t> </w:t>
      </w:r>
      <w:r>
        <w:rPr>
          <w:sz w:val="15"/>
        </w:rPr>
        <w:t>cent</w:t>
      </w:r>
      <w:r>
        <w:rPr>
          <w:spacing w:val="-3"/>
          <w:sz w:val="15"/>
        </w:rPr>
        <w:t> </w:t>
      </w:r>
      <w:r>
        <w:rPr>
          <w:sz w:val="15"/>
        </w:rPr>
        <w:t>at</w:t>
      </w:r>
    </w:p>
    <w:p>
      <w:pPr>
        <w:spacing w:line="172" w:lineRule="exact" w:before="0"/>
        <w:ind w:left="619" w:right="0" w:firstLine="0"/>
        <w:jc w:val="left"/>
        <w:rPr>
          <w:sz w:val="15"/>
        </w:rPr>
      </w:pPr>
      <w:r>
        <w:rPr>
          <w:sz w:val="15"/>
        </w:rPr>
        <w:t>95 per cent confidence level).</w:t>
      </w:r>
    </w:p>
    <w:p>
      <w:pPr>
        <w:spacing w:after="0" w:line="172" w:lineRule="exact"/>
        <w:jc w:val="left"/>
        <w:rPr>
          <w:sz w:val="15"/>
        </w:rPr>
        <w:sectPr>
          <w:type w:val="continuous"/>
          <w:pgSz w:w="16840" w:h="11910" w:orient="landscape"/>
          <w:pgMar w:top="0" w:bottom="0" w:left="0" w:right="0"/>
          <w:cols w:num="3" w:equalWidth="0">
            <w:col w:w="5555" w:space="40"/>
            <w:col w:w="5208" w:space="39"/>
            <w:col w:w="5998"/>
          </w:cols>
        </w:sectPr>
      </w:pPr>
    </w:p>
    <w:p>
      <w:pPr>
        <w:pStyle w:val="ListParagraph"/>
        <w:numPr>
          <w:ilvl w:val="0"/>
          <w:numId w:val="33"/>
        </w:numPr>
        <w:tabs>
          <w:tab w:pos="6290" w:val="left" w:leader="none"/>
        </w:tabs>
        <w:spacing w:line="249" w:lineRule="auto" w:before="3" w:after="0"/>
        <w:ind w:left="6315" w:right="948" w:hanging="306"/>
        <w:jc w:val="left"/>
        <w:rPr>
          <w:sz w:val="22"/>
        </w:rPr>
      </w:pPr>
      <w:r>
        <w:rPr>
          <w:sz w:val="22"/>
        </w:rPr>
        <w:t>State</w:t>
      </w:r>
      <w:r>
        <w:rPr>
          <w:spacing w:val="-17"/>
          <w:sz w:val="22"/>
        </w:rPr>
        <w:t> </w:t>
      </w:r>
      <w:r>
        <w:rPr>
          <w:spacing w:val="-4"/>
          <w:sz w:val="22"/>
        </w:rPr>
        <w:t>Fleet’s</w:t>
      </w:r>
      <w:r>
        <w:rPr>
          <w:spacing w:val="-16"/>
          <w:sz w:val="22"/>
        </w:rPr>
        <w:t> </w:t>
      </w:r>
      <w:r>
        <w:rPr>
          <w:sz w:val="22"/>
        </w:rPr>
        <w:t>profitability</w:t>
      </w:r>
      <w:r>
        <w:rPr>
          <w:spacing w:val="-17"/>
          <w:sz w:val="22"/>
        </w:rPr>
        <w:t> </w:t>
      </w:r>
      <w:r>
        <w:rPr>
          <w:sz w:val="22"/>
        </w:rPr>
        <w:t>has</w:t>
      </w:r>
      <w:r>
        <w:rPr>
          <w:spacing w:val="-16"/>
          <w:sz w:val="22"/>
        </w:rPr>
        <w:t> </w:t>
      </w:r>
      <w:r>
        <w:rPr>
          <w:sz w:val="22"/>
        </w:rPr>
        <w:t>improved</w:t>
      </w:r>
      <w:r>
        <w:rPr>
          <w:spacing w:val="-17"/>
          <w:sz w:val="22"/>
        </w:rPr>
        <w:t> </w:t>
      </w:r>
      <w:r>
        <w:rPr>
          <w:sz w:val="22"/>
        </w:rPr>
        <w:t>compared</w:t>
      </w:r>
      <w:r>
        <w:rPr>
          <w:spacing w:val="-16"/>
          <w:sz w:val="22"/>
        </w:rPr>
        <w:t> </w:t>
      </w:r>
      <w:r>
        <w:rPr>
          <w:sz w:val="22"/>
        </w:rPr>
        <w:t>to</w:t>
      </w:r>
      <w:r>
        <w:rPr>
          <w:spacing w:val="-17"/>
          <w:sz w:val="22"/>
        </w:rPr>
        <w:t> </w:t>
      </w:r>
      <w:r>
        <w:rPr>
          <w:sz w:val="22"/>
        </w:rPr>
        <w:t>2016-17</w:t>
      </w:r>
      <w:r>
        <w:rPr>
          <w:spacing w:val="-16"/>
          <w:sz w:val="22"/>
        </w:rPr>
        <w:t> </w:t>
      </w:r>
      <w:r>
        <w:rPr>
          <w:sz w:val="22"/>
        </w:rPr>
        <w:t>target</w:t>
      </w:r>
      <w:r>
        <w:rPr>
          <w:spacing w:val="-17"/>
          <w:sz w:val="22"/>
        </w:rPr>
        <w:t> </w:t>
      </w:r>
      <w:r>
        <w:rPr>
          <w:sz w:val="22"/>
        </w:rPr>
        <w:t>due</w:t>
      </w:r>
      <w:r>
        <w:rPr>
          <w:spacing w:val="-16"/>
          <w:sz w:val="22"/>
        </w:rPr>
        <w:t> </w:t>
      </w:r>
      <w:r>
        <w:rPr>
          <w:sz w:val="22"/>
        </w:rPr>
        <w:t>mainly</w:t>
      </w:r>
      <w:r>
        <w:rPr>
          <w:spacing w:val="-17"/>
          <w:sz w:val="22"/>
        </w:rPr>
        <w:t> </w:t>
      </w:r>
      <w:r>
        <w:rPr>
          <w:sz w:val="22"/>
        </w:rPr>
        <w:t>to</w:t>
      </w:r>
      <w:r>
        <w:rPr>
          <w:spacing w:val="-16"/>
          <w:sz w:val="22"/>
        </w:rPr>
        <w:t> </w:t>
      </w:r>
      <w:r>
        <w:rPr>
          <w:sz w:val="22"/>
        </w:rPr>
        <w:t>Water</w:t>
      </w:r>
      <w:r>
        <w:rPr>
          <w:spacing w:val="-17"/>
          <w:sz w:val="22"/>
        </w:rPr>
        <w:t> </w:t>
      </w:r>
      <w:r>
        <w:rPr>
          <w:spacing w:val="-4"/>
          <w:sz w:val="22"/>
        </w:rPr>
        <w:t>Corporation’s </w:t>
      </w:r>
      <w:r>
        <w:rPr>
          <w:sz w:val="22"/>
        </w:rPr>
        <w:t>exit</w:t>
      </w:r>
      <w:r>
        <w:rPr>
          <w:spacing w:val="-18"/>
          <w:sz w:val="22"/>
        </w:rPr>
        <w:t> </w:t>
      </w:r>
      <w:r>
        <w:rPr>
          <w:sz w:val="22"/>
        </w:rPr>
        <w:t>from</w:t>
      </w:r>
      <w:r>
        <w:rPr>
          <w:spacing w:val="-18"/>
          <w:sz w:val="22"/>
        </w:rPr>
        <w:t> </w:t>
      </w:r>
      <w:r>
        <w:rPr>
          <w:sz w:val="22"/>
        </w:rPr>
        <w:t>the</w:t>
      </w:r>
      <w:r>
        <w:rPr>
          <w:spacing w:val="-18"/>
          <w:sz w:val="22"/>
        </w:rPr>
        <w:t> </w:t>
      </w:r>
      <w:r>
        <w:rPr>
          <w:sz w:val="22"/>
        </w:rPr>
        <w:t>State</w:t>
      </w:r>
      <w:r>
        <w:rPr>
          <w:spacing w:val="-17"/>
          <w:sz w:val="22"/>
        </w:rPr>
        <w:t> </w:t>
      </w:r>
      <w:r>
        <w:rPr>
          <w:sz w:val="22"/>
        </w:rPr>
        <w:t>Fleet</w:t>
      </w:r>
      <w:r>
        <w:rPr>
          <w:spacing w:val="-18"/>
          <w:sz w:val="22"/>
        </w:rPr>
        <w:t> </w:t>
      </w:r>
      <w:r>
        <w:rPr>
          <w:sz w:val="22"/>
        </w:rPr>
        <w:t>arrangement,</w:t>
      </w:r>
      <w:r>
        <w:rPr>
          <w:spacing w:val="-18"/>
          <w:sz w:val="22"/>
        </w:rPr>
        <w:t> </w:t>
      </w:r>
      <w:r>
        <w:rPr>
          <w:sz w:val="22"/>
        </w:rPr>
        <w:t>resulting</w:t>
      </w:r>
      <w:r>
        <w:rPr>
          <w:spacing w:val="-17"/>
          <w:sz w:val="22"/>
        </w:rPr>
        <w:t> </w:t>
      </w:r>
      <w:r>
        <w:rPr>
          <w:sz w:val="22"/>
        </w:rPr>
        <w:t>in</w:t>
      </w:r>
      <w:r>
        <w:rPr>
          <w:spacing w:val="-18"/>
          <w:sz w:val="22"/>
        </w:rPr>
        <w:t> </w:t>
      </w:r>
      <w:r>
        <w:rPr>
          <w:sz w:val="22"/>
        </w:rPr>
        <w:t>lower</w:t>
      </w:r>
      <w:r>
        <w:rPr>
          <w:spacing w:val="-18"/>
          <w:sz w:val="22"/>
        </w:rPr>
        <w:t> </w:t>
      </w:r>
      <w:r>
        <w:rPr>
          <w:sz w:val="22"/>
        </w:rPr>
        <w:t>financing</w:t>
      </w:r>
      <w:r>
        <w:rPr>
          <w:spacing w:val="-18"/>
          <w:sz w:val="22"/>
        </w:rPr>
        <w:t> </w:t>
      </w:r>
      <w:r>
        <w:rPr>
          <w:sz w:val="22"/>
        </w:rPr>
        <w:t>costs,</w:t>
      </w:r>
      <w:r>
        <w:rPr>
          <w:spacing w:val="-17"/>
          <w:sz w:val="22"/>
        </w:rPr>
        <w:t> </w:t>
      </w:r>
      <w:r>
        <w:rPr>
          <w:sz w:val="22"/>
        </w:rPr>
        <w:t>and</w:t>
      </w:r>
      <w:r>
        <w:rPr>
          <w:spacing w:val="-18"/>
          <w:sz w:val="22"/>
        </w:rPr>
        <w:t> </w:t>
      </w:r>
      <w:r>
        <w:rPr>
          <w:sz w:val="22"/>
        </w:rPr>
        <w:t>the</w:t>
      </w:r>
      <w:r>
        <w:rPr>
          <w:spacing w:val="-18"/>
          <w:sz w:val="22"/>
        </w:rPr>
        <w:t> </w:t>
      </w:r>
      <w:r>
        <w:rPr>
          <w:sz w:val="22"/>
        </w:rPr>
        <w:t>better</w:t>
      </w:r>
      <w:r>
        <w:rPr>
          <w:spacing w:val="-17"/>
          <w:sz w:val="22"/>
        </w:rPr>
        <w:t> </w:t>
      </w:r>
      <w:r>
        <w:rPr>
          <w:sz w:val="22"/>
        </w:rPr>
        <w:t>than</w:t>
      </w:r>
      <w:r>
        <w:rPr>
          <w:spacing w:val="-18"/>
          <w:sz w:val="22"/>
        </w:rPr>
        <w:t> </w:t>
      </w:r>
      <w:r>
        <w:rPr>
          <w:sz w:val="22"/>
        </w:rPr>
        <w:t>forecast sales results from the disposal of State Fleet</w:t>
      </w:r>
      <w:r>
        <w:rPr>
          <w:spacing w:val="-21"/>
          <w:sz w:val="22"/>
        </w:rPr>
        <w:t> </w:t>
      </w:r>
      <w:r>
        <w:rPr>
          <w:sz w:val="22"/>
        </w:rPr>
        <w:t>vehicles.</w:t>
      </w:r>
    </w:p>
    <w:p>
      <w:pPr>
        <w:pStyle w:val="ListParagraph"/>
        <w:numPr>
          <w:ilvl w:val="0"/>
          <w:numId w:val="33"/>
        </w:numPr>
        <w:tabs>
          <w:tab w:pos="6290" w:val="left" w:leader="none"/>
        </w:tabs>
        <w:spacing w:line="240" w:lineRule="auto" w:before="3" w:after="0"/>
        <w:ind w:left="6289" w:right="0" w:hanging="280"/>
        <w:jc w:val="left"/>
        <w:rPr>
          <w:sz w:val="22"/>
        </w:rPr>
      </w:pPr>
      <w:r>
        <w:rPr>
          <w:sz w:val="22"/>
        </w:rPr>
        <w:t>Results</w:t>
      </w:r>
      <w:r>
        <w:rPr>
          <w:spacing w:val="-6"/>
          <w:sz w:val="22"/>
        </w:rPr>
        <w:t> </w:t>
      </w:r>
      <w:r>
        <w:rPr>
          <w:sz w:val="22"/>
        </w:rPr>
        <w:t>were</w:t>
      </w:r>
      <w:r>
        <w:rPr>
          <w:spacing w:val="-6"/>
          <w:sz w:val="22"/>
        </w:rPr>
        <w:t> </w:t>
      </w:r>
      <w:r>
        <w:rPr>
          <w:sz w:val="22"/>
        </w:rPr>
        <w:t>significantly</w:t>
      </w:r>
      <w:r>
        <w:rPr>
          <w:spacing w:val="-6"/>
          <w:sz w:val="22"/>
        </w:rPr>
        <w:t> </w:t>
      </w:r>
      <w:r>
        <w:rPr>
          <w:sz w:val="22"/>
        </w:rPr>
        <w:t>higher</w:t>
      </w:r>
      <w:r>
        <w:rPr>
          <w:spacing w:val="-6"/>
          <w:sz w:val="22"/>
        </w:rPr>
        <w:t> </w:t>
      </w:r>
      <w:r>
        <w:rPr>
          <w:sz w:val="22"/>
        </w:rPr>
        <w:t>in</w:t>
      </w:r>
      <w:r>
        <w:rPr>
          <w:spacing w:val="-5"/>
          <w:sz w:val="22"/>
        </w:rPr>
        <w:t> </w:t>
      </w:r>
      <w:r>
        <w:rPr>
          <w:sz w:val="22"/>
        </w:rPr>
        <w:t>overall</w:t>
      </w:r>
      <w:r>
        <w:rPr>
          <w:spacing w:val="-6"/>
          <w:sz w:val="22"/>
        </w:rPr>
        <w:t> </w:t>
      </w:r>
      <w:r>
        <w:rPr>
          <w:sz w:val="22"/>
        </w:rPr>
        <w:t>value-for-money</w:t>
      </w:r>
      <w:r>
        <w:rPr>
          <w:spacing w:val="-6"/>
          <w:sz w:val="22"/>
        </w:rPr>
        <w:t> </w:t>
      </w:r>
      <w:r>
        <w:rPr>
          <w:sz w:val="22"/>
        </w:rPr>
        <w:t>satisfaction</w:t>
      </w:r>
      <w:r>
        <w:rPr>
          <w:spacing w:val="-6"/>
          <w:sz w:val="22"/>
        </w:rPr>
        <w:t> </w:t>
      </w:r>
      <w:r>
        <w:rPr>
          <w:sz w:val="22"/>
        </w:rPr>
        <w:t>for</w:t>
      </w:r>
      <w:r>
        <w:rPr>
          <w:spacing w:val="-5"/>
          <w:sz w:val="22"/>
        </w:rPr>
        <w:t> </w:t>
      </w:r>
      <w:r>
        <w:rPr>
          <w:sz w:val="22"/>
        </w:rPr>
        <w:t>CUAs.</w:t>
      </w:r>
    </w:p>
    <w:p>
      <w:pPr>
        <w:spacing w:after="0" w:line="240" w:lineRule="auto"/>
        <w:jc w:val="left"/>
        <w:rPr>
          <w:sz w:val="22"/>
        </w:rPr>
        <w:sectPr>
          <w:type w:val="continuous"/>
          <w:pgSz w:w="16840" w:h="11910" w:orient="landscape"/>
          <w:pgMar w:top="0" w:bottom="0" w:left="0" w:right="0"/>
        </w:sectPr>
      </w:pPr>
    </w:p>
    <w:p>
      <w:pPr>
        <w:pStyle w:val="BodyText"/>
        <w:ind w:left="-3"/>
        <w:rPr>
          <w:sz w:val="20"/>
        </w:rPr>
      </w:pPr>
      <w:bookmarkStart w:name="_bookmark63" w:id="65"/>
      <w:bookmarkEnd w:id="65"/>
      <w:r>
        <w:rPr/>
      </w:r>
      <w:r>
        <w:rPr>
          <w:sz w:val="20"/>
        </w:rPr>
        <w:pict>
          <v:group style="width:240.15pt;height:56.95pt;mso-position-horizontal-relative:char;mso-position-vertical-relative:line" coordorigin="0,0" coordsize="4803,1139">
            <v:shape style="position:absolute;left:0;top:181;width:11;height:10" coordorigin="0,181" coordsize="11,10" path="m7,181l0,186,0,191,11,185,7,181xe" filled="true" fillcolor="#cdcccd" stroked="false">
              <v:path arrowok="t"/>
              <v:fill type="solid"/>
            </v:shape>
            <v:shape style="position:absolute;left:0;top:231;width:362;height:513" type="#_x0000_t75" stroked="false">
              <v:imagedata r:id="rId27" o:title=""/>
            </v:shape>
            <v:shape style="position:absolute;left:0;top:581;width:412;height:242" coordorigin="0,582" coordsize="412,242" path="m408,582l0,817,0,823,411,585,408,582xe" filled="true" fillcolor="#cdcccd" stroked="false">
              <v:path arrowok="t"/>
              <v:fill type="solid"/>
            </v:shape>
            <v:shape style="position:absolute;left:0;top:631;width:462;height:270" coordorigin="0,632" coordsize="462,270" path="m458,632l0,896,0,902,461,635,458,632xe" filled="true" fillcolor="#cdcccd" stroked="false">
              <v:path arrowok="t"/>
              <v:fill type="solid"/>
            </v:shape>
            <v:shape style="position:absolute;left:0;top:701;width:475;height:280" coordorigin="0,701" coordsize="475,280" path="m474,701l0,975,0,981,461,715,474,701xe" filled="true" fillcolor="#cdcccd" stroked="false">
              <v:path arrowok="t"/>
              <v:fill type="solid"/>
            </v:shape>
            <v:shape style="position:absolute;left:0;top:887;width:288;height:251" type="#_x0000_t75" stroked="false">
              <v:imagedata r:id="rId28" o:title=""/>
            </v:shape>
            <v:rect style="position:absolute;left:0;top:0;width:2406;height:851" filled="true" fillcolor="#aebd37" stroked="false">
              <v:fill type="solid"/>
            </v:rect>
            <v:shape style="position:absolute;left:2405;top:0;width:2398;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0;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group>
        </w:pict>
      </w:r>
      <w:r>
        <w:rPr>
          <w:sz w:val="20"/>
        </w:rPr>
      </w:r>
    </w:p>
    <w:p>
      <w:pPr>
        <w:pStyle w:val="BodyText"/>
        <w:rPr>
          <w:sz w:val="14"/>
        </w:rPr>
      </w:pPr>
    </w:p>
    <w:p>
      <w:pPr>
        <w:pStyle w:val="Heading1"/>
        <w:spacing w:before="93"/>
      </w:pPr>
      <w:r>
        <w:rPr/>
        <w:pict>
          <v:group style="position:absolute;margin-left:240.123001pt;margin-top:-67.324211pt;width:601.8pt;height:108.95pt;mso-position-horizontal-relative:page;mso-position-vertical-relative:paragraph;z-index:-781120" coordorigin="4802,-1346" coordsize="12036,2179">
            <v:shape style="position:absolute;left:14419;top:-1347;width:1455;height:1745" coordorigin="14419,-1346" coordsize="1455,1745" path="m15219,-1346l15194,-1346,14935,-1197,14901,-1163,15219,-1346m15356,-1346l15331,-1346,14748,-1010,14714,-976,15356,-1346m15492,-1346l15467,-1346,14562,-824,14527,-789,15492,-1346m15629,-1346l15604,-1346,14419,-662,14428,-653,15629,-1346m15766,-1346l15741,-1346,14469,-612,14478,-603,15766,-1346m15874,155l15470,388,15479,398,15874,170,15874,155m15874,76l15420,338,15429,348,15874,91,15874,76m15874,-3l15370,288,15379,297,15874,12,15874,-3m15874,-82l15320,238,15329,247,15874,-67,15874,-82m15874,-161l15270,188,15279,197,15874,-146,15874,-161m15874,-240l15220,138,15229,147,15874,-225,15874,-240m15874,-318l15170,88,15179,97,15874,-304,15874,-318m15874,-397l15120,38,15129,47,15874,-383,15874,-397m15874,-476l15070,-12,15079,-3,15874,-462,15874,-476m15874,-555l15020,-62,15029,-53,15874,-541,15874,-555m15874,-713l14920,-162,14929,-153,15874,-699,15874,-713m15874,-792l14870,-212,14879,-203,15874,-778,15874,-792m15874,-871l14819,-262,14829,-253,15874,-856,15874,-871m15874,-950l14769,-312,14779,-303,15874,-935,15874,-950m15874,-1029l14719,-362,14729,-353,15874,-1014,15874,-1029m15874,-1108l14669,-412,14679,-403,15874,-1093,15874,-1108m15874,-1187l14619,-462,14628,-453,15874,-1172,15874,-1187m15874,-1345l14519,-562,14528,-553,15874,-1330,15874,-1345m15874,-634l14970,-112,14979,-103,15874,-620,15874,-634m15874,-1266l14569,-512,14578,-503,15874,-1251,15874,-1266e" filled="true" fillcolor="#cdcccd" stroked="false">
              <v:path arrowok="t"/>
              <v:fill type="solid"/>
            </v:shape>
            <v:shape style="position:absolute;left:15520;top:234;width:354;height:514" type="#_x0000_t75" stroked="false">
              <v:imagedata r:id="rId42" o:title=""/>
            </v:shape>
            <v:shape style="position:absolute;left:15874;top:-1347;width:338;height:196" type="#_x0000_t75" stroked="false">
              <v:imagedata r:id="rId20" o:title=""/>
            </v:shape>
            <v:shape style="position:absolute;left:15874;top:-1347;width:964;height:1932" coordorigin="15874,-1346" coordsize="964,1932" path="m16349,-1346l16339,-1346,15874,-1078,15874,-1072,16349,-1346m16378,288l15874,579,15874,585,16365,302,16378,288m16486,-1346l16476,-1346,15874,-999,15874,-993,16486,-1346m16565,101l15874,500,15874,506,16551,115,16565,101m16622,-1346l16612,-1346,15874,-920,15874,-915,16622,-1346m16699,-1312l16695,-1315,15874,-841,15874,-836,16699,-1312m16749,-1262l16745,-1265,15874,-762,15874,-757,16749,-1262m16752,-85l15874,421,15874,427,16738,-72,16752,-85m16799,-1212l16795,-1215,15874,-684,15874,-678,16799,-1212m16838,-214l15874,343,15874,348,16838,-208,16838,-214m16838,-293l15874,264,15874,269,16838,-287,16838,-293m16838,-372l15874,185,15874,190,16838,-366,16838,-372m16838,-451l15874,106,15874,112,16838,-445,16838,-451m16838,-530l15874,27,15874,33,16838,-524,16838,-530m16838,-608l15874,-52,15874,-46,16838,-603,16838,-608m16838,-687l15874,-131,15874,-125,16838,-682,16838,-687m16838,-766l15874,-210,15874,-204,16838,-761,16838,-766m16838,-845l15874,-289,15874,-283,16838,-839,16838,-845m16838,-924l15874,-368,15874,-362,16838,-918,16838,-924m16838,-1003l15874,-447,15874,-441,16838,-997,16838,-1003m16838,-1082l15874,-526,15874,-520,16838,-1076,16838,-1082m16838,-1161l15874,-605,15874,-599,16838,-1155,16838,-1161e" filled="true" fillcolor="#cdcccd" stroked="false">
              <v:path arrowok="t"/>
              <v:fill type="solid"/>
            </v:shape>
            <v:shape style="position:absolute;left:15874;top:474;width:318;height:269" type="#_x0000_t75" stroked="false">
              <v:imagedata r:id="rId158" o:title=""/>
            </v:shape>
            <v:shape style="position:absolute;left:13676;top:-975;width:904;height:904" coordorigin="13677,-974" coordsize="904,904" path="m14128,-974l13677,-522,14128,-71,14580,-522,14128,-974xe" filled="true" fillcolor="#ffffff" stroked="false">
              <v:path arrowok="t"/>
              <v:fill type="solid"/>
            </v:shape>
            <v:shape style="position:absolute;left:13225;top:-523;width:904;height:904" coordorigin="13225,-522" coordsize="904,904" path="m13677,-522l13225,-71,13677,381,14128,-71,13677,-522xe" filled="true" fillcolor="#e8e9c9" stroked="false">
              <v:path arrowok="t"/>
              <v:fill type="solid"/>
            </v:shape>
            <v:shape style="position:absolute;left:12773;top:-71;width:904;height:904" coordorigin="12774,-71" coordsize="904,904" path="m13225,-71l12774,381,13225,832,13677,381,13225,-71xe" filled="true" fillcolor="#d5dac6" stroked="false">
              <v:path arrowok="t"/>
              <v:fill type="solid"/>
            </v:shape>
            <v:shape style="position:absolute;left:11870;top:-975;width:2710;height:904" coordorigin="11870,-974" coordsize="2710,904" path="m12774,-522l12322,-974,11870,-522,12322,-71,12774,-522m14580,-522l14128,-974,13677,-522,14128,-71,14580,-522e" filled="true" fillcolor="#efeeeb" stroked="false">
              <v:path arrowok="t"/>
              <v:fill type="solid"/>
            </v:shape>
            <v:shape style="position:absolute;left:12773;top:-975;width:904;height:904" coordorigin="12774,-974" coordsize="904,904" path="m13225,-974l12774,-522,13225,-71,13677,-522,13225,-974xe" filled="true" fillcolor="#c0aac2" stroked="false">
              <v:path arrowok="t"/>
              <v:fill type="solid"/>
            </v:shape>
            <v:shape style="position:absolute;left:15424;top:-271;width:900;height:904" coordorigin="15424,-271" coordsize="900,904" path="m15874,-271l15424,179,15424,182,15874,632,16324,182,16324,179,15874,-271xe" filled="true" fillcolor="#c4cd71" stroked="false">
              <v:path arrowok="t"/>
              <v:fill type="solid"/>
            </v:shape>
            <v:rect style="position:absolute;left:9621;top:-1347;width:2406;height:851" filled="true" fillcolor="#e6e7e8" stroked="false">
              <v:fill type="solid"/>
            </v:rect>
            <v:shape style="position:absolute;left:9621;top:-1347;width:583;height:583" type="#_x0000_t75" stroked="false">
              <v:imagedata r:id="rId247" o:title=""/>
            </v:shape>
            <v:rect style="position:absolute;left:12026;top:-1347;width:2406;height:851" filled="true" fillcolor="#b6c247" stroked="false">
              <v:fill type="solid"/>
            </v:rect>
            <v:rect style="position:absolute;left:14432;top:-1347;width:2406;height:851" filled="true" fillcolor="#aebd37" stroked="false">
              <v:fill type="solid"/>
            </v:rect>
            <v:shape style="position:absolute;left:15263;top:19;width:161;height:322" type="#_x0000_t75" stroked="false">
              <v:imagedata r:id="rId16" o:title=""/>
            </v:shape>
            <v:shape style="position:absolute;left:16324;top:19;width:161;height:322" type="#_x0000_t75" stroked="false">
              <v:imagedata r:id="rId11" o:title=""/>
            </v:shape>
            <v:shape style="position:absolute;left:15585;top:0;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4432;top:-1347;width:2406;height:851" type="#_x0000_t202" filled="false" stroked="false">
              <v:textbox inset="0,0,0,0">
                <w:txbxContent>
                  <w:p>
                    <w:pPr>
                      <w:spacing w:line="240" w:lineRule="auto" w:before="9"/>
                      <w:rPr>
                        <w:b/>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47;width:2406;height:851" type="#_x0000_t202" filled="false" stroked="false">
              <v:textbox inset="0,0,0,0">
                <w:txbxContent>
                  <w:p>
                    <w:pPr>
                      <w:spacing w:line="240" w:lineRule="auto"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1347;width:2406;height:851" type="#_x0000_t202" filled="false" stroked="false">
              <v:textbox inset="0,0,0,0">
                <w:txbxContent>
                  <w:p>
                    <w:pPr>
                      <w:spacing w:line="249" w:lineRule="auto" w:before="182"/>
                      <w:ind w:left="633" w:right="0" w:hanging="291"/>
                      <w:jc w:val="left"/>
                      <w:rPr>
                        <w:sz w:val="20"/>
                      </w:rPr>
                    </w:pPr>
                    <w:hyperlink w:history="true" w:anchor="_bookmark58">
                      <w:r>
                        <w:rPr>
                          <w:color w:val="6F2770"/>
                          <w:w w:val="95"/>
                          <w:sz w:val="20"/>
                        </w:rPr>
                        <w:t>KEY </w:t>
                      </w:r>
                    </w:hyperlink>
                    <w:hyperlink w:history="true" w:anchor="_bookmark58">
                      <w:r>
                        <w:rPr>
                          <w:color w:val="6F2770"/>
                          <w:w w:val="95"/>
                          <w:sz w:val="20"/>
                        </w:rPr>
                        <w:t>PERFORMANCE </w:t>
                      </w:r>
                      <w:r>
                        <w:rPr>
                          <w:color w:val="6F2770"/>
                          <w:sz w:val="20"/>
                        </w:rPr>
                        <w:t>INDICATORS</w:t>
                      </w:r>
                    </w:hyperlink>
                  </w:p>
                </w:txbxContent>
              </v:textbox>
              <w10:wrap type="none"/>
            </v:shape>
            <v:shape style="position:absolute;left:7211;top:-1347;width:2411;height:851" type="#_x0000_t202" filled="true" fillcolor="#c4cd71" stroked="false">
              <v:textbox inset="0,0,0,0">
                <w:txbxContent>
                  <w:p>
                    <w:pPr>
                      <w:spacing w:line="249" w:lineRule="auto" w:before="182"/>
                      <w:ind w:left="592"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347;width:2409;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w10:wrap type="none"/>
          </v:group>
        </w:pict>
      </w:r>
      <w:r>
        <w:rPr>
          <w:color w:val="6F2770"/>
        </w:rPr>
        <w:t>Key Efficiency Indicators</w:t>
      </w:r>
    </w:p>
    <w:p>
      <w:pPr>
        <w:pStyle w:val="Heading4"/>
        <w:spacing w:before="109"/>
      </w:pPr>
      <w:r>
        <w:rPr>
          <w:color w:val="A7BE39"/>
        </w:rPr>
        <w:t>Government Procurement</w:t>
      </w:r>
    </w:p>
    <w:p>
      <w:pPr>
        <w:pStyle w:val="Heading6"/>
        <w:spacing w:before="247"/>
      </w:pPr>
      <w:r>
        <w:rPr/>
        <w:t>Service 2: Development and management of CUAs, State Fleet leasing and disposal, and providing facilitation service for agency specific contracts</w:t>
      </w:r>
    </w:p>
    <w:p>
      <w:pPr>
        <w:pStyle w:val="BodyText"/>
        <w:spacing w:before="10"/>
        <w:rPr>
          <w:b/>
          <w:sz w:val="23"/>
        </w:rPr>
      </w:pPr>
    </w:p>
    <w:p>
      <w:pPr>
        <w:pStyle w:val="BodyText"/>
        <w:spacing w:line="249" w:lineRule="auto" w:before="1"/>
        <w:ind w:left="765" w:right="819"/>
      </w:pPr>
      <w:r>
        <w:rPr/>
        <w:t>The</w:t>
      </w:r>
      <w:r>
        <w:rPr>
          <w:spacing w:val="-29"/>
        </w:rPr>
        <w:t> </w:t>
      </w:r>
      <w:r>
        <w:rPr/>
        <w:t>Department</w:t>
      </w:r>
      <w:r>
        <w:rPr>
          <w:spacing w:val="-29"/>
        </w:rPr>
        <w:t> </w:t>
      </w:r>
      <w:r>
        <w:rPr>
          <w:spacing w:val="-3"/>
        </w:rPr>
        <w:t>provides</w:t>
      </w:r>
      <w:r>
        <w:rPr>
          <w:spacing w:val="-28"/>
        </w:rPr>
        <w:t> </w:t>
      </w:r>
      <w:r>
        <w:rPr/>
        <w:t>a</w:t>
      </w:r>
      <w:r>
        <w:rPr>
          <w:spacing w:val="-29"/>
        </w:rPr>
        <w:t> </w:t>
      </w:r>
      <w:r>
        <w:rPr/>
        <w:t>whole-of-government</w:t>
      </w:r>
      <w:r>
        <w:rPr>
          <w:spacing w:val="-29"/>
        </w:rPr>
        <w:t> </w:t>
      </w:r>
      <w:r>
        <w:rPr>
          <w:spacing w:val="-3"/>
        </w:rPr>
        <w:t>approach</w:t>
      </w:r>
      <w:r>
        <w:rPr>
          <w:spacing w:val="-28"/>
        </w:rPr>
        <w:t> </w:t>
      </w:r>
      <w:r>
        <w:rPr/>
        <w:t>to</w:t>
      </w:r>
      <w:r>
        <w:rPr>
          <w:spacing w:val="-29"/>
        </w:rPr>
        <w:t> </w:t>
      </w:r>
      <w:r>
        <w:rPr>
          <w:spacing w:val="-3"/>
        </w:rPr>
        <w:t>procurement</w:t>
      </w:r>
      <w:r>
        <w:rPr>
          <w:spacing w:val="-28"/>
        </w:rPr>
        <w:t> </w:t>
      </w:r>
      <w:r>
        <w:rPr/>
        <w:t>that</w:t>
      </w:r>
      <w:r>
        <w:rPr>
          <w:spacing w:val="-29"/>
        </w:rPr>
        <w:t> </w:t>
      </w:r>
      <w:r>
        <w:rPr>
          <w:spacing w:val="-3"/>
        </w:rPr>
        <w:t>efficiently</w:t>
      </w:r>
      <w:r>
        <w:rPr>
          <w:spacing w:val="-29"/>
        </w:rPr>
        <w:t> </w:t>
      </w:r>
      <w:r>
        <w:rPr/>
        <w:t>meets</w:t>
      </w:r>
      <w:r>
        <w:rPr>
          <w:spacing w:val="-28"/>
        </w:rPr>
        <w:t> </w:t>
      </w:r>
      <w:r>
        <w:rPr/>
        <w:t>the</w:t>
      </w:r>
      <w:r>
        <w:rPr>
          <w:spacing w:val="-29"/>
        </w:rPr>
        <w:t> </w:t>
      </w:r>
      <w:r>
        <w:rPr/>
        <w:t>business</w:t>
      </w:r>
      <w:r>
        <w:rPr>
          <w:spacing w:val="-28"/>
        </w:rPr>
        <w:t> </w:t>
      </w:r>
      <w:r>
        <w:rPr/>
        <w:t>needs</w:t>
      </w:r>
      <w:r>
        <w:rPr>
          <w:spacing w:val="-29"/>
        </w:rPr>
        <w:t> </w:t>
      </w:r>
      <w:r>
        <w:rPr/>
        <w:t>of</w:t>
      </w:r>
      <w:r>
        <w:rPr>
          <w:spacing w:val="-29"/>
        </w:rPr>
        <w:t> </w:t>
      </w:r>
      <w:r>
        <w:rPr/>
        <w:t>government</w:t>
      </w:r>
      <w:r>
        <w:rPr>
          <w:spacing w:val="-28"/>
        </w:rPr>
        <w:t> </w:t>
      </w:r>
      <w:r>
        <w:rPr/>
        <w:t>agencies,</w:t>
      </w:r>
      <w:r>
        <w:rPr>
          <w:spacing w:val="-29"/>
        </w:rPr>
        <w:t> </w:t>
      </w:r>
      <w:r>
        <w:rPr/>
        <w:t>manages</w:t>
      </w:r>
      <w:r>
        <w:rPr>
          <w:spacing w:val="-29"/>
        </w:rPr>
        <w:t> </w:t>
      </w:r>
      <w:r>
        <w:rPr/>
        <w:t>risk</w:t>
      </w:r>
      <w:r>
        <w:rPr>
          <w:spacing w:val="-28"/>
        </w:rPr>
        <w:t> </w:t>
      </w:r>
      <w:r>
        <w:rPr>
          <w:spacing w:val="-2"/>
        </w:rPr>
        <w:t>and </w:t>
      </w:r>
      <w:r>
        <w:rPr/>
        <w:t>delivers</w:t>
      </w:r>
      <w:r>
        <w:rPr>
          <w:spacing w:val="-4"/>
        </w:rPr>
        <w:t> value-for-money.</w:t>
      </w:r>
    </w:p>
    <w:p>
      <w:pPr>
        <w:pStyle w:val="BodyText"/>
        <w:spacing w:before="1"/>
        <w:rPr>
          <w:sz w:val="23"/>
        </w:rPr>
      </w:pPr>
    </w:p>
    <w:p>
      <w:pPr>
        <w:pStyle w:val="BodyText"/>
        <w:spacing w:line="249" w:lineRule="auto"/>
        <w:ind w:left="765" w:right="819"/>
      </w:pPr>
      <w:r>
        <w:rPr/>
        <w:t>The</w:t>
      </w:r>
      <w:r>
        <w:rPr>
          <w:spacing w:val="-22"/>
        </w:rPr>
        <w:t> </w:t>
      </w:r>
      <w:r>
        <w:rPr/>
        <w:t>Department</w:t>
      </w:r>
      <w:r>
        <w:rPr>
          <w:spacing w:val="-21"/>
        </w:rPr>
        <w:t> </w:t>
      </w:r>
      <w:r>
        <w:rPr/>
        <w:t>is</w:t>
      </w:r>
      <w:r>
        <w:rPr>
          <w:spacing w:val="-21"/>
        </w:rPr>
        <w:t> </w:t>
      </w:r>
      <w:r>
        <w:rPr>
          <w:spacing w:val="-3"/>
        </w:rPr>
        <w:t>responsible</w:t>
      </w:r>
      <w:r>
        <w:rPr>
          <w:spacing w:val="-21"/>
        </w:rPr>
        <w:t> </w:t>
      </w:r>
      <w:r>
        <w:rPr/>
        <w:t>for</w:t>
      </w:r>
      <w:r>
        <w:rPr>
          <w:spacing w:val="-21"/>
        </w:rPr>
        <w:t> </w:t>
      </w:r>
      <w:r>
        <w:rPr/>
        <w:t>managing</w:t>
      </w:r>
      <w:r>
        <w:rPr>
          <w:spacing w:val="-21"/>
        </w:rPr>
        <w:t> </w:t>
      </w:r>
      <w:r>
        <w:rPr/>
        <w:t>the</w:t>
      </w:r>
      <w:r>
        <w:rPr>
          <w:spacing w:val="-21"/>
        </w:rPr>
        <w:t> </w:t>
      </w:r>
      <w:r>
        <w:rPr>
          <w:spacing w:val="-6"/>
        </w:rPr>
        <w:t>State’s</w:t>
      </w:r>
      <w:r>
        <w:rPr>
          <w:spacing w:val="-21"/>
        </w:rPr>
        <w:t> </w:t>
      </w:r>
      <w:r>
        <w:rPr/>
        <w:t>vehicle</w:t>
      </w:r>
      <w:r>
        <w:rPr>
          <w:spacing w:val="-21"/>
        </w:rPr>
        <w:t> </w:t>
      </w:r>
      <w:r>
        <w:rPr/>
        <w:t>fleet</w:t>
      </w:r>
      <w:r>
        <w:rPr>
          <w:spacing w:val="-21"/>
        </w:rPr>
        <w:t> </w:t>
      </w:r>
      <w:r>
        <w:rPr/>
        <w:t>to</w:t>
      </w:r>
      <w:r>
        <w:rPr>
          <w:spacing w:val="-21"/>
        </w:rPr>
        <w:t> </w:t>
      </w:r>
      <w:r>
        <w:rPr>
          <w:spacing w:val="-3"/>
        </w:rPr>
        <w:t>ensure</w:t>
      </w:r>
      <w:r>
        <w:rPr>
          <w:spacing w:val="-21"/>
        </w:rPr>
        <w:t> </w:t>
      </w:r>
      <w:r>
        <w:rPr/>
        <w:t>an</w:t>
      </w:r>
      <w:r>
        <w:rPr>
          <w:spacing w:val="-21"/>
        </w:rPr>
        <w:t> </w:t>
      </w:r>
      <w:r>
        <w:rPr>
          <w:spacing w:val="-3"/>
        </w:rPr>
        <w:t>efficient</w:t>
      </w:r>
      <w:r>
        <w:rPr>
          <w:spacing w:val="-21"/>
        </w:rPr>
        <w:t> </w:t>
      </w:r>
      <w:r>
        <w:rPr/>
        <w:t>and</w:t>
      </w:r>
      <w:r>
        <w:rPr>
          <w:spacing w:val="-21"/>
        </w:rPr>
        <w:t> </w:t>
      </w:r>
      <w:r>
        <w:rPr>
          <w:spacing w:val="-3"/>
        </w:rPr>
        <w:t>effective</w:t>
      </w:r>
      <w:r>
        <w:rPr>
          <w:spacing w:val="-21"/>
        </w:rPr>
        <w:t> </w:t>
      </w:r>
      <w:r>
        <w:rPr/>
        <w:t>use</w:t>
      </w:r>
      <w:r>
        <w:rPr>
          <w:spacing w:val="-21"/>
        </w:rPr>
        <w:t> </w:t>
      </w:r>
      <w:r>
        <w:rPr/>
        <w:t>of</w:t>
      </w:r>
      <w:r>
        <w:rPr>
          <w:spacing w:val="-21"/>
        </w:rPr>
        <w:t> </w:t>
      </w:r>
      <w:r>
        <w:rPr/>
        <w:t>government</w:t>
      </w:r>
      <w:r>
        <w:rPr>
          <w:spacing w:val="-21"/>
        </w:rPr>
        <w:t> </w:t>
      </w:r>
      <w:r>
        <w:rPr/>
        <w:t>vehicles</w:t>
      </w:r>
      <w:r>
        <w:rPr>
          <w:spacing w:val="-21"/>
        </w:rPr>
        <w:t> </w:t>
      </w:r>
      <w:r>
        <w:rPr/>
        <w:t>with</w:t>
      </w:r>
      <w:r>
        <w:rPr>
          <w:spacing w:val="-21"/>
        </w:rPr>
        <w:t> </w:t>
      </w:r>
      <w:r>
        <w:rPr/>
        <w:t>particular</w:t>
      </w:r>
      <w:r>
        <w:rPr>
          <w:spacing w:val="-21"/>
        </w:rPr>
        <w:t> </w:t>
      </w:r>
      <w:r>
        <w:rPr/>
        <w:t>focus</w:t>
      </w:r>
      <w:r>
        <w:rPr>
          <w:spacing w:val="-21"/>
        </w:rPr>
        <w:t> </w:t>
      </w:r>
      <w:r>
        <w:rPr/>
        <w:t>on</w:t>
      </w:r>
      <w:r>
        <w:rPr>
          <w:spacing w:val="-21"/>
        </w:rPr>
        <w:t> </w:t>
      </w:r>
      <w:r>
        <w:rPr>
          <w:spacing w:val="-2"/>
        </w:rPr>
        <w:t>the </w:t>
      </w:r>
      <w:r>
        <w:rPr/>
        <w:t>delivery</w:t>
      </w:r>
      <w:r>
        <w:rPr>
          <w:spacing w:val="-32"/>
        </w:rPr>
        <w:t> </w:t>
      </w:r>
      <w:r>
        <w:rPr/>
        <w:t>of</w:t>
      </w:r>
      <w:r>
        <w:rPr>
          <w:spacing w:val="-32"/>
        </w:rPr>
        <w:t> </w:t>
      </w:r>
      <w:r>
        <w:rPr/>
        <w:t>a</w:t>
      </w:r>
      <w:r>
        <w:rPr>
          <w:spacing w:val="-32"/>
        </w:rPr>
        <w:t> </w:t>
      </w:r>
      <w:r>
        <w:rPr/>
        <w:t>sustainable</w:t>
      </w:r>
      <w:r>
        <w:rPr>
          <w:spacing w:val="-33"/>
        </w:rPr>
        <w:t> </w:t>
      </w:r>
      <w:r>
        <w:rPr/>
        <w:t>vehicle</w:t>
      </w:r>
      <w:r>
        <w:rPr>
          <w:spacing w:val="-32"/>
        </w:rPr>
        <w:t> </w:t>
      </w:r>
      <w:r>
        <w:rPr/>
        <w:t>fleet.</w:t>
      </w:r>
      <w:r>
        <w:rPr>
          <w:spacing w:val="-32"/>
        </w:rPr>
        <w:t> </w:t>
      </w:r>
      <w:r>
        <w:rPr/>
        <w:t>The</w:t>
      </w:r>
      <w:r>
        <w:rPr>
          <w:spacing w:val="-32"/>
        </w:rPr>
        <w:t> </w:t>
      </w:r>
      <w:r>
        <w:rPr/>
        <w:t>indicator</w:t>
      </w:r>
      <w:r>
        <w:rPr>
          <w:spacing w:val="-32"/>
        </w:rPr>
        <w:t> </w:t>
      </w:r>
      <w:r>
        <w:rPr>
          <w:spacing w:val="-3"/>
        </w:rPr>
        <w:t>measures</w:t>
      </w:r>
      <w:r>
        <w:rPr>
          <w:spacing w:val="-32"/>
        </w:rPr>
        <w:t> </w:t>
      </w:r>
      <w:r>
        <w:rPr/>
        <w:t>the</w:t>
      </w:r>
      <w:r>
        <w:rPr>
          <w:spacing w:val="-32"/>
        </w:rPr>
        <w:t> </w:t>
      </w:r>
      <w:r>
        <w:rPr/>
        <w:t>cost</w:t>
      </w:r>
      <w:r>
        <w:rPr>
          <w:spacing w:val="-32"/>
        </w:rPr>
        <w:t> </w:t>
      </w:r>
      <w:r>
        <w:rPr>
          <w:spacing w:val="-3"/>
        </w:rPr>
        <w:t>efficiency</w:t>
      </w:r>
      <w:r>
        <w:rPr>
          <w:spacing w:val="-32"/>
        </w:rPr>
        <w:t> </w:t>
      </w:r>
      <w:r>
        <w:rPr/>
        <w:t>of</w:t>
      </w:r>
      <w:r>
        <w:rPr>
          <w:spacing w:val="-32"/>
        </w:rPr>
        <w:t> </w:t>
      </w:r>
      <w:r>
        <w:rPr/>
        <w:t>managing</w:t>
      </w:r>
      <w:r>
        <w:rPr>
          <w:spacing w:val="-32"/>
        </w:rPr>
        <w:t> </w:t>
      </w:r>
      <w:r>
        <w:rPr/>
        <w:t>the</w:t>
      </w:r>
      <w:r>
        <w:rPr>
          <w:spacing w:val="-32"/>
        </w:rPr>
        <w:t> </w:t>
      </w:r>
      <w:r>
        <w:rPr/>
        <w:t>financing</w:t>
      </w:r>
      <w:r>
        <w:rPr>
          <w:spacing w:val="-32"/>
        </w:rPr>
        <w:t> </w:t>
      </w:r>
      <w:r>
        <w:rPr/>
        <w:t>and</w:t>
      </w:r>
      <w:r>
        <w:rPr>
          <w:spacing w:val="-32"/>
        </w:rPr>
        <w:t> </w:t>
      </w:r>
      <w:r>
        <w:rPr/>
        <w:t>administration</w:t>
      </w:r>
      <w:r>
        <w:rPr>
          <w:spacing w:val="-32"/>
        </w:rPr>
        <w:t> </w:t>
      </w:r>
      <w:r>
        <w:rPr/>
        <w:t>of</w:t>
      </w:r>
      <w:r>
        <w:rPr>
          <w:spacing w:val="-32"/>
        </w:rPr>
        <w:t> </w:t>
      </w:r>
      <w:r>
        <w:rPr/>
        <w:t>the</w:t>
      </w:r>
      <w:r>
        <w:rPr>
          <w:spacing w:val="-32"/>
        </w:rPr>
        <w:t> </w:t>
      </w:r>
      <w:r>
        <w:rPr>
          <w:spacing w:val="-4"/>
        </w:rPr>
        <w:t>Government’s</w:t>
      </w:r>
      <w:r>
        <w:rPr>
          <w:spacing w:val="-32"/>
        </w:rPr>
        <w:t> </w:t>
      </w:r>
      <w:r>
        <w:rPr/>
        <w:t>light</w:t>
      </w:r>
      <w:r>
        <w:rPr>
          <w:spacing w:val="-32"/>
        </w:rPr>
        <w:t> </w:t>
      </w:r>
      <w:r>
        <w:rPr/>
        <w:t>vehicle</w:t>
      </w:r>
      <w:r>
        <w:rPr>
          <w:spacing w:val="-32"/>
        </w:rPr>
        <w:t> </w:t>
      </w:r>
      <w:r>
        <w:rPr>
          <w:spacing w:val="-2"/>
        </w:rPr>
        <w:t>fleet.</w:t>
      </w:r>
    </w:p>
    <w:p>
      <w:pPr>
        <w:pStyle w:val="BodyText"/>
        <w:spacing w:before="1"/>
        <w:rPr>
          <w:sz w:val="23"/>
        </w:rPr>
      </w:pPr>
    </w:p>
    <w:p>
      <w:pPr>
        <w:pStyle w:val="BodyText"/>
        <w:spacing w:line="249" w:lineRule="auto"/>
        <w:ind w:left="765" w:right="819"/>
      </w:pPr>
      <w:r>
        <w:rPr/>
        <w:t>In</w:t>
      </w:r>
      <w:r>
        <w:rPr>
          <w:spacing w:val="-29"/>
        </w:rPr>
        <w:t> </w:t>
      </w:r>
      <w:r>
        <w:rPr/>
        <w:t>facilitating</w:t>
      </w:r>
      <w:r>
        <w:rPr>
          <w:spacing w:val="-28"/>
        </w:rPr>
        <w:t> </w:t>
      </w:r>
      <w:r>
        <w:rPr/>
        <w:t>the</w:t>
      </w:r>
      <w:r>
        <w:rPr>
          <w:spacing w:val="-28"/>
        </w:rPr>
        <w:t> </w:t>
      </w:r>
      <w:r>
        <w:rPr/>
        <w:t>development</w:t>
      </w:r>
      <w:r>
        <w:rPr>
          <w:spacing w:val="-29"/>
        </w:rPr>
        <w:t> </w:t>
      </w:r>
      <w:r>
        <w:rPr/>
        <w:t>and</w:t>
      </w:r>
      <w:r>
        <w:rPr>
          <w:spacing w:val="-28"/>
        </w:rPr>
        <w:t> </w:t>
      </w:r>
      <w:r>
        <w:rPr/>
        <w:t>management</w:t>
      </w:r>
      <w:r>
        <w:rPr>
          <w:spacing w:val="-28"/>
        </w:rPr>
        <w:t> </w:t>
      </w:r>
      <w:r>
        <w:rPr/>
        <w:t>of</w:t>
      </w:r>
      <w:r>
        <w:rPr>
          <w:spacing w:val="-29"/>
        </w:rPr>
        <w:t> </w:t>
      </w:r>
      <w:r>
        <w:rPr/>
        <w:t>client</w:t>
      </w:r>
      <w:r>
        <w:rPr>
          <w:spacing w:val="-28"/>
        </w:rPr>
        <w:t> </w:t>
      </w:r>
      <w:r>
        <w:rPr/>
        <w:t>agency</w:t>
      </w:r>
      <w:r>
        <w:rPr>
          <w:spacing w:val="-28"/>
        </w:rPr>
        <w:t> </w:t>
      </w:r>
      <w:r>
        <w:rPr/>
        <w:t>contracts,</w:t>
      </w:r>
      <w:r>
        <w:rPr>
          <w:spacing w:val="-28"/>
        </w:rPr>
        <w:t> </w:t>
      </w:r>
      <w:r>
        <w:rPr/>
        <w:t>the</w:t>
      </w:r>
      <w:r>
        <w:rPr>
          <w:spacing w:val="-29"/>
        </w:rPr>
        <w:t> </w:t>
      </w:r>
      <w:r>
        <w:rPr/>
        <w:t>State</w:t>
      </w:r>
      <w:r>
        <w:rPr>
          <w:spacing w:val="-28"/>
        </w:rPr>
        <w:t> </w:t>
      </w:r>
      <w:r>
        <w:rPr/>
        <w:t>Fleet</w:t>
      </w:r>
      <w:r>
        <w:rPr>
          <w:spacing w:val="-28"/>
        </w:rPr>
        <w:t> </w:t>
      </w:r>
      <w:r>
        <w:rPr/>
        <w:t>and</w:t>
      </w:r>
      <w:r>
        <w:rPr>
          <w:spacing w:val="-29"/>
        </w:rPr>
        <w:t> </w:t>
      </w:r>
      <w:r>
        <w:rPr/>
        <w:t>CUAs,</w:t>
      </w:r>
      <w:r>
        <w:rPr>
          <w:spacing w:val="-28"/>
        </w:rPr>
        <w:t> </w:t>
      </w:r>
      <w:r>
        <w:rPr/>
        <w:t>the</w:t>
      </w:r>
      <w:r>
        <w:rPr>
          <w:spacing w:val="-28"/>
        </w:rPr>
        <w:t> </w:t>
      </w:r>
      <w:r>
        <w:rPr/>
        <w:t>Department</w:t>
      </w:r>
      <w:r>
        <w:rPr>
          <w:spacing w:val="-29"/>
        </w:rPr>
        <w:t> </w:t>
      </w:r>
      <w:r>
        <w:rPr/>
        <w:t>needs</w:t>
      </w:r>
      <w:r>
        <w:rPr>
          <w:spacing w:val="-28"/>
        </w:rPr>
        <w:t> </w:t>
      </w:r>
      <w:r>
        <w:rPr/>
        <w:t>to</w:t>
      </w:r>
      <w:r>
        <w:rPr>
          <w:spacing w:val="-28"/>
        </w:rPr>
        <w:t> </w:t>
      </w:r>
      <w:r>
        <w:rPr>
          <w:spacing w:val="-3"/>
        </w:rPr>
        <w:t>effectively</w:t>
      </w:r>
      <w:r>
        <w:rPr>
          <w:spacing w:val="-28"/>
        </w:rPr>
        <w:t> </w:t>
      </w:r>
      <w:r>
        <w:rPr/>
        <w:t>manage</w:t>
      </w:r>
      <w:r>
        <w:rPr>
          <w:spacing w:val="-29"/>
        </w:rPr>
        <w:t> </w:t>
      </w:r>
      <w:r>
        <w:rPr/>
        <w:t>the</w:t>
      </w:r>
      <w:r>
        <w:rPr>
          <w:spacing w:val="-28"/>
        </w:rPr>
        <w:t> </w:t>
      </w:r>
      <w:r>
        <w:rPr/>
        <w:t>cost</w:t>
      </w:r>
      <w:r>
        <w:rPr>
          <w:spacing w:val="-28"/>
        </w:rPr>
        <w:t> </w:t>
      </w:r>
      <w:r>
        <w:rPr/>
        <w:t>of delivering this service which </w:t>
      </w:r>
      <w:r>
        <w:rPr>
          <w:spacing w:val="-3"/>
        </w:rPr>
        <w:t>ensures </w:t>
      </w:r>
      <w:r>
        <w:rPr/>
        <w:t>agencies achieve </w:t>
      </w:r>
      <w:r>
        <w:rPr>
          <w:spacing w:val="-3"/>
        </w:rPr>
        <w:t>value-for-money</w:t>
      </w:r>
      <w:r>
        <w:rPr>
          <w:spacing w:val="-44"/>
        </w:rPr>
        <w:t> </w:t>
      </w:r>
      <w:r>
        <w:rPr/>
        <w:t>outcomes.</w:t>
      </w:r>
    </w:p>
    <w:p>
      <w:pPr>
        <w:pStyle w:val="BodyText"/>
        <w:spacing w:before="8"/>
        <w:rPr>
          <w:sz w:val="12"/>
        </w:rPr>
      </w:pPr>
    </w:p>
    <w:p>
      <w:pPr>
        <w:spacing w:after="0"/>
        <w:rPr>
          <w:sz w:val="12"/>
        </w:rPr>
        <w:sectPr>
          <w:footerReference w:type="default" r:id="rId257"/>
          <w:pgSz w:w="16840" w:h="11910" w:orient="landscape"/>
          <w:pgMar w:footer="0" w:header="0" w:top="0" w:bottom="280" w:left="0" w:right="0"/>
        </w:sectPr>
      </w:pPr>
    </w:p>
    <w:p>
      <w:pPr>
        <w:pStyle w:val="Heading6"/>
        <w:spacing w:line="249" w:lineRule="auto" w:before="109"/>
        <w:ind w:right="3"/>
        <w:rPr>
          <w:sz w:val="10"/>
        </w:rPr>
      </w:pPr>
      <w:r>
        <w:rPr/>
        <w:t>Average administrative cost per vehicle for financing and managing the State </w:t>
      </w:r>
      <w:r>
        <w:rPr>
          <w:spacing w:val="-4"/>
        </w:rPr>
        <w:t>Fleet </w:t>
      </w:r>
      <w:r>
        <w:rPr/>
        <w:t>service ($)</w:t>
      </w:r>
      <w:r>
        <w:rPr>
          <w:spacing w:val="-35"/>
        </w:rPr>
        <w:t> </w:t>
      </w:r>
      <w:r>
        <w:rPr>
          <w:position w:val="8"/>
          <w:sz w:val="10"/>
        </w:rPr>
        <w:t>(a)</w:t>
      </w:r>
    </w:p>
    <w:p>
      <w:pPr>
        <w:spacing w:before="109"/>
        <w:ind w:left="743" w:right="0" w:firstLine="0"/>
        <w:jc w:val="left"/>
        <w:rPr>
          <w:b/>
          <w:sz w:val="22"/>
        </w:rPr>
      </w:pPr>
      <w:r>
        <w:rPr/>
        <w:br w:type="column"/>
      </w:r>
      <w:r>
        <w:rPr>
          <w:b/>
          <w:sz w:val="22"/>
        </w:rPr>
        <w:t>Cost of developing and managing</w:t>
      </w:r>
    </w:p>
    <w:p>
      <w:pPr>
        <w:spacing w:line="249" w:lineRule="auto" w:before="11"/>
        <w:ind w:left="743" w:right="0" w:firstLine="0"/>
        <w:jc w:val="left"/>
        <w:rPr>
          <w:b/>
          <w:sz w:val="10"/>
        </w:rPr>
      </w:pPr>
      <w:r>
        <w:rPr/>
        <w:pict>
          <v:group style="position:absolute;margin-left:239.527496pt;margin-top:37.246964pt;width:40.2pt;height:123pt;mso-position-horizontal-relative:page;mso-position-vertical-relative:paragraph;z-index:32560" coordorigin="4791,745" coordsize="804,2460">
            <v:shape style="position:absolute;left:5192;top:1173;width:392;height:2021" coordorigin="5192,1174" coordsize="392,2021" path="m5584,1174l5192,1566,5192,3195,5584,3195,5584,1174xe" filled="true" fillcolor="#e1dce1" stroked="false">
              <v:path arrowok="t"/>
              <v:fill type="solid"/>
            </v:shape>
            <v:shape style="position:absolute;left:4790;top:1149;width:804;height:2055" coordorigin="4791,1150" coordsize="804,2055" path="m4791,1150l4791,3205,5594,3205,5594,3200,5192,3200,5192,3195,4801,3195,4801,1174,4815,1174,4806,1165,4792,1165,4796,1162,4803,1162,4791,1150xm5594,1162l5589,1162,5589,3200,5594,3200,5594,1162xm4815,1174l4801,1174,5192,1566,5192,1559,5200,1552,5192,1552,4815,1174xm5594,1150l5192,1552,5200,1552,5589,1162,5594,1162,5594,1150xm4803,1162l4796,1162,4792,1165,4806,1165,4803,1162xe" filled="true" fillcolor="#806a83" stroked="false">
              <v:path arrowok="t"/>
              <v:fill type="solid"/>
            </v:shape>
            <v:shape style="position:absolute;left:5192;top:1161;width:397;height:2038" coordorigin="5192,1162" coordsize="397,2038" path="m5589,1174l5584,1174,5584,3195,5192,3195,5192,3200,5589,3200,5589,1174xm5589,1162l5192,1559,5192,1566,5584,1174,5589,1174,5589,1162xe" filled="true" fillcolor="#79627d" stroked="false">
              <v:path arrowok="t"/>
              <v:fill type="solid"/>
            </v:shape>
            <v:shape style="position:absolute;left:4823;top:744;width:737;height:738" coordorigin="4824,745" coordsize="737,738" path="m5192,745l4824,1113,5192,1482,5561,1113,5192,745xe" filled="true" fillcolor="#360f41" stroked="false">
              <v:path arrowok="t"/>
              <v:fill type="solid"/>
            </v:shape>
            <v:shape style="position:absolute;left:4790;top:744;width:804;height:2460" type="#_x0000_t202" filled="false" stroked="false">
              <v:textbox inset="0,0,0,0">
                <w:txbxContent>
                  <w:p>
                    <w:pPr>
                      <w:spacing w:line="240" w:lineRule="auto" w:before="2"/>
                      <w:rPr>
                        <w:b/>
                        <w:sz w:val="22"/>
                      </w:rPr>
                    </w:pPr>
                  </w:p>
                  <w:p>
                    <w:pPr>
                      <w:spacing w:before="0"/>
                      <w:ind w:left="153" w:right="0" w:firstLine="0"/>
                      <w:jc w:val="left"/>
                      <w:rPr>
                        <w:b/>
                        <w:sz w:val="10"/>
                      </w:rPr>
                    </w:pPr>
                    <w:r>
                      <w:rPr>
                        <w:b/>
                        <w:color w:val="FFFFFF"/>
                        <w:position w:val="-5"/>
                        <w:sz w:val="19"/>
                      </w:rPr>
                      <w:t>104 </w:t>
                    </w:r>
                    <w:r>
                      <w:rPr>
                        <w:b/>
                        <w:color w:val="FFFFFF"/>
                        <w:sz w:val="10"/>
                      </w:rPr>
                      <w:t>(1)</w:t>
                    </w:r>
                  </w:p>
                </w:txbxContent>
              </v:textbox>
              <w10:wrap type="none"/>
            </v:shape>
            <w10:wrap type="none"/>
          </v:group>
        </w:pict>
      </w:r>
      <w:r>
        <w:rPr>
          <w:b/>
          <w:sz w:val="22"/>
        </w:rPr>
        <w:t>whole-of-government CUAs as a percentage of the total annual value of purchases through the arrangements (%) </w:t>
      </w:r>
      <w:r>
        <w:rPr>
          <w:b/>
          <w:position w:val="8"/>
          <w:sz w:val="10"/>
        </w:rPr>
        <w:t>(b)</w:t>
      </w:r>
    </w:p>
    <w:p>
      <w:pPr>
        <w:spacing w:line="249" w:lineRule="auto" w:before="109"/>
        <w:ind w:left="527" w:right="764" w:firstLine="0"/>
        <w:jc w:val="left"/>
        <w:rPr>
          <w:b/>
          <w:sz w:val="10"/>
        </w:rPr>
      </w:pPr>
      <w:r>
        <w:rPr/>
        <w:br w:type="column"/>
      </w:r>
      <w:r>
        <w:rPr>
          <w:b/>
          <w:sz w:val="22"/>
        </w:rPr>
        <w:t>Cost of facilitating the development </w:t>
      </w:r>
      <w:r>
        <w:rPr>
          <w:b/>
          <w:spacing w:val="-2"/>
          <w:sz w:val="22"/>
        </w:rPr>
        <w:t>and </w:t>
      </w:r>
      <w:r>
        <w:rPr>
          <w:b/>
          <w:sz w:val="22"/>
        </w:rPr>
        <w:t>management of agency specific contracts as a </w:t>
      </w:r>
      <w:r>
        <w:rPr>
          <w:b/>
          <w:spacing w:val="-3"/>
          <w:sz w:val="22"/>
        </w:rPr>
        <w:t>percentage </w:t>
      </w:r>
      <w:r>
        <w:rPr>
          <w:b/>
          <w:sz w:val="22"/>
        </w:rPr>
        <w:t>of the contract </w:t>
      </w:r>
      <w:r>
        <w:rPr>
          <w:b/>
          <w:spacing w:val="-3"/>
          <w:sz w:val="22"/>
        </w:rPr>
        <w:t>award </w:t>
      </w:r>
      <w:r>
        <w:rPr>
          <w:b/>
          <w:sz w:val="22"/>
        </w:rPr>
        <w:t>value (%)</w:t>
      </w:r>
      <w:r>
        <w:rPr>
          <w:b/>
          <w:spacing w:val="-20"/>
          <w:sz w:val="22"/>
        </w:rPr>
        <w:t> </w:t>
      </w:r>
      <w:r>
        <w:rPr>
          <w:b/>
          <w:position w:val="8"/>
          <w:sz w:val="10"/>
        </w:rPr>
        <w:t>(c)</w:t>
      </w:r>
    </w:p>
    <w:p>
      <w:pPr>
        <w:spacing w:after="0" w:line="249" w:lineRule="auto"/>
        <w:jc w:val="left"/>
        <w:rPr>
          <w:sz w:val="10"/>
        </w:rPr>
        <w:sectPr>
          <w:type w:val="continuous"/>
          <w:pgSz w:w="16840" w:h="11910" w:orient="landscape"/>
          <w:pgMar w:top="0" w:bottom="0" w:left="0" w:right="0"/>
          <w:cols w:num="3" w:equalWidth="0">
            <w:col w:w="5227" w:space="40"/>
            <w:col w:w="5420" w:space="39"/>
            <w:col w:w="6114"/>
          </w:cols>
        </w:sectPr>
      </w:pPr>
    </w:p>
    <w:p>
      <w:pPr>
        <w:tabs>
          <w:tab w:pos="6009" w:val="left" w:leader="none"/>
          <w:tab w:pos="12249" w:val="left" w:leader="none"/>
        </w:tabs>
        <w:spacing w:line="240" w:lineRule="auto"/>
        <w:ind w:left="765" w:right="0" w:firstLine="0"/>
        <w:rPr>
          <w:sz w:val="20"/>
        </w:rPr>
      </w:pPr>
      <w:r>
        <w:rPr>
          <w:sz w:val="20"/>
        </w:rPr>
        <w:pict>
          <v:group style="width:40.2pt;height:113pt;mso-position-horizontal-relative:char;mso-position-vertical-relative:line" coordorigin="0,0" coordsize="804,2260">
            <v:shape style="position:absolute;left:401;top:416;width:397;height:1838" coordorigin="402,417" coordsize="397,1838" path="m799,417l402,814,402,2255,799,2255,799,417xe" filled="true" fillcolor="#f5f6ea" stroked="false">
              <v:path arrowok="t"/>
              <v:fill type="solid"/>
            </v:shape>
            <v:shape style="position:absolute;left:0;top:404;width:804;height:1855" coordorigin="0,405" coordsize="804,1855" path="m0,405l0,2260,804,2260,804,2250,10,2250,10,429,1,420,5,417,12,417,0,405xm804,429l794,429,794,2250,804,2250,804,429xm12,417l10,417,10,429,402,821,416,807,402,807,12,417xm804,405l402,807,416,807,794,429,804,429,804,405xm10,417l5,417,1,420,10,429,10,417xe" filled="true" fillcolor="#aebd37" stroked="false">
              <v:path arrowok="t"/>
              <v:fill type="solid"/>
            </v:shape>
            <v:shape style="position:absolute;left:33;top:0;width:737;height:738" coordorigin="33,0" coordsize="737,738" path="m402,0l33,369,402,737,770,369,402,0xe" filled="true" fillcolor="#aebd37" stroked="false">
              <v:path arrowok="t"/>
              <v:fill type="solid"/>
            </v:shape>
            <v:shape style="position:absolute;left:291;top:248;width:232;height:227" type="#_x0000_t202" filled="false" stroked="false">
              <v:textbox inset="0,0,0,0">
                <w:txbxContent>
                  <w:p>
                    <w:pPr>
                      <w:spacing w:before="7"/>
                      <w:ind w:left="0" w:right="0" w:firstLine="0"/>
                      <w:jc w:val="left"/>
                      <w:rPr>
                        <w:b/>
                        <w:sz w:val="19"/>
                      </w:rPr>
                    </w:pPr>
                    <w:r>
                      <w:rPr>
                        <w:b/>
                        <w:color w:val="FFFFFF"/>
                        <w:sz w:val="19"/>
                      </w:rPr>
                      <w:t>94</w:t>
                    </w:r>
                  </w:p>
                </w:txbxContent>
              </v:textbox>
              <w10:wrap type="none"/>
            </v:shape>
          </v:group>
        </w:pict>
      </w:r>
      <w:r>
        <w:rPr>
          <w:sz w:val="20"/>
        </w:rPr>
      </w:r>
      <w:r>
        <w:rPr>
          <w:rFonts w:ascii="Times New Roman"/>
          <w:spacing w:val="136"/>
          <w:sz w:val="20"/>
        </w:rPr>
        <w:t> </w:t>
      </w:r>
      <w:r>
        <w:rPr>
          <w:spacing w:val="136"/>
          <w:sz w:val="20"/>
        </w:rPr>
        <w:pict>
          <v:group style="width:40.2pt;height:114pt;mso-position-horizontal-relative:char;mso-position-vertical-relative:line" coordorigin="0,0" coordsize="804,2280">
            <v:shape style="position:absolute;left:401;top:416;width:397;height:1858" coordorigin="402,417" coordsize="397,1858" path="m799,417l402,814,402,2275,799,2275,799,417xe" filled="true" fillcolor="#f5f6ea" stroked="false">
              <v:path arrowok="t"/>
              <v:fill type="solid"/>
            </v:shape>
            <v:shape style="position:absolute;left:0;top:404;width:804;height:1875" coordorigin="0,405" coordsize="804,1875" path="m0,405l0,2280,804,2280,804,2270,10,2270,10,429,1,420,5,417,12,417,0,405xm804,429l794,429,794,2270,804,2270,804,429xm12,417l10,417,10,429,402,821,416,807,402,807,12,417xm804,405l402,807,416,807,794,429,804,429,804,405xm10,417l5,417,1,420,10,429,10,417xe" filled="true" fillcolor="#aebd37" stroked="false">
              <v:path arrowok="t"/>
              <v:fill type="solid"/>
            </v:shape>
            <v:shape style="position:absolute;left:33;top:0;width:737;height:738" coordorigin="33,0" coordsize="737,738" path="m402,0l33,369,402,737,770,369,402,0xe" filled="true" fillcolor="#aebd37" stroked="false">
              <v:path arrowok="t"/>
              <v:fill type="solid"/>
            </v:shape>
            <v:shape style="position:absolute;left:291;top:248;width:232;height:227" type="#_x0000_t202" filled="false" stroked="false">
              <v:textbox inset="0,0,0,0">
                <w:txbxContent>
                  <w:p>
                    <w:pPr>
                      <w:spacing w:before="7"/>
                      <w:ind w:left="0" w:right="0" w:firstLine="0"/>
                      <w:jc w:val="left"/>
                      <w:rPr>
                        <w:b/>
                        <w:sz w:val="19"/>
                      </w:rPr>
                    </w:pPr>
                    <w:r>
                      <w:rPr>
                        <w:b/>
                        <w:color w:val="FFFFFF"/>
                        <w:sz w:val="19"/>
                      </w:rPr>
                      <w:t>95</w:t>
                    </w:r>
                  </w:p>
                </w:txbxContent>
              </v:textbox>
              <w10:wrap type="none"/>
            </v:shape>
          </v:group>
        </w:pict>
      </w:r>
      <w:r>
        <w:rPr>
          <w:spacing w:val="136"/>
          <w:sz w:val="20"/>
        </w:rPr>
      </w:r>
      <w:r>
        <w:rPr>
          <w:rFonts w:ascii="Times New Roman"/>
          <w:spacing w:val="136"/>
          <w:sz w:val="20"/>
        </w:rPr>
        <w:t> </w:t>
      </w:r>
      <w:r>
        <w:rPr>
          <w:spacing w:val="136"/>
          <w:sz w:val="20"/>
        </w:rPr>
        <w:pict>
          <v:group style="width:40.2pt;height:113pt;mso-position-horizontal-relative:char;mso-position-vertical-relative:line" coordorigin="0,0" coordsize="804,2260">
            <v:shape style="position:absolute;left:401;top:416;width:397;height:1838" coordorigin="402,417" coordsize="397,1838" path="m799,417l402,814,402,2255,799,2255,799,417xe" filled="true" fillcolor="#f5f6ea" stroked="false">
              <v:path arrowok="t"/>
              <v:fill type="solid"/>
            </v:shape>
            <v:shape style="position:absolute;left:0;top:404;width:804;height:1855" coordorigin="0,405" coordsize="804,1855" path="m0,405l0,2260,804,2260,804,2250,10,2250,10,429,1,420,5,417,12,417,0,405xm804,429l794,429,794,2250,804,2250,804,429xm12,417l10,417,10,429,402,821,416,807,402,807,12,417xm804,405l402,807,416,807,794,429,804,429,804,405xm10,417l5,417,1,420,10,429,10,417xe" filled="true" fillcolor="#aebd37" stroked="false">
              <v:path arrowok="t"/>
              <v:fill type="solid"/>
            </v:shape>
            <v:shape style="position:absolute;left:33;top:0;width:737;height:738" coordorigin="33,0" coordsize="737,738" path="m402,0l33,369,402,737,770,369,402,0xe" filled="true" fillcolor="#aebd37" stroked="false">
              <v:path arrowok="t"/>
              <v:fill type="solid"/>
            </v:shape>
            <v:shape style="position:absolute;left:291;top:248;width:232;height:227" type="#_x0000_t202" filled="false" stroked="false">
              <v:textbox inset="0,0,0,0">
                <w:txbxContent>
                  <w:p>
                    <w:pPr>
                      <w:spacing w:before="7"/>
                      <w:ind w:left="0" w:right="0" w:firstLine="0"/>
                      <w:jc w:val="left"/>
                      <w:rPr>
                        <w:b/>
                        <w:sz w:val="19"/>
                      </w:rPr>
                    </w:pPr>
                    <w:r>
                      <w:rPr>
                        <w:b/>
                        <w:color w:val="FFFFFF"/>
                        <w:sz w:val="19"/>
                      </w:rPr>
                      <w:t>94</w:t>
                    </w:r>
                  </w:p>
                </w:txbxContent>
              </v:textbox>
              <w10:wrap type="none"/>
            </v:shape>
          </v:group>
        </w:pict>
      </w:r>
      <w:r>
        <w:rPr>
          <w:spacing w:val="136"/>
          <w:sz w:val="20"/>
        </w:rPr>
      </w:r>
      <w:r>
        <w:rPr>
          <w:rFonts w:ascii="Times New Roman"/>
          <w:spacing w:val="136"/>
          <w:sz w:val="20"/>
        </w:rPr>
        <w:t> </w:t>
      </w:r>
      <w:r>
        <w:rPr>
          <w:spacing w:val="136"/>
          <w:sz w:val="20"/>
        </w:rPr>
        <w:pict>
          <v:group style="width:40.2pt;height:121pt;mso-position-horizontal-relative:char;mso-position-vertical-relative:line" coordorigin="0,0" coordsize="804,2420">
            <v:shape style="position:absolute;left:401;top:428;width:392;height:1981" coordorigin="402,429" coordsize="392,1981" path="m794,429l402,821,402,2410,794,2410,794,429xe" filled="true" fillcolor="#eae3ea" stroked="false">
              <v:path arrowok="t"/>
              <v:fill type="solid"/>
            </v:shape>
            <v:shape style="position:absolute;left:0;top:404;width:804;height:2015" coordorigin="0,405" coordsize="804,2015" path="m0,405l0,2420,804,2420,804,2415,402,2415,402,2410,10,2410,10,429,24,429,16,420,1,420,5,417,12,417,0,405xm804,417l799,417,799,2415,804,2415,804,417xm24,429l10,429,402,821,402,814,409,807,402,807,24,429xm804,405l402,807,409,807,799,417,804,417,804,405xm12,417l5,417,1,420,16,420,12,417xe" filled="true" fillcolor="#8d5f8e" stroked="false">
              <v:path arrowok="t"/>
              <v:fill type="solid"/>
            </v:shape>
            <v:shape style="position:absolute;left:401;top:416;width:397;height:1998" coordorigin="402,417" coordsize="397,1998" path="m799,429l794,429,794,2410,402,2410,402,2415,799,2415,799,429xm799,417l402,814,402,821,794,429,799,429,799,417xe" filled="true" fillcolor="#8b5a8b" stroked="false">
              <v:path arrowok="t"/>
              <v:fill type="solid"/>
            </v:shape>
            <v:shape style="position:absolute;left:33;top:0;width:737;height:738" coordorigin="33,0" coordsize="737,738" path="m402,0l33,369,402,737,770,369,402,0xe" filled="true" fillcolor="#6f2770" stroked="false">
              <v:path arrowok="t"/>
              <v:fill type="solid"/>
            </v:shape>
            <v:shape style="position:absolute;left:237;top:248;width:337;height:227" type="#_x0000_t202" filled="false" stroked="false">
              <v:textbox inset="0,0,0,0">
                <w:txbxContent>
                  <w:p>
                    <w:pPr>
                      <w:spacing w:before="7"/>
                      <w:ind w:left="0" w:right="0" w:firstLine="0"/>
                      <w:jc w:val="left"/>
                      <w:rPr>
                        <w:b/>
                        <w:sz w:val="19"/>
                      </w:rPr>
                    </w:pPr>
                    <w:r>
                      <w:rPr>
                        <w:b/>
                        <w:color w:val="FFFFFF"/>
                        <w:sz w:val="19"/>
                      </w:rPr>
                      <w:t>102</w:t>
                    </w:r>
                  </w:p>
                </w:txbxContent>
              </v:textbox>
              <w10:wrap type="none"/>
            </v:shape>
          </v:group>
        </w:pict>
      </w:r>
      <w:r>
        <w:rPr>
          <w:spacing w:val="136"/>
          <w:sz w:val="20"/>
        </w:rPr>
      </w:r>
      <w:r>
        <w:rPr>
          <w:spacing w:val="136"/>
          <w:sz w:val="20"/>
        </w:rPr>
        <w:tab/>
      </w:r>
      <w:r>
        <w:rPr>
          <w:spacing w:val="136"/>
          <w:sz w:val="20"/>
        </w:rPr>
        <w:pict>
          <v:group style="width:40.2pt;height:74pt;mso-position-horizontal-relative:char;mso-position-vertical-relative:line" coordorigin="0,0" coordsize="804,1480">
            <v:shape style="position:absolute;left:401;top:416;width:397;height:1058" coordorigin="402,417" coordsize="397,1058" path="m799,417l402,814,402,1475,799,1475,799,417xe" filled="true" fillcolor="#f5f6ea" stroked="false">
              <v:path arrowok="t"/>
              <v:fill type="solid"/>
            </v:shape>
            <v:shape style="position:absolute;left:0;top:404;width:804;height:1075" coordorigin="0,405" coordsize="804,1075" path="m0,405l0,1480,804,1480,804,1470,10,1470,10,429,1,420,5,417,12,417,0,405xm804,429l794,429,794,1470,804,1470,804,429xm12,417l10,417,10,429,402,821,416,807,402,807,12,417xm804,405l402,807,416,807,794,429,804,429,804,405xm10,417l5,417,1,420,10,429,10,417xe" filled="true" fillcolor="#aebd37" stroked="false">
              <v:path arrowok="t"/>
              <v:fill type="solid"/>
            </v:shape>
            <v:shape style="position:absolute;left:33;top:0;width:737;height:737" coordorigin="33,0" coordsize="737,737" path="m402,0l33,368,402,737,770,368,402,0xe" filled="true" fillcolor="#aebd37" stroked="false">
              <v:path arrowok="t"/>
              <v:fill type="solid"/>
            </v:shape>
            <v:shape style="position:absolute;left:0;top:0;width:804;height:1480" type="#_x0000_t202" filled="false" stroked="false">
              <v:textbox inset="0,0,0,0">
                <w:txbxContent>
                  <w:p>
                    <w:pPr>
                      <w:spacing w:line="240" w:lineRule="auto" w:before="2"/>
                      <w:rPr>
                        <w:b/>
                        <w:sz w:val="22"/>
                      </w:rPr>
                    </w:pPr>
                  </w:p>
                  <w:p>
                    <w:pPr>
                      <w:spacing w:before="0"/>
                      <w:ind w:left="264" w:right="0" w:firstLine="0"/>
                      <w:jc w:val="left"/>
                      <w:rPr>
                        <w:b/>
                        <w:sz w:val="19"/>
                      </w:rPr>
                    </w:pPr>
                    <w:r>
                      <w:rPr>
                        <w:b/>
                        <w:color w:val="FFFFFF"/>
                        <w:sz w:val="19"/>
                      </w:rPr>
                      <w:t>1.5</w:t>
                    </w:r>
                  </w:p>
                </w:txbxContent>
              </v:textbox>
              <w10:wrap type="none"/>
            </v:shape>
          </v:group>
        </w:pict>
      </w:r>
      <w:r>
        <w:rPr>
          <w:spacing w:val="136"/>
          <w:sz w:val="20"/>
        </w:rPr>
      </w:r>
      <w:r>
        <w:rPr>
          <w:rFonts w:ascii="Times New Roman"/>
          <w:spacing w:val="136"/>
          <w:sz w:val="20"/>
        </w:rPr>
        <w:t> </w:t>
      </w:r>
      <w:r>
        <w:rPr>
          <w:spacing w:val="136"/>
          <w:sz w:val="20"/>
        </w:rPr>
        <w:pict>
          <v:group style="width:40.2pt;height:75pt;mso-position-horizontal-relative:char;mso-position-vertical-relative:line" coordorigin="0,0" coordsize="804,1500">
            <v:shape style="position:absolute;left:401;top:416;width:397;height:1078" coordorigin="402,417" coordsize="397,1078" path="m799,417l402,814,402,1495,799,1495,799,417xe" filled="true" fillcolor="#f5f6ea" stroked="false">
              <v:path arrowok="t"/>
              <v:fill type="solid"/>
            </v:shape>
            <v:shape style="position:absolute;left:0;top:404;width:804;height:1095" coordorigin="0,405" coordsize="804,1095" path="m0,405l0,1500,804,1500,804,1490,10,1490,10,429,1,420,5,417,12,417,0,405xm804,429l794,429,794,1490,804,1490,804,429xm12,417l10,417,10,429,402,821,416,807,402,807,12,417xm804,405l402,807,416,807,794,429,804,429,804,405xm10,417l5,417,1,420,10,429,10,417xe" filled="true" fillcolor="#aebd37" stroked="false">
              <v:path arrowok="t"/>
              <v:fill type="solid"/>
            </v:shape>
            <v:shape style="position:absolute;left:33;top:0;width:737;height:737" coordorigin="33,0" coordsize="737,737" path="m402,0l33,368,402,737,770,368,402,0xe" filled="true" fillcolor="#aebd37" stroked="false">
              <v:path arrowok="t"/>
              <v:fill type="solid"/>
            </v:shape>
            <v:shape style="position:absolute;left:0;top:0;width:804;height:1500" type="#_x0000_t202" filled="false" stroked="false">
              <v:textbox inset="0,0,0,0">
                <w:txbxContent>
                  <w:p>
                    <w:pPr>
                      <w:spacing w:line="240" w:lineRule="auto" w:before="2"/>
                      <w:rPr>
                        <w:rFonts w:ascii="Times New Roman"/>
                        <w:sz w:val="22"/>
                      </w:rPr>
                    </w:pPr>
                  </w:p>
                  <w:p>
                    <w:pPr>
                      <w:spacing w:before="0"/>
                      <w:ind w:left="264" w:right="0" w:firstLine="0"/>
                      <w:jc w:val="left"/>
                      <w:rPr>
                        <w:b/>
                        <w:sz w:val="19"/>
                      </w:rPr>
                    </w:pPr>
                    <w:r>
                      <w:rPr>
                        <w:b/>
                        <w:color w:val="FFFFFF"/>
                        <w:sz w:val="19"/>
                      </w:rPr>
                      <w:t>1.6</w:t>
                    </w:r>
                  </w:p>
                </w:txbxContent>
              </v:textbox>
              <w10:wrap type="none"/>
            </v:shape>
          </v:group>
        </w:pict>
      </w:r>
      <w:r>
        <w:rPr>
          <w:spacing w:val="136"/>
          <w:sz w:val="20"/>
        </w:rPr>
      </w:r>
      <w:r>
        <w:rPr>
          <w:rFonts w:ascii="Times New Roman"/>
          <w:spacing w:val="136"/>
          <w:sz w:val="20"/>
        </w:rPr>
        <w:t> </w:t>
      </w:r>
      <w:r>
        <w:rPr>
          <w:spacing w:val="136"/>
          <w:sz w:val="20"/>
        </w:rPr>
        <w:pict>
          <v:group style="width:40.2pt;height:73pt;mso-position-horizontal-relative:char;mso-position-vertical-relative:line" coordorigin="0,0" coordsize="804,1460">
            <v:shape style="position:absolute;left:401;top:416;width:397;height:1038" coordorigin="402,417" coordsize="397,1038" path="m799,417l402,814,402,1455,799,1455,799,417xe" filled="true" fillcolor="#f5f6ea" stroked="false">
              <v:path arrowok="t"/>
              <v:fill type="solid"/>
            </v:shape>
            <v:shape style="position:absolute;left:0;top:404;width:804;height:1055" coordorigin="0,405" coordsize="804,1055" path="m0,405l0,1460,804,1460,804,1450,10,1450,10,429,1,420,5,417,12,417,0,405xm804,429l794,429,794,1450,804,1450,804,429xm12,417l10,417,10,429,402,821,416,807,402,807,12,417xm804,405l402,807,416,807,794,429,804,429,804,405xm10,417l5,417,1,420,10,429,10,417xe" filled="true" fillcolor="#aebd37" stroked="false">
              <v:path arrowok="t"/>
              <v:fill type="solid"/>
            </v:shape>
            <v:shape style="position:absolute;left:33;top:0;width:737;height:737" coordorigin="33,0" coordsize="737,737" path="m402,0l33,368,402,737,770,368,402,0xe" filled="true" fillcolor="#aebd37" stroked="false">
              <v:path arrowok="t"/>
              <v:fill type="solid"/>
            </v:shape>
            <v:shape style="position:absolute;left:0;top:0;width:804;height:1460" type="#_x0000_t202" filled="false" stroked="false">
              <v:textbox inset="0,0,0,0">
                <w:txbxContent>
                  <w:p>
                    <w:pPr>
                      <w:spacing w:line="240" w:lineRule="auto" w:before="2"/>
                      <w:rPr>
                        <w:rFonts w:ascii="Times New Roman"/>
                        <w:sz w:val="22"/>
                      </w:rPr>
                    </w:pPr>
                  </w:p>
                  <w:p>
                    <w:pPr>
                      <w:spacing w:before="0"/>
                      <w:ind w:left="264" w:right="0" w:firstLine="0"/>
                      <w:jc w:val="left"/>
                      <w:rPr>
                        <w:b/>
                        <w:sz w:val="19"/>
                      </w:rPr>
                    </w:pPr>
                    <w:r>
                      <w:rPr>
                        <w:b/>
                        <w:color w:val="FFFFFF"/>
                        <w:sz w:val="19"/>
                      </w:rPr>
                      <w:t>1.4</w:t>
                    </w:r>
                  </w:p>
                </w:txbxContent>
              </v:textbox>
              <w10:wrap type="none"/>
            </v:shape>
          </v:group>
        </w:pict>
      </w:r>
      <w:r>
        <w:rPr>
          <w:spacing w:val="136"/>
          <w:sz w:val="20"/>
        </w:rPr>
      </w:r>
      <w:r>
        <w:rPr>
          <w:rFonts w:ascii="Times New Roman"/>
          <w:spacing w:val="136"/>
          <w:sz w:val="20"/>
        </w:rPr>
        <w:t> </w:t>
      </w:r>
      <w:r>
        <w:rPr>
          <w:spacing w:val="136"/>
          <w:sz w:val="20"/>
        </w:rPr>
        <w:pict>
          <v:group style="width:40.2pt;height:74pt;mso-position-horizontal-relative:char;mso-position-vertical-relative:line" coordorigin="0,0" coordsize="804,1480">
            <v:shape style="position:absolute;left:401;top:428;width:392;height:1041" coordorigin="402,429" coordsize="392,1041" path="m794,429l402,821,402,1470,794,1470,794,429xe" filled="true" fillcolor="#eae3ea" stroked="false">
              <v:path arrowok="t"/>
              <v:fill type="solid"/>
            </v:shape>
            <v:shape style="position:absolute;left:0;top:404;width:804;height:1075" coordorigin="0,405" coordsize="804,1075" path="m0,405l0,1480,804,1480,804,1475,402,1475,402,1470,10,1470,10,429,24,429,16,420,1,420,5,417,12,417,0,405xm804,417l799,417,799,1475,804,1475,804,417xm24,429l10,429,402,821,402,814,409,807,402,807,24,429xm804,405l402,807,409,807,799,417,804,417,804,405xm12,417l5,417,1,420,16,420,12,417xe" filled="true" fillcolor="#8d5f8e" stroked="false">
              <v:path arrowok="t"/>
              <v:fill type="solid"/>
            </v:shape>
            <v:shape style="position:absolute;left:401;top:416;width:397;height:1058" coordorigin="402,417" coordsize="397,1058" path="m799,429l794,429,794,1470,402,1470,402,1475,799,1475,799,429xm799,417l402,814,402,821,794,429,799,429,799,417xe" filled="true" fillcolor="#8b5a8b" stroked="false">
              <v:path arrowok="t"/>
              <v:fill type="solid"/>
            </v:shape>
            <v:shape style="position:absolute;left:33;top:0;width:737;height:737" coordorigin="33,0" coordsize="737,737" path="m402,0l33,368,402,737,770,368,402,0xe" filled="true" fillcolor="#6f2770" stroked="false">
              <v:path arrowok="t"/>
              <v:fill type="solid"/>
            </v:shape>
            <v:shape style="position:absolute;left:0;top:0;width:804;height:1480" type="#_x0000_t202" filled="false" stroked="false">
              <v:textbox inset="0,0,0,0">
                <w:txbxContent>
                  <w:p>
                    <w:pPr>
                      <w:spacing w:line="240" w:lineRule="auto" w:before="2"/>
                      <w:rPr>
                        <w:rFonts w:ascii="Times New Roman"/>
                        <w:sz w:val="22"/>
                      </w:rPr>
                    </w:pPr>
                  </w:p>
                  <w:p>
                    <w:pPr>
                      <w:spacing w:before="0"/>
                      <w:ind w:left="264" w:right="0" w:firstLine="0"/>
                      <w:jc w:val="left"/>
                      <w:rPr>
                        <w:b/>
                        <w:sz w:val="19"/>
                      </w:rPr>
                    </w:pPr>
                    <w:r>
                      <w:rPr>
                        <w:b/>
                        <w:color w:val="FFFFFF"/>
                        <w:sz w:val="19"/>
                      </w:rPr>
                      <w:t>1.5</w:t>
                    </w:r>
                  </w:p>
                </w:txbxContent>
              </v:textbox>
              <w10:wrap type="none"/>
            </v:shape>
          </v:group>
        </w:pict>
      </w:r>
      <w:r>
        <w:rPr>
          <w:spacing w:val="136"/>
          <w:sz w:val="20"/>
        </w:rPr>
      </w:r>
      <w:r>
        <w:rPr>
          <w:rFonts w:ascii="Times New Roman"/>
          <w:spacing w:val="136"/>
          <w:sz w:val="20"/>
        </w:rPr>
        <w:t> </w:t>
      </w:r>
      <w:r>
        <w:rPr>
          <w:spacing w:val="136"/>
          <w:sz w:val="20"/>
        </w:rPr>
        <w:pict>
          <v:group style="width:40.2pt;height:74pt;mso-position-horizontal-relative:char;mso-position-vertical-relative:line" coordorigin="0,0" coordsize="804,1480">
            <v:shape style="position:absolute;left:401;top:428;width:392;height:1041" coordorigin="402,429" coordsize="392,1041" path="m794,429l402,821,402,1470,794,1470,794,429xe" filled="true" fillcolor="#e1dce1" stroked="false">
              <v:path arrowok="t"/>
              <v:fill type="solid"/>
            </v:shape>
            <v:shape style="position:absolute;left:0;top:404;width:804;height:1075" coordorigin="0,405" coordsize="804,1075" path="m0,405l0,1480,804,1480,804,1475,402,1475,402,1470,10,1470,10,429,24,429,16,420,1,420,5,417,12,417,0,405xm804,417l799,417,799,1475,804,1475,804,417xm24,429l10,429,402,821,402,814,409,807,402,807,24,429xm804,405l402,807,409,807,799,417,804,417,804,405xm12,417l5,417,1,420,16,420,12,417xe" filled="true" fillcolor="#806a83" stroked="false">
              <v:path arrowok="t"/>
              <v:fill type="solid"/>
            </v:shape>
            <v:shape style="position:absolute;left:401;top:416;width:397;height:1058" coordorigin="402,417" coordsize="397,1058" path="m799,429l794,429,794,1470,402,1470,402,1475,799,1475,799,429xm799,417l402,814,402,821,794,429,799,429,799,417xe" filled="true" fillcolor="#79627d" stroked="false">
              <v:path arrowok="t"/>
              <v:fill type="solid"/>
            </v:shape>
            <v:shape style="position:absolute;left:33;top:0;width:737;height:737" coordorigin="33,0" coordsize="737,737" path="m402,0l33,368,402,737,770,368,402,0xe" filled="true" fillcolor="#360f41" stroked="false">
              <v:path arrowok="t"/>
              <v:fill type="solid"/>
            </v:shape>
            <v:shape style="position:absolute;left:0;top:0;width:804;height:1480" type="#_x0000_t202" filled="false" stroked="false">
              <v:textbox inset="0,0,0,0">
                <w:txbxContent>
                  <w:p>
                    <w:pPr>
                      <w:spacing w:line="240" w:lineRule="auto" w:before="2"/>
                      <w:rPr>
                        <w:rFonts w:ascii="Times New Roman"/>
                        <w:sz w:val="22"/>
                      </w:rPr>
                    </w:pPr>
                  </w:p>
                  <w:p>
                    <w:pPr>
                      <w:spacing w:before="0"/>
                      <w:ind w:left="264" w:right="0" w:firstLine="0"/>
                      <w:jc w:val="left"/>
                      <w:rPr>
                        <w:b/>
                        <w:sz w:val="19"/>
                      </w:rPr>
                    </w:pPr>
                    <w:r>
                      <w:rPr>
                        <w:b/>
                        <w:color w:val="FFFFFF"/>
                        <w:sz w:val="19"/>
                      </w:rPr>
                      <w:t>1.5</w:t>
                    </w:r>
                  </w:p>
                </w:txbxContent>
              </v:textbox>
              <w10:wrap type="none"/>
            </v:shape>
          </v:group>
        </w:pict>
      </w:r>
      <w:r>
        <w:rPr>
          <w:spacing w:val="136"/>
          <w:sz w:val="20"/>
        </w:rPr>
      </w:r>
      <w:r>
        <w:rPr>
          <w:spacing w:val="136"/>
          <w:sz w:val="20"/>
        </w:rPr>
        <w:tab/>
      </w:r>
      <w:r>
        <w:rPr>
          <w:spacing w:val="136"/>
          <w:sz w:val="20"/>
        </w:rPr>
        <w:pict>
          <v:group style="width:40.2pt;height:109pt;mso-position-horizontal-relative:char;mso-position-vertical-relative:line" coordorigin="0,0" coordsize="804,2180">
            <v:shape style="position:absolute;left:401;top:416;width:397;height:1758" coordorigin="402,417" coordsize="397,1758" path="m799,417l402,814,402,2175,799,2175,799,417xe" filled="true" fillcolor="#f5f6ea" stroked="false">
              <v:path arrowok="t"/>
              <v:fill type="solid"/>
            </v:shape>
            <v:shape style="position:absolute;left:0;top:404;width:804;height:1775" coordorigin="0,405" coordsize="804,1775" path="m0,405l0,2180,804,2180,804,2170,10,2170,10,429,1,420,5,417,12,417,0,405xm804,429l794,429,794,2170,804,2170,804,429xm12,417l10,417,10,429,402,821,416,807,402,807,12,417xm804,405l402,807,416,807,794,429,804,429,804,405xm10,417l5,417,1,420,10,429,10,417xe" filled="true" fillcolor="#aebd37" stroked="false">
              <v:path arrowok="t"/>
              <v:fill type="solid"/>
            </v:shape>
            <v:shape style="position:absolute;left:33;top:0;width:737;height:737" coordorigin="33,0" coordsize="737,737" path="m402,0l33,368,402,737,770,368,402,0xe" filled="true" fillcolor="#aebd37" stroked="false">
              <v:path arrowok="t"/>
              <v:fill type="solid"/>
            </v:shape>
            <v:shape style="position:absolute;left:264;top:248;width:285;height:227" type="#_x0000_t202" filled="false" stroked="false">
              <v:textbox inset="0,0,0,0">
                <w:txbxContent>
                  <w:p>
                    <w:pPr>
                      <w:spacing w:before="7"/>
                      <w:ind w:left="0" w:right="0" w:firstLine="0"/>
                      <w:jc w:val="left"/>
                      <w:rPr>
                        <w:b/>
                        <w:sz w:val="19"/>
                      </w:rPr>
                    </w:pPr>
                    <w:r>
                      <w:rPr>
                        <w:b/>
                        <w:color w:val="FFFFFF"/>
                        <w:sz w:val="19"/>
                      </w:rPr>
                      <w:t>2.1</w:t>
                    </w:r>
                  </w:p>
                </w:txbxContent>
              </v:textbox>
              <w10:wrap type="none"/>
            </v:shape>
          </v:group>
        </w:pict>
      </w:r>
      <w:r>
        <w:rPr>
          <w:spacing w:val="136"/>
          <w:sz w:val="20"/>
        </w:rPr>
      </w:r>
      <w:r>
        <w:rPr>
          <w:rFonts w:ascii="Times New Roman"/>
          <w:spacing w:val="136"/>
          <w:sz w:val="20"/>
        </w:rPr>
        <w:t> </w:t>
      </w:r>
      <w:r>
        <w:rPr>
          <w:spacing w:val="136"/>
          <w:sz w:val="20"/>
        </w:rPr>
        <w:pict>
          <v:group style="width:40.2pt;height:107pt;mso-position-horizontal-relative:char;mso-position-vertical-relative:line" coordorigin="0,0" coordsize="804,2140">
            <v:shape style="position:absolute;left:401;top:416;width:397;height:1718" coordorigin="402,417" coordsize="397,1718" path="m799,417l402,814,402,2135,799,2135,799,417xe" filled="true" fillcolor="#f5f6ea" stroked="false">
              <v:path arrowok="t"/>
              <v:fill type="solid"/>
            </v:shape>
            <v:shape style="position:absolute;left:0;top:404;width:804;height:1735" coordorigin="0,405" coordsize="804,1735" path="m0,405l0,2140,804,2140,804,2130,10,2130,10,429,1,420,5,417,12,417,0,405xm804,429l794,429,794,2130,804,2130,804,429xm12,417l10,417,10,429,402,821,416,807,402,807,12,417xm804,405l402,807,416,807,794,429,804,429,804,405xm10,417l5,417,1,420,10,429,10,417xe" filled="true" fillcolor="#aebd37" stroked="false">
              <v:path arrowok="t"/>
              <v:fill type="solid"/>
            </v:shape>
            <v:shape style="position:absolute;left:33;top:0;width:737;height:737" coordorigin="33,0" coordsize="737,737" path="m402,0l33,368,402,737,770,368,402,0xe" filled="true" fillcolor="#aebd37" stroked="false">
              <v:path arrowok="t"/>
              <v:fill type="solid"/>
            </v:shape>
            <v:shape style="position:absolute;left:264;top:248;width:285;height:227" type="#_x0000_t202" filled="false" stroked="false">
              <v:textbox inset="0,0,0,0">
                <w:txbxContent>
                  <w:p>
                    <w:pPr>
                      <w:spacing w:before="7"/>
                      <w:ind w:left="0" w:right="0" w:firstLine="0"/>
                      <w:jc w:val="left"/>
                      <w:rPr>
                        <w:b/>
                        <w:sz w:val="19"/>
                      </w:rPr>
                    </w:pPr>
                    <w:r>
                      <w:rPr>
                        <w:b/>
                        <w:color w:val="FFFFFF"/>
                        <w:sz w:val="19"/>
                      </w:rPr>
                      <w:t>1.9</w:t>
                    </w:r>
                  </w:p>
                </w:txbxContent>
              </v:textbox>
              <w10:wrap type="none"/>
            </v:shape>
          </v:group>
        </w:pict>
      </w:r>
      <w:r>
        <w:rPr>
          <w:spacing w:val="136"/>
          <w:sz w:val="20"/>
        </w:rPr>
      </w:r>
      <w:r>
        <w:rPr>
          <w:rFonts w:ascii="Times New Roman"/>
          <w:spacing w:val="136"/>
          <w:sz w:val="20"/>
        </w:rPr>
        <w:t> </w:t>
      </w:r>
      <w:r>
        <w:rPr>
          <w:spacing w:val="136"/>
          <w:sz w:val="20"/>
        </w:rPr>
        <w:pict>
          <v:group style="width:40.2pt;height:108pt;mso-position-horizontal-relative:char;mso-position-vertical-relative:line" coordorigin="0,0" coordsize="804,2160">
            <v:shape style="position:absolute;left:401;top:428;width:392;height:1721" coordorigin="402,429" coordsize="392,1721" path="m794,429l402,821,402,2150,794,2150,794,429xe" filled="true" fillcolor="#eae3ea" stroked="false">
              <v:path arrowok="t"/>
              <v:fill type="solid"/>
            </v:shape>
            <v:shape style="position:absolute;left:0;top:404;width:804;height:1755" coordorigin="0,405" coordsize="804,1755" path="m0,405l0,2160,804,2160,804,2155,402,2155,402,2150,10,2150,10,429,24,429,16,420,1,420,5,417,12,417,0,405xm804,417l799,417,799,2155,804,2155,804,417xm24,429l10,429,402,821,402,814,409,807,402,807,24,429xm804,405l402,807,409,807,799,417,804,417,804,405xm12,417l5,417,1,420,16,420,12,417xe" filled="true" fillcolor="#8d5f8e" stroked="false">
              <v:path arrowok="t"/>
              <v:fill type="solid"/>
            </v:shape>
            <v:shape style="position:absolute;left:401;top:416;width:397;height:1738" coordorigin="402,417" coordsize="397,1738" path="m799,429l794,429,794,2150,402,2150,402,2155,799,2155,799,429xm799,417l402,814,402,821,794,429,799,429,799,417xe" filled="true" fillcolor="#8b5a8b" stroked="false">
              <v:path arrowok="t"/>
              <v:fill type="solid"/>
            </v:shape>
            <v:shape style="position:absolute;left:33;top:0;width:737;height:737" coordorigin="33,0" coordsize="737,737" path="m402,0l33,368,402,737,770,368,402,0xe" filled="true" fillcolor="#6f2770" stroked="false">
              <v:path arrowok="t"/>
              <v:fill type="solid"/>
            </v:shape>
            <v:shape style="position:absolute;left:264;top:248;width:285;height:227" type="#_x0000_t202" filled="false" stroked="false">
              <v:textbox inset="0,0,0,0">
                <w:txbxContent>
                  <w:p>
                    <w:pPr>
                      <w:spacing w:before="7"/>
                      <w:ind w:left="0" w:right="0" w:firstLine="0"/>
                      <w:jc w:val="left"/>
                      <w:rPr>
                        <w:b/>
                        <w:sz w:val="19"/>
                      </w:rPr>
                    </w:pPr>
                    <w:r>
                      <w:rPr>
                        <w:b/>
                        <w:color w:val="FFFFFF"/>
                        <w:sz w:val="19"/>
                      </w:rPr>
                      <w:t>2.0</w:t>
                    </w:r>
                  </w:p>
                </w:txbxContent>
              </v:textbox>
              <w10:wrap type="none"/>
            </v:shape>
          </v:group>
        </w:pict>
      </w:r>
      <w:r>
        <w:rPr>
          <w:spacing w:val="136"/>
          <w:sz w:val="20"/>
        </w:rPr>
      </w:r>
      <w:r>
        <w:rPr>
          <w:rFonts w:ascii="Times New Roman"/>
          <w:spacing w:val="136"/>
          <w:sz w:val="20"/>
        </w:rPr>
        <w:t> </w:t>
      </w:r>
      <w:r>
        <w:rPr>
          <w:spacing w:val="136"/>
          <w:sz w:val="20"/>
        </w:rPr>
        <w:pict>
          <v:group style="width:40.2pt;height:108pt;mso-position-horizontal-relative:char;mso-position-vertical-relative:line" coordorigin="0,0" coordsize="804,2160">
            <v:shape style="position:absolute;left:401;top:428;width:392;height:1721" coordorigin="402,429" coordsize="392,1721" path="m794,429l402,821,402,2150,794,2150,794,429xe" filled="true" fillcolor="#e1dce1" stroked="false">
              <v:path arrowok="t"/>
              <v:fill type="solid"/>
            </v:shape>
            <v:shape style="position:absolute;left:0;top:404;width:804;height:1755" coordorigin="0,405" coordsize="804,1755" path="m0,405l0,2160,804,2160,804,2155,402,2155,402,2150,10,2150,10,429,24,429,16,420,1,420,5,417,12,417,0,405xm804,417l799,417,799,2155,804,2155,804,417xm24,429l10,429,402,821,402,814,409,807,402,807,24,429xm804,405l402,807,409,807,799,417,804,417,804,405xm12,417l5,417,1,420,16,420,12,417xe" filled="true" fillcolor="#806a83" stroked="false">
              <v:path arrowok="t"/>
              <v:fill type="solid"/>
            </v:shape>
            <v:shape style="position:absolute;left:401;top:416;width:397;height:1738" coordorigin="402,417" coordsize="397,1738" path="m799,429l794,429,794,2150,402,2150,402,2155,799,2155,799,429xm799,417l402,814,402,821,794,429,799,429,799,417xe" filled="true" fillcolor="#79627d" stroked="false">
              <v:path arrowok="t"/>
              <v:fill type="solid"/>
            </v:shape>
            <v:shape style="position:absolute;left:33;top:0;width:737;height:737" coordorigin="33,0" coordsize="737,737" path="m402,0l33,368,402,737,770,368,402,0xe" filled="true" fillcolor="#360f41" stroked="false">
              <v:path arrowok="t"/>
              <v:fill type="solid"/>
            </v:shape>
            <v:shape style="position:absolute;left:264;top:268;width:285;height:227" type="#_x0000_t202" filled="false" stroked="false">
              <v:textbox inset="0,0,0,0">
                <w:txbxContent>
                  <w:p>
                    <w:pPr>
                      <w:spacing w:before="7"/>
                      <w:ind w:left="0" w:right="0" w:firstLine="0"/>
                      <w:jc w:val="left"/>
                      <w:rPr>
                        <w:b/>
                        <w:sz w:val="19"/>
                      </w:rPr>
                    </w:pPr>
                    <w:r>
                      <w:rPr>
                        <w:b/>
                        <w:color w:val="FFFFFF"/>
                        <w:sz w:val="19"/>
                      </w:rPr>
                      <w:t>2.0</w:t>
                    </w:r>
                  </w:p>
                </w:txbxContent>
              </v:textbox>
              <w10:wrap type="none"/>
            </v:shape>
          </v:group>
        </w:pict>
      </w:r>
      <w:r>
        <w:rPr>
          <w:spacing w:val="136"/>
          <w:sz w:val="20"/>
        </w:rPr>
      </w:r>
    </w:p>
    <w:p>
      <w:pPr>
        <w:spacing w:after="0" w:line="240" w:lineRule="auto"/>
        <w:rPr>
          <w:sz w:val="20"/>
        </w:rPr>
        <w:sectPr>
          <w:type w:val="continuous"/>
          <w:pgSz w:w="16840" w:h="11910" w:orient="landscape"/>
          <w:pgMar w:top="0" w:bottom="0" w:left="0" w:right="0"/>
        </w:sectPr>
      </w:pPr>
    </w:p>
    <w:p>
      <w:pPr>
        <w:tabs>
          <w:tab w:pos="1816" w:val="left" w:leader="none"/>
          <w:tab w:pos="2822" w:val="left" w:leader="none"/>
          <w:tab w:pos="3828" w:val="left" w:leader="none"/>
          <w:tab w:pos="4834" w:val="left" w:leader="none"/>
        </w:tabs>
        <w:spacing w:line="191" w:lineRule="exact" w:before="0"/>
        <w:ind w:left="810" w:right="0" w:firstLine="0"/>
        <w:jc w:val="left"/>
        <w:rPr>
          <w:b/>
          <w:sz w:val="19"/>
        </w:rPr>
      </w:pPr>
      <w:r>
        <w:rPr/>
        <w:pict>
          <v:group style="position:absolute;margin-left:562.176819pt;margin-top:-128.522186pt;width:40.2pt;height:126pt;mso-position-horizontal-relative:page;mso-position-vertical-relative:paragraph;z-index:32608" coordorigin="11244,-2570" coordsize="804,2520">
            <v:shape style="position:absolute;left:11645;top:-2154;width:397;height:2098" coordorigin="11645,-2154" coordsize="397,2098" path="m12042,-2154l11645,-1757,11645,-56,12042,-56,12042,-2154xe" filled="true" fillcolor="#f5f6ea" stroked="false">
              <v:path arrowok="t"/>
              <v:fill type="solid"/>
            </v:shape>
            <v:shape style="position:absolute;left:11243;top:-2571;width:804;height:2520" coordorigin="11244,-2570" coordsize="804,2520" path="m12014,-2202l11645,-2570,11277,-2202,11645,-1833,12014,-2202m12047,-2166l12037,-2156,12037,-2142,12037,-61,11254,-61,11254,-2142,11645,-1750,11660,-1764,12037,-2142,12037,-2156,11645,-1764,11256,-2154,11244,-2166,11244,-51,12047,-51,12047,-61,12047,-2142,12047,-2166e" filled="true" fillcolor="#aebd37" stroked="false">
              <v:path arrowok="t"/>
              <v:fill type="solid"/>
            </v:shape>
            <v:shape style="position:absolute;left:11508;top:-2323;width:285;height:227" type="#_x0000_t202" filled="false" stroked="false">
              <v:textbox inset="0,0,0,0">
                <w:txbxContent>
                  <w:p>
                    <w:pPr>
                      <w:spacing w:before="7"/>
                      <w:ind w:left="0" w:right="0" w:firstLine="0"/>
                      <w:jc w:val="left"/>
                      <w:rPr>
                        <w:b/>
                        <w:sz w:val="19"/>
                      </w:rPr>
                    </w:pPr>
                    <w:r>
                      <w:rPr>
                        <w:b/>
                        <w:color w:val="FFFFFF"/>
                        <w:sz w:val="19"/>
                      </w:rPr>
                      <w:t>2.4</w:t>
                    </w:r>
                  </w:p>
                </w:txbxContent>
              </v:textbox>
              <w10:wrap type="none"/>
            </v:shape>
            <w10:wrap type="none"/>
          </v:group>
        </w:pict>
      </w:r>
      <w:r>
        <w:rPr/>
        <w:pict>
          <v:shape style="position:absolute;margin-left:783.530029pt;margin-top:11.384115pt;width:19.850pt;height:14.2pt;mso-position-horizontal-relative:page;mso-position-vertical-relative:paragraph;z-index:32632" type="#_x0000_t202" filled="true" fillcolor="#360f41" stroked="false">
            <v:textbox inset="0,0,0,0">
              <w:txbxContent>
                <w:p>
                  <w:pPr>
                    <w:spacing w:before="72"/>
                    <w:ind w:left="-3" w:right="0" w:firstLine="0"/>
                    <w:jc w:val="left"/>
                    <w:rPr>
                      <w:sz w:val="15"/>
                    </w:rPr>
                  </w:pPr>
                  <w:r>
                    <w:rPr>
                      <w:color w:val="FFFFFF"/>
                      <w:sz w:val="15"/>
                    </w:rPr>
                    <w:t>UAL</w:t>
                  </w:r>
                </w:p>
              </w:txbxContent>
            </v:textbox>
            <v:fill type="solid"/>
            <w10:wrap type="none"/>
          </v:shape>
        </w:pict>
      </w:r>
      <w:r>
        <w:rPr/>
        <w:pict>
          <v:shape style="position:absolute;margin-left:733.215027pt;margin-top:11.384115pt;width:19.850pt;height:14.2pt;mso-position-horizontal-relative:page;mso-position-vertical-relative:paragraph;z-index:32656" type="#_x0000_t202" filled="true" fillcolor="#6f2770" stroked="false">
            <v:textbox inset="0,0,0,0">
              <w:txbxContent>
                <w:p>
                  <w:pPr>
                    <w:spacing w:before="52"/>
                    <w:ind w:left="-13" w:right="0" w:firstLine="0"/>
                    <w:jc w:val="left"/>
                    <w:rPr>
                      <w:sz w:val="15"/>
                    </w:rPr>
                  </w:pPr>
                  <w:r>
                    <w:rPr>
                      <w:color w:val="FFFFFF"/>
                      <w:sz w:val="15"/>
                    </w:rPr>
                    <w:t>GET</w:t>
                  </w:r>
                </w:p>
              </w:txbxContent>
            </v:textbox>
            <v:fill type="solid"/>
            <w10:wrap type="none"/>
          </v:shape>
        </w:pict>
      </w:r>
      <w:r>
        <w:rPr/>
        <w:pict>
          <v:shape style="position:absolute;margin-left:682.898987pt;margin-top:11.384115pt;width:19.850pt;height:14.2pt;mso-position-horizontal-relative:page;mso-position-vertical-relative:paragraph;z-index:32680" type="#_x0000_t202" filled="true" fillcolor="#aebd37" stroked="false">
            <v:textbox inset="0,0,0,0">
              <w:txbxContent>
                <w:p>
                  <w:pPr>
                    <w:spacing w:before="52"/>
                    <w:ind w:left="-3" w:right="0" w:firstLine="0"/>
                    <w:jc w:val="left"/>
                    <w:rPr>
                      <w:sz w:val="15"/>
                    </w:rPr>
                  </w:pPr>
                  <w:r>
                    <w:rPr>
                      <w:color w:val="FFFFFF"/>
                      <w:sz w:val="15"/>
                    </w:rPr>
                    <w:t>UAL</w:t>
                  </w:r>
                </w:p>
              </w:txbxContent>
            </v:textbox>
            <v:fill type="solid"/>
            <w10:wrap type="none"/>
          </v:shape>
        </w:pict>
      </w:r>
      <w:r>
        <w:rPr/>
        <w:pict>
          <v:shape style="position:absolute;margin-left:632.585022pt;margin-top:11.384115pt;width:19.850pt;height:14.2pt;mso-position-horizontal-relative:page;mso-position-vertical-relative:paragraph;z-index:32704" type="#_x0000_t202" filled="true" fillcolor="#aebd37" stroked="false">
            <v:textbox inset="0,0,0,0">
              <w:txbxContent>
                <w:p>
                  <w:pPr>
                    <w:spacing w:before="52"/>
                    <w:ind w:left="-3" w:right="0" w:firstLine="0"/>
                    <w:jc w:val="left"/>
                    <w:rPr>
                      <w:sz w:val="15"/>
                    </w:rPr>
                  </w:pPr>
                  <w:r>
                    <w:rPr>
                      <w:color w:val="FFFFFF"/>
                      <w:sz w:val="15"/>
                    </w:rPr>
                    <w:t>UAL</w:t>
                  </w:r>
                </w:p>
              </w:txbxContent>
            </v:textbox>
            <v:fill type="solid"/>
            <w10:wrap type="none"/>
          </v:shape>
        </w:pict>
      </w:r>
      <w:r>
        <w:rPr/>
        <w:pict>
          <v:shape style="position:absolute;margin-left:582.270020pt;margin-top:11.384115pt;width:19.850pt;height:14.2pt;mso-position-horizontal-relative:page;mso-position-vertical-relative:paragraph;z-index:32728" type="#_x0000_t202" filled="true" fillcolor="#aebd37" stroked="false">
            <v:textbox inset="0,0,0,0">
              <w:txbxContent>
                <w:p>
                  <w:pPr>
                    <w:spacing w:before="52"/>
                    <w:ind w:left="-3" w:right="0" w:firstLine="0"/>
                    <w:jc w:val="left"/>
                    <w:rPr>
                      <w:sz w:val="15"/>
                    </w:rPr>
                  </w:pPr>
                  <w:r>
                    <w:rPr>
                      <w:color w:val="FFFFFF"/>
                      <w:sz w:val="15"/>
                    </w:rPr>
                    <w:t>UAL</w:t>
                  </w:r>
                </w:p>
              </w:txbxContent>
            </v:textbox>
            <v:fill type="solid"/>
            <w10:wrap type="none"/>
          </v:shape>
        </w:pict>
      </w:r>
      <w:r>
        <w:rPr/>
        <w:pict>
          <v:shape style="position:absolute;margin-left:521.825989pt;margin-top:11.384115pt;width:19.850pt;height:14.2pt;mso-position-horizontal-relative:page;mso-position-vertical-relative:paragraph;z-index:32752" type="#_x0000_t202" filled="true" fillcolor="#360f41" stroked="false">
            <v:textbox inset="0,0,0,0">
              <w:txbxContent>
                <w:p>
                  <w:pPr>
                    <w:spacing w:before="52"/>
                    <w:ind w:left="-3" w:right="0" w:firstLine="0"/>
                    <w:jc w:val="left"/>
                    <w:rPr>
                      <w:sz w:val="15"/>
                    </w:rPr>
                  </w:pPr>
                  <w:r>
                    <w:rPr>
                      <w:color w:val="FFFFFF"/>
                      <w:sz w:val="15"/>
                    </w:rPr>
                    <w:t>UAL</w:t>
                  </w:r>
                </w:p>
              </w:txbxContent>
            </v:textbox>
            <v:fill type="solid"/>
            <w10:wrap type="none"/>
          </v:shape>
        </w:pict>
      </w:r>
      <w:r>
        <w:rPr/>
        <w:pict>
          <v:shape style="position:absolute;margin-left:471.510986pt;margin-top:11.384115pt;width:19.850pt;height:14.2pt;mso-position-horizontal-relative:page;mso-position-vertical-relative:paragraph;z-index:32776" type="#_x0000_t202" filled="true" fillcolor="#6f2770" stroked="false">
            <v:textbox inset="0,0,0,0">
              <w:txbxContent>
                <w:p>
                  <w:pPr>
                    <w:spacing w:before="52"/>
                    <w:ind w:left="-13" w:right="0" w:firstLine="0"/>
                    <w:jc w:val="left"/>
                    <w:rPr>
                      <w:sz w:val="15"/>
                    </w:rPr>
                  </w:pPr>
                  <w:r>
                    <w:rPr>
                      <w:color w:val="FFFFFF"/>
                      <w:sz w:val="15"/>
                    </w:rPr>
                    <w:t>GET</w:t>
                  </w:r>
                </w:p>
              </w:txbxContent>
            </v:textbox>
            <v:fill type="solid"/>
            <w10:wrap type="none"/>
          </v:shape>
        </w:pict>
      </w:r>
      <w:r>
        <w:rPr/>
        <w:pict>
          <v:shape style="position:absolute;margin-left:401.352997pt;margin-top:11.384115pt;width:19.850pt;height:14.2pt;mso-position-horizontal-relative:page;mso-position-vertical-relative:paragraph;z-index:32800" type="#_x0000_t202" filled="true" fillcolor="#bfc84c" stroked="false">
            <v:textbox inset="0,0,0,0">
              <w:txbxContent>
                <w:p>
                  <w:pPr>
                    <w:spacing w:before="52"/>
                    <w:ind w:left="111" w:right="0" w:firstLine="0"/>
                    <w:jc w:val="left"/>
                    <w:rPr>
                      <w:sz w:val="15"/>
                    </w:rPr>
                  </w:pPr>
                  <w:r>
                    <w:rPr>
                      <w:color w:val="FFFFFF"/>
                      <w:w w:val="95"/>
                      <w:sz w:val="15"/>
                    </w:rPr>
                    <w:t>ACT</w:t>
                  </w:r>
                </w:p>
              </w:txbxContent>
            </v:textbox>
            <v:fill type="solid"/>
            <w10:wrap type="none"/>
          </v:shape>
        </w:pict>
      </w:r>
      <w:r>
        <w:rPr/>
        <w:pict>
          <v:shape style="position:absolute;margin-left:370.881012pt;margin-top:11.384115pt;width:19.850pt;height:14.2pt;mso-position-horizontal-relative:page;mso-position-vertical-relative:paragraph;z-index:32824" type="#_x0000_t202" filled="true" fillcolor="#aebd37" stroked="false">
            <v:textbox inset="0,0,0,0">
              <w:txbxContent>
                <w:p>
                  <w:pPr>
                    <w:spacing w:before="52"/>
                    <w:ind w:left="-3" w:right="0" w:firstLine="0"/>
                    <w:jc w:val="left"/>
                    <w:rPr>
                      <w:sz w:val="15"/>
                    </w:rPr>
                  </w:pPr>
                  <w:r>
                    <w:rPr>
                      <w:color w:val="FFFFFF"/>
                      <w:sz w:val="15"/>
                    </w:rPr>
                    <w:t>UAL</w:t>
                  </w:r>
                </w:p>
              </w:txbxContent>
            </v:textbox>
            <v:fill type="solid"/>
            <w10:wrap type="none"/>
          </v:shape>
        </w:pict>
      </w:r>
      <w:r>
        <w:rPr/>
        <w:pict>
          <v:shape style="position:absolute;margin-left:320.565002pt;margin-top:11.384115pt;width:19.850pt;height:14.2pt;mso-position-horizontal-relative:page;mso-position-vertical-relative:paragraph;z-index:32848" type="#_x0000_t202" filled="true" fillcolor="#aebd37" stroked="false">
            <v:textbox inset="0,0,0,0">
              <w:txbxContent>
                <w:p>
                  <w:pPr>
                    <w:spacing w:before="52"/>
                    <w:ind w:left="-3" w:right="0" w:firstLine="0"/>
                    <w:jc w:val="left"/>
                    <w:rPr>
                      <w:sz w:val="15"/>
                    </w:rPr>
                  </w:pPr>
                  <w:r>
                    <w:rPr>
                      <w:color w:val="FFFFFF"/>
                      <w:sz w:val="15"/>
                    </w:rPr>
                    <w:t>UAL</w:t>
                  </w:r>
                </w:p>
              </w:txbxContent>
            </v:textbox>
            <v:fill type="solid"/>
            <w10:wrap type="none"/>
          </v:shape>
        </w:pict>
      </w:r>
      <w:r>
        <w:rPr/>
        <w:pict>
          <v:shape style="position:absolute;margin-left:259.622009pt;margin-top:11.383115pt;width:19.850pt;height:14.2pt;mso-position-horizontal-relative:page;mso-position-vertical-relative:paragraph;z-index:32872" type="#_x0000_t202" filled="true" fillcolor="#360f41" stroked="false">
            <v:textbox inset="0,0,0,0">
              <w:txbxContent>
                <w:p>
                  <w:pPr>
                    <w:spacing w:before="52"/>
                    <w:ind w:left="-3" w:right="0" w:firstLine="0"/>
                    <w:jc w:val="left"/>
                    <w:rPr>
                      <w:sz w:val="15"/>
                    </w:rPr>
                  </w:pPr>
                  <w:r>
                    <w:rPr>
                      <w:color w:val="FFFFFF"/>
                      <w:sz w:val="15"/>
                    </w:rPr>
                    <w:t>UAL</w:t>
                  </w:r>
                </w:p>
              </w:txbxContent>
            </v:textbox>
            <v:fill type="solid"/>
            <w10:wrap type="none"/>
          </v:shape>
        </w:pict>
      </w:r>
      <w:r>
        <w:rPr/>
        <w:pict>
          <v:shape style="position:absolute;margin-left:209.306pt;margin-top:11.383115pt;width:19.850pt;height:14.2pt;mso-position-horizontal-relative:page;mso-position-vertical-relative:paragraph;z-index:32896" type="#_x0000_t202" filled="true" fillcolor="#6f2770" stroked="false">
            <v:textbox inset="0,0,0,0">
              <w:txbxContent>
                <w:p>
                  <w:pPr>
                    <w:spacing w:before="52"/>
                    <w:ind w:left="-13" w:right="0" w:firstLine="0"/>
                    <w:jc w:val="left"/>
                    <w:rPr>
                      <w:sz w:val="15"/>
                    </w:rPr>
                  </w:pPr>
                  <w:r>
                    <w:rPr>
                      <w:color w:val="FFFFFF"/>
                      <w:sz w:val="15"/>
                    </w:rPr>
                    <w:t>GET</w:t>
                  </w:r>
                </w:p>
              </w:txbxContent>
            </v:textbox>
            <v:fill type="solid"/>
            <w10:wrap type="none"/>
          </v:shape>
        </w:pict>
      </w:r>
      <w:r>
        <w:rPr/>
        <w:pict>
          <v:shape style="position:absolute;margin-left:158.990005pt;margin-top:11.383115pt;width:19.850pt;height:14.2pt;mso-position-horizontal-relative:page;mso-position-vertical-relative:paragraph;z-index:32920" type="#_x0000_t202" filled="true" fillcolor="#aebd37" stroked="false">
            <v:textbox inset="0,0,0,0">
              <w:txbxContent>
                <w:p>
                  <w:pPr>
                    <w:spacing w:before="52"/>
                    <w:ind w:left="-3" w:right="0" w:firstLine="0"/>
                    <w:jc w:val="left"/>
                    <w:rPr>
                      <w:sz w:val="15"/>
                    </w:rPr>
                  </w:pPr>
                  <w:r>
                    <w:rPr>
                      <w:color w:val="FFFFFF"/>
                      <w:sz w:val="15"/>
                    </w:rPr>
                    <w:t>UAL</w:t>
                  </w:r>
                </w:p>
              </w:txbxContent>
            </v:textbox>
            <v:fill type="solid"/>
            <w10:wrap type="none"/>
          </v:shape>
        </w:pict>
      </w:r>
      <w:r>
        <w:rPr/>
        <w:pict>
          <v:shape style="position:absolute;margin-left:108.676003pt;margin-top:11.383115pt;width:19.850pt;height:14.2pt;mso-position-horizontal-relative:page;mso-position-vertical-relative:paragraph;z-index:32944" type="#_x0000_t202" filled="true" fillcolor="#aebd37" stroked="false">
            <v:textbox inset="0,0,0,0">
              <w:txbxContent>
                <w:p>
                  <w:pPr>
                    <w:spacing w:before="52"/>
                    <w:ind w:left="-3" w:right="0" w:firstLine="0"/>
                    <w:jc w:val="left"/>
                    <w:rPr>
                      <w:sz w:val="15"/>
                    </w:rPr>
                  </w:pPr>
                  <w:r>
                    <w:rPr>
                      <w:color w:val="FFFFFF"/>
                      <w:sz w:val="15"/>
                    </w:rPr>
                    <w:t>UAL</w:t>
                  </w:r>
                </w:p>
              </w:txbxContent>
            </v:textbox>
            <v:fill type="solid"/>
            <w10:wrap type="none"/>
          </v:shape>
        </w:pict>
      </w:r>
      <w:r>
        <w:rPr/>
        <w:pict>
          <v:shape style="position:absolute;margin-left:58.361pt;margin-top:11.383115pt;width:19.850pt;height:14.2pt;mso-position-horizontal-relative:page;mso-position-vertical-relative:paragraph;z-index:32968" type="#_x0000_t202" filled="true" fillcolor="#aebd37" stroked="false">
            <v:textbox inset="0,0,0,0">
              <w:txbxContent>
                <w:p>
                  <w:pPr>
                    <w:spacing w:before="52"/>
                    <w:ind w:left="-3" w:right="0" w:firstLine="0"/>
                    <w:jc w:val="left"/>
                    <w:rPr>
                      <w:sz w:val="15"/>
                    </w:rPr>
                  </w:pPr>
                  <w:r>
                    <w:rPr>
                      <w:color w:val="FFFFFF"/>
                      <w:sz w:val="15"/>
                    </w:rPr>
                    <w:t>UAL</w:t>
                  </w:r>
                </w:p>
              </w:txbxContent>
            </v:textbox>
            <v:fill type="solid"/>
            <w10:wrap type="none"/>
          </v:shape>
        </w:pict>
      </w:r>
      <w:r>
        <w:rPr>
          <w:b/>
          <w:w w:val="105"/>
          <w:sz w:val="19"/>
        </w:rPr>
        <w:t>2013/14</w:t>
        <w:tab/>
        <w:t>2014/15</w:t>
        <w:tab/>
        <w:t>2015/16</w:t>
        <w:tab/>
        <w:t>2016/17</w:t>
        <w:tab/>
      </w:r>
      <w:r>
        <w:rPr>
          <w:b/>
          <w:spacing w:val="-3"/>
          <w:sz w:val="19"/>
        </w:rPr>
        <w:t>2016/17</w:t>
      </w:r>
    </w:p>
    <w:p>
      <w:pPr>
        <w:tabs>
          <w:tab w:pos="1480" w:val="left" w:leader="none"/>
          <w:tab w:pos="2487" w:val="left" w:leader="none"/>
          <w:tab w:pos="3493" w:val="left" w:leader="none"/>
          <w:tab w:pos="4499" w:val="left" w:leader="none"/>
        </w:tabs>
        <w:spacing w:line="191" w:lineRule="exact" w:before="0"/>
        <w:ind w:left="474" w:right="0" w:firstLine="0"/>
        <w:jc w:val="left"/>
        <w:rPr>
          <w:b/>
          <w:sz w:val="19"/>
        </w:rPr>
      </w:pPr>
      <w:r>
        <w:rPr/>
        <w:br w:type="column"/>
      </w:r>
      <w:r>
        <w:rPr>
          <w:b/>
          <w:w w:val="105"/>
          <w:sz w:val="19"/>
        </w:rPr>
        <w:t>2013/14</w:t>
        <w:tab/>
        <w:t>2014/15</w:t>
        <w:tab/>
        <w:t>2015/16</w:t>
        <w:tab/>
        <w:t>2016/17</w:t>
        <w:tab/>
      </w:r>
      <w:r>
        <w:rPr>
          <w:b/>
          <w:spacing w:val="-3"/>
          <w:sz w:val="19"/>
        </w:rPr>
        <w:t>2016/17</w:t>
      </w:r>
    </w:p>
    <w:p>
      <w:pPr>
        <w:tabs>
          <w:tab w:pos="1470" w:val="left" w:leader="none"/>
          <w:tab w:pos="2477" w:val="left" w:leader="none"/>
          <w:tab w:pos="3483" w:val="left" w:leader="none"/>
          <w:tab w:pos="4489" w:val="left" w:leader="none"/>
        </w:tabs>
        <w:spacing w:line="211" w:lineRule="exact" w:before="0"/>
        <w:ind w:left="464" w:right="0" w:firstLine="0"/>
        <w:jc w:val="left"/>
        <w:rPr>
          <w:b/>
          <w:sz w:val="19"/>
        </w:rPr>
      </w:pPr>
      <w:r>
        <w:rPr/>
        <w:br w:type="column"/>
      </w:r>
      <w:r>
        <w:rPr>
          <w:b/>
          <w:w w:val="105"/>
          <w:position w:val="2"/>
          <w:sz w:val="19"/>
        </w:rPr>
        <w:t>2013/14</w:t>
        <w:tab/>
        <w:t>2014/15</w:t>
        <w:tab/>
        <w:t>2015/16</w:t>
        <w:tab/>
        <w:t>2016/17</w:t>
        <w:tab/>
      </w:r>
      <w:r>
        <w:rPr>
          <w:b/>
          <w:w w:val="105"/>
          <w:sz w:val="19"/>
        </w:rPr>
        <w:t>2016/17</w:t>
      </w:r>
    </w:p>
    <w:p>
      <w:pPr>
        <w:spacing w:after="0" w:line="211" w:lineRule="exact"/>
        <w:jc w:val="left"/>
        <w:rPr>
          <w:sz w:val="19"/>
        </w:rPr>
        <w:sectPr>
          <w:type w:val="continuous"/>
          <w:pgSz w:w="16840" w:h="11910" w:orient="landscape"/>
          <w:pgMar w:top="0" w:bottom="0" w:left="0" w:right="0"/>
          <w:cols w:num="3" w:equalWidth="0">
            <w:col w:w="5540" w:space="40"/>
            <w:col w:w="5205" w:space="39"/>
            <w:col w:w="6016"/>
          </w:cols>
        </w:sectPr>
      </w:pPr>
    </w:p>
    <w:p>
      <w:pPr>
        <w:tabs>
          <w:tab w:pos="1776" w:val="left" w:leader="none"/>
          <w:tab w:pos="2782" w:val="left" w:leader="none"/>
          <w:tab w:pos="3789" w:val="left" w:leader="none"/>
          <w:tab w:pos="4795" w:val="left" w:leader="none"/>
          <w:tab w:pos="6014" w:val="left" w:leader="none"/>
          <w:tab w:pos="7020" w:val="left" w:leader="none"/>
          <w:tab w:pos="8423" w:val="left" w:leader="none"/>
          <w:tab w:pos="9033" w:val="left" w:leader="none"/>
          <w:tab w:pos="10039" w:val="left" w:leader="none"/>
          <w:tab w:pos="11248" w:val="left" w:leader="none"/>
          <w:tab w:pos="12254" w:val="left" w:leader="none"/>
          <w:tab w:pos="13261" w:val="left" w:leader="none"/>
          <w:tab w:pos="14267" w:val="left" w:leader="none"/>
          <w:tab w:pos="15273" w:val="left" w:leader="none"/>
        </w:tabs>
        <w:spacing w:line="240" w:lineRule="auto"/>
        <w:ind w:left="770" w:right="0" w:firstLine="0"/>
        <w:rPr>
          <w:sz w:val="20"/>
        </w:rPr>
      </w:pPr>
      <w:r>
        <w:rPr>
          <w:sz w:val="20"/>
        </w:rPr>
        <w:pict>
          <v:shape style="width:19.850pt;height:14.2pt;mso-position-horizontal-relative:char;mso-position-vertical-relative:line" type="#_x0000_t202" filled="true" fillcolor="#bfc84c" stroked="false">
            <w10:anchorlock/>
            <v:textbox inset="0,0,0,0">
              <w:txbxContent>
                <w:p>
                  <w:pPr>
                    <w:spacing w:before="52"/>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52"/>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52"/>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803c83" stroked="false">
            <w10:anchorlock/>
            <v:textbox inset="0,0,0,0">
              <w:txbxContent>
                <w:p>
                  <w:pPr>
                    <w:spacing w:before="52"/>
                    <w:ind w:left="116" w:right="0" w:firstLine="0"/>
                    <w:jc w:val="left"/>
                    <w:rPr>
                      <w:sz w:val="15"/>
                    </w:rPr>
                  </w:pPr>
                  <w:r>
                    <w:rPr>
                      <w:color w:val="FFFFFF"/>
                      <w:spacing w:val="-4"/>
                      <w:w w:val="95"/>
                      <w:sz w:val="15"/>
                    </w:rPr>
                    <w:t>TAR</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4c285b" stroked="false">
            <w10:anchorlock/>
            <v:textbox inset="0,0,0,0">
              <w:txbxContent>
                <w:p>
                  <w:pPr>
                    <w:spacing w:before="52"/>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52"/>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52"/>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aebd37" stroked="false">
            <w10:anchorlock/>
            <v:textbox inset="0,0,0,0">
              <w:txbxContent>
                <w:p>
                  <w:pPr>
                    <w:spacing w:before="52"/>
                    <w:ind w:left="-3" w:right="0" w:firstLine="0"/>
                    <w:jc w:val="left"/>
                    <w:rPr>
                      <w:sz w:val="15"/>
                    </w:rPr>
                  </w:pPr>
                  <w:r>
                    <w:rPr>
                      <w:color w:val="FFFFFF"/>
                      <w:sz w:val="15"/>
                    </w:rPr>
                    <w:t>UAL</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803c83" stroked="false">
            <w10:anchorlock/>
            <v:textbox inset="0,0,0,0">
              <w:txbxContent>
                <w:p>
                  <w:pPr>
                    <w:spacing w:before="52"/>
                    <w:ind w:left="116" w:right="0" w:firstLine="0"/>
                    <w:jc w:val="left"/>
                    <w:rPr>
                      <w:sz w:val="15"/>
                    </w:rPr>
                  </w:pPr>
                  <w:r>
                    <w:rPr>
                      <w:color w:val="FFFFFF"/>
                      <w:spacing w:val="-4"/>
                      <w:w w:val="95"/>
                      <w:sz w:val="15"/>
                    </w:rPr>
                    <w:t>TAR</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4c285b" stroked="false">
            <w10:anchorlock/>
            <v:textbox inset="0,0,0,0">
              <w:txbxContent>
                <w:p>
                  <w:pPr>
                    <w:spacing w:before="52"/>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52"/>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52"/>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52"/>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803c83" stroked="false">
            <w10:anchorlock/>
            <v:textbox inset="0,0,0,0">
              <w:txbxContent>
                <w:p>
                  <w:pPr>
                    <w:spacing w:before="52"/>
                    <w:ind w:left="116" w:right="0" w:firstLine="0"/>
                    <w:jc w:val="left"/>
                    <w:rPr>
                      <w:sz w:val="15"/>
                    </w:rPr>
                  </w:pPr>
                  <w:r>
                    <w:rPr>
                      <w:color w:val="FFFFFF"/>
                      <w:spacing w:val="-4"/>
                      <w:w w:val="95"/>
                      <w:sz w:val="15"/>
                    </w:rPr>
                    <w:t>TAR</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4c285b" stroked="false">
            <w10:anchorlock/>
            <v:textbox inset="0,0,0,0">
              <w:txbxContent>
                <w:p>
                  <w:pPr>
                    <w:spacing w:before="72"/>
                    <w:ind w:left="111" w:right="0" w:firstLine="0"/>
                    <w:jc w:val="left"/>
                    <w:rPr>
                      <w:sz w:val="15"/>
                    </w:rPr>
                  </w:pPr>
                  <w:r>
                    <w:rPr>
                      <w:color w:val="FFFFFF"/>
                      <w:w w:val="95"/>
                      <w:sz w:val="15"/>
                    </w:rPr>
                    <w:t>ACT</w:t>
                  </w:r>
                </w:p>
              </w:txbxContent>
            </v:textbox>
            <v:fill type="solid"/>
          </v:shape>
        </w:pict>
      </w:r>
      <w:r>
        <w:rPr>
          <w:sz w:val="20"/>
        </w:rPr>
      </w:r>
    </w:p>
    <w:p>
      <w:pPr>
        <w:spacing w:after="0" w:line="240" w:lineRule="auto"/>
        <w:rPr>
          <w:sz w:val="20"/>
        </w:rPr>
        <w:sectPr>
          <w:type w:val="continuous"/>
          <w:pgSz w:w="16840" w:h="11910" w:orient="landscape"/>
          <w:pgMar w:top="0" w:bottom="0" w:left="0" w:right="0"/>
        </w:sectPr>
      </w:pPr>
    </w:p>
    <w:p>
      <w:pPr>
        <w:pStyle w:val="ListParagraph"/>
        <w:numPr>
          <w:ilvl w:val="0"/>
          <w:numId w:val="34"/>
        </w:numPr>
        <w:tabs>
          <w:tab w:pos="958" w:val="left" w:leader="none"/>
        </w:tabs>
        <w:spacing w:line="249" w:lineRule="auto" w:before="82" w:after="0"/>
        <w:ind w:left="973" w:right="0" w:hanging="208"/>
        <w:jc w:val="left"/>
        <w:rPr>
          <w:sz w:val="15"/>
        </w:rPr>
      </w:pPr>
      <w:r>
        <w:rPr>
          <w:sz w:val="15"/>
        </w:rPr>
        <w:t>This</w:t>
      </w:r>
      <w:r>
        <w:rPr>
          <w:spacing w:val="-14"/>
          <w:sz w:val="15"/>
        </w:rPr>
        <w:t> </w:t>
      </w:r>
      <w:r>
        <w:rPr>
          <w:sz w:val="15"/>
        </w:rPr>
        <w:t>indicator</w:t>
      </w:r>
      <w:r>
        <w:rPr>
          <w:spacing w:val="-14"/>
          <w:sz w:val="15"/>
        </w:rPr>
        <w:t> </w:t>
      </w:r>
      <w:r>
        <w:rPr>
          <w:sz w:val="15"/>
        </w:rPr>
        <w:t>is</w:t>
      </w:r>
      <w:r>
        <w:rPr>
          <w:spacing w:val="-13"/>
          <w:sz w:val="15"/>
        </w:rPr>
        <w:t> </w:t>
      </w:r>
      <w:r>
        <w:rPr>
          <w:sz w:val="15"/>
        </w:rPr>
        <w:t>calculated</w:t>
      </w:r>
      <w:r>
        <w:rPr>
          <w:spacing w:val="-14"/>
          <w:sz w:val="15"/>
        </w:rPr>
        <w:t> </w:t>
      </w:r>
      <w:r>
        <w:rPr>
          <w:sz w:val="15"/>
        </w:rPr>
        <w:t>by</w:t>
      </w:r>
      <w:r>
        <w:rPr>
          <w:spacing w:val="-13"/>
          <w:sz w:val="15"/>
        </w:rPr>
        <w:t> </w:t>
      </w:r>
      <w:r>
        <w:rPr>
          <w:sz w:val="15"/>
        </w:rPr>
        <w:t>dividing</w:t>
      </w:r>
      <w:r>
        <w:rPr>
          <w:spacing w:val="-14"/>
          <w:sz w:val="15"/>
        </w:rPr>
        <w:t> </w:t>
      </w:r>
      <w:r>
        <w:rPr>
          <w:sz w:val="15"/>
        </w:rPr>
        <w:t>the</w:t>
      </w:r>
      <w:r>
        <w:rPr>
          <w:spacing w:val="-13"/>
          <w:sz w:val="15"/>
        </w:rPr>
        <w:t> </w:t>
      </w:r>
      <w:r>
        <w:rPr>
          <w:sz w:val="15"/>
        </w:rPr>
        <w:t>State</w:t>
      </w:r>
      <w:r>
        <w:rPr>
          <w:spacing w:val="-14"/>
          <w:sz w:val="15"/>
        </w:rPr>
        <w:t> </w:t>
      </w:r>
      <w:r>
        <w:rPr>
          <w:sz w:val="15"/>
        </w:rPr>
        <w:t>Fleet</w:t>
      </w:r>
      <w:r>
        <w:rPr>
          <w:spacing w:val="-14"/>
          <w:sz w:val="15"/>
        </w:rPr>
        <w:t> </w:t>
      </w:r>
      <w:r>
        <w:rPr>
          <w:sz w:val="15"/>
        </w:rPr>
        <w:t>operating</w:t>
      </w:r>
      <w:r>
        <w:rPr>
          <w:spacing w:val="-13"/>
          <w:sz w:val="15"/>
        </w:rPr>
        <w:t> </w:t>
      </w:r>
      <w:r>
        <w:rPr>
          <w:spacing w:val="-4"/>
          <w:sz w:val="15"/>
        </w:rPr>
        <w:t>costs </w:t>
      </w:r>
      <w:r>
        <w:rPr>
          <w:sz w:val="15"/>
        </w:rPr>
        <w:t>by</w:t>
      </w:r>
      <w:r>
        <w:rPr>
          <w:spacing w:val="-4"/>
          <w:sz w:val="15"/>
        </w:rPr>
        <w:t> </w:t>
      </w:r>
      <w:r>
        <w:rPr>
          <w:sz w:val="15"/>
        </w:rPr>
        <w:t>the</w:t>
      </w:r>
      <w:r>
        <w:rPr>
          <w:spacing w:val="-4"/>
          <w:sz w:val="15"/>
        </w:rPr>
        <w:t> </w:t>
      </w:r>
      <w:r>
        <w:rPr>
          <w:sz w:val="15"/>
        </w:rPr>
        <w:t>number</w:t>
      </w:r>
      <w:r>
        <w:rPr>
          <w:spacing w:val="-4"/>
          <w:sz w:val="15"/>
        </w:rPr>
        <w:t> </w:t>
      </w:r>
      <w:r>
        <w:rPr>
          <w:sz w:val="15"/>
        </w:rPr>
        <w:t>of</w:t>
      </w:r>
      <w:r>
        <w:rPr>
          <w:spacing w:val="-3"/>
          <w:sz w:val="15"/>
        </w:rPr>
        <w:t> </w:t>
      </w:r>
      <w:r>
        <w:rPr>
          <w:sz w:val="15"/>
        </w:rPr>
        <w:t>vehicles</w:t>
      </w:r>
      <w:r>
        <w:rPr>
          <w:spacing w:val="-4"/>
          <w:sz w:val="15"/>
        </w:rPr>
        <w:t> </w:t>
      </w:r>
      <w:r>
        <w:rPr>
          <w:sz w:val="15"/>
        </w:rPr>
        <w:t>managed</w:t>
      </w:r>
      <w:r>
        <w:rPr>
          <w:spacing w:val="-4"/>
          <w:sz w:val="15"/>
        </w:rPr>
        <w:t> </w:t>
      </w:r>
      <w:r>
        <w:rPr>
          <w:sz w:val="15"/>
        </w:rPr>
        <w:t>by</w:t>
      </w:r>
      <w:r>
        <w:rPr>
          <w:spacing w:val="-4"/>
          <w:sz w:val="15"/>
        </w:rPr>
        <w:t> </w:t>
      </w:r>
      <w:r>
        <w:rPr>
          <w:sz w:val="15"/>
        </w:rPr>
        <w:t>the</w:t>
      </w:r>
      <w:r>
        <w:rPr>
          <w:spacing w:val="-3"/>
          <w:sz w:val="15"/>
        </w:rPr>
        <w:t> </w:t>
      </w:r>
      <w:r>
        <w:rPr>
          <w:sz w:val="15"/>
        </w:rPr>
        <w:t>State</w:t>
      </w:r>
      <w:r>
        <w:rPr>
          <w:spacing w:val="-4"/>
          <w:sz w:val="15"/>
        </w:rPr>
        <w:t> </w:t>
      </w:r>
      <w:r>
        <w:rPr>
          <w:sz w:val="15"/>
        </w:rPr>
        <w:t>Fleet.</w:t>
      </w:r>
    </w:p>
    <w:p>
      <w:pPr>
        <w:pStyle w:val="ListParagraph"/>
        <w:numPr>
          <w:ilvl w:val="0"/>
          <w:numId w:val="34"/>
        </w:numPr>
        <w:tabs>
          <w:tab w:pos="770" w:val="left" w:leader="none"/>
        </w:tabs>
        <w:spacing w:line="249" w:lineRule="auto" w:before="82" w:after="0"/>
        <w:ind w:left="778" w:right="38" w:hanging="209"/>
        <w:jc w:val="left"/>
        <w:rPr>
          <w:sz w:val="15"/>
        </w:rPr>
      </w:pPr>
      <w:r>
        <w:rPr>
          <w:w w:val="93"/>
          <w:sz w:val="15"/>
        </w:rPr>
        <w:br w:type="column"/>
      </w:r>
      <w:r>
        <w:rPr>
          <w:sz w:val="15"/>
        </w:rPr>
        <w:t>This</w:t>
      </w:r>
      <w:r>
        <w:rPr>
          <w:spacing w:val="-13"/>
          <w:sz w:val="15"/>
        </w:rPr>
        <w:t> </w:t>
      </w:r>
      <w:r>
        <w:rPr>
          <w:sz w:val="15"/>
        </w:rPr>
        <w:t>indicator</w:t>
      </w:r>
      <w:r>
        <w:rPr>
          <w:spacing w:val="-13"/>
          <w:sz w:val="15"/>
        </w:rPr>
        <w:t> </w:t>
      </w:r>
      <w:r>
        <w:rPr>
          <w:sz w:val="15"/>
        </w:rPr>
        <w:t>is</w:t>
      </w:r>
      <w:r>
        <w:rPr>
          <w:spacing w:val="-13"/>
          <w:sz w:val="15"/>
        </w:rPr>
        <w:t> </w:t>
      </w:r>
      <w:r>
        <w:rPr>
          <w:sz w:val="15"/>
        </w:rPr>
        <w:t>calculated</w:t>
      </w:r>
      <w:r>
        <w:rPr>
          <w:spacing w:val="-13"/>
          <w:sz w:val="15"/>
        </w:rPr>
        <w:t> </w:t>
      </w:r>
      <w:r>
        <w:rPr>
          <w:sz w:val="15"/>
        </w:rPr>
        <w:t>by</w:t>
      </w:r>
      <w:r>
        <w:rPr>
          <w:spacing w:val="-13"/>
          <w:sz w:val="15"/>
        </w:rPr>
        <w:t> </w:t>
      </w:r>
      <w:r>
        <w:rPr>
          <w:sz w:val="15"/>
        </w:rPr>
        <w:t>dividing</w:t>
      </w:r>
      <w:r>
        <w:rPr>
          <w:spacing w:val="-13"/>
          <w:sz w:val="15"/>
        </w:rPr>
        <w:t> </w:t>
      </w:r>
      <w:r>
        <w:rPr>
          <w:sz w:val="15"/>
        </w:rPr>
        <w:t>the</w:t>
      </w:r>
      <w:r>
        <w:rPr>
          <w:spacing w:val="-13"/>
          <w:sz w:val="15"/>
        </w:rPr>
        <w:t> </w:t>
      </w:r>
      <w:r>
        <w:rPr>
          <w:sz w:val="15"/>
        </w:rPr>
        <w:t>costs</w:t>
      </w:r>
      <w:r>
        <w:rPr>
          <w:spacing w:val="-13"/>
          <w:sz w:val="15"/>
        </w:rPr>
        <w:t> </w:t>
      </w:r>
      <w:r>
        <w:rPr>
          <w:sz w:val="15"/>
        </w:rPr>
        <w:t>of</w:t>
      </w:r>
      <w:r>
        <w:rPr>
          <w:spacing w:val="-12"/>
          <w:sz w:val="15"/>
        </w:rPr>
        <w:t> </w:t>
      </w:r>
      <w:r>
        <w:rPr>
          <w:sz w:val="15"/>
        </w:rPr>
        <w:t>delivering</w:t>
      </w:r>
      <w:r>
        <w:rPr>
          <w:spacing w:val="-13"/>
          <w:sz w:val="15"/>
        </w:rPr>
        <w:t> </w:t>
      </w:r>
      <w:r>
        <w:rPr>
          <w:spacing w:val="-5"/>
          <w:sz w:val="15"/>
        </w:rPr>
        <w:t>this </w:t>
      </w:r>
      <w:r>
        <w:rPr>
          <w:sz w:val="15"/>
        </w:rPr>
        <w:t>service by the total CUAs</w:t>
      </w:r>
      <w:r>
        <w:rPr>
          <w:spacing w:val="-9"/>
          <w:sz w:val="15"/>
        </w:rPr>
        <w:t> </w:t>
      </w:r>
      <w:r>
        <w:rPr>
          <w:sz w:val="15"/>
        </w:rPr>
        <w:t>turnover.</w:t>
      </w:r>
    </w:p>
    <w:p>
      <w:pPr>
        <w:pStyle w:val="ListParagraph"/>
        <w:numPr>
          <w:ilvl w:val="0"/>
          <w:numId w:val="34"/>
        </w:numPr>
        <w:tabs>
          <w:tab w:pos="958" w:val="left" w:leader="none"/>
        </w:tabs>
        <w:spacing w:line="249" w:lineRule="auto" w:before="82" w:after="0"/>
        <w:ind w:left="966" w:right="815" w:hanging="201"/>
        <w:jc w:val="left"/>
        <w:rPr>
          <w:sz w:val="15"/>
        </w:rPr>
      </w:pPr>
      <w:r>
        <w:rPr>
          <w:spacing w:val="-2"/>
          <w:w w:val="93"/>
          <w:sz w:val="15"/>
        </w:rPr>
        <w:br w:type="column"/>
      </w:r>
      <w:r>
        <w:rPr>
          <w:sz w:val="15"/>
        </w:rPr>
        <w:t>This</w:t>
      </w:r>
      <w:r>
        <w:rPr>
          <w:spacing w:val="-24"/>
          <w:sz w:val="15"/>
        </w:rPr>
        <w:t> </w:t>
      </w:r>
      <w:r>
        <w:rPr>
          <w:sz w:val="15"/>
        </w:rPr>
        <w:t>indicator</w:t>
      </w:r>
      <w:r>
        <w:rPr>
          <w:spacing w:val="-23"/>
          <w:sz w:val="15"/>
        </w:rPr>
        <w:t> </w:t>
      </w:r>
      <w:r>
        <w:rPr>
          <w:sz w:val="15"/>
        </w:rPr>
        <w:t>is</w:t>
      </w:r>
      <w:r>
        <w:rPr>
          <w:spacing w:val="-24"/>
          <w:sz w:val="15"/>
        </w:rPr>
        <w:t> </w:t>
      </w:r>
      <w:r>
        <w:rPr>
          <w:sz w:val="15"/>
        </w:rPr>
        <w:t>calculated</w:t>
      </w:r>
      <w:r>
        <w:rPr>
          <w:spacing w:val="-23"/>
          <w:sz w:val="15"/>
        </w:rPr>
        <w:t> </w:t>
      </w:r>
      <w:r>
        <w:rPr>
          <w:sz w:val="15"/>
        </w:rPr>
        <w:t>by</w:t>
      </w:r>
      <w:r>
        <w:rPr>
          <w:spacing w:val="-24"/>
          <w:sz w:val="15"/>
        </w:rPr>
        <w:t> </w:t>
      </w:r>
      <w:r>
        <w:rPr>
          <w:sz w:val="15"/>
        </w:rPr>
        <w:t>dividing</w:t>
      </w:r>
      <w:r>
        <w:rPr>
          <w:spacing w:val="-23"/>
          <w:sz w:val="15"/>
        </w:rPr>
        <w:t> </w:t>
      </w:r>
      <w:r>
        <w:rPr>
          <w:sz w:val="15"/>
        </w:rPr>
        <w:t>the</w:t>
      </w:r>
      <w:r>
        <w:rPr>
          <w:spacing w:val="-23"/>
          <w:sz w:val="15"/>
        </w:rPr>
        <w:t> </w:t>
      </w:r>
      <w:r>
        <w:rPr>
          <w:sz w:val="15"/>
        </w:rPr>
        <w:t>costs</w:t>
      </w:r>
      <w:r>
        <w:rPr>
          <w:spacing w:val="-24"/>
          <w:sz w:val="15"/>
        </w:rPr>
        <w:t> </w:t>
      </w:r>
      <w:r>
        <w:rPr>
          <w:sz w:val="15"/>
        </w:rPr>
        <w:t>of</w:t>
      </w:r>
      <w:r>
        <w:rPr>
          <w:spacing w:val="-23"/>
          <w:sz w:val="15"/>
        </w:rPr>
        <w:t> </w:t>
      </w:r>
      <w:r>
        <w:rPr>
          <w:sz w:val="15"/>
        </w:rPr>
        <w:t>delivering</w:t>
      </w:r>
      <w:r>
        <w:rPr>
          <w:spacing w:val="-24"/>
          <w:sz w:val="15"/>
        </w:rPr>
        <w:t> </w:t>
      </w:r>
      <w:r>
        <w:rPr>
          <w:sz w:val="15"/>
        </w:rPr>
        <w:t>this</w:t>
      </w:r>
      <w:r>
        <w:rPr>
          <w:spacing w:val="-23"/>
          <w:sz w:val="15"/>
        </w:rPr>
        <w:t> </w:t>
      </w:r>
      <w:r>
        <w:rPr>
          <w:sz w:val="15"/>
        </w:rPr>
        <w:t>service by</w:t>
      </w:r>
      <w:r>
        <w:rPr>
          <w:spacing w:val="-19"/>
          <w:sz w:val="15"/>
        </w:rPr>
        <w:t> </w:t>
      </w:r>
      <w:r>
        <w:rPr>
          <w:sz w:val="15"/>
        </w:rPr>
        <w:t>the</w:t>
      </w:r>
      <w:r>
        <w:rPr>
          <w:spacing w:val="-19"/>
          <w:sz w:val="15"/>
        </w:rPr>
        <w:t> </w:t>
      </w:r>
      <w:r>
        <w:rPr>
          <w:sz w:val="15"/>
        </w:rPr>
        <w:t>total</w:t>
      </w:r>
      <w:r>
        <w:rPr>
          <w:spacing w:val="-18"/>
          <w:sz w:val="15"/>
        </w:rPr>
        <w:t> </w:t>
      </w:r>
      <w:r>
        <w:rPr>
          <w:sz w:val="15"/>
        </w:rPr>
        <w:t>contract</w:t>
      </w:r>
      <w:r>
        <w:rPr>
          <w:spacing w:val="-19"/>
          <w:sz w:val="15"/>
        </w:rPr>
        <w:t> </w:t>
      </w:r>
      <w:r>
        <w:rPr>
          <w:sz w:val="15"/>
        </w:rPr>
        <w:t>value</w:t>
      </w:r>
      <w:r>
        <w:rPr>
          <w:spacing w:val="-18"/>
          <w:sz w:val="15"/>
        </w:rPr>
        <w:t> </w:t>
      </w:r>
      <w:r>
        <w:rPr>
          <w:sz w:val="15"/>
        </w:rPr>
        <w:t>for</w:t>
      </w:r>
      <w:r>
        <w:rPr>
          <w:spacing w:val="-19"/>
          <w:sz w:val="15"/>
        </w:rPr>
        <w:t> </w:t>
      </w:r>
      <w:r>
        <w:rPr>
          <w:sz w:val="15"/>
        </w:rPr>
        <w:t>agency</w:t>
      </w:r>
      <w:r>
        <w:rPr>
          <w:spacing w:val="-18"/>
          <w:sz w:val="15"/>
        </w:rPr>
        <w:t> </w:t>
      </w:r>
      <w:r>
        <w:rPr>
          <w:sz w:val="15"/>
        </w:rPr>
        <w:t>contracts</w:t>
      </w:r>
      <w:r>
        <w:rPr>
          <w:spacing w:val="-19"/>
          <w:sz w:val="15"/>
        </w:rPr>
        <w:t> </w:t>
      </w:r>
      <w:r>
        <w:rPr>
          <w:spacing w:val="-3"/>
          <w:sz w:val="15"/>
        </w:rPr>
        <w:t>awarded</w:t>
      </w:r>
      <w:r>
        <w:rPr>
          <w:spacing w:val="-18"/>
          <w:sz w:val="15"/>
        </w:rPr>
        <w:t> </w:t>
      </w:r>
      <w:r>
        <w:rPr>
          <w:sz w:val="15"/>
        </w:rPr>
        <w:t>during</w:t>
      </w:r>
      <w:r>
        <w:rPr>
          <w:spacing w:val="-19"/>
          <w:sz w:val="15"/>
        </w:rPr>
        <w:t> </w:t>
      </w:r>
      <w:r>
        <w:rPr>
          <w:sz w:val="15"/>
        </w:rPr>
        <w:t>the</w:t>
      </w:r>
      <w:r>
        <w:rPr>
          <w:spacing w:val="-19"/>
          <w:sz w:val="15"/>
        </w:rPr>
        <w:t> </w:t>
      </w:r>
      <w:r>
        <w:rPr>
          <w:spacing w:val="-5"/>
          <w:sz w:val="15"/>
        </w:rPr>
        <w:t>year.</w:t>
      </w:r>
    </w:p>
    <w:p>
      <w:pPr>
        <w:spacing w:after="0" w:line="249" w:lineRule="auto"/>
        <w:jc w:val="left"/>
        <w:rPr>
          <w:sz w:val="15"/>
        </w:rPr>
        <w:sectPr>
          <w:type w:val="continuous"/>
          <w:pgSz w:w="16840" w:h="11910" w:orient="landscape"/>
          <w:pgMar w:top="0" w:bottom="0" w:left="0" w:right="0"/>
          <w:cols w:num="3" w:equalWidth="0">
            <w:col w:w="5400" w:space="40"/>
            <w:col w:w="4950" w:space="98"/>
            <w:col w:w="6352"/>
          </w:cols>
        </w:sectPr>
      </w:pPr>
    </w:p>
    <w:p>
      <w:pPr>
        <w:pStyle w:val="BodyText"/>
        <w:spacing w:before="10"/>
        <w:rPr>
          <w:sz w:val="8"/>
        </w:rPr>
      </w:pPr>
    </w:p>
    <w:p>
      <w:pPr>
        <w:pStyle w:val="BodyText"/>
        <w:spacing w:line="249" w:lineRule="auto" w:before="106"/>
        <w:ind w:left="1071" w:right="2800" w:hanging="306"/>
      </w:pPr>
      <w:r>
        <w:rPr/>
        <w:t>1.</w:t>
      </w:r>
      <w:r>
        <w:rPr>
          <w:spacing w:val="11"/>
        </w:rPr>
        <w:t> </w:t>
      </w:r>
      <w:r>
        <w:rPr/>
        <w:t>The</w:t>
      </w:r>
      <w:r>
        <w:rPr>
          <w:spacing w:val="-15"/>
        </w:rPr>
        <w:t> </w:t>
      </w:r>
      <w:r>
        <w:rPr/>
        <w:t>overall</w:t>
      </w:r>
      <w:r>
        <w:rPr>
          <w:spacing w:val="-15"/>
        </w:rPr>
        <w:t> </w:t>
      </w:r>
      <w:r>
        <w:rPr/>
        <w:t>government</w:t>
      </w:r>
      <w:r>
        <w:rPr>
          <w:spacing w:val="-15"/>
        </w:rPr>
        <w:t> </w:t>
      </w:r>
      <w:r>
        <w:rPr/>
        <w:t>vehicle</w:t>
      </w:r>
      <w:r>
        <w:rPr>
          <w:spacing w:val="-16"/>
        </w:rPr>
        <w:t> </w:t>
      </w:r>
      <w:r>
        <w:rPr/>
        <w:t>fleet</w:t>
      </w:r>
      <w:r>
        <w:rPr>
          <w:spacing w:val="-15"/>
        </w:rPr>
        <w:t> </w:t>
      </w:r>
      <w:r>
        <w:rPr/>
        <w:t>has</w:t>
      </w:r>
      <w:r>
        <w:rPr>
          <w:spacing w:val="-15"/>
        </w:rPr>
        <w:t> </w:t>
      </w:r>
      <w:r>
        <w:rPr/>
        <w:t>dropped</w:t>
      </w:r>
      <w:r>
        <w:rPr>
          <w:spacing w:val="-15"/>
        </w:rPr>
        <w:t> </w:t>
      </w:r>
      <w:r>
        <w:rPr/>
        <w:t>by</w:t>
      </w:r>
      <w:r>
        <w:rPr>
          <w:spacing w:val="-15"/>
        </w:rPr>
        <w:t> </w:t>
      </w:r>
      <w:r>
        <w:rPr/>
        <w:t>7.3</w:t>
      </w:r>
      <w:r>
        <w:rPr>
          <w:spacing w:val="-15"/>
        </w:rPr>
        <w:t> </w:t>
      </w:r>
      <w:r>
        <w:rPr/>
        <w:t>per</w:t>
      </w:r>
      <w:r>
        <w:rPr>
          <w:spacing w:val="-15"/>
        </w:rPr>
        <w:t> </w:t>
      </w:r>
      <w:r>
        <w:rPr/>
        <w:t>cent,</w:t>
      </w:r>
      <w:r>
        <w:rPr>
          <w:spacing w:val="-15"/>
        </w:rPr>
        <w:t> </w:t>
      </w:r>
      <w:r>
        <w:rPr/>
        <w:t>from</w:t>
      </w:r>
      <w:r>
        <w:rPr>
          <w:spacing w:val="-15"/>
        </w:rPr>
        <w:t> </w:t>
      </w:r>
      <w:r>
        <w:rPr/>
        <w:t>10,545</w:t>
      </w:r>
      <w:r>
        <w:rPr>
          <w:spacing w:val="-15"/>
        </w:rPr>
        <w:t> </w:t>
      </w:r>
      <w:r>
        <w:rPr/>
        <w:t>vehicles</w:t>
      </w:r>
      <w:r>
        <w:rPr>
          <w:spacing w:val="-16"/>
        </w:rPr>
        <w:t> </w:t>
      </w:r>
      <w:r>
        <w:rPr/>
        <w:t>in</w:t>
      </w:r>
      <w:r>
        <w:rPr>
          <w:spacing w:val="-15"/>
        </w:rPr>
        <w:t> </w:t>
      </w:r>
      <w:r>
        <w:rPr/>
        <w:t>the</w:t>
      </w:r>
      <w:r>
        <w:rPr>
          <w:spacing w:val="-15"/>
        </w:rPr>
        <w:t> </w:t>
      </w:r>
      <w:r>
        <w:rPr/>
        <w:t>2015-16</w:t>
      </w:r>
      <w:r>
        <w:rPr>
          <w:spacing w:val="-15"/>
        </w:rPr>
        <w:t> </w:t>
      </w:r>
      <w:r>
        <w:rPr/>
        <w:t>financial</w:t>
      </w:r>
      <w:r>
        <w:rPr>
          <w:spacing w:val="-15"/>
        </w:rPr>
        <w:t> </w:t>
      </w:r>
      <w:r>
        <w:rPr/>
        <w:t>year</w:t>
      </w:r>
      <w:r>
        <w:rPr>
          <w:spacing w:val="-15"/>
        </w:rPr>
        <w:t> </w:t>
      </w:r>
      <w:r>
        <w:rPr/>
        <w:t>to</w:t>
      </w:r>
      <w:r>
        <w:rPr>
          <w:spacing w:val="-15"/>
        </w:rPr>
        <w:t> </w:t>
      </w:r>
      <w:r>
        <w:rPr/>
        <w:t>9,770</w:t>
      </w:r>
      <w:r>
        <w:rPr>
          <w:spacing w:val="-15"/>
        </w:rPr>
        <w:t> </w:t>
      </w:r>
      <w:r>
        <w:rPr/>
        <w:t>in</w:t>
      </w:r>
      <w:r>
        <w:rPr>
          <w:spacing w:val="-15"/>
        </w:rPr>
        <w:t> </w:t>
      </w:r>
      <w:r>
        <w:rPr/>
        <w:t>2016-17. The Fleet Management costs have risen primarily due to agreed salary</w:t>
      </w:r>
      <w:r>
        <w:rPr>
          <w:spacing w:val="-36"/>
        </w:rPr>
        <w:t> </w:t>
      </w:r>
      <w:r>
        <w:rPr/>
        <w:t>escalation.</w:t>
      </w:r>
    </w:p>
    <w:p>
      <w:pPr>
        <w:tabs>
          <w:tab w:pos="12166" w:val="left" w:leader="none"/>
          <w:tab w:pos="12373" w:val="left" w:leader="none"/>
          <w:tab w:pos="15894" w:val="left" w:leader="none"/>
        </w:tabs>
        <w:spacing w:before="138"/>
        <w:ind w:left="765" w:right="0" w:firstLine="0"/>
        <w:jc w:val="left"/>
        <w:rPr>
          <w:b/>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3"/>
          <w:sz w:val="16"/>
        </w:rPr>
        <w:t> </w:t>
      </w:r>
      <w:r>
        <w:rPr>
          <w:color w:val="939598"/>
          <w:sz w:val="16"/>
        </w:rPr>
        <w:t>of</w:t>
      </w:r>
      <w:r>
        <w:rPr>
          <w:color w:val="939598"/>
          <w:spacing w:val="-13"/>
          <w:sz w:val="16"/>
        </w:rPr>
        <w:t> </w:t>
      </w:r>
      <w:r>
        <w:rPr>
          <w:color w:val="939598"/>
          <w:sz w:val="16"/>
        </w:rPr>
        <w:t>Finance</w:t>
      </w:r>
      <w:r>
        <w:rPr>
          <w:color w:val="939598"/>
          <w:spacing w:val="-12"/>
          <w:sz w:val="16"/>
        </w:rPr>
        <w:t> </w:t>
      </w:r>
      <w:r>
        <w:rPr>
          <w:color w:val="939598"/>
          <w:sz w:val="16"/>
        </w:rPr>
        <w:t>Annual</w:t>
      </w:r>
      <w:r>
        <w:rPr>
          <w:color w:val="939598"/>
          <w:spacing w:val="-13"/>
          <w:sz w:val="16"/>
        </w:rPr>
        <w:t> </w:t>
      </w:r>
      <w:r>
        <w:rPr>
          <w:color w:val="939598"/>
          <w:sz w:val="16"/>
        </w:rPr>
        <w:t>Report</w:t>
      </w:r>
      <w:r>
        <w:rPr>
          <w:color w:val="939598"/>
          <w:spacing w:val="-13"/>
          <w:sz w:val="16"/>
        </w:rPr>
        <w:t> </w:t>
      </w:r>
      <w:r>
        <w:rPr>
          <w:color w:val="939598"/>
          <w:sz w:val="16"/>
        </w:rPr>
        <w:t>2016-17</w:t>
        <w:tab/>
      </w:r>
      <w:r>
        <w:rPr>
          <w:b/>
          <w:color w:val="6F2770"/>
          <w:sz w:val="16"/>
        </w:rPr>
        <w:t>99</w:t>
      </w:r>
    </w:p>
    <w:p>
      <w:pPr>
        <w:spacing w:after="0"/>
        <w:jc w:val="left"/>
        <w:rPr>
          <w:sz w:val="16"/>
        </w:rPr>
        <w:sectPr>
          <w:type w:val="continuous"/>
          <w:pgSz w:w="16840" w:h="11910" w:orient="landscape"/>
          <w:pgMar w:top="0" w:bottom="0" w:left="0" w:right="0"/>
        </w:sectPr>
      </w:pPr>
    </w:p>
    <w:p>
      <w:pPr>
        <w:pStyle w:val="BodyText"/>
        <w:ind w:left="14432" w:right="-58"/>
        <w:rPr>
          <w:sz w:val="20"/>
        </w:rPr>
      </w:pPr>
      <w:bookmarkStart w:name="_bookmark64" w:id="66"/>
      <w:bookmarkEnd w:id="66"/>
      <w:r>
        <w:rPr/>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b/>
                      <w:sz w:val="26"/>
                    </w:rPr>
                  </w:pPr>
                </w:p>
                <w:p>
                  <w:pPr>
                    <w:spacing w:before="0"/>
                    <w:ind w:left="735" w:right="0" w:firstLine="0"/>
                    <w:jc w:val="left"/>
                    <w:rPr>
                      <w:sz w:val="20"/>
                    </w:rPr>
                  </w:pPr>
                  <w:hyperlink w:history="true" w:anchor="_bookmark73">
                    <w:r>
                      <w:rPr>
                        <w:color w:val="FFFFFF"/>
                        <w:sz w:val="20"/>
                      </w:rPr>
                      <w:t>APPENDIX</w:t>
                    </w:r>
                  </w:hyperlink>
                </w:p>
              </w:txbxContent>
            </v:textbox>
            <v:fill type="solid"/>
          </v:shape>
        </w:pict>
      </w:r>
      <w:r>
        <w:rPr>
          <w:sz w:val="20"/>
        </w:rPr>
      </w:r>
    </w:p>
    <w:p>
      <w:pPr>
        <w:pStyle w:val="BodyText"/>
        <w:rPr>
          <w:b/>
          <w:sz w:val="20"/>
        </w:rPr>
      </w:pPr>
    </w:p>
    <w:p>
      <w:pPr>
        <w:pStyle w:val="BodyText"/>
        <w:rPr>
          <w:b/>
          <w:sz w:val="21"/>
        </w:rPr>
      </w:pPr>
    </w:p>
    <w:p>
      <w:pPr>
        <w:spacing w:after="0"/>
        <w:rPr>
          <w:sz w:val="21"/>
        </w:rPr>
        <w:sectPr>
          <w:footerReference w:type="default" r:id="rId258"/>
          <w:pgSz w:w="16840" w:h="11910" w:orient="landscape"/>
          <w:pgMar w:footer="0" w:header="0" w:top="0" w:bottom="0" w:left="0" w:right="0"/>
        </w:sectPr>
      </w:pPr>
    </w:p>
    <w:p>
      <w:pPr>
        <w:pStyle w:val="Heading1"/>
        <w:spacing w:line="860" w:lineRule="atLeast" w:before="60"/>
      </w:pPr>
      <w:r>
        <w:rPr/>
        <w:pict>
          <v:group style="position:absolute;margin-left:0pt;margin-top:-67.370697pt;width:721.65pt;height:42.55pt;mso-position-horizontal-relative:page;mso-position-vertical-relative:paragraph;z-index:33592" coordorigin="0,-1347" coordsize="14433,851">
            <v:rect style="position:absolute;left:9621;top:-1348;width:2406;height:851" filled="true" fillcolor="#e6e7e8" stroked="false">
              <v:fill type="solid"/>
            </v:rect>
            <v:shape style="position:absolute;left:9621;top:-1348;width:583;height:583" type="#_x0000_t75" stroked="false">
              <v:imagedata r:id="rId247" o:title=""/>
            </v:shape>
            <v:shape style="position:absolute;left:12026;top:-1348;width:2406;height:851" type="#_x0000_t202" filled="true" fillcolor="#b6c247"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v:fill type="solid"/>
              <w10:wrap type="none"/>
            </v:shape>
            <v:shape style="position:absolute;left:9621;top:-1348;width:2406;height:851" type="#_x0000_t202" filled="false" stroked="false">
              <v:textbox inset="0,0,0,0">
                <w:txbxContent>
                  <w:p>
                    <w:pPr>
                      <w:spacing w:line="249" w:lineRule="auto" w:before="182"/>
                      <w:ind w:left="633" w:right="0" w:hanging="291"/>
                      <w:jc w:val="left"/>
                      <w:rPr>
                        <w:sz w:val="20"/>
                      </w:rPr>
                    </w:pPr>
                    <w:hyperlink w:history="true" w:anchor="_bookmark58">
                      <w:r>
                        <w:rPr>
                          <w:color w:val="6F2770"/>
                          <w:w w:val="95"/>
                          <w:sz w:val="20"/>
                        </w:rPr>
                        <w:t>KEY </w:t>
                      </w:r>
                    </w:hyperlink>
                    <w:hyperlink w:history="true" w:anchor="_bookmark58">
                      <w:r>
                        <w:rPr>
                          <w:color w:val="6F2770"/>
                          <w:w w:val="95"/>
                          <w:sz w:val="20"/>
                        </w:rPr>
                        <w:t>PERFORMANCE </w:t>
                      </w:r>
                      <w:r>
                        <w:rPr>
                          <w:color w:val="6F2770"/>
                          <w:sz w:val="20"/>
                        </w:rPr>
                        <w:t>INDICATORS</w:t>
                      </w:r>
                    </w:hyperlink>
                  </w:p>
                </w:txbxContent>
              </v:textbox>
              <w10:wrap type="none"/>
            </v:shape>
            <v:shape style="position:absolute;left:7211;top:-1348;width:2411;height:851" type="#_x0000_t202" filled="true" fillcolor="#c4cd71" stroked="false">
              <v:textbox inset="0,0,0,0">
                <w:txbxContent>
                  <w:p>
                    <w:pPr>
                      <w:spacing w:line="249" w:lineRule="auto" w:before="182"/>
                      <w:ind w:left="592"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348;width:2409;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348;width:2398;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348;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color w:val="6F2770"/>
        </w:rPr>
        <w:t>Key Efficiency </w:t>
      </w:r>
      <w:r>
        <w:rPr>
          <w:color w:val="6F2770"/>
          <w:w w:val="90"/>
        </w:rPr>
        <w:t>&amp;</w:t>
      </w:r>
      <w:r>
        <w:rPr>
          <w:color w:val="6F2770"/>
          <w:spacing w:val="97"/>
          <w:w w:val="90"/>
        </w:rPr>
        <w:t> </w:t>
      </w:r>
      <w:r>
        <w:rPr>
          <w:color w:val="6F2770"/>
          <w:spacing w:val="-2"/>
          <w:w w:val="90"/>
        </w:rPr>
        <w:t>Effectiveness</w:t>
      </w:r>
    </w:p>
    <w:p>
      <w:pPr>
        <w:spacing w:before="92"/>
        <w:ind w:left="638" w:right="0" w:firstLine="0"/>
        <w:jc w:val="left"/>
        <w:rPr>
          <w:sz w:val="72"/>
        </w:rPr>
      </w:pPr>
      <w:r>
        <w:rPr/>
        <w:br w:type="column"/>
      </w:r>
      <w:r>
        <w:rPr>
          <w:color w:val="6F2770"/>
          <w:sz w:val="72"/>
        </w:rPr>
        <w:t>Key Effectiveness</w:t>
      </w:r>
      <w:r>
        <w:rPr>
          <w:color w:val="6F2770"/>
          <w:spacing w:val="-98"/>
          <w:sz w:val="72"/>
        </w:rPr>
        <w:t> </w:t>
      </w:r>
      <w:r>
        <w:rPr>
          <w:color w:val="6F2770"/>
          <w:sz w:val="72"/>
        </w:rPr>
        <w:t>Indicators</w:t>
      </w:r>
    </w:p>
    <w:p>
      <w:pPr>
        <w:pStyle w:val="Heading4"/>
        <w:spacing w:before="110"/>
        <w:ind w:left="638"/>
      </w:pPr>
      <w:r>
        <w:rPr/>
        <w:pict>
          <v:group style="position:absolute;margin-left:763.172119pt;margin-top:-59.577999pt;width:61.1pt;height:45.2pt;mso-position-horizontal-relative:page;mso-position-vertical-relative:paragraph;z-index:33424" coordorigin="15263,-1192" coordsize="1222,904">
            <v:shape style="position:absolute;left:15424;top:-1192;width:900;height:904" coordorigin="15424,-1192" coordsize="900,904" path="m15874,-1192l15424,-742,15424,-738,15874,-288,16324,-738,16324,-742,15874,-1192xe" filled="true" fillcolor="#c4cd71" stroked="false">
              <v:path arrowok="t"/>
              <v:fill type="solid"/>
            </v:shape>
            <v:shape style="position:absolute;left:15422;top:-742;width:2;height:4" coordorigin="15423,-742" coordsize="2,4" path="m15424,-742l15423,-740,15424,-738,15424,-742xe" filled="true" fillcolor="#b9c369" stroked="false">
              <v:path arrowok="t"/>
              <v:fill type="solid"/>
            </v:shape>
            <v:shape style="position:absolute;left:16324;top:-742;width:2;height:4" coordorigin="16324,-742" coordsize="2,4" path="m16324,-742l16324,-738,16326,-740,16324,-742xe" filled="true" fillcolor="#bec29e" stroked="false">
              <v:path arrowok="t"/>
              <v:fill type="solid"/>
            </v:shape>
            <v:shape style="position:absolute;left:15263;top:-901;width:161;height:322" type="#_x0000_t75" stroked="false">
              <v:imagedata r:id="rId16" o:title=""/>
            </v:shape>
            <v:shape style="position:absolute;left:16324;top:-901;width:161;height:322" type="#_x0000_t75" stroked="false">
              <v:imagedata r:id="rId11" o:title=""/>
            </v:shape>
            <v:shape style="position:absolute;left:15263;top:-1192;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color w:val="A7BE39"/>
        </w:rPr>
        <w:t>Building Management and Works</w:t>
      </w:r>
    </w:p>
    <w:p>
      <w:pPr>
        <w:spacing w:after="0"/>
        <w:sectPr>
          <w:type w:val="continuous"/>
          <w:pgSz w:w="16840" w:h="11910" w:orient="landscape"/>
          <w:pgMar w:top="0" w:bottom="0" w:left="0" w:right="0"/>
          <w:cols w:num="2" w:equalWidth="0">
            <w:col w:w="5331" w:space="40"/>
            <w:col w:w="11469"/>
          </w:cols>
        </w:sectPr>
      </w:pPr>
    </w:p>
    <w:p>
      <w:pPr>
        <w:spacing w:before="40"/>
        <w:ind w:left="765" w:right="0" w:firstLine="0"/>
        <w:jc w:val="left"/>
        <w:rPr>
          <w:sz w:val="72"/>
        </w:rPr>
      </w:pPr>
      <w:r>
        <w:rPr>
          <w:color w:val="6F2770"/>
          <w:sz w:val="72"/>
        </w:rPr>
        <w:t>Indicators</w:t>
      </w:r>
    </w:p>
    <w:p>
      <w:pPr>
        <w:spacing w:before="110"/>
        <w:ind w:left="765" w:right="0" w:firstLine="0"/>
        <w:jc w:val="left"/>
        <w:rPr>
          <w:sz w:val="36"/>
        </w:rPr>
      </w:pPr>
      <w:r>
        <w:rPr>
          <w:color w:val="A7BE39"/>
          <w:w w:val="95"/>
          <w:sz w:val="36"/>
        </w:rPr>
        <w:t>Corporate</w:t>
      </w:r>
      <w:r>
        <w:rPr>
          <w:color w:val="A7BE39"/>
          <w:spacing w:val="47"/>
          <w:w w:val="95"/>
          <w:sz w:val="36"/>
        </w:rPr>
        <w:t> </w:t>
      </w:r>
      <w:r>
        <w:rPr>
          <w:color w:val="A7BE39"/>
          <w:w w:val="95"/>
          <w:sz w:val="36"/>
        </w:rPr>
        <w:t>Services</w:t>
      </w:r>
    </w:p>
    <w:p>
      <w:pPr>
        <w:pStyle w:val="Heading6"/>
        <w:spacing w:line="249" w:lineRule="auto" w:before="268"/>
        <w:ind w:right="87"/>
      </w:pPr>
      <w:r>
        <w:rPr/>
        <w:t>Outcome 3: Efficient and effective corporate services to client agencies</w:t>
      </w:r>
    </w:p>
    <w:p>
      <w:pPr>
        <w:pStyle w:val="BodyText"/>
        <w:spacing w:before="1"/>
        <w:rPr>
          <w:b/>
          <w:sz w:val="23"/>
        </w:rPr>
      </w:pPr>
    </w:p>
    <w:p>
      <w:pPr>
        <w:spacing w:line="249" w:lineRule="auto" w:before="0"/>
        <w:ind w:left="765" w:right="0" w:firstLine="0"/>
        <w:jc w:val="left"/>
        <w:rPr>
          <w:b/>
          <w:sz w:val="22"/>
        </w:rPr>
      </w:pPr>
      <w:r>
        <w:rPr>
          <w:b/>
          <w:sz w:val="22"/>
        </w:rPr>
        <w:t>Service 3: Corporate services to client agencies</w:t>
      </w:r>
    </w:p>
    <w:p>
      <w:pPr>
        <w:pStyle w:val="BodyText"/>
        <w:spacing w:before="1"/>
        <w:rPr>
          <w:b/>
          <w:sz w:val="23"/>
        </w:rPr>
      </w:pPr>
    </w:p>
    <w:p>
      <w:pPr>
        <w:pStyle w:val="BodyText"/>
        <w:spacing w:line="249" w:lineRule="auto"/>
        <w:ind w:left="765" w:right="-7"/>
      </w:pPr>
      <w:r>
        <w:rPr>
          <w:spacing w:val="-4"/>
        </w:rPr>
        <w:t>Effectiveness </w:t>
      </w:r>
      <w:r>
        <w:rPr/>
        <w:t>and </w:t>
      </w:r>
      <w:r>
        <w:rPr>
          <w:spacing w:val="-4"/>
        </w:rPr>
        <w:t>efficiency </w:t>
      </w:r>
      <w:r>
        <w:rPr>
          <w:spacing w:val="-3"/>
        </w:rPr>
        <w:t>indicators </w:t>
      </w:r>
      <w:r>
        <w:rPr>
          <w:spacing w:val="-4"/>
        </w:rPr>
        <w:t>are </w:t>
      </w:r>
      <w:r>
        <w:rPr>
          <w:spacing w:val="-3"/>
        </w:rPr>
        <w:t>not </w:t>
      </w:r>
      <w:r>
        <w:rPr>
          <w:spacing w:val="-4"/>
        </w:rPr>
        <w:t>reported </w:t>
      </w:r>
      <w:r>
        <w:rPr/>
        <w:t>for </w:t>
      </w:r>
      <w:r>
        <w:rPr>
          <w:spacing w:val="-3"/>
        </w:rPr>
        <w:t>this outcome </w:t>
      </w:r>
      <w:r>
        <w:rPr/>
        <w:t>as it </w:t>
      </w:r>
      <w:r>
        <w:rPr>
          <w:spacing w:val="-4"/>
        </w:rPr>
        <w:t>relates </w:t>
      </w:r>
      <w:r>
        <w:rPr/>
        <w:t>to </w:t>
      </w:r>
      <w:r>
        <w:rPr>
          <w:spacing w:val="-3"/>
        </w:rPr>
        <w:t>the corporate services </w:t>
      </w:r>
      <w:r>
        <w:rPr>
          <w:spacing w:val="-4"/>
        </w:rPr>
        <w:t>provided directly </w:t>
      </w:r>
      <w:r>
        <w:rPr/>
        <w:t>by </w:t>
      </w:r>
      <w:r>
        <w:rPr>
          <w:spacing w:val="-3"/>
        </w:rPr>
        <w:t>the Department</w:t>
      </w:r>
      <w:r>
        <w:rPr>
          <w:spacing w:val="-19"/>
        </w:rPr>
        <w:t> </w:t>
      </w:r>
      <w:r>
        <w:rPr/>
        <w:t>to</w:t>
      </w:r>
      <w:r>
        <w:rPr>
          <w:spacing w:val="-19"/>
        </w:rPr>
        <w:t> </w:t>
      </w:r>
      <w:r>
        <w:rPr>
          <w:spacing w:val="-3"/>
        </w:rPr>
        <w:t>support</w:t>
      </w:r>
      <w:r>
        <w:rPr>
          <w:spacing w:val="-19"/>
        </w:rPr>
        <w:t> </w:t>
      </w:r>
      <w:r>
        <w:rPr/>
        <w:t>the</w:t>
      </w:r>
      <w:r>
        <w:rPr>
          <w:spacing w:val="-19"/>
        </w:rPr>
        <w:t> </w:t>
      </w:r>
      <w:r>
        <w:rPr>
          <w:spacing w:val="-3"/>
        </w:rPr>
        <w:t>outcomes</w:t>
      </w:r>
      <w:r>
        <w:rPr>
          <w:spacing w:val="-19"/>
        </w:rPr>
        <w:t> </w:t>
      </w:r>
      <w:r>
        <w:rPr/>
        <w:t>and</w:t>
      </w:r>
      <w:r>
        <w:rPr>
          <w:spacing w:val="-19"/>
        </w:rPr>
        <w:t> </w:t>
      </w:r>
      <w:r>
        <w:rPr>
          <w:spacing w:val="-3"/>
        </w:rPr>
        <w:t>activities </w:t>
      </w:r>
      <w:r>
        <w:rPr/>
        <w:t>of the </w:t>
      </w:r>
      <w:r>
        <w:rPr>
          <w:spacing w:val="-3"/>
        </w:rPr>
        <w:t>Department </w:t>
      </w:r>
      <w:r>
        <w:rPr/>
        <w:t>of </w:t>
      </w:r>
      <w:r>
        <w:rPr>
          <w:spacing w:val="-8"/>
        </w:rPr>
        <w:t>Treasury, </w:t>
      </w:r>
      <w:r>
        <w:rPr/>
        <w:t>the </w:t>
      </w:r>
      <w:r>
        <w:rPr>
          <w:spacing w:val="-4"/>
        </w:rPr>
        <w:t>Office </w:t>
      </w:r>
      <w:r>
        <w:rPr/>
        <w:t>of </w:t>
      </w:r>
      <w:r>
        <w:rPr>
          <w:spacing w:val="-3"/>
        </w:rPr>
        <w:t>the Government</w:t>
      </w:r>
      <w:r>
        <w:rPr>
          <w:spacing w:val="-39"/>
        </w:rPr>
        <w:t> </w:t>
      </w:r>
      <w:r>
        <w:rPr>
          <w:spacing w:val="-3"/>
        </w:rPr>
        <w:t>Chief</w:t>
      </w:r>
      <w:r>
        <w:rPr>
          <w:spacing w:val="-38"/>
        </w:rPr>
        <w:t> </w:t>
      </w:r>
      <w:r>
        <w:rPr>
          <w:spacing w:val="-3"/>
        </w:rPr>
        <w:t>Information</w:t>
      </w:r>
      <w:r>
        <w:rPr>
          <w:spacing w:val="-38"/>
        </w:rPr>
        <w:t> </w:t>
      </w:r>
      <w:r>
        <w:rPr>
          <w:spacing w:val="-4"/>
        </w:rPr>
        <w:t>Officer</w:t>
      </w:r>
      <w:r>
        <w:rPr>
          <w:spacing w:val="-38"/>
        </w:rPr>
        <w:t> </w:t>
      </w:r>
      <w:r>
        <w:rPr>
          <w:spacing w:val="-3"/>
        </w:rPr>
        <w:t>(OGCIO)</w:t>
      </w:r>
      <w:r>
        <w:rPr>
          <w:spacing w:val="-39"/>
        </w:rPr>
        <w:t> </w:t>
      </w:r>
      <w:r>
        <w:rPr>
          <w:spacing w:val="-3"/>
        </w:rPr>
        <w:t>and </w:t>
      </w:r>
      <w:r>
        <w:rPr/>
        <w:t>the</w:t>
      </w:r>
      <w:r>
        <w:rPr>
          <w:spacing w:val="-39"/>
        </w:rPr>
        <w:t> </w:t>
      </w:r>
      <w:r>
        <w:rPr>
          <w:spacing w:val="-3"/>
        </w:rPr>
        <w:t>Government</w:t>
      </w:r>
      <w:r>
        <w:rPr>
          <w:spacing w:val="-39"/>
        </w:rPr>
        <w:t> </w:t>
      </w:r>
      <w:r>
        <w:rPr>
          <w:spacing w:val="-3"/>
        </w:rPr>
        <w:t>Employees</w:t>
      </w:r>
      <w:r>
        <w:rPr>
          <w:spacing w:val="-38"/>
        </w:rPr>
        <w:t> </w:t>
      </w:r>
      <w:r>
        <w:rPr>
          <w:spacing w:val="-3"/>
        </w:rPr>
        <w:t>Superannuation</w:t>
      </w:r>
      <w:r>
        <w:rPr>
          <w:spacing w:val="-39"/>
        </w:rPr>
        <w:t> </w:t>
      </w:r>
      <w:r>
        <w:rPr>
          <w:spacing w:val="-4"/>
        </w:rPr>
        <w:t>Board </w:t>
      </w:r>
      <w:r>
        <w:rPr>
          <w:spacing w:val="-3"/>
        </w:rPr>
        <w:t>(GESB). </w:t>
      </w:r>
      <w:r>
        <w:rPr/>
        <w:t>An </w:t>
      </w:r>
      <w:r>
        <w:rPr>
          <w:spacing w:val="-3"/>
        </w:rPr>
        <w:t>exemption </w:t>
      </w:r>
      <w:r>
        <w:rPr>
          <w:spacing w:val="-4"/>
        </w:rPr>
        <w:t>from </w:t>
      </w:r>
      <w:r>
        <w:rPr/>
        <w:t>the </w:t>
      </w:r>
      <w:r>
        <w:rPr>
          <w:spacing w:val="-4"/>
        </w:rPr>
        <w:t>requirements </w:t>
      </w:r>
      <w:r>
        <w:rPr>
          <w:spacing w:val="-3"/>
        </w:rPr>
        <w:t>of </w:t>
      </w:r>
      <w:r>
        <w:rPr>
          <w:spacing w:val="-8"/>
        </w:rPr>
        <w:t>Treasurer’s</w:t>
      </w:r>
      <w:r>
        <w:rPr>
          <w:spacing w:val="-36"/>
        </w:rPr>
        <w:t> </w:t>
      </w:r>
      <w:r>
        <w:rPr>
          <w:spacing w:val="-3"/>
        </w:rPr>
        <w:t>Instruction</w:t>
      </w:r>
      <w:r>
        <w:rPr>
          <w:spacing w:val="-36"/>
        </w:rPr>
        <w:t> </w:t>
      </w:r>
      <w:r>
        <w:rPr/>
        <w:t>904</w:t>
      </w:r>
      <w:r>
        <w:rPr>
          <w:spacing w:val="-36"/>
        </w:rPr>
        <w:t> </w:t>
      </w:r>
      <w:r>
        <w:rPr>
          <w:spacing w:val="-3"/>
        </w:rPr>
        <w:t>(2)(iv)</w:t>
      </w:r>
      <w:r>
        <w:rPr>
          <w:spacing w:val="-36"/>
        </w:rPr>
        <w:t> </w:t>
      </w:r>
      <w:r>
        <w:rPr/>
        <w:t>Key</w:t>
      </w:r>
      <w:r>
        <w:rPr>
          <w:spacing w:val="-36"/>
        </w:rPr>
        <w:t> </w:t>
      </w:r>
      <w:r>
        <w:rPr>
          <w:spacing w:val="-3"/>
        </w:rPr>
        <w:t>Performance Indicators, </w:t>
      </w:r>
      <w:r>
        <w:rPr/>
        <w:t>has </w:t>
      </w:r>
      <w:r>
        <w:rPr>
          <w:spacing w:val="-3"/>
        </w:rPr>
        <w:t>been </w:t>
      </w:r>
      <w:r>
        <w:rPr>
          <w:spacing w:val="-4"/>
        </w:rPr>
        <w:t>provided </w:t>
      </w:r>
      <w:r>
        <w:rPr/>
        <w:t>by the </w:t>
      </w:r>
      <w:r>
        <w:rPr>
          <w:spacing w:val="-3"/>
        </w:rPr>
        <w:t>Under </w:t>
      </w:r>
      <w:r>
        <w:rPr>
          <w:spacing w:val="-8"/>
        </w:rPr>
        <w:t>Treasurer.</w:t>
      </w:r>
    </w:p>
    <w:p>
      <w:pPr>
        <w:pStyle w:val="Heading6"/>
        <w:spacing w:line="164" w:lineRule="exact"/>
        <w:ind w:left="475"/>
      </w:pPr>
      <w:r>
        <w:rPr>
          <w:b w:val="0"/>
        </w:rPr>
        <w:br w:type="column"/>
      </w:r>
      <w:r>
        <w:rPr/>
        <w:t>Outcome 4: Value-for-money from</w:t>
      </w:r>
    </w:p>
    <w:p>
      <w:pPr>
        <w:spacing w:before="11"/>
        <w:ind w:left="475" w:right="0" w:firstLine="0"/>
        <w:jc w:val="left"/>
        <w:rPr>
          <w:b/>
          <w:sz w:val="22"/>
        </w:rPr>
      </w:pPr>
      <w:r>
        <w:rPr>
          <w:b/>
          <w:sz w:val="22"/>
        </w:rPr>
        <w:t>the management of the Government’s</w:t>
      </w:r>
    </w:p>
    <w:p>
      <w:pPr>
        <w:spacing w:before="11"/>
        <w:ind w:left="475" w:right="0" w:firstLine="0"/>
        <w:jc w:val="left"/>
        <w:rPr>
          <w:b/>
          <w:sz w:val="22"/>
        </w:rPr>
      </w:pPr>
      <w:r>
        <w:rPr>
          <w:b/>
          <w:sz w:val="22"/>
        </w:rPr>
        <w:t>non-residential buildings and public works</w:t>
      </w:r>
    </w:p>
    <w:p>
      <w:pPr>
        <w:pStyle w:val="BodyText"/>
        <w:spacing w:before="10"/>
        <w:rPr>
          <w:b/>
          <w:sz w:val="23"/>
        </w:rPr>
      </w:pPr>
    </w:p>
    <w:p>
      <w:pPr>
        <w:pStyle w:val="BodyText"/>
        <w:spacing w:line="249" w:lineRule="auto"/>
        <w:ind w:left="475" w:right="-6"/>
      </w:pPr>
      <w:r>
        <w:rPr/>
        <w:t>The Department, through Building Management and</w:t>
      </w:r>
      <w:r>
        <w:rPr>
          <w:spacing w:val="-19"/>
        </w:rPr>
        <w:t> </w:t>
      </w:r>
      <w:r>
        <w:rPr/>
        <w:t>Works,</w:t>
      </w:r>
      <w:r>
        <w:rPr>
          <w:spacing w:val="-19"/>
        </w:rPr>
        <w:t> </w:t>
      </w:r>
      <w:r>
        <w:rPr/>
        <w:t>delivers</w:t>
      </w:r>
      <w:r>
        <w:rPr>
          <w:spacing w:val="-19"/>
        </w:rPr>
        <w:t> </w:t>
      </w:r>
      <w:r>
        <w:rPr/>
        <w:t>a</w:t>
      </w:r>
      <w:r>
        <w:rPr>
          <w:spacing w:val="-18"/>
        </w:rPr>
        <w:t> </w:t>
      </w:r>
      <w:r>
        <w:rPr/>
        <w:t>range</w:t>
      </w:r>
      <w:r>
        <w:rPr>
          <w:spacing w:val="-19"/>
        </w:rPr>
        <w:t> </w:t>
      </w:r>
      <w:r>
        <w:rPr/>
        <w:t>of</w:t>
      </w:r>
      <w:r>
        <w:rPr>
          <w:spacing w:val="-19"/>
        </w:rPr>
        <w:t> </w:t>
      </w:r>
      <w:r>
        <w:rPr/>
        <w:t>services</w:t>
      </w:r>
      <w:r>
        <w:rPr>
          <w:spacing w:val="-18"/>
        </w:rPr>
        <w:t> </w:t>
      </w:r>
      <w:r>
        <w:rPr/>
        <w:t>to</w:t>
      </w:r>
      <w:r>
        <w:rPr>
          <w:spacing w:val="-19"/>
        </w:rPr>
        <w:t> </w:t>
      </w:r>
      <w:r>
        <w:rPr/>
        <w:t>lead</w:t>
      </w:r>
      <w:r>
        <w:rPr>
          <w:spacing w:val="-19"/>
        </w:rPr>
        <w:t> </w:t>
      </w:r>
      <w:r>
        <w:rPr>
          <w:spacing w:val="-7"/>
        </w:rPr>
        <w:t>the </w:t>
      </w:r>
      <w:r>
        <w:rPr/>
        <w:t>planning and delivery of a property portfolio that supports the delivery of government services to the</w:t>
      </w:r>
      <w:r>
        <w:rPr>
          <w:spacing w:val="-1"/>
        </w:rPr>
        <w:t> </w:t>
      </w:r>
      <w:r>
        <w:rPr>
          <w:spacing w:val="-3"/>
        </w:rPr>
        <w:t>community.</w:t>
      </w:r>
    </w:p>
    <w:p>
      <w:pPr>
        <w:pStyle w:val="BodyText"/>
        <w:spacing w:before="4"/>
        <w:rPr>
          <w:sz w:val="23"/>
        </w:rPr>
      </w:pPr>
    </w:p>
    <w:p>
      <w:pPr>
        <w:pStyle w:val="BodyText"/>
        <w:spacing w:line="249" w:lineRule="auto"/>
        <w:ind w:left="475" w:right="312"/>
      </w:pPr>
      <w:r>
        <w:rPr/>
        <w:t>This indicator demonstrates the ability of Building Management and Works to deliver non-residential</w:t>
      </w:r>
      <w:r>
        <w:rPr>
          <w:spacing w:val="-23"/>
        </w:rPr>
        <w:t> </w:t>
      </w:r>
      <w:r>
        <w:rPr/>
        <w:t>buildings</w:t>
      </w:r>
      <w:r>
        <w:rPr>
          <w:spacing w:val="-23"/>
        </w:rPr>
        <w:t> </w:t>
      </w:r>
      <w:r>
        <w:rPr/>
        <w:t>for</w:t>
      </w:r>
      <w:r>
        <w:rPr>
          <w:spacing w:val="-23"/>
        </w:rPr>
        <w:t> </w:t>
      </w:r>
      <w:r>
        <w:rPr/>
        <w:t>its</w:t>
      </w:r>
      <w:r>
        <w:rPr>
          <w:spacing w:val="-23"/>
        </w:rPr>
        <w:t> </w:t>
      </w:r>
      <w:r>
        <w:rPr/>
        <w:t>client</w:t>
      </w:r>
      <w:r>
        <w:rPr>
          <w:spacing w:val="-23"/>
        </w:rPr>
        <w:t> </w:t>
      </w:r>
      <w:r>
        <w:rPr/>
        <w:t>agencies within</w:t>
      </w:r>
      <w:r>
        <w:rPr>
          <w:spacing w:val="-9"/>
        </w:rPr>
        <w:t> </w:t>
      </w:r>
      <w:r>
        <w:rPr/>
        <w:t>10</w:t>
      </w:r>
      <w:r>
        <w:rPr>
          <w:spacing w:val="-8"/>
        </w:rPr>
        <w:t> </w:t>
      </w:r>
      <w:r>
        <w:rPr/>
        <w:t>per</w:t>
      </w:r>
      <w:r>
        <w:rPr>
          <w:spacing w:val="-8"/>
        </w:rPr>
        <w:t> </w:t>
      </w:r>
      <w:r>
        <w:rPr/>
        <w:t>cent</w:t>
      </w:r>
      <w:r>
        <w:rPr>
          <w:spacing w:val="-8"/>
        </w:rPr>
        <w:t> </w:t>
      </w:r>
      <w:r>
        <w:rPr/>
        <w:t>of</w:t>
      </w:r>
      <w:r>
        <w:rPr>
          <w:spacing w:val="-8"/>
        </w:rPr>
        <w:t> </w:t>
      </w:r>
      <w:r>
        <w:rPr/>
        <w:t>the</w:t>
      </w:r>
      <w:r>
        <w:rPr>
          <w:spacing w:val="-8"/>
        </w:rPr>
        <w:t> </w:t>
      </w:r>
      <w:r>
        <w:rPr/>
        <w:t>approved</w:t>
      </w:r>
      <w:r>
        <w:rPr>
          <w:spacing w:val="-8"/>
        </w:rPr>
        <w:t> </w:t>
      </w:r>
      <w:r>
        <w:rPr/>
        <w:t>budget</w:t>
      </w:r>
      <w:r>
        <w:rPr>
          <w:spacing w:val="-9"/>
        </w:rPr>
        <w:t> </w:t>
      </w:r>
      <w:r>
        <w:rPr/>
        <w:t>and focuses</w:t>
      </w:r>
      <w:r>
        <w:rPr>
          <w:spacing w:val="-18"/>
        </w:rPr>
        <w:t> </w:t>
      </w:r>
      <w:r>
        <w:rPr/>
        <w:t>on</w:t>
      </w:r>
      <w:r>
        <w:rPr>
          <w:spacing w:val="-17"/>
        </w:rPr>
        <w:t> </w:t>
      </w:r>
      <w:r>
        <w:rPr/>
        <w:t>significant</w:t>
      </w:r>
      <w:r>
        <w:rPr>
          <w:spacing w:val="-17"/>
        </w:rPr>
        <w:t> </w:t>
      </w:r>
      <w:r>
        <w:rPr/>
        <w:t>projects</w:t>
      </w:r>
      <w:r>
        <w:rPr>
          <w:spacing w:val="-17"/>
        </w:rPr>
        <w:t> </w:t>
      </w:r>
      <w:r>
        <w:rPr/>
        <w:t>within</w:t>
      </w:r>
      <w:r>
        <w:rPr>
          <w:spacing w:val="-17"/>
        </w:rPr>
        <w:t> </w:t>
      </w:r>
      <w:r>
        <w:rPr/>
        <w:t>the</w:t>
      </w:r>
      <w:r>
        <w:rPr>
          <w:spacing w:val="-17"/>
        </w:rPr>
        <w:t> </w:t>
      </w:r>
      <w:r>
        <w:rPr>
          <w:spacing w:val="-4"/>
        </w:rPr>
        <w:t>works </w:t>
      </w:r>
      <w:r>
        <w:rPr/>
        <w:t>program. Achievement of projects on-budget is</w:t>
      </w:r>
      <w:r>
        <w:rPr>
          <w:spacing w:val="-21"/>
        </w:rPr>
        <w:t> </w:t>
      </w:r>
      <w:r>
        <w:rPr/>
        <w:t>an</w:t>
      </w:r>
      <w:r>
        <w:rPr>
          <w:spacing w:val="-20"/>
        </w:rPr>
        <w:t> </w:t>
      </w:r>
      <w:r>
        <w:rPr/>
        <w:t>important</w:t>
      </w:r>
      <w:r>
        <w:rPr>
          <w:spacing w:val="-20"/>
        </w:rPr>
        <w:t> </w:t>
      </w:r>
      <w:r>
        <w:rPr/>
        <w:t>requirement</w:t>
      </w:r>
      <w:r>
        <w:rPr>
          <w:spacing w:val="-20"/>
        </w:rPr>
        <w:t> </w:t>
      </w:r>
      <w:r>
        <w:rPr/>
        <w:t>for</w:t>
      </w:r>
      <w:r>
        <w:rPr>
          <w:spacing w:val="-21"/>
        </w:rPr>
        <w:t> </w:t>
      </w:r>
      <w:r>
        <w:rPr/>
        <w:t>client</w:t>
      </w:r>
      <w:r>
        <w:rPr>
          <w:spacing w:val="-20"/>
        </w:rPr>
        <w:t> </w:t>
      </w:r>
      <w:r>
        <w:rPr/>
        <w:t>agencies and is a key contributor to value-for-money outcomes.</w:t>
      </w:r>
    </w:p>
    <w:p>
      <w:pPr>
        <w:pStyle w:val="Heading6"/>
        <w:spacing w:line="164" w:lineRule="exact"/>
        <w:ind w:left="440"/>
      </w:pPr>
      <w:r>
        <w:rPr>
          <w:b w:val="0"/>
        </w:rPr>
        <w:br w:type="column"/>
      </w:r>
      <w:r>
        <w:rPr/>
        <w:t>Percentage of significant projects in the New</w:t>
      </w:r>
    </w:p>
    <w:p>
      <w:pPr>
        <w:spacing w:line="249" w:lineRule="auto" w:before="11"/>
        <w:ind w:left="440" w:right="1117" w:firstLine="0"/>
        <w:jc w:val="left"/>
        <w:rPr>
          <w:b/>
          <w:sz w:val="10"/>
        </w:rPr>
      </w:pPr>
      <w:r>
        <w:rPr>
          <w:b/>
          <w:sz w:val="22"/>
        </w:rPr>
        <w:t>Buildings program delivered within 10% of approved budget (%) </w:t>
      </w:r>
      <w:r>
        <w:rPr>
          <w:b/>
          <w:position w:val="8"/>
          <w:sz w:val="10"/>
        </w:rPr>
        <w:t>(a)</w:t>
      </w:r>
    </w:p>
    <w:p>
      <w:pPr>
        <w:pStyle w:val="BodyText"/>
        <w:spacing w:before="9"/>
        <w:rPr>
          <w:b/>
          <w:sz w:val="19"/>
        </w:rPr>
      </w:pPr>
      <w:r>
        <w:rPr/>
        <w:pict>
          <v:group style="position:absolute;margin-left:562.677185pt;margin-top:13.356193pt;width:40.2pt;height:142pt;mso-position-horizontal-relative:page;mso-position-vertical-relative:paragraph;z-index:30992;mso-wrap-distance-left:0;mso-wrap-distance-right:0" coordorigin="11254,267" coordsize="804,2840">
            <v:shape style="position:absolute;left:11655;top:683;width:397;height:2418" coordorigin="11655,684" coordsize="397,2418" path="m12052,684l11655,1081,11655,3102,12052,3102,12052,684xe" filled="true" fillcolor="#f5f6ea" stroked="false">
              <v:path arrowok="t"/>
              <v:fill type="solid"/>
            </v:shape>
            <v:shape style="position:absolute;left:11253;top:671;width:804;height:2435" coordorigin="11254,672" coordsize="804,2435" path="m11254,672l11254,3107,12057,3107,12057,3097,11264,3097,11264,696,11255,688,11259,684,11266,684,11254,672xm12057,696l12047,696,12047,3097,12057,3097,12057,696xm11266,684l11264,684,11264,696,11655,1088,11670,1074,11655,1074,11266,684xm12057,672l11655,1074,11670,1074,12047,696,12057,696,12057,672xm11264,684l11259,684,11255,688,11264,696,11264,684xe" filled="true" fillcolor="#aebd37" stroked="false">
              <v:path arrowok="t"/>
              <v:fill type="solid"/>
            </v:shape>
            <v:shape style="position:absolute;left:11286;top:267;width:737;height:738" coordorigin="11287,267" coordsize="737,738" path="m11655,267l11287,636,11655,1004,12024,636,11655,267xe" filled="true" fillcolor="#aebd37" stroked="false">
              <v:path arrowok="t"/>
              <v:fill type="solid"/>
            </v:shape>
            <v:shape style="position:absolute;left:11491;top:515;width:337;height:227" type="#_x0000_t202" filled="false" stroked="false">
              <v:textbox inset="0,0,0,0">
                <w:txbxContent>
                  <w:p>
                    <w:pPr>
                      <w:spacing w:before="7"/>
                      <w:ind w:left="0" w:right="0" w:firstLine="0"/>
                      <w:jc w:val="left"/>
                      <w:rPr>
                        <w:b/>
                        <w:sz w:val="19"/>
                      </w:rPr>
                    </w:pPr>
                    <w:r>
                      <w:rPr>
                        <w:b/>
                        <w:color w:val="FFFFFF"/>
                        <w:sz w:val="19"/>
                      </w:rPr>
                      <w:t>100</w:t>
                    </w:r>
                  </w:p>
                </w:txbxContent>
              </v:textbox>
              <w10:wrap type="none"/>
            </v:shape>
            <w10:wrap type="topAndBottom"/>
          </v:group>
        </w:pict>
      </w:r>
      <w:r>
        <w:rPr/>
        <w:pict>
          <v:group style="position:absolute;margin-left:612.992188pt;margin-top:13.356193pt;width:40.2pt;height:142pt;mso-position-horizontal-relative:page;mso-position-vertical-relative:paragraph;z-index:31040;mso-wrap-distance-left:0;mso-wrap-distance-right:0" coordorigin="12260,267" coordsize="804,2840">
            <v:shape style="position:absolute;left:12661;top:683;width:397;height:2418" coordorigin="12662,684" coordsize="397,2418" path="m13059,684l12662,1081,12662,3102,13059,3102,13059,684xe" filled="true" fillcolor="#f5f6ea" stroked="false">
              <v:path arrowok="t"/>
              <v:fill type="solid"/>
            </v:shape>
            <v:shape style="position:absolute;left:12259;top:671;width:804;height:2435" coordorigin="12260,672" coordsize="804,2435" path="m12260,672l12260,3107,13064,3107,13064,3097,12270,3097,12270,696,12261,688,12265,684,12272,684,12260,672xm13064,696l13054,696,13054,3097,13064,3097,13064,696xm12272,684l12270,684,12270,696,12662,1088,12676,1074,12662,1074,12272,684xm13064,672l12662,1074,12676,1074,13054,696,13064,696,13064,672xm12270,684l12265,684,12261,688,12270,696,12270,684xe" filled="true" fillcolor="#aebd37" stroked="false">
              <v:path arrowok="t"/>
              <v:fill type="solid"/>
            </v:shape>
            <v:shape style="position:absolute;left:12293;top:267;width:737;height:738" coordorigin="12293,267" coordsize="737,738" path="m12662,267l12293,636,12662,1004,13030,636,12662,267xe" filled="true" fillcolor="#aebd37" stroked="false">
              <v:path arrowok="t"/>
              <v:fill type="solid"/>
            </v:shape>
            <v:shape style="position:absolute;left:12498;top:515;width:337;height:227" type="#_x0000_t202" filled="false" stroked="false">
              <v:textbox inset="0,0,0,0">
                <w:txbxContent>
                  <w:p>
                    <w:pPr>
                      <w:spacing w:before="7"/>
                      <w:ind w:left="0" w:right="0" w:firstLine="0"/>
                      <w:jc w:val="left"/>
                      <w:rPr>
                        <w:b/>
                        <w:sz w:val="19"/>
                      </w:rPr>
                    </w:pPr>
                    <w:r>
                      <w:rPr>
                        <w:b/>
                        <w:color w:val="FFFFFF"/>
                        <w:sz w:val="19"/>
                      </w:rPr>
                      <w:t>100</w:t>
                    </w:r>
                  </w:p>
                </w:txbxContent>
              </v:textbox>
              <w10:wrap type="none"/>
            </v:shape>
            <w10:wrap type="topAndBottom"/>
          </v:group>
        </w:pict>
      </w:r>
      <w:r>
        <w:rPr/>
        <w:pict>
          <v:group style="position:absolute;margin-left:663.307129pt;margin-top:13.356193pt;width:40.2pt;height:142pt;mso-position-horizontal-relative:page;mso-position-vertical-relative:paragraph;z-index:31088;mso-wrap-distance-left:0;mso-wrap-distance-right:0" coordorigin="13266,267" coordsize="804,2840">
            <v:shape style="position:absolute;left:13668;top:683;width:397;height:2418" coordorigin="13668,684" coordsize="397,2418" path="m14065,684l13668,1081,13668,3102,14065,3102,14065,684xe" filled="true" fillcolor="#f5f6ea" stroked="false">
              <v:path arrowok="t"/>
              <v:fill type="solid"/>
            </v:shape>
            <v:shape style="position:absolute;left:13266;top:671;width:804;height:2435" coordorigin="13266,672" coordsize="804,2435" path="m13266,672l13266,3107,14070,3107,14070,3097,13276,3097,13276,696,13268,688,13271,684,13278,684,13266,672xm14070,696l14060,696,14060,3097,14070,3097,14070,696xm13278,684l13276,684,13276,696,13668,1088,13682,1074,13668,1074,13278,684xm14070,672l13668,1074,13682,1074,14060,696,14070,696,14070,672xm13276,684l13271,684,13268,688,13276,696,13276,684xe" filled="true" fillcolor="#aebd37" stroked="false">
              <v:path arrowok="t"/>
              <v:fill type="solid"/>
            </v:shape>
            <v:shape style="position:absolute;left:13299;top:267;width:737;height:738" coordorigin="13300,267" coordsize="737,738" path="m13668,267l13300,636,13668,1004,14037,636,13668,267xe" filled="true" fillcolor="#aebd37" stroked="false">
              <v:path arrowok="t"/>
              <v:fill type="solid"/>
            </v:shape>
            <v:shape style="position:absolute;left:13504;top:515;width:337;height:227" type="#_x0000_t202" filled="false" stroked="false">
              <v:textbox inset="0,0,0,0">
                <w:txbxContent>
                  <w:p>
                    <w:pPr>
                      <w:spacing w:before="7"/>
                      <w:ind w:left="0" w:right="0" w:firstLine="0"/>
                      <w:jc w:val="left"/>
                      <w:rPr>
                        <w:b/>
                        <w:sz w:val="19"/>
                      </w:rPr>
                    </w:pPr>
                    <w:r>
                      <w:rPr>
                        <w:b/>
                        <w:color w:val="FFFFFF"/>
                        <w:sz w:val="19"/>
                      </w:rPr>
                      <w:t>100</w:t>
                    </w:r>
                  </w:p>
                </w:txbxContent>
              </v:textbox>
              <w10:wrap type="none"/>
            </v:shape>
            <w10:wrap type="topAndBottom"/>
          </v:group>
        </w:pict>
      </w:r>
      <w:r>
        <w:rPr/>
        <w:pict>
          <v:group style="position:absolute;margin-left:713.622498pt;margin-top:13.356193pt;width:40.2pt;height:142pt;mso-position-horizontal-relative:page;mso-position-vertical-relative:paragraph;z-index:31136;mso-wrap-distance-left:0;mso-wrap-distance-right:0" coordorigin="14272,267" coordsize="804,2840">
            <v:shape style="position:absolute;left:14674;top:696;width:392;height:2401" coordorigin="14674,696" coordsize="392,2401" path="m15066,696l14674,1088,14674,3097,15066,3097,15066,696xe" filled="true" fillcolor="#eae3ea" stroked="false">
              <v:path arrowok="t"/>
              <v:fill type="solid"/>
            </v:shape>
            <v:shape style="position:absolute;left:14272;top:671;width:804;height:2435" coordorigin="14272,672" coordsize="804,2435" path="m14272,672l14272,3107,15076,3107,15076,3102,14674,3102,14674,3097,14282,3097,14282,696,14297,696,14288,688,14274,688,14277,684,14285,684,14272,672xm15076,684l15071,684,15071,3102,15076,3102,15076,684xm14297,696l14282,696,14674,1088,14674,1081,14681,1074,14674,1074,14297,696xm15076,672l14674,1074,14681,1074,15071,684,15076,684,15076,672xm14285,684l14277,684,14274,688,14288,688,14285,684xe" filled="true" fillcolor="#8d5f8e" stroked="false">
              <v:path arrowok="t"/>
              <v:fill type="solid"/>
            </v:shape>
            <v:shape style="position:absolute;left:14674;top:683;width:397;height:2418" coordorigin="14674,684" coordsize="397,2418" path="m15071,696l15066,696,15066,3097,14674,3097,14674,3102,15071,3102,15071,696xm15071,684l14674,1081,14674,1088,15066,696,15071,696,15071,684xe" filled="true" fillcolor="#8b5a8b" stroked="false">
              <v:path arrowok="t"/>
              <v:fill type="solid"/>
            </v:shape>
            <v:shape style="position:absolute;left:14305;top:267;width:737;height:738" coordorigin="14306,267" coordsize="737,738" path="m14674,267l14306,636,14674,1004,15043,636,14674,267xe" filled="true" fillcolor="#6f2770" stroked="false">
              <v:path arrowok="t"/>
              <v:fill type="solid"/>
            </v:shape>
            <v:shape style="position:absolute;left:14510;top:515;width:337;height:227" type="#_x0000_t202" filled="false" stroked="false">
              <v:textbox inset="0,0,0,0">
                <w:txbxContent>
                  <w:p>
                    <w:pPr>
                      <w:spacing w:before="7"/>
                      <w:ind w:left="0" w:right="0" w:firstLine="0"/>
                      <w:jc w:val="left"/>
                      <w:rPr>
                        <w:b/>
                        <w:sz w:val="19"/>
                      </w:rPr>
                    </w:pPr>
                    <w:r>
                      <w:rPr>
                        <w:b/>
                        <w:color w:val="FFFFFF"/>
                        <w:sz w:val="19"/>
                      </w:rPr>
                      <w:t>100</w:t>
                    </w:r>
                  </w:p>
                </w:txbxContent>
              </v:textbox>
              <w10:wrap type="none"/>
            </v:shape>
            <w10:wrap type="topAndBottom"/>
          </v:group>
        </w:pict>
      </w:r>
      <w:r>
        <w:rPr/>
        <w:pict>
          <v:group style="position:absolute;margin-left:763.937012pt;margin-top:13.356193pt;width:40.2pt;height:142pt;mso-position-horizontal-relative:page;mso-position-vertical-relative:paragraph;z-index:31184;mso-wrap-distance-left:0;mso-wrap-distance-right:0" coordorigin="15279,267" coordsize="804,2840">
            <v:shape style="position:absolute;left:15680;top:696;width:392;height:2401" coordorigin="15681,696" coordsize="392,2401" path="m16072,696l15681,1088,15681,3097,16072,3097,16072,696xe" filled="true" fillcolor="#e1dce1" stroked="false">
              <v:path arrowok="t"/>
              <v:fill type="solid"/>
            </v:shape>
            <v:shape style="position:absolute;left:15278;top:671;width:804;height:2435" coordorigin="15279,672" coordsize="804,2435" path="m15279,672l15279,3107,16082,3107,16082,3102,15681,3102,15681,3097,15289,3097,15289,696,15303,696,15294,688,15280,688,15284,684,15291,684,15279,672xm16082,684l16077,684,16077,3102,16082,3102,16082,684xm15303,696l15289,696,15681,1088,15681,1081,15688,1074,15681,1074,15303,696xm16082,672l15681,1074,15688,1074,16077,684,16082,684,16082,672xm15291,684l15284,684,15280,688,15294,688,15291,684xe" filled="true" fillcolor="#806a83" stroked="false">
              <v:path arrowok="t"/>
              <v:fill type="solid"/>
            </v:shape>
            <v:shape style="position:absolute;left:15680;top:683;width:397;height:2418" coordorigin="15681,684" coordsize="397,2418" path="m16077,696l16072,696,16072,3097,15681,3097,15681,3102,16077,3102,16077,696xm16077,684l15681,1081,15681,1088,16072,696,16077,696,16077,684xe" filled="true" fillcolor="#79627d" stroked="false">
              <v:path arrowok="t"/>
              <v:fill type="solid"/>
            </v:shape>
            <v:shape style="position:absolute;left:15312;top:267;width:737;height:738" coordorigin="15312,267" coordsize="737,738" path="m15681,267l15312,636,15681,1004,16049,636,15681,267xe" filled="true" fillcolor="#360f41" stroked="false">
              <v:path arrowok="t"/>
              <v:fill type="solid"/>
            </v:shape>
            <v:shape style="position:absolute;left:15516;top:515;width:337;height:227" type="#_x0000_t202" filled="false" stroked="false">
              <v:textbox inset="0,0,0,0">
                <w:txbxContent>
                  <w:p>
                    <w:pPr>
                      <w:spacing w:before="7"/>
                      <w:ind w:left="0" w:right="0" w:firstLine="0"/>
                      <w:jc w:val="left"/>
                      <w:rPr>
                        <w:b/>
                        <w:sz w:val="19"/>
                      </w:rPr>
                    </w:pPr>
                    <w:r>
                      <w:rPr>
                        <w:b/>
                        <w:color w:val="FFFFFF"/>
                        <w:sz w:val="19"/>
                      </w:rPr>
                      <w:t>100</w:t>
                    </w:r>
                  </w:p>
                </w:txbxContent>
              </v:textbox>
              <w10:wrap type="none"/>
            </v:shape>
            <w10:wrap type="topAndBottom"/>
          </v:group>
        </w:pict>
      </w:r>
    </w:p>
    <w:p>
      <w:pPr>
        <w:tabs>
          <w:tab w:pos="1490" w:val="left" w:leader="none"/>
          <w:tab w:pos="2497" w:val="left" w:leader="none"/>
          <w:tab w:pos="3503" w:val="left" w:leader="none"/>
          <w:tab w:pos="4509" w:val="left" w:leader="none"/>
        </w:tabs>
        <w:spacing w:before="0"/>
        <w:ind w:left="484" w:right="0" w:firstLine="0"/>
        <w:jc w:val="left"/>
        <w:rPr>
          <w:b/>
          <w:sz w:val="19"/>
        </w:rPr>
      </w:pPr>
      <w:r>
        <w:rPr>
          <w:b/>
          <w:w w:val="105"/>
          <w:sz w:val="19"/>
        </w:rPr>
        <w:t>2013/14</w:t>
        <w:tab/>
        <w:t>2014/15</w:t>
        <w:tab/>
        <w:t>2015/16</w:t>
        <w:tab/>
        <w:t>2016/17</w:t>
        <w:tab/>
        <w:t>2016/17</w:t>
      </w:r>
    </w:p>
    <w:p>
      <w:pPr>
        <w:pStyle w:val="BodyText"/>
        <w:spacing w:before="2"/>
        <w:rPr>
          <w:b/>
          <w:sz w:val="3"/>
        </w:rPr>
      </w:pPr>
    </w:p>
    <w:p>
      <w:pPr>
        <w:tabs>
          <w:tab w:pos="1451" w:val="left" w:leader="none"/>
          <w:tab w:pos="2457" w:val="left" w:leader="none"/>
          <w:tab w:pos="3463" w:val="left" w:leader="none"/>
          <w:tab w:pos="4470" w:val="left" w:leader="none"/>
        </w:tabs>
        <w:spacing w:line="240" w:lineRule="auto"/>
        <w:ind w:left="444" w:right="0" w:firstLine="0"/>
        <w:rPr>
          <w:sz w:val="20"/>
        </w:rPr>
      </w:pPr>
      <w:r>
        <w:rPr>
          <w:sz w:val="20"/>
        </w:rPr>
        <w:pict>
          <v:shape style="width:19.850pt;height:14.2pt;mso-position-horizontal-relative:char;mso-position-vertical-relative:line" type="#_x0000_t202" filled="true" fillcolor="#bfc84c" stroked="false">
            <w10:anchorlock/>
            <v:textbox inset="0,0,0,0">
              <w:txbxContent>
                <w:p>
                  <w:pPr>
                    <w:spacing w:before="51"/>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51"/>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51"/>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803c83" stroked="false">
            <w10:anchorlock/>
            <v:textbox inset="0,0,0,0">
              <w:txbxContent>
                <w:p>
                  <w:pPr>
                    <w:spacing w:before="51"/>
                    <w:ind w:left="116" w:right="0" w:firstLine="0"/>
                    <w:jc w:val="left"/>
                    <w:rPr>
                      <w:sz w:val="15"/>
                    </w:rPr>
                  </w:pPr>
                  <w:r>
                    <w:rPr>
                      <w:color w:val="FFFFFF"/>
                      <w:spacing w:val="-4"/>
                      <w:w w:val="95"/>
                      <w:sz w:val="15"/>
                    </w:rPr>
                    <w:t>TAR</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4c285b" stroked="false">
            <w10:anchorlock/>
            <v:textbox inset="0,0,0,0">
              <w:txbxContent>
                <w:p>
                  <w:pPr>
                    <w:spacing w:before="51"/>
                    <w:ind w:left="111" w:right="0" w:firstLine="0"/>
                    <w:jc w:val="left"/>
                    <w:rPr>
                      <w:sz w:val="15"/>
                    </w:rPr>
                  </w:pPr>
                  <w:r>
                    <w:rPr>
                      <w:color w:val="FFFFFF"/>
                      <w:w w:val="95"/>
                      <w:sz w:val="15"/>
                    </w:rPr>
                    <w:t>ACT</w:t>
                  </w:r>
                </w:p>
              </w:txbxContent>
            </v:textbox>
            <v:fill type="solid"/>
          </v:shape>
        </w:pict>
      </w:r>
      <w:r>
        <w:rPr>
          <w:sz w:val="20"/>
        </w:rPr>
      </w:r>
    </w:p>
    <w:p>
      <w:pPr>
        <w:pStyle w:val="BodyText"/>
        <w:spacing w:before="5"/>
        <w:rPr>
          <w:b/>
          <w:sz w:val="21"/>
        </w:rPr>
      </w:pPr>
    </w:p>
    <w:p>
      <w:pPr>
        <w:spacing w:line="278" w:lineRule="auto" w:before="0"/>
        <w:ind w:left="648" w:right="949" w:hanging="209"/>
        <w:jc w:val="left"/>
        <w:rPr>
          <w:sz w:val="15"/>
        </w:rPr>
      </w:pPr>
      <w:r>
        <w:rPr/>
        <w:drawing>
          <wp:anchor distT="0" distB="0" distL="0" distR="0" allowOverlap="1" layoutInCell="1" locked="0" behindDoc="1" simplePos="0" relativeHeight="267655199">
            <wp:simplePos x="0" y="0"/>
            <wp:positionH relativeFrom="page">
              <wp:posOffset>3406839</wp:posOffset>
            </wp:positionH>
            <wp:positionV relativeFrom="paragraph">
              <wp:posOffset>440177</wp:posOffset>
            </wp:positionV>
            <wp:extent cx="4318369" cy="2192562"/>
            <wp:effectExtent l="0" t="0" r="0" b="0"/>
            <wp:wrapNone/>
            <wp:docPr id="5" name="image134.png" descr=""/>
            <wp:cNvGraphicFramePr>
              <a:graphicFrameLocks noChangeAspect="1"/>
            </wp:cNvGraphicFramePr>
            <a:graphic>
              <a:graphicData uri="http://schemas.openxmlformats.org/drawingml/2006/picture">
                <pic:pic>
                  <pic:nvPicPr>
                    <pic:cNvPr id="6" name="image134.png"/>
                    <pic:cNvPicPr/>
                  </pic:nvPicPr>
                  <pic:blipFill>
                    <a:blip r:embed="rId259" cstate="print"/>
                    <a:stretch>
                      <a:fillRect/>
                    </a:stretch>
                  </pic:blipFill>
                  <pic:spPr>
                    <a:xfrm>
                      <a:off x="0" y="0"/>
                      <a:ext cx="4318369" cy="2192562"/>
                    </a:xfrm>
                    <a:prstGeom prst="rect">
                      <a:avLst/>
                    </a:prstGeom>
                  </pic:spPr>
                </pic:pic>
              </a:graphicData>
            </a:graphic>
          </wp:anchor>
        </w:drawing>
      </w:r>
      <w:r>
        <w:rPr/>
        <w:pict>
          <v:shape style="position:absolute;margin-left:784.031006pt;margin-top:-27.311693pt;width:19.850pt;height:14.2pt;mso-position-horizontal-relative:page;mso-position-vertical-relative:paragraph;z-index:33616" type="#_x0000_t202" filled="true" fillcolor="#360f41" stroked="false">
            <v:textbox inset="0,0,0,0">
              <w:txbxContent>
                <w:p>
                  <w:pPr>
                    <w:spacing w:before="51"/>
                    <w:ind w:left="-3" w:right="0" w:firstLine="0"/>
                    <w:jc w:val="left"/>
                    <w:rPr>
                      <w:sz w:val="15"/>
                    </w:rPr>
                  </w:pPr>
                  <w:r>
                    <w:rPr>
                      <w:color w:val="FFFFFF"/>
                      <w:sz w:val="15"/>
                    </w:rPr>
                    <w:t>UAL</w:t>
                  </w:r>
                </w:p>
              </w:txbxContent>
            </v:textbox>
            <v:fill type="solid"/>
            <w10:wrap type="none"/>
          </v:shape>
        </w:pict>
      </w:r>
      <w:r>
        <w:rPr/>
        <w:pict>
          <v:shape style="position:absolute;margin-left:733.715027pt;margin-top:-27.311693pt;width:19.850pt;height:14.2pt;mso-position-horizontal-relative:page;mso-position-vertical-relative:paragraph;z-index:33640" type="#_x0000_t202" filled="true" fillcolor="#6f2770" stroked="false">
            <v:textbox inset="0,0,0,0">
              <w:txbxContent>
                <w:p>
                  <w:pPr>
                    <w:spacing w:before="51"/>
                    <w:ind w:left="-13" w:right="0" w:firstLine="0"/>
                    <w:jc w:val="left"/>
                    <w:rPr>
                      <w:sz w:val="15"/>
                    </w:rPr>
                  </w:pPr>
                  <w:r>
                    <w:rPr>
                      <w:color w:val="FFFFFF"/>
                      <w:sz w:val="15"/>
                    </w:rPr>
                    <w:t>GET</w:t>
                  </w:r>
                </w:p>
              </w:txbxContent>
            </v:textbox>
            <v:fill type="solid"/>
            <w10:wrap type="none"/>
          </v:shape>
        </w:pict>
      </w:r>
      <w:r>
        <w:rPr/>
        <w:pict>
          <v:shape style="position:absolute;margin-left:683.400024pt;margin-top:-27.311693pt;width:19.850pt;height:14.2pt;mso-position-horizontal-relative:page;mso-position-vertical-relative:paragraph;z-index:33664" type="#_x0000_t202" filled="true" fillcolor="#aebd37" stroked="false">
            <v:textbox inset="0,0,0,0">
              <w:txbxContent>
                <w:p>
                  <w:pPr>
                    <w:spacing w:before="51"/>
                    <w:ind w:left="-3" w:right="0" w:firstLine="0"/>
                    <w:jc w:val="left"/>
                    <w:rPr>
                      <w:sz w:val="15"/>
                    </w:rPr>
                  </w:pPr>
                  <w:r>
                    <w:rPr>
                      <w:color w:val="FFFFFF"/>
                      <w:sz w:val="15"/>
                    </w:rPr>
                    <w:t>UAL</w:t>
                  </w:r>
                </w:p>
              </w:txbxContent>
            </v:textbox>
            <v:fill type="solid"/>
            <w10:wrap type="none"/>
          </v:shape>
        </w:pict>
      </w:r>
      <w:r>
        <w:rPr/>
        <w:pict>
          <v:shape style="position:absolute;margin-left:633.085999pt;margin-top:-27.311693pt;width:19.850pt;height:14.2pt;mso-position-horizontal-relative:page;mso-position-vertical-relative:paragraph;z-index:33688" type="#_x0000_t202" filled="true" fillcolor="#aebd37" stroked="false">
            <v:textbox inset="0,0,0,0">
              <w:txbxContent>
                <w:p>
                  <w:pPr>
                    <w:spacing w:before="51"/>
                    <w:ind w:left="-3" w:right="0" w:firstLine="0"/>
                    <w:jc w:val="left"/>
                    <w:rPr>
                      <w:sz w:val="15"/>
                    </w:rPr>
                  </w:pPr>
                  <w:r>
                    <w:rPr>
                      <w:color w:val="FFFFFF"/>
                      <w:sz w:val="15"/>
                    </w:rPr>
                    <w:t>UAL</w:t>
                  </w:r>
                </w:p>
              </w:txbxContent>
            </v:textbox>
            <v:fill type="solid"/>
            <w10:wrap type="none"/>
          </v:shape>
        </w:pict>
      </w:r>
      <w:r>
        <w:rPr/>
        <w:pict>
          <v:shape style="position:absolute;margin-left:582.770020pt;margin-top:-27.311693pt;width:19.850pt;height:14.2pt;mso-position-horizontal-relative:page;mso-position-vertical-relative:paragraph;z-index:33712" type="#_x0000_t202" filled="true" fillcolor="#aebd37" stroked="false">
            <v:textbox inset="0,0,0,0">
              <w:txbxContent>
                <w:p>
                  <w:pPr>
                    <w:spacing w:before="51"/>
                    <w:ind w:left="-3" w:right="0" w:firstLine="0"/>
                    <w:jc w:val="left"/>
                    <w:rPr>
                      <w:sz w:val="15"/>
                    </w:rPr>
                  </w:pPr>
                  <w:r>
                    <w:rPr>
                      <w:color w:val="FFFFFF"/>
                      <w:sz w:val="15"/>
                    </w:rPr>
                    <w:t>UAL</w:t>
                  </w:r>
                </w:p>
              </w:txbxContent>
            </v:textbox>
            <v:fill type="solid"/>
            <w10:wrap type="none"/>
          </v:shape>
        </w:pict>
      </w:r>
      <w:r>
        <w:rPr>
          <w:sz w:val="15"/>
        </w:rPr>
        <w:t>(a) This indicator measures the percentage of projects with current approved</w:t>
      </w:r>
      <w:r>
        <w:rPr>
          <w:spacing w:val="-11"/>
          <w:sz w:val="15"/>
        </w:rPr>
        <w:t> </w:t>
      </w:r>
      <w:r>
        <w:rPr>
          <w:sz w:val="15"/>
        </w:rPr>
        <w:t>budgets</w:t>
      </w:r>
      <w:r>
        <w:rPr>
          <w:spacing w:val="-10"/>
          <w:sz w:val="15"/>
        </w:rPr>
        <w:t> </w:t>
      </w:r>
      <w:r>
        <w:rPr>
          <w:sz w:val="15"/>
        </w:rPr>
        <w:t>of</w:t>
      </w:r>
      <w:r>
        <w:rPr>
          <w:spacing w:val="-10"/>
          <w:sz w:val="15"/>
        </w:rPr>
        <w:t> </w:t>
      </w:r>
      <w:r>
        <w:rPr>
          <w:sz w:val="15"/>
        </w:rPr>
        <w:t>$5</w:t>
      </w:r>
      <w:r>
        <w:rPr>
          <w:spacing w:val="-10"/>
          <w:sz w:val="15"/>
        </w:rPr>
        <w:t> </w:t>
      </w:r>
      <w:r>
        <w:rPr>
          <w:sz w:val="15"/>
        </w:rPr>
        <w:t>million</w:t>
      </w:r>
      <w:r>
        <w:rPr>
          <w:spacing w:val="-10"/>
          <w:sz w:val="15"/>
        </w:rPr>
        <w:t> </w:t>
      </w:r>
      <w:r>
        <w:rPr>
          <w:sz w:val="15"/>
        </w:rPr>
        <w:t>or</w:t>
      </w:r>
      <w:r>
        <w:rPr>
          <w:spacing w:val="-10"/>
          <w:sz w:val="15"/>
        </w:rPr>
        <w:t> </w:t>
      </w:r>
      <w:r>
        <w:rPr>
          <w:sz w:val="15"/>
        </w:rPr>
        <w:t>more</w:t>
      </w:r>
      <w:r>
        <w:rPr>
          <w:spacing w:val="-10"/>
          <w:sz w:val="15"/>
        </w:rPr>
        <w:t> </w:t>
      </w:r>
      <w:r>
        <w:rPr>
          <w:sz w:val="15"/>
        </w:rPr>
        <w:t>that</w:t>
      </w:r>
      <w:r>
        <w:rPr>
          <w:spacing w:val="-10"/>
          <w:sz w:val="15"/>
        </w:rPr>
        <w:t> </w:t>
      </w:r>
      <w:r>
        <w:rPr>
          <w:sz w:val="15"/>
        </w:rPr>
        <w:t>have</w:t>
      </w:r>
      <w:r>
        <w:rPr>
          <w:spacing w:val="-10"/>
          <w:sz w:val="15"/>
        </w:rPr>
        <w:t> </w:t>
      </w:r>
      <w:r>
        <w:rPr>
          <w:sz w:val="15"/>
        </w:rPr>
        <w:t>been</w:t>
      </w:r>
      <w:r>
        <w:rPr>
          <w:spacing w:val="-10"/>
          <w:sz w:val="15"/>
        </w:rPr>
        <w:t> </w:t>
      </w:r>
      <w:r>
        <w:rPr>
          <w:sz w:val="15"/>
        </w:rPr>
        <w:t>handed</w:t>
      </w:r>
      <w:r>
        <w:rPr>
          <w:spacing w:val="-10"/>
          <w:sz w:val="15"/>
        </w:rPr>
        <w:t> </w:t>
      </w:r>
      <w:r>
        <w:rPr>
          <w:sz w:val="15"/>
        </w:rPr>
        <w:t>over to the client agency in the financial </w:t>
      </w:r>
      <w:r>
        <w:rPr>
          <w:spacing w:val="-3"/>
          <w:sz w:val="15"/>
        </w:rPr>
        <w:t>year. </w:t>
      </w:r>
      <w:r>
        <w:rPr>
          <w:sz w:val="15"/>
        </w:rPr>
        <w:t>The calculation compares the anticipated final cost for each project with its current approved budget.</w:t>
      </w:r>
      <w:r>
        <w:rPr>
          <w:spacing w:val="-12"/>
          <w:sz w:val="15"/>
        </w:rPr>
        <w:t> </w:t>
      </w:r>
      <w:r>
        <w:rPr>
          <w:sz w:val="15"/>
        </w:rPr>
        <w:t>Each</w:t>
      </w:r>
      <w:r>
        <w:rPr>
          <w:spacing w:val="-12"/>
          <w:sz w:val="15"/>
        </w:rPr>
        <w:t> </w:t>
      </w:r>
      <w:r>
        <w:rPr>
          <w:sz w:val="15"/>
        </w:rPr>
        <w:t>project</w:t>
      </w:r>
      <w:r>
        <w:rPr>
          <w:spacing w:val="-11"/>
          <w:sz w:val="15"/>
        </w:rPr>
        <w:t> </w:t>
      </w:r>
      <w:r>
        <w:rPr>
          <w:sz w:val="15"/>
        </w:rPr>
        <w:t>is</w:t>
      </w:r>
      <w:r>
        <w:rPr>
          <w:spacing w:val="-12"/>
          <w:sz w:val="15"/>
        </w:rPr>
        <w:t> </w:t>
      </w:r>
      <w:r>
        <w:rPr>
          <w:sz w:val="15"/>
        </w:rPr>
        <w:t>deemed</w:t>
      </w:r>
      <w:r>
        <w:rPr>
          <w:spacing w:val="-12"/>
          <w:sz w:val="15"/>
        </w:rPr>
        <w:t> </w:t>
      </w:r>
      <w:r>
        <w:rPr>
          <w:sz w:val="15"/>
        </w:rPr>
        <w:t>to</w:t>
      </w:r>
      <w:r>
        <w:rPr>
          <w:spacing w:val="-11"/>
          <w:sz w:val="15"/>
        </w:rPr>
        <w:t> </w:t>
      </w:r>
      <w:r>
        <w:rPr>
          <w:sz w:val="15"/>
        </w:rPr>
        <w:t>meet</w:t>
      </w:r>
      <w:r>
        <w:rPr>
          <w:spacing w:val="-12"/>
          <w:sz w:val="15"/>
        </w:rPr>
        <w:t> </w:t>
      </w:r>
      <w:r>
        <w:rPr>
          <w:sz w:val="15"/>
        </w:rPr>
        <w:t>the</w:t>
      </w:r>
      <w:r>
        <w:rPr>
          <w:spacing w:val="-12"/>
          <w:sz w:val="15"/>
        </w:rPr>
        <w:t> </w:t>
      </w:r>
      <w:r>
        <w:rPr>
          <w:sz w:val="15"/>
        </w:rPr>
        <w:t>effectiveness</w:t>
      </w:r>
      <w:r>
        <w:rPr>
          <w:spacing w:val="-11"/>
          <w:sz w:val="15"/>
        </w:rPr>
        <w:t> </w:t>
      </w:r>
      <w:r>
        <w:rPr>
          <w:sz w:val="15"/>
        </w:rPr>
        <w:t>indicator</w:t>
      </w:r>
      <w:r>
        <w:rPr>
          <w:spacing w:val="-12"/>
          <w:sz w:val="15"/>
        </w:rPr>
        <w:t> </w:t>
      </w:r>
      <w:r>
        <w:rPr>
          <w:spacing w:val="-9"/>
          <w:sz w:val="15"/>
        </w:rPr>
        <w:t>if</w:t>
      </w:r>
    </w:p>
    <w:p>
      <w:pPr>
        <w:spacing w:line="278" w:lineRule="auto" w:before="0"/>
        <w:ind w:left="648" w:right="698" w:firstLine="0"/>
        <w:jc w:val="left"/>
        <w:rPr>
          <w:sz w:val="15"/>
        </w:rPr>
      </w:pPr>
      <w:r>
        <w:rPr>
          <w:sz w:val="15"/>
        </w:rPr>
        <w:t>the anticipated final cost does not exceed the current approved </w:t>
      </w:r>
      <w:r>
        <w:rPr>
          <w:spacing w:val="-3"/>
          <w:sz w:val="15"/>
        </w:rPr>
        <w:t>budget </w:t>
      </w:r>
      <w:r>
        <w:rPr>
          <w:sz w:val="15"/>
        </w:rPr>
        <w:t>by more than 10 per cent.</w:t>
      </w:r>
    </w:p>
    <w:p>
      <w:pPr>
        <w:spacing w:after="0" w:line="278" w:lineRule="auto"/>
        <w:jc w:val="left"/>
        <w:rPr>
          <w:sz w:val="15"/>
        </w:rPr>
        <w:sectPr>
          <w:type w:val="continuous"/>
          <w:pgSz w:w="16840" w:h="11910" w:orient="landscape"/>
          <w:pgMar w:top="0" w:bottom="0" w:left="0" w:right="0"/>
          <w:cols w:num="3" w:equalWidth="0">
            <w:col w:w="5494" w:space="40"/>
            <w:col w:w="5240" w:space="39"/>
            <w:col w:w="602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tabs>
          <w:tab w:pos="4671" w:val="left" w:leader="none"/>
          <w:tab w:pos="16072" w:val="left" w:leader="none"/>
        </w:tabs>
        <w:spacing w:before="106"/>
        <w:ind w:left="765" w:right="0" w:firstLine="0"/>
        <w:jc w:val="left"/>
        <w:rPr>
          <w:sz w:val="16"/>
        </w:rPr>
      </w:pPr>
      <w:r>
        <w:rPr>
          <w:b/>
          <w:color w:val="6F2770"/>
          <w:sz w:val="16"/>
        </w:rPr>
        <w:t>100   </w:t>
      </w:r>
      <w:r>
        <w:rPr>
          <w:color w:val="939598"/>
          <w:sz w:val="16"/>
        </w:rPr>
        <w:t>Department of Finance Annual Report</w:t>
      </w:r>
      <w:r>
        <w:rPr>
          <w:color w:val="939598"/>
          <w:spacing w:val="-29"/>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1"/>
        <w:spacing w:before="93"/>
      </w:pPr>
      <w:r>
        <w:rPr/>
        <w:pict>
          <v:group style="position:absolute;margin-left:0pt;margin-top:-67.324211pt;width:841.9pt;height:108.95pt;mso-position-horizontal-relative:page;mso-position-vertical-relative:paragraph;z-index:-778624" coordorigin="0,-1346" coordsize="16838,2179">
            <v:shape style="position:absolute;left:14419;top:-1347;width:1455;height:1745" coordorigin="14419,-1346" coordsize="1455,1745" path="m15219,-1346l15194,-1346,14935,-1197,14901,-1163,15219,-1346m15356,-1346l15331,-1346,14748,-1010,14714,-976,15356,-1346m15492,-1346l15467,-1346,14562,-824,14527,-789,15492,-1346m15629,-1346l15604,-1346,14419,-662,14428,-653,15629,-1346m15766,-1346l15741,-1346,14469,-612,14478,-603,15766,-1346m15874,155l15470,388,15479,398,15874,170,15874,155m15874,76l15420,338,15429,348,15874,91,15874,76m15874,-3l15370,288,15379,297,15874,12,15874,-3m15874,-82l15320,238,15329,247,15874,-67,15874,-82m15874,-161l15270,188,15279,197,15874,-146,15874,-161m15874,-240l15220,138,15229,147,15874,-225,15874,-240m15874,-318l15170,88,15179,97,15874,-304,15874,-318m15874,-397l15120,38,15129,47,15874,-383,15874,-397m15874,-476l15070,-12,15079,-3,15874,-462,15874,-476m15874,-555l15020,-62,15029,-53,15874,-541,15874,-555m15874,-713l14920,-162,14929,-153,15874,-699,15874,-713m15874,-792l14870,-212,14879,-203,15874,-778,15874,-792m15874,-871l14819,-262,14829,-253,15874,-856,15874,-871m15874,-950l14769,-312,14779,-303,15874,-935,15874,-950m15874,-1029l14719,-362,14729,-353,15874,-1014,15874,-1029m15874,-1108l14669,-412,14679,-403,15874,-1093,15874,-1108m15874,-1187l14619,-462,14628,-453,15874,-1172,15874,-1187m15874,-1345l14519,-562,14528,-553,15874,-1330,15874,-1345m15874,-634l14970,-112,14979,-103,15874,-620,15874,-634m15874,-1266l14569,-512,14578,-503,15874,-1251,15874,-1266e" filled="true" fillcolor="#cdcccd" stroked="false">
              <v:path arrowok="t"/>
              <v:fill type="solid"/>
            </v:shape>
            <v:shape style="position:absolute;left:15520;top:234;width:354;height:514" type="#_x0000_t75" stroked="false">
              <v:imagedata r:id="rId42" o:title=""/>
            </v:shape>
            <v:shape style="position:absolute;left:15874;top:-1347;width:338;height:196" type="#_x0000_t75" stroked="false">
              <v:imagedata r:id="rId20" o:title=""/>
            </v:shape>
            <v:shape style="position:absolute;left:15874;top:-1347;width:964;height:1932" coordorigin="15874,-1346" coordsize="964,1932" path="m16349,-1346l16339,-1346,15874,-1078,15874,-1072,16349,-1346m16378,288l15874,579,15874,585,16365,302,16378,288m16486,-1346l16476,-1346,15874,-999,15874,-993,16486,-1346m16565,101l15874,500,15874,506,16551,115,16565,101m16622,-1346l16612,-1346,15874,-920,15874,-915,16622,-1346m16699,-1312l16695,-1315,15874,-841,15874,-836,16699,-1312m16749,-1262l16745,-1265,15874,-762,15874,-757,16749,-1262m16752,-85l15874,421,15874,427,16738,-72,16752,-85m16799,-1212l16795,-1215,15874,-684,15874,-678,16799,-1212m16838,-214l15874,343,15874,348,16838,-208,16838,-214m16838,-293l15874,264,15874,269,16838,-287,16838,-293m16838,-372l15874,185,15874,190,16838,-366,16838,-372m16838,-451l15874,106,15874,112,16838,-445,16838,-451m16838,-530l15874,27,15874,33,16838,-524,16838,-530m16838,-608l15874,-52,15874,-46,16838,-603,16838,-608m16838,-687l15874,-131,15874,-125,16838,-682,16838,-687m16838,-766l15874,-210,15874,-204,16838,-761,16838,-766m16838,-845l15874,-289,15874,-283,16838,-839,16838,-845m16838,-924l15874,-368,15874,-362,16838,-918,16838,-924m16838,-1003l15874,-447,15874,-441,16838,-997,16838,-1003m16838,-1082l15874,-526,15874,-520,16838,-1076,16838,-1082m16838,-1161l15874,-605,15874,-599,16838,-1155,16838,-1161e" filled="true" fillcolor="#cdcccd" stroked="false">
              <v:path arrowok="t"/>
              <v:fill type="solid"/>
            </v:shape>
            <v:shape style="position:absolute;left:15874;top:474;width:318;height:269" type="#_x0000_t75" stroked="false">
              <v:imagedata r:id="rId158" o:title=""/>
            </v:shape>
            <v:shape style="position:absolute;left:13676;top:-975;width:904;height:904" coordorigin="13677,-974" coordsize="904,904" path="m14128,-974l13677,-522,14128,-71,14580,-522,14128,-974xe" filled="true" fillcolor="#ffffff" stroked="false">
              <v:path arrowok="t"/>
              <v:fill type="solid"/>
            </v:shape>
            <v:shape style="position:absolute;left:13225;top:-523;width:904;height:904" coordorigin="13225,-522" coordsize="904,904" path="m13677,-522l13225,-71,13677,381,14128,-71,13677,-522xe" filled="true" fillcolor="#e8e9c9" stroked="false">
              <v:path arrowok="t"/>
              <v:fill type="solid"/>
            </v:shape>
            <v:shape style="position:absolute;left:12773;top:-71;width:904;height:904" coordorigin="12774,-71" coordsize="904,904" path="m13225,-71l12774,381,13225,832,13677,381,13225,-71xe" filled="true" fillcolor="#d5dac6" stroked="false">
              <v:path arrowok="t"/>
              <v:fill type="solid"/>
            </v:shape>
            <v:shape style="position:absolute;left:11870;top:-975;width:2710;height:904" coordorigin="11870,-974" coordsize="2710,904" path="m12774,-522l12322,-974,11870,-522,12322,-71,12774,-522m14580,-522l14128,-974,13677,-522,14128,-71,14580,-522e" filled="true" fillcolor="#efeeeb" stroked="false">
              <v:path arrowok="t"/>
              <v:fill type="solid"/>
            </v:shape>
            <v:shape style="position:absolute;left:12773;top:-975;width:904;height:904" coordorigin="12774,-974" coordsize="904,904" path="m13225,-974l12774,-522,13225,-71,13677,-522,13225,-974xe" filled="true" fillcolor="#c0aac2" stroked="false">
              <v:path arrowok="t"/>
              <v:fill type="solid"/>
            </v:shape>
            <v:shape style="position:absolute;left:15424;top:-271;width:900;height:904" coordorigin="15424,-271" coordsize="900,904" path="m15874,-271l15424,179,15424,182,15874,632,16324,182,16324,179,15874,-271xe" filled="true" fillcolor="#c4cd71" stroked="false">
              <v:path arrowok="t"/>
              <v:fill type="solid"/>
            </v:shape>
            <v:rect style="position:absolute;left:9621;top:-1347;width:2406;height:851" filled="true" fillcolor="#e6e7e8" stroked="false">
              <v:fill type="solid"/>
            </v:rect>
            <v:shape style="position:absolute;left:9621;top:-1347;width:583;height:583" type="#_x0000_t75" stroked="false">
              <v:imagedata r:id="rId247" o:title=""/>
            </v:shape>
            <v:rect style="position:absolute;left:12026;top:-1347;width:2406;height:851" filled="true" fillcolor="#b6c247" stroked="false">
              <v:fill type="solid"/>
            </v:rect>
            <v:rect style="position:absolute;left:14432;top:-1347;width:2406;height:851" filled="true" fillcolor="#aebd37" stroked="false">
              <v:fill type="solid"/>
            </v:rect>
            <v:shape style="position:absolute;left:15263;top:19;width:161;height:322" type="#_x0000_t75" stroked="false">
              <v:imagedata r:id="rId16" o:title=""/>
            </v:shape>
            <v:shape style="position:absolute;left:16324;top:19;width:161;height:322" type="#_x0000_t75" stroked="false">
              <v:imagedata r:id="rId11" o:title=""/>
            </v:shape>
            <v:shape style="position:absolute;left:15585;top:0;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4432;top:-1347;width:2406;height:851" type="#_x0000_t202" filled="false" stroked="false">
              <v:textbox inset="0,0,0,0">
                <w:txbxContent>
                  <w:p>
                    <w:pPr>
                      <w:spacing w:line="240" w:lineRule="auto" w:before="9"/>
                      <w:rPr>
                        <w:b/>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47;width:2406;height:851" type="#_x0000_t202" filled="false" stroked="false">
              <v:textbox inset="0,0,0,0">
                <w:txbxContent>
                  <w:p>
                    <w:pPr>
                      <w:spacing w:line="240" w:lineRule="auto"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1347;width:2406;height:851" type="#_x0000_t202" filled="false" stroked="false">
              <v:textbox inset="0,0,0,0">
                <w:txbxContent>
                  <w:p>
                    <w:pPr>
                      <w:spacing w:line="249" w:lineRule="auto" w:before="182"/>
                      <w:ind w:left="633" w:right="0" w:hanging="291"/>
                      <w:jc w:val="left"/>
                      <w:rPr>
                        <w:sz w:val="20"/>
                      </w:rPr>
                    </w:pPr>
                    <w:hyperlink w:history="true" w:anchor="_bookmark58">
                      <w:r>
                        <w:rPr>
                          <w:color w:val="6F2770"/>
                          <w:w w:val="95"/>
                          <w:sz w:val="20"/>
                        </w:rPr>
                        <w:t>KEY </w:t>
                      </w:r>
                    </w:hyperlink>
                    <w:hyperlink w:history="true" w:anchor="_bookmark58">
                      <w:r>
                        <w:rPr>
                          <w:color w:val="6F2770"/>
                          <w:w w:val="95"/>
                          <w:sz w:val="20"/>
                        </w:rPr>
                        <w:t>PERFORMANCE </w:t>
                      </w:r>
                      <w:r>
                        <w:rPr>
                          <w:color w:val="6F2770"/>
                          <w:sz w:val="20"/>
                        </w:rPr>
                        <w:t>INDICATORS</w:t>
                      </w:r>
                    </w:hyperlink>
                  </w:p>
                </w:txbxContent>
              </v:textbox>
              <w10:wrap type="none"/>
            </v:shape>
            <v:shape style="position:absolute;left:7211;top:-1347;width:2411;height:851" type="#_x0000_t202" filled="true" fillcolor="#c4cd71" stroked="false">
              <v:textbox inset="0,0,0,0">
                <w:txbxContent>
                  <w:p>
                    <w:pPr>
                      <w:spacing w:line="249" w:lineRule="auto" w:before="182"/>
                      <w:ind w:left="592"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347;width:2409;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347;width:2398;height:851" type="#_x0000_t202" filled="true" fillcolor="#b6c247" stroked="false">
              <v:textbox inset="0,0,0,0">
                <w:txbxContent>
                  <w:p>
                    <w:pPr>
                      <w:spacing w:line="240" w:lineRule="auto" w:before="9"/>
                      <w:rPr>
                        <w:b/>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347;width:2406;height:851" type="#_x0000_t202" filled="true" fillcolor="#aebd37"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bookmarkStart w:name="_bookmark65" w:id="67"/>
      <w:bookmarkEnd w:id="67"/>
      <w:r>
        <w:rPr/>
      </w:r>
      <w:r>
        <w:rPr>
          <w:color w:val="6F2770"/>
        </w:rPr>
        <w:t>Key Efficiency Indicators</w:t>
      </w:r>
    </w:p>
    <w:p>
      <w:pPr>
        <w:pStyle w:val="Heading4"/>
        <w:spacing w:before="110"/>
      </w:pPr>
      <w:r>
        <w:rPr>
          <w:color w:val="A7BE39"/>
        </w:rPr>
        <w:t>Building Management and Works</w:t>
      </w:r>
    </w:p>
    <w:p>
      <w:pPr>
        <w:pStyle w:val="Heading6"/>
        <w:spacing w:before="246"/>
      </w:pPr>
      <w:r>
        <w:rPr/>
        <w:t>Service 4: Leads the planning, delivery, management and maintenance of government buildings, projects and office accommodation</w:t>
      </w:r>
    </w:p>
    <w:p>
      <w:pPr>
        <w:pStyle w:val="BodyText"/>
        <w:spacing w:before="11"/>
        <w:rPr>
          <w:b/>
          <w:sz w:val="23"/>
        </w:rPr>
      </w:pPr>
    </w:p>
    <w:p>
      <w:pPr>
        <w:pStyle w:val="BodyText"/>
        <w:spacing w:line="249" w:lineRule="auto"/>
        <w:ind w:left="765" w:right="819"/>
      </w:pPr>
      <w:r>
        <w:rPr/>
        <w:t>This</w:t>
      </w:r>
      <w:r>
        <w:rPr>
          <w:spacing w:val="-30"/>
        </w:rPr>
        <w:t> </w:t>
      </w:r>
      <w:r>
        <w:rPr/>
        <w:t>service</w:t>
      </w:r>
      <w:r>
        <w:rPr>
          <w:spacing w:val="-30"/>
        </w:rPr>
        <w:t> </w:t>
      </w:r>
      <w:r>
        <w:rPr/>
        <w:t>leads</w:t>
      </w:r>
      <w:r>
        <w:rPr>
          <w:spacing w:val="-29"/>
        </w:rPr>
        <w:t> </w:t>
      </w:r>
      <w:r>
        <w:rPr/>
        <w:t>the</w:t>
      </w:r>
      <w:r>
        <w:rPr>
          <w:spacing w:val="-30"/>
        </w:rPr>
        <w:t> </w:t>
      </w:r>
      <w:r>
        <w:rPr/>
        <w:t>planning,</w:t>
      </w:r>
      <w:r>
        <w:rPr>
          <w:spacing w:val="-30"/>
        </w:rPr>
        <w:t> </w:t>
      </w:r>
      <w:r>
        <w:rPr/>
        <w:t>delivery</w:t>
      </w:r>
      <w:r>
        <w:rPr>
          <w:spacing w:val="-29"/>
        </w:rPr>
        <w:t> </w:t>
      </w:r>
      <w:r>
        <w:rPr/>
        <w:t>and</w:t>
      </w:r>
      <w:r>
        <w:rPr>
          <w:spacing w:val="-30"/>
        </w:rPr>
        <w:t> </w:t>
      </w:r>
      <w:r>
        <w:rPr/>
        <w:t>management</w:t>
      </w:r>
      <w:r>
        <w:rPr>
          <w:spacing w:val="-29"/>
        </w:rPr>
        <w:t> </w:t>
      </w:r>
      <w:r>
        <w:rPr/>
        <w:t>of</w:t>
      </w:r>
      <w:r>
        <w:rPr>
          <w:spacing w:val="-30"/>
        </w:rPr>
        <w:t> </w:t>
      </w:r>
      <w:r>
        <w:rPr/>
        <w:t>a</w:t>
      </w:r>
      <w:r>
        <w:rPr>
          <w:spacing w:val="-30"/>
        </w:rPr>
        <w:t> </w:t>
      </w:r>
      <w:r>
        <w:rPr>
          <w:spacing w:val="-3"/>
        </w:rPr>
        <w:t>property</w:t>
      </w:r>
      <w:r>
        <w:rPr>
          <w:spacing w:val="-29"/>
        </w:rPr>
        <w:t> </w:t>
      </w:r>
      <w:r>
        <w:rPr/>
        <w:t>portfolio</w:t>
      </w:r>
      <w:r>
        <w:rPr>
          <w:spacing w:val="-30"/>
        </w:rPr>
        <w:t> </w:t>
      </w:r>
      <w:r>
        <w:rPr/>
        <w:t>that</w:t>
      </w:r>
      <w:r>
        <w:rPr>
          <w:spacing w:val="-29"/>
        </w:rPr>
        <w:t> </w:t>
      </w:r>
      <w:r>
        <w:rPr/>
        <w:t>supports</w:t>
      </w:r>
      <w:r>
        <w:rPr>
          <w:spacing w:val="-30"/>
        </w:rPr>
        <w:t> </w:t>
      </w:r>
      <w:r>
        <w:rPr/>
        <w:t>the</w:t>
      </w:r>
      <w:r>
        <w:rPr>
          <w:spacing w:val="-30"/>
        </w:rPr>
        <w:t> </w:t>
      </w:r>
      <w:r>
        <w:rPr/>
        <w:t>delivery</w:t>
      </w:r>
      <w:r>
        <w:rPr>
          <w:spacing w:val="-29"/>
        </w:rPr>
        <w:t> </w:t>
      </w:r>
      <w:r>
        <w:rPr/>
        <w:t>of</w:t>
      </w:r>
      <w:r>
        <w:rPr>
          <w:spacing w:val="-30"/>
        </w:rPr>
        <w:t> </w:t>
      </w:r>
      <w:r>
        <w:rPr/>
        <w:t>government</w:t>
      </w:r>
      <w:r>
        <w:rPr>
          <w:spacing w:val="-30"/>
        </w:rPr>
        <w:t> </w:t>
      </w:r>
      <w:r>
        <w:rPr/>
        <w:t>services</w:t>
      </w:r>
      <w:r>
        <w:rPr>
          <w:spacing w:val="-29"/>
        </w:rPr>
        <w:t> </w:t>
      </w:r>
      <w:r>
        <w:rPr/>
        <w:t>to</w:t>
      </w:r>
      <w:r>
        <w:rPr>
          <w:spacing w:val="-30"/>
        </w:rPr>
        <w:t> </w:t>
      </w:r>
      <w:r>
        <w:rPr/>
        <w:t>the</w:t>
      </w:r>
      <w:r>
        <w:rPr>
          <w:spacing w:val="-29"/>
        </w:rPr>
        <w:t> </w:t>
      </w:r>
      <w:r>
        <w:rPr/>
        <w:t>community</w:t>
      </w:r>
      <w:r>
        <w:rPr>
          <w:spacing w:val="-30"/>
        </w:rPr>
        <w:t> </w:t>
      </w:r>
      <w:r>
        <w:rPr/>
        <w:t>including</w:t>
      </w:r>
      <w:r>
        <w:rPr>
          <w:spacing w:val="-30"/>
        </w:rPr>
        <w:t> </w:t>
      </w:r>
      <w:r>
        <w:rPr>
          <w:spacing w:val="-2"/>
        </w:rPr>
        <w:t>the </w:t>
      </w:r>
      <w:r>
        <w:rPr/>
        <w:t>delivery</w:t>
      </w:r>
      <w:r>
        <w:rPr>
          <w:spacing w:val="-7"/>
        </w:rPr>
        <w:t> </w:t>
      </w:r>
      <w:r>
        <w:rPr/>
        <w:t>of</w:t>
      </w:r>
      <w:r>
        <w:rPr>
          <w:spacing w:val="-7"/>
        </w:rPr>
        <w:t> </w:t>
      </w:r>
      <w:r>
        <w:rPr/>
        <w:t>new</w:t>
      </w:r>
      <w:r>
        <w:rPr>
          <w:spacing w:val="-6"/>
        </w:rPr>
        <w:t> </w:t>
      </w:r>
      <w:r>
        <w:rPr/>
        <w:t>building</w:t>
      </w:r>
      <w:r>
        <w:rPr>
          <w:spacing w:val="-7"/>
        </w:rPr>
        <w:t> </w:t>
      </w:r>
      <w:r>
        <w:rPr/>
        <w:t>works,</w:t>
      </w:r>
      <w:r>
        <w:rPr>
          <w:spacing w:val="-7"/>
        </w:rPr>
        <w:t> </w:t>
      </w:r>
      <w:r>
        <w:rPr/>
        <w:t>maintenance</w:t>
      </w:r>
      <w:r>
        <w:rPr>
          <w:spacing w:val="-6"/>
        </w:rPr>
        <w:t> </w:t>
      </w:r>
      <w:r>
        <w:rPr>
          <w:spacing w:val="-3"/>
        </w:rPr>
        <w:t>programs</w:t>
      </w:r>
      <w:r>
        <w:rPr>
          <w:spacing w:val="-7"/>
        </w:rPr>
        <w:t> </w:t>
      </w:r>
      <w:r>
        <w:rPr/>
        <w:t>for</w:t>
      </w:r>
      <w:r>
        <w:rPr>
          <w:spacing w:val="-6"/>
        </w:rPr>
        <w:t> </w:t>
      </w:r>
      <w:r>
        <w:rPr/>
        <w:t>existing</w:t>
      </w:r>
      <w:r>
        <w:rPr>
          <w:spacing w:val="-7"/>
        </w:rPr>
        <w:t> </w:t>
      </w:r>
      <w:r>
        <w:rPr/>
        <w:t>buildings</w:t>
      </w:r>
      <w:r>
        <w:rPr>
          <w:spacing w:val="-7"/>
        </w:rPr>
        <w:t> </w:t>
      </w:r>
      <w:r>
        <w:rPr/>
        <w:t>and</w:t>
      </w:r>
      <w:r>
        <w:rPr>
          <w:spacing w:val="-6"/>
        </w:rPr>
        <w:t> </w:t>
      </w:r>
      <w:r>
        <w:rPr>
          <w:spacing w:val="-3"/>
        </w:rPr>
        <w:t>office</w:t>
      </w:r>
      <w:r>
        <w:rPr>
          <w:spacing w:val="-7"/>
        </w:rPr>
        <w:t> </w:t>
      </w:r>
      <w:r>
        <w:rPr/>
        <w:t>accommodation.</w:t>
      </w:r>
    </w:p>
    <w:p>
      <w:pPr>
        <w:pStyle w:val="BodyText"/>
        <w:spacing w:before="1"/>
        <w:rPr>
          <w:sz w:val="23"/>
        </w:rPr>
      </w:pPr>
    </w:p>
    <w:p>
      <w:pPr>
        <w:pStyle w:val="BodyText"/>
        <w:spacing w:line="249" w:lineRule="auto"/>
        <w:ind w:left="765" w:right="819"/>
      </w:pPr>
      <w:r>
        <w:rPr/>
        <w:t>These</w:t>
      </w:r>
      <w:r>
        <w:rPr>
          <w:spacing w:val="-29"/>
        </w:rPr>
        <w:t> </w:t>
      </w:r>
      <w:r>
        <w:rPr/>
        <w:t>indicators</w:t>
      </w:r>
      <w:r>
        <w:rPr>
          <w:spacing w:val="-29"/>
        </w:rPr>
        <w:t> </w:t>
      </w:r>
      <w:r>
        <w:rPr/>
        <w:t>demonstrate</w:t>
      </w:r>
      <w:r>
        <w:rPr>
          <w:spacing w:val="-29"/>
        </w:rPr>
        <w:t> </w:t>
      </w:r>
      <w:r>
        <w:rPr/>
        <w:t>the</w:t>
      </w:r>
      <w:r>
        <w:rPr>
          <w:spacing w:val="-29"/>
        </w:rPr>
        <w:t> </w:t>
      </w:r>
      <w:r>
        <w:rPr/>
        <w:t>ability</w:t>
      </w:r>
      <w:r>
        <w:rPr>
          <w:spacing w:val="-29"/>
        </w:rPr>
        <w:t> </w:t>
      </w:r>
      <w:r>
        <w:rPr/>
        <w:t>of</w:t>
      </w:r>
      <w:r>
        <w:rPr>
          <w:spacing w:val="-29"/>
        </w:rPr>
        <w:t> </w:t>
      </w:r>
      <w:r>
        <w:rPr/>
        <w:t>Building</w:t>
      </w:r>
      <w:r>
        <w:rPr>
          <w:spacing w:val="-29"/>
        </w:rPr>
        <w:t> </w:t>
      </w:r>
      <w:r>
        <w:rPr/>
        <w:t>Management</w:t>
      </w:r>
      <w:r>
        <w:rPr>
          <w:spacing w:val="-29"/>
        </w:rPr>
        <w:t> </w:t>
      </w:r>
      <w:r>
        <w:rPr/>
        <w:t>and</w:t>
      </w:r>
      <w:r>
        <w:rPr>
          <w:spacing w:val="-28"/>
        </w:rPr>
        <w:t> </w:t>
      </w:r>
      <w:r>
        <w:rPr>
          <w:spacing w:val="-3"/>
        </w:rPr>
        <w:t>Works</w:t>
      </w:r>
      <w:r>
        <w:rPr>
          <w:spacing w:val="-29"/>
        </w:rPr>
        <w:t> </w:t>
      </w:r>
      <w:r>
        <w:rPr/>
        <w:t>to</w:t>
      </w:r>
      <w:r>
        <w:rPr>
          <w:spacing w:val="-29"/>
        </w:rPr>
        <w:t> </w:t>
      </w:r>
      <w:r>
        <w:rPr/>
        <w:t>achieve</w:t>
      </w:r>
      <w:r>
        <w:rPr>
          <w:spacing w:val="-29"/>
        </w:rPr>
        <w:t> </w:t>
      </w:r>
      <w:r>
        <w:rPr/>
        <w:t>a</w:t>
      </w:r>
      <w:r>
        <w:rPr>
          <w:spacing w:val="-29"/>
        </w:rPr>
        <w:t> </w:t>
      </w:r>
      <w:r>
        <w:rPr>
          <w:spacing w:val="-3"/>
        </w:rPr>
        <w:t>reduced</w:t>
      </w:r>
      <w:r>
        <w:rPr>
          <w:spacing w:val="-29"/>
        </w:rPr>
        <w:t> </w:t>
      </w:r>
      <w:r>
        <w:rPr/>
        <w:t>accommodation</w:t>
      </w:r>
      <w:r>
        <w:rPr>
          <w:spacing w:val="-29"/>
        </w:rPr>
        <w:t> </w:t>
      </w:r>
      <w:r>
        <w:rPr/>
        <w:t>footprint</w:t>
      </w:r>
      <w:r>
        <w:rPr>
          <w:spacing w:val="-29"/>
        </w:rPr>
        <w:t> </w:t>
      </w:r>
      <w:r>
        <w:rPr/>
        <w:t>for</w:t>
      </w:r>
      <w:r>
        <w:rPr>
          <w:spacing w:val="-28"/>
        </w:rPr>
        <w:t> </w:t>
      </w:r>
      <w:r>
        <w:rPr/>
        <w:t>government</w:t>
      </w:r>
      <w:r>
        <w:rPr>
          <w:spacing w:val="-29"/>
        </w:rPr>
        <w:t> </w:t>
      </w:r>
      <w:r>
        <w:rPr/>
        <w:t>use,</w:t>
      </w:r>
      <w:r>
        <w:rPr>
          <w:spacing w:val="-29"/>
        </w:rPr>
        <w:t> </w:t>
      </w:r>
      <w:r>
        <w:rPr>
          <w:spacing w:val="-3"/>
        </w:rPr>
        <w:t>ensure</w:t>
      </w:r>
      <w:r>
        <w:rPr>
          <w:spacing w:val="-29"/>
        </w:rPr>
        <w:t> </w:t>
      </w:r>
      <w:r>
        <w:rPr/>
        <w:t>the</w:t>
      </w:r>
      <w:r>
        <w:rPr>
          <w:spacing w:val="-29"/>
        </w:rPr>
        <w:t> </w:t>
      </w:r>
      <w:r>
        <w:rPr>
          <w:spacing w:val="-2"/>
        </w:rPr>
        <w:t>timely </w:t>
      </w:r>
      <w:r>
        <w:rPr>
          <w:spacing w:val="-3"/>
        </w:rPr>
        <w:t>response</w:t>
      </w:r>
      <w:r>
        <w:rPr>
          <w:spacing w:val="-8"/>
        </w:rPr>
        <w:t> </w:t>
      </w:r>
      <w:r>
        <w:rPr/>
        <w:t>to</w:t>
      </w:r>
      <w:r>
        <w:rPr>
          <w:spacing w:val="-8"/>
        </w:rPr>
        <w:t> </w:t>
      </w:r>
      <w:r>
        <w:rPr/>
        <w:t>maintenance</w:t>
      </w:r>
      <w:r>
        <w:rPr>
          <w:spacing w:val="-8"/>
        </w:rPr>
        <w:t> </w:t>
      </w:r>
      <w:r>
        <w:rPr/>
        <w:t>issues</w:t>
      </w:r>
      <w:r>
        <w:rPr>
          <w:spacing w:val="-8"/>
        </w:rPr>
        <w:t> </w:t>
      </w:r>
      <w:r>
        <w:rPr/>
        <w:t>and</w:t>
      </w:r>
      <w:r>
        <w:rPr>
          <w:spacing w:val="-8"/>
        </w:rPr>
        <w:t> </w:t>
      </w:r>
      <w:r>
        <w:rPr/>
        <w:t>deliver</w:t>
      </w:r>
      <w:r>
        <w:rPr>
          <w:spacing w:val="-8"/>
        </w:rPr>
        <w:t> </w:t>
      </w:r>
      <w:r>
        <w:rPr/>
        <w:t>capital</w:t>
      </w:r>
      <w:r>
        <w:rPr>
          <w:spacing w:val="-8"/>
        </w:rPr>
        <w:t> </w:t>
      </w:r>
      <w:r>
        <w:rPr/>
        <w:t>works</w:t>
      </w:r>
      <w:r>
        <w:rPr>
          <w:spacing w:val="-8"/>
        </w:rPr>
        <w:t> </w:t>
      </w:r>
      <w:r>
        <w:rPr>
          <w:spacing w:val="-3"/>
        </w:rPr>
        <w:t>programs</w:t>
      </w:r>
      <w:r>
        <w:rPr>
          <w:spacing w:val="-8"/>
        </w:rPr>
        <w:t> </w:t>
      </w:r>
      <w:r>
        <w:rPr/>
        <w:t>on</w:t>
      </w:r>
      <w:r>
        <w:rPr>
          <w:spacing w:val="-8"/>
        </w:rPr>
        <w:t> </w:t>
      </w:r>
      <w:r>
        <w:rPr/>
        <w:t>behalf</w:t>
      </w:r>
      <w:r>
        <w:rPr>
          <w:spacing w:val="-8"/>
        </w:rPr>
        <w:t> </w:t>
      </w:r>
      <w:r>
        <w:rPr/>
        <w:t>of</w:t>
      </w:r>
      <w:r>
        <w:rPr>
          <w:spacing w:val="-8"/>
        </w:rPr>
        <w:t> </w:t>
      </w:r>
      <w:r>
        <w:rPr/>
        <w:t>client</w:t>
      </w:r>
      <w:r>
        <w:rPr>
          <w:spacing w:val="-8"/>
        </w:rPr>
        <w:t> </w:t>
      </w:r>
      <w:r>
        <w:rPr/>
        <w:t>agencies</w:t>
      </w:r>
      <w:r>
        <w:rPr>
          <w:spacing w:val="-8"/>
        </w:rPr>
        <w:t> </w:t>
      </w:r>
      <w:r>
        <w:rPr/>
        <w:t>in</w:t>
      </w:r>
      <w:r>
        <w:rPr>
          <w:spacing w:val="-8"/>
        </w:rPr>
        <w:t> </w:t>
      </w:r>
      <w:r>
        <w:rPr/>
        <w:t>a</w:t>
      </w:r>
      <w:r>
        <w:rPr>
          <w:spacing w:val="-8"/>
        </w:rPr>
        <w:t> </w:t>
      </w:r>
      <w:r>
        <w:rPr/>
        <w:t>timely</w:t>
      </w:r>
      <w:r>
        <w:rPr>
          <w:spacing w:val="-8"/>
        </w:rPr>
        <w:t> </w:t>
      </w:r>
      <w:r>
        <w:rPr>
          <w:spacing w:val="-5"/>
        </w:rPr>
        <w:t>manner.</w:t>
      </w:r>
    </w:p>
    <w:p>
      <w:pPr>
        <w:pStyle w:val="BodyText"/>
        <w:spacing w:before="9"/>
        <w:rPr>
          <w:sz w:val="13"/>
        </w:rPr>
      </w:pPr>
    </w:p>
    <w:p>
      <w:pPr>
        <w:spacing w:after="0"/>
        <w:rPr>
          <w:sz w:val="13"/>
        </w:rPr>
        <w:sectPr>
          <w:footerReference w:type="default" r:id="rId260"/>
          <w:pgSz w:w="16840" w:h="11910" w:orient="landscape"/>
          <w:pgMar w:footer="0" w:header="0" w:top="0" w:bottom="280" w:left="0" w:right="0"/>
        </w:sectPr>
      </w:pPr>
    </w:p>
    <w:p>
      <w:pPr>
        <w:pStyle w:val="Heading6"/>
        <w:spacing w:line="249" w:lineRule="auto" w:before="108"/>
        <w:rPr>
          <w:sz w:val="10"/>
        </w:rPr>
      </w:pPr>
      <w:r>
        <w:rPr/>
        <w:t>Average office accommodation floor space </w:t>
      </w:r>
      <w:r>
        <w:rPr>
          <w:w w:val="101"/>
        </w:rPr>
        <w:t>per</w:t>
      </w:r>
      <w:r>
        <w:rPr/>
        <w:t> </w:t>
      </w:r>
      <w:r>
        <w:rPr>
          <w:w w:val="102"/>
        </w:rPr>
        <w:t>work</w:t>
      </w:r>
      <w:r>
        <w:rPr/>
        <w:t> </w:t>
      </w:r>
      <w:r>
        <w:rPr>
          <w:w w:val="99"/>
        </w:rPr>
        <w:t>point</w:t>
      </w:r>
      <w:r>
        <w:rPr/>
        <w:t> </w:t>
      </w:r>
      <w:r>
        <w:rPr>
          <w:w w:val="98"/>
        </w:rPr>
        <w:t>(m</w:t>
      </w:r>
      <w:r>
        <w:rPr>
          <w:w w:val="99"/>
          <w:position w:val="8"/>
          <w:sz w:val="10"/>
        </w:rPr>
        <w:t>2</w:t>
      </w:r>
      <w:r>
        <w:rPr>
          <w:w w:val="88"/>
        </w:rPr>
        <w:t>)</w:t>
      </w:r>
      <w:r>
        <w:rPr/>
        <w:t> </w:t>
      </w:r>
      <w:r>
        <w:rPr>
          <w:w w:val="95"/>
          <w:position w:val="8"/>
          <w:sz w:val="10"/>
        </w:rPr>
        <w:t>(a)</w:t>
      </w:r>
    </w:p>
    <w:p>
      <w:pPr>
        <w:spacing w:line="249" w:lineRule="auto" w:before="108"/>
        <w:ind w:left="682" w:right="0" w:firstLine="0"/>
        <w:jc w:val="left"/>
        <w:rPr>
          <w:b/>
          <w:sz w:val="10"/>
        </w:rPr>
      </w:pPr>
      <w:r>
        <w:rPr/>
        <w:br w:type="column"/>
      </w:r>
      <w:r>
        <w:rPr>
          <w:b/>
          <w:spacing w:val="-3"/>
          <w:sz w:val="22"/>
        </w:rPr>
        <w:t>Percentage </w:t>
      </w:r>
      <w:r>
        <w:rPr>
          <w:b/>
          <w:sz w:val="22"/>
        </w:rPr>
        <w:t>of maintenance services </w:t>
      </w:r>
      <w:r>
        <w:rPr>
          <w:b/>
          <w:spacing w:val="-3"/>
          <w:sz w:val="22"/>
        </w:rPr>
        <w:t>delivered </w:t>
      </w:r>
      <w:r>
        <w:rPr>
          <w:b/>
          <w:sz w:val="22"/>
        </w:rPr>
        <w:t>within 10% of </w:t>
      </w:r>
      <w:r>
        <w:rPr>
          <w:b/>
          <w:spacing w:val="-3"/>
          <w:sz w:val="22"/>
        </w:rPr>
        <w:t>approved </w:t>
      </w:r>
      <w:r>
        <w:rPr>
          <w:b/>
          <w:sz w:val="22"/>
        </w:rPr>
        <w:t>timeframe (%) </w:t>
      </w:r>
      <w:r>
        <w:rPr>
          <w:b/>
          <w:position w:val="8"/>
          <w:sz w:val="10"/>
        </w:rPr>
        <w:t>(b)</w:t>
      </w:r>
    </w:p>
    <w:p>
      <w:pPr>
        <w:spacing w:line="249" w:lineRule="auto" w:before="108"/>
        <w:ind w:left="412" w:right="522" w:firstLine="0"/>
        <w:jc w:val="left"/>
        <w:rPr>
          <w:b/>
          <w:sz w:val="10"/>
        </w:rPr>
      </w:pPr>
      <w:r>
        <w:rPr/>
        <w:br w:type="column"/>
      </w:r>
      <w:r>
        <w:rPr>
          <w:b/>
          <w:sz w:val="22"/>
        </w:rPr>
        <w:t>Percentage of significant projects in New Buildings Program delivered within three months of approved timeframe (%) </w:t>
      </w:r>
      <w:r>
        <w:rPr>
          <w:b/>
          <w:position w:val="8"/>
          <w:sz w:val="10"/>
        </w:rPr>
        <w:t>(c)</w:t>
      </w:r>
    </w:p>
    <w:p>
      <w:pPr>
        <w:spacing w:after="0" w:line="249" w:lineRule="auto"/>
        <w:jc w:val="left"/>
        <w:rPr>
          <w:sz w:val="10"/>
        </w:rPr>
        <w:sectPr>
          <w:type w:val="continuous"/>
          <w:pgSz w:w="16840" w:h="11910" w:orient="landscape"/>
          <w:pgMar w:top="0" w:bottom="0" w:left="0" w:right="0"/>
          <w:cols w:num="3" w:equalWidth="0">
            <w:col w:w="5287" w:space="40"/>
            <w:col w:w="5474" w:space="39"/>
            <w:col w:w="6000"/>
          </w:cols>
        </w:sectPr>
      </w:pPr>
    </w:p>
    <w:p>
      <w:pPr>
        <w:pStyle w:val="BodyText"/>
        <w:spacing w:before="7"/>
        <w:rPr>
          <w:b/>
          <w:sz w:val="7"/>
        </w:rPr>
      </w:pPr>
    </w:p>
    <w:p>
      <w:pPr>
        <w:tabs>
          <w:tab w:pos="6009" w:val="left" w:leader="none"/>
          <w:tab w:pos="11243" w:val="left" w:leader="none"/>
        </w:tabs>
        <w:spacing w:line="240" w:lineRule="auto"/>
        <w:ind w:left="765" w:right="0" w:firstLine="0"/>
        <w:rPr>
          <w:sz w:val="20"/>
        </w:rPr>
      </w:pPr>
      <w:r>
        <w:rPr>
          <w:sz w:val="20"/>
        </w:rPr>
        <w:pict>
          <v:group style="width:40.2pt;height:129pt;mso-position-horizontal-relative:char;mso-position-vertical-relative:line" coordorigin="0,0" coordsize="804,2580">
            <v:shape style="position:absolute;left:401;top:416;width:397;height:2158" coordorigin="402,417" coordsize="397,2158" path="m799,417l402,814,402,2575,799,2575,799,417xe" filled="true" fillcolor="#f5f6ea" stroked="false">
              <v:path arrowok="t"/>
              <v:fill type="solid"/>
            </v:shape>
            <v:shape style="position:absolute;left:0;top:404;width:804;height:2175" coordorigin="0,405" coordsize="804,2175" path="m0,405l0,2580,804,2580,804,2570,10,2570,10,429,1,420,5,417,12,417,0,405xm804,429l794,429,794,2570,804,2570,804,429xm12,417l10,417,10,429,402,821,416,807,402,807,12,417xm804,405l402,807,416,807,794,429,804,429,804,405xm10,417l5,417,1,420,10,429,10,417xe" filled="true" fillcolor="#aebd37" stroked="false">
              <v:path arrowok="t"/>
              <v:fill type="solid"/>
            </v:shape>
            <v:shape style="position:absolute;left:33;top:0;width:737;height:738" coordorigin="33,0" coordsize="737,738" path="m402,0l33,369,402,737,770,369,402,0xe" filled="true" fillcolor="#aebd37" stroked="false">
              <v:path arrowok="t"/>
              <v:fill type="solid"/>
            </v:shape>
            <v:shape style="position:absolute;left:211;top:248;width:390;height:227" type="#_x0000_t202" filled="false" stroked="false">
              <v:textbox inset="0,0,0,0">
                <w:txbxContent>
                  <w:p>
                    <w:pPr>
                      <w:spacing w:before="7"/>
                      <w:ind w:left="0" w:right="0" w:firstLine="0"/>
                      <w:jc w:val="left"/>
                      <w:rPr>
                        <w:b/>
                        <w:sz w:val="19"/>
                      </w:rPr>
                    </w:pPr>
                    <w:r>
                      <w:rPr>
                        <w:b/>
                        <w:color w:val="FFFFFF"/>
                        <w:sz w:val="19"/>
                      </w:rPr>
                      <w:t>15.6</w:t>
                    </w:r>
                  </w:p>
                </w:txbxContent>
              </v:textbox>
              <w10:wrap type="none"/>
            </v:shape>
          </v:group>
        </w:pict>
      </w:r>
      <w:r>
        <w:rPr>
          <w:sz w:val="20"/>
        </w:rPr>
      </w:r>
      <w:r>
        <w:rPr>
          <w:rFonts w:ascii="Times New Roman"/>
          <w:spacing w:val="136"/>
          <w:sz w:val="20"/>
        </w:rPr>
        <w:t> </w:t>
      </w:r>
      <w:r>
        <w:rPr>
          <w:spacing w:val="136"/>
          <w:sz w:val="20"/>
        </w:rPr>
        <w:pict>
          <v:group style="width:40.2pt;height:124pt;mso-position-horizontal-relative:char;mso-position-vertical-relative:line" coordorigin="0,0" coordsize="804,2480">
            <v:shape style="position:absolute;left:401;top:416;width:397;height:2058" coordorigin="402,417" coordsize="397,2058" path="m799,417l402,814,402,2475,799,2475,799,417xe" filled="true" fillcolor="#f5f6ea" stroked="false">
              <v:path arrowok="t"/>
              <v:fill type="solid"/>
            </v:shape>
            <v:shape style="position:absolute;left:0;top:404;width:804;height:2075" coordorigin="0,405" coordsize="804,2075" path="m0,405l0,2480,804,2480,804,2470,10,2470,10,429,1,420,5,417,12,417,0,405xm804,429l794,429,794,2470,804,2470,804,429xm12,417l10,417,10,429,402,821,416,807,402,807,12,417xm804,405l402,807,416,807,794,429,804,429,804,405xm10,417l5,417,1,420,10,429,10,417xe" filled="true" fillcolor="#aebd37" stroked="false">
              <v:path arrowok="t"/>
              <v:fill type="solid"/>
            </v:shape>
            <v:shape style="position:absolute;left:33;top:0;width:737;height:738" coordorigin="33,0" coordsize="737,738" path="m402,0l33,369,402,737,770,369,402,0xe" filled="true" fillcolor="#aebd37" stroked="false">
              <v:path arrowok="t"/>
              <v:fill type="solid"/>
            </v:shape>
            <v:shape style="position:absolute;left:211;top:248;width:390;height:227" type="#_x0000_t202" filled="false" stroked="false">
              <v:textbox inset="0,0,0,0">
                <w:txbxContent>
                  <w:p>
                    <w:pPr>
                      <w:spacing w:before="7"/>
                      <w:ind w:left="0" w:right="0" w:firstLine="0"/>
                      <w:jc w:val="left"/>
                      <w:rPr>
                        <w:b/>
                        <w:sz w:val="19"/>
                      </w:rPr>
                    </w:pPr>
                    <w:r>
                      <w:rPr>
                        <w:b/>
                        <w:color w:val="FFFFFF"/>
                        <w:sz w:val="19"/>
                      </w:rPr>
                      <w:t>15.3</w:t>
                    </w:r>
                  </w:p>
                </w:txbxContent>
              </v:textbox>
              <w10:wrap type="none"/>
            </v:shape>
          </v:group>
        </w:pict>
      </w:r>
      <w:r>
        <w:rPr>
          <w:spacing w:val="136"/>
          <w:sz w:val="20"/>
        </w:rPr>
      </w:r>
      <w:r>
        <w:rPr>
          <w:rFonts w:ascii="Times New Roman"/>
          <w:spacing w:val="136"/>
          <w:sz w:val="20"/>
        </w:rPr>
        <w:t> </w:t>
      </w:r>
      <w:r>
        <w:rPr>
          <w:spacing w:val="136"/>
          <w:sz w:val="20"/>
        </w:rPr>
        <w:pict>
          <v:group style="width:40.2pt;height:121pt;mso-position-horizontal-relative:char;mso-position-vertical-relative:line" coordorigin="0,0" coordsize="804,2420">
            <v:shape style="position:absolute;left:401;top:416;width:397;height:1998" coordorigin="402,417" coordsize="397,1998" path="m799,417l402,814,402,2415,799,2415,799,417xe" filled="true" fillcolor="#f5f6ea" stroked="false">
              <v:path arrowok="t"/>
              <v:fill type="solid"/>
            </v:shape>
            <v:shape style="position:absolute;left:0;top:404;width:804;height:2015" coordorigin="0,405" coordsize="804,2015" path="m0,405l0,2420,804,2420,804,2410,10,2410,10,429,1,420,5,417,12,417,0,405xm804,429l794,429,794,2410,804,2410,804,429xm12,417l10,417,10,429,402,821,416,807,402,807,12,417xm804,405l402,807,416,807,794,429,804,429,804,405xm10,417l5,417,1,420,10,429,10,417xe" filled="true" fillcolor="#aebd37" stroked="false">
              <v:path arrowok="t"/>
              <v:fill type="solid"/>
            </v:shape>
            <v:shape style="position:absolute;left:33;top:0;width:737;height:738" coordorigin="33,0" coordsize="737,738" path="m402,0l33,369,402,737,770,369,402,0xe" filled="true" fillcolor="#aebd37" stroked="false">
              <v:path arrowok="t"/>
              <v:fill type="solid"/>
            </v:shape>
            <v:shape style="position:absolute;left:211;top:248;width:390;height:227" type="#_x0000_t202" filled="false" stroked="false">
              <v:textbox inset="0,0,0,0">
                <w:txbxContent>
                  <w:p>
                    <w:pPr>
                      <w:spacing w:before="7"/>
                      <w:ind w:left="0" w:right="0" w:firstLine="0"/>
                      <w:jc w:val="left"/>
                      <w:rPr>
                        <w:b/>
                        <w:sz w:val="19"/>
                      </w:rPr>
                    </w:pPr>
                    <w:r>
                      <w:rPr>
                        <w:b/>
                        <w:color w:val="FFFFFF"/>
                        <w:sz w:val="19"/>
                      </w:rPr>
                      <w:t>15.2</w:t>
                    </w:r>
                  </w:p>
                </w:txbxContent>
              </v:textbox>
              <w10:wrap type="none"/>
            </v:shape>
          </v:group>
        </w:pict>
      </w:r>
      <w:r>
        <w:rPr>
          <w:spacing w:val="136"/>
          <w:sz w:val="20"/>
        </w:rPr>
      </w:r>
      <w:r>
        <w:rPr>
          <w:rFonts w:ascii="Times New Roman"/>
          <w:spacing w:val="136"/>
          <w:sz w:val="20"/>
        </w:rPr>
        <w:t> </w:t>
      </w:r>
      <w:r>
        <w:rPr>
          <w:spacing w:val="136"/>
          <w:sz w:val="20"/>
        </w:rPr>
        <w:pict>
          <v:group style="width:40.2pt;height:117pt;mso-position-horizontal-relative:char;mso-position-vertical-relative:line" coordorigin="0,0" coordsize="804,2340">
            <v:shape style="position:absolute;left:401;top:428;width:392;height:1901" coordorigin="402,429" coordsize="392,1901" path="m794,429l402,821,402,2330,794,2330,794,429xe" filled="true" fillcolor="#eae3ea" stroked="false">
              <v:path arrowok="t"/>
              <v:fill type="solid"/>
            </v:shape>
            <v:shape style="position:absolute;left:0;top:404;width:804;height:1935" coordorigin="0,405" coordsize="804,1935" path="m0,405l0,2340,804,2340,804,2335,402,2335,402,2330,10,2330,10,429,24,429,16,420,1,420,5,417,12,417,0,405xm804,417l799,417,799,2335,804,2335,804,417xm24,429l10,429,402,821,402,814,409,807,402,807,24,429xm804,405l402,807,409,807,799,417,804,417,804,405xm12,417l5,417,1,420,16,420,12,417xe" filled="true" fillcolor="#8d5f8e" stroked="false">
              <v:path arrowok="t"/>
              <v:fill type="solid"/>
            </v:shape>
            <v:shape style="position:absolute;left:401;top:416;width:397;height:1918" coordorigin="402,417" coordsize="397,1918" path="m799,429l794,429,794,2330,402,2330,402,2335,799,2335,799,429xm799,417l402,814,402,821,794,429,799,429,799,417xe" filled="true" fillcolor="#8b5a8b" stroked="false">
              <v:path arrowok="t"/>
              <v:fill type="solid"/>
            </v:shape>
            <v:shape style="position:absolute;left:33;top:0;width:737;height:738" coordorigin="33,0" coordsize="737,738" path="m402,0l33,369,402,737,770,369,402,0xe" filled="true" fillcolor="#6f2770" stroked="false">
              <v:path arrowok="t"/>
              <v:fill type="solid"/>
            </v:shape>
            <v:shape style="position:absolute;left:211;top:248;width:390;height:227" type="#_x0000_t202" filled="false" stroked="false">
              <v:textbox inset="0,0,0,0">
                <w:txbxContent>
                  <w:p>
                    <w:pPr>
                      <w:spacing w:before="7"/>
                      <w:ind w:left="0" w:right="0" w:firstLine="0"/>
                      <w:jc w:val="left"/>
                      <w:rPr>
                        <w:b/>
                        <w:sz w:val="19"/>
                      </w:rPr>
                    </w:pPr>
                    <w:r>
                      <w:rPr>
                        <w:b/>
                        <w:color w:val="FFFFFF"/>
                        <w:sz w:val="19"/>
                      </w:rPr>
                      <w:t>15.0</w:t>
                    </w:r>
                  </w:p>
                </w:txbxContent>
              </v:textbox>
              <w10:wrap type="none"/>
            </v:shape>
          </v:group>
        </w:pict>
      </w:r>
      <w:r>
        <w:rPr>
          <w:spacing w:val="136"/>
          <w:sz w:val="20"/>
        </w:rPr>
      </w:r>
      <w:r>
        <w:rPr>
          <w:rFonts w:ascii="Times New Roman"/>
          <w:spacing w:val="136"/>
          <w:sz w:val="20"/>
        </w:rPr>
        <w:t> </w:t>
      </w:r>
      <w:r>
        <w:rPr>
          <w:spacing w:val="136"/>
          <w:sz w:val="20"/>
        </w:rPr>
        <w:pict>
          <v:group style="width:40.2pt;height:117pt;mso-position-horizontal-relative:char;mso-position-vertical-relative:line" coordorigin="0,0" coordsize="804,2340">
            <v:shape style="position:absolute;left:401;top:428;width:392;height:1901" coordorigin="402,429" coordsize="392,1901" path="m794,429l402,821,402,2330,794,2330,794,429xe" filled="true" fillcolor="#e1dce1" stroked="false">
              <v:path arrowok="t"/>
              <v:fill type="solid"/>
            </v:shape>
            <v:shape style="position:absolute;left:0;top:404;width:804;height:1935" coordorigin="0,405" coordsize="804,1935" path="m0,405l0,2340,804,2340,804,2335,402,2335,402,2330,10,2330,10,429,24,429,16,420,1,420,5,417,12,417,0,405xm804,417l799,417,799,2335,804,2335,804,417xm24,429l10,429,402,821,402,814,409,807,402,807,24,429xm804,405l402,807,409,807,799,417,804,417,804,405xm12,417l5,417,1,420,16,420,12,417xe" filled="true" fillcolor="#806a83" stroked="false">
              <v:path arrowok="t"/>
              <v:fill type="solid"/>
            </v:shape>
            <v:shape style="position:absolute;left:401;top:416;width:397;height:1918" coordorigin="402,417" coordsize="397,1918" path="m799,429l794,429,794,2330,402,2330,402,2335,799,2335,799,429xm799,417l402,814,402,821,794,429,799,429,799,417xe" filled="true" fillcolor="#79627d" stroked="false">
              <v:path arrowok="t"/>
              <v:fill type="solid"/>
            </v:shape>
            <v:shape style="position:absolute;left:33;top:0;width:737;height:738" coordorigin="33,0" coordsize="737,738" path="m402,0l33,369,402,737,770,369,402,0xe" filled="true" fillcolor="#360f41" stroked="false">
              <v:path arrowok="t"/>
              <v:fill type="solid"/>
            </v:shape>
            <v:shape style="position:absolute;left:211;top:248;width:390;height:227" type="#_x0000_t202" filled="false" stroked="false">
              <v:textbox inset="0,0,0,0">
                <w:txbxContent>
                  <w:p>
                    <w:pPr>
                      <w:spacing w:before="7"/>
                      <w:ind w:left="0" w:right="0" w:firstLine="0"/>
                      <w:jc w:val="left"/>
                      <w:rPr>
                        <w:b/>
                        <w:sz w:val="19"/>
                      </w:rPr>
                    </w:pPr>
                    <w:r>
                      <w:rPr>
                        <w:b/>
                        <w:color w:val="FFFFFF"/>
                        <w:sz w:val="19"/>
                      </w:rPr>
                      <w:t>15.0</w:t>
                    </w:r>
                  </w:p>
                </w:txbxContent>
              </v:textbox>
              <w10:wrap type="none"/>
            </v:shape>
          </v:group>
        </w:pict>
      </w:r>
      <w:r>
        <w:rPr>
          <w:spacing w:val="136"/>
          <w:sz w:val="20"/>
        </w:rPr>
      </w:r>
      <w:r>
        <w:rPr>
          <w:spacing w:val="136"/>
          <w:sz w:val="20"/>
        </w:rPr>
        <w:tab/>
      </w:r>
      <w:r>
        <w:rPr>
          <w:spacing w:val="136"/>
          <w:sz w:val="20"/>
        </w:rPr>
        <w:pict>
          <v:group style="width:40.2pt;height:89pt;mso-position-horizontal-relative:char;mso-position-vertical-relative:line" coordorigin="0,0" coordsize="804,1780">
            <v:shape style="position:absolute;left:401;top:416;width:397;height:1358" coordorigin="402,417" coordsize="397,1358" path="m799,417l402,814,402,1775,799,1775,799,417xe" filled="true" fillcolor="#f5f6ea" stroked="false">
              <v:path arrowok="t"/>
              <v:fill type="solid"/>
            </v:shape>
            <v:shape style="position:absolute;left:0;top:404;width:804;height:1375" coordorigin="0,405" coordsize="804,1375" path="m0,405l0,1780,804,1780,804,1770,10,1770,10,429,1,420,5,417,12,417,0,405xm804,429l794,429,794,1770,804,1770,804,429xm12,417l10,417,10,429,402,821,416,807,402,807,12,417xm804,405l402,807,416,807,794,429,804,429,804,405xm10,417l5,417,1,420,10,429,10,417xe" filled="true" fillcolor="#aebd37" stroked="false">
              <v:path arrowok="t"/>
              <v:fill type="solid"/>
            </v:shape>
            <v:shape style="position:absolute;left:33;top:0;width:737;height:738" coordorigin="33,0" coordsize="737,738" path="m402,0l33,368,402,737,770,368,402,0xe" filled="true" fillcolor="#aebd37" stroked="false">
              <v:path arrowok="t"/>
              <v:fill type="solid"/>
            </v:shape>
            <v:shape style="position:absolute;left:0;top:0;width:804;height:1780" type="#_x0000_t202" filled="false" stroked="false">
              <v:textbox inset="0,0,0,0">
                <w:txbxContent>
                  <w:p>
                    <w:pPr>
                      <w:spacing w:line="240" w:lineRule="auto" w:before="2"/>
                      <w:rPr>
                        <w:b/>
                        <w:sz w:val="22"/>
                      </w:rPr>
                    </w:pPr>
                  </w:p>
                  <w:p>
                    <w:pPr>
                      <w:spacing w:before="0"/>
                      <w:ind w:left="211" w:right="0" w:firstLine="0"/>
                      <w:jc w:val="left"/>
                      <w:rPr>
                        <w:b/>
                        <w:sz w:val="19"/>
                      </w:rPr>
                    </w:pPr>
                    <w:r>
                      <w:rPr>
                        <w:b/>
                        <w:color w:val="FFFFFF"/>
                        <w:sz w:val="19"/>
                      </w:rPr>
                      <w:t>76.2</w:t>
                    </w:r>
                  </w:p>
                </w:txbxContent>
              </v:textbox>
              <w10:wrap type="none"/>
            </v:shape>
          </v:group>
        </w:pict>
      </w:r>
      <w:r>
        <w:rPr>
          <w:spacing w:val="136"/>
          <w:sz w:val="20"/>
        </w:rPr>
      </w:r>
      <w:r>
        <w:rPr>
          <w:rFonts w:ascii="Times New Roman"/>
          <w:spacing w:val="136"/>
          <w:sz w:val="20"/>
        </w:rPr>
        <w:t> </w:t>
      </w:r>
      <w:r>
        <w:rPr>
          <w:spacing w:val="136"/>
          <w:sz w:val="20"/>
        </w:rPr>
        <w:pict>
          <v:group style="width:40.2pt;height:86pt;mso-position-horizontal-relative:char;mso-position-vertical-relative:line" coordorigin="0,0" coordsize="804,1720">
            <v:shape style="position:absolute;left:401;top:416;width:397;height:1298" coordorigin="402,417" coordsize="397,1298" path="m799,417l402,814,402,1715,799,1715,799,417xe" filled="true" fillcolor="#f5f6ea" stroked="false">
              <v:path arrowok="t"/>
              <v:fill type="solid"/>
            </v:shape>
            <v:shape style="position:absolute;left:0;top:404;width:804;height:1315" coordorigin="0,405" coordsize="804,1315" path="m0,405l0,1720,804,1720,804,1710,10,1710,10,429,1,420,5,417,12,417,0,405xm804,429l794,429,794,1710,804,1710,804,429xm12,417l10,417,10,429,402,821,416,807,402,807,12,417xm804,405l402,807,416,807,794,429,804,429,804,405xm10,417l5,417,1,420,10,429,10,417xe" filled="true" fillcolor="#aebd37" stroked="false">
              <v:path arrowok="t"/>
              <v:fill type="solid"/>
            </v:shape>
            <v:shape style="position:absolute;left:33;top:0;width:737;height:738" coordorigin="33,0" coordsize="737,738" path="m402,0l33,368,402,737,770,368,402,0xe" filled="true" fillcolor="#aebd37" stroked="false">
              <v:path arrowok="t"/>
              <v:fill type="solid"/>
            </v:shape>
            <v:shape style="position:absolute;left:0;top:0;width:804;height:1720" type="#_x0000_t202" filled="false" stroked="false">
              <v:textbox inset="0,0,0,0">
                <w:txbxContent>
                  <w:p>
                    <w:pPr>
                      <w:spacing w:line="240" w:lineRule="auto" w:before="2"/>
                      <w:rPr>
                        <w:rFonts w:ascii="Times New Roman"/>
                        <w:sz w:val="22"/>
                      </w:rPr>
                    </w:pPr>
                  </w:p>
                  <w:p>
                    <w:pPr>
                      <w:spacing w:before="0"/>
                      <w:ind w:left="211" w:right="0" w:firstLine="0"/>
                      <w:jc w:val="left"/>
                      <w:rPr>
                        <w:b/>
                        <w:sz w:val="19"/>
                      </w:rPr>
                    </w:pPr>
                    <w:r>
                      <w:rPr>
                        <w:b/>
                        <w:color w:val="FFFFFF"/>
                        <w:sz w:val="19"/>
                      </w:rPr>
                      <w:t>75.4</w:t>
                    </w:r>
                  </w:p>
                </w:txbxContent>
              </v:textbox>
              <w10:wrap type="none"/>
            </v:shape>
          </v:group>
        </w:pict>
      </w:r>
      <w:r>
        <w:rPr>
          <w:spacing w:val="136"/>
          <w:sz w:val="20"/>
        </w:rPr>
      </w:r>
      <w:r>
        <w:rPr>
          <w:rFonts w:ascii="Times New Roman"/>
          <w:spacing w:val="136"/>
          <w:sz w:val="20"/>
        </w:rPr>
        <w:t> </w:t>
      </w:r>
      <w:r>
        <w:rPr>
          <w:spacing w:val="136"/>
          <w:sz w:val="20"/>
        </w:rPr>
        <w:pict>
          <v:group style="width:40.2pt;height:86pt;mso-position-horizontal-relative:char;mso-position-vertical-relative:line" coordorigin="0,0" coordsize="804,1720">
            <v:shape style="position:absolute;left:401;top:416;width:397;height:1298" coordorigin="402,417" coordsize="397,1298" path="m799,417l402,814,402,1715,799,1715,799,417xe" filled="true" fillcolor="#f5f6ea" stroked="false">
              <v:path arrowok="t"/>
              <v:fill type="solid"/>
            </v:shape>
            <v:shape style="position:absolute;left:0;top:404;width:804;height:1315" coordorigin="0,405" coordsize="804,1315" path="m0,405l0,1720,804,1720,804,1710,10,1710,10,429,1,420,5,417,12,417,0,405xm804,429l794,429,794,1710,804,1710,804,429xm12,417l10,417,10,429,402,821,416,807,402,807,12,417xm804,405l402,807,416,807,794,429,804,429,804,405xm10,417l5,417,1,420,10,429,10,417xe" filled="true" fillcolor="#aebd37" stroked="false">
              <v:path arrowok="t"/>
              <v:fill type="solid"/>
            </v:shape>
            <v:shape style="position:absolute;left:33;top:0;width:737;height:738" coordorigin="33,0" coordsize="737,738" path="m402,0l33,368,402,737,770,368,402,0xe" filled="true" fillcolor="#aebd37" stroked="false">
              <v:path arrowok="t"/>
              <v:fill type="solid"/>
            </v:shape>
            <v:shape style="position:absolute;left:0;top:0;width:804;height:1720" type="#_x0000_t202" filled="false" stroked="false">
              <v:textbox inset="0,0,0,0">
                <w:txbxContent>
                  <w:p>
                    <w:pPr>
                      <w:spacing w:line="240" w:lineRule="auto" w:before="2"/>
                      <w:rPr>
                        <w:rFonts w:ascii="Times New Roman"/>
                        <w:sz w:val="22"/>
                      </w:rPr>
                    </w:pPr>
                  </w:p>
                  <w:p>
                    <w:pPr>
                      <w:spacing w:before="0"/>
                      <w:ind w:left="211" w:right="0" w:firstLine="0"/>
                      <w:jc w:val="left"/>
                      <w:rPr>
                        <w:b/>
                        <w:sz w:val="19"/>
                      </w:rPr>
                    </w:pPr>
                    <w:r>
                      <w:rPr>
                        <w:b/>
                        <w:color w:val="FFFFFF"/>
                        <w:sz w:val="19"/>
                      </w:rPr>
                      <w:t>75.4</w:t>
                    </w:r>
                  </w:p>
                </w:txbxContent>
              </v:textbox>
              <w10:wrap type="none"/>
            </v:shape>
          </v:group>
        </w:pict>
      </w:r>
      <w:r>
        <w:rPr>
          <w:spacing w:val="136"/>
          <w:sz w:val="20"/>
        </w:rPr>
      </w:r>
      <w:r>
        <w:rPr>
          <w:rFonts w:ascii="Times New Roman"/>
          <w:spacing w:val="136"/>
          <w:sz w:val="20"/>
        </w:rPr>
        <w:t> </w:t>
      </w:r>
      <w:r>
        <w:rPr>
          <w:spacing w:val="136"/>
          <w:sz w:val="20"/>
        </w:rPr>
        <w:pict>
          <v:group style="width:40.2pt;height:95pt;mso-position-horizontal-relative:char;mso-position-vertical-relative:line" coordorigin="0,0" coordsize="804,1900">
            <v:shape style="position:absolute;left:401;top:428;width:392;height:1461" coordorigin="402,429" coordsize="392,1461" path="m794,429l402,821,402,1890,794,1890,794,429xe" filled="true" fillcolor="#eae3ea" stroked="false">
              <v:path arrowok="t"/>
              <v:fill type="solid"/>
            </v:shape>
            <v:shape style="position:absolute;left:0;top:404;width:804;height:1495" coordorigin="0,405" coordsize="804,1495" path="m0,405l0,1900,804,1900,804,1895,402,1895,402,1890,10,1890,10,429,24,429,16,420,1,420,5,417,12,417,0,405xm804,417l799,417,799,1895,804,1895,804,417xm24,429l10,429,402,821,402,814,409,807,402,807,24,429xm804,405l402,807,409,807,799,417,804,417,804,405xm12,417l5,417,1,420,16,420,12,417xe" filled="true" fillcolor="#8d5f8e" stroked="false">
              <v:path arrowok="t"/>
              <v:fill type="solid"/>
            </v:shape>
            <v:shape style="position:absolute;left:401;top:416;width:397;height:1478" coordorigin="402,417" coordsize="397,1478" path="m799,429l794,429,794,1890,402,1890,402,1895,799,1895,799,429xm799,417l402,814,402,821,794,429,799,429,799,417xe" filled="true" fillcolor="#8b5a8b" stroked="false">
              <v:path arrowok="t"/>
              <v:fill type="solid"/>
            </v:shape>
            <v:shape style="position:absolute;left:33;top:0;width:737;height:738" coordorigin="33,0" coordsize="737,738" path="m402,0l33,368,402,737,770,368,402,0xe" filled="true" fillcolor="#6f2770" stroked="false">
              <v:path arrowok="t"/>
              <v:fill type="solid"/>
            </v:shape>
            <v:shape style="position:absolute;left:291;top:248;width:232;height:227" type="#_x0000_t202" filled="false" stroked="false">
              <v:textbox inset="0,0,0,0">
                <w:txbxContent>
                  <w:p>
                    <w:pPr>
                      <w:spacing w:before="7"/>
                      <w:ind w:left="0" w:right="0" w:firstLine="0"/>
                      <w:jc w:val="left"/>
                      <w:rPr>
                        <w:b/>
                        <w:sz w:val="19"/>
                      </w:rPr>
                    </w:pPr>
                    <w:r>
                      <w:rPr>
                        <w:b/>
                        <w:color w:val="FFFFFF"/>
                        <w:sz w:val="19"/>
                      </w:rPr>
                      <w:t>80</w:t>
                    </w:r>
                  </w:p>
                </w:txbxContent>
              </v:textbox>
              <w10:wrap type="none"/>
            </v:shape>
          </v:group>
        </w:pict>
      </w:r>
      <w:r>
        <w:rPr>
          <w:spacing w:val="136"/>
          <w:sz w:val="20"/>
        </w:rPr>
      </w:r>
      <w:r>
        <w:rPr>
          <w:rFonts w:ascii="Times New Roman"/>
          <w:spacing w:val="136"/>
          <w:sz w:val="20"/>
        </w:rPr>
        <w:t> </w:t>
      </w:r>
      <w:r>
        <w:rPr>
          <w:spacing w:val="136"/>
          <w:sz w:val="20"/>
        </w:rPr>
        <w:pict>
          <v:group style="width:40.2pt;height:91pt;mso-position-horizontal-relative:char;mso-position-vertical-relative:line" coordorigin="0,0" coordsize="804,1820">
            <v:shape style="position:absolute;left:401;top:428;width:392;height:1381" coordorigin="402,429" coordsize="392,1381" path="m794,429l402,821,402,1810,794,1810,794,429xe" filled="true" fillcolor="#e1dce1" stroked="false">
              <v:path arrowok="t"/>
              <v:fill type="solid"/>
            </v:shape>
            <v:shape style="position:absolute;left:0;top:404;width:804;height:1415" coordorigin="0,405" coordsize="804,1415" path="m0,405l0,1820,804,1820,804,1815,402,1815,402,1810,10,1810,10,429,24,429,16,420,1,420,5,417,12,417,0,405xm804,417l799,417,799,1815,804,1815,804,417xm24,429l10,429,402,821,402,814,409,807,402,807,24,429xm804,405l402,807,409,807,799,417,804,417,804,405xm12,417l5,417,1,420,16,420,12,417xe" filled="true" fillcolor="#806a83" stroked="false">
              <v:path arrowok="t"/>
              <v:fill type="solid"/>
            </v:shape>
            <v:shape style="position:absolute;left:401;top:416;width:397;height:1398" coordorigin="402,417" coordsize="397,1398" path="m799,429l794,429,794,1810,402,1810,402,1815,799,1815,799,429xm799,417l402,814,402,821,794,429,799,429,799,417xe" filled="true" fillcolor="#79627d" stroked="false">
              <v:path arrowok="t"/>
              <v:fill type="solid"/>
            </v:shape>
            <v:shape style="position:absolute;left:33;top:0;width:737;height:738" coordorigin="33,0" coordsize="737,738" path="m402,0l33,368,402,737,770,368,402,0xe" filled="true" fillcolor="#360f41" stroked="false">
              <v:path arrowok="t"/>
              <v:fill type="solid"/>
            </v:shape>
            <v:shape style="position:absolute;left:0;top:0;width:804;height:1820" type="#_x0000_t202" filled="false" stroked="false">
              <v:textbox inset="0,0,0,0">
                <w:txbxContent>
                  <w:p>
                    <w:pPr>
                      <w:spacing w:line="240" w:lineRule="auto" w:before="2"/>
                      <w:rPr>
                        <w:rFonts w:ascii="Times New Roman"/>
                        <w:sz w:val="22"/>
                      </w:rPr>
                    </w:pPr>
                  </w:p>
                  <w:p>
                    <w:pPr>
                      <w:spacing w:before="0"/>
                      <w:ind w:left="154" w:right="0" w:firstLine="0"/>
                      <w:jc w:val="left"/>
                      <w:rPr>
                        <w:b/>
                        <w:sz w:val="10"/>
                      </w:rPr>
                    </w:pPr>
                    <w:r>
                      <w:rPr>
                        <w:b/>
                        <w:color w:val="FFFFFF"/>
                        <w:sz w:val="19"/>
                      </w:rPr>
                      <w:t>78.1</w:t>
                    </w:r>
                    <w:r>
                      <w:rPr>
                        <w:b/>
                        <w:color w:val="FFFFFF"/>
                        <w:position w:val="6"/>
                        <w:sz w:val="10"/>
                      </w:rPr>
                      <w:t>(1)</w:t>
                    </w:r>
                  </w:p>
                </w:txbxContent>
              </v:textbox>
              <w10:wrap type="none"/>
            </v:shape>
          </v:group>
        </w:pict>
      </w:r>
      <w:r>
        <w:rPr>
          <w:spacing w:val="136"/>
          <w:sz w:val="20"/>
        </w:rPr>
      </w:r>
      <w:r>
        <w:rPr>
          <w:spacing w:val="136"/>
          <w:sz w:val="20"/>
        </w:rPr>
        <w:tab/>
      </w:r>
      <w:r>
        <w:rPr>
          <w:spacing w:val="136"/>
          <w:sz w:val="20"/>
        </w:rPr>
        <w:pict>
          <v:group style="width:40.2pt;height:115pt;mso-position-horizontal-relative:char;mso-position-vertical-relative:line" coordorigin="0,0" coordsize="804,2300">
            <v:shape style="position:absolute;left:401;top:416;width:397;height:1878" coordorigin="402,417" coordsize="397,1878" path="m799,417l402,814,402,2295,799,2295,799,417xe" filled="true" fillcolor="#f5f6ea" stroked="false">
              <v:path arrowok="t"/>
              <v:fill type="solid"/>
            </v:shape>
            <v:shape style="position:absolute;left:0;top:404;width:804;height:1895" coordorigin="0,405" coordsize="804,1895" path="m0,405l0,2300,804,2300,804,2290,10,2290,10,429,1,420,5,417,12,417,0,405xm804,429l794,429,794,2290,804,2290,804,429xm12,417l10,417,10,429,402,821,416,807,402,807,12,417xm804,405l402,807,416,807,794,429,804,429,804,405xm10,417l5,417,1,420,10,429,10,417xe" filled="true" fillcolor="#aebd37" stroked="false">
              <v:path arrowok="t"/>
              <v:fill type="solid"/>
            </v:shape>
            <v:shape style="position:absolute;left:33;top:0;width:737;height:738" coordorigin="33,0" coordsize="737,738" path="m402,0l33,369,402,737,770,369,402,0xe" filled="true" fillcolor="#aebd37" stroked="false">
              <v:path arrowok="t"/>
              <v:fill type="solid"/>
            </v:shape>
            <v:shape style="position:absolute;left:300;top:248;width:232;height:227" type="#_x0000_t202" filled="false" stroked="false">
              <v:textbox inset="0,0,0,0">
                <w:txbxContent>
                  <w:p>
                    <w:pPr>
                      <w:spacing w:before="7"/>
                      <w:ind w:left="0" w:right="0" w:firstLine="0"/>
                      <w:jc w:val="left"/>
                      <w:rPr>
                        <w:b/>
                        <w:sz w:val="19"/>
                      </w:rPr>
                    </w:pPr>
                    <w:r>
                      <w:rPr>
                        <w:b/>
                        <w:color w:val="FFFFFF"/>
                        <w:sz w:val="19"/>
                      </w:rPr>
                      <w:t>93</w:t>
                    </w:r>
                  </w:p>
                </w:txbxContent>
              </v:textbox>
              <w10:wrap type="none"/>
            </v:shape>
          </v:group>
        </w:pict>
      </w:r>
      <w:r>
        <w:rPr>
          <w:spacing w:val="136"/>
          <w:sz w:val="20"/>
        </w:rPr>
      </w:r>
      <w:r>
        <w:rPr>
          <w:rFonts w:ascii="Times New Roman"/>
          <w:spacing w:val="136"/>
          <w:sz w:val="20"/>
        </w:rPr>
        <w:t> </w:t>
      </w:r>
      <w:r>
        <w:rPr>
          <w:spacing w:val="136"/>
          <w:sz w:val="20"/>
        </w:rPr>
        <w:pict>
          <v:group style="width:40.2pt;height:125pt;mso-position-horizontal-relative:char;mso-position-vertical-relative:line" coordorigin="0,0" coordsize="804,2500">
            <v:shape style="position:absolute;left:401;top:416;width:397;height:2078" coordorigin="402,417" coordsize="397,2078" path="m799,417l402,814,402,2495,799,2495,799,417xe" filled="true" fillcolor="#f5f6ea" stroked="false">
              <v:path arrowok="t"/>
              <v:fill type="solid"/>
            </v:shape>
            <v:shape style="position:absolute;left:0;top:404;width:804;height:2095" coordorigin="0,405" coordsize="804,2095" path="m0,405l0,2500,804,2500,804,2490,10,2490,10,429,1,420,5,417,12,417,0,405xm804,429l794,429,794,2490,804,2490,804,429xm12,417l10,417,10,429,402,821,416,807,402,807,12,417xm804,405l402,807,416,807,794,429,804,429,804,405xm10,417l5,417,1,420,10,429,10,417xe" filled="true" fillcolor="#aebd37" stroked="false">
              <v:path arrowok="t"/>
              <v:fill type="solid"/>
            </v:shape>
            <v:shape style="position:absolute;left:33;top:0;width:737;height:738" coordorigin="33,0" coordsize="737,738" path="m402,0l33,369,402,737,770,369,402,0xe" filled="true" fillcolor="#aebd37" stroked="false">
              <v:path arrowok="t"/>
              <v:fill type="solid"/>
            </v:shape>
            <v:shape style="position:absolute;left:300;top:247;width:232;height:227" type="#_x0000_t202" filled="false" stroked="false">
              <v:textbox inset="0,0,0,0">
                <w:txbxContent>
                  <w:p>
                    <w:pPr>
                      <w:spacing w:before="7"/>
                      <w:ind w:left="0" w:right="0" w:firstLine="0"/>
                      <w:jc w:val="left"/>
                      <w:rPr>
                        <w:b/>
                        <w:sz w:val="19"/>
                      </w:rPr>
                    </w:pPr>
                    <w:r>
                      <w:rPr>
                        <w:b/>
                        <w:color w:val="FFFFFF"/>
                        <w:sz w:val="19"/>
                      </w:rPr>
                      <w:t>96</w:t>
                    </w:r>
                  </w:p>
                </w:txbxContent>
              </v:textbox>
              <w10:wrap type="none"/>
            </v:shape>
          </v:group>
        </w:pict>
      </w:r>
      <w:r>
        <w:rPr>
          <w:spacing w:val="136"/>
          <w:sz w:val="20"/>
        </w:rPr>
      </w:r>
      <w:r>
        <w:rPr>
          <w:rFonts w:ascii="Times New Roman"/>
          <w:spacing w:val="136"/>
          <w:sz w:val="20"/>
        </w:rPr>
        <w:t> </w:t>
      </w:r>
      <w:r>
        <w:rPr>
          <w:spacing w:val="136"/>
          <w:sz w:val="20"/>
        </w:rPr>
        <w:pict>
          <v:group style="width:40.2pt;height:129pt;mso-position-horizontal-relative:char;mso-position-vertical-relative:line" coordorigin="0,0" coordsize="804,2580">
            <v:shape style="position:absolute;left:401;top:416;width:397;height:2158" coordorigin="402,417" coordsize="397,2158" path="m799,417l402,814,402,2575,799,2575,799,417xe" filled="true" fillcolor="#f5f6ea" stroked="false">
              <v:path arrowok="t"/>
              <v:fill type="solid"/>
            </v:shape>
            <v:shape style="position:absolute;left:0;top:404;width:804;height:2175" coordorigin="0,405" coordsize="804,2175" path="m0,405l0,2580,804,2580,804,2570,10,2570,10,429,1,420,5,417,12,417,0,405xm804,429l794,429,794,2570,804,2570,804,429xm12,417l10,417,10,429,402,821,416,807,402,807,12,417xm804,405l402,807,416,807,794,429,804,429,804,405xm10,417l5,417,1,420,10,429,10,417xe" filled="true" fillcolor="#aebd37" stroked="false">
              <v:path arrowok="t"/>
              <v:fill type="solid"/>
            </v:shape>
            <v:shape style="position:absolute;left:33;top:0;width:737;height:738" coordorigin="33,0" coordsize="737,738" path="m402,0l33,369,402,737,770,369,402,0xe" filled="true" fillcolor="#aebd37" stroked="false">
              <v:path arrowok="t"/>
              <v:fill type="solid"/>
            </v:shape>
            <v:shape style="position:absolute;left:248;top:247;width:337;height:227" type="#_x0000_t202" filled="false" stroked="false">
              <v:textbox inset="0,0,0,0">
                <w:txbxContent>
                  <w:p>
                    <w:pPr>
                      <w:spacing w:before="7"/>
                      <w:ind w:left="0" w:right="0" w:firstLine="0"/>
                      <w:jc w:val="left"/>
                      <w:rPr>
                        <w:b/>
                        <w:sz w:val="19"/>
                      </w:rPr>
                    </w:pPr>
                    <w:r>
                      <w:rPr>
                        <w:b/>
                        <w:color w:val="FFFFFF"/>
                        <w:sz w:val="19"/>
                      </w:rPr>
                      <w:t>100</w:t>
                    </w:r>
                  </w:p>
                </w:txbxContent>
              </v:textbox>
              <w10:wrap type="none"/>
            </v:shape>
          </v:group>
        </w:pict>
      </w:r>
      <w:r>
        <w:rPr>
          <w:spacing w:val="136"/>
          <w:sz w:val="20"/>
        </w:rPr>
      </w:r>
      <w:r>
        <w:rPr>
          <w:rFonts w:ascii="Times New Roman"/>
          <w:spacing w:val="136"/>
          <w:sz w:val="20"/>
        </w:rPr>
        <w:t> </w:t>
      </w:r>
      <w:r>
        <w:rPr>
          <w:spacing w:val="136"/>
          <w:sz w:val="20"/>
        </w:rPr>
        <w:pict>
          <v:group style="width:40.2pt;height:112pt;mso-position-horizontal-relative:char;mso-position-vertical-relative:line" coordorigin="0,0" coordsize="804,2240">
            <v:shape style="position:absolute;left:401;top:428;width:392;height:1801" coordorigin="402,429" coordsize="392,1801" path="m794,429l402,821,402,2230,794,2230,794,429xe" filled="true" fillcolor="#eae3ea" stroked="false">
              <v:path arrowok="t"/>
              <v:fill type="solid"/>
            </v:shape>
            <v:shape style="position:absolute;left:0;top:404;width:804;height:1835" coordorigin="0,405" coordsize="804,1835" path="m0,405l0,2240,804,2240,804,2235,402,2235,402,2230,10,2230,10,429,24,429,16,420,1,420,5,417,12,417,0,405xm804,417l799,417,799,2235,804,2235,804,417xm24,429l10,429,402,821,402,814,409,807,402,807,24,429xm804,405l402,807,409,807,799,417,804,417,804,405xm12,417l5,417,1,420,16,420,12,417xe" filled="true" fillcolor="#8d5f8e" stroked="false">
              <v:path arrowok="t"/>
              <v:fill type="solid"/>
            </v:shape>
            <v:shape style="position:absolute;left:401;top:416;width:397;height:1818" coordorigin="402,417" coordsize="397,1818" path="m799,429l794,429,794,2230,402,2230,402,2235,799,2235,799,429xm799,417l402,814,402,821,794,429,799,429,799,417xe" filled="true" fillcolor="#8b5a8b" stroked="false">
              <v:path arrowok="t"/>
              <v:fill type="solid"/>
            </v:shape>
            <v:shape style="position:absolute;left:33;top:0;width:737;height:738" coordorigin="33,0" coordsize="737,738" path="m402,0l33,369,402,737,770,369,402,0xe" filled="true" fillcolor="#6f2770" stroked="false">
              <v:path arrowok="t"/>
              <v:fill type="solid"/>
            </v:shape>
            <v:shape style="position:absolute;left:300;top:247;width:232;height:227" type="#_x0000_t202" filled="false" stroked="false">
              <v:textbox inset="0,0,0,0">
                <w:txbxContent>
                  <w:p>
                    <w:pPr>
                      <w:spacing w:before="7"/>
                      <w:ind w:left="0" w:right="0" w:firstLine="0"/>
                      <w:jc w:val="left"/>
                      <w:rPr>
                        <w:b/>
                        <w:sz w:val="19"/>
                      </w:rPr>
                    </w:pPr>
                    <w:r>
                      <w:rPr>
                        <w:b/>
                        <w:color w:val="FFFFFF"/>
                        <w:sz w:val="19"/>
                      </w:rPr>
                      <w:t>90</w:t>
                    </w:r>
                  </w:p>
                </w:txbxContent>
              </v:textbox>
              <w10:wrap type="none"/>
            </v:shape>
          </v:group>
        </w:pict>
      </w:r>
      <w:r>
        <w:rPr>
          <w:spacing w:val="136"/>
          <w:sz w:val="20"/>
        </w:rPr>
      </w:r>
      <w:r>
        <w:rPr>
          <w:rFonts w:ascii="Times New Roman"/>
          <w:spacing w:val="136"/>
          <w:sz w:val="20"/>
        </w:rPr>
        <w:t> </w:t>
      </w:r>
      <w:r>
        <w:rPr>
          <w:spacing w:val="136"/>
          <w:sz w:val="20"/>
        </w:rPr>
        <w:pict>
          <v:group style="width:40.2pt;height:129pt;mso-position-horizontal-relative:char;mso-position-vertical-relative:line" coordorigin="0,0" coordsize="804,2580">
            <v:shape style="position:absolute;left:401;top:428;width:392;height:2141" coordorigin="402,429" coordsize="392,2141" path="m794,429l402,821,402,2570,794,2570,794,429xe" filled="true" fillcolor="#e1dce1" stroked="false">
              <v:path arrowok="t"/>
              <v:fill type="solid"/>
            </v:shape>
            <v:shape style="position:absolute;left:0;top:404;width:804;height:2175" coordorigin="0,405" coordsize="804,2175" path="m0,405l0,2580,804,2580,804,2575,402,2575,402,2570,10,2570,10,429,24,429,16,420,1,420,5,417,12,417,0,405xm804,417l799,417,799,2575,804,2575,804,417xm24,429l10,429,402,821,402,814,409,807,402,807,24,429xm804,405l402,807,409,807,799,417,804,417,804,405xm12,417l5,417,1,420,16,420,12,417xe" filled="true" fillcolor="#806a83" stroked="false">
              <v:path arrowok="t"/>
              <v:fill type="solid"/>
            </v:shape>
            <v:shape style="position:absolute;left:401;top:416;width:397;height:2158" coordorigin="402,417" coordsize="397,2158" path="m799,429l794,429,794,2570,402,2570,402,2575,799,2575,799,429xm799,417l402,814,402,821,794,429,799,429,799,417xe" filled="true" fillcolor="#79627d" stroked="false">
              <v:path arrowok="t"/>
              <v:fill type="solid"/>
            </v:shape>
            <v:shape style="position:absolute;left:33;top:0;width:737;height:738" coordorigin="33,0" coordsize="737,738" path="m402,0l33,369,402,737,770,369,402,0xe" filled="true" fillcolor="#360f41" stroked="false">
              <v:path arrowok="t"/>
              <v:fill type="solid"/>
            </v:shape>
            <v:shape style="position:absolute;left:0;top:0;width:804;height:2580" type="#_x0000_t202" filled="false" stroked="false">
              <v:textbox inset="0,0,0,0">
                <w:txbxContent>
                  <w:p>
                    <w:pPr>
                      <w:spacing w:line="240" w:lineRule="auto" w:before="2"/>
                      <w:rPr>
                        <w:rFonts w:ascii="Times New Roman"/>
                        <w:sz w:val="22"/>
                      </w:rPr>
                    </w:pPr>
                  </w:p>
                  <w:p>
                    <w:pPr>
                      <w:spacing w:before="0"/>
                      <w:ind w:left="165" w:right="0" w:firstLine="0"/>
                      <w:jc w:val="left"/>
                      <w:rPr>
                        <w:b/>
                        <w:sz w:val="10"/>
                      </w:rPr>
                    </w:pPr>
                    <w:r>
                      <w:rPr>
                        <w:b/>
                        <w:color w:val="FFFFFF"/>
                        <w:position w:val="-5"/>
                        <w:sz w:val="19"/>
                      </w:rPr>
                      <w:t>100 </w:t>
                    </w:r>
                    <w:r>
                      <w:rPr>
                        <w:b/>
                        <w:color w:val="FFFFFF"/>
                        <w:sz w:val="10"/>
                      </w:rPr>
                      <w:t>(2) </w:t>
                    </w:r>
                  </w:p>
                </w:txbxContent>
              </v:textbox>
              <w10:wrap type="none"/>
            </v:shape>
          </v:group>
        </w:pict>
      </w:r>
      <w:r>
        <w:rPr>
          <w:spacing w:val="136"/>
          <w:sz w:val="20"/>
        </w:rPr>
      </w:r>
    </w:p>
    <w:p>
      <w:pPr>
        <w:spacing w:after="0" w:line="240" w:lineRule="auto"/>
        <w:rPr>
          <w:sz w:val="20"/>
        </w:rPr>
        <w:sectPr>
          <w:type w:val="continuous"/>
          <w:pgSz w:w="16840" w:h="11910" w:orient="landscape"/>
          <w:pgMar w:top="0" w:bottom="0" w:left="0" w:right="0"/>
        </w:sectPr>
      </w:pPr>
    </w:p>
    <w:p>
      <w:pPr>
        <w:tabs>
          <w:tab w:pos="1816" w:val="left" w:leader="none"/>
          <w:tab w:pos="2822" w:val="left" w:leader="none"/>
          <w:tab w:pos="3828" w:val="left" w:leader="none"/>
          <w:tab w:pos="4834" w:val="left" w:leader="none"/>
        </w:tabs>
        <w:spacing w:line="214" w:lineRule="exact" w:before="0"/>
        <w:ind w:left="810" w:right="0" w:firstLine="0"/>
        <w:jc w:val="left"/>
        <w:rPr>
          <w:b/>
          <w:sz w:val="19"/>
        </w:rPr>
      </w:pPr>
      <w:r>
        <w:rPr/>
        <w:pict>
          <v:shape style="position:absolute;margin-left:783.530029pt;margin-top:12.676055pt;width:19.850pt;height:14.2pt;mso-position-horizontal-relative:page;mso-position-vertical-relative:paragraph;z-index:35032" type="#_x0000_t202" filled="true" fillcolor="#360f41" stroked="false">
            <v:textbox inset="0,0,0,0">
              <w:txbxContent>
                <w:p>
                  <w:pPr>
                    <w:spacing w:before="49"/>
                    <w:ind w:left="7" w:right="0" w:firstLine="0"/>
                    <w:jc w:val="left"/>
                    <w:rPr>
                      <w:sz w:val="15"/>
                    </w:rPr>
                  </w:pPr>
                  <w:r>
                    <w:rPr>
                      <w:color w:val="FFFFFF"/>
                      <w:sz w:val="15"/>
                    </w:rPr>
                    <w:t>UAL</w:t>
                  </w:r>
                </w:p>
              </w:txbxContent>
            </v:textbox>
            <v:fill type="solid"/>
            <w10:wrap type="none"/>
          </v:shape>
        </w:pict>
      </w:r>
      <w:r>
        <w:rPr/>
        <w:pict>
          <v:shape style="position:absolute;margin-left:733.215027pt;margin-top:12.676055pt;width:19.850pt;height:14.2pt;mso-position-horizontal-relative:page;mso-position-vertical-relative:paragraph;z-index:35056" type="#_x0000_t202" filled="true" fillcolor="#6f2770" stroked="false">
            <v:textbox inset="0,0,0,0">
              <w:txbxContent>
                <w:p>
                  <w:pPr>
                    <w:spacing w:before="49"/>
                    <w:ind w:left="-3" w:right="0" w:firstLine="0"/>
                    <w:jc w:val="left"/>
                    <w:rPr>
                      <w:sz w:val="15"/>
                    </w:rPr>
                  </w:pPr>
                  <w:r>
                    <w:rPr>
                      <w:color w:val="FFFFFF"/>
                      <w:sz w:val="15"/>
                    </w:rPr>
                    <w:t>GET</w:t>
                  </w:r>
                </w:p>
              </w:txbxContent>
            </v:textbox>
            <v:fill type="solid"/>
            <w10:wrap type="none"/>
          </v:shape>
        </w:pict>
      </w:r>
      <w:r>
        <w:rPr/>
        <w:pict>
          <v:shape style="position:absolute;margin-left:682.898987pt;margin-top:12.676055pt;width:19.850pt;height:14.2pt;mso-position-horizontal-relative:page;mso-position-vertical-relative:paragraph;z-index:35080" type="#_x0000_t202" filled="true" fillcolor="#aebd37" stroked="false">
            <v:textbox inset="0,0,0,0">
              <w:txbxContent>
                <w:p>
                  <w:pPr>
                    <w:spacing w:before="49"/>
                    <w:ind w:left="7" w:right="0" w:firstLine="0"/>
                    <w:jc w:val="left"/>
                    <w:rPr>
                      <w:sz w:val="15"/>
                    </w:rPr>
                  </w:pPr>
                  <w:r>
                    <w:rPr>
                      <w:color w:val="FFFFFF"/>
                      <w:sz w:val="15"/>
                    </w:rPr>
                    <w:t>UAL</w:t>
                  </w:r>
                </w:p>
              </w:txbxContent>
            </v:textbox>
            <v:fill type="solid"/>
            <w10:wrap type="none"/>
          </v:shape>
        </w:pict>
      </w:r>
      <w:r>
        <w:rPr/>
        <w:pict>
          <v:shape style="position:absolute;margin-left:632.585022pt;margin-top:12.676055pt;width:19.850pt;height:14.2pt;mso-position-horizontal-relative:page;mso-position-vertical-relative:paragraph;z-index:35104" type="#_x0000_t202" filled="true" fillcolor="#aebd37" stroked="false">
            <v:textbox inset="0,0,0,0">
              <w:txbxContent>
                <w:p>
                  <w:pPr>
                    <w:spacing w:before="49"/>
                    <w:ind w:left="7" w:right="0" w:firstLine="0"/>
                    <w:jc w:val="left"/>
                    <w:rPr>
                      <w:sz w:val="15"/>
                    </w:rPr>
                  </w:pPr>
                  <w:r>
                    <w:rPr>
                      <w:color w:val="FFFFFF"/>
                      <w:sz w:val="15"/>
                    </w:rPr>
                    <w:t>UAL</w:t>
                  </w:r>
                </w:p>
              </w:txbxContent>
            </v:textbox>
            <v:fill type="solid"/>
            <w10:wrap type="none"/>
          </v:shape>
        </w:pict>
      </w:r>
      <w:r>
        <w:rPr/>
        <w:pict>
          <v:shape style="position:absolute;margin-left:582.270020pt;margin-top:12.676055pt;width:19.850pt;height:14.2pt;mso-position-horizontal-relative:page;mso-position-vertical-relative:paragraph;z-index:35128" type="#_x0000_t202" filled="true" fillcolor="#aebd37" stroked="false">
            <v:textbox inset="0,0,0,0">
              <w:txbxContent>
                <w:p>
                  <w:pPr>
                    <w:spacing w:before="49"/>
                    <w:ind w:left="7" w:right="0" w:firstLine="0"/>
                    <w:jc w:val="left"/>
                    <w:rPr>
                      <w:sz w:val="15"/>
                    </w:rPr>
                  </w:pPr>
                  <w:r>
                    <w:rPr>
                      <w:color w:val="FFFFFF"/>
                      <w:sz w:val="15"/>
                    </w:rPr>
                    <w:t>UAL</w:t>
                  </w:r>
                </w:p>
              </w:txbxContent>
            </v:textbox>
            <v:fill type="solid"/>
            <w10:wrap type="none"/>
          </v:shape>
        </w:pict>
      </w:r>
      <w:r>
        <w:rPr/>
        <w:pict>
          <v:shape style="position:absolute;margin-left:521.825989pt;margin-top:12.677054pt;width:19.850pt;height:14.2pt;mso-position-horizontal-relative:page;mso-position-vertical-relative:paragraph;z-index:35152" type="#_x0000_t202" filled="true" fillcolor="#360f41" stroked="false">
            <v:textbox inset="0,0,0,0">
              <w:txbxContent>
                <w:p>
                  <w:pPr>
                    <w:spacing w:before="49"/>
                    <w:ind w:left="-3" w:right="0" w:firstLine="0"/>
                    <w:jc w:val="left"/>
                    <w:rPr>
                      <w:sz w:val="15"/>
                    </w:rPr>
                  </w:pPr>
                  <w:r>
                    <w:rPr>
                      <w:color w:val="FFFFFF"/>
                      <w:sz w:val="15"/>
                    </w:rPr>
                    <w:t>UAL</w:t>
                  </w:r>
                </w:p>
              </w:txbxContent>
            </v:textbox>
            <v:fill type="solid"/>
            <w10:wrap type="none"/>
          </v:shape>
        </w:pict>
      </w:r>
      <w:r>
        <w:rPr/>
        <w:pict>
          <v:shape style="position:absolute;margin-left:471.510986pt;margin-top:12.677054pt;width:19.850pt;height:14.2pt;mso-position-horizontal-relative:page;mso-position-vertical-relative:paragraph;z-index:35176" type="#_x0000_t202" filled="true" fillcolor="#6f2770" stroked="false">
            <v:textbox inset="0,0,0,0">
              <w:txbxContent>
                <w:p>
                  <w:pPr>
                    <w:spacing w:before="49"/>
                    <w:ind w:left="-13" w:right="0" w:firstLine="0"/>
                    <w:jc w:val="left"/>
                    <w:rPr>
                      <w:sz w:val="15"/>
                    </w:rPr>
                  </w:pPr>
                  <w:r>
                    <w:rPr>
                      <w:color w:val="FFFFFF"/>
                      <w:sz w:val="15"/>
                    </w:rPr>
                    <w:t>GET</w:t>
                  </w:r>
                </w:p>
              </w:txbxContent>
            </v:textbox>
            <v:fill type="solid"/>
            <w10:wrap type="none"/>
          </v:shape>
        </w:pict>
      </w:r>
      <w:r>
        <w:rPr/>
        <w:pict>
          <v:shape style="position:absolute;margin-left:401.352997pt;margin-top:12.677054pt;width:19.850pt;height:14.2pt;mso-position-horizontal-relative:page;mso-position-vertical-relative:paragraph;z-index:35200" type="#_x0000_t202" filled="true" fillcolor="#bfc84c" stroked="false">
            <v:textbox inset="0,0,0,0">
              <w:txbxContent>
                <w:p>
                  <w:pPr>
                    <w:spacing w:before="49"/>
                    <w:ind w:left="111" w:right="0" w:firstLine="0"/>
                    <w:jc w:val="left"/>
                    <w:rPr>
                      <w:sz w:val="15"/>
                    </w:rPr>
                  </w:pPr>
                  <w:r>
                    <w:rPr>
                      <w:color w:val="FFFFFF"/>
                      <w:w w:val="95"/>
                      <w:sz w:val="15"/>
                    </w:rPr>
                    <w:t>ACT</w:t>
                  </w:r>
                </w:p>
              </w:txbxContent>
            </v:textbox>
            <v:fill type="solid"/>
            <w10:wrap type="none"/>
          </v:shape>
        </w:pict>
      </w:r>
      <w:r>
        <w:rPr/>
        <w:pict>
          <v:shape style="position:absolute;margin-left:370.881012pt;margin-top:12.677054pt;width:19.850pt;height:14.2pt;mso-position-horizontal-relative:page;mso-position-vertical-relative:paragraph;z-index:35224" type="#_x0000_t202" filled="true" fillcolor="#aebd37" stroked="false">
            <v:textbox inset="0,0,0,0">
              <w:txbxContent>
                <w:p>
                  <w:pPr>
                    <w:spacing w:before="49"/>
                    <w:ind w:left="-3" w:right="0" w:firstLine="0"/>
                    <w:jc w:val="left"/>
                    <w:rPr>
                      <w:sz w:val="15"/>
                    </w:rPr>
                  </w:pPr>
                  <w:r>
                    <w:rPr>
                      <w:color w:val="FFFFFF"/>
                      <w:sz w:val="15"/>
                    </w:rPr>
                    <w:t>UAL</w:t>
                  </w:r>
                </w:p>
              </w:txbxContent>
            </v:textbox>
            <v:fill type="solid"/>
            <w10:wrap type="none"/>
          </v:shape>
        </w:pict>
      </w:r>
      <w:r>
        <w:rPr/>
        <w:pict>
          <v:shape style="position:absolute;margin-left:320.565002pt;margin-top:12.677054pt;width:19.850pt;height:14.2pt;mso-position-horizontal-relative:page;mso-position-vertical-relative:paragraph;z-index:35248" type="#_x0000_t202" filled="true" fillcolor="#aebd37" stroked="false">
            <v:textbox inset="0,0,0,0">
              <w:txbxContent>
                <w:p>
                  <w:pPr>
                    <w:spacing w:before="49"/>
                    <w:ind w:left="-3" w:right="0" w:firstLine="0"/>
                    <w:jc w:val="left"/>
                    <w:rPr>
                      <w:sz w:val="15"/>
                    </w:rPr>
                  </w:pPr>
                  <w:r>
                    <w:rPr>
                      <w:color w:val="FFFFFF"/>
                      <w:sz w:val="15"/>
                    </w:rPr>
                    <w:t>UAL</w:t>
                  </w:r>
                </w:p>
              </w:txbxContent>
            </v:textbox>
            <v:fill type="solid"/>
            <w10:wrap type="none"/>
          </v:shape>
        </w:pict>
      </w:r>
      <w:r>
        <w:rPr/>
        <w:pict>
          <v:shape style="position:absolute;margin-left:259.622009pt;margin-top:12.677054pt;width:19.850pt;height:14.2pt;mso-position-horizontal-relative:page;mso-position-vertical-relative:paragraph;z-index:35272" type="#_x0000_t202" filled="true" fillcolor="#360f41" stroked="false">
            <v:textbox inset="0,0,0,0">
              <w:txbxContent>
                <w:p>
                  <w:pPr>
                    <w:spacing w:before="49"/>
                    <w:ind w:left="-3" w:right="0" w:firstLine="0"/>
                    <w:jc w:val="left"/>
                    <w:rPr>
                      <w:sz w:val="15"/>
                    </w:rPr>
                  </w:pPr>
                  <w:r>
                    <w:rPr>
                      <w:color w:val="FFFFFF"/>
                      <w:sz w:val="15"/>
                    </w:rPr>
                    <w:t>UAL</w:t>
                  </w:r>
                </w:p>
              </w:txbxContent>
            </v:textbox>
            <v:fill type="solid"/>
            <w10:wrap type="none"/>
          </v:shape>
        </w:pict>
      </w:r>
      <w:r>
        <w:rPr/>
        <w:pict>
          <v:shape style="position:absolute;margin-left:209.306pt;margin-top:12.677054pt;width:19.850pt;height:14.2pt;mso-position-horizontal-relative:page;mso-position-vertical-relative:paragraph;z-index:35296" type="#_x0000_t202" filled="true" fillcolor="#6f2770" stroked="false">
            <v:textbox inset="0,0,0,0">
              <w:txbxContent>
                <w:p>
                  <w:pPr>
                    <w:spacing w:before="49"/>
                    <w:ind w:left="-13" w:right="0" w:firstLine="0"/>
                    <w:jc w:val="left"/>
                    <w:rPr>
                      <w:sz w:val="15"/>
                    </w:rPr>
                  </w:pPr>
                  <w:r>
                    <w:rPr>
                      <w:color w:val="FFFFFF"/>
                      <w:sz w:val="15"/>
                    </w:rPr>
                    <w:t>GET</w:t>
                  </w:r>
                </w:p>
              </w:txbxContent>
            </v:textbox>
            <v:fill type="solid"/>
            <w10:wrap type="none"/>
          </v:shape>
        </w:pict>
      </w:r>
      <w:r>
        <w:rPr/>
        <w:pict>
          <v:shape style="position:absolute;margin-left:158.990005pt;margin-top:12.677054pt;width:19.850pt;height:14.2pt;mso-position-horizontal-relative:page;mso-position-vertical-relative:paragraph;z-index:35320" type="#_x0000_t202" filled="true" fillcolor="#aebd37" stroked="false">
            <v:textbox inset="0,0,0,0">
              <w:txbxContent>
                <w:p>
                  <w:pPr>
                    <w:spacing w:before="49"/>
                    <w:ind w:left="-3" w:right="0" w:firstLine="0"/>
                    <w:jc w:val="left"/>
                    <w:rPr>
                      <w:sz w:val="15"/>
                    </w:rPr>
                  </w:pPr>
                  <w:r>
                    <w:rPr>
                      <w:color w:val="FFFFFF"/>
                      <w:sz w:val="15"/>
                    </w:rPr>
                    <w:t>UAL</w:t>
                  </w:r>
                </w:p>
              </w:txbxContent>
            </v:textbox>
            <v:fill type="solid"/>
            <w10:wrap type="none"/>
          </v:shape>
        </w:pict>
      </w:r>
      <w:r>
        <w:rPr/>
        <w:pict>
          <v:shape style="position:absolute;margin-left:108.676003pt;margin-top:12.677054pt;width:19.850pt;height:14.2pt;mso-position-horizontal-relative:page;mso-position-vertical-relative:paragraph;z-index:35344" type="#_x0000_t202" filled="true" fillcolor="#aebd37" stroked="false">
            <v:textbox inset="0,0,0,0">
              <w:txbxContent>
                <w:p>
                  <w:pPr>
                    <w:spacing w:before="49"/>
                    <w:ind w:left="-3" w:right="0" w:firstLine="0"/>
                    <w:jc w:val="left"/>
                    <w:rPr>
                      <w:sz w:val="15"/>
                    </w:rPr>
                  </w:pPr>
                  <w:r>
                    <w:rPr>
                      <w:color w:val="FFFFFF"/>
                      <w:sz w:val="15"/>
                    </w:rPr>
                    <w:t>UAL</w:t>
                  </w:r>
                </w:p>
              </w:txbxContent>
            </v:textbox>
            <v:fill type="solid"/>
            <w10:wrap type="none"/>
          </v:shape>
        </w:pict>
      </w:r>
      <w:r>
        <w:rPr/>
        <w:pict>
          <v:shape style="position:absolute;margin-left:58.361pt;margin-top:12.677054pt;width:19.850pt;height:14.2pt;mso-position-horizontal-relative:page;mso-position-vertical-relative:paragraph;z-index:35368" type="#_x0000_t202" filled="true" fillcolor="#aebd37" stroked="false">
            <v:textbox inset="0,0,0,0">
              <w:txbxContent>
                <w:p>
                  <w:pPr>
                    <w:spacing w:before="49"/>
                    <w:ind w:left="-3" w:right="0" w:firstLine="0"/>
                    <w:jc w:val="left"/>
                    <w:rPr>
                      <w:sz w:val="15"/>
                    </w:rPr>
                  </w:pPr>
                  <w:r>
                    <w:rPr>
                      <w:color w:val="FFFFFF"/>
                      <w:sz w:val="15"/>
                    </w:rPr>
                    <w:t>UAL</w:t>
                  </w:r>
                </w:p>
              </w:txbxContent>
            </v:textbox>
            <v:fill type="solid"/>
            <w10:wrap type="none"/>
          </v:shape>
        </w:pict>
      </w:r>
      <w:r>
        <w:rPr>
          <w:b/>
          <w:w w:val="105"/>
          <w:sz w:val="19"/>
        </w:rPr>
        <w:t>2013/14</w:t>
        <w:tab/>
        <w:t>2014/15</w:t>
        <w:tab/>
        <w:t>2015/16</w:t>
        <w:tab/>
        <w:t>2016/17</w:t>
        <w:tab/>
      </w:r>
      <w:r>
        <w:rPr>
          <w:b/>
          <w:spacing w:val="-3"/>
          <w:sz w:val="19"/>
        </w:rPr>
        <w:t>2016/17</w:t>
      </w:r>
    </w:p>
    <w:p>
      <w:pPr>
        <w:tabs>
          <w:tab w:pos="1480" w:val="left" w:leader="none"/>
          <w:tab w:pos="2487" w:val="left" w:leader="none"/>
          <w:tab w:pos="3493" w:val="left" w:leader="none"/>
          <w:tab w:pos="4499" w:val="left" w:leader="none"/>
        </w:tabs>
        <w:spacing w:line="214" w:lineRule="exact" w:before="0"/>
        <w:ind w:left="474" w:right="0" w:firstLine="0"/>
        <w:jc w:val="left"/>
        <w:rPr>
          <w:b/>
          <w:sz w:val="19"/>
        </w:rPr>
      </w:pPr>
      <w:r>
        <w:rPr/>
        <w:br w:type="column"/>
      </w:r>
      <w:r>
        <w:rPr>
          <w:b/>
          <w:w w:val="105"/>
          <w:sz w:val="19"/>
        </w:rPr>
        <w:t>2013/14</w:t>
        <w:tab/>
        <w:t>2014/15</w:t>
        <w:tab/>
        <w:t>2015/16</w:t>
        <w:tab/>
        <w:t>2016/17</w:t>
        <w:tab/>
      </w:r>
      <w:r>
        <w:rPr>
          <w:b/>
          <w:spacing w:val="-3"/>
          <w:sz w:val="19"/>
        </w:rPr>
        <w:t>2016/17</w:t>
      </w:r>
    </w:p>
    <w:p>
      <w:pPr>
        <w:tabs>
          <w:tab w:pos="1480" w:val="left" w:leader="none"/>
          <w:tab w:pos="2487" w:val="left" w:leader="none"/>
          <w:tab w:pos="3493" w:val="left" w:leader="none"/>
          <w:tab w:pos="4499" w:val="left" w:leader="none"/>
        </w:tabs>
        <w:spacing w:line="214" w:lineRule="exact" w:before="0"/>
        <w:ind w:left="474" w:right="0" w:firstLine="0"/>
        <w:jc w:val="left"/>
        <w:rPr>
          <w:b/>
          <w:sz w:val="19"/>
        </w:rPr>
      </w:pPr>
      <w:r>
        <w:rPr/>
        <w:br w:type="column"/>
      </w:r>
      <w:r>
        <w:rPr>
          <w:b/>
          <w:w w:val="105"/>
          <w:sz w:val="19"/>
        </w:rPr>
        <w:t>2013/14</w:t>
        <w:tab/>
        <w:t>2014/15</w:t>
        <w:tab/>
        <w:t>2015/16</w:t>
        <w:tab/>
        <w:t>2016/17</w:t>
        <w:tab/>
        <w:t>2016/17</w:t>
      </w:r>
    </w:p>
    <w:p>
      <w:pPr>
        <w:spacing w:after="0" w:line="214" w:lineRule="exact"/>
        <w:jc w:val="left"/>
        <w:rPr>
          <w:sz w:val="19"/>
        </w:rPr>
        <w:sectPr>
          <w:type w:val="continuous"/>
          <w:pgSz w:w="16840" w:h="11910" w:orient="landscape"/>
          <w:pgMar w:top="0" w:bottom="0" w:left="0" w:right="0"/>
          <w:cols w:num="3" w:equalWidth="0">
            <w:col w:w="5540" w:space="40"/>
            <w:col w:w="5205" w:space="39"/>
            <w:col w:w="6016"/>
          </w:cols>
        </w:sectPr>
      </w:pPr>
    </w:p>
    <w:p>
      <w:pPr>
        <w:pStyle w:val="BodyText"/>
        <w:spacing w:before="4"/>
        <w:rPr>
          <w:b/>
          <w:sz w:val="3"/>
        </w:rPr>
      </w:pPr>
    </w:p>
    <w:p>
      <w:pPr>
        <w:tabs>
          <w:tab w:pos="1776" w:val="left" w:leader="none"/>
          <w:tab w:pos="2782" w:val="left" w:leader="none"/>
          <w:tab w:pos="3789" w:val="left" w:leader="none"/>
          <w:tab w:pos="4795" w:val="left" w:leader="none"/>
          <w:tab w:pos="6014" w:val="left" w:leader="none"/>
          <w:tab w:pos="7020" w:val="left" w:leader="none"/>
          <w:tab w:pos="8423" w:val="left" w:leader="none"/>
          <w:tab w:pos="9033" w:val="left" w:leader="none"/>
          <w:tab w:pos="10039" w:val="left" w:leader="none"/>
          <w:tab w:pos="11248" w:val="left" w:leader="none"/>
          <w:tab w:pos="12254" w:val="left" w:leader="none"/>
          <w:tab w:pos="13261" w:val="left" w:leader="none"/>
          <w:tab w:pos="14267" w:val="left" w:leader="none"/>
          <w:tab w:pos="15273" w:val="left" w:leader="none"/>
        </w:tabs>
        <w:spacing w:line="240" w:lineRule="auto"/>
        <w:ind w:left="770" w:right="0" w:firstLine="0"/>
        <w:rPr>
          <w:sz w:val="20"/>
        </w:rPr>
      </w:pPr>
      <w:r>
        <w:rPr>
          <w:sz w:val="20"/>
        </w:rPr>
        <w:pict>
          <v:shape style="width:19.850pt;height:14.2pt;mso-position-horizontal-relative:char;mso-position-vertical-relative:line" type="#_x0000_t202" filled="true" fillcolor="#bfc84c" stroked="false">
            <w10:anchorlock/>
            <v:textbox inset="0,0,0,0">
              <w:txbxContent>
                <w:p>
                  <w:pPr>
                    <w:spacing w:before="49"/>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49"/>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49"/>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803c83" stroked="false">
            <w10:anchorlock/>
            <v:textbox inset="0,0,0,0">
              <w:txbxContent>
                <w:p>
                  <w:pPr>
                    <w:spacing w:before="49"/>
                    <w:ind w:left="116" w:right="0" w:firstLine="0"/>
                    <w:jc w:val="left"/>
                    <w:rPr>
                      <w:sz w:val="15"/>
                    </w:rPr>
                  </w:pPr>
                  <w:r>
                    <w:rPr>
                      <w:color w:val="FFFFFF"/>
                      <w:spacing w:val="-4"/>
                      <w:w w:val="95"/>
                      <w:sz w:val="15"/>
                    </w:rPr>
                    <w:t>TAR</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4c285b" stroked="false">
            <w10:anchorlock/>
            <v:textbox inset="0,0,0,0">
              <w:txbxContent>
                <w:p>
                  <w:pPr>
                    <w:spacing w:before="49"/>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49"/>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49"/>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aebd37" stroked="false">
            <w10:anchorlock/>
            <v:textbox inset="0,0,0,0">
              <w:txbxContent>
                <w:p>
                  <w:pPr>
                    <w:spacing w:before="49"/>
                    <w:ind w:left="-3" w:right="0" w:firstLine="0"/>
                    <w:jc w:val="left"/>
                    <w:rPr>
                      <w:sz w:val="15"/>
                    </w:rPr>
                  </w:pPr>
                  <w:r>
                    <w:rPr>
                      <w:color w:val="FFFFFF"/>
                      <w:sz w:val="15"/>
                    </w:rPr>
                    <w:t>UAL</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803c83" stroked="false">
            <w10:anchorlock/>
            <v:textbox inset="0,0,0,0">
              <w:txbxContent>
                <w:p>
                  <w:pPr>
                    <w:spacing w:before="49"/>
                    <w:ind w:left="116" w:right="0" w:firstLine="0"/>
                    <w:jc w:val="left"/>
                    <w:rPr>
                      <w:sz w:val="15"/>
                    </w:rPr>
                  </w:pPr>
                  <w:r>
                    <w:rPr>
                      <w:color w:val="FFFFFF"/>
                      <w:spacing w:val="-4"/>
                      <w:w w:val="95"/>
                      <w:sz w:val="15"/>
                    </w:rPr>
                    <w:t>TAR</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4c285b" stroked="false">
            <w10:anchorlock/>
            <v:textbox inset="0,0,0,0">
              <w:txbxContent>
                <w:p>
                  <w:pPr>
                    <w:spacing w:before="49"/>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49"/>
                    <w:ind w:left="121" w:right="-15"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49"/>
                    <w:ind w:left="121" w:right="-15"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49"/>
                    <w:ind w:left="121" w:right="-15"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803c83" stroked="false">
            <w10:anchorlock/>
            <v:textbox inset="0,0,0,0">
              <w:txbxContent>
                <w:p>
                  <w:pPr>
                    <w:spacing w:before="49"/>
                    <w:ind w:left="126" w:right="0" w:firstLine="0"/>
                    <w:jc w:val="left"/>
                    <w:rPr>
                      <w:sz w:val="15"/>
                    </w:rPr>
                  </w:pPr>
                  <w:r>
                    <w:rPr>
                      <w:color w:val="FFFFFF"/>
                      <w:w w:val="90"/>
                      <w:sz w:val="15"/>
                    </w:rPr>
                    <w:t>TAR</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4c285b" stroked="false">
            <w10:anchorlock/>
            <v:textbox inset="0,0,0,0">
              <w:txbxContent>
                <w:p>
                  <w:pPr>
                    <w:spacing w:before="49"/>
                    <w:ind w:left="121" w:right="-15" w:firstLine="0"/>
                    <w:jc w:val="left"/>
                    <w:rPr>
                      <w:sz w:val="15"/>
                    </w:rPr>
                  </w:pPr>
                  <w:r>
                    <w:rPr>
                      <w:color w:val="FFFFFF"/>
                      <w:w w:val="95"/>
                      <w:sz w:val="15"/>
                    </w:rPr>
                    <w:t>ACT</w:t>
                  </w:r>
                </w:p>
              </w:txbxContent>
            </v:textbox>
            <v:fill type="solid"/>
          </v:shape>
        </w:pict>
      </w:r>
      <w:r>
        <w:rPr>
          <w:sz w:val="20"/>
        </w:rPr>
      </w:r>
    </w:p>
    <w:p>
      <w:pPr>
        <w:spacing w:after="0" w:line="240" w:lineRule="auto"/>
        <w:rPr>
          <w:sz w:val="20"/>
        </w:rPr>
        <w:sectPr>
          <w:type w:val="continuous"/>
          <w:pgSz w:w="16840" w:h="11910" w:orient="landscape"/>
          <w:pgMar w:top="0" w:bottom="0" w:left="0" w:right="0"/>
        </w:sectPr>
      </w:pPr>
    </w:p>
    <w:p>
      <w:pPr>
        <w:pStyle w:val="ListParagraph"/>
        <w:numPr>
          <w:ilvl w:val="0"/>
          <w:numId w:val="35"/>
        </w:numPr>
        <w:tabs>
          <w:tab w:pos="958" w:val="left" w:leader="none"/>
        </w:tabs>
        <w:spacing w:line="249" w:lineRule="auto" w:before="67" w:after="0"/>
        <w:ind w:left="973" w:right="0" w:hanging="208"/>
        <w:jc w:val="left"/>
        <w:rPr>
          <w:sz w:val="15"/>
        </w:rPr>
      </w:pPr>
      <w:r>
        <w:rPr>
          <w:sz w:val="15"/>
        </w:rPr>
        <w:t>This indicator measures the utilisation of government office accommodation</w:t>
      </w:r>
      <w:r>
        <w:rPr>
          <w:spacing w:val="-14"/>
          <w:sz w:val="15"/>
        </w:rPr>
        <w:t> </w:t>
      </w:r>
      <w:r>
        <w:rPr>
          <w:sz w:val="15"/>
        </w:rPr>
        <w:t>through</w:t>
      </w:r>
      <w:r>
        <w:rPr>
          <w:spacing w:val="-13"/>
          <w:sz w:val="15"/>
        </w:rPr>
        <w:t> </w:t>
      </w:r>
      <w:r>
        <w:rPr>
          <w:sz w:val="15"/>
        </w:rPr>
        <w:t>determining</w:t>
      </w:r>
      <w:r>
        <w:rPr>
          <w:spacing w:val="-14"/>
          <w:sz w:val="15"/>
        </w:rPr>
        <w:t> </w:t>
      </w:r>
      <w:r>
        <w:rPr>
          <w:sz w:val="15"/>
        </w:rPr>
        <w:t>the</w:t>
      </w:r>
      <w:r>
        <w:rPr>
          <w:spacing w:val="-13"/>
          <w:sz w:val="15"/>
        </w:rPr>
        <w:t> </w:t>
      </w:r>
      <w:r>
        <w:rPr>
          <w:sz w:val="15"/>
        </w:rPr>
        <w:t>average</w:t>
      </w:r>
      <w:r>
        <w:rPr>
          <w:spacing w:val="-13"/>
          <w:sz w:val="15"/>
        </w:rPr>
        <w:t> </w:t>
      </w:r>
      <w:r>
        <w:rPr>
          <w:sz w:val="15"/>
        </w:rPr>
        <w:t>amount</w:t>
      </w:r>
      <w:r>
        <w:rPr>
          <w:spacing w:val="-14"/>
          <w:sz w:val="15"/>
        </w:rPr>
        <w:t> </w:t>
      </w:r>
      <w:r>
        <w:rPr>
          <w:sz w:val="15"/>
        </w:rPr>
        <w:t>of</w:t>
      </w:r>
      <w:r>
        <w:rPr>
          <w:spacing w:val="-13"/>
          <w:sz w:val="15"/>
        </w:rPr>
        <w:t> </w:t>
      </w:r>
      <w:r>
        <w:rPr>
          <w:sz w:val="15"/>
        </w:rPr>
        <w:t>floor</w:t>
      </w:r>
      <w:r>
        <w:rPr>
          <w:spacing w:val="-13"/>
          <w:sz w:val="15"/>
        </w:rPr>
        <w:t> </w:t>
      </w:r>
      <w:r>
        <w:rPr>
          <w:sz w:val="15"/>
        </w:rPr>
        <w:t>area allocated</w:t>
      </w:r>
      <w:r>
        <w:rPr>
          <w:spacing w:val="-13"/>
          <w:sz w:val="15"/>
        </w:rPr>
        <w:t> </w:t>
      </w:r>
      <w:r>
        <w:rPr>
          <w:sz w:val="15"/>
        </w:rPr>
        <w:t>per</w:t>
      </w:r>
      <w:r>
        <w:rPr>
          <w:spacing w:val="-12"/>
          <w:sz w:val="15"/>
        </w:rPr>
        <w:t> </w:t>
      </w:r>
      <w:r>
        <w:rPr>
          <w:sz w:val="15"/>
        </w:rPr>
        <w:t>workspace</w:t>
      </w:r>
      <w:r>
        <w:rPr>
          <w:spacing w:val="-12"/>
          <w:sz w:val="15"/>
        </w:rPr>
        <w:t> </w:t>
      </w:r>
      <w:r>
        <w:rPr>
          <w:sz w:val="15"/>
        </w:rPr>
        <w:t>across</w:t>
      </w:r>
      <w:r>
        <w:rPr>
          <w:spacing w:val="-12"/>
          <w:sz w:val="15"/>
        </w:rPr>
        <w:t> </w:t>
      </w:r>
      <w:r>
        <w:rPr>
          <w:sz w:val="15"/>
        </w:rPr>
        <w:t>the</w:t>
      </w:r>
      <w:r>
        <w:rPr>
          <w:spacing w:val="-12"/>
          <w:sz w:val="15"/>
        </w:rPr>
        <w:t> </w:t>
      </w:r>
      <w:r>
        <w:rPr>
          <w:sz w:val="15"/>
        </w:rPr>
        <w:t>government</w:t>
      </w:r>
      <w:r>
        <w:rPr>
          <w:spacing w:val="-13"/>
          <w:sz w:val="15"/>
        </w:rPr>
        <w:t> </w:t>
      </w:r>
      <w:r>
        <w:rPr>
          <w:sz w:val="15"/>
        </w:rPr>
        <w:t>office</w:t>
      </w:r>
      <w:r>
        <w:rPr>
          <w:spacing w:val="-12"/>
          <w:sz w:val="15"/>
        </w:rPr>
        <w:t> </w:t>
      </w:r>
      <w:r>
        <w:rPr>
          <w:spacing w:val="-2"/>
          <w:sz w:val="15"/>
        </w:rPr>
        <w:t>accommodation </w:t>
      </w:r>
      <w:r>
        <w:rPr>
          <w:sz w:val="15"/>
        </w:rPr>
        <w:t>portfolio.</w:t>
      </w:r>
    </w:p>
    <w:p>
      <w:pPr>
        <w:pStyle w:val="ListParagraph"/>
        <w:numPr>
          <w:ilvl w:val="0"/>
          <w:numId w:val="35"/>
        </w:numPr>
        <w:tabs>
          <w:tab w:pos="608" w:val="left" w:leader="none"/>
        </w:tabs>
        <w:spacing w:line="249" w:lineRule="auto" w:before="67" w:after="0"/>
        <w:ind w:left="616" w:right="0" w:hanging="209"/>
        <w:jc w:val="left"/>
        <w:rPr>
          <w:sz w:val="15"/>
        </w:rPr>
      </w:pPr>
      <w:r>
        <w:rPr>
          <w:w w:val="93"/>
          <w:sz w:val="15"/>
        </w:rPr>
        <w:br w:type="column"/>
      </w:r>
      <w:r>
        <w:rPr>
          <w:sz w:val="15"/>
        </w:rPr>
        <w:t>The indicator measures the percentage of high priority breakdown repairs attended to within 10 per cent of the approved timeframe across the State. High priority breakdowns are more time-critical and typically</w:t>
      </w:r>
      <w:r>
        <w:rPr>
          <w:spacing w:val="-19"/>
          <w:sz w:val="15"/>
        </w:rPr>
        <w:t> </w:t>
      </w:r>
      <w:r>
        <w:rPr>
          <w:sz w:val="15"/>
        </w:rPr>
        <w:t>include</w:t>
      </w:r>
      <w:r>
        <w:rPr>
          <w:spacing w:val="-18"/>
          <w:sz w:val="15"/>
        </w:rPr>
        <w:t> </w:t>
      </w:r>
      <w:r>
        <w:rPr>
          <w:sz w:val="15"/>
        </w:rPr>
        <w:t>breakdowns</w:t>
      </w:r>
      <w:r>
        <w:rPr>
          <w:spacing w:val="-18"/>
          <w:sz w:val="15"/>
        </w:rPr>
        <w:t> </w:t>
      </w:r>
      <w:r>
        <w:rPr>
          <w:sz w:val="15"/>
        </w:rPr>
        <w:t>or</w:t>
      </w:r>
      <w:r>
        <w:rPr>
          <w:spacing w:val="-18"/>
          <w:sz w:val="15"/>
        </w:rPr>
        <w:t> </w:t>
      </w:r>
      <w:r>
        <w:rPr>
          <w:sz w:val="15"/>
        </w:rPr>
        <w:t>failures</w:t>
      </w:r>
      <w:r>
        <w:rPr>
          <w:spacing w:val="-18"/>
          <w:sz w:val="15"/>
        </w:rPr>
        <w:t> </w:t>
      </w:r>
      <w:r>
        <w:rPr>
          <w:sz w:val="15"/>
        </w:rPr>
        <w:t>that</w:t>
      </w:r>
      <w:r>
        <w:rPr>
          <w:spacing w:val="-19"/>
          <w:sz w:val="15"/>
        </w:rPr>
        <w:t> </w:t>
      </w:r>
      <w:r>
        <w:rPr>
          <w:sz w:val="15"/>
        </w:rPr>
        <w:t>have</w:t>
      </w:r>
      <w:r>
        <w:rPr>
          <w:spacing w:val="-18"/>
          <w:sz w:val="15"/>
        </w:rPr>
        <w:t> </w:t>
      </w:r>
      <w:r>
        <w:rPr>
          <w:sz w:val="15"/>
        </w:rPr>
        <w:t>an</w:t>
      </w:r>
      <w:r>
        <w:rPr>
          <w:spacing w:val="-18"/>
          <w:sz w:val="15"/>
        </w:rPr>
        <w:t> </w:t>
      </w:r>
      <w:r>
        <w:rPr>
          <w:sz w:val="15"/>
        </w:rPr>
        <w:t>immediate</w:t>
      </w:r>
      <w:r>
        <w:rPr>
          <w:spacing w:val="-18"/>
          <w:sz w:val="15"/>
        </w:rPr>
        <w:t> </w:t>
      </w:r>
      <w:r>
        <w:rPr>
          <w:spacing w:val="-3"/>
          <w:sz w:val="15"/>
        </w:rPr>
        <w:t>adverse </w:t>
      </w:r>
      <w:r>
        <w:rPr>
          <w:sz w:val="15"/>
        </w:rPr>
        <w:t>effect on the security, safety and/or health of</w:t>
      </w:r>
      <w:r>
        <w:rPr>
          <w:spacing w:val="-26"/>
          <w:sz w:val="15"/>
        </w:rPr>
        <w:t> </w:t>
      </w:r>
      <w:r>
        <w:rPr>
          <w:sz w:val="15"/>
        </w:rPr>
        <w:t>occupants.</w:t>
      </w:r>
    </w:p>
    <w:p>
      <w:pPr>
        <w:pStyle w:val="ListParagraph"/>
        <w:numPr>
          <w:ilvl w:val="0"/>
          <w:numId w:val="35"/>
        </w:numPr>
        <w:tabs>
          <w:tab w:pos="584" w:val="left" w:leader="none"/>
        </w:tabs>
        <w:spacing w:line="249" w:lineRule="auto" w:before="67" w:after="0"/>
        <w:ind w:left="600" w:right="811" w:hanging="209"/>
        <w:jc w:val="left"/>
        <w:rPr>
          <w:sz w:val="15"/>
        </w:rPr>
      </w:pPr>
      <w:r>
        <w:rPr>
          <w:w w:val="93"/>
          <w:sz w:val="15"/>
        </w:rPr>
        <w:br w:type="column"/>
      </w:r>
      <w:r>
        <w:rPr>
          <w:sz w:val="15"/>
        </w:rPr>
        <w:t>This indicator measures the percentage of projects with current approved</w:t>
      </w:r>
      <w:r>
        <w:rPr>
          <w:spacing w:val="-10"/>
          <w:sz w:val="15"/>
        </w:rPr>
        <w:t> </w:t>
      </w:r>
      <w:r>
        <w:rPr>
          <w:sz w:val="15"/>
        </w:rPr>
        <w:t>budgets</w:t>
      </w:r>
      <w:r>
        <w:rPr>
          <w:spacing w:val="-9"/>
          <w:sz w:val="15"/>
        </w:rPr>
        <w:t> </w:t>
      </w:r>
      <w:r>
        <w:rPr>
          <w:sz w:val="15"/>
        </w:rPr>
        <w:t>of</w:t>
      </w:r>
      <w:r>
        <w:rPr>
          <w:spacing w:val="-9"/>
          <w:sz w:val="15"/>
        </w:rPr>
        <w:t> </w:t>
      </w:r>
      <w:r>
        <w:rPr>
          <w:sz w:val="15"/>
        </w:rPr>
        <w:t>$5</w:t>
      </w:r>
      <w:r>
        <w:rPr>
          <w:spacing w:val="-9"/>
          <w:sz w:val="15"/>
        </w:rPr>
        <w:t> </w:t>
      </w:r>
      <w:r>
        <w:rPr>
          <w:sz w:val="15"/>
        </w:rPr>
        <w:t>million</w:t>
      </w:r>
      <w:r>
        <w:rPr>
          <w:spacing w:val="-10"/>
          <w:sz w:val="15"/>
        </w:rPr>
        <w:t> </w:t>
      </w:r>
      <w:r>
        <w:rPr>
          <w:sz w:val="15"/>
        </w:rPr>
        <w:t>or</w:t>
      </w:r>
      <w:r>
        <w:rPr>
          <w:spacing w:val="-9"/>
          <w:sz w:val="15"/>
        </w:rPr>
        <w:t> </w:t>
      </w:r>
      <w:r>
        <w:rPr>
          <w:sz w:val="15"/>
        </w:rPr>
        <w:t>more</w:t>
      </w:r>
      <w:r>
        <w:rPr>
          <w:spacing w:val="-9"/>
          <w:sz w:val="15"/>
        </w:rPr>
        <w:t> </w:t>
      </w:r>
      <w:r>
        <w:rPr>
          <w:sz w:val="15"/>
        </w:rPr>
        <w:t>that</w:t>
      </w:r>
      <w:r>
        <w:rPr>
          <w:spacing w:val="-9"/>
          <w:sz w:val="15"/>
        </w:rPr>
        <w:t> </w:t>
      </w:r>
      <w:r>
        <w:rPr>
          <w:sz w:val="15"/>
        </w:rPr>
        <w:t>have</w:t>
      </w:r>
      <w:r>
        <w:rPr>
          <w:spacing w:val="-9"/>
          <w:sz w:val="15"/>
        </w:rPr>
        <w:t> </w:t>
      </w:r>
      <w:r>
        <w:rPr>
          <w:sz w:val="15"/>
        </w:rPr>
        <w:t>been</w:t>
      </w:r>
      <w:r>
        <w:rPr>
          <w:spacing w:val="-10"/>
          <w:sz w:val="15"/>
        </w:rPr>
        <w:t> </w:t>
      </w:r>
      <w:r>
        <w:rPr>
          <w:sz w:val="15"/>
        </w:rPr>
        <w:t>handed</w:t>
      </w:r>
      <w:r>
        <w:rPr>
          <w:spacing w:val="-9"/>
          <w:sz w:val="15"/>
        </w:rPr>
        <w:t> </w:t>
      </w:r>
      <w:r>
        <w:rPr>
          <w:sz w:val="15"/>
        </w:rPr>
        <w:t>over</w:t>
      </w:r>
      <w:r>
        <w:rPr>
          <w:spacing w:val="-9"/>
          <w:sz w:val="15"/>
        </w:rPr>
        <w:t> to </w:t>
      </w:r>
      <w:r>
        <w:rPr>
          <w:sz w:val="15"/>
        </w:rPr>
        <w:t>the client agency within three months of the approved date for handover in the current financial</w:t>
      </w:r>
      <w:r>
        <w:rPr>
          <w:spacing w:val="-9"/>
          <w:sz w:val="15"/>
        </w:rPr>
        <w:t> </w:t>
      </w:r>
      <w:r>
        <w:rPr>
          <w:spacing w:val="-3"/>
          <w:sz w:val="15"/>
        </w:rPr>
        <w:t>year.</w:t>
      </w:r>
    </w:p>
    <w:p>
      <w:pPr>
        <w:spacing w:after="0" w:line="249" w:lineRule="auto"/>
        <w:jc w:val="left"/>
        <w:rPr>
          <w:sz w:val="15"/>
        </w:rPr>
        <w:sectPr>
          <w:type w:val="continuous"/>
          <w:pgSz w:w="16840" w:h="11910" w:orient="landscape"/>
          <w:pgMar w:top="0" w:bottom="0" w:left="0" w:right="0"/>
          <w:cols w:num="3" w:equalWidth="0">
            <w:col w:w="5562" w:space="40"/>
            <w:col w:w="5221" w:space="39"/>
            <w:col w:w="5978"/>
          </w:cols>
        </w:sectPr>
      </w:pPr>
    </w:p>
    <w:p>
      <w:pPr>
        <w:pStyle w:val="BodyText"/>
        <w:rPr>
          <w:sz w:val="9"/>
        </w:rPr>
      </w:pPr>
    </w:p>
    <w:p>
      <w:pPr>
        <w:pStyle w:val="ListParagraph"/>
        <w:numPr>
          <w:ilvl w:val="1"/>
          <w:numId w:val="35"/>
        </w:numPr>
        <w:tabs>
          <w:tab w:pos="1046" w:val="left" w:leader="none"/>
        </w:tabs>
        <w:spacing w:line="240" w:lineRule="auto" w:before="106" w:after="0"/>
        <w:ind w:left="1045" w:right="0" w:hanging="280"/>
        <w:jc w:val="left"/>
        <w:rPr>
          <w:sz w:val="22"/>
        </w:rPr>
      </w:pPr>
      <w:r>
        <w:rPr>
          <w:sz w:val="22"/>
        </w:rPr>
        <w:t>Building</w:t>
      </w:r>
      <w:r>
        <w:rPr>
          <w:spacing w:val="-11"/>
          <w:sz w:val="22"/>
        </w:rPr>
        <w:t> </w:t>
      </w:r>
      <w:r>
        <w:rPr>
          <w:sz w:val="22"/>
        </w:rPr>
        <w:t>Management</w:t>
      </w:r>
      <w:r>
        <w:rPr>
          <w:spacing w:val="-11"/>
          <w:sz w:val="22"/>
        </w:rPr>
        <w:t> </w:t>
      </w:r>
      <w:r>
        <w:rPr>
          <w:sz w:val="22"/>
        </w:rPr>
        <w:t>and</w:t>
      </w:r>
      <w:r>
        <w:rPr>
          <w:spacing w:val="-11"/>
          <w:sz w:val="22"/>
        </w:rPr>
        <w:t> </w:t>
      </w:r>
      <w:r>
        <w:rPr>
          <w:sz w:val="22"/>
        </w:rPr>
        <w:t>Works</w:t>
      </w:r>
      <w:r>
        <w:rPr>
          <w:spacing w:val="-11"/>
          <w:sz w:val="22"/>
        </w:rPr>
        <w:t> </w:t>
      </w:r>
      <w:r>
        <w:rPr>
          <w:sz w:val="22"/>
        </w:rPr>
        <w:t>continues</w:t>
      </w:r>
      <w:r>
        <w:rPr>
          <w:spacing w:val="-11"/>
          <w:sz w:val="22"/>
        </w:rPr>
        <w:t> </w:t>
      </w:r>
      <w:r>
        <w:rPr>
          <w:sz w:val="22"/>
        </w:rPr>
        <w:t>to</w:t>
      </w:r>
      <w:r>
        <w:rPr>
          <w:spacing w:val="-11"/>
          <w:sz w:val="22"/>
        </w:rPr>
        <w:t> </w:t>
      </w:r>
      <w:r>
        <w:rPr>
          <w:sz w:val="22"/>
        </w:rPr>
        <w:t>improve</w:t>
      </w:r>
      <w:r>
        <w:rPr>
          <w:spacing w:val="-11"/>
          <w:sz w:val="22"/>
        </w:rPr>
        <w:t> </w:t>
      </w:r>
      <w:r>
        <w:rPr>
          <w:sz w:val="22"/>
        </w:rPr>
        <w:t>service</w:t>
      </w:r>
      <w:r>
        <w:rPr>
          <w:spacing w:val="-11"/>
          <w:sz w:val="22"/>
        </w:rPr>
        <w:t> </w:t>
      </w:r>
      <w:r>
        <w:rPr>
          <w:sz w:val="22"/>
        </w:rPr>
        <w:t>delivery</w:t>
      </w:r>
      <w:r>
        <w:rPr>
          <w:spacing w:val="-11"/>
          <w:sz w:val="22"/>
        </w:rPr>
        <w:t> </w:t>
      </w:r>
      <w:r>
        <w:rPr>
          <w:sz w:val="22"/>
        </w:rPr>
        <w:t>outcomes</w:t>
      </w:r>
      <w:r>
        <w:rPr>
          <w:spacing w:val="-11"/>
          <w:sz w:val="22"/>
        </w:rPr>
        <w:t> </w:t>
      </w:r>
      <w:r>
        <w:rPr>
          <w:sz w:val="22"/>
        </w:rPr>
        <w:t>achieving</w:t>
      </w:r>
      <w:r>
        <w:rPr>
          <w:spacing w:val="-11"/>
          <w:sz w:val="22"/>
        </w:rPr>
        <w:t> </w:t>
      </w:r>
      <w:r>
        <w:rPr>
          <w:sz w:val="22"/>
        </w:rPr>
        <w:t>further</w:t>
      </w:r>
      <w:r>
        <w:rPr>
          <w:spacing w:val="-11"/>
          <w:sz w:val="22"/>
        </w:rPr>
        <w:t> </w:t>
      </w:r>
      <w:r>
        <w:rPr>
          <w:sz w:val="22"/>
        </w:rPr>
        <w:t>improvements</w:t>
      </w:r>
      <w:r>
        <w:rPr>
          <w:spacing w:val="-11"/>
          <w:sz w:val="22"/>
        </w:rPr>
        <w:t> </w:t>
      </w:r>
      <w:r>
        <w:rPr>
          <w:sz w:val="22"/>
        </w:rPr>
        <w:t>towards</w:t>
      </w:r>
      <w:r>
        <w:rPr>
          <w:spacing w:val="-11"/>
          <w:sz w:val="22"/>
        </w:rPr>
        <w:t> </w:t>
      </w:r>
      <w:r>
        <w:rPr>
          <w:sz w:val="22"/>
        </w:rPr>
        <w:t>the</w:t>
      </w:r>
      <w:r>
        <w:rPr>
          <w:spacing w:val="-11"/>
          <w:sz w:val="22"/>
        </w:rPr>
        <w:t> </w:t>
      </w:r>
      <w:r>
        <w:rPr>
          <w:sz w:val="22"/>
        </w:rPr>
        <w:t>targeted</w:t>
      </w:r>
      <w:r>
        <w:rPr>
          <w:spacing w:val="-11"/>
          <w:sz w:val="22"/>
        </w:rPr>
        <w:t> </w:t>
      </w:r>
      <w:r>
        <w:rPr>
          <w:sz w:val="22"/>
        </w:rPr>
        <w:t>efficiency</w:t>
      </w:r>
      <w:r>
        <w:rPr>
          <w:spacing w:val="-11"/>
          <w:sz w:val="22"/>
        </w:rPr>
        <w:t> </w:t>
      </w:r>
      <w:r>
        <w:rPr>
          <w:sz w:val="22"/>
        </w:rPr>
        <w:t>level.</w:t>
      </w:r>
    </w:p>
    <w:p>
      <w:pPr>
        <w:pStyle w:val="ListParagraph"/>
        <w:numPr>
          <w:ilvl w:val="1"/>
          <w:numId w:val="35"/>
        </w:numPr>
        <w:tabs>
          <w:tab w:pos="1046" w:val="left" w:leader="none"/>
        </w:tabs>
        <w:spacing w:line="249" w:lineRule="auto" w:before="11" w:after="0"/>
        <w:ind w:left="1071" w:right="1726" w:hanging="306"/>
        <w:jc w:val="left"/>
        <w:rPr>
          <w:sz w:val="22"/>
        </w:rPr>
      </w:pPr>
      <w:r>
        <w:rPr>
          <w:sz w:val="22"/>
        </w:rPr>
        <w:t>The</w:t>
      </w:r>
      <w:r>
        <w:rPr>
          <w:spacing w:val="-18"/>
          <w:sz w:val="22"/>
        </w:rPr>
        <w:t> </w:t>
      </w:r>
      <w:r>
        <w:rPr>
          <w:sz w:val="22"/>
        </w:rPr>
        <w:t>increase</w:t>
      </w:r>
      <w:r>
        <w:rPr>
          <w:spacing w:val="-18"/>
          <w:sz w:val="22"/>
        </w:rPr>
        <w:t> </w:t>
      </w:r>
      <w:r>
        <w:rPr>
          <w:sz w:val="22"/>
        </w:rPr>
        <w:t>in</w:t>
      </w:r>
      <w:r>
        <w:rPr>
          <w:spacing w:val="-17"/>
          <w:sz w:val="22"/>
        </w:rPr>
        <w:t> </w:t>
      </w:r>
      <w:r>
        <w:rPr>
          <w:sz w:val="22"/>
        </w:rPr>
        <w:t>the</w:t>
      </w:r>
      <w:r>
        <w:rPr>
          <w:spacing w:val="-18"/>
          <w:sz w:val="22"/>
        </w:rPr>
        <w:t> </w:t>
      </w:r>
      <w:r>
        <w:rPr>
          <w:sz w:val="22"/>
        </w:rPr>
        <w:t>2016-17</w:t>
      </w:r>
      <w:r>
        <w:rPr>
          <w:spacing w:val="-17"/>
          <w:sz w:val="22"/>
        </w:rPr>
        <w:t> </w:t>
      </w:r>
      <w:r>
        <w:rPr>
          <w:sz w:val="22"/>
        </w:rPr>
        <w:t>actual</w:t>
      </w:r>
      <w:r>
        <w:rPr>
          <w:spacing w:val="-18"/>
          <w:sz w:val="22"/>
        </w:rPr>
        <w:t> </w:t>
      </w:r>
      <w:r>
        <w:rPr>
          <w:sz w:val="22"/>
        </w:rPr>
        <w:t>from</w:t>
      </w:r>
      <w:r>
        <w:rPr>
          <w:spacing w:val="-17"/>
          <w:sz w:val="22"/>
        </w:rPr>
        <w:t> </w:t>
      </w:r>
      <w:r>
        <w:rPr>
          <w:sz w:val="22"/>
        </w:rPr>
        <w:t>the</w:t>
      </w:r>
      <w:r>
        <w:rPr>
          <w:spacing w:val="-18"/>
          <w:sz w:val="22"/>
        </w:rPr>
        <w:t> </w:t>
      </w:r>
      <w:r>
        <w:rPr>
          <w:sz w:val="22"/>
        </w:rPr>
        <w:t>2016-17</w:t>
      </w:r>
      <w:r>
        <w:rPr>
          <w:spacing w:val="-17"/>
          <w:sz w:val="22"/>
        </w:rPr>
        <w:t> </w:t>
      </w:r>
      <w:r>
        <w:rPr>
          <w:sz w:val="22"/>
        </w:rPr>
        <w:t>target</w:t>
      </w:r>
      <w:r>
        <w:rPr>
          <w:spacing w:val="-18"/>
          <w:sz w:val="22"/>
        </w:rPr>
        <w:t> </w:t>
      </w:r>
      <w:r>
        <w:rPr>
          <w:sz w:val="22"/>
        </w:rPr>
        <w:t>highlights</w:t>
      </w:r>
      <w:r>
        <w:rPr>
          <w:spacing w:val="-17"/>
          <w:sz w:val="22"/>
        </w:rPr>
        <w:t> </w:t>
      </w:r>
      <w:r>
        <w:rPr>
          <w:sz w:val="22"/>
        </w:rPr>
        <w:t>Building</w:t>
      </w:r>
      <w:r>
        <w:rPr>
          <w:spacing w:val="-18"/>
          <w:sz w:val="22"/>
        </w:rPr>
        <w:t> </w:t>
      </w:r>
      <w:r>
        <w:rPr>
          <w:sz w:val="22"/>
        </w:rPr>
        <w:t>Management</w:t>
      </w:r>
      <w:r>
        <w:rPr>
          <w:spacing w:val="-17"/>
          <w:sz w:val="22"/>
        </w:rPr>
        <w:t> </w:t>
      </w:r>
      <w:r>
        <w:rPr>
          <w:sz w:val="22"/>
        </w:rPr>
        <w:t>and</w:t>
      </w:r>
      <w:r>
        <w:rPr>
          <w:spacing w:val="-18"/>
          <w:sz w:val="22"/>
        </w:rPr>
        <w:t> </w:t>
      </w:r>
      <w:r>
        <w:rPr>
          <w:sz w:val="22"/>
        </w:rPr>
        <w:t>Works’</w:t>
      </w:r>
      <w:r>
        <w:rPr>
          <w:spacing w:val="-17"/>
          <w:sz w:val="22"/>
        </w:rPr>
        <w:t> </w:t>
      </w:r>
      <w:r>
        <w:rPr>
          <w:sz w:val="22"/>
        </w:rPr>
        <w:t>continued</w:t>
      </w:r>
      <w:r>
        <w:rPr>
          <w:spacing w:val="-18"/>
          <w:sz w:val="22"/>
        </w:rPr>
        <w:t> </w:t>
      </w:r>
      <w:r>
        <w:rPr>
          <w:sz w:val="22"/>
        </w:rPr>
        <w:t>focus</w:t>
      </w:r>
      <w:r>
        <w:rPr>
          <w:spacing w:val="-17"/>
          <w:sz w:val="22"/>
        </w:rPr>
        <w:t> </w:t>
      </w:r>
      <w:r>
        <w:rPr>
          <w:sz w:val="22"/>
        </w:rPr>
        <w:t>on</w:t>
      </w:r>
      <w:r>
        <w:rPr>
          <w:spacing w:val="-18"/>
          <w:sz w:val="22"/>
        </w:rPr>
        <w:t> </w:t>
      </w:r>
      <w:r>
        <w:rPr>
          <w:sz w:val="22"/>
        </w:rPr>
        <w:t>reviewing</w:t>
      </w:r>
      <w:r>
        <w:rPr>
          <w:spacing w:val="-17"/>
          <w:sz w:val="22"/>
        </w:rPr>
        <w:t> </w:t>
      </w:r>
      <w:r>
        <w:rPr>
          <w:sz w:val="22"/>
        </w:rPr>
        <w:t>and</w:t>
      </w:r>
      <w:r>
        <w:rPr>
          <w:spacing w:val="-18"/>
          <w:sz w:val="22"/>
        </w:rPr>
        <w:t> </w:t>
      </w:r>
      <w:r>
        <w:rPr>
          <w:spacing w:val="-3"/>
          <w:sz w:val="22"/>
        </w:rPr>
        <w:t>improving </w:t>
      </w:r>
      <w:r>
        <w:rPr>
          <w:sz w:val="22"/>
        </w:rPr>
        <w:t>processes and policies in relation to managing building construction</w:t>
      </w:r>
      <w:r>
        <w:rPr>
          <w:spacing w:val="-16"/>
          <w:sz w:val="22"/>
        </w:rPr>
        <w:t> </w:t>
      </w:r>
      <w:r>
        <w:rPr>
          <w:sz w:val="22"/>
        </w:rPr>
        <w:t>projects.</w:t>
      </w:r>
    </w:p>
    <w:p>
      <w:pPr>
        <w:tabs>
          <w:tab w:pos="12166" w:val="left" w:leader="none"/>
          <w:tab w:pos="12373" w:val="left" w:leader="none"/>
        </w:tabs>
        <w:spacing w:before="114"/>
        <w:ind w:left="765" w:right="0" w:firstLine="0"/>
        <w:jc w:val="left"/>
        <w:rPr>
          <w:b/>
          <w:sz w:val="16"/>
        </w:rPr>
      </w:pPr>
      <w:r>
        <w:rPr>
          <w:color w:val="939598"/>
          <w:w w:val="100"/>
          <w:sz w:val="16"/>
          <w:u w:val="single" w:color="939598"/>
        </w:rPr>
        <w:t> </w:t>
      </w:r>
      <w:r>
        <w:rPr>
          <w:color w:val="939598"/>
          <w:sz w:val="16"/>
          <w:u w:val="single" w:color="939598"/>
        </w:rPr>
        <w:tab/>
      </w:r>
      <w:r>
        <w:rPr>
          <w:color w:val="939598"/>
          <w:sz w:val="16"/>
        </w:rPr>
        <w:tab/>
        <w:t>Department of Finance Annual Report 2016-17</w:t>
      </w:r>
      <w:r>
        <w:rPr>
          <w:color w:val="939598"/>
          <w:spacing w:val="29"/>
          <w:sz w:val="16"/>
        </w:rPr>
        <w:t> </w:t>
      </w:r>
      <w:r>
        <w:rPr>
          <w:b/>
          <w:color w:val="6F2770"/>
          <w:sz w:val="16"/>
        </w:rPr>
        <w:t>101</w:t>
      </w:r>
    </w:p>
    <w:p>
      <w:pPr>
        <w:spacing w:after="0"/>
        <w:jc w:val="left"/>
        <w:rPr>
          <w:sz w:val="16"/>
        </w:rPr>
        <w:sectPr>
          <w:type w:val="continuous"/>
          <w:pgSz w:w="16840" w:h="11910" w:orient="landscape"/>
          <w:pgMar w:top="0" w:bottom="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6"/>
        </w:rPr>
      </w:pPr>
    </w:p>
    <w:p>
      <w:pPr>
        <w:pStyle w:val="Heading1"/>
        <w:spacing w:before="93"/>
      </w:pPr>
      <w:r>
        <w:rPr/>
        <w:pict>
          <v:group style="position:absolute;margin-left:0pt;margin-top:-67.324211pt;width:841.9pt;height:108.95pt;mso-position-horizontal-relative:page;mso-position-vertical-relative:paragraph;z-index:-777688" coordorigin="0,-1346" coordsize="16838,2179">
            <v:shape style="position:absolute;left:13225;top:-523;width:904;height:904" coordorigin="13225,-522" coordsize="904,904" path="m13677,-522l13225,-71,13677,381,14128,-71,13677,-522xe" filled="true" fillcolor="#e8e9c9" stroked="false">
              <v:path arrowok="t"/>
              <v:fill type="solid"/>
            </v:shape>
            <v:shape style="position:absolute;left:12773;top:-71;width:904;height:904" coordorigin="12774,-71" coordsize="904,904" path="m13225,-71l12774,381,13225,832,13677,381,13225,-71xe" filled="true" fillcolor="#d5dac6" stroked="false">
              <v:path arrowok="t"/>
              <v:fill type="solid"/>
            </v:shape>
            <v:shape style="position:absolute;left:11870;top:-975;width:2710;height:904" coordorigin="11870,-974" coordsize="2710,904" path="m12774,-522l12322,-974,11870,-522,12322,-71,12774,-522m14580,-522l14128,-974,13677,-522,14128,-71,14580,-522e" filled="true" fillcolor="#efeeeb" stroked="false">
              <v:path arrowok="t"/>
              <v:fill type="solid"/>
            </v:shape>
            <v:shape style="position:absolute;left:12773;top:-975;width:904;height:904" coordorigin="12774,-974" coordsize="904,904" path="m13225,-974l12774,-522,13225,-71,13677,-522,13225,-974xe" filled="true" fillcolor="#c0aac2" stroked="false">
              <v:path arrowok="t"/>
              <v:fill type="solid"/>
            </v:shape>
            <v:rect style="position:absolute;left:9621;top:-1347;width:2406;height:851" filled="true" fillcolor="#e6e7e8" stroked="false">
              <v:fill type="solid"/>
            </v:rect>
            <v:shape style="position:absolute;left:9621;top:-1347;width:583;height:583" type="#_x0000_t75" stroked="false">
              <v:imagedata r:id="rId247" o:title=""/>
            </v:shape>
            <v:rect style="position:absolute;left:12026;top:-1347;width:2406;height:851" filled="true" fillcolor="#b6c247" stroked="false">
              <v:fill type="solid"/>
            </v:rect>
            <v:rect style="position:absolute;left:14432;top:-1347;width:2406;height:851" filled="true" fillcolor="#aebd37" stroked="false">
              <v:fill type="solid"/>
            </v:rect>
            <v:line style="position:absolute" from="16838,-1346" to="16838,-496" stroked="true" strokeweight=".001pt" strokecolor="#aebd37">
              <v:stroke dashstyle="solid"/>
            </v:line>
            <v:shape style="position:absolute;left:15424;top:-271;width:900;height:904" coordorigin="15424,-271" coordsize="900,904" path="m15874,-271l15424,179,15424,182,15874,632,16324,182,16324,179,15874,-271xe" filled="true" fillcolor="#c4cd71" stroked="false">
              <v:path arrowok="t"/>
              <v:fill type="solid"/>
            </v:shape>
            <v:shape style="position:absolute;left:15422;top:179;width:2;height:4" coordorigin="15423,179" coordsize="2,4" path="m15424,179l15423,181,15424,182,15424,179xe" filled="true" fillcolor="#b9c369" stroked="false">
              <v:path arrowok="t"/>
              <v:fill type="solid"/>
            </v:shape>
            <v:shape style="position:absolute;left:16324;top:179;width:2;height:4" coordorigin="16324,179" coordsize="2,4" path="m16324,179l16324,182,16326,181,16324,179xe" filled="true" fillcolor="#bec29e" stroked="false">
              <v:path arrowok="t"/>
              <v:fill type="solid"/>
            </v:shape>
            <v:shape style="position:absolute;left:15263;top:19;width:161;height:322" type="#_x0000_t75" stroked="false">
              <v:imagedata r:id="rId16" o:title=""/>
            </v:shape>
            <v:shape style="position:absolute;left:16324;top:19;width:161;height:322" type="#_x0000_t75" stroked="false">
              <v:imagedata r:id="rId11" o:title=""/>
            </v:shape>
            <v:shape style="position:absolute;left:15585;top:0;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4432;top:-13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47;width:2406;height:851" type="#_x0000_t202" filled="false"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1347;width:2406;height:851" type="#_x0000_t202" filled="false" stroked="false">
              <v:textbox inset="0,0,0,0">
                <w:txbxContent>
                  <w:p>
                    <w:pPr>
                      <w:spacing w:line="249" w:lineRule="auto" w:before="182"/>
                      <w:ind w:left="633" w:right="0" w:hanging="291"/>
                      <w:jc w:val="left"/>
                      <w:rPr>
                        <w:sz w:val="20"/>
                      </w:rPr>
                    </w:pPr>
                    <w:hyperlink w:history="true" w:anchor="_bookmark58">
                      <w:r>
                        <w:rPr>
                          <w:color w:val="6F2770"/>
                          <w:w w:val="95"/>
                          <w:sz w:val="20"/>
                        </w:rPr>
                        <w:t>KEY </w:t>
                      </w:r>
                    </w:hyperlink>
                    <w:hyperlink w:history="true" w:anchor="_bookmark58">
                      <w:r>
                        <w:rPr>
                          <w:color w:val="6F2770"/>
                          <w:w w:val="95"/>
                          <w:sz w:val="20"/>
                        </w:rPr>
                        <w:t>PERFORMANCE </w:t>
                      </w:r>
                      <w:r>
                        <w:rPr>
                          <w:color w:val="6F2770"/>
                          <w:sz w:val="20"/>
                        </w:rPr>
                        <w:t>INDICATORS</w:t>
                      </w:r>
                    </w:hyperlink>
                  </w:p>
                </w:txbxContent>
              </v:textbox>
              <w10:wrap type="none"/>
            </v:shape>
            <v:shape style="position:absolute;left:7211;top:-1347;width:2411;height:851" type="#_x0000_t202" filled="true" fillcolor="#c4cd71" stroked="false">
              <v:textbox inset="0,0,0,0">
                <w:txbxContent>
                  <w:p>
                    <w:pPr>
                      <w:spacing w:line="249" w:lineRule="auto" w:before="182"/>
                      <w:ind w:left="592"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347;width:2409;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347;width:2398;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347;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bookmarkStart w:name="_bookmark66" w:id="68"/>
      <w:bookmarkEnd w:id="68"/>
      <w:r>
        <w:rPr/>
      </w:r>
      <w:r>
        <w:rPr>
          <w:color w:val="6F2770"/>
        </w:rPr>
        <w:t>Key Effectiveness Indicators</w:t>
      </w:r>
    </w:p>
    <w:p>
      <w:pPr>
        <w:pStyle w:val="Heading4"/>
        <w:spacing w:before="110"/>
      </w:pPr>
      <w:r>
        <w:rPr>
          <w:color w:val="A7BE39"/>
        </w:rPr>
        <w:t>Public Utilities Office and Economic Reform</w:t>
      </w:r>
    </w:p>
    <w:p>
      <w:pPr>
        <w:pStyle w:val="Heading6"/>
        <w:spacing w:before="246"/>
      </w:pPr>
      <w:r>
        <w:rPr/>
        <w:pict>
          <v:group style="position:absolute;margin-left:532.39801pt;margin-top:25.276184pt;width:309.5pt;height:430.45pt;mso-position-horizontal-relative:page;mso-position-vertical-relative:paragraph;z-index:-777664" coordorigin="10648,506" coordsize="6190,8609">
            <v:shape style="position:absolute;left:12457;top:1751;width:1870;height:2493" coordorigin="12457,1752" coordsize="1870,2493" path="m14326,2998l13080,2998,12457,3621,13080,4244,13080,2998,14326,2998,14326,2998xm13080,1752l12457,2375,13080,2998,13080,2998,13080,1752xe" filled="true" fillcolor="#aebd37" stroked="false">
              <v:path arrowok="t"/>
              <v:fill type="solid"/>
            </v:shape>
            <v:shape style="position:absolute;left:13080;top:505;width:2493;height:2493" coordorigin="13080,506" coordsize="2493,2493" path="m14326,506l13080,1752,13080,1752,14326,1752,14326,2998,14326,1752,15573,1752,15573,1752,14326,1752,13703,1129,14326,506xm14326,506l14950,1129,14326,1752,15573,1752,14326,506xe" filled="true" fillcolor="#6f2770" stroked="false">
              <v:path arrowok="t"/>
              <v:fill type="solid"/>
            </v:shape>
            <v:shape style="position:absolute;left:13080;top:4244;width:2493;height:1247" coordorigin="13080,4244" coordsize="2493,1247" path="m14326,4244l13080,4244,14326,5490,13703,4867,14326,4244,15573,4244,14326,4244xm15573,4244l14326,4244,14950,4867,14326,5490,15573,4244xe" filled="true" fillcolor="#5d883c" stroked="false">
              <v:path arrowok="t"/>
              <v:fill type="solid"/>
            </v:shape>
            <v:shape style="position:absolute;left:14326;top:1751;width:1870;height:2493" coordorigin="14326,1752" coordsize="1870,2493" path="m15573,2998l14327,2998,14326,2998,15573,2998,15573,4244,16196,3621,15573,2998,15573,2998xm15573,1752l15573,2998,15573,2998,16196,2375,15573,1752xe" filled="true" fillcolor="#360e3f" stroked="false">
              <v:path arrowok="t"/>
              <v:fill type="solid"/>
            </v:shape>
            <v:shape style="position:absolute;left:13080;top:2998;width:1247;height:1247" coordorigin="13080,2998" coordsize="1247,1247" path="m13911,3413l13080,4244,13080,4244,13911,3413xm14326,2998l13911,3413,14326,2998,14326,2998xe" filled="true" fillcolor="#aebd37" stroked="false">
              <v:path arrowok="t"/>
              <v:fill type="solid"/>
            </v:shape>
            <v:shape style="position:absolute;left:13080;top:2998;width:1247;height:1247" coordorigin="13080,2998" coordsize="1247,1247" path="m14326,2998l13080,2998,13080,4244,14326,2998xm14326,2998l14326,2998,14326,2998,14326,2998xe" filled="true" fillcolor="#7aa142" stroked="false">
              <v:path arrowok="t"/>
              <v:fill type="solid"/>
            </v:shape>
            <v:shape style="position:absolute;left:13080;top:2998;width:1247;height:1247" coordorigin="13080,2998" coordsize="1247,1247" path="m14326,2998l13080,4244,14326,4244,14326,2998xe" filled="true" fillcolor="#41793d" stroked="false">
              <v:path arrowok="t"/>
              <v:fill type="solid"/>
            </v:shape>
            <v:shape style="position:absolute;left:13080;top:1751;width:1247;height:1247" coordorigin="13080,1752" coordsize="1247,1247" path="m13080,1752l14326,2998,13080,1752xe" filled="true" fillcolor="#6f2770" stroked="false">
              <v:path arrowok="t"/>
              <v:fill type="solid"/>
            </v:shape>
            <v:shape style="position:absolute;left:13080;top:1751;width:1247;height:1247" coordorigin="13080,1752" coordsize="1247,1247" path="m13080,1752l13080,2998,14326,2998,13080,1752xe" filled="true" fillcolor="#5b2e31" stroked="false">
              <v:path arrowok="t"/>
              <v:fill type="solid"/>
            </v:shape>
            <v:shape style="position:absolute;left:13080;top:1751;width:1247;height:1247" coordorigin="13080,1752" coordsize="1247,1247" path="m14326,1752l13080,1752,14326,2998,14326,1752xe" filled="true" fillcolor="#42285e" stroked="false">
              <v:path arrowok="t"/>
              <v:fill type="solid"/>
            </v:shape>
            <v:shape style="position:absolute;left:14326;top:2998;width:1247;height:1247" coordorigin="14326,2998" coordsize="1247,1247" path="m14326,2998l15573,4244,14326,2998xe" filled="true" fillcolor="#5d883c" stroked="false">
              <v:path arrowok="t"/>
              <v:fill type="solid"/>
            </v:shape>
            <v:shape style="position:absolute;left:14326;top:2998;width:1247;height:1247" coordorigin="14326,2998" coordsize="1247,1247" path="m14326,2998l14326,4244,15573,4244,14326,2998xe" filled="true" fillcolor="#226237" stroked="false">
              <v:path arrowok="t"/>
              <v:fill type="solid"/>
            </v:shape>
            <v:shape style="position:absolute;left:14326;top:2998;width:1247;height:1247" coordorigin="14326,2998" coordsize="1247,1247" path="m15573,2998l14326,2998,15573,4244,15573,2998xe" filled="true" fillcolor="#1e0f13" stroked="false">
              <v:path arrowok="t"/>
              <v:fill type="solid"/>
            </v:shape>
            <v:shape style="position:absolute;left:14326;top:1751;width:1247;height:1247" coordorigin="14326,1752" coordsize="1247,1247" path="m15573,1752l14326,2998,15573,1752xe" filled="true" fillcolor="#360e3f" stroked="false">
              <v:path arrowok="t"/>
              <v:fill type="solid"/>
            </v:shape>
            <v:shape style="position:absolute;left:14326;top:1751;width:1247;height:1247" coordorigin="14326,1752" coordsize="1247,1247" path="m15573,1752l14326,1752,14326,2998,15573,1752xe" filled="true" fillcolor="#200d34" stroked="false">
              <v:path arrowok="t"/>
              <v:fill type="solid"/>
            </v:shape>
            <v:shape style="position:absolute;left:14326;top:1751;width:1247;height:1247" coordorigin="14326,1752" coordsize="1247,1247" path="m15573,1752l14326,2998,15573,2998,15573,1752xe" filled="true" fillcolor="#050019" stroked="false">
              <v:path arrowok="t"/>
              <v:fill type="solid"/>
            </v:shape>
            <v:shape style="position:absolute;left:11833;top:2374;width:1247;height:1247" coordorigin="11834,2375" coordsize="1247,1247" path="m12457,2375l11834,2998,12457,3621,13080,2998,12457,2375xe" filled="true" fillcolor="#89993e" stroked="false">
              <v:path arrowok="t"/>
              <v:fill type="solid"/>
            </v:shape>
            <v:shape style="position:absolute;left:13703;top:4244;width:1247;height:1247" coordorigin="13703,4244" coordsize="1247,1247" path="m14326,4244l13703,4867,14326,5490,14950,4867,14326,4244xe" filled="true" fillcolor="#4f743b" stroked="false">
              <v:path arrowok="t"/>
              <v:fill type="solid"/>
            </v:shape>
            <v:shape style="position:absolute;left:15572;top:2374;width:1247;height:1247" coordorigin="15573,2375" coordsize="1247,1247" path="m16196,2375l15573,2998,16196,3621,16819,2998,16196,2375xe" filled="true" fillcolor="#2f1038" stroked="false">
              <v:path arrowok="t"/>
              <v:fill type="solid"/>
            </v:shape>
            <v:shape style="position:absolute;left:13703;top:505;width:1247;height:1247" coordorigin="13703,506" coordsize="1247,1247" path="m14326,506l13703,1129,14326,1752,14950,1129,14326,506xe" filled="true" fillcolor="#602a63" stroked="false">
              <v:path arrowok="t"/>
              <v:fill type="solid"/>
            </v:shape>
            <v:shape style="position:absolute;left:12223;top:895;width:4205;height:4205" coordorigin="12224,896" coordsize="4205,4205" path="m14326,896l12224,2998,14326,5100,16429,2998,14326,896xe" filled="true" fillcolor="#ffffff" stroked="false">
              <v:path arrowok="t"/>
              <v:fill type="solid"/>
            </v:shape>
            <v:shape style="position:absolute;left:12393;top:1643;width:37;height:35" coordorigin="12393,1644" coordsize="37,35" path="m12430,1644l12425,1646,12393,1678,12430,1657,12430,1644xe" filled="true" fillcolor="#cdcccd" stroked="false">
              <v:path arrowok="t"/>
              <v:fill type="solid"/>
            </v:shape>
            <v:shape style="position:absolute;left:12043;top:1717;width:387;height:311" type="#_x0000_t75" stroked="false">
              <v:imagedata r:id="rId262" o:title=""/>
            </v:shape>
            <v:shape style="position:absolute;left:11068;top:1865;width:1362;height:2101" coordorigin="11069,1865" coordsize="1362,2101" path="m12430,3712l12005,3957,12014,3966,12430,3725,12430,3712m12430,3638l11958,3910,11967,3919,12430,3651,12430,3638m12430,3564l11911,3863,11920,3872,12430,3577,12430,3564m12430,3490l11865,3817,11873,3825,12430,3504,12430,3490m12430,3342l11771,3723,11779,3731,12430,3356,12430,3342m12430,3195l11677,3629,11686,3638,12430,3208,12430,3195m12430,3121l11630,3582,11639,3591,12430,3134,12430,3121m12430,3047l11584,3536,11592,3544,12430,3060,12430,3047m12430,2973l11537,3489,11545,3497,12430,2987,12430,2973m12430,2899l11490,3442,11499,3450,12430,2913,12430,2899m12430,2825l11443,3395,11452,3404,12430,2839,12430,2825m12430,2751l11396,3348,11405,3357,12430,2765,12430,2751m12430,2678l11349,3301,11358,3310,12430,2691,12430,2678m12430,2604l11303,3255,11311,3263,12430,2617,12430,2604m12430,2530l11256,3208,11264,3216,12430,2543,12430,2530m12430,2382l11162,3114,11171,3123,12430,2396,12430,2382m12430,2087l11376,2695,11345,2727,12430,2100,12430,2087m12430,2013l11551,2520,11519,2552,12430,2026,12430,2013m12430,1939l11726,2346,11694,2377,12430,1953,12430,1939m12430,1865l11901,2171,11869,2203,12430,1879,12430,1865m12430,3416l11818,3770,11826,3778,12430,3430,12430,3416m12430,3269l11724,3676,11733,3685,12430,3282,12430,3269m12430,2456l11209,3161,11218,3170,12430,2470,12430,2456m12430,2308l11115,3067,11124,3076,12430,2322,12430,2308m12430,2234l11069,3021,11077,3029,12430,2248,12430,2234m12430,2161l11202,2870,11170,2902,12430,2174,12430,2161e" filled="true" fillcolor="#cdcccd" stroked="false">
              <v:path arrowok="t"/>
              <v:fill type="solid"/>
            </v:shape>
            <v:shape style="position:absolute;left:12051;top:3785;width:379;height:555" type="#_x0000_t75" stroked="false">
              <v:imagedata r:id="rId263" o:title=""/>
            </v:shape>
            <v:shape style="position:absolute;left:12430;top:1660;width:23;height:17" coordorigin="12430,1660" coordsize="23,17" path="m12449,1660l12430,1671,12430,1677,12452,1664,12449,1660xe" filled="true" fillcolor="#cdcccd" stroked="false">
              <v:path arrowok="t"/>
              <v:fill type="solid"/>
            </v:shape>
            <v:shape style="position:absolute;left:12430;top:1707;width:397;height:561" type="#_x0000_t75" stroked="false">
              <v:imagedata r:id="rId264" o:title=""/>
            </v:shape>
            <v:shape style="position:absolute;left:12430;top:2081;width:1346;height:2107" coordorigin="12430,2082" coordsize="1346,2107" path="m12874,2085l12870,2082,12430,2336,12430,2341,12874,2085m12902,3910l12430,4183,12430,4188,12889,3923,12902,3910m12921,2132l12917,2129,12430,2410,12430,2415,12921,2132m12967,2179l12964,2175,12430,2484,12430,2489,12967,2179m13014,2226l13011,2222,12430,2558,12430,2563,13014,2226m13061,2273l13058,2269,12430,2631,12430,2637,13061,2273m13077,3735l12430,4109,12430,4114,13064,3748,13077,3735m13108,2319l13104,2316,12430,2705,12430,2711,13108,2319m13155,2366l13151,2363,12430,2779,12430,2785,13155,2366m13202,2413l13198,2410,12430,2853,12430,2858,13202,2413m13248,2460l13245,2456,12430,2927,12430,2932,13248,2460m13251,3561l12430,4035,12430,4040,13239,3573,13251,3561m13295,2507l13292,2503,12430,3001,12430,3006,13295,2507m13342,2553l13339,2550,12430,3075,12430,3080,13342,2553m13389,2600l13385,2597,12430,3148,12430,3154,13389,2600m13426,3386l12430,3961,12430,3966,13413,3399,13426,3386m13436,2647l13432,2644,12430,3222,12430,3228,13436,2647m13483,2694l13479,2691,12430,3296,12430,3302,13483,2694m13529,2741l13526,2737,12430,3370,12430,3375,13529,2741m13576,2788l13573,2784,12430,3444,12430,3449,13576,2788m13601,3211l12430,3887,12430,3892,13588,3224,13601,3211m13623,2834l13620,2831,12430,3518,12430,3523,13623,2834m13670,2881l13666,2878,12430,3592,12430,3597,13670,2881m13717,2928l13713,2925,12430,3665,12430,3671,13717,2928m13763,2975l13760,2972,12430,3739,12430,3745,13763,2975m13776,3036l12430,3813,12430,3819,13763,3049,13776,3036e" filled="true" fillcolor="#cdcccd" stroked="false">
              <v:path arrowok="t"/>
              <v:fill type="solid"/>
            </v:shape>
            <v:shape style="position:absolute;left:12430;top:4084;width:298;height:251" type="#_x0000_t75" stroked="false">
              <v:imagedata r:id="rId265" o:title=""/>
            </v:shape>
            <v:shape style="position:absolute;left:12085;top:5009;width:3613;height:4105" coordorigin="12086,5010" coordsize="3613,4105" path="m15698,8696l14974,9114,14999,9114,15698,8710,15698,8696m15698,8497l14629,9114,14654,9114,15698,8511,15698,8497m15698,8397l14456,9114,14481,9114,15698,8411,15698,8397m15698,8098l13939,9114,13964,9114,15698,8113,15698,8098m15698,7600l13076,9114,13101,9114,15698,7614,15698,7600m15698,7500l12903,9114,12928,9114,15698,7515,15698,7500m15698,7401l12731,9114,12756,9114,15698,7415,15698,7401m15698,6903l12275,8879,12284,8888,15698,6917,15698,6903m15698,6803l12212,8815,12221,8825,15698,6817,15698,6803m15698,6504l12121,8569,12087,8603,15698,6518,15698,6504m15698,6006l13300,7390,13266,7424,15698,6020,15698,6006m15698,5607l14243,6447,14209,6482,15698,5622,15698,5607m15698,8795l15147,9114,15172,9114,15698,8810,15698,8795m15698,8596l14802,9114,14827,9114,15698,8611,15698,8596m15698,8297l14284,9114,14309,9114,15698,8312,15698,8297m15698,8198l14111,9114,14136,9114,15698,8212,15698,8198m15698,7998l13766,9114,13791,9114,15698,8013,15698,7998m15698,7899l13594,9114,13619,9114,15698,7913,15698,7899m15698,7799l13421,9114,13446,9114,15698,7814,15698,7799m15698,7700l13249,9114,13274,9114,15698,7714,15698,7700m15698,7301l12558,9114,12583,9114,15698,7315,15698,7301m15698,7201l12465,9068,12474,9077,15698,7216,15698,7201m15698,7102l12402,9005,12411,9014,15698,7116,15698,7102m15698,7002l12338,8942,12348,8951,15698,7017,15698,7002m15698,6703l12149,8752,12158,8761,15698,6718,15698,6703m15698,6604l12086,8689,12095,8698,15698,6618,15698,6604m15698,6404l12357,8333,12323,8367,15698,6419,15698,6404m15698,6305l12593,8097,12559,8132,15698,6319,15698,6305m15698,6205l12829,7862,12794,7896,15698,6220,15698,6205m15698,6106l13064,7626,13030,7660,15698,6120,15698,6106m15698,5906l13536,7155,13502,7189,15698,5921,15698,5906m15698,5807l13772,6919,13737,6953,15698,5821,15698,5807m15698,5707l14007,6683,13973,6717,15698,5721,15698,5707m15698,5508l14479,6212,14445,6246,15698,5522,15698,5508m15698,5408l14714,5976,14680,6010,15698,5423,15698,5408m15698,5309l14950,5740,14916,5774,15698,5323,15698,5309m15698,5209l15186,5505,15152,5539,15698,5223,15698,5209m15698,5109l15422,5269,15387,5303,15698,5124,15698,5109m15698,5010l15657,5033,15623,5067,15698,5024,15698,5010e" filled="true" fillcolor="#d8dad9" stroked="false">
              <v:path arrowok="t"/>
              <v:fill type="solid"/>
            </v:shape>
            <v:shape style="position:absolute;left:15319;top:8895;width:379;height:219" type="#_x0000_t75" stroked="false">
              <v:imagedata r:id="rId266" o:title=""/>
            </v:shape>
            <v:shape style="position:absolute;left:15698;top:5026;width:38;height:26" coordorigin="15698,5026" coordsize="38,26" path="m15732,5026l15698,5046,15698,5051,15736,5030,15732,5026xe" filled="true" fillcolor="#d8dad9" stroked="false">
              <v:path arrowok="t"/>
              <v:fill type="solid"/>
            </v:shape>
            <v:shape style="position:absolute;left:15698;top:5089;width:354;height:461" type="#_x0000_t75" stroked="false">
              <v:imagedata r:id="rId267" o:title=""/>
            </v:shape>
            <v:shape style="position:absolute;left:15698;top:5405;width:1140;height:3709" coordorigin="15698,5405" coordsize="1140,3709" path="m16114,5409l16111,5405,15698,5644,15698,5649,16114,5409m16178,5472l16174,5468,15698,5743,15698,5749,16178,5472m16241,5535l16237,5531,15698,5843,15698,5849,16241,5535m16304,5598l16300,5595,15698,5942,15698,5948,16304,5598m16367,5661l16363,5658,15698,6042,15698,6048,16367,5661m16430,5725l16427,5721,15698,6142,15698,6147,16430,5725m16493,5788l16490,5784,15698,6241,15698,6247,16493,5788m16557,5851l16553,5847,15698,6341,15698,6347,16557,5851m16620,5914l16616,5910,15698,6441,15698,6446,16620,5914m16683,5977l16679,5974,15698,6540,15698,6546,16683,5977m16746,6040l16742,6037,15698,6640,15698,6646,16746,6040m16809,6104l16806,6100,15698,6739,15698,6745,16809,6104m16838,8871l16417,9114,16427,9114,16838,8877,16838,8871m16838,8771l16245,9114,16255,9114,16838,8777,16838,8771m16838,8672l16072,9114,16082,9114,16838,8678,16838,8672m16838,8572l15900,9114,15910,9114,16838,8578,16838,8572m16838,8472l15727,9114,15737,9114,16838,8478,16838,8472m16838,8373l15698,9031,15698,9037,16838,8379,16838,8373m16838,8273l15698,8931,15698,8937,16838,8279,16838,8273m16838,8174l15698,8832,15698,8837,16838,8179,16838,8174m16838,8074l15698,8732,15698,8738,16838,8080,16838,8074m16838,7974l15698,8632,15698,8638,16838,7980,16838,7974m16838,7875l15698,8533,15698,8539,16838,7881,16838,7875m16838,7775l15698,8433,15698,8439,16838,7781,16838,7775m16838,7675l15698,8334,15698,8339,16838,7681,16838,7675m16838,7576l15698,8234,15698,8240,16838,7582,16838,7576m16838,7476l15698,8134,15698,8140,16838,7482,16838,7476m16838,7377l15698,8035,15698,8040,16838,7382,16838,7377m16838,7277l15698,7935,15698,7941,16838,7283,16838,7277m16838,7177l15698,7835,15698,7841,16838,7183,16838,7177m16838,7078l15698,7736,15698,7742,16838,7083,16838,7078m16838,6978l15698,7636,15698,7642,16838,6984,16838,6978m16838,6878l15698,7536,15698,7542,16838,6884,16838,6878m16838,6779l15698,7437,15698,7443,16838,6785,16838,6779m16838,6679l15698,7337,15698,7343,16838,6685,16838,6679m16838,6580l15698,7238,15698,7243,16838,6585,16838,6580m16838,6480l15698,7138,15698,7144,16838,6486,16838,6480m16838,6380l15698,7038,15698,7044,16838,6386,16838,6380m16838,6281l15698,6939,15698,6944,16838,6286,16838,6281m16838,6181l15698,6839,15698,6845,16838,6187,16838,6181e" filled="true" fillcolor="#d8dad9" stroked="false">
              <v:path arrowok="t"/>
              <v:fill type="solid"/>
            </v:shape>
            <v:shape style="position:absolute;left:16589;top:8970;width:248;height:144" type="#_x0000_t75" stroked="false">
              <v:imagedata r:id="rId268" o:title=""/>
            </v:shape>
            <v:shape style="position:absolute;left:10647;top:4969;width:904;height:904" coordorigin="10648,4970" coordsize="904,904" path="m11100,4970l10648,5421,11100,5873,11551,5421,11100,4970xe" filled="true" fillcolor="#c4cd71" stroked="false">
              <v:path arrowok="t"/>
              <v:fill opacity="32768f" type="solid"/>
            </v:shape>
            <w10:wrap type="none"/>
          </v:group>
        </w:pict>
      </w:r>
      <w:r>
        <w:rPr/>
        <w:t>Outcome 5: A sustainable, efficient, secure and affordable energy sector</w:t>
      </w:r>
    </w:p>
    <w:p>
      <w:pPr>
        <w:pStyle w:val="BodyText"/>
        <w:spacing w:before="11"/>
        <w:rPr>
          <w:b/>
          <w:sz w:val="23"/>
        </w:rPr>
      </w:pPr>
    </w:p>
    <w:p>
      <w:pPr>
        <w:pStyle w:val="BodyText"/>
        <w:spacing w:line="249" w:lineRule="auto"/>
        <w:ind w:left="765" w:right="6012"/>
      </w:pPr>
      <w:r>
        <w:rPr/>
        <w:t>The</w:t>
      </w:r>
      <w:r>
        <w:rPr>
          <w:spacing w:val="-22"/>
        </w:rPr>
        <w:t> </w:t>
      </w:r>
      <w:r>
        <w:rPr/>
        <w:t>delivery</w:t>
      </w:r>
      <w:r>
        <w:rPr>
          <w:spacing w:val="-22"/>
        </w:rPr>
        <w:t> </w:t>
      </w:r>
      <w:r>
        <w:rPr/>
        <w:t>of</w:t>
      </w:r>
      <w:r>
        <w:rPr>
          <w:spacing w:val="-21"/>
        </w:rPr>
        <w:t> </w:t>
      </w:r>
      <w:r>
        <w:rPr/>
        <w:t>impartial,</w:t>
      </w:r>
      <w:r>
        <w:rPr>
          <w:spacing w:val="-22"/>
        </w:rPr>
        <w:t> </w:t>
      </w:r>
      <w:r>
        <w:rPr/>
        <w:t>high-quality</w:t>
      </w:r>
      <w:r>
        <w:rPr>
          <w:spacing w:val="-21"/>
        </w:rPr>
        <w:t> </w:t>
      </w:r>
      <w:r>
        <w:rPr/>
        <w:t>advice</w:t>
      </w:r>
      <w:r>
        <w:rPr>
          <w:spacing w:val="-22"/>
        </w:rPr>
        <w:t> </w:t>
      </w:r>
      <w:r>
        <w:rPr/>
        <w:t>on</w:t>
      </w:r>
      <w:r>
        <w:rPr>
          <w:spacing w:val="-21"/>
        </w:rPr>
        <w:t> </w:t>
      </w:r>
      <w:r>
        <w:rPr/>
        <w:t>matters</w:t>
      </w:r>
      <w:r>
        <w:rPr>
          <w:spacing w:val="-22"/>
        </w:rPr>
        <w:t> </w:t>
      </w:r>
      <w:r>
        <w:rPr/>
        <w:t>in</w:t>
      </w:r>
      <w:r>
        <w:rPr>
          <w:spacing w:val="-21"/>
        </w:rPr>
        <w:t> </w:t>
      </w:r>
      <w:r>
        <w:rPr/>
        <w:t>the</w:t>
      </w:r>
      <w:r>
        <w:rPr>
          <w:spacing w:val="-22"/>
        </w:rPr>
        <w:t> </w:t>
      </w:r>
      <w:r>
        <w:rPr/>
        <w:t>energy</w:t>
      </w:r>
      <w:r>
        <w:rPr>
          <w:spacing w:val="-21"/>
        </w:rPr>
        <w:t> </w:t>
      </w:r>
      <w:r>
        <w:rPr/>
        <w:t>portfolio</w:t>
      </w:r>
      <w:r>
        <w:rPr>
          <w:spacing w:val="-22"/>
        </w:rPr>
        <w:t> </w:t>
      </w:r>
      <w:r>
        <w:rPr/>
        <w:t>assists</w:t>
      </w:r>
      <w:r>
        <w:rPr>
          <w:spacing w:val="-21"/>
        </w:rPr>
        <w:t> </w:t>
      </w:r>
      <w:r>
        <w:rPr/>
        <w:t>government</w:t>
      </w:r>
      <w:r>
        <w:rPr>
          <w:spacing w:val="-22"/>
        </w:rPr>
        <w:t> </w:t>
      </w:r>
      <w:r>
        <w:rPr/>
        <w:t>to</w:t>
      </w:r>
      <w:r>
        <w:rPr>
          <w:spacing w:val="-22"/>
        </w:rPr>
        <w:t> </w:t>
      </w:r>
      <w:r>
        <w:rPr/>
        <w:t>make well-informed</w:t>
      </w:r>
      <w:r>
        <w:rPr>
          <w:spacing w:val="-25"/>
        </w:rPr>
        <w:t> </w:t>
      </w:r>
      <w:r>
        <w:rPr/>
        <w:t>decisions</w:t>
      </w:r>
      <w:r>
        <w:rPr>
          <w:spacing w:val="-25"/>
        </w:rPr>
        <w:t> </w:t>
      </w:r>
      <w:r>
        <w:rPr/>
        <w:t>that</w:t>
      </w:r>
      <w:r>
        <w:rPr>
          <w:spacing w:val="-24"/>
        </w:rPr>
        <w:t> </w:t>
      </w:r>
      <w:r>
        <w:rPr/>
        <w:t>contribute</w:t>
      </w:r>
      <w:r>
        <w:rPr>
          <w:spacing w:val="-25"/>
        </w:rPr>
        <w:t> </w:t>
      </w:r>
      <w:r>
        <w:rPr/>
        <w:t>to</w:t>
      </w:r>
      <w:r>
        <w:rPr>
          <w:spacing w:val="-25"/>
        </w:rPr>
        <w:t> </w:t>
      </w:r>
      <w:r>
        <w:rPr/>
        <w:t>a</w:t>
      </w:r>
      <w:r>
        <w:rPr>
          <w:spacing w:val="-24"/>
        </w:rPr>
        <w:t> </w:t>
      </w:r>
      <w:r>
        <w:rPr/>
        <w:t>sustainable,</w:t>
      </w:r>
      <w:r>
        <w:rPr>
          <w:spacing w:val="-25"/>
        </w:rPr>
        <w:t> </w:t>
      </w:r>
      <w:r>
        <w:rPr/>
        <w:t>efficient,</w:t>
      </w:r>
      <w:r>
        <w:rPr>
          <w:spacing w:val="-24"/>
        </w:rPr>
        <w:t> </w:t>
      </w:r>
      <w:r>
        <w:rPr/>
        <w:t>secure</w:t>
      </w:r>
      <w:r>
        <w:rPr>
          <w:spacing w:val="-25"/>
        </w:rPr>
        <w:t> </w:t>
      </w:r>
      <w:r>
        <w:rPr/>
        <w:t>and</w:t>
      </w:r>
      <w:r>
        <w:rPr>
          <w:spacing w:val="-25"/>
        </w:rPr>
        <w:t> </w:t>
      </w:r>
      <w:r>
        <w:rPr/>
        <w:t>affordable</w:t>
      </w:r>
      <w:r>
        <w:rPr>
          <w:spacing w:val="-24"/>
        </w:rPr>
        <w:t> </w:t>
      </w:r>
      <w:r>
        <w:rPr/>
        <w:t>energy</w:t>
      </w:r>
      <w:r>
        <w:rPr>
          <w:spacing w:val="-25"/>
        </w:rPr>
        <w:t> </w:t>
      </w:r>
      <w:r>
        <w:rPr>
          <w:spacing w:val="-3"/>
        </w:rPr>
        <w:t>sector.</w:t>
      </w:r>
      <w:r>
        <w:rPr>
          <w:spacing w:val="-24"/>
        </w:rPr>
        <w:t> </w:t>
      </w:r>
      <w:r>
        <w:rPr>
          <w:spacing w:val="-4"/>
        </w:rPr>
        <w:t>This </w:t>
      </w:r>
      <w:r>
        <w:rPr/>
        <w:t>indicator</w:t>
      </w:r>
      <w:r>
        <w:rPr>
          <w:spacing w:val="-21"/>
        </w:rPr>
        <w:t> </w:t>
      </w:r>
      <w:r>
        <w:rPr/>
        <w:t>demonstrates</w:t>
      </w:r>
      <w:r>
        <w:rPr>
          <w:spacing w:val="-20"/>
        </w:rPr>
        <w:t> </w:t>
      </w:r>
      <w:r>
        <w:rPr/>
        <w:t>the</w:t>
      </w:r>
      <w:r>
        <w:rPr>
          <w:spacing w:val="-20"/>
        </w:rPr>
        <w:t> </w:t>
      </w:r>
      <w:r>
        <w:rPr/>
        <w:t>capability</w:t>
      </w:r>
      <w:r>
        <w:rPr>
          <w:spacing w:val="-20"/>
        </w:rPr>
        <w:t> </w:t>
      </w:r>
      <w:r>
        <w:rPr/>
        <w:t>of</w:t>
      </w:r>
      <w:r>
        <w:rPr>
          <w:spacing w:val="-20"/>
        </w:rPr>
        <w:t> </w:t>
      </w:r>
      <w:r>
        <w:rPr/>
        <w:t>the</w:t>
      </w:r>
      <w:r>
        <w:rPr>
          <w:spacing w:val="-20"/>
        </w:rPr>
        <w:t> </w:t>
      </w:r>
      <w:r>
        <w:rPr/>
        <w:t>Public</w:t>
      </w:r>
      <w:r>
        <w:rPr>
          <w:spacing w:val="-20"/>
        </w:rPr>
        <w:t> </w:t>
      </w:r>
      <w:r>
        <w:rPr/>
        <w:t>Utilities</w:t>
      </w:r>
      <w:r>
        <w:rPr>
          <w:spacing w:val="-21"/>
        </w:rPr>
        <w:t> </w:t>
      </w:r>
      <w:r>
        <w:rPr/>
        <w:t>Office</w:t>
      </w:r>
      <w:r>
        <w:rPr>
          <w:spacing w:val="-20"/>
        </w:rPr>
        <w:t> </w:t>
      </w:r>
      <w:r>
        <w:rPr/>
        <w:t>in</w:t>
      </w:r>
      <w:r>
        <w:rPr>
          <w:spacing w:val="-20"/>
        </w:rPr>
        <w:t> </w:t>
      </w:r>
      <w:r>
        <w:rPr/>
        <w:t>meeting</w:t>
      </w:r>
      <w:r>
        <w:rPr>
          <w:spacing w:val="-20"/>
        </w:rPr>
        <w:t> </w:t>
      </w:r>
      <w:r>
        <w:rPr/>
        <w:t>the</w:t>
      </w:r>
      <w:r>
        <w:rPr>
          <w:spacing w:val="-20"/>
        </w:rPr>
        <w:t> </w:t>
      </w:r>
      <w:r>
        <w:rPr/>
        <w:t>Government’s</w:t>
      </w:r>
      <w:r>
        <w:rPr>
          <w:spacing w:val="-20"/>
        </w:rPr>
        <w:t> </w:t>
      </w:r>
      <w:r>
        <w:rPr/>
        <w:t>agenda</w:t>
      </w:r>
      <w:r>
        <w:rPr>
          <w:spacing w:val="-20"/>
        </w:rPr>
        <w:t> </w:t>
      </w:r>
      <w:r>
        <w:rPr/>
        <w:t>for policy and program</w:t>
      </w:r>
      <w:r>
        <w:rPr>
          <w:spacing w:val="-3"/>
        </w:rPr>
        <w:t> delivery.</w:t>
      </w:r>
    </w:p>
    <w:p>
      <w:pPr>
        <w:pStyle w:val="BodyText"/>
        <w:spacing w:before="3"/>
        <w:rPr>
          <w:sz w:val="23"/>
        </w:rPr>
      </w:pPr>
    </w:p>
    <w:p>
      <w:pPr>
        <w:pStyle w:val="Heading6"/>
        <w:rPr>
          <w:sz w:val="10"/>
        </w:rPr>
      </w:pPr>
      <w:r>
        <w:rPr/>
        <w:t>The extent to which policy and program development objectives for the year are achieved (%) </w:t>
      </w:r>
      <w:r>
        <w:rPr>
          <w:position w:val="8"/>
          <w:sz w:val="10"/>
        </w:rPr>
        <w:t>(a)</w:t>
      </w:r>
    </w:p>
    <w:p>
      <w:pPr>
        <w:pStyle w:val="BodyText"/>
        <w:spacing w:before="8"/>
        <w:rPr>
          <w:b/>
          <w:sz w:val="19"/>
        </w:rPr>
      </w:pPr>
      <w:r>
        <w:rPr/>
        <w:pict>
          <v:group style="position:absolute;margin-left:38.267799pt;margin-top:31.2747pt;width:40.2pt;height:124pt;mso-position-horizontal-relative:page;mso-position-vertical-relative:paragraph;z-index:33368;mso-wrap-distance-left:0;mso-wrap-distance-right:0" coordorigin="765,625" coordsize="804,2480">
            <v:shape style="position:absolute;left:1167;top:1042;width:397;height:2058" coordorigin="1167,1042" coordsize="397,2058" path="m1564,1042l1167,1439,1167,3100,1564,3100,1564,1042xe" filled="true" fillcolor="#f5f6ea" stroked="false">
              <v:path arrowok="t"/>
              <v:fill type="solid"/>
            </v:shape>
            <v:shape style="position:absolute;left:765;top:1030;width:804;height:2075" coordorigin="765,1030" coordsize="804,2075" path="m765,1030l765,3105,1569,3105,1569,3095,775,3095,775,1054,767,1046,770,1042,777,1042,765,1030xm1569,1054l1559,1054,1559,3095,1569,3095,1569,1054xm777,1042l775,1042,775,1054,1167,1446,1181,1432,1167,1432,777,1042xm1569,1030l1167,1432,1181,1432,1559,1054,1569,1054,1569,1030xm775,1042l770,1042,767,1046,775,1054,775,1042xe" filled="true" fillcolor="#aebd37" stroked="false">
              <v:path arrowok="t"/>
              <v:fill type="solid"/>
            </v:shape>
            <v:shape style="position:absolute;left:798;top:625;width:737;height:738" coordorigin="799,625" coordsize="737,738" path="m1167,625l799,994,1167,1363,1536,994,1167,625xe" filled="true" fillcolor="#aebd37" stroked="false">
              <v:path arrowok="t"/>
              <v:fill type="solid"/>
            </v:shape>
            <v:shape style="position:absolute;left:1056;top:873;width:232;height:227" type="#_x0000_t202" filled="false" stroked="false">
              <v:textbox inset="0,0,0,0">
                <w:txbxContent>
                  <w:p>
                    <w:pPr>
                      <w:spacing w:before="7"/>
                      <w:ind w:left="0" w:right="0" w:firstLine="0"/>
                      <w:jc w:val="left"/>
                      <w:rPr>
                        <w:b/>
                        <w:sz w:val="19"/>
                      </w:rPr>
                    </w:pPr>
                    <w:r>
                      <w:rPr>
                        <w:b/>
                        <w:color w:val="FFFFFF"/>
                        <w:sz w:val="19"/>
                      </w:rPr>
                      <w:t>89</w:t>
                    </w:r>
                  </w:p>
                </w:txbxContent>
              </v:textbox>
              <w10:wrap type="none"/>
            </v:shape>
            <w10:wrap type="topAndBottom"/>
          </v:group>
        </w:pict>
      </w:r>
      <w:r>
        <w:rPr/>
        <w:pict>
          <v:group style="position:absolute;margin-left:88.582802pt;margin-top:20.2747pt;width:40.2pt;height:135pt;mso-position-horizontal-relative:page;mso-position-vertical-relative:paragraph;z-index:33416;mso-wrap-distance-left:0;mso-wrap-distance-right:0" coordorigin="1772,405" coordsize="804,2700">
            <v:shape style="position:absolute;left:2173;top:822;width:397;height:2278" coordorigin="2174,822" coordsize="397,2278" path="m2570,822l2174,1219,2174,3100,2570,3100,2570,822xe" filled="true" fillcolor="#f5f6ea" stroked="false">
              <v:path arrowok="t"/>
              <v:fill type="solid"/>
            </v:shape>
            <v:shape style="position:absolute;left:1771;top:810;width:804;height:2295" coordorigin="1772,810" coordsize="804,2295" path="m1772,810l1772,3105,2575,3105,2575,3095,1782,3095,1782,834,1773,826,1777,822,1784,822,1772,810xm2575,834l2565,834,2565,3095,2575,3095,2575,834xm1784,822l1782,822,1782,834,2174,1226,2188,1212,2174,1212,1784,822xm2575,810l2174,1212,2188,1212,2565,834,2575,834,2575,810xm1782,822l1777,822,1773,826,1782,834,1782,822xe" filled="true" fillcolor="#aebd37" stroked="false">
              <v:path arrowok="t"/>
              <v:fill type="solid"/>
            </v:shape>
            <v:shape style="position:absolute;left:1805;top:405;width:737;height:738" coordorigin="1805,405" coordsize="737,738" path="m2174,405l1805,774,2174,1143,2542,774,2174,405xe" filled="true" fillcolor="#aebd37" stroked="false">
              <v:path arrowok="t"/>
              <v:fill type="solid"/>
            </v:shape>
            <v:shape style="position:absolute;left:2062;top:653;width:232;height:227" type="#_x0000_t202" filled="false" stroked="false">
              <v:textbox inset="0,0,0,0">
                <w:txbxContent>
                  <w:p>
                    <w:pPr>
                      <w:spacing w:before="7"/>
                      <w:ind w:left="0" w:right="0" w:firstLine="0"/>
                      <w:jc w:val="left"/>
                      <w:rPr>
                        <w:b/>
                        <w:sz w:val="19"/>
                      </w:rPr>
                    </w:pPr>
                    <w:r>
                      <w:rPr>
                        <w:b/>
                        <w:color w:val="FFFFFF"/>
                        <w:sz w:val="19"/>
                      </w:rPr>
                      <w:t>95</w:t>
                    </w:r>
                  </w:p>
                </w:txbxContent>
              </v:textbox>
              <w10:wrap type="none"/>
            </v:shape>
            <w10:wrap type="topAndBottom"/>
          </v:group>
        </w:pict>
      </w:r>
      <w:r>
        <w:rPr/>
        <w:pict>
          <v:group style="position:absolute;margin-left:138.897705pt;margin-top:28.2747pt;width:40.2pt;height:127pt;mso-position-horizontal-relative:page;mso-position-vertical-relative:paragraph;z-index:33464;mso-wrap-distance-left:0;mso-wrap-distance-right:0" coordorigin="2778,565" coordsize="804,2540">
            <v:shape style="position:absolute;left:3179;top:982;width:397;height:2118" coordorigin="3180,982" coordsize="397,2118" path="m3577,982l3180,1379,3180,3100,3577,3100,3577,982xe" filled="true" fillcolor="#f5f6ea" stroked="false">
              <v:path arrowok="t"/>
              <v:fill type="solid"/>
            </v:shape>
            <v:shape style="position:absolute;left:2777;top:970;width:804;height:2135" coordorigin="2778,970" coordsize="804,2135" path="m2778,970l2778,3105,3582,3105,3582,3095,2788,3095,2788,994,2779,986,2783,982,2790,982,2778,970xm3582,994l3572,994,3572,3095,3582,3095,3582,994xm2790,982l2788,982,2788,994,3180,1386,3194,1372,3180,1372,2790,982xm3582,970l3180,1372,3194,1372,3572,994,3582,994,3582,970xm2788,982l2783,982,2779,986,2788,994,2788,982xe" filled="true" fillcolor="#aebd37" stroked="false">
              <v:path arrowok="t"/>
              <v:fill type="solid"/>
            </v:shape>
            <v:shape style="position:absolute;left:2811;top:565;width:737;height:738" coordorigin="2811,565" coordsize="737,738" path="m3180,565l2811,934,3180,1303,3548,934,3180,565xe" filled="true" fillcolor="#aebd37" stroked="false">
              <v:path arrowok="t"/>
              <v:fill type="solid"/>
            </v:shape>
            <v:shape style="position:absolute;left:3068;top:813;width:232;height:227" type="#_x0000_t202" filled="false" stroked="false">
              <v:textbox inset="0,0,0,0">
                <w:txbxContent>
                  <w:p>
                    <w:pPr>
                      <w:spacing w:before="7"/>
                      <w:ind w:left="0" w:right="0" w:firstLine="0"/>
                      <w:jc w:val="left"/>
                      <w:rPr>
                        <w:b/>
                        <w:sz w:val="19"/>
                      </w:rPr>
                    </w:pPr>
                    <w:r>
                      <w:rPr>
                        <w:b/>
                        <w:color w:val="FFFFFF"/>
                        <w:sz w:val="19"/>
                      </w:rPr>
                      <w:t>92</w:t>
                    </w:r>
                  </w:p>
                </w:txbxContent>
              </v:textbox>
              <w10:wrap type="none"/>
            </v:shape>
            <w10:wrap type="topAndBottom"/>
          </v:group>
        </w:pict>
      </w:r>
      <w:r>
        <w:rPr/>
        <w:pict>
          <v:group style="position:absolute;margin-left:189.213104pt;margin-top:13.274701pt;width:40.2pt;height:142pt;mso-position-horizontal-relative:page;mso-position-vertical-relative:paragraph;z-index:33512;mso-wrap-distance-left:0;mso-wrap-distance-right:0" coordorigin="3784,265" coordsize="804,2840">
            <v:shape style="position:absolute;left:4186;top:694;width:392;height:2401" coordorigin="4186,694" coordsize="392,2401" path="m4578,694l4186,1086,4186,3095,4578,3095,4578,694xe" filled="true" fillcolor="#eae3ea" stroked="false">
              <v:path arrowok="t"/>
              <v:fill type="solid"/>
            </v:shape>
            <v:shape style="position:absolute;left:3784;top:670;width:804;height:2435" coordorigin="3784,670" coordsize="804,2435" path="m3784,670l3784,3105,4588,3105,4588,3100,4186,3100,4186,3095,3794,3095,3794,694,3808,694,3800,686,3786,686,3789,682,3796,682,3784,670xm4588,682l4583,682,4583,3100,4588,3100,4588,682xm3808,694l3794,694,4186,1086,4186,1079,4193,1072,4186,1072,3808,694xm4588,670l4186,1072,4193,1072,4583,682,4588,682,4588,670xm3796,682l3789,682,3786,686,3800,686,3796,682xe" filled="true" fillcolor="#8d5f8e" stroked="false">
              <v:path arrowok="t"/>
              <v:fill type="solid"/>
            </v:shape>
            <v:shape style="position:absolute;left:4186;top:682;width:397;height:2418" coordorigin="4186,682" coordsize="397,2418" path="m4583,694l4578,694,4578,3095,4186,3095,4186,3100,4583,3100,4583,694xm4583,682l4186,1079,4186,1086,4578,694,4583,694,4583,682xe" filled="true" fillcolor="#8b5a8b" stroked="false">
              <v:path arrowok="t"/>
              <v:fill type="solid"/>
            </v:shape>
            <v:shape style="position:absolute;left:3817;top:265;width:737;height:738" coordorigin="3818,265" coordsize="737,738" path="m4186,265l3818,634,4186,1003,4555,634,4186,265xe" filled="true" fillcolor="#6f2770" stroked="false">
              <v:path arrowok="t"/>
              <v:fill type="solid"/>
            </v:shape>
            <v:shape style="position:absolute;left:4022;top:513;width:337;height:227" type="#_x0000_t202" filled="false" stroked="false">
              <v:textbox inset="0,0,0,0">
                <w:txbxContent>
                  <w:p>
                    <w:pPr>
                      <w:spacing w:before="7"/>
                      <w:ind w:left="0" w:right="0" w:firstLine="0"/>
                      <w:jc w:val="left"/>
                      <w:rPr>
                        <w:b/>
                        <w:sz w:val="19"/>
                      </w:rPr>
                    </w:pPr>
                    <w:r>
                      <w:rPr>
                        <w:b/>
                        <w:color w:val="FFFFFF"/>
                        <w:sz w:val="19"/>
                      </w:rPr>
                      <w:t>100</w:t>
                    </w:r>
                  </w:p>
                </w:txbxContent>
              </v:textbox>
              <w10:wrap type="none"/>
            </v:shape>
            <w10:wrap type="topAndBottom"/>
          </v:group>
        </w:pict>
      </w:r>
      <w:r>
        <w:rPr/>
        <w:pict>
          <v:group style="position:absolute;margin-left:239.527603pt;margin-top:44.2747pt;width:40.2pt;height:111pt;mso-position-horizontal-relative:page;mso-position-vertical-relative:paragraph;z-index:33560;mso-wrap-distance-left:0;mso-wrap-distance-right:0" coordorigin="4791,885" coordsize="804,2220">
            <v:shape style="position:absolute;left:5192;top:1314;width:392;height:1781" coordorigin="5192,1314" coordsize="392,1781" path="m5584,1314l5192,1706,5192,3095,5584,3095,5584,1314xe" filled="true" fillcolor="#e1dce1" stroked="false">
              <v:path arrowok="t"/>
              <v:fill type="solid"/>
            </v:shape>
            <v:shape style="position:absolute;left:4790;top:1290;width:804;height:1815" coordorigin="4791,1290" coordsize="804,1815" path="m4791,1290l4791,3105,5594,3105,5594,3100,5192,3100,5192,3095,4801,3095,4801,1314,4815,1314,4806,1306,4792,1306,4796,1302,4803,1302,4791,1290xm5594,1302l5589,1302,5589,3100,5594,3100,5594,1302xm4815,1314l4801,1314,5192,1706,5192,1699,5200,1692,5192,1692,4815,1314xm5594,1290l5192,1692,5200,1692,5589,1302,5594,1302,5594,1290xm4803,1302l4796,1302,4792,1306,4806,1306,4803,1302xe" filled="true" fillcolor="#806a83" stroked="false">
              <v:path arrowok="t"/>
              <v:fill type="solid"/>
            </v:shape>
            <v:shape style="position:absolute;left:5192;top:1302;width:397;height:1798" coordorigin="5192,1302" coordsize="397,1798" path="m5589,1314l5584,1314,5584,3095,5192,3095,5192,3100,5589,3100,5589,1314xm5589,1302l5192,1699,5192,1706,5584,1314,5589,1314,5589,1302xe" filled="true" fillcolor="#79627d" stroked="false">
              <v:path arrowok="t"/>
              <v:fill type="solid"/>
            </v:shape>
            <v:shape style="position:absolute;left:4823;top:885;width:737;height:738" coordorigin="4824,885" coordsize="737,738" path="m5192,885l4824,1254,5192,1623,5561,1254,5192,885xe" filled="true" fillcolor="#360f41" stroked="false">
              <v:path arrowok="t"/>
              <v:fill type="solid"/>
            </v:shape>
            <v:shape style="position:absolute;left:4790;top:885;width:804;height:2220" type="#_x0000_t202" filled="false" stroked="false">
              <v:textbox inset="0,0,0,0">
                <w:txbxContent>
                  <w:p>
                    <w:pPr>
                      <w:spacing w:line="240" w:lineRule="auto" w:before="2"/>
                      <w:rPr>
                        <w:b/>
                        <w:sz w:val="22"/>
                      </w:rPr>
                    </w:pPr>
                  </w:p>
                  <w:p>
                    <w:pPr>
                      <w:spacing w:before="0"/>
                      <w:ind w:left="206" w:right="0" w:firstLine="0"/>
                      <w:jc w:val="left"/>
                      <w:rPr>
                        <w:b/>
                        <w:sz w:val="10"/>
                      </w:rPr>
                    </w:pPr>
                    <w:r>
                      <w:rPr>
                        <w:b/>
                        <w:color w:val="FFFFFF"/>
                        <w:position w:val="-5"/>
                        <w:sz w:val="19"/>
                      </w:rPr>
                      <w:t>83 </w:t>
                    </w:r>
                    <w:r>
                      <w:rPr>
                        <w:b/>
                        <w:color w:val="FFFFFF"/>
                        <w:sz w:val="10"/>
                      </w:rPr>
                      <w:t>(1)</w:t>
                    </w:r>
                  </w:p>
                </w:txbxContent>
              </v:textbox>
              <w10:wrap type="none"/>
            </v:shape>
            <w10:wrap type="topAndBottom"/>
          </v:group>
        </w:pict>
      </w:r>
    </w:p>
    <w:p>
      <w:pPr>
        <w:tabs>
          <w:tab w:pos="1816" w:val="left" w:leader="none"/>
          <w:tab w:pos="2822" w:val="left" w:leader="none"/>
          <w:tab w:pos="3828" w:val="left" w:leader="none"/>
          <w:tab w:pos="4834" w:val="left" w:leader="none"/>
        </w:tabs>
        <w:spacing w:line="212" w:lineRule="exact" w:before="0" w:after="37"/>
        <w:ind w:left="810" w:right="0" w:firstLine="0"/>
        <w:jc w:val="left"/>
        <w:rPr>
          <w:b/>
          <w:sz w:val="19"/>
        </w:rPr>
      </w:pPr>
      <w:r>
        <w:rPr>
          <w:b/>
          <w:w w:val="105"/>
          <w:sz w:val="19"/>
        </w:rPr>
        <w:t>2013/14</w:t>
        <w:tab/>
        <w:t>2014/15</w:t>
        <w:tab/>
        <w:t>2015/16</w:t>
        <w:tab/>
        <w:t>2016/17</w:t>
        <w:tab/>
        <w:t>2016/17</w:t>
      </w:r>
    </w:p>
    <w:p>
      <w:pPr>
        <w:tabs>
          <w:tab w:pos="1776" w:val="left" w:leader="none"/>
          <w:tab w:pos="2782" w:val="left" w:leader="none"/>
          <w:tab w:pos="3789" w:val="left" w:leader="none"/>
          <w:tab w:pos="4795" w:val="left" w:leader="none"/>
        </w:tabs>
        <w:spacing w:line="240" w:lineRule="auto"/>
        <w:ind w:left="770" w:right="0" w:firstLine="0"/>
        <w:rPr>
          <w:sz w:val="20"/>
        </w:rPr>
      </w:pPr>
      <w:r>
        <w:rPr>
          <w:sz w:val="20"/>
        </w:rPr>
        <w:pict>
          <v:shape style="width:19.850pt;height:14.2pt;mso-position-horizontal-relative:char;mso-position-vertical-relative:line" type="#_x0000_t202" filled="true" fillcolor="#bfc84c" stroked="false">
            <w10:anchorlock/>
            <v:textbox inset="0,0,0,0">
              <w:txbxContent>
                <w:p>
                  <w:pPr>
                    <w:spacing w:before="51"/>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51"/>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bfc84c" stroked="false">
            <w10:anchorlock/>
            <v:textbox inset="0,0,0,0">
              <w:txbxContent>
                <w:p>
                  <w:pPr>
                    <w:spacing w:before="51"/>
                    <w:ind w:left="111" w:right="0" w:firstLine="0"/>
                    <w:jc w:val="left"/>
                    <w:rPr>
                      <w:sz w:val="15"/>
                    </w:rPr>
                  </w:pPr>
                  <w:r>
                    <w:rPr>
                      <w:color w:val="FFFFFF"/>
                      <w:w w:val="95"/>
                      <w:sz w:val="15"/>
                    </w:rPr>
                    <w:t>ACT</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803c83" stroked="false">
            <w10:anchorlock/>
            <v:textbox inset="0,0,0,0">
              <w:txbxContent>
                <w:p>
                  <w:pPr>
                    <w:spacing w:before="51"/>
                    <w:ind w:left="116" w:right="0" w:firstLine="0"/>
                    <w:jc w:val="left"/>
                    <w:rPr>
                      <w:sz w:val="15"/>
                    </w:rPr>
                  </w:pPr>
                  <w:r>
                    <w:rPr>
                      <w:color w:val="FFFFFF"/>
                      <w:spacing w:val="-4"/>
                      <w:w w:val="95"/>
                      <w:sz w:val="15"/>
                    </w:rPr>
                    <w:t>TAR</w:t>
                  </w:r>
                </w:p>
              </w:txbxContent>
            </v:textbox>
            <v:fill type="solid"/>
          </v:shape>
        </w:pict>
      </w:r>
      <w:r>
        <w:rPr>
          <w:sz w:val="20"/>
        </w:rPr>
      </w:r>
      <w:r>
        <w:rPr>
          <w:sz w:val="20"/>
        </w:rPr>
        <w:tab/>
      </w:r>
      <w:r>
        <w:rPr>
          <w:sz w:val="20"/>
        </w:rPr>
        <w:pict>
          <v:shape style="width:19.850pt;height:14.2pt;mso-position-horizontal-relative:char;mso-position-vertical-relative:line" type="#_x0000_t202" filled="true" fillcolor="#4c285b" stroked="false">
            <w10:anchorlock/>
            <v:textbox inset="0,0,0,0">
              <w:txbxContent>
                <w:p>
                  <w:pPr>
                    <w:spacing w:before="51"/>
                    <w:ind w:left="111" w:right="0" w:firstLine="0"/>
                    <w:jc w:val="left"/>
                    <w:rPr>
                      <w:sz w:val="15"/>
                    </w:rPr>
                  </w:pPr>
                  <w:r>
                    <w:rPr>
                      <w:color w:val="FFFFFF"/>
                      <w:w w:val="95"/>
                      <w:sz w:val="15"/>
                    </w:rPr>
                    <w:t>ACT</w:t>
                  </w:r>
                </w:p>
              </w:txbxContent>
            </v:textbox>
            <v:fill type="solid"/>
          </v:shape>
        </w:pict>
      </w:r>
      <w:r>
        <w:rPr>
          <w:sz w:val="20"/>
        </w:rPr>
      </w:r>
    </w:p>
    <w:p>
      <w:pPr>
        <w:pStyle w:val="BodyText"/>
        <w:spacing w:before="3"/>
        <w:rPr>
          <w:b/>
          <w:sz w:val="13"/>
        </w:rPr>
      </w:pPr>
    </w:p>
    <w:p>
      <w:pPr>
        <w:spacing w:line="278" w:lineRule="auto" w:before="104"/>
        <w:ind w:left="973" w:right="6331" w:hanging="209"/>
        <w:jc w:val="left"/>
        <w:rPr>
          <w:sz w:val="15"/>
        </w:rPr>
      </w:pPr>
      <w:r>
        <w:rPr/>
        <w:pict>
          <v:group style="position:absolute;margin-left:351.763306pt;margin-top:-105.859787pt;width:135.5pt;height:90.35pt;mso-position-horizontal-relative:page;mso-position-vertical-relative:paragraph;z-index:35992" coordorigin="7035,-2117" coordsize="2710,1807">
            <v:shape style="position:absolute;left:8841;top:-2118;width:904;height:904" coordorigin="8842,-2117" coordsize="904,904" path="m9293,-2117l8842,-1666,9293,-1214,9745,-1666,9293,-2117xe" filled="true" fillcolor="#96ac7a" stroked="false">
              <v:path arrowok="t"/>
              <v:fill opacity="32768f" type="solid"/>
            </v:shape>
            <v:shape style="position:absolute;left:8390;top:-1666;width:904;height:904" coordorigin="8390,-1666" coordsize="904,904" path="m8842,-1666l8390,-1214,8842,-762,9293,-1214,8842,-1666xe" filled="true" fillcolor="#c4cd71" stroked="false">
              <v:path arrowok="t"/>
              <v:fill opacity="32768f" type="solid"/>
            </v:shape>
            <v:shape style="position:absolute;left:7035;top:-1215;width:904;height:904" coordorigin="7035,-1214" coordsize="904,904" path="m7487,-1214l7035,-762,7487,-311,7938,-762,7487,-1214xe" filled="true" fillcolor="#513457" stroked="false">
              <v:path arrowok="t"/>
              <v:fill opacity="32768f" type="solid"/>
            </v:shape>
            <v:shape style="position:absolute;left:7938;top:-1215;width:904;height:904" coordorigin="7938,-1214" coordsize="904,904" path="m8390,-1214l7938,-762,8390,-311,8842,-762,8390,-1214xe" filled="true" fillcolor="#d4d4d3" stroked="false">
              <v:path arrowok="t"/>
              <v:fill opacity="32768f" type="solid"/>
            </v:shape>
            <v:shape style="position:absolute;left:8841;top:-1215;width:904;height:904" coordorigin="8842,-1214" coordsize="904,904" path="m9293,-1214l8842,-762,9293,-311,9745,-762,9293,-1214xe" filled="true" fillcolor="#783a79" stroked="false">
              <v:path arrowok="t"/>
              <v:fill opacity="32768f" type="solid"/>
            </v:shape>
            <w10:wrap type="none"/>
          </v:group>
        </w:pict>
      </w:r>
      <w:r>
        <w:rPr/>
        <w:pict>
          <v:shape style="position:absolute;margin-left:259.622009pt;margin-top:-22.662586pt;width:19.850pt;height:14.2pt;mso-position-horizontal-relative:page;mso-position-vertical-relative:paragraph;z-index:36016" type="#_x0000_t202" filled="true" fillcolor="#360f41" stroked="false">
            <v:textbox inset="0,0,0,0">
              <w:txbxContent>
                <w:p>
                  <w:pPr>
                    <w:spacing w:before="51"/>
                    <w:ind w:left="-3" w:right="0" w:firstLine="0"/>
                    <w:jc w:val="left"/>
                    <w:rPr>
                      <w:sz w:val="15"/>
                    </w:rPr>
                  </w:pPr>
                  <w:r>
                    <w:rPr>
                      <w:color w:val="FFFFFF"/>
                      <w:sz w:val="15"/>
                    </w:rPr>
                    <w:t>UAL</w:t>
                  </w:r>
                </w:p>
              </w:txbxContent>
            </v:textbox>
            <v:fill type="solid"/>
            <w10:wrap type="none"/>
          </v:shape>
        </w:pict>
      </w:r>
      <w:r>
        <w:rPr/>
        <w:pict>
          <v:shape style="position:absolute;margin-left:209.306pt;margin-top:-22.662586pt;width:19.850pt;height:14.2pt;mso-position-horizontal-relative:page;mso-position-vertical-relative:paragraph;z-index:36040" type="#_x0000_t202" filled="true" fillcolor="#6f2770" stroked="false">
            <v:textbox inset="0,0,0,0">
              <w:txbxContent>
                <w:p>
                  <w:pPr>
                    <w:spacing w:before="51"/>
                    <w:ind w:left="-13" w:right="0" w:firstLine="0"/>
                    <w:jc w:val="left"/>
                    <w:rPr>
                      <w:sz w:val="15"/>
                    </w:rPr>
                  </w:pPr>
                  <w:r>
                    <w:rPr>
                      <w:color w:val="FFFFFF"/>
                      <w:sz w:val="15"/>
                    </w:rPr>
                    <w:t>GET</w:t>
                  </w:r>
                </w:p>
              </w:txbxContent>
            </v:textbox>
            <v:fill type="solid"/>
            <w10:wrap type="none"/>
          </v:shape>
        </w:pict>
      </w:r>
      <w:r>
        <w:rPr/>
        <w:pict>
          <v:shape style="position:absolute;margin-left:158.990005pt;margin-top:-22.662586pt;width:19.850pt;height:14.2pt;mso-position-horizontal-relative:page;mso-position-vertical-relative:paragraph;z-index:36064" type="#_x0000_t202" filled="true" fillcolor="#aebd37" stroked="false">
            <v:textbox inset="0,0,0,0">
              <w:txbxContent>
                <w:p>
                  <w:pPr>
                    <w:spacing w:before="51"/>
                    <w:ind w:left="-3" w:right="0" w:firstLine="0"/>
                    <w:jc w:val="left"/>
                    <w:rPr>
                      <w:sz w:val="15"/>
                    </w:rPr>
                  </w:pPr>
                  <w:r>
                    <w:rPr>
                      <w:color w:val="FFFFFF"/>
                      <w:sz w:val="15"/>
                    </w:rPr>
                    <w:t>UAL</w:t>
                  </w:r>
                </w:p>
              </w:txbxContent>
            </v:textbox>
            <v:fill type="solid"/>
            <w10:wrap type="none"/>
          </v:shape>
        </w:pict>
      </w:r>
      <w:r>
        <w:rPr/>
        <w:pict>
          <v:shape style="position:absolute;margin-left:108.676003pt;margin-top:-22.662586pt;width:19.850pt;height:14.2pt;mso-position-horizontal-relative:page;mso-position-vertical-relative:paragraph;z-index:36088" type="#_x0000_t202" filled="true" fillcolor="#aebd37" stroked="false">
            <v:textbox inset="0,0,0,0">
              <w:txbxContent>
                <w:p>
                  <w:pPr>
                    <w:spacing w:before="51"/>
                    <w:ind w:left="-3" w:right="0" w:firstLine="0"/>
                    <w:jc w:val="left"/>
                    <w:rPr>
                      <w:sz w:val="15"/>
                    </w:rPr>
                  </w:pPr>
                  <w:r>
                    <w:rPr>
                      <w:color w:val="FFFFFF"/>
                      <w:sz w:val="15"/>
                    </w:rPr>
                    <w:t>UAL</w:t>
                  </w:r>
                </w:p>
              </w:txbxContent>
            </v:textbox>
            <v:fill type="solid"/>
            <w10:wrap type="none"/>
          </v:shape>
        </w:pict>
      </w:r>
      <w:r>
        <w:rPr/>
        <w:pict>
          <v:shape style="position:absolute;margin-left:58.361pt;margin-top:-22.662586pt;width:19.850pt;height:14.2pt;mso-position-horizontal-relative:page;mso-position-vertical-relative:paragraph;z-index:36112" type="#_x0000_t202" filled="true" fillcolor="#aebd37" stroked="false">
            <v:textbox inset="0,0,0,0">
              <w:txbxContent>
                <w:p>
                  <w:pPr>
                    <w:spacing w:before="51"/>
                    <w:ind w:left="-3" w:right="0" w:firstLine="0"/>
                    <w:jc w:val="left"/>
                    <w:rPr>
                      <w:sz w:val="15"/>
                    </w:rPr>
                  </w:pPr>
                  <w:r>
                    <w:rPr>
                      <w:color w:val="FFFFFF"/>
                      <w:sz w:val="15"/>
                    </w:rPr>
                    <w:t>UAL</w:t>
                  </w:r>
                </w:p>
              </w:txbxContent>
            </v:textbox>
            <v:fill type="solid"/>
            <w10:wrap type="none"/>
          </v:shape>
        </w:pict>
      </w:r>
      <w:r>
        <w:rPr>
          <w:sz w:val="15"/>
        </w:rPr>
        <w:t>(a)</w:t>
      </w:r>
      <w:r>
        <w:rPr>
          <w:spacing w:val="-16"/>
          <w:sz w:val="15"/>
        </w:rPr>
        <w:t> </w:t>
      </w:r>
      <w:r>
        <w:rPr>
          <w:sz w:val="15"/>
        </w:rPr>
        <w:t>The</w:t>
      </w:r>
      <w:r>
        <w:rPr>
          <w:spacing w:val="-16"/>
          <w:sz w:val="15"/>
        </w:rPr>
        <w:t> </w:t>
      </w:r>
      <w:r>
        <w:rPr>
          <w:sz w:val="15"/>
        </w:rPr>
        <w:t>results</w:t>
      </w:r>
      <w:r>
        <w:rPr>
          <w:spacing w:val="-16"/>
          <w:sz w:val="15"/>
        </w:rPr>
        <w:t> </w:t>
      </w:r>
      <w:r>
        <w:rPr>
          <w:sz w:val="15"/>
        </w:rPr>
        <w:t>are</w:t>
      </w:r>
      <w:r>
        <w:rPr>
          <w:spacing w:val="-15"/>
          <w:sz w:val="15"/>
        </w:rPr>
        <w:t> </w:t>
      </w:r>
      <w:r>
        <w:rPr>
          <w:sz w:val="15"/>
        </w:rPr>
        <w:t>calculated</w:t>
      </w:r>
      <w:r>
        <w:rPr>
          <w:spacing w:val="-16"/>
          <w:sz w:val="15"/>
        </w:rPr>
        <w:t> </w:t>
      </w:r>
      <w:r>
        <w:rPr>
          <w:sz w:val="15"/>
        </w:rPr>
        <w:t>by</w:t>
      </w:r>
      <w:r>
        <w:rPr>
          <w:spacing w:val="-16"/>
          <w:sz w:val="15"/>
        </w:rPr>
        <w:t> </w:t>
      </w:r>
      <w:r>
        <w:rPr>
          <w:sz w:val="15"/>
        </w:rPr>
        <w:t>monitoring</w:t>
      </w:r>
      <w:r>
        <w:rPr>
          <w:spacing w:val="-15"/>
          <w:sz w:val="15"/>
        </w:rPr>
        <w:t> </w:t>
      </w:r>
      <w:r>
        <w:rPr>
          <w:sz w:val="15"/>
        </w:rPr>
        <w:t>the</w:t>
      </w:r>
      <w:r>
        <w:rPr>
          <w:spacing w:val="-16"/>
          <w:sz w:val="15"/>
        </w:rPr>
        <w:t> </w:t>
      </w:r>
      <w:r>
        <w:rPr>
          <w:sz w:val="15"/>
        </w:rPr>
        <w:t>priorities</w:t>
      </w:r>
      <w:r>
        <w:rPr>
          <w:spacing w:val="-16"/>
          <w:sz w:val="15"/>
        </w:rPr>
        <w:t> </w:t>
      </w:r>
      <w:r>
        <w:rPr>
          <w:sz w:val="15"/>
        </w:rPr>
        <w:t>set</w:t>
      </w:r>
      <w:r>
        <w:rPr>
          <w:spacing w:val="-15"/>
          <w:sz w:val="15"/>
        </w:rPr>
        <w:t> </w:t>
      </w:r>
      <w:r>
        <w:rPr>
          <w:sz w:val="15"/>
        </w:rPr>
        <w:t>for</w:t>
      </w:r>
      <w:r>
        <w:rPr>
          <w:spacing w:val="-16"/>
          <w:sz w:val="15"/>
        </w:rPr>
        <w:t> </w:t>
      </w:r>
      <w:r>
        <w:rPr>
          <w:sz w:val="15"/>
        </w:rPr>
        <w:t>a</w:t>
      </w:r>
      <w:r>
        <w:rPr>
          <w:spacing w:val="-16"/>
          <w:sz w:val="15"/>
        </w:rPr>
        <w:t> </w:t>
      </w:r>
      <w:r>
        <w:rPr>
          <w:spacing w:val="-3"/>
          <w:sz w:val="15"/>
        </w:rPr>
        <w:t>year.</w:t>
      </w:r>
      <w:r>
        <w:rPr>
          <w:spacing w:val="-15"/>
          <w:sz w:val="15"/>
        </w:rPr>
        <w:t> </w:t>
      </w:r>
      <w:r>
        <w:rPr>
          <w:sz w:val="15"/>
        </w:rPr>
        <w:t>If</w:t>
      </w:r>
      <w:r>
        <w:rPr>
          <w:spacing w:val="-16"/>
          <w:sz w:val="15"/>
        </w:rPr>
        <w:t> </w:t>
      </w:r>
      <w:r>
        <w:rPr>
          <w:sz w:val="15"/>
        </w:rPr>
        <w:t>the</w:t>
      </w:r>
      <w:r>
        <w:rPr>
          <w:spacing w:val="-16"/>
          <w:sz w:val="15"/>
        </w:rPr>
        <w:t> </w:t>
      </w:r>
      <w:r>
        <w:rPr>
          <w:sz w:val="15"/>
        </w:rPr>
        <w:t>Government’s</w:t>
      </w:r>
      <w:r>
        <w:rPr>
          <w:spacing w:val="-15"/>
          <w:sz w:val="15"/>
        </w:rPr>
        <w:t> </w:t>
      </w:r>
      <w:r>
        <w:rPr>
          <w:sz w:val="15"/>
        </w:rPr>
        <w:t>priorities</w:t>
      </w:r>
      <w:r>
        <w:rPr>
          <w:spacing w:val="-16"/>
          <w:sz w:val="15"/>
        </w:rPr>
        <w:t> </w:t>
      </w:r>
      <w:r>
        <w:rPr>
          <w:sz w:val="15"/>
        </w:rPr>
        <w:t>change,</w:t>
      </w:r>
      <w:r>
        <w:rPr>
          <w:spacing w:val="-16"/>
          <w:sz w:val="15"/>
        </w:rPr>
        <w:t> </w:t>
      </w:r>
      <w:r>
        <w:rPr>
          <w:sz w:val="15"/>
        </w:rPr>
        <w:t>for</w:t>
      </w:r>
      <w:r>
        <w:rPr>
          <w:spacing w:val="-15"/>
          <w:sz w:val="15"/>
        </w:rPr>
        <w:t> </w:t>
      </w:r>
      <w:r>
        <w:rPr>
          <w:sz w:val="15"/>
        </w:rPr>
        <w:t>example</w:t>
      </w:r>
      <w:r>
        <w:rPr>
          <w:spacing w:val="-16"/>
          <w:sz w:val="15"/>
        </w:rPr>
        <w:t> </w:t>
      </w:r>
      <w:r>
        <w:rPr>
          <w:sz w:val="15"/>
        </w:rPr>
        <w:t>there</w:t>
      </w:r>
      <w:r>
        <w:rPr>
          <w:spacing w:val="-16"/>
          <w:sz w:val="15"/>
        </w:rPr>
        <w:t> </w:t>
      </w:r>
      <w:r>
        <w:rPr>
          <w:sz w:val="15"/>
        </w:rPr>
        <w:t>is</w:t>
      </w:r>
      <w:r>
        <w:rPr>
          <w:spacing w:val="-16"/>
          <w:sz w:val="15"/>
        </w:rPr>
        <w:t> </w:t>
      </w:r>
      <w:r>
        <w:rPr>
          <w:sz w:val="15"/>
        </w:rPr>
        <w:t>a</w:t>
      </w:r>
      <w:r>
        <w:rPr>
          <w:spacing w:val="-15"/>
          <w:sz w:val="15"/>
        </w:rPr>
        <w:t> </w:t>
      </w:r>
      <w:r>
        <w:rPr>
          <w:sz w:val="15"/>
        </w:rPr>
        <w:t>ministerial</w:t>
      </w:r>
      <w:r>
        <w:rPr>
          <w:spacing w:val="-16"/>
          <w:sz w:val="15"/>
        </w:rPr>
        <w:t> </w:t>
      </w:r>
      <w:r>
        <w:rPr>
          <w:sz w:val="15"/>
        </w:rPr>
        <w:t>request</w:t>
      </w:r>
      <w:r>
        <w:rPr>
          <w:spacing w:val="-16"/>
          <w:sz w:val="15"/>
        </w:rPr>
        <w:t> </w:t>
      </w:r>
      <w:r>
        <w:rPr>
          <w:spacing w:val="-7"/>
          <w:sz w:val="15"/>
        </w:rPr>
        <w:t>to </w:t>
      </w:r>
      <w:r>
        <w:rPr>
          <w:sz w:val="15"/>
        </w:rPr>
        <w:t>undertake</w:t>
      </w:r>
      <w:r>
        <w:rPr>
          <w:spacing w:val="-10"/>
          <w:sz w:val="15"/>
        </w:rPr>
        <w:t> </w:t>
      </w:r>
      <w:r>
        <w:rPr>
          <w:sz w:val="15"/>
        </w:rPr>
        <w:t>a</w:t>
      </w:r>
      <w:r>
        <w:rPr>
          <w:spacing w:val="-10"/>
          <w:sz w:val="15"/>
        </w:rPr>
        <w:t> </w:t>
      </w:r>
      <w:r>
        <w:rPr>
          <w:sz w:val="15"/>
        </w:rPr>
        <w:t>new</w:t>
      </w:r>
      <w:r>
        <w:rPr>
          <w:spacing w:val="-10"/>
          <w:sz w:val="15"/>
        </w:rPr>
        <w:t> </w:t>
      </w:r>
      <w:r>
        <w:rPr>
          <w:sz w:val="15"/>
        </w:rPr>
        <w:t>policy</w:t>
      </w:r>
      <w:r>
        <w:rPr>
          <w:spacing w:val="-9"/>
          <w:sz w:val="15"/>
        </w:rPr>
        <w:t> </w:t>
      </w:r>
      <w:r>
        <w:rPr>
          <w:sz w:val="15"/>
        </w:rPr>
        <w:t>project</w:t>
      </w:r>
      <w:r>
        <w:rPr>
          <w:spacing w:val="-10"/>
          <w:sz w:val="15"/>
        </w:rPr>
        <w:t> </w:t>
      </w:r>
      <w:r>
        <w:rPr>
          <w:sz w:val="15"/>
        </w:rPr>
        <w:t>or</w:t>
      </w:r>
      <w:r>
        <w:rPr>
          <w:spacing w:val="-10"/>
          <w:sz w:val="15"/>
        </w:rPr>
        <w:t> </w:t>
      </w:r>
      <w:r>
        <w:rPr>
          <w:sz w:val="15"/>
        </w:rPr>
        <w:t>cease</w:t>
      </w:r>
      <w:r>
        <w:rPr>
          <w:spacing w:val="-9"/>
          <w:sz w:val="15"/>
        </w:rPr>
        <w:t> </w:t>
      </w:r>
      <w:r>
        <w:rPr>
          <w:sz w:val="15"/>
        </w:rPr>
        <w:t>working</w:t>
      </w:r>
      <w:r>
        <w:rPr>
          <w:spacing w:val="-10"/>
          <w:sz w:val="15"/>
        </w:rPr>
        <w:t> </w:t>
      </w:r>
      <w:r>
        <w:rPr>
          <w:sz w:val="15"/>
        </w:rPr>
        <w:t>on</w:t>
      </w:r>
      <w:r>
        <w:rPr>
          <w:spacing w:val="-10"/>
          <w:sz w:val="15"/>
        </w:rPr>
        <w:t> </w:t>
      </w:r>
      <w:r>
        <w:rPr>
          <w:sz w:val="15"/>
        </w:rPr>
        <w:t>an</w:t>
      </w:r>
      <w:r>
        <w:rPr>
          <w:spacing w:val="-9"/>
          <w:sz w:val="15"/>
        </w:rPr>
        <w:t> </w:t>
      </w:r>
      <w:r>
        <w:rPr>
          <w:sz w:val="15"/>
        </w:rPr>
        <w:t>existing</w:t>
      </w:r>
      <w:r>
        <w:rPr>
          <w:spacing w:val="-10"/>
          <w:sz w:val="15"/>
        </w:rPr>
        <w:t> </w:t>
      </w:r>
      <w:r>
        <w:rPr>
          <w:sz w:val="15"/>
        </w:rPr>
        <w:t>priority,</w:t>
      </w:r>
      <w:r>
        <w:rPr>
          <w:spacing w:val="-10"/>
          <w:sz w:val="15"/>
        </w:rPr>
        <w:t> </w:t>
      </w:r>
      <w:r>
        <w:rPr>
          <w:sz w:val="15"/>
        </w:rPr>
        <w:t>this</w:t>
      </w:r>
      <w:r>
        <w:rPr>
          <w:spacing w:val="-9"/>
          <w:sz w:val="15"/>
        </w:rPr>
        <w:t> </w:t>
      </w:r>
      <w:r>
        <w:rPr>
          <w:sz w:val="15"/>
        </w:rPr>
        <w:t>is</w:t>
      </w:r>
      <w:r>
        <w:rPr>
          <w:spacing w:val="-10"/>
          <w:sz w:val="15"/>
        </w:rPr>
        <w:t> </w:t>
      </w:r>
      <w:r>
        <w:rPr>
          <w:sz w:val="15"/>
        </w:rPr>
        <w:t>taken</w:t>
      </w:r>
      <w:r>
        <w:rPr>
          <w:spacing w:val="-10"/>
          <w:sz w:val="15"/>
        </w:rPr>
        <w:t> </w:t>
      </w:r>
      <w:r>
        <w:rPr>
          <w:sz w:val="15"/>
        </w:rPr>
        <w:t>into</w:t>
      </w:r>
      <w:r>
        <w:rPr>
          <w:spacing w:val="-9"/>
          <w:sz w:val="15"/>
        </w:rPr>
        <w:t> </w:t>
      </w:r>
      <w:r>
        <w:rPr>
          <w:sz w:val="15"/>
        </w:rPr>
        <w:t>account</w:t>
      </w:r>
      <w:r>
        <w:rPr>
          <w:spacing w:val="-10"/>
          <w:sz w:val="15"/>
        </w:rPr>
        <w:t> </w:t>
      </w:r>
      <w:r>
        <w:rPr>
          <w:sz w:val="15"/>
        </w:rPr>
        <w:t>in</w:t>
      </w:r>
      <w:r>
        <w:rPr>
          <w:spacing w:val="-10"/>
          <w:sz w:val="15"/>
        </w:rPr>
        <w:t> </w:t>
      </w:r>
      <w:r>
        <w:rPr>
          <w:sz w:val="15"/>
        </w:rPr>
        <w:t>determining</w:t>
      </w:r>
      <w:r>
        <w:rPr>
          <w:spacing w:val="-9"/>
          <w:sz w:val="15"/>
        </w:rPr>
        <w:t> </w:t>
      </w:r>
      <w:r>
        <w:rPr>
          <w:sz w:val="15"/>
        </w:rPr>
        <w:t>the</w:t>
      </w:r>
      <w:r>
        <w:rPr>
          <w:spacing w:val="-10"/>
          <w:sz w:val="15"/>
        </w:rPr>
        <w:t> </w:t>
      </w:r>
      <w:r>
        <w:rPr>
          <w:sz w:val="15"/>
        </w:rPr>
        <w:t>number</w:t>
      </w:r>
      <w:r>
        <w:rPr>
          <w:spacing w:val="-10"/>
          <w:sz w:val="15"/>
        </w:rPr>
        <w:t> </w:t>
      </w:r>
      <w:r>
        <w:rPr>
          <w:sz w:val="15"/>
        </w:rPr>
        <w:t>of</w:t>
      </w:r>
      <w:r>
        <w:rPr>
          <w:spacing w:val="-9"/>
          <w:sz w:val="15"/>
        </w:rPr>
        <w:t> </w:t>
      </w:r>
      <w:r>
        <w:rPr>
          <w:sz w:val="15"/>
        </w:rPr>
        <w:t>items</w:t>
      </w:r>
      <w:r>
        <w:rPr>
          <w:spacing w:val="-10"/>
          <w:sz w:val="15"/>
        </w:rPr>
        <w:t> </w:t>
      </w:r>
      <w:r>
        <w:rPr>
          <w:sz w:val="15"/>
        </w:rPr>
        <w:t>completed</w:t>
      </w:r>
      <w:r>
        <w:rPr>
          <w:spacing w:val="-10"/>
          <w:sz w:val="15"/>
        </w:rPr>
        <w:t> </w:t>
      </w:r>
      <w:r>
        <w:rPr>
          <w:sz w:val="15"/>
        </w:rPr>
        <w:t>as planned. The results are presented as a percentage of planned priorities</w:t>
      </w:r>
      <w:r>
        <w:rPr>
          <w:spacing w:val="-19"/>
          <w:sz w:val="15"/>
        </w:rPr>
        <w:t> </w:t>
      </w:r>
      <w:r>
        <w:rPr>
          <w:sz w:val="15"/>
        </w:rPr>
        <w:t>completed.</w:t>
      </w:r>
    </w:p>
    <w:p>
      <w:pPr>
        <w:pStyle w:val="BodyText"/>
        <w:spacing w:before="9"/>
      </w:pPr>
    </w:p>
    <w:p>
      <w:pPr>
        <w:pStyle w:val="BodyText"/>
        <w:spacing w:line="249" w:lineRule="auto" w:before="1"/>
        <w:ind w:left="1009" w:right="6391" w:hanging="245"/>
      </w:pPr>
      <w:r>
        <w:rPr/>
        <w:t>1.</w:t>
      </w:r>
      <w:r>
        <w:rPr>
          <w:spacing w:val="-15"/>
        </w:rPr>
        <w:t> </w:t>
      </w:r>
      <w:r>
        <w:rPr/>
        <w:t>The</w:t>
      </w:r>
      <w:r>
        <w:rPr>
          <w:spacing w:val="-15"/>
        </w:rPr>
        <w:t> </w:t>
      </w:r>
      <w:r>
        <w:rPr/>
        <w:t>Network</w:t>
      </w:r>
      <w:r>
        <w:rPr>
          <w:spacing w:val="-15"/>
        </w:rPr>
        <w:t> </w:t>
      </w:r>
      <w:r>
        <w:rPr/>
        <w:t>Regulation</w:t>
      </w:r>
      <w:r>
        <w:rPr>
          <w:spacing w:val="-15"/>
        </w:rPr>
        <w:t> </w:t>
      </w:r>
      <w:r>
        <w:rPr/>
        <w:t>Reform</w:t>
      </w:r>
      <w:r>
        <w:rPr>
          <w:spacing w:val="-15"/>
        </w:rPr>
        <w:t> </w:t>
      </w:r>
      <w:r>
        <w:rPr/>
        <w:t>Bills</w:t>
      </w:r>
      <w:r>
        <w:rPr>
          <w:spacing w:val="-15"/>
        </w:rPr>
        <w:t> </w:t>
      </w:r>
      <w:r>
        <w:rPr/>
        <w:t>did</w:t>
      </w:r>
      <w:r>
        <w:rPr>
          <w:spacing w:val="-15"/>
        </w:rPr>
        <w:t> </w:t>
      </w:r>
      <w:r>
        <w:rPr/>
        <w:t>not</w:t>
      </w:r>
      <w:r>
        <w:rPr>
          <w:spacing w:val="-15"/>
        </w:rPr>
        <w:t> </w:t>
      </w:r>
      <w:r>
        <w:rPr/>
        <w:t>pass</w:t>
      </w:r>
      <w:r>
        <w:rPr>
          <w:spacing w:val="-15"/>
        </w:rPr>
        <w:t> </w:t>
      </w:r>
      <w:r>
        <w:rPr/>
        <w:t>the</w:t>
      </w:r>
      <w:r>
        <w:rPr>
          <w:spacing w:val="-15"/>
        </w:rPr>
        <w:t> </w:t>
      </w:r>
      <w:r>
        <w:rPr/>
        <w:t>parliament</w:t>
      </w:r>
      <w:r>
        <w:rPr>
          <w:spacing w:val="-15"/>
        </w:rPr>
        <w:t> </w:t>
      </w:r>
      <w:r>
        <w:rPr/>
        <w:t>in</w:t>
      </w:r>
      <w:r>
        <w:rPr>
          <w:spacing w:val="-15"/>
        </w:rPr>
        <w:t> </w:t>
      </w:r>
      <w:r>
        <w:rPr/>
        <w:t>November</w:t>
      </w:r>
      <w:r>
        <w:rPr>
          <w:spacing w:val="-15"/>
        </w:rPr>
        <w:t> </w:t>
      </w:r>
      <w:r>
        <w:rPr/>
        <w:t>2016.</w:t>
      </w:r>
      <w:r>
        <w:rPr>
          <w:spacing w:val="-15"/>
        </w:rPr>
        <w:t> </w:t>
      </w:r>
      <w:r>
        <w:rPr/>
        <w:t>The</w:t>
      </w:r>
      <w:r>
        <w:rPr>
          <w:spacing w:val="-14"/>
        </w:rPr>
        <w:t> </w:t>
      </w:r>
      <w:r>
        <w:rPr/>
        <w:t>network reform</w:t>
      </w:r>
      <w:r>
        <w:rPr>
          <w:spacing w:val="-17"/>
        </w:rPr>
        <w:t> </w:t>
      </w:r>
      <w:r>
        <w:rPr/>
        <w:t>package</w:t>
      </w:r>
      <w:r>
        <w:rPr>
          <w:spacing w:val="-16"/>
        </w:rPr>
        <w:t> </w:t>
      </w:r>
      <w:r>
        <w:rPr/>
        <w:t>passed</w:t>
      </w:r>
      <w:r>
        <w:rPr>
          <w:spacing w:val="-16"/>
        </w:rPr>
        <w:t> </w:t>
      </w:r>
      <w:r>
        <w:rPr/>
        <w:t>to</w:t>
      </w:r>
      <w:r>
        <w:rPr>
          <w:spacing w:val="-16"/>
        </w:rPr>
        <w:t> </w:t>
      </w:r>
      <w:r>
        <w:rPr/>
        <w:t>the</w:t>
      </w:r>
      <w:r>
        <w:rPr>
          <w:spacing w:val="-17"/>
        </w:rPr>
        <w:t> </w:t>
      </w:r>
      <w:r>
        <w:rPr/>
        <w:t>new</w:t>
      </w:r>
      <w:r>
        <w:rPr>
          <w:spacing w:val="-16"/>
        </w:rPr>
        <w:t> </w:t>
      </w:r>
      <w:r>
        <w:rPr/>
        <w:t>State</w:t>
      </w:r>
      <w:r>
        <w:rPr>
          <w:spacing w:val="-16"/>
        </w:rPr>
        <w:t> </w:t>
      </w:r>
      <w:r>
        <w:rPr/>
        <w:t>Government</w:t>
      </w:r>
      <w:r>
        <w:rPr>
          <w:spacing w:val="-16"/>
        </w:rPr>
        <w:t> </w:t>
      </w:r>
      <w:r>
        <w:rPr/>
        <w:t>in</w:t>
      </w:r>
      <w:r>
        <w:rPr>
          <w:spacing w:val="-17"/>
        </w:rPr>
        <w:t> </w:t>
      </w:r>
      <w:r>
        <w:rPr/>
        <w:t>March</w:t>
      </w:r>
      <w:r>
        <w:rPr>
          <w:spacing w:val="-16"/>
        </w:rPr>
        <w:t> </w:t>
      </w:r>
      <w:r>
        <w:rPr/>
        <w:t>2017.</w:t>
      </w:r>
      <w:r>
        <w:rPr>
          <w:spacing w:val="-16"/>
        </w:rPr>
        <w:t> </w:t>
      </w:r>
      <w:r>
        <w:rPr/>
        <w:t>This</w:t>
      </w:r>
      <w:r>
        <w:rPr>
          <w:spacing w:val="-16"/>
        </w:rPr>
        <w:t> </w:t>
      </w:r>
      <w:r>
        <w:rPr/>
        <w:t>has</w:t>
      </w:r>
      <w:r>
        <w:rPr>
          <w:spacing w:val="-17"/>
        </w:rPr>
        <w:t> </w:t>
      </w:r>
      <w:r>
        <w:rPr/>
        <w:t>resulted</w:t>
      </w:r>
      <w:r>
        <w:rPr>
          <w:spacing w:val="-16"/>
        </w:rPr>
        <w:t> </w:t>
      </w:r>
      <w:r>
        <w:rPr/>
        <w:t>in</w:t>
      </w:r>
      <w:r>
        <w:rPr>
          <w:spacing w:val="-16"/>
        </w:rPr>
        <w:t> </w:t>
      </w:r>
      <w:r>
        <w:rPr/>
        <w:t>a</w:t>
      </w:r>
      <w:r>
        <w:rPr>
          <w:spacing w:val="-16"/>
        </w:rPr>
        <w:t> </w:t>
      </w:r>
      <w:r>
        <w:rPr>
          <w:spacing w:val="-3"/>
        </w:rPr>
        <w:t>number </w:t>
      </w:r>
      <w:r>
        <w:rPr/>
        <w:t>of</w:t>
      </w:r>
      <w:r>
        <w:rPr>
          <w:spacing w:val="-19"/>
        </w:rPr>
        <w:t> </w:t>
      </w:r>
      <w:r>
        <w:rPr/>
        <w:t>policy</w:t>
      </w:r>
      <w:r>
        <w:rPr>
          <w:spacing w:val="-18"/>
        </w:rPr>
        <w:t> </w:t>
      </w:r>
      <w:r>
        <w:rPr/>
        <w:t>objectives</w:t>
      </w:r>
      <w:r>
        <w:rPr>
          <w:spacing w:val="-18"/>
        </w:rPr>
        <w:t> </w:t>
      </w:r>
      <w:r>
        <w:rPr/>
        <w:t>being</w:t>
      </w:r>
      <w:r>
        <w:rPr>
          <w:spacing w:val="-19"/>
        </w:rPr>
        <w:t> </w:t>
      </w:r>
      <w:r>
        <w:rPr/>
        <w:t>realigned</w:t>
      </w:r>
      <w:r>
        <w:rPr>
          <w:spacing w:val="-18"/>
        </w:rPr>
        <w:t> </w:t>
      </w:r>
      <w:r>
        <w:rPr/>
        <w:t>as</w:t>
      </w:r>
      <w:r>
        <w:rPr>
          <w:spacing w:val="-18"/>
        </w:rPr>
        <w:t> </w:t>
      </w:r>
      <w:r>
        <w:rPr/>
        <w:t>a</w:t>
      </w:r>
      <w:r>
        <w:rPr>
          <w:spacing w:val="-19"/>
        </w:rPr>
        <w:t> </w:t>
      </w:r>
      <w:r>
        <w:rPr/>
        <w:t>result</w:t>
      </w:r>
      <w:r>
        <w:rPr>
          <w:spacing w:val="-18"/>
        </w:rPr>
        <w:t> </w:t>
      </w:r>
      <w:r>
        <w:rPr/>
        <w:t>of</w:t>
      </w:r>
      <w:r>
        <w:rPr>
          <w:spacing w:val="-18"/>
        </w:rPr>
        <w:t> </w:t>
      </w:r>
      <w:r>
        <w:rPr/>
        <w:t>the</w:t>
      </w:r>
      <w:r>
        <w:rPr>
          <w:spacing w:val="-18"/>
        </w:rPr>
        <w:t> </w:t>
      </w:r>
      <w:r>
        <w:rPr/>
        <w:t>government</w:t>
      </w:r>
      <w:r>
        <w:rPr>
          <w:spacing w:val="-19"/>
        </w:rPr>
        <w:t> </w:t>
      </w:r>
      <w:r>
        <w:rPr/>
        <w:t>transition,</w:t>
      </w:r>
      <w:r>
        <w:rPr>
          <w:spacing w:val="-18"/>
        </w:rPr>
        <w:t> </w:t>
      </w:r>
      <w:r>
        <w:rPr/>
        <w:t>impacting</w:t>
      </w:r>
      <w:r>
        <w:rPr>
          <w:spacing w:val="-18"/>
        </w:rPr>
        <w:t> </w:t>
      </w:r>
      <w:r>
        <w:rPr/>
        <w:t>on</w:t>
      </w:r>
      <w:r>
        <w:rPr>
          <w:spacing w:val="-19"/>
        </w:rPr>
        <w:t> </w:t>
      </w:r>
      <w:r>
        <w:rPr/>
        <w:t>the</w:t>
      </w:r>
      <w:r>
        <w:rPr>
          <w:spacing w:val="-18"/>
        </w:rPr>
        <w:t> </w:t>
      </w:r>
      <w:r>
        <w:rPr/>
        <w:t>extent to which these have been</w:t>
      </w:r>
      <w:r>
        <w:rPr>
          <w:spacing w:val="-6"/>
        </w:rPr>
        <w:t> </w:t>
      </w:r>
      <w:r>
        <w:rPr/>
        <w:t>achieved.</w:t>
      </w:r>
    </w:p>
    <w:p>
      <w:pPr>
        <w:pStyle w:val="BodyText"/>
        <w:spacing w:before="4"/>
        <w:rPr>
          <w:sz w:val="23"/>
        </w:rPr>
      </w:pPr>
    </w:p>
    <w:p>
      <w:pPr>
        <w:tabs>
          <w:tab w:pos="4671" w:val="left" w:leader="none"/>
          <w:tab w:pos="16072" w:val="left" w:leader="none"/>
        </w:tabs>
        <w:spacing w:before="0"/>
        <w:ind w:left="765" w:right="0" w:firstLine="0"/>
        <w:jc w:val="left"/>
        <w:rPr>
          <w:sz w:val="16"/>
        </w:rPr>
      </w:pPr>
      <w:r>
        <w:rPr>
          <w:b/>
          <w:color w:val="6F2770"/>
          <w:sz w:val="16"/>
        </w:rPr>
        <w:t>102   </w:t>
      </w:r>
      <w:r>
        <w:rPr>
          <w:color w:val="939598"/>
          <w:sz w:val="16"/>
        </w:rPr>
        <w:t>Department of Finance Annual Report</w:t>
      </w:r>
      <w:r>
        <w:rPr>
          <w:color w:val="939598"/>
          <w:spacing w:val="-29"/>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footerReference w:type="default" r:id="rId261"/>
          <w:pgSz w:w="16840" w:h="11910" w:orient="landscape"/>
          <w:pgMar w:footer="0" w:header="0"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1"/>
        <w:spacing w:before="93"/>
      </w:pPr>
      <w:r>
        <w:rPr/>
        <w:pict>
          <v:group style="position:absolute;margin-left:0pt;margin-top:-67.324211pt;width:841.9pt;height:108.95pt;mso-position-horizontal-relative:page;mso-position-vertical-relative:paragraph;z-index:-776824" coordorigin="0,-1346" coordsize="16838,2179">
            <v:shape style="position:absolute;left:13225;top:-523;width:904;height:904" coordorigin="13225,-522" coordsize="904,904" path="m13677,-522l13225,-71,13677,381,14128,-71,13677,-522xe" filled="true" fillcolor="#e8e9c9" stroked="false">
              <v:path arrowok="t"/>
              <v:fill type="solid"/>
            </v:shape>
            <v:shape style="position:absolute;left:12773;top:-71;width:904;height:904" coordorigin="12774,-71" coordsize="904,904" path="m13225,-71l12774,381,13225,832,13677,381,13225,-71xe" filled="true" fillcolor="#d5dac6" stroked="false">
              <v:path arrowok="t"/>
              <v:fill type="solid"/>
            </v:shape>
            <v:shape style="position:absolute;left:11870;top:-975;width:2710;height:904" coordorigin="11870,-974" coordsize="2710,904" path="m12774,-522l12322,-974,11870,-522,12322,-71,12774,-522m14580,-522l14128,-974,13677,-522,14128,-71,14580,-522e" filled="true" fillcolor="#efeeeb" stroked="false">
              <v:path arrowok="t"/>
              <v:fill type="solid"/>
            </v:shape>
            <v:shape style="position:absolute;left:12773;top:-975;width:904;height:904" coordorigin="12774,-974" coordsize="904,904" path="m13225,-974l12774,-522,13225,-71,13677,-522,13225,-974xe" filled="true" fillcolor="#c0aac2" stroked="false">
              <v:path arrowok="t"/>
              <v:fill type="solid"/>
            </v:shape>
            <v:rect style="position:absolute;left:9621;top:-1347;width:2406;height:851" filled="true" fillcolor="#e6e7e8" stroked="false">
              <v:fill type="solid"/>
            </v:rect>
            <v:shape style="position:absolute;left:9621;top:-1347;width:583;height:583" type="#_x0000_t75" stroked="false">
              <v:imagedata r:id="rId247" o:title=""/>
            </v:shape>
            <v:rect style="position:absolute;left:12026;top:-1347;width:2406;height:851" filled="true" fillcolor="#b6c247" stroked="false">
              <v:fill type="solid"/>
            </v:rect>
            <v:rect style="position:absolute;left:14432;top:-1347;width:2406;height:851" filled="true" fillcolor="#aebd37" stroked="false">
              <v:fill type="solid"/>
            </v:rect>
            <v:shape style="position:absolute;left:15424;top:-271;width:900;height:904" coordorigin="15424,-271" coordsize="900,904" path="m15874,-271l15424,179,15424,182,15874,632,16324,182,16324,179,15874,-271xe" filled="true" fillcolor="#c4cd71" stroked="false">
              <v:path arrowok="t"/>
              <v:fill type="solid"/>
            </v:shape>
            <v:shape style="position:absolute;left:15422;top:179;width:2;height:4" coordorigin="15423,179" coordsize="2,4" path="m15424,179l15423,181,15424,182,15424,179xe" filled="true" fillcolor="#b9c369" stroked="false">
              <v:path arrowok="t"/>
              <v:fill type="solid"/>
            </v:shape>
            <v:shape style="position:absolute;left:16324;top:179;width:2;height:4" coordorigin="16324,179" coordsize="2,4" path="m16324,179l16324,182,16326,181,16324,179xe" filled="true" fillcolor="#bec29e" stroked="false">
              <v:path arrowok="t"/>
              <v:fill type="solid"/>
            </v:shape>
            <v:shape style="position:absolute;left:15263;top:19;width:161;height:322" type="#_x0000_t75" stroked="false">
              <v:imagedata r:id="rId16" o:title=""/>
            </v:shape>
            <v:shape style="position:absolute;left:16324;top:19;width:161;height:322" type="#_x0000_t75" stroked="false">
              <v:imagedata r:id="rId11" o:title=""/>
            </v:shape>
            <v:shape style="position:absolute;left:15585;top:0;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4432;top:-1347;width:2406;height:851" type="#_x0000_t202" filled="false" stroked="false">
              <v:textbox inset="0,0,0,0">
                <w:txbxContent>
                  <w:p>
                    <w:pPr>
                      <w:spacing w:line="240" w:lineRule="auto" w:before="9"/>
                      <w:rPr>
                        <w:b/>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47;width:2406;height:851" type="#_x0000_t202" filled="false" stroked="false">
              <v:textbox inset="0,0,0,0">
                <w:txbxContent>
                  <w:p>
                    <w:pPr>
                      <w:spacing w:line="240" w:lineRule="auto" w:before="9"/>
                      <w:rPr>
                        <w:b/>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1347;width:2406;height:851" type="#_x0000_t202" filled="false" stroked="false">
              <v:textbox inset="0,0,0,0">
                <w:txbxContent>
                  <w:p>
                    <w:pPr>
                      <w:spacing w:line="249" w:lineRule="auto" w:before="182"/>
                      <w:ind w:left="633" w:right="0" w:hanging="291"/>
                      <w:jc w:val="left"/>
                      <w:rPr>
                        <w:sz w:val="20"/>
                      </w:rPr>
                    </w:pPr>
                    <w:hyperlink w:history="true" w:anchor="_bookmark58">
                      <w:r>
                        <w:rPr>
                          <w:color w:val="6F2770"/>
                          <w:w w:val="95"/>
                          <w:sz w:val="20"/>
                        </w:rPr>
                        <w:t>KEY </w:t>
                      </w:r>
                    </w:hyperlink>
                    <w:hyperlink w:history="true" w:anchor="_bookmark58">
                      <w:r>
                        <w:rPr>
                          <w:color w:val="6F2770"/>
                          <w:w w:val="95"/>
                          <w:sz w:val="20"/>
                        </w:rPr>
                        <w:t>PERFORMANCE </w:t>
                      </w:r>
                      <w:r>
                        <w:rPr>
                          <w:color w:val="6F2770"/>
                          <w:sz w:val="20"/>
                        </w:rPr>
                        <w:t>INDICATORS</w:t>
                      </w:r>
                    </w:hyperlink>
                  </w:p>
                </w:txbxContent>
              </v:textbox>
              <w10:wrap type="none"/>
            </v:shape>
            <v:shape style="position:absolute;left:7211;top:-1347;width:2411;height:851" type="#_x0000_t202" filled="true" fillcolor="#c4cd71" stroked="false">
              <v:textbox inset="0,0,0,0">
                <w:txbxContent>
                  <w:p>
                    <w:pPr>
                      <w:spacing w:line="249" w:lineRule="auto" w:before="182"/>
                      <w:ind w:left="592"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347;width:2409;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347;width:2398;height:851" type="#_x0000_t202" filled="true" fillcolor="#b6c247" stroked="false">
              <v:textbox inset="0,0,0,0">
                <w:txbxContent>
                  <w:p>
                    <w:pPr>
                      <w:spacing w:line="240" w:lineRule="auto" w:before="9"/>
                      <w:rPr>
                        <w:b/>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347;width:2406;height:851" type="#_x0000_t202" filled="true" fillcolor="#aebd37"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bookmarkStart w:name="_bookmark67" w:id="69"/>
      <w:bookmarkEnd w:id="69"/>
      <w:r>
        <w:rPr/>
      </w:r>
      <w:r>
        <w:rPr>
          <w:color w:val="6F2770"/>
        </w:rPr>
        <w:t>Key Efficiency Indicators</w:t>
      </w:r>
    </w:p>
    <w:p>
      <w:pPr>
        <w:pStyle w:val="Heading4"/>
        <w:spacing w:before="110"/>
      </w:pPr>
      <w:r>
        <w:rPr>
          <w:color w:val="A7BE39"/>
        </w:rPr>
        <w:t>Public Utilities Office and Economic Reform</w:t>
      </w:r>
    </w:p>
    <w:p>
      <w:pPr>
        <w:pStyle w:val="BodyText"/>
        <w:rPr>
          <w:sz w:val="12"/>
        </w:rPr>
      </w:pPr>
    </w:p>
    <w:p>
      <w:pPr>
        <w:spacing w:after="0"/>
        <w:rPr>
          <w:sz w:val="12"/>
        </w:rPr>
        <w:sectPr>
          <w:footerReference w:type="default" r:id="rId269"/>
          <w:pgSz w:w="16840" w:h="11910" w:orient="landscape"/>
          <w:pgMar w:footer="0" w:header="0" w:top="0" w:bottom="0" w:left="0" w:right="0"/>
        </w:sectPr>
      </w:pPr>
    </w:p>
    <w:p>
      <w:pPr>
        <w:pStyle w:val="Heading6"/>
        <w:spacing w:line="249" w:lineRule="auto" w:before="108"/>
        <w:ind w:right="177"/>
      </w:pPr>
      <w:r>
        <w:rPr/>
        <w:t>Service 5: Development and implementation of energy policy and programs; assessment of proposed policy changes and the impact on regulatory functions</w:t>
      </w:r>
    </w:p>
    <w:p>
      <w:pPr>
        <w:pStyle w:val="BodyText"/>
        <w:spacing w:before="3"/>
        <w:rPr>
          <w:b/>
          <w:sz w:val="23"/>
        </w:rPr>
      </w:pPr>
    </w:p>
    <w:p>
      <w:pPr>
        <w:pStyle w:val="BodyText"/>
        <w:spacing w:line="249" w:lineRule="auto"/>
        <w:ind w:left="765" w:right="-7"/>
      </w:pPr>
      <w:r>
        <w:rPr/>
        <w:t>The Public Utilities Office delivers energy policy and programs, acting as a change agent leading development and implementation of </w:t>
      </w:r>
      <w:r>
        <w:rPr>
          <w:spacing w:val="-3"/>
        </w:rPr>
        <w:t>policy, </w:t>
      </w:r>
      <w:r>
        <w:rPr/>
        <w:t>to meet the </w:t>
      </w:r>
      <w:r>
        <w:rPr>
          <w:spacing w:val="-4"/>
        </w:rPr>
        <w:t>State’s </w:t>
      </w:r>
      <w:r>
        <w:rPr/>
        <w:t>energy needs. The indicators demonstrate</w:t>
      </w:r>
      <w:r>
        <w:rPr>
          <w:spacing w:val="-23"/>
        </w:rPr>
        <w:t> </w:t>
      </w:r>
      <w:r>
        <w:rPr/>
        <w:t>the</w:t>
      </w:r>
      <w:r>
        <w:rPr>
          <w:spacing w:val="-23"/>
        </w:rPr>
        <w:t> </w:t>
      </w:r>
      <w:r>
        <w:rPr/>
        <w:t>cost</w:t>
      </w:r>
      <w:r>
        <w:rPr>
          <w:spacing w:val="-23"/>
        </w:rPr>
        <w:t> </w:t>
      </w:r>
      <w:r>
        <w:rPr/>
        <w:t>efficiency</w:t>
      </w:r>
      <w:r>
        <w:rPr>
          <w:spacing w:val="-23"/>
        </w:rPr>
        <w:t> </w:t>
      </w:r>
      <w:r>
        <w:rPr/>
        <w:t>of</w:t>
      </w:r>
      <w:r>
        <w:rPr>
          <w:spacing w:val="-23"/>
        </w:rPr>
        <w:t> </w:t>
      </w:r>
      <w:r>
        <w:rPr/>
        <w:t>providing</w:t>
      </w:r>
      <w:r>
        <w:rPr>
          <w:spacing w:val="-23"/>
        </w:rPr>
        <w:t> </w:t>
      </w:r>
      <w:r>
        <w:rPr>
          <w:spacing w:val="-3"/>
        </w:rPr>
        <w:t>routine </w:t>
      </w:r>
      <w:r>
        <w:rPr/>
        <w:t>policy and program tasks, and more significant policy projects and</w:t>
      </w:r>
      <w:r>
        <w:rPr>
          <w:spacing w:val="-6"/>
        </w:rPr>
        <w:t> </w:t>
      </w:r>
      <w:r>
        <w:rPr/>
        <w:t>programs.</w:t>
      </w:r>
    </w:p>
    <w:p>
      <w:pPr>
        <w:pStyle w:val="BodyText"/>
        <w:spacing w:before="6"/>
        <w:rPr>
          <w:sz w:val="23"/>
        </w:rPr>
      </w:pPr>
    </w:p>
    <w:p>
      <w:pPr>
        <w:pStyle w:val="BodyText"/>
        <w:spacing w:line="249" w:lineRule="auto"/>
        <w:ind w:left="765" w:right="187"/>
      </w:pPr>
      <w:r>
        <w:rPr>
          <w:w w:val="95"/>
        </w:rPr>
        <w:t>The Regulatory Gatekeeping Unit (RGU) provides </w:t>
      </w:r>
      <w:r>
        <w:rPr/>
        <w:t>advice to government on Commonwealth</w:t>
      </w:r>
    </w:p>
    <w:p>
      <w:pPr>
        <w:pStyle w:val="BodyText"/>
        <w:spacing w:line="249" w:lineRule="auto" w:before="2"/>
        <w:ind w:left="765" w:right="550"/>
      </w:pPr>
      <w:r>
        <w:rPr/>
        <w:t>and</w:t>
      </w:r>
      <w:r>
        <w:rPr>
          <w:spacing w:val="-19"/>
        </w:rPr>
        <w:t> </w:t>
      </w:r>
      <w:r>
        <w:rPr/>
        <w:t>State</w:t>
      </w:r>
      <w:r>
        <w:rPr>
          <w:spacing w:val="-18"/>
        </w:rPr>
        <w:t> </w:t>
      </w:r>
      <w:r>
        <w:rPr/>
        <w:t>economic</w:t>
      </w:r>
      <w:r>
        <w:rPr>
          <w:spacing w:val="-18"/>
        </w:rPr>
        <w:t> </w:t>
      </w:r>
      <w:r>
        <w:rPr/>
        <w:t>issues</w:t>
      </w:r>
      <w:r>
        <w:rPr>
          <w:spacing w:val="-18"/>
        </w:rPr>
        <w:t> </w:t>
      </w:r>
      <w:r>
        <w:rPr/>
        <w:t>and</w:t>
      </w:r>
      <w:r>
        <w:rPr>
          <w:spacing w:val="-18"/>
        </w:rPr>
        <w:t> </w:t>
      </w:r>
      <w:r>
        <w:rPr/>
        <w:t>reforms,</w:t>
      </w:r>
      <w:r>
        <w:rPr>
          <w:spacing w:val="-18"/>
        </w:rPr>
        <w:t> </w:t>
      </w:r>
      <w:r>
        <w:rPr/>
        <w:t>and assessment of the impact and adequacy of proposed regulation. The indicator reflects the</w:t>
      </w:r>
      <w:r>
        <w:rPr>
          <w:spacing w:val="-25"/>
        </w:rPr>
        <w:t> </w:t>
      </w:r>
      <w:r>
        <w:rPr/>
        <w:t>responsiveness</w:t>
      </w:r>
      <w:r>
        <w:rPr>
          <w:spacing w:val="-25"/>
        </w:rPr>
        <w:t> </w:t>
      </w:r>
      <w:r>
        <w:rPr/>
        <w:t>of</w:t>
      </w:r>
      <w:r>
        <w:rPr>
          <w:spacing w:val="-24"/>
        </w:rPr>
        <w:t> </w:t>
      </w:r>
      <w:r>
        <w:rPr/>
        <w:t>the</w:t>
      </w:r>
      <w:r>
        <w:rPr>
          <w:spacing w:val="-25"/>
        </w:rPr>
        <w:t> </w:t>
      </w:r>
      <w:r>
        <w:rPr/>
        <w:t>RGU</w:t>
      </w:r>
      <w:r>
        <w:rPr>
          <w:spacing w:val="-25"/>
        </w:rPr>
        <w:t> </w:t>
      </w:r>
      <w:r>
        <w:rPr/>
        <w:t>in</w:t>
      </w:r>
      <w:r>
        <w:rPr>
          <w:spacing w:val="-24"/>
        </w:rPr>
        <w:t> </w:t>
      </w:r>
      <w:r>
        <w:rPr>
          <w:spacing w:val="-3"/>
        </w:rPr>
        <w:t>addressing </w:t>
      </w:r>
      <w:r>
        <w:rPr/>
        <w:t>submissions in a timely</w:t>
      </w:r>
      <w:r>
        <w:rPr>
          <w:spacing w:val="-19"/>
        </w:rPr>
        <w:t> </w:t>
      </w:r>
      <w:r>
        <w:rPr>
          <w:spacing w:val="-3"/>
        </w:rPr>
        <w:t>manner.</w:t>
      </w:r>
    </w:p>
    <w:p>
      <w:pPr>
        <w:pStyle w:val="Heading6"/>
        <w:spacing w:line="249" w:lineRule="auto" w:before="108"/>
        <w:ind w:left="385" w:right="1658"/>
        <w:rPr>
          <w:sz w:val="10"/>
        </w:rPr>
      </w:pPr>
      <w:r>
        <w:rPr>
          <w:b w:val="0"/>
        </w:rPr>
        <w:br w:type="column"/>
      </w:r>
      <w:r>
        <w:rPr/>
        <w:t>Average cost of policy/project development ($) </w:t>
      </w:r>
      <w:r>
        <w:rPr>
          <w:position w:val="8"/>
          <w:sz w:val="10"/>
        </w:rPr>
        <w:t>(a)</w:t>
      </w:r>
    </w:p>
    <w:p>
      <w:pPr>
        <w:pStyle w:val="BodyText"/>
        <w:spacing w:before="1"/>
        <w:rPr>
          <w:b/>
          <w:sz w:val="20"/>
        </w:rPr>
      </w:pPr>
    </w:p>
    <w:p>
      <w:pPr>
        <w:tabs>
          <w:tab w:pos="1420" w:val="left" w:leader="none"/>
          <w:tab w:pos="2393" w:val="left" w:leader="none"/>
        </w:tabs>
        <w:spacing w:line="240" w:lineRule="auto"/>
        <w:ind w:left="414" w:right="-72" w:firstLine="0"/>
        <w:rPr>
          <w:sz w:val="20"/>
        </w:rPr>
      </w:pPr>
      <w:r>
        <w:rPr>
          <w:sz w:val="20"/>
        </w:rPr>
        <w:pict>
          <v:group style="width:36.85pt;height:36.9pt;mso-position-horizontal-relative:char;mso-position-vertical-relative:line" coordorigin="0,0" coordsize="737,738">
            <v:shape style="position:absolute;left:0;top:0;width:737;height:738" coordorigin="0,0" coordsize="737,738" path="m369,0l0,369,369,737,737,369,369,0xe" filled="true" fillcolor="#bbbcbb" stroked="false">
              <v:path arrowok="t"/>
              <v:fill type="solid"/>
            </v:shape>
            <v:shape style="position:absolute;left:0;top:0;width:737;height:738" type="#_x0000_t202" filled="false" stroked="false">
              <v:textbox inset="0,0,0,0">
                <w:txbxContent>
                  <w:p>
                    <w:pPr>
                      <w:spacing w:line="240" w:lineRule="auto" w:before="2"/>
                      <w:rPr>
                        <w:b/>
                        <w:sz w:val="22"/>
                      </w:rPr>
                    </w:pPr>
                  </w:p>
                  <w:p>
                    <w:pPr>
                      <w:spacing w:before="0"/>
                      <w:ind w:left="197" w:right="0" w:firstLine="0"/>
                      <w:jc w:val="left"/>
                      <w:rPr>
                        <w:b/>
                        <w:sz w:val="19"/>
                      </w:rPr>
                    </w:pPr>
                    <w:r>
                      <w:rPr>
                        <w:b/>
                        <w:color w:val="FFFFFF"/>
                        <w:w w:val="105"/>
                        <w:sz w:val="19"/>
                      </w:rPr>
                      <w:t>N/A</w:t>
                    </w:r>
                  </w:p>
                </w:txbxContent>
              </v:textbox>
              <w10:wrap type="none"/>
            </v:shape>
          </v:group>
        </w:pict>
      </w:r>
      <w:r>
        <w:rPr>
          <w:sz w:val="20"/>
        </w:rPr>
      </w:r>
      <w:r>
        <w:rPr>
          <w:sz w:val="20"/>
        </w:rPr>
        <w:tab/>
      </w:r>
      <w:r>
        <w:rPr>
          <w:sz w:val="20"/>
        </w:rPr>
        <w:pict>
          <v:group style="width:36.85pt;height:36.9pt;mso-position-horizontal-relative:char;mso-position-vertical-relative:line" coordorigin="0,0" coordsize="737,738">
            <v:shape style="position:absolute;left:0;top:0;width:737;height:738" coordorigin="0,0" coordsize="737,738" path="m369,0l0,369,369,737,737,369,369,0xe" filled="true" fillcolor="#bbbcbb" stroked="false">
              <v:path arrowok="t"/>
              <v:fill type="solid"/>
            </v:shape>
            <v:shape style="position:absolute;left:0;top:0;width:737;height:738" type="#_x0000_t202" filled="false" stroked="false">
              <v:textbox inset="0,0,0,0">
                <w:txbxContent>
                  <w:p>
                    <w:pPr>
                      <w:spacing w:line="240" w:lineRule="auto" w:before="2"/>
                      <w:rPr>
                        <w:b/>
                        <w:sz w:val="22"/>
                      </w:rPr>
                    </w:pPr>
                  </w:p>
                  <w:p>
                    <w:pPr>
                      <w:spacing w:before="0"/>
                      <w:ind w:left="197" w:right="0" w:firstLine="0"/>
                      <w:jc w:val="left"/>
                      <w:rPr>
                        <w:b/>
                        <w:sz w:val="19"/>
                      </w:rPr>
                    </w:pPr>
                    <w:r>
                      <w:rPr>
                        <w:b/>
                        <w:color w:val="FFFFFF"/>
                        <w:w w:val="105"/>
                        <w:sz w:val="19"/>
                      </w:rPr>
                      <w:t>N/A</w:t>
                    </w:r>
                  </w:p>
                </w:txbxContent>
              </v:textbox>
              <w10:wrap type="none"/>
            </v:shape>
          </v:group>
        </w:pict>
      </w:r>
      <w:r>
        <w:rPr>
          <w:sz w:val="20"/>
        </w:rPr>
      </w:r>
      <w:r>
        <w:rPr>
          <w:sz w:val="20"/>
        </w:rPr>
        <w:tab/>
      </w:r>
      <w:r>
        <w:rPr>
          <w:sz w:val="20"/>
        </w:rPr>
        <w:pict>
          <v:group style="width:40.2pt;height:142pt;mso-position-horizontal-relative:char;mso-position-vertical-relative:line" coordorigin="0,0" coordsize="804,2840">
            <v:shape style="position:absolute;left:401;top:416;width:397;height:2418" coordorigin="402,417" coordsize="397,2418" path="m799,417l402,814,402,2835,799,2835,799,417xe" filled="true" fillcolor="#f5f6ea" stroked="false">
              <v:path arrowok="t"/>
              <v:fill type="solid"/>
            </v:shape>
            <v:shape style="position:absolute;left:0;top:404;width:804;height:2435" coordorigin="0,405" coordsize="804,2435" path="m0,405l0,2840,804,2840,804,2830,10,2830,10,429,1,420,5,417,12,417,0,405xm804,429l794,429,794,2830,804,2830,804,429xm12,417l10,417,10,429,402,821,416,807,402,807,12,417xm804,405l402,807,416,807,794,429,804,429,804,405xm10,417l5,417,1,420,10,429,10,417xe" filled="true" fillcolor="#aebd37" stroked="false">
              <v:path arrowok="t"/>
              <v:fill type="solid"/>
            </v:shape>
            <v:shape style="position:absolute;left:33;top:0;width:737;height:738" coordorigin="33,0" coordsize="737,738" path="m402,0l33,369,402,737,770,369,402,0xe" filled="true" fillcolor="#aebd37" stroked="false">
              <v:path arrowok="t"/>
              <v:fill type="solid"/>
            </v:shape>
            <v:shape style="position:absolute;left:157;top:255;width:510;height:191" type="#_x0000_t202" filled="false" stroked="false">
              <v:textbox inset="0,0,0,0">
                <w:txbxContent>
                  <w:p>
                    <w:pPr>
                      <w:spacing w:before="6"/>
                      <w:ind w:left="0" w:right="0" w:firstLine="0"/>
                      <w:jc w:val="left"/>
                      <w:rPr>
                        <w:b/>
                        <w:sz w:val="16"/>
                      </w:rPr>
                    </w:pPr>
                    <w:r>
                      <w:rPr>
                        <w:b/>
                        <w:color w:val="FFFFFF"/>
                        <w:sz w:val="16"/>
                      </w:rPr>
                      <w:t>27,675</w:t>
                    </w:r>
                  </w:p>
                </w:txbxContent>
              </v:textbox>
              <w10:wrap type="none"/>
            </v:shape>
          </v:group>
        </w:pict>
      </w:r>
      <w:r>
        <w:rPr>
          <w:sz w:val="20"/>
        </w:rPr>
      </w:r>
      <w:r>
        <w:rPr>
          <w:rFonts w:ascii="Times New Roman"/>
          <w:spacing w:val="136"/>
          <w:sz w:val="20"/>
        </w:rPr>
        <w:t> </w:t>
      </w:r>
      <w:r>
        <w:rPr>
          <w:spacing w:val="136"/>
          <w:sz w:val="20"/>
        </w:rPr>
        <w:pict>
          <v:group style="width:40.2pt;height:132pt;mso-position-horizontal-relative:char;mso-position-vertical-relative:line" coordorigin="0,0" coordsize="804,2640">
            <v:shape style="position:absolute;left:401;top:428;width:392;height:2201" coordorigin="402,429" coordsize="392,2201" path="m794,429l402,821,402,2630,794,2630,794,429xe" filled="true" fillcolor="#eae3ea" stroked="false">
              <v:path arrowok="t"/>
              <v:fill type="solid"/>
            </v:shape>
            <v:shape style="position:absolute;left:0;top:404;width:804;height:2235" coordorigin="0,405" coordsize="804,2235" path="m0,405l0,2640,804,2640,804,2635,402,2635,402,2630,10,2630,10,429,24,429,16,420,1,420,5,417,12,417,0,405xm804,417l799,417,799,2635,804,2635,804,417xm24,429l10,429,402,821,402,814,409,807,402,807,24,429xm804,405l402,807,409,807,799,417,804,417,804,405xm12,417l5,417,1,420,16,420,12,417xe" filled="true" fillcolor="#8d5f8e" stroked="false">
              <v:path arrowok="t"/>
              <v:fill type="solid"/>
            </v:shape>
            <v:shape style="position:absolute;left:401;top:416;width:397;height:2218" coordorigin="402,417" coordsize="397,2218" path="m799,429l794,429,794,2630,402,2630,402,2635,799,2635,799,429xm799,417l402,814,402,821,794,429,799,429,799,417xe" filled="true" fillcolor="#8b5a8b" stroked="false">
              <v:path arrowok="t"/>
              <v:fill type="solid"/>
            </v:shape>
            <v:shape style="position:absolute;left:33;top:0;width:737;height:738" coordorigin="33,0" coordsize="737,738" path="m402,0l33,369,402,737,770,369,402,0xe" filled="true" fillcolor="#6f2770" stroked="false">
              <v:path arrowok="t"/>
              <v:fill type="solid"/>
            </v:shape>
            <v:shape style="position:absolute;left:157;top:255;width:510;height:191" type="#_x0000_t202" filled="false" stroked="false">
              <v:textbox inset="0,0,0,0">
                <w:txbxContent>
                  <w:p>
                    <w:pPr>
                      <w:spacing w:before="6"/>
                      <w:ind w:left="0" w:right="0" w:firstLine="0"/>
                      <w:jc w:val="left"/>
                      <w:rPr>
                        <w:b/>
                        <w:sz w:val="16"/>
                      </w:rPr>
                    </w:pPr>
                    <w:r>
                      <w:rPr>
                        <w:b/>
                        <w:color w:val="FFFFFF"/>
                        <w:sz w:val="16"/>
                      </w:rPr>
                      <w:t>22,687</w:t>
                    </w:r>
                  </w:p>
                </w:txbxContent>
              </v:textbox>
              <w10:wrap type="none"/>
            </v:shape>
          </v:group>
        </w:pict>
      </w:r>
      <w:r>
        <w:rPr>
          <w:spacing w:val="136"/>
          <w:sz w:val="20"/>
        </w:rPr>
      </w:r>
      <w:r>
        <w:rPr>
          <w:rFonts w:ascii="Times New Roman"/>
          <w:spacing w:val="136"/>
          <w:sz w:val="20"/>
        </w:rPr>
        <w:t> </w:t>
      </w:r>
      <w:r>
        <w:rPr>
          <w:spacing w:val="136"/>
          <w:sz w:val="20"/>
        </w:rPr>
        <w:pict>
          <v:group style="width:40.2pt;height:125pt;mso-position-horizontal-relative:char;mso-position-vertical-relative:line" coordorigin="0,0" coordsize="804,2500">
            <v:shape style="position:absolute;left:401;top:428;width:392;height:2061" coordorigin="402,429" coordsize="392,2061" path="m794,429l402,821,402,2490,794,2490,794,429xe" filled="true" fillcolor="#e1dce1" stroked="false">
              <v:path arrowok="t"/>
              <v:fill type="solid"/>
            </v:shape>
            <v:shape style="position:absolute;left:0;top:404;width:804;height:2095" coordorigin="0,405" coordsize="804,2095" path="m0,405l0,2500,804,2500,804,2495,402,2495,402,2490,10,2490,10,429,24,429,16,420,1,420,5,417,12,417,0,405xm804,417l799,417,799,2495,804,2495,804,417xm24,429l10,429,402,821,402,814,409,807,402,807,24,429xm804,405l402,807,409,807,799,417,804,417,804,405xm12,417l5,417,1,420,16,420,12,417xe" filled="true" fillcolor="#806a83" stroked="false">
              <v:path arrowok="t"/>
              <v:fill type="solid"/>
            </v:shape>
            <v:shape style="position:absolute;left:401;top:416;width:397;height:2078" coordorigin="402,417" coordsize="397,2078" path="m799,429l794,429,794,2490,402,2490,402,2495,799,2495,799,429xm799,417l402,814,402,821,794,429,799,429,799,417xe" filled="true" fillcolor="#79627d" stroked="false">
              <v:path arrowok="t"/>
              <v:fill type="solid"/>
            </v:shape>
            <v:shape style="position:absolute;left:33;top:0;width:737;height:738" coordorigin="33,0" coordsize="737,738" path="m402,0l33,369,402,737,770,369,402,0xe" filled="true" fillcolor="#360f41" stroked="false">
              <v:path arrowok="t"/>
              <v:fill type="solid"/>
            </v:shape>
            <v:shape style="position:absolute;left:0;top:0;width:804;height:2500" type="#_x0000_t202" filled="false" stroked="false">
              <v:textbox inset="0,0,0,0">
                <w:txbxContent>
                  <w:p>
                    <w:pPr>
                      <w:spacing w:line="240" w:lineRule="auto" w:before="8"/>
                      <w:rPr>
                        <w:rFonts w:ascii="Times New Roman"/>
                        <w:sz w:val="22"/>
                      </w:rPr>
                    </w:pPr>
                  </w:p>
                  <w:p>
                    <w:pPr>
                      <w:spacing w:before="1"/>
                      <w:ind w:left="99" w:right="0" w:firstLine="0"/>
                      <w:jc w:val="left"/>
                      <w:rPr>
                        <w:b/>
                        <w:sz w:val="10"/>
                      </w:rPr>
                    </w:pPr>
                    <w:r>
                      <w:rPr>
                        <w:b/>
                        <w:color w:val="FFFFFF"/>
                        <w:sz w:val="16"/>
                      </w:rPr>
                      <w:t>20,831</w:t>
                    </w:r>
                    <w:r>
                      <w:rPr>
                        <w:b/>
                        <w:color w:val="FFFFFF"/>
                        <w:position w:val="4"/>
                        <w:sz w:val="10"/>
                      </w:rPr>
                      <w:t>(1)</w:t>
                    </w:r>
                  </w:p>
                </w:txbxContent>
              </v:textbox>
              <w10:wrap type="none"/>
            </v:shape>
          </v:group>
        </w:pict>
      </w:r>
      <w:r>
        <w:rPr>
          <w:spacing w:val="136"/>
          <w:sz w:val="20"/>
        </w:rPr>
      </w:r>
    </w:p>
    <w:p>
      <w:pPr>
        <w:tabs>
          <w:tab w:pos="1436" w:val="left" w:leader="none"/>
          <w:tab w:pos="2442" w:val="left" w:leader="none"/>
          <w:tab w:pos="3448" w:val="left" w:leader="none"/>
          <w:tab w:pos="4455" w:val="left" w:leader="none"/>
        </w:tabs>
        <w:spacing w:before="0"/>
        <w:ind w:left="430" w:right="0" w:firstLine="0"/>
        <w:jc w:val="left"/>
        <w:rPr>
          <w:b/>
          <w:sz w:val="19"/>
        </w:rPr>
      </w:pPr>
      <w:r>
        <w:rPr>
          <w:b/>
          <w:w w:val="105"/>
          <w:sz w:val="19"/>
        </w:rPr>
        <w:t>2013/14</w:t>
        <w:tab/>
        <w:t>2014/15</w:t>
        <w:tab/>
        <w:t>2015/16</w:t>
        <w:tab/>
        <w:t>2016/17</w:t>
        <w:tab/>
        <w:t>2016/17</w:t>
      </w:r>
    </w:p>
    <w:p>
      <w:pPr>
        <w:tabs>
          <w:tab w:pos="1391" w:val="left" w:leader="none"/>
          <w:tab w:pos="2398" w:val="left" w:leader="none"/>
          <w:tab w:pos="3404" w:val="left" w:leader="none"/>
          <w:tab w:pos="4410" w:val="left" w:leader="none"/>
        </w:tabs>
        <w:spacing w:before="89"/>
        <w:ind w:left="385" w:right="0" w:firstLine="0"/>
        <w:jc w:val="left"/>
        <w:rPr>
          <w:sz w:val="15"/>
        </w:rPr>
      </w:pPr>
      <w:r>
        <w:rPr>
          <w:color w:val="FFFFFF"/>
          <w:w w:val="100"/>
          <w:sz w:val="15"/>
          <w:shd w:fill="C7C6C5" w:color="auto" w:val="clear"/>
        </w:rPr>
        <w:t> </w:t>
      </w:r>
      <w:r>
        <w:rPr>
          <w:color w:val="FFFFFF"/>
          <w:sz w:val="15"/>
          <w:shd w:fill="C7C6C5" w:color="auto" w:val="clear"/>
        </w:rPr>
        <w:t> </w:t>
      </w:r>
      <w:r>
        <w:rPr>
          <w:color w:val="FFFFFF"/>
          <w:spacing w:val="-9"/>
          <w:sz w:val="15"/>
          <w:shd w:fill="C7C6C5" w:color="auto" w:val="clear"/>
        </w:rPr>
        <w:t> </w:t>
      </w:r>
      <w:r>
        <w:rPr>
          <w:color w:val="FFFFFF"/>
          <w:sz w:val="15"/>
          <w:shd w:fill="C7C6C5" w:color="auto" w:val="clear"/>
        </w:rPr>
        <w:t>ACTUAL</w:t>
      </w:r>
      <w:r>
        <w:rPr>
          <w:color w:val="FFFFFF"/>
          <w:sz w:val="15"/>
        </w:rPr>
        <w:tab/>
      </w:r>
      <w:r>
        <w:rPr>
          <w:color w:val="FFFFFF"/>
          <w:sz w:val="15"/>
          <w:shd w:fill="C7C6C5" w:color="auto" w:val="clear"/>
        </w:rPr>
        <w:t>ACTUAL</w:t>
      </w:r>
      <w:r>
        <w:rPr>
          <w:color w:val="FFFFFF"/>
          <w:sz w:val="15"/>
        </w:rPr>
        <w:tab/>
      </w:r>
      <w:r>
        <w:rPr>
          <w:color w:val="FFFFFF"/>
          <w:sz w:val="15"/>
          <w:shd w:fill="BFC84C" w:color="auto" w:val="clear"/>
        </w:rPr>
        <w:t>ACTUAL</w:t>
      </w:r>
      <w:r>
        <w:rPr>
          <w:color w:val="FFFFFF"/>
          <w:sz w:val="15"/>
        </w:rPr>
        <w:tab/>
      </w:r>
      <w:r>
        <w:rPr>
          <w:color w:val="FFFFFF"/>
          <w:w w:val="95"/>
          <w:sz w:val="15"/>
          <w:shd w:fill="803C83" w:color="auto" w:val="clear"/>
        </w:rPr>
        <w:t>TARGET</w:t>
      </w:r>
      <w:r>
        <w:rPr>
          <w:color w:val="FFFFFF"/>
          <w:w w:val="95"/>
          <w:sz w:val="15"/>
        </w:rPr>
        <w:tab/>
      </w:r>
      <w:r>
        <w:rPr>
          <w:color w:val="FFFFFF"/>
          <w:sz w:val="15"/>
          <w:shd w:fill="4C285B" w:color="auto" w:val="clear"/>
        </w:rPr>
        <w:t>ACTUAL</w:t>
      </w:r>
      <w:r>
        <w:rPr>
          <w:color w:val="FFFFFF"/>
          <w:spacing w:val="-9"/>
          <w:sz w:val="15"/>
          <w:shd w:fill="4C285B" w:color="auto" w:val="clear"/>
        </w:rPr>
        <w:t> </w:t>
      </w:r>
    </w:p>
    <w:p>
      <w:pPr>
        <w:pStyle w:val="BodyText"/>
        <w:spacing w:before="6"/>
        <w:rPr>
          <w:sz w:val="25"/>
        </w:rPr>
      </w:pPr>
    </w:p>
    <w:p>
      <w:pPr>
        <w:pStyle w:val="ListParagraph"/>
        <w:numPr>
          <w:ilvl w:val="0"/>
          <w:numId w:val="36"/>
        </w:numPr>
        <w:tabs>
          <w:tab w:pos="578" w:val="left" w:leader="none"/>
        </w:tabs>
        <w:spacing w:line="278" w:lineRule="auto" w:before="0" w:after="0"/>
        <w:ind w:left="594" w:right="204" w:hanging="209"/>
        <w:jc w:val="left"/>
        <w:rPr>
          <w:sz w:val="15"/>
        </w:rPr>
      </w:pPr>
      <w:r>
        <w:rPr>
          <w:sz w:val="15"/>
        </w:rPr>
        <w:t>This</w:t>
      </w:r>
      <w:r>
        <w:rPr>
          <w:spacing w:val="-16"/>
          <w:sz w:val="15"/>
        </w:rPr>
        <w:t> </w:t>
      </w:r>
      <w:r>
        <w:rPr>
          <w:sz w:val="15"/>
        </w:rPr>
        <w:t>indicator</w:t>
      </w:r>
      <w:r>
        <w:rPr>
          <w:spacing w:val="-16"/>
          <w:sz w:val="15"/>
        </w:rPr>
        <w:t> </w:t>
      </w:r>
      <w:r>
        <w:rPr>
          <w:sz w:val="15"/>
        </w:rPr>
        <w:t>reports</w:t>
      </w:r>
      <w:r>
        <w:rPr>
          <w:spacing w:val="-15"/>
          <w:sz w:val="15"/>
        </w:rPr>
        <w:t> </w:t>
      </w:r>
      <w:r>
        <w:rPr>
          <w:sz w:val="15"/>
        </w:rPr>
        <w:t>the</w:t>
      </w:r>
      <w:r>
        <w:rPr>
          <w:spacing w:val="-16"/>
          <w:sz w:val="15"/>
        </w:rPr>
        <w:t> </w:t>
      </w:r>
      <w:r>
        <w:rPr>
          <w:sz w:val="15"/>
        </w:rPr>
        <w:t>average</w:t>
      </w:r>
      <w:r>
        <w:rPr>
          <w:spacing w:val="-15"/>
          <w:sz w:val="15"/>
        </w:rPr>
        <w:t> </w:t>
      </w:r>
      <w:r>
        <w:rPr>
          <w:sz w:val="15"/>
        </w:rPr>
        <w:t>cost</w:t>
      </w:r>
      <w:r>
        <w:rPr>
          <w:spacing w:val="-16"/>
          <w:sz w:val="15"/>
        </w:rPr>
        <w:t> </w:t>
      </w:r>
      <w:r>
        <w:rPr>
          <w:sz w:val="15"/>
        </w:rPr>
        <w:t>of</w:t>
      </w:r>
      <w:r>
        <w:rPr>
          <w:spacing w:val="-15"/>
          <w:sz w:val="15"/>
        </w:rPr>
        <w:t> </w:t>
      </w:r>
      <w:r>
        <w:rPr>
          <w:sz w:val="15"/>
        </w:rPr>
        <w:t>policy/project</w:t>
      </w:r>
      <w:r>
        <w:rPr>
          <w:spacing w:val="-16"/>
          <w:sz w:val="15"/>
        </w:rPr>
        <w:t> </w:t>
      </w:r>
      <w:r>
        <w:rPr>
          <w:sz w:val="15"/>
        </w:rPr>
        <w:t>development activities,</w:t>
      </w:r>
      <w:r>
        <w:rPr>
          <w:spacing w:val="-13"/>
          <w:sz w:val="15"/>
        </w:rPr>
        <w:t> </w:t>
      </w:r>
      <w:r>
        <w:rPr>
          <w:sz w:val="15"/>
        </w:rPr>
        <w:t>such</w:t>
      </w:r>
      <w:r>
        <w:rPr>
          <w:spacing w:val="-13"/>
          <w:sz w:val="15"/>
        </w:rPr>
        <w:t> </w:t>
      </w:r>
      <w:r>
        <w:rPr>
          <w:sz w:val="15"/>
        </w:rPr>
        <w:t>as</w:t>
      </w:r>
      <w:r>
        <w:rPr>
          <w:spacing w:val="-13"/>
          <w:sz w:val="15"/>
        </w:rPr>
        <w:t> </w:t>
      </w:r>
      <w:r>
        <w:rPr>
          <w:sz w:val="15"/>
        </w:rPr>
        <w:t>Cabinet</w:t>
      </w:r>
      <w:r>
        <w:rPr>
          <w:spacing w:val="-13"/>
          <w:sz w:val="15"/>
        </w:rPr>
        <w:t> </w:t>
      </w:r>
      <w:r>
        <w:rPr>
          <w:sz w:val="15"/>
        </w:rPr>
        <w:t>Submissions</w:t>
      </w:r>
      <w:r>
        <w:rPr>
          <w:spacing w:val="-12"/>
          <w:sz w:val="15"/>
        </w:rPr>
        <w:t> </w:t>
      </w:r>
      <w:r>
        <w:rPr>
          <w:sz w:val="15"/>
        </w:rPr>
        <w:t>which</w:t>
      </w:r>
      <w:r>
        <w:rPr>
          <w:spacing w:val="-13"/>
          <w:sz w:val="15"/>
        </w:rPr>
        <w:t> </w:t>
      </w:r>
      <w:r>
        <w:rPr>
          <w:sz w:val="15"/>
        </w:rPr>
        <w:t>are</w:t>
      </w:r>
      <w:r>
        <w:rPr>
          <w:spacing w:val="-13"/>
          <w:sz w:val="15"/>
        </w:rPr>
        <w:t> </w:t>
      </w:r>
      <w:r>
        <w:rPr>
          <w:sz w:val="15"/>
        </w:rPr>
        <w:t>more</w:t>
      </w:r>
      <w:r>
        <w:rPr>
          <w:spacing w:val="-13"/>
          <w:sz w:val="15"/>
        </w:rPr>
        <w:t> </w:t>
      </w:r>
      <w:r>
        <w:rPr>
          <w:sz w:val="15"/>
        </w:rPr>
        <w:t>significant</w:t>
      </w:r>
    </w:p>
    <w:p>
      <w:pPr>
        <w:spacing w:line="172" w:lineRule="exact" w:before="0"/>
        <w:ind w:left="594" w:right="0" w:firstLine="0"/>
        <w:jc w:val="left"/>
        <w:rPr>
          <w:sz w:val="15"/>
        </w:rPr>
      </w:pPr>
      <w:r>
        <w:rPr>
          <w:sz w:val="15"/>
        </w:rPr>
        <w:t>in nature and require a considerable investment of time and effort.</w:t>
      </w:r>
    </w:p>
    <w:p>
      <w:pPr>
        <w:spacing w:line="278" w:lineRule="auto" w:before="28"/>
        <w:ind w:left="592" w:right="-7" w:firstLine="1"/>
        <w:jc w:val="left"/>
        <w:rPr>
          <w:sz w:val="15"/>
        </w:rPr>
      </w:pPr>
      <w:r>
        <w:rPr>
          <w:sz w:val="15"/>
        </w:rPr>
        <w:t>Cost</w:t>
      </w:r>
      <w:r>
        <w:rPr>
          <w:spacing w:val="-16"/>
          <w:sz w:val="15"/>
        </w:rPr>
        <w:t> </w:t>
      </w:r>
      <w:r>
        <w:rPr>
          <w:sz w:val="15"/>
        </w:rPr>
        <w:t>allocation</w:t>
      </w:r>
      <w:r>
        <w:rPr>
          <w:spacing w:val="-16"/>
          <w:sz w:val="15"/>
        </w:rPr>
        <w:t> </w:t>
      </w:r>
      <w:r>
        <w:rPr>
          <w:sz w:val="15"/>
        </w:rPr>
        <w:t>is</w:t>
      </w:r>
      <w:r>
        <w:rPr>
          <w:spacing w:val="-15"/>
          <w:sz w:val="15"/>
        </w:rPr>
        <w:t> </w:t>
      </w:r>
      <w:r>
        <w:rPr>
          <w:sz w:val="15"/>
        </w:rPr>
        <w:t>based</w:t>
      </w:r>
      <w:r>
        <w:rPr>
          <w:spacing w:val="-16"/>
          <w:sz w:val="15"/>
        </w:rPr>
        <w:t> </w:t>
      </w:r>
      <w:r>
        <w:rPr>
          <w:sz w:val="15"/>
        </w:rPr>
        <w:t>on</w:t>
      </w:r>
      <w:r>
        <w:rPr>
          <w:spacing w:val="-15"/>
          <w:sz w:val="15"/>
        </w:rPr>
        <w:t> </w:t>
      </w:r>
      <w:r>
        <w:rPr>
          <w:sz w:val="15"/>
        </w:rPr>
        <w:t>the</w:t>
      </w:r>
      <w:r>
        <w:rPr>
          <w:spacing w:val="-16"/>
          <w:sz w:val="15"/>
        </w:rPr>
        <w:t> </w:t>
      </w:r>
      <w:r>
        <w:rPr>
          <w:sz w:val="15"/>
        </w:rPr>
        <w:t>level</w:t>
      </w:r>
      <w:r>
        <w:rPr>
          <w:spacing w:val="-15"/>
          <w:sz w:val="15"/>
        </w:rPr>
        <w:t> </w:t>
      </w:r>
      <w:r>
        <w:rPr>
          <w:sz w:val="15"/>
        </w:rPr>
        <w:t>of</w:t>
      </w:r>
      <w:r>
        <w:rPr>
          <w:spacing w:val="-16"/>
          <w:sz w:val="15"/>
        </w:rPr>
        <w:t> </w:t>
      </w:r>
      <w:r>
        <w:rPr>
          <w:sz w:val="15"/>
        </w:rPr>
        <w:t>service</w:t>
      </w:r>
      <w:r>
        <w:rPr>
          <w:spacing w:val="-15"/>
          <w:sz w:val="15"/>
        </w:rPr>
        <w:t> </w:t>
      </w:r>
      <w:r>
        <w:rPr>
          <w:sz w:val="15"/>
        </w:rPr>
        <w:t>delivery</w:t>
      </w:r>
      <w:r>
        <w:rPr>
          <w:spacing w:val="-16"/>
          <w:sz w:val="15"/>
        </w:rPr>
        <w:t> </w:t>
      </w:r>
      <w:r>
        <w:rPr>
          <w:sz w:val="15"/>
        </w:rPr>
        <w:t>for</w:t>
      </w:r>
      <w:r>
        <w:rPr>
          <w:spacing w:val="-15"/>
          <w:sz w:val="15"/>
        </w:rPr>
        <w:t> </w:t>
      </w:r>
      <w:r>
        <w:rPr>
          <w:sz w:val="15"/>
        </w:rPr>
        <w:t>this</w:t>
      </w:r>
      <w:r>
        <w:rPr>
          <w:spacing w:val="-16"/>
          <w:sz w:val="15"/>
        </w:rPr>
        <w:t> </w:t>
      </w:r>
      <w:r>
        <w:rPr>
          <w:sz w:val="15"/>
        </w:rPr>
        <w:t>particular type</w:t>
      </w:r>
      <w:r>
        <w:rPr>
          <w:spacing w:val="-16"/>
          <w:sz w:val="15"/>
        </w:rPr>
        <w:t> </w:t>
      </w:r>
      <w:r>
        <w:rPr>
          <w:sz w:val="15"/>
        </w:rPr>
        <w:t>of</w:t>
      </w:r>
      <w:r>
        <w:rPr>
          <w:spacing w:val="-15"/>
          <w:sz w:val="15"/>
        </w:rPr>
        <w:t> </w:t>
      </w:r>
      <w:r>
        <w:rPr>
          <w:sz w:val="15"/>
        </w:rPr>
        <w:t>ministerial</w:t>
      </w:r>
      <w:r>
        <w:rPr>
          <w:spacing w:val="-15"/>
          <w:sz w:val="15"/>
        </w:rPr>
        <w:t> </w:t>
      </w:r>
      <w:r>
        <w:rPr>
          <w:sz w:val="15"/>
        </w:rPr>
        <w:t>activity.</w:t>
      </w:r>
      <w:r>
        <w:rPr>
          <w:spacing w:val="-15"/>
          <w:sz w:val="15"/>
        </w:rPr>
        <w:t> </w:t>
      </w:r>
      <w:r>
        <w:rPr>
          <w:sz w:val="15"/>
        </w:rPr>
        <w:t>This</w:t>
      </w:r>
      <w:r>
        <w:rPr>
          <w:spacing w:val="-16"/>
          <w:sz w:val="15"/>
        </w:rPr>
        <w:t> </w:t>
      </w:r>
      <w:r>
        <w:rPr>
          <w:sz w:val="15"/>
        </w:rPr>
        <w:t>indicator</w:t>
      </w:r>
      <w:r>
        <w:rPr>
          <w:spacing w:val="-15"/>
          <w:sz w:val="15"/>
        </w:rPr>
        <w:t> </w:t>
      </w:r>
      <w:r>
        <w:rPr>
          <w:sz w:val="15"/>
        </w:rPr>
        <w:t>was</w:t>
      </w:r>
      <w:r>
        <w:rPr>
          <w:spacing w:val="-15"/>
          <w:sz w:val="15"/>
        </w:rPr>
        <w:t> </w:t>
      </w:r>
      <w:r>
        <w:rPr>
          <w:sz w:val="15"/>
        </w:rPr>
        <w:t>introduced</w:t>
      </w:r>
      <w:r>
        <w:rPr>
          <w:spacing w:val="-15"/>
          <w:sz w:val="15"/>
        </w:rPr>
        <w:t> </w:t>
      </w:r>
      <w:r>
        <w:rPr>
          <w:sz w:val="15"/>
        </w:rPr>
        <w:t>for</w:t>
      </w:r>
      <w:r>
        <w:rPr>
          <w:spacing w:val="-16"/>
          <w:sz w:val="15"/>
        </w:rPr>
        <w:t> </w:t>
      </w:r>
      <w:r>
        <w:rPr>
          <w:sz w:val="15"/>
        </w:rPr>
        <w:t>the</w:t>
      </w:r>
      <w:r>
        <w:rPr>
          <w:spacing w:val="-15"/>
          <w:sz w:val="15"/>
        </w:rPr>
        <w:t> </w:t>
      </w:r>
      <w:r>
        <w:rPr>
          <w:sz w:val="15"/>
        </w:rPr>
        <w:t>2016-17 financial </w:t>
      </w:r>
      <w:r>
        <w:rPr>
          <w:spacing w:val="-3"/>
          <w:sz w:val="15"/>
        </w:rPr>
        <w:t>year, </w:t>
      </w:r>
      <w:r>
        <w:rPr>
          <w:sz w:val="15"/>
        </w:rPr>
        <w:t>with the 2015-16 figure provided for comparative purposes.</w:t>
      </w:r>
    </w:p>
    <w:p>
      <w:pPr>
        <w:pStyle w:val="Heading6"/>
        <w:spacing w:line="249" w:lineRule="auto" w:before="108"/>
        <w:ind w:left="385" w:right="752"/>
        <w:rPr>
          <w:sz w:val="10"/>
        </w:rPr>
      </w:pPr>
      <w:r>
        <w:rPr>
          <w:b w:val="0"/>
        </w:rPr>
        <w:br w:type="column"/>
      </w:r>
      <w:r>
        <w:rPr/>
        <w:t>Percentage of Regulatory Impact Statements assessed within agreed timeframes (%) </w:t>
      </w:r>
      <w:r>
        <w:rPr>
          <w:position w:val="8"/>
          <w:sz w:val="10"/>
        </w:rPr>
        <w:t>(b)</w:t>
      </w:r>
    </w:p>
    <w:p>
      <w:pPr>
        <w:pStyle w:val="BodyText"/>
        <w:spacing w:before="8"/>
        <w:rPr>
          <w:b/>
          <w:sz w:val="16"/>
        </w:rPr>
      </w:pPr>
      <w:r>
        <w:rPr/>
        <w:pict>
          <v:group style="position:absolute;margin-left:562.677124pt;margin-top:25.582357pt;width:40.2pt;height:128pt;mso-position-horizontal-relative:page;mso-position-vertical-relative:paragraph;z-index:34352;mso-wrap-distance-left:0;mso-wrap-distance-right:0" coordorigin="11254,512" coordsize="804,2560">
            <v:shape style="position:absolute;left:11655;top:928;width:397;height:2138" coordorigin="11655,928" coordsize="397,2138" path="m12052,928l11655,1325,11655,3066,12052,3066,12052,928xe" filled="true" fillcolor="#f5f6ea" stroked="false">
              <v:path arrowok="t"/>
              <v:fill type="solid"/>
            </v:shape>
            <v:shape style="position:absolute;left:11253;top:916;width:804;height:2155" coordorigin="11254,916" coordsize="804,2155" path="m11254,916l11254,3071,12057,3071,12057,3061,11264,3061,11264,941,11255,932,11259,928,11266,928,11254,916xm12057,941l12047,941,12047,3061,12057,3061,12057,941xm11266,928l11264,928,11264,941,11655,1332,11670,1318,11655,1318,11266,928xm12057,916l11655,1318,11670,1318,12047,941,12057,941,12057,916xm11264,928l11259,928,11255,932,11264,941,11264,928xe" filled="true" fillcolor="#aebd37" stroked="false">
              <v:path arrowok="t"/>
              <v:fill type="solid"/>
            </v:shape>
            <v:shape style="position:absolute;left:11286;top:511;width:737;height:737" coordorigin="11287,512" coordsize="737,737" path="m11655,512l11287,880,11655,1249,12024,880,11655,512xe" filled="true" fillcolor="#aebd37" stroked="false">
              <v:path arrowok="t"/>
              <v:fill type="solid"/>
            </v:shape>
            <v:shape style="position:absolute;left:11470;top:759;width:390;height:227" type="#_x0000_t202" filled="false" stroked="false">
              <v:textbox inset="0,0,0,0">
                <w:txbxContent>
                  <w:p>
                    <w:pPr>
                      <w:spacing w:before="7"/>
                      <w:ind w:left="0" w:right="0" w:firstLine="0"/>
                      <w:jc w:val="left"/>
                      <w:rPr>
                        <w:b/>
                        <w:sz w:val="19"/>
                      </w:rPr>
                    </w:pPr>
                    <w:r>
                      <w:rPr>
                        <w:b/>
                        <w:color w:val="FFFFFF"/>
                        <w:sz w:val="19"/>
                      </w:rPr>
                      <w:t>93.5</w:t>
                    </w:r>
                  </w:p>
                </w:txbxContent>
              </v:textbox>
              <w10:wrap type="none"/>
            </v:shape>
            <w10:wrap type="topAndBottom"/>
          </v:group>
        </w:pict>
      </w:r>
      <w:r>
        <w:rPr/>
        <w:pict>
          <v:group style="position:absolute;margin-left:612.992188pt;margin-top:11.582357pt;width:40.2pt;height:142pt;mso-position-horizontal-relative:page;mso-position-vertical-relative:paragraph;z-index:34400;mso-wrap-distance-left:0;mso-wrap-distance-right:0" coordorigin="12260,232" coordsize="804,2840">
            <v:shape style="position:absolute;left:12661;top:648;width:397;height:2418" coordorigin="12662,648" coordsize="397,2418" path="m13059,648l12662,1045,12662,3066,13059,3066,13059,648xe" filled="true" fillcolor="#f5f6ea" stroked="false">
              <v:path arrowok="t"/>
              <v:fill type="solid"/>
            </v:shape>
            <v:shape style="position:absolute;left:12259;top:636;width:804;height:2435" coordorigin="12260,636" coordsize="804,2435" path="m12260,636l12260,3071,13064,3071,13064,3061,12270,3061,12270,661,12261,652,12265,648,12272,648,12260,636xm13064,661l13054,661,13054,3061,13064,3061,13064,661xm12272,648l12270,648,12270,661,12662,1052,12676,1038,12662,1038,12272,648xm13064,636l12662,1038,12676,1038,13054,661,13064,661,13064,636xm12270,648l12265,648,12261,652,12270,661,12270,648xe" filled="true" fillcolor="#aebd37" stroked="false">
              <v:path arrowok="t"/>
              <v:fill type="solid"/>
            </v:shape>
            <v:shape style="position:absolute;left:12293;top:231;width:737;height:737" coordorigin="12293,232" coordsize="737,737" path="m12662,232l12293,600,12662,969,13030,600,12662,232xe" filled="true" fillcolor="#aebd37" stroked="false">
              <v:path arrowok="t"/>
              <v:fill type="solid"/>
            </v:shape>
            <v:shape style="position:absolute;left:12502;top:479;width:337;height:227" type="#_x0000_t202" filled="false" stroked="false">
              <v:textbox inset="0,0,0,0">
                <w:txbxContent>
                  <w:p>
                    <w:pPr>
                      <w:spacing w:before="7"/>
                      <w:ind w:left="0" w:right="0" w:firstLine="0"/>
                      <w:jc w:val="left"/>
                      <w:rPr>
                        <w:b/>
                        <w:sz w:val="19"/>
                      </w:rPr>
                    </w:pPr>
                    <w:r>
                      <w:rPr>
                        <w:b/>
                        <w:color w:val="FFFFFF"/>
                        <w:sz w:val="19"/>
                      </w:rPr>
                      <w:t>100</w:t>
                    </w:r>
                  </w:p>
                </w:txbxContent>
              </v:textbox>
              <w10:wrap type="none"/>
            </v:shape>
            <w10:wrap type="topAndBottom"/>
          </v:group>
        </w:pict>
      </w:r>
      <w:r>
        <w:rPr/>
        <w:pict>
          <v:group style="position:absolute;margin-left:663.307129pt;margin-top:11.582357pt;width:40.2pt;height:142pt;mso-position-horizontal-relative:page;mso-position-vertical-relative:paragraph;z-index:34448;mso-wrap-distance-left:0;mso-wrap-distance-right:0" coordorigin="13266,232" coordsize="804,2840">
            <v:shape style="position:absolute;left:13668;top:648;width:397;height:2418" coordorigin="13668,648" coordsize="397,2418" path="m14065,648l13668,1045,13668,3066,14065,3066,14065,648xe" filled="true" fillcolor="#f5f6ea" stroked="false">
              <v:path arrowok="t"/>
              <v:fill type="solid"/>
            </v:shape>
            <v:shape style="position:absolute;left:13266;top:636;width:804;height:2435" coordorigin="13266,636" coordsize="804,2435" path="m13266,636l13266,3071,14070,3071,14070,3061,13276,3061,13276,661,13268,652,13271,648,13278,648,13266,636xm14070,661l14060,661,14060,3061,14070,3061,14070,661xm13278,648l13276,648,13276,661,13668,1052,13682,1038,13668,1038,13278,648xm14070,636l13668,1038,13682,1038,14060,661,14070,661,14070,636xm13276,648l13271,648,13268,652,13276,661,13276,648xe" filled="true" fillcolor="#aebd37" stroked="false">
              <v:path arrowok="t"/>
              <v:fill type="solid"/>
            </v:shape>
            <v:shape style="position:absolute;left:13299;top:231;width:737;height:737" coordorigin="13300,232" coordsize="737,737" path="m13668,232l13300,600,13668,969,14037,600,13668,232xe" filled="true" fillcolor="#aebd37" stroked="false">
              <v:path arrowok="t"/>
              <v:fill type="solid"/>
            </v:shape>
            <v:shape style="position:absolute;left:13509;top:479;width:337;height:227" type="#_x0000_t202" filled="false" stroked="false">
              <v:textbox inset="0,0,0,0">
                <w:txbxContent>
                  <w:p>
                    <w:pPr>
                      <w:spacing w:before="7"/>
                      <w:ind w:left="0" w:right="0" w:firstLine="0"/>
                      <w:jc w:val="left"/>
                      <w:rPr>
                        <w:b/>
                        <w:sz w:val="19"/>
                      </w:rPr>
                    </w:pPr>
                    <w:r>
                      <w:rPr>
                        <w:b/>
                        <w:color w:val="FFFFFF"/>
                        <w:sz w:val="19"/>
                      </w:rPr>
                      <w:t>100</w:t>
                    </w:r>
                  </w:p>
                </w:txbxContent>
              </v:textbox>
              <w10:wrap type="none"/>
            </v:shape>
            <w10:wrap type="topAndBottom"/>
          </v:group>
        </w:pict>
      </w:r>
      <w:r>
        <w:rPr/>
        <w:pict>
          <v:group style="position:absolute;margin-left:713.622375pt;margin-top:28.582357pt;width:40.2pt;height:125pt;mso-position-horizontal-relative:page;mso-position-vertical-relative:paragraph;z-index:34496;mso-wrap-distance-left:0;mso-wrap-distance-right:0" coordorigin="14272,572" coordsize="804,2500">
            <v:shape style="position:absolute;left:14674;top:1000;width:392;height:2061" coordorigin="14674,1001" coordsize="392,2061" path="m15066,1001l14674,1392,14674,3061,15066,3061,15066,1001xe" filled="true" fillcolor="#eae3ea" stroked="false">
              <v:path arrowok="t"/>
              <v:fill type="solid"/>
            </v:shape>
            <v:shape style="position:absolute;left:14272;top:976;width:804;height:2095" coordorigin="14272,976" coordsize="804,2095" path="m14272,976l14272,3071,15076,3071,15076,3066,14674,3066,14674,3061,14282,3061,14282,1001,14297,1001,14288,992,14274,992,14277,988,14285,988,14272,976xm15076,988l15071,988,15071,3066,15076,3066,15076,988xm14297,1001l14282,1001,14674,1392,14674,1385,14681,1378,14674,1378,14297,1001xm15076,976l14674,1378,14681,1378,15071,988,15076,988,15076,976xm14285,988l14277,988,14274,992,14288,992,14285,988xe" filled="true" fillcolor="#8d5f8e" stroked="false">
              <v:path arrowok="t"/>
              <v:fill type="solid"/>
            </v:shape>
            <v:shape style="position:absolute;left:14674;top:988;width:397;height:2078" coordorigin="14674,988" coordsize="397,2078" path="m15071,1001l15066,1001,15066,3061,14674,3061,14674,3066,15071,3066,15071,1001xm15071,988l14674,1385,14674,1392,15066,1001,15071,1001,15071,988xe" filled="true" fillcolor="#8b5a8b" stroked="false">
              <v:path arrowok="t"/>
              <v:fill type="solid"/>
            </v:shape>
            <v:shape style="position:absolute;left:14305;top:571;width:737;height:737" coordorigin="14306,572" coordsize="737,737" path="m14674,572l14306,940,14674,1309,15043,940,14674,572xe" filled="true" fillcolor="#6f2770" stroked="false">
              <v:path arrowok="t"/>
              <v:fill type="solid"/>
            </v:shape>
            <v:shape style="position:absolute;left:14568;top:819;width:232;height:227" type="#_x0000_t202" filled="false" stroked="false">
              <v:textbox inset="0,0,0,0">
                <w:txbxContent>
                  <w:p>
                    <w:pPr>
                      <w:spacing w:before="7"/>
                      <w:ind w:left="0" w:right="0" w:firstLine="0"/>
                      <w:jc w:val="left"/>
                      <w:rPr>
                        <w:b/>
                        <w:sz w:val="19"/>
                      </w:rPr>
                    </w:pPr>
                    <w:r>
                      <w:rPr>
                        <w:b/>
                        <w:color w:val="FFFFFF"/>
                        <w:sz w:val="19"/>
                      </w:rPr>
                      <w:t>90</w:t>
                    </w:r>
                  </w:p>
                </w:txbxContent>
              </v:textbox>
              <w10:wrap type="none"/>
            </v:shape>
            <w10:wrap type="topAndBottom"/>
          </v:group>
        </w:pict>
      </w:r>
      <w:r>
        <w:rPr/>
        <w:pict>
          <v:group style="position:absolute;margin-left:763.937012pt;margin-top:22.582357pt;width:40.2pt;height:131pt;mso-position-horizontal-relative:page;mso-position-vertical-relative:paragraph;z-index:34544;mso-wrap-distance-left:0;mso-wrap-distance-right:0" coordorigin="15279,452" coordsize="804,2620">
            <v:shape style="position:absolute;left:15680;top:880;width:392;height:2181" coordorigin="15681,881" coordsize="392,2181" path="m16072,881l15681,1272,15681,3061,16072,3061,16072,881xe" filled="true" fillcolor="#e1dce1" stroked="false">
              <v:path arrowok="t"/>
              <v:fill type="solid"/>
            </v:shape>
            <v:shape style="position:absolute;left:15278;top:856;width:804;height:2215" coordorigin="15279,856" coordsize="804,2215" path="m15279,856l15279,3071,16082,3071,16082,3066,15681,3066,15681,3061,15289,3061,15289,881,15303,881,15294,872,15280,872,15284,868,15291,868,15279,856xm16082,868l16077,868,16077,3066,16082,3066,16082,868xm15303,881l15289,881,15681,1272,15681,1265,15688,1258,15681,1258,15303,881xm16082,856l15681,1258,15688,1258,16077,868,16082,868,16082,856xm15291,868l15284,868,15280,872,15294,872,15291,868xe" filled="true" fillcolor="#806a83" stroked="false">
              <v:path arrowok="t"/>
              <v:fill type="solid"/>
            </v:shape>
            <v:shape style="position:absolute;left:15680;top:868;width:397;height:2198" coordorigin="15681,868" coordsize="397,2198" path="m16077,881l16072,881,16072,3061,15681,3061,15681,3066,16077,3066,16077,881xm16077,868l15681,1265,15681,1272,16072,881,16077,881,16077,868xe" filled="true" fillcolor="#79627d" stroked="false">
              <v:path arrowok="t"/>
              <v:fill type="solid"/>
            </v:shape>
            <v:shape style="position:absolute;left:15312;top:451;width:737;height:737" coordorigin="15312,452" coordsize="737,737" path="m15681,452l15312,820,15681,1189,16049,820,15681,452xe" filled="true" fillcolor="#360f41" stroked="false">
              <v:path arrowok="t"/>
              <v:fill type="solid"/>
            </v:shape>
            <v:shape style="position:absolute;left:15278;top:451;width:804;height:2620" type="#_x0000_t202" filled="false" stroked="false">
              <v:textbox inset="0,0,0,0">
                <w:txbxContent>
                  <w:p>
                    <w:pPr>
                      <w:spacing w:line="240" w:lineRule="auto" w:before="1"/>
                      <w:rPr>
                        <w:b/>
                        <w:sz w:val="22"/>
                      </w:rPr>
                    </w:pPr>
                  </w:p>
                  <w:p>
                    <w:pPr>
                      <w:spacing w:before="1"/>
                      <w:ind w:left="132" w:right="0" w:firstLine="0"/>
                      <w:jc w:val="left"/>
                      <w:rPr>
                        <w:b/>
                        <w:sz w:val="10"/>
                      </w:rPr>
                    </w:pPr>
                    <w:r>
                      <w:rPr>
                        <w:b/>
                        <w:color w:val="FFFFFF"/>
                        <w:sz w:val="19"/>
                      </w:rPr>
                      <w:t>95.8 </w:t>
                    </w:r>
                    <w:r>
                      <w:rPr>
                        <w:b/>
                        <w:color w:val="FFFFFF"/>
                        <w:position w:val="6"/>
                        <w:sz w:val="10"/>
                      </w:rPr>
                      <w:t>(2)</w:t>
                    </w:r>
                  </w:p>
                </w:txbxContent>
              </v:textbox>
              <w10:wrap type="none"/>
            </v:shape>
            <w10:wrap type="topAndBottom"/>
          </v:group>
        </w:pict>
      </w:r>
    </w:p>
    <w:p>
      <w:pPr>
        <w:tabs>
          <w:tab w:pos="1440" w:val="left" w:leader="none"/>
          <w:tab w:pos="2447" w:val="left" w:leader="none"/>
          <w:tab w:pos="3453" w:val="left" w:leader="none"/>
          <w:tab w:pos="4459" w:val="left" w:leader="none"/>
        </w:tabs>
        <w:spacing w:before="0"/>
        <w:ind w:left="434" w:right="0" w:firstLine="0"/>
        <w:jc w:val="left"/>
        <w:rPr>
          <w:b/>
          <w:sz w:val="19"/>
        </w:rPr>
      </w:pPr>
      <w:r>
        <w:rPr>
          <w:b/>
          <w:w w:val="105"/>
          <w:sz w:val="19"/>
        </w:rPr>
        <w:t>2013/14</w:t>
        <w:tab/>
        <w:t>2014/15</w:t>
        <w:tab/>
        <w:t>2015/16</w:t>
        <w:tab/>
        <w:t>2016/17</w:t>
        <w:tab/>
        <w:t>2016/17</w:t>
      </w:r>
    </w:p>
    <w:p>
      <w:pPr>
        <w:tabs>
          <w:tab w:pos="1396" w:val="left" w:leader="none"/>
          <w:tab w:pos="2402" w:val="left" w:leader="none"/>
          <w:tab w:pos="3408" w:val="left" w:leader="none"/>
          <w:tab w:pos="4415" w:val="left" w:leader="none"/>
        </w:tabs>
        <w:spacing w:before="89"/>
        <w:ind w:left="390" w:right="0" w:firstLine="0"/>
        <w:jc w:val="left"/>
        <w:rPr>
          <w:sz w:val="15"/>
        </w:rPr>
      </w:pPr>
      <w:r>
        <w:rPr>
          <w:color w:val="FFFFFF"/>
          <w:w w:val="100"/>
          <w:sz w:val="15"/>
          <w:shd w:fill="BFC84C" w:color="auto" w:val="clear"/>
        </w:rPr>
        <w:t> </w:t>
      </w:r>
      <w:r>
        <w:rPr>
          <w:color w:val="FFFFFF"/>
          <w:sz w:val="15"/>
          <w:shd w:fill="BFC84C" w:color="auto" w:val="clear"/>
        </w:rPr>
        <w:t> </w:t>
      </w:r>
      <w:r>
        <w:rPr>
          <w:color w:val="FFFFFF"/>
          <w:spacing w:val="-9"/>
          <w:sz w:val="15"/>
          <w:shd w:fill="BFC84C" w:color="auto" w:val="clear"/>
        </w:rPr>
        <w:t> </w:t>
      </w:r>
      <w:r>
        <w:rPr>
          <w:color w:val="FFFFFF"/>
          <w:sz w:val="15"/>
          <w:shd w:fill="BFC84C" w:color="auto" w:val="clear"/>
        </w:rPr>
        <w:t>ACTUAL</w:t>
      </w:r>
      <w:r>
        <w:rPr>
          <w:color w:val="FFFFFF"/>
          <w:sz w:val="15"/>
        </w:rPr>
        <w:tab/>
      </w:r>
      <w:r>
        <w:rPr>
          <w:color w:val="FFFFFF"/>
          <w:sz w:val="15"/>
          <w:shd w:fill="BFC84C" w:color="auto" w:val="clear"/>
        </w:rPr>
        <w:t>ACTUAL</w:t>
      </w:r>
      <w:r>
        <w:rPr>
          <w:color w:val="FFFFFF"/>
          <w:sz w:val="15"/>
        </w:rPr>
        <w:tab/>
      </w:r>
      <w:r>
        <w:rPr>
          <w:color w:val="FFFFFF"/>
          <w:sz w:val="15"/>
          <w:shd w:fill="BFC84C" w:color="auto" w:val="clear"/>
        </w:rPr>
        <w:t>ACTUAL</w:t>
      </w:r>
      <w:r>
        <w:rPr>
          <w:color w:val="FFFFFF"/>
          <w:sz w:val="15"/>
        </w:rPr>
        <w:tab/>
      </w:r>
      <w:r>
        <w:rPr>
          <w:color w:val="FFFFFF"/>
          <w:w w:val="95"/>
          <w:sz w:val="15"/>
          <w:shd w:fill="803C83" w:color="auto" w:val="clear"/>
        </w:rPr>
        <w:t>TARGET</w:t>
      </w:r>
      <w:r>
        <w:rPr>
          <w:color w:val="FFFFFF"/>
          <w:w w:val="95"/>
          <w:sz w:val="15"/>
        </w:rPr>
        <w:tab/>
      </w:r>
      <w:r>
        <w:rPr>
          <w:color w:val="FFFFFF"/>
          <w:sz w:val="15"/>
          <w:shd w:fill="4C285B" w:color="auto" w:val="clear"/>
        </w:rPr>
        <w:t>ACTUAL</w:t>
      </w:r>
      <w:r>
        <w:rPr>
          <w:color w:val="FFFFFF"/>
          <w:spacing w:val="-9"/>
          <w:sz w:val="15"/>
          <w:shd w:fill="4C285B" w:color="auto" w:val="clear"/>
        </w:rPr>
        <w:t> </w:t>
      </w:r>
    </w:p>
    <w:p>
      <w:pPr>
        <w:pStyle w:val="BodyText"/>
        <w:spacing w:before="6"/>
        <w:rPr>
          <w:sz w:val="25"/>
        </w:rPr>
      </w:pPr>
    </w:p>
    <w:p>
      <w:pPr>
        <w:pStyle w:val="ListParagraph"/>
        <w:numPr>
          <w:ilvl w:val="0"/>
          <w:numId w:val="36"/>
        </w:numPr>
        <w:tabs>
          <w:tab w:pos="586" w:val="left" w:leader="none"/>
        </w:tabs>
        <w:spacing w:line="278" w:lineRule="auto" w:before="0" w:after="0"/>
        <w:ind w:left="593" w:right="994" w:hanging="208"/>
        <w:jc w:val="left"/>
        <w:rPr>
          <w:sz w:val="15"/>
        </w:rPr>
      </w:pPr>
      <w:r>
        <w:rPr>
          <w:sz w:val="15"/>
        </w:rPr>
        <w:t>This indicator is for the RGU and illustrates the percentage of submissions</w:t>
      </w:r>
      <w:r>
        <w:rPr>
          <w:spacing w:val="-12"/>
          <w:sz w:val="15"/>
        </w:rPr>
        <w:t> </w:t>
      </w:r>
      <w:r>
        <w:rPr>
          <w:sz w:val="15"/>
        </w:rPr>
        <w:t>received</w:t>
      </w:r>
      <w:r>
        <w:rPr>
          <w:spacing w:val="-12"/>
          <w:sz w:val="15"/>
        </w:rPr>
        <w:t> </w:t>
      </w:r>
      <w:r>
        <w:rPr>
          <w:sz w:val="15"/>
        </w:rPr>
        <w:t>that</w:t>
      </w:r>
      <w:r>
        <w:rPr>
          <w:spacing w:val="-12"/>
          <w:sz w:val="15"/>
        </w:rPr>
        <w:t> </w:t>
      </w:r>
      <w:r>
        <w:rPr>
          <w:sz w:val="15"/>
        </w:rPr>
        <w:t>are</w:t>
      </w:r>
      <w:r>
        <w:rPr>
          <w:spacing w:val="-11"/>
          <w:sz w:val="15"/>
        </w:rPr>
        <w:t> </w:t>
      </w:r>
      <w:r>
        <w:rPr>
          <w:sz w:val="15"/>
        </w:rPr>
        <w:t>responded</w:t>
      </w:r>
      <w:r>
        <w:rPr>
          <w:spacing w:val="-12"/>
          <w:sz w:val="15"/>
        </w:rPr>
        <w:t> </w:t>
      </w:r>
      <w:r>
        <w:rPr>
          <w:sz w:val="15"/>
        </w:rPr>
        <w:t>to</w:t>
      </w:r>
      <w:r>
        <w:rPr>
          <w:spacing w:val="-12"/>
          <w:sz w:val="15"/>
        </w:rPr>
        <w:t> </w:t>
      </w:r>
      <w:r>
        <w:rPr>
          <w:sz w:val="15"/>
        </w:rPr>
        <w:t>within</w:t>
      </w:r>
      <w:r>
        <w:rPr>
          <w:spacing w:val="-12"/>
          <w:sz w:val="15"/>
        </w:rPr>
        <w:t> </w:t>
      </w:r>
      <w:r>
        <w:rPr>
          <w:sz w:val="15"/>
        </w:rPr>
        <w:t>10</w:t>
      </w:r>
      <w:r>
        <w:rPr>
          <w:spacing w:val="-11"/>
          <w:sz w:val="15"/>
        </w:rPr>
        <w:t> </w:t>
      </w:r>
      <w:r>
        <w:rPr>
          <w:sz w:val="15"/>
        </w:rPr>
        <w:t>working</w:t>
      </w:r>
      <w:r>
        <w:rPr>
          <w:spacing w:val="-12"/>
          <w:sz w:val="15"/>
        </w:rPr>
        <w:t> </w:t>
      </w:r>
      <w:r>
        <w:rPr>
          <w:spacing w:val="-4"/>
          <w:sz w:val="15"/>
        </w:rPr>
        <w:t>days.</w:t>
      </w:r>
    </w:p>
    <w:p>
      <w:pPr>
        <w:spacing w:after="0" w:line="278" w:lineRule="auto"/>
        <w:jc w:val="left"/>
        <w:rPr>
          <w:sz w:val="15"/>
        </w:rPr>
        <w:sectPr>
          <w:type w:val="continuous"/>
          <w:pgSz w:w="16840" w:h="11910" w:orient="landscape"/>
          <w:pgMar w:top="0" w:bottom="0" w:left="0" w:right="0"/>
          <w:cols w:num="3" w:equalWidth="0">
            <w:col w:w="5584" w:space="40"/>
            <w:col w:w="5205" w:space="39"/>
            <w:col w:w="5972"/>
          </w:cols>
        </w:sectPr>
      </w:pPr>
    </w:p>
    <w:p>
      <w:pPr>
        <w:pStyle w:val="BodyText"/>
        <w:spacing w:before="4"/>
        <w:rPr>
          <w:sz w:val="12"/>
        </w:rPr>
      </w:pPr>
    </w:p>
    <w:p>
      <w:pPr>
        <w:pStyle w:val="ListParagraph"/>
        <w:numPr>
          <w:ilvl w:val="1"/>
          <w:numId w:val="36"/>
        </w:numPr>
        <w:tabs>
          <w:tab w:pos="6290" w:val="left" w:leader="none"/>
        </w:tabs>
        <w:spacing w:line="249" w:lineRule="auto" w:before="106" w:after="0"/>
        <w:ind w:left="6254" w:right="786" w:hanging="245"/>
        <w:jc w:val="left"/>
        <w:rPr>
          <w:sz w:val="22"/>
        </w:rPr>
      </w:pPr>
      <w:r>
        <w:rPr/>
        <w:pict>
          <v:shape style="position:absolute;margin-left:210.038895pt;margin-top:-22.587833pt;width:45.2pt;height:45.2pt;mso-position-horizontal-relative:page;mso-position-vertical-relative:paragraph;z-index:36832" coordorigin="4201,-452" coordsize="904,904" path="m4652,-452l4201,0,4652,451,5104,0,4652,-452xe" filled="true" fillcolor="#d4d4d3" stroked="false">
            <v:path arrowok="t"/>
            <v:fill opacity="16384f" type="solid"/>
            <w10:wrap type="none"/>
          </v:shape>
        </w:pict>
      </w:r>
      <w:r>
        <w:rPr/>
        <w:pict>
          <v:group style="position:absolute;margin-left:0pt;margin-top:-.962034pt;width:170.2pt;height:147.550pt;mso-position-horizontal-relative:page;mso-position-vertical-relative:paragraph;z-index:-776776" coordorigin="0,-19" coordsize="3404,2951">
            <v:shape style="position:absolute;left:0;top:-20;width:35;height:24" coordorigin="0,-19" coordsize="35,24" path="m31,-19l0,-1,0,4,35,-16,31,-19xe" filled="true" fillcolor="#d8dad9" stroked="false">
              <v:path arrowok="t"/>
              <v:fill type="solid"/>
            </v:shape>
            <v:shape style="position:absolute;left:0;top:43;width:351;height:459" type="#_x0000_t75" stroked="false">
              <v:imagedata r:id="rId270" o:title=""/>
            </v:shape>
            <v:shape style="position:absolute;left:0;top:359;width:2499;height:2572" coordorigin="0,360" coordsize="2499,2572" path="m414,363l410,360,0,596,0,602,414,363m477,427l473,423,0,696,0,702,477,427m540,490l536,486,0,796,0,801,540,490m603,553l599,549,0,895,0,901,603,553m666,616l663,612,0,995,0,1001,666,616m729,679l726,676,0,1095,0,1100,729,679m793,742l789,739,0,1194,0,1200,793,742m856,806l852,802,0,1294,0,1300,856,806m919,869l915,865,0,1393,0,1399,919,869m982,932l978,928,0,1493,0,1499,982,932m1045,995l1042,991,0,1593,0,1599,1045,995m1108,1058l1105,1055,0,1692,0,1698,1108,1058m1172,1121l1168,1118,0,1792,0,1798,1172,1121m1235,1185l1231,1181,0,1892,0,1897,1235,1185m1298,1248l1294,1244,0,1991,0,1997,1298,1248m1361,1311l1357,1307,0,2091,0,2097,1361,1311m1424,1374l1421,1370,0,2191,0,2196,1424,1374m1487,1437l1484,1434,0,2290,0,2296,1487,1437m1551,1500l1547,1497,0,2390,0,2396,1551,1500m1614,1564l1610,1560,0,2489,0,2495,1614,1564m1677,1627l1673,1623,0,2589,0,2595,1677,1627m1740,1690l1736,1686,0,2689,0,2694,1740,1690m1803,1753l1800,1749,0,2788,0,2794,1803,1753m1866,1816l1863,1813,0,2888,0,2894,1866,1816m1930,1879l1926,1876,97,2931,107,2931,1930,1879m1993,1942l1989,1939,270,2931,280,2931,1993,1942m2056,2006l2052,2002,442,2931,452,2931,2056,2006m2119,2069l2115,2065,615,2931,625,2931,2119,2069m2119,2860l1996,2931,2006,2931,2106,2874,2119,2860m2182,2132l2179,2128,788,2931,798,2931,2182,2132m2245,2195l2242,2191,960,2931,970,2931,2245,2195m2309,2258l2305,2255,1133,2931,1143,2931,2309,2258m2355,2624l1823,2931,1833,2931,2341,2638,2355,2624m2372,2321l2368,2318,1305,2931,1315,2931,2372,2321m2435,2385l2431,2381,1478,2931,1488,2931,2435,2385m2498,2448l2494,2444,1650,2931,1660,2931,2498,2448e" filled="true" fillcolor="#d8dad9" stroked="false">
              <v:path arrowok="t"/>
              <v:fill type="solid"/>
            </v:shape>
            <v:shape style="position:absolute;left:2048;top:1986;width:1355;height:945" coordorigin="2049,1987" coordsize="1355,945" path="m2993,2931l2952,2890,2910,2931,2993,2931m3403,2438l2952,1987,2500,2438,2500,2438,2500,2438,2049,2890,2090,2931,2910,2931,2952,2890,3403,2438e" filled="true" fillcolor="#ffffff" stroked="false">
              <v:path arrowok="t"/>
              <v:fill type="solid"/>
            </v:shape>
            <v:shape style="position:absolute;left:2048;top:2438;width:904;height:494" coordorigin="2049,2438" coordsize="904,494" path="m2500,2438l2049,2890,2090,2931,2910,2931,2952,2890,2500,2438xe" filled="true" fillcolor="#e8e9c9" stroked="false">
              <v:path arrowok="t"/>
              <v:fill type="solid"/>
            </v:shape>
            <v:shape style="position:absolute;left:1597;top:1986;width:904;height:904" coordorigin="1597,1987" coordsize="904,904" path="m2049,1987l1597,2438,2049,2890,2500,2438,2049,1987xe" filled="true" fillcolor="#d5dac6" stroked="false">
              <v:path arrowok="t"/>
              <v:fill type="solid"/>
            </v:shape>
            <v:shape style="position:absolute;left:2500;top:1083;width:904;height:1848" coordorigin="2500,1084" coordsize="904,1848" path="m2993,2931l2952,2890,2910,2931,2993,2931m3403,1535l2952,1084,2500,1535,2952,1987,3403,1535e" filled="true" fillcolor="#efeeeb" stroked="false">
              <v:path arrowok="t"/>
              <v:fill type="solid"/>
            </v:shape>
            <v:shape style="position:absolute;left:2500;top:1986;width:904;height:904" coordorigin="2500,1987" coordsize="904,904" path="m2952,1987l2500,2438,2952,2890,3403,2438,2952,1987xe" filled="true" fillcolor="#c0aac2" stroked="false">
              <v:path arrowok="t"/>
              <v:fill type="solid"/>
            </v:shape>
            <w10:wrap type="none"/>
          </v:group>
        </w:pict>
      </w:r>
      <w:r>
        <w:rPr>
          <w:sz w:val="22"/>
        </w:rPr>
        <w:t>A</w:t>
      </w:r>
      <w:r>
        <w:rPr>
          <w:spacing w:val="-17"/>
          <w:sz w:val="22"/>
        </w:rPr>
        <w:t> </w:t>
      </w:r>
      <w:r>
        <w:rPr>
          <w:sz w:val="22"/>
        </w:rPr>
        <w:t>reduction</w:t>
      </w:r>
      <w:r>
        <w:rPr>
          <w:spacing w:val="-16"/>
          <w:sz w:val="22"/>
        </w:rPr>
        <w:t> </w:t>
      </w:r>
      <w:r>
        <w:rPr>
          <w:sz w:val="22"/>
        </w:rPr>
        <w:t>in</w:t>
      </w:r>
      <w:r>
        <w:rPr>
          <w:spacing w:val="-17"/>
          <w:sz w:val="22"/>
        </w:rPr>
        <w:t> </w:t>
      </w:r>
      <w:r>
        <w:rPr>
          <w:sz w:val="22"/>
        </w:rPr>
        <w:t>resources</w:t>
      </w:r>
      <w:r>
        <w:rPr>
          <w:spacing w:val="-16"/>
          <w:sz w:val="22"/>
        </w:rPr>
        <w:t> </w:t>
      </w:r>
      <w:r>
        <w:rPr>
          <w:sz w:val="22"/>
        </w:rPr>
        <w:t>undertaking</w:t>
      </w:r>
      <w:r>
        <w:rPr>
          <w:spacing w:val="-17"/>
          <w:sz w:val="22"/>
        </w:rPr>
        <w:t> </w:t>
      </w:r>
      <w:r>
        <w:rPr>
          <w:sz w:val="22"/>
        </w:rPr>
        <w:t>the</w:t>
      </w:r>
      <w:r>
        <w:rPr>
          <w:spacing w:val="-16"/>
          <w:sz w:val="22"/>
        </w:rPr>
        <w:t> </w:t>
      </w:r>
      <w:r>
        <w:rPr>
          <w:sz w:val="22"/>
        </w:rPr>
        <w:t>policy</w:t>
      </w:r>
      <w:r>
        <w:rPr>
          <w:spacing w:val="-17"/>
          <w:sz w:val="22"/>
        </w:rPr>
        <w:t> </w:t>
      </w:r>
      <w:r>
        <w:rPr>
          <w:sz w:val="22"/>
        </w:rPr>
        <w:t>and</w:t>
      </w:r>
      <w:r>
        <w:rPr>
          <w:spacing w:val="-16"/>
          <w:sz w:val="22"/>
        </w:rPr>
        <w:t> </w:t>
      </w:r>
      <w:r>
        <w:rPr>
          <w:sz w:val="22"/>
        </w:rPr>
        <w:t>project</w:t>
      </w:r>
      <w:r>
        <w:rPr>
          <w:spacing w:val="-17"/>
          <w:sz w:val="22"/>
        </w:rPr>
        <w:t> </w:t>
      </w:r>
      <w:r>
        <w:rPr>
          <w:sz w:val="22"/>
        </w:rPr>
        <w:t>development</w:t>
      </w:r>
      <w:r>
        <w:rPr>
          <w:spacing w:val="-16"/>
          <w:sz w:val="22"/>
        </w:rPr>
        <w:t> </w:t>
      </w:r>
      <w:r>
        <w:rPr>
          <w:sz w:val="22"/>
        </w:rPr>
        <w:t>work</w:t>
      </w:r>
      <w:r>
        <w:rPr>
          <w:spacing w:val="-17"/>
          <w:sz w:val="22"/>
        </w:rPr>
        <w:t> </w:t>
      </w:r>
      <w:r>
        <w:rPr>
          <w:sz w:val="22"/>
        </w:rPr>
        <w:t>has</w:t>
      </w:r>
      <w:r>
        <w:rPr>
          <w:spacing w:val="-16"/>
          <w:sz w:val="22"/>
        </w:rPr>
        <w:t> </w:t>
      </w:r>
      <w:r>
        <w:rPr>
          <w:sz w:val="22"/>
        </w:rPr>
        <w:t>driven</w:t>
      </w:r>
      <w:r>
        <w:rPr>
          <w:spacing w:val="-16"/>
          <w:sz w:val="22"/>
        </w:rPr>
        <w:t> </w:t>
      </w:r>
      <w:r>
        <w:rPr>
          <w:sz w:val="22"/>
        </w:rPr>
        <w:t>down</w:t>
      </w:r>
      <w:r>
        <w:rPr>
          <w:spacing w:val="-17"/>
          <w:sz w:val="22"/>
        </w:rPr>
        <w:t> </w:t>
      </w:r>
      <w:r>
        <w:rPr>
          <w:sz w:val="22"/>
        </w:rPr>
        <w:t>the</w:t>
      </w:r>
      <w:r>
        <w:rPr>
          <w:spacing w:val="-16"/>
          <w:sz w:val="22"/>
        </w:rPr>
        <w:t> </w:t>
      </w:r>
      <w:r>
        <w:rPr>
          <w:spacing w:val="-5"/>
          <w:sz w:val="22"/>
        </w:rPr>
        <w:t>unit </w:t>
      </w:r>
      <w:r>
        <w:rPr>
          <w:sz w:val="22"/>
        </w:rPr>
        <w:t>cost of each project</w:t>
      </w:r>
      <w:r>
        <w:rPr>
          <w:spacing w:val="-2"/>
          <w:sz w:val="22"/>
        </w:rPr>
        <w:t> </w:t>
      </w:r>
      <w:r>
        <w:rPr>
          <w:spacing w:val="-3"/>
          <w:sz w:val="22"/>
        </w:rPr>
        <w:t>activity.</w:t>
      </w:r>
    </w:p>
    <w:p>
      <w:pPr>
        <w:pStyle w:val="ListParagraph"/>
        <w:numPr>
          <w:ilvl w:val="1"/>
          <w:numId w:val="36"/>
        </w:numPr>
        <w:tabs>
          <w:tab w:pos="6255" w:val="left" w:leader="none"/>
        </w:tabs>
        <w:spacing w:line="249" w:lineRule="auto" w:before="2" w:after="0"/>
        <w:ind w:left="6254" w:right="1123" w:hanging="245"/>
        <w:jc w:val="both"/>
        <w:rPr>
          <w:sz w:val="22"/>
        </w:rPr>
      </w:pPr>
      <w:r>
        <w:rPr>
          <w:sz w:val="22"/>
        </w:rPr>
        <w:t>An</w:t>
      </w:r>
      <w:r>
        <w:rPr>
          <w:spacing w:val="-18"/>
          <w:sz w:val="22"/>
        </w:rPr>
        <w:t> </w:t>
      </w:r>
      <w:r>
        <w:rPr>
          <w:sz w:val="22"/>
        </w:rPr>
        <w:t>ongoing</w:t>
      </w:r>
      <w:r>
        <w:rPr>
          <w:spacing w:val="-18"/>
          <w:sz w:val="22"/>
        </w:rPr>
        <w:t> </w:t>
      </w:r>
      <w:r>
        <w:rPr>
          <w:sz w:val="22"/>
        </w:rPr>
        <w:t>focus</w:t>
      </w:r>
      <w:r>
        <w:rPr>
          <w:spacing w:val="-18"/>
          <w:sz w:val="22"/>
        </w:rPr>
        <w:t> </w:t>
      </w:r>
      <w:r>
        <w:rPr>
          <w:sz w:val="22"/>
        </w:rPr>
        <w:t>on</w:t>
      </w:r>
      <w:r>
        <w:rPr>
          <w:spacing w:val="-18"/>
          <w:sz w:val="22"/>
        </w:rPr>
        <w:t> </w:t>
      </w:r>
      <w:r>
        <w:rPr>
          <w:sz w:val="22"/>
        </w:rPr>
        <w:t>customer</w:t>
      </w:r>
      <w:r>
        <w:rPr>
          <w:spacing w:val="-18"/>
          <w:sz w:val="22"/>
        </w:rPr>
        <w:t> </w:t>
      </w:r>
      <w:r>
        <w:rPr>
          <w:sz w:val="22"/>
        </w:rPr>
        <w:t>service</w:t>
      </w:r>
      <w:r>
        <w:rPr>
          <w:spacing w:val="-18"/>
          <w:sz w:val="22"/>
        </w:rPr>
        <w:t> </w:t>
      </w:r>
      <w:r>
        <w:rPr>
          <w:sz w:val="22"/>
        </w:rPr>
        <w:t>has</w:t>
      </w:r>
      <w:r>
        <w:rPr>
          <w:spacing w:val="-18"/>
          <w:sz w:val="22"/>
        </w:rPr>
        <w:t> </w:t>
      </w:r>
      <w:r>
        <w:rPr>
          <w:sz w:val="22"/>
        </w:rPr>
        <w:t>continued</w:t>
      </w:r>
      <w:r>
        <w:rPr>
          <w:spacing w:val="-18"/>
          <w:sz w:val="22"/>
        </w:rPr>
        <w:t> </w:t>
      </w:r>
      <w:r>
        <w:rPr>
          <w:sz w:val="22"/>
        </w:rPr>
        <w:t>to</w:t>
      </w:r>
      <w:r>
        <w:rPr>
          <w:spacing w:val="-18"/>
          <w:sz w:val="22"/>
        </w:rPr>
        <w:t> </w:t>
      </w:r>
      <w:r>
        <w:rPr>
          <w:sz w:val="22"/>
        </w:rPr>
        <w:t>enable</w:t>
      </w:r>
      <w:r>
        <w:rPr>
          <w:spacing w:val="-18"/>
          <w:sz w:val="22"/>
        </w:rPr>
        <w:t> </w:t>
      </w:r>
      <w:r>
        <w:rPr>
          <w:sz w:val="22"/>
        </w:rPr>
        <w:t>Economic</w:t>
      </w:r>
      <w:r>
        <w:rPr>
          <w:spacing w:val="-18"/>
          <w:sz w:val="22"/>
        </w:rPr>
        <w:t> </w:t>
      </w:r>
      <w:r>
        <w:rPr>
          <w:sz w:val="22"/>
        </w:rPr>
        <w:t>Reform</w:t>
      </w:r>
      <w:r>
        <w:rPr>
          <w:spacing w:val="-18"/>
          <w:sz w:val="22"/>
        </w:rPr>
        <w:t> </w:t>
      </w:r>
      <w:r>
        <w:rPr>
          <w:sz w:val="22"/>
        </w:rPr>
        <w:t>to</w:t>
      </w:r>
      <w:r>
        <w:rPr>
          <w:spacing w:val="-17"/>
          <w:sz w:val="22"/>
        </w:rPr>
        <w:t> </w:t>
      </w:r>
      <w:r>
        <w:rPr>
          <w:sz w:val="22"/>
        </w:rPr>
        <w:t>achieve</w:t>
      </w:r>
      <w:r>
        <w:rPr>
          <w:spacing w:val="-18"/>
          <w:sz w:val="22"/>
        </w:rPr>
        <w:t> </w:t>
      </w:r>
      <w:r>
        <w:rPr>
          <w:sz w:val="22"/>
        </w:rPr>
        <w:t>higher results</w:t>
      </w:r>
      <w:r>
        <w:rPr>
          <w:spacing w:val="-17"/>
          <w:sz w:val="22"/>
        </w:rPr>
        <w:t> </w:t>
      </w:r>
      <w:r>
        <w:rPr>
          <w:sz w:val="22"/>
        </w:rPr>
        <w:t>than</w:t>
      </w:r>
      <w:r>
        <w:rPr>
          <w:spacing w:val="-17"/>
          <w:sz w:val="22"/>
        </w:rPr>
        <w:t> </w:t>
      </w:r>
      <w:r>
        <w:rPr>
          <w:sz w:val="22"/>
        </w:rPr>
        <w:t>targeted</w:t>
      </w:r>
      <w:r>
        <w:rPr>
          <w:spacing w:val="-17"/>
          <w:sz w:val="22"/>
        </w:rPr>
        <w:t> </w:t>
      </w:r>
      <w:r>
        <w:rPr>
          <w:sz w:val="22"/>
        </w:rPr>
        <w:t>for</w:t>
      </w:r>
      <w:r>
        <w:rPr>
          <w:spacing w:val="-17"/>
          <w:sz w:val="22"/>
        </w:rPr>
        <w:t> </w:t>
      </w:r>
      <w:r>
        <w:rPr>
          <w:sz w:val="22"/>
        </w:rPr>
        <w:t>this</w:t>
      </w:r>
      <w:r>
        <w:rPr>
          <w:spacing w:val="-16"/>
          <w:sz w:val="22"/>
        </w:rPr>
        <w:t> </w:t>
      </w:r>
      <w:r>
        <w:rPr>
          <w:spacing w:val="-3"/>
          <w:sz w:val="22"/>
        </w:rPr>
        <w:t>indicator.</w:t>
      </w:r>
      <w:r>
        <w:rPr>
          <w:spacing w:val="-17"/>
          <w:sz w:val="22"/>
        </w:rPr>
        <w:t> </w:t>
      </w:r>
      <w:r>
        <w:rPr>
          <w:sz w:val="22"/>
        </w:rPr>
        <w:t>One</w:t>
      </w:r>
      <w:r>
        <w:rPr>
          <w:spacing w:val="-17"/>
          <w:sz w:val="22"/>
        </w:rPr>
        <w:t> </w:t>
      </w:r>
      <w:r>
        <w:rPr>
          <w:sz w:val="22"/>
        </w:rPr>
        <w:t>response</w:t>
      </w:r>
      <w:r>
        <w:rPr>
          <w:spacing w:val="-17"/>
          <w:sz w:val="22"/>
        </w:rPr>
        <w:t> </w:t>
      </w:r>
      <w:r>
        <w:rPr>
          <w:sz w:val="22"/>
        </w:rPr>
        <w:t>to</w:t>
      </w:r>
      <w:r>
        <w:rPr>
          <w:spacing w:val="-16"/>
          <w:sz w:val="22"/>
        </w:rPr>
        <w:t> </w:t>
      </w:r>
      <w:r>
        <w:rPr>
          <w:sz w:val="22"/>
        </w:rPr>
        <w:t>the</w:t>
      </w:r>
      <w:r>
        <w:rPr>
          <w:spacing w:val="-17"/>
          <w:sz w:val="22"/>
        </w:rPr>
        <w:t> </w:t>
      </w:r>
      <w:r>
        <w:rPr>
          <w:sz w:val="22"/>
        </w:rPr>
        <w:t>Department</w:t>
      </w:r>
      <w:r>
        <w:rPr>
          <w:spacing w:val="-17"/>
          <w:sz w:val="22"/>
        </w:rPr>
        <w:t> </w:t>
      </w:r>
      <w:r>
        <w:rPr>
          <w:sz w:val="22"/>
        </w:rPr>
        <w:t>of</w:t>
      </w:r>
      <w:r>
        <w:rPr>
          <w:spacing w:val="-17"/>
          <w:sz w:val="22"/>
        </w:rPr>
        <w:t> </w:t>
      </w:r>
      <w:r>
        <w:rPr>
          <w:sz w:val="22"/>
        </w:rPr>
        <w:t>Agriculture</w:t>
      </w:r>
      <w:r>
        <w:rPr>
          <w:spacing w:val="-16"/>
          <w:sz w:val="22"/>
        </w:rPr>
        <w:t> </w:t>
      </w:r>
      <w:r>
        <w:rPr>
          <w:sz w:val="22"/>
        </w:rPr>
        <w:t>and</w:t>
      </w:r>
      <w:r>
        <w:rPr>
          <w:spacing w:val="-17"/>
          <w:sz w:val="22"/>
        </w:rPr>
        <w:t> </w:t>
      </w:r>
      <w:r>
        <w:rPr>
          <w:sz w:val="22"/>
        </w:rPr>
        <w:t>Food</w:t>
      </w:r>
      <w:r>
        <w:rPr>
          <w:spacing w:val="-17"/>
          <w:sz w:val="22"/>
        </w:rPr>
        <w:t> </w:t>
      </w:r>
      <w:r>
        <w:rPr>
          <w:spacing w:val="-6"/>
          <w:sz w:val="22"/>
        </w:rPr>
        <w:t>was </w:t>
      </w:r>
      <w:r>
        <w:rPr>
          <w:sz w:val="22"/>
        </w:rPr>
        <w:t>two</w:t>
      </w:r>
      <w:r>
        <w:rPr>
          <w:spacing w:val="-6"/>
          <w:sz w:val="22"/>
        </w:rPr>
        <w:t> </w:t>
      </w:r>
      <w:r>
        <w:rPr>
          <w:sz w:val="22"/>
        </w:rPr>
        <w:t>days</w:t>
      </w:r>
      <w:r>
        <w:rPr>
          <w:spacing w:val="-5"/>
          <w:sz w:val="22"/>
        </w:rPr>
        <w:t> </w:t>
      </w:r>
      <w:r>
        <w:rPr>
          <w:sz w:val="22"/>
        </w:rPr>
        <w:t>over</w:t>
      </w:r>
      <w:r>
        <w:rPr>
          <w:spacing w:val="-5"/>
          <w:sz w:val="22"/>
        </w:rPr>
        <w:t> </w:t>
      </w:r>
      <w:r>
        <w:rPr>
          <w:sz w:val="22"/>
        </w:rPr>
        <w:t>the</w:t>
      </w:r>
      <w:r>
        <w:rPr>
          <w:spacing w:val="-5"/>
          <w:sz w:val="22"/>
        </w:rPr>
        <w:t> </w:t>
      </w:r>
      <w:r>
        <w:rPr>
          <w:sz w:val="22"/>
        </w:rPr>
        <w:t>ten</w:t>
      </w:r>
      <w:r>
        <w:rPr>
          <w:spacing w:val="-5"/>
          <w:sz w:val="22"/>
        </w:rPr>
        <w:t> </w:t>
      </w:r>
      <w:r>
        <w:rPr>
          <w:sz w:val="22"/>
        </w:rPr>
        <w:t>day</w:t>
      </w:r>
      <w:r>
        <w:rPr>
          <w:spacing w:val="-5"/>
          <w:sz w:val="22"/>
        </w:rPr>
        <w:t> </w:t>
      </w:r>
      <w:r>
        <w:rPr>
          <w:sz w:val="22"/>
        </w:rPr>
        <w:t>response</w:t>
      </w:r>
      <w:r>
        <w:rPr>
          <w:spacing w:val="-6"/>
          <w:sz w:val="22"/>
        </w:rPr>
        <w:t> </w:t>
      </w:r>
      <w:r>
        <w:rPr>
          <w:sz w:val="22"/>
        </w:rPr>
        <w:t>target,</w:t>
      </w:r>
      <w:r>
        <w:rPr>
          <w:spacing w:val="-5"/>
          <w:sz w:val="22"/>
        </w:rPr>
        <w:t> </w:t>
      </w:r>
      <w:r>
        <w:rPr>
          <w:sz w:val="22"/>
        </w:rPr>
        <w:t>resulting</w:t>
      </w:r>
      <w:r>
        <w:rPr>
          <w:spacing w:val="-5"/>
          <w:sz w:val="22"/>
        </w:rPr>
        <w:t> </w:t>
      </w:r>
      <w:r>
        <w:rPr>
          <w:sz w:val="22"/>
        </w:rPr>
        <w:t>in</w:t>
      </w:r>
      <w:r>
        <w:rPr>
          <w:spacing w:val="-5"/>
          <w:sz w:val="22"/>
        </w:rPr>
        <w:t> </w:t>
      </w:r>
      <w:r>
        <w:rPr>
          <w:sz w:val="22"/>
        </w:rPr>
        <w:t>a</w:t>
      </w:r>
      <w:r>
        <w:rPr>
          <w:spacing w:val="-5"/>
          <w:sz w:val="22"/>
        </w:rPr>
        <w:t> </w:t>
      </w:r>
      <w:r>
        <w:rPr>
          <w:sz w:val="22"/>
        </w:rPr>
        <w:t>result</w:t>
      </w:r>
      <w:r>
        <w:rPr>
          <w:spacing w:val="-5"/>
          <w:sz w:val="22"/>
        </w:rPr>
        <w:t> </w:t>
      </w:r>
      <w:r>
        <w:rPr>
          <w:sz w:val="22"/>
        </w:rPr>
        <w:t>below</w:t>
      </w:r>
      <w:r>
        <w:rPr>
          <w:spacing w:val="-5"/>
          <w:sz w:val="22"/>
        </w:rPr>
        <w:t> </w:t>
      </w:r>
      <w:r>
        <w:rPr>
          <w:sz w:val="22"/>
        </w:rPr>
        <w:t>100</w:t>
      </w:r>
      <w:r>
        <w:rPr>
          <w:spacing w:val="-6"/>
          <w:sz w:val="22"/>
        </w:rPr>
        <w:t> </w:t>
      </w:r>
      <w:r>
        <w:rPr>
          <w:sz w:val="22"/>
        </w:rPr>
        <w:t>per</w:t>
      </w:r>
      <w:r>
        <w:rPr>
          <w:spacing w:val="-5"/>
          <w:sz w:val="22"/>
        </w:rPr>
        <w:t> </w:t>
      </w:r>
      <w:r>
        <w:rPr>
          <w:sz w:val="22"/>
        </w:rPr>
        <w:t>cent.</w:t>
      </w:r>
    </w:p>
    <w:p>
      <w:pPr>
        <w:pStyle w:val="BodyText"/>
        <w:rPr>
          <w:sz w:val="20"/>
        </w:rPr>
      </w:pPr>
    </w:p>
    <w:p>
      <w:pPr>
        <w:pStyle w:val="BodyText"/>
        <w:rPr>
          <w:sz w:val="20"/>
        </w:rPr>
      </w:pPr>
    </w:p>
    <w:p>
      <w:pPr>
        <w:pStyle w:val="BodyText"/>
        <w:spacing w:before="1"/>
        <w:rPr>
          <w:sz w:val="26"/>
        </w:rPr>
      </w:pPr>
    </w:p>
    <w:p>
      <w:pPr>
        <w:tabs>
          <w:tab w:pos="12166" w:val="left" w:leader="none"/>
          <w:tab w:pos="12373" w:val="left" w:leader="none"/>
        </w:tabs>
        <w:spacing w:before="106"/>
        <w:ind w:left="765" w:right="0" w:firstLine="0"/>
        <w:jc w:val="left"/>
        <w:rPr>
          <w:b/>
          <w:sz w:val="16"/>
        </w:rPr>
      </w:pPr>
      <w:r>
        <w:rPr>
          <w:color w:val="939598"/>
          <w:w w:val="100"/>
          <w:sz w:val="16"/>
          <w:u w:val="single" w:color="939598"/>
        </w:rPr>
        <w:t> </w:t>
      </w:r>
      <w:r>
        <w:rPr>
          <w:color w:val="939598"/>
          <w:sz w:val="16"/>
          <w:u w:val="single" w:color="939598"/>
        </w:rPr>
        <w:tab/>
      </w:r>
      <w:r>
        <w:rPr>
          <w:color w:val="939598"/>
          <w:sz w:val="16"/>
        </w:rPr>
        <w:tab/>
        <w:t>Department of Finance Annual Report 2016-17</w:t>
      </w:r>
      <w:r>
        <w:rPr>
          <w:color w:val="939598"/>
          <w:spacing w:val="29"/>
          <w:sz w:val="16"/>
        </w:rPr>
        <w:t> </w:t>
      </w:r>
      <w:r>
        <w:rPr>
          <w:b/>
          <w:color w:val="6F2770"/>
          <w:sz w:val="16"/>
        </w:rPr>
        <w:t>103</w:t>
      </w:r>
    </w:p>
    <w:p>
      <w:pPr>
        <w:spacing w:after="0"/>
        <w:jc w:val="left"/>
        <w:rPr>
          <w:sz w:val="16"/>
        </w:rPr>
        <w:sectPr>
          <w:type w:val="continuous"/>
          <w:pgSz w:w="16840" w:h="11910" w:orient="landscape"/>
          <w:pgMar w:top="0" w:bottom="0" w:left="0" w:right="0"/>
        </w:sectPr>
      </w:pPr>
    </w:p>
    <w:p>
      <w:pPr>
        <w:pStyle w:val="BodyText"/>
        <w:spacing w:before="1"/>
        <w:rPr>
          <w:b/>
          <w:sz w:val="17"/>
        </w:rPr>
      </w:pPr>
    </w:p>
    <w:p>
      <w:pPr>
        <w:spacing w:before="106"/>
        <w:ind w:left="0" w:right="734" w:firstLine="0"/>
        <w:jc w:val="right"/>
        <w:rPr>
          <w:sz w:val="20"/>
        </w:rPr>
      </w:pPr>
      <w:r>
        <w:rPr/>
        <w:pict>
          <v:group style="position:absolute;margin-left:481.080994pt;margin-top:-10.120531pt;width:360.85pt;height:104.75pt;mso-position-horizontal-relative:page;mso-position-vertical-relative:paragraph;z-index:-776752" coordorigin="9622,-202" coordsize="7217,2095">
            <v:shape style="position:absolute;left:14419;top:-203;width:1455;height:1745" coordorigin="14419,-202" coordsize="1455,1745" path="m15219,-202l15194,-202,14935,-53,14901,-19,15219,-202m15356,-202l15331,-202,14748,134,14714,168,15356,-202m15492,-202l15467,-202,14562,321,14527,355,15492,-202m15629,-202l15604,-202,14419,482,14428,491,15629,-202m15766,-202l15741,-202,14469,532,14478,541,15766,-202m15874,1299l15470,1532,15479,1542,15874,1314,15874,1299m15874,1220l15420,1482,15429,1492,15874,1235,15874,1220m15874,1141l15370,1432,15379,1442,15874,1156,15874,1141m15874,1062l15320,1382,15329,1392,15874,1077,15874,1062m15874,983l15270,1332,15279,1341,15874,998,15874,983m15874,905l15220,1282,15229,1291,15874,919,15874,905m15874,826l15170,1232,15179,1241,15874,840,15874,826m15874,747l15120,1182,15129,1191,15874,761,15874,747m15874,668l15070,1132,15079,1141,15874,682,15874,668m15874,589l15020,1082,15029,1091,15874,603,15874,589m15874,431l14920,982,14929,991,15874,445,15874,431m15874,352l14870,932,14879,941,15874,367,15874,352m15874,273l14819,882,14829,891,15874,288,15874,273m15874,194l14769,832,14779,841,15874,209,15874,194m15874,115l14719,782,14729,791,15874,130,15874,115m15874,36l14669,732,14679,741,15874,51,15874,36m15874,-43l14619,682,14628,691,15874,-28,15874,-43m15874,-200l14519,582,14528,591,15874,-186,15874,-200m15874,510l14970,1032,14979,1041,15874,524,15874,510m15874,-121l14569,632,14578,641,15874,-107,15874,-121e" filled="true" fillcolor="#cdcccd" stroked="false">
              <v:path arrowok="t"/>
              <v:fill type="solid"/>
            </v:shape>
            <v:shape style="position:absolute;left:15520;top:1378;width:354;height:514" type="#_x0000_t75" stroked="false">
              <v:imagedata r:id="rId42" o:title=""/>
            </v:shape>
            <v:shape style="position:absolute;left:15874;top:-203;width:338;height:196" type="#_x0000_t75" stroked="false">
              <v:imagedata r:id="rId20" o:title=""/>
            </v:shape>
            <v:shape style="position:absolute;left:15874;top:-203;width:964;height:1932" coordorigin="15874,-202" coordsize="964,1932" path="m16349,-202l16339,-202,15874,66,15874,72,16349,-202m16378,1432l15874,1723,15874,1729,16365,1446,16378,1432m16486,-202l16476,-202,15874,145,15874,151,16486,-202m16565,1246l15874,1645,15874,1650,16551,1259,16565,1246m16622,-202l16612,-202,15874,224,15874,230,16622,-202m16699,-168l16695,-171,15874,303,15874,308,16699,-168m16749,-117l16745,-121,15874,382,15874,387,16749,-117m16752,1059l15874,1566,15874,1571,16738,1073,16752,1059m16799,-67l16795,-71,15874,461,15874,466,16799,-67m16838,930l15874,1487,15874,1492,16838,936,16838,930m16838,851l15874,1408,15874,1414,16838,857,16838,851m16838,772l15874,1329,15874,1335,16838,778,16838,772m16838,693l15874,1250,15874,1256,16838,699,16838,693m16838,615l15874,1171,15874,1177,16838,620,16838,615m16838,536l15874,1092,15874,1098,16838,541,16838,536m16838,457l15874,1013,15874,1019,16838,462,16838,457m16838,378l15874,934,15874,940,16838,384,16838,378m16838,299l15874,855,15874,861,16838,305,16838,299m16838,220l15874,776,15874,782,16838,226,16838,220m16838,141l15874,697,15874,703,16838,147,16838,141m16838,62l15874,618,15874,624,16838,68,16838,62m16838,-17l15874,539,15874,545,16838,-11,16838,-17e" filled="true" fillcolor="#cdcccd" stroked="false">
              <v:path arrowok="t"/>
              <v:fill type="solid"/>
            </v:shape>
            <v:shape style="position:absolute;left:15874;top:1619;width:318;height:269" type="#_x0000_t75" stroked="false">
              <v:imagedata r:id="rId158" o:title=""/>
            </v:shape>
            <v:shape style="position:absolute;left:13677;top:170;width:904;height:904" coordorigin="13677,170" coordsize="904,904" path="m14129,170l13677,622,14129,1073,14580,622,14129,170xe" filled="true" fillcolor="#ffffff" stroked="false">
              <v:path arrowok="t"/>
              <v:fill type="solid"/>
            </v:shape>
            <v:shape style="position:absolute;left:13225;top:621;width:904;height:904" coordorigin="13225,622" coordsize="904,904" path="m13677,622l13225,1073,13677,1525,14129,1073,13677,622xe" filled="true" fillcolor="#e8e9c9" stroked="false">
              <v:path arrowok="t"/>
              <v:fill type="solid"/>
            </v:shape>
            <v:shape style="position:absolute;left:11870;top:170;width:2710;height:904" coordorigin="11871,170" coordsize="2710,904" path="m12774,622l12322,170,11871,622,12322,1073,12774,622m14580,622l14129,170,13677,622,14129,1073,14580,622e" filled="true" fillcolor="#efeeeb" stroked="false">
              <v:path arrowok="t"/>
              <v:fill type="solid"/>
            </v:shape>
            <v:shape style="position:absolute;left:12773;top:170;width:904;height:904" coordorigin="12774,170" coordsize="904,904" path="m13225,170l12774,622,13225,1073,13677,622,13225,170xe" filled="true" fillcolor="#c0aac2" stroked="false">
              <v:path arrowok="t"/>
              <v:fill type="solid"/>
            </v:shape>
            <v:shape style="position:absolute;left:15424;top:873;width:900;height:904" coordorigin="15424,873" coordsize="900,904" path="m15874,873l15424,1323,15424,1326,15874,1776,16324,1326,16324,1323,15874,873xe" filled="true" fillcolor="#c4cd71" stroked="false">
              <v:path arrowok="t"/>
              <v:fill type="solid"/>
            </v:shape>
            <v:shape style="position:absolute;left:15422;top:1323;width:2;height:4" coordorigin="15423,1323" coordsize="2,4" path="m15424,1323l15423,1325,15424,1326,15424,1323xe" filled="true" fillcolor="#b9c369" stroked="false">
              <v:path arrowok="t"/>
              <v:fill type="solid"/>
            </v:shape>
            <v:shape style="position:absolute;left:16324;top:1323;width:2;height:4" coordorigin="16324,1323" coordsize="2,4" path="m16324,1323l16324,1326,16326,1325,16324,1323xe" filled="true" fillcolor="#bec29e" stroked="false">
              <v:path arrowok="t"/>
              <v:fill type="solid"/>
            </v:shape>
            <v:rect style="position:absolute;left:9621;top:-203;width:2406;height:851" filled="true" fillcolor="#bec85c" stroked="false">
              <v:fill type="solid"/>
            </v:rect>
            <v:rect style="position:absolute;left:12026;top:-203;width:2406;height:851" filled="true" fillcolor="#e6e7e8" stroked="false">
              <v:fill type="solid"/>
            </v:rect>
            <v:shape style="position:absolute;left:12026;top:-203;width:583;height:583" type="#_x0000_t75" stroked="false">
              <v:imagedata r:id="rId272" o:title=""/>
            </v:shape>
            <v:rect style="position:absolute;left:14432;top:-203;width:2406;height:851" filled="true" fillcolor="#aebd37" stroked="false">
              <v:fill type="solid"/>
            </v:rect>
            <v:line style="position:absolute" from="16838,-202" to="16838,648" stroked="true" strokeweight=".001pt" strokecolor="#aebd37">
              <v:stroke dashstyle="solid"/>
            </v:line>
            <v:shape style="position:absolute;left:15263;top:1164;width:161;height:322" type="#_x0000_t75" stroked="false">
              <v:imagedata r:id="rId16" o:title=""/>
            </v:shape>
            <v:shape style="position:absolute;left:16324;top:1163;width:161;height:322" type="#_x0000_t75" stroked="false">
              <v:imagedata r:id="rId11" o:title=""/>
            </v:shape>
            <w10:wrap type="none"/>
          </v:group>
        </w:pict>
      </w:r>
      <w:r>
        <w:rPr/>
        <w:pict>
          <v:group style="position:absolute;margin-left:0pt;margin-top:-10.120531pt;width:240.15pt;height:42.55pt;mso-position-horizontal-relative:page;mso-position-vertical-relative:paragraph;z-index:36952" coordorigin="0,-202" coordsize="4803,851">
            <v:rect style="position:absolute;left:0;top:-203;width:2406;height:851" filled="true" fillcolor="#aebd37" stroked="false">
              <v:fill type="solid"/>
            </v:rect>
            <v:shape style="position:absolute;left:0;top:-203;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shape style="position:absolute;left:2397;top:-203;width:2406;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w10:wrap type="none"/>
          </v:group>
        </w:pict>
      </w:r>
      <w:r>
        <w:rPr/>
        <w:pict>
          <v:shape style="position:absolute;margin-left:601.348999pt;margin-top:-10.120531pt;width:120.3pt;height:42.55pt;mso-position-horizontal-relative:page;mso-position-vertical-relative:paragraph;z-index:36976"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6F2770"/>
                        <w:sz w:val="20"/>
                      </w:rPr>
                      <w:t>DISCLOSURES</w:t>
                    </w:r>
                  </w:hyperlink>
                </w:p>
              </w:txbxContent>
            </v:textbox>
            <w10:wrap type="none"/>
          </v:shape>
        </w:pict>
      </w:r>
      <w:r>
        <w:rPr/>
        <w:pict>
          <v:shape style="position:absolute;margin-left:481.079498pt;margin-top:-10.120531pt;width:120.3pt;height:42.55pt;mso-position-horizontal-relative:page;mso-position-vertical-relative:paragraph;z-index:37000"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w:pict>
      </w:r>
      <w:r>
        <w:rPr/>
        <w:pict>
          <v:shape style="position:absolute;margin-left:360.796509pt;margin-top:-10.120531pt;width:120.3pt;height:42.55pt;mso-position-horizontal-relative:page;mso-position-vertical-relative:paragraph;z-index:37024"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pict>
          <v:shape style="position:absolute;margin-left:240.123001pt;margin-top:-10.120531pt;width:120.7pt;height:42.55pt;mso-position-horizontal-relative:page;mso-position-vertical-relative:paragraph;z-index:37048"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w:pict>
      </w:r>
      <w:bookmarkStart w:name="_bookmark68" w:id="70"/>
      <w:bookmarkEnd w:id="70"/>
      <w:r>
        <w:rPr/>
      </w:r>
      <w:hyperlink w:history="true" w:anchor="_bookmark73">
        <w:r>
          <w:rPr>
            <w:color w:val="FFFFFF"/>
            <w:w w:val="90"/>
            <w:sz w:val="20"/>
          </w:rPr>
          <w:t>APPENDIX</w:t>
        </w:r>
      </w:hyperlink>
    </w:p>
    <w:p>
      <w:pPr>
        <w:pStyle w:val="BodyText"/>
        <w:rPr>
          <w:sz w:val="20"/>
        </w:rPr>
      </w:pPr>
    </w:p>
    <w:p>
      <w:pPr>
        <w:pStyle w:val="BodyText"/>
        <w:rPr>
          <w:sz w:val="20"/>
        </w:rPr>
      </w:pPr>
    </w:p>
    <w:p>
      <w:pPr>
        <w:pStyle w:val="BodyText"/>
        <w:spacing w:before="8"/>
        <w:rPr>
          <w:sz w:val="21"/>
        </w:rPr>
      </w:pPr>
    </w:p>
    <w:p>
      <w:pPr>
        <w:spacing w:after="0"/>
        <w:rPr>
          <w:sz w:val="21"/>
        </w:rPr>
        <w:sectPr>
          <w:footerReference w:type="default" r:id="rId271"/>
          <w:pgSz w:w="16840" w:h="11910" w:orient="landscape"/>
          <w:pgMar w:footer="0" w:header="0" w:top="0" w:bottom="280" w:left="0" w:right="0"/>
        </w:sectPr>
      </w:pPr>
    </w:p>
    <w:p>
      <w:pPr>
        <w:pStyle w:val="Heading1"/>
        <w:spacing w:line="232" w:lineRule="auto" w:before="212"/>
        <w:ind w:right="29"/>
      </w:pPr>
      <w:r>
        <w:rPr>
          <w:color w:val="6F2770"/>
          <w:w w:val="85"/>
        </w:rPr>
        <w:t>Ministerial </w:t>
      </w:r>
      <w:r>
        <w:rPr>
          <w:color w:val="6F2770"/>
          <w:w w:val="90"/>
        </w:rPr>
        <w:t>Directives</w:t>
      </w:r>
    </w:p>
    <w:p>
      <w:pPr>
        <w:pStyle w:val="BodyText"/>
        <w:spacing w:line="249" w:lineRule="auto" w:before="212"/>
        <w:ind w:left="765" w:right="29"/>
      </w:pPr>
      <w:r>
        <w:rPr>
          <w:spacing w:val="-5"/>
        </w:rPr>
        <w:t>Treasurer’s</w:t>
      </w:r>
      <w:r>
        <w:rPr>
          <w:spacing w:val="-32"/>
        </w:rPr>
        <w:t> </w:t>
      </w:r>
      <w:r>
        <w:rPr/>
        <w:t>Instruction</w:t>
      </w:r>
      <w:r>
        <w:rPr>
          <w:spacing w:val="-32"/>
        </w:rPr>
        <w:t> </w:t>
      </w:r>
      <w:r>
        <w:rPr/>
        <w:t>903</w:t>
      </w:r>
      <w:r>
        <w:rPr>
          <w:spacing w:val="-31"/>
        </w:rPr>
        <w:t> </w:t>
      </w:r>
      <w:r>
        <w:rPr/>
        <w:t>(12)</w:t>
      </w:r>
      <w:r>
        <w:rPr>
          <w:spacing w:val="-32"/>
        </w:rPr>
        <w:t> </w:t>
      </w:r>
      <w:r>
        <w:rPr/>
        <w:t>requires</w:t>
      </w:r>
      <w:r>
        <w:rPr>
          <w:spacing w:val="-32"/>
        </w:rPr>
        <w:t> </w:t>
      </w:r>
      <w:r>
        <w:rPr>
          <w:spacing w:val="-6"/>
        </w:rPr>
        <w:t>the </w:t>
      </w:r>
      <w:r>
        <w:rPr/>
        <w:t>Department</w:t>
      </w:r>
      <w:r>
        <w:rPr>
          <w:spacing w:val="-19"/>
        </w:rPr>
        <w:t> </w:t>
      </w:r>
      <w:r>
        <w:rPr/>
        <w:t>to</w:t>
      </w:r>
      <w:r>
        <w:rPr>
          <w:spacing w:val="-19"/>
        </w:rPr>
        <w:t> </w:t>
      </w:r>
      <w:r>
        <w:rPr/>
        <w:t>disclose</w:t>
      </w:r>
      <w:r>
        <w:rPr>
          <w:spacing w:val="-18"/>
        </w:rPr>
        <w:t> </w:t>
      </w:r>
      <w:r>
        <w:rPr/>
        <w:t>information</w:t>
      </w:r>
      <w:r>
        <w:rPr>
          <w:spacing w:val="-19"/>
        </w:rPr>
        <w:t> </w:t>
      </w:r>
      <w:r>
        <w:rPr/>
        <w:t>on</w:t>
      </w:r>
      <w:r>
        <w:rPr>
          <w:spacing w:val="-18"/>
        </w:rPr>
        <w:t> </w:t>
      </w:r>
      <w:r>
        <w:rPr/>
        <w:t>any</w:t>
      </w:r>
    </w:p>
    <w:p>
      <w:pPr>
        <w:pStyle w:val="Heading1"/>
        <w:spacing w:line="232" w:lineRule="auto" w:before="212"/>
      </w:pPr>
      <w:r>
        <w:rPr/>
        <w:br w:type="column"/>
      </w:r>
      <w:r>
        <w:rPr>
          <w:color w:val="6F2770"/>
          <w:w w:val="90"/>
        </w:rPr>
        <w:t>Other Financial </w:t>
      </w:r>
      <w:r>
        <w:rPr>
          <w:color w:val="6F2770"/>
        </w:rPr>
        <w:t>Disclosures</w:t>
      </w:r>
    </w:p>
    <w:p>
      <w:pPr>
        <w:pStyle w:val="Heading4"/>
        <w:spacing w:before="111"/>
      </w:pPr>
      <w:r>
        <w:rPr>
          <w:color w:val="A7BE39"/>
        </w:rPr>
        <w:t>Pricing</w:t>
      </w:r>
      <w:r>
        <w:rPr>
          <w:color w:val="A7BE39"/>
          <w:spacing w:val="-46"/>
        </w:rPr>
        <w:t> </w:t>
      </w:r>
      <w:r>
        <w:rPr>
          <w:color w:val="A7BE39"/>
        </w:rPr>
        <w:t>policies</w:t>
      </w:r>
      <w:r>
        <w:rPr>
          <w:color w:val="A7BE39"/>
          <w:spacing w:val="-46"/>
        </w:rPr>
        <w:t> </w:t>
      </w:r>
      <w:r>
        <w:rPr>
          <w:color w:val="A7BE39"/>
        </w:rPr>
        <w:t>of</w:t>
      </w:r>
      <w:r>
        <w:rPr>
          <w:color w:val="A7BE39"/>
          <w:spacing w:val="-45"/>
        </w:rPr>
        <w:t> </w:t>
      </w:r>
      <w:r>
        <w:rPr>
          <w:color w:val="A7BE39"/>
        </w:rPr>
        <w:t>services</w:t>
      </w:r>
      <w:r>
        <w:rPr>
          <w:color w:val="A7BE39"/>
          <w:spacing w:val="-46"/>
        </w:rPr>
        <w:t> </w:t>
      </w:r>
      <w:r>
        <w:rPr>
          <w:color w:val="A7BE39"/>
        </w:rPr>
        <w:t>provided</w:t>
      </w:r>
    </w:p>
    <w:p>
      <w:pPr>
        <w:spacing w:line="208" w:lineRule="auto" w:before="124"/>
        <w:ind w:left="765" w:right="672" w:firstLine="0"/>
        <w:jc w:val="center"/>
        <w:rPr>
          <w:sz w:val="16"/>
        </w:rPr>
      </w:pPr>
      <w:r>
        <w:rPr/>
        <w:br w:type="column"/>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3" w:equalWidth="0">
            <w:col w:w="4874" w:space="370"/>
            <w:col w:w="6308" w:space="3268"/>
            <w:col w:w="2020"/>
          </w:cols>
        </w:sectPr>
      </w:pPr>
    </w:p>
    <w:p>
      <w:pPr>
        <w:pStyle w:val="BodyText"/>
        <w:spacing w:line="249" w:lineRule="auto" w:before="2"/>
        <w:ind w:left="765" w:right="32"/>
      </w:pPr>
      <w:r>
        <w:rPr/>
        <w:t>ministerial directives relevant to the setting or achievement</w:t>
      </w:r>
      <w:r>
        <w:rPr>
          <w:spacing w:val="-29"/>
        </w:rPr>
        <w:t> </w:t>
      </w:r>
      <w:r>
        <w:rPr/>
        <w:t>of</w:t>
      </w:r>
      <w:r>
        <w:rPr>
          <w:spacing w:val="-29"/>
        </w:rPr>
        <w:t> </w:t>
      </w:r>
      <w:r>
        <w:rPr/>
        <w:t>desired</w:t>
      </w:r>
      <w:r>
        <w:rPr>
          <w:spacing w:val="-28"/>
        </w:rPr>
        <w:t> </w:t>
      </w:r>
      <w:r>
        <w:rPr/>
        <w:t>outcomes</w:t>
      </w:r>
      <w:r>
        <w:rPr>
          <w:spacing w:val="-29"/>
        </w:rPr>
        <w:t> </w:t>
      </w:r>
      <w:r>
        <w:rPr/>
        <w:t>or</w:t>
      </w:r>
      <w:r>
        <w:rPr>
          <w:spacing w:val="-28"/>
        </w:rPr>
        <w:t> </w:t>
      </w:r>
      <w:r>
        <w:rPr/>
        <w:t>operational objectives, investment activities, and financing activities.</w:t>
      </w:r>
    </w:p>
    <w:p>
      <w:pPr>
        <w:pStyle w:val="BodyText"/>
        <w:spacing w:before="3"/>
        <w:rPr>
          <w:sz w:val="23"/>
        </w:rPr>
      </w:pPr>
    </w:p>
    <w:p>
      <w:pPr>
        <w:pStyle w:val="BodyText"/>
        <w:spacing w:line="249" w:lineRule="auto"/>
        <w:ind w:left="765" w:right="-10"/>
      </w:pPr>
      <w:r>
        <w:rPr/>
        <w:t>No</w:t>
      </w:r>
      <w:r>
        <w:rPr>
          <w:spacing w:val="-30"/>
        </w:rPr>
        <w:t> </w:t>
      </w:r>
      <w:r>
        <w:rPr/>
        <w:t>ministerial</w:t>
      </w:r>
      <w:r>
        <w:rPr>
          <w:spacing w:val="-29"/>
        </w:rPr>
        <w:t> </w:t>
      </w:r>
      <w:r>
        <w:rPr/>
        <w:t>directives</w:t>
      </w:r>
      <w:r>
        <w:rPr>
          <w:spacing w:val="-30"/>
        </w:rPr>
        <w:t> </w:t>
      </w:r>
      <w:r>
        <w:rPr/>
        <w:t>were</w:t>
      </w:r>
      <w:r>
        <w:rPr>
          <w:spacing w:val="-29"/>
        </w:rPr>
        <w:t> </w:t>
      </w:r>
      <w:r>
        <w:rPr/>
        <w:t>received</w:t>
      </w:r>
      <w:r>
        <w:rPr>
          <w:spacing w:val="-30"/>
        </w:rPr>
        <w:t> </w:t>
      </w:r>
      <w:r>
        <w:rPr/>
        <w:t>during</w:t>
      </w:r>
      <w:r>
        <w:rPr>
          <w:spacing w:val="-29"/>
        </w:rPr>
        <w:t> </w:t>
      </w:r>
      <w:r>
        <w:rPr>
          <w:spacing w:val="-7"/>
        </w:rPr>
        <w:t>the </w:t>
      </w:r>
      <w:r>
        <w:rPr/>
        <w:t>financial</w:t>
      </w:r>
      <w:r>
        <w:rPr>
          <w:spacing w:val="-2"/>
        </w:rPr>
        <w:t> </w:t>
      </w:r>
      <w:r>
        <w:rPr>
          <w:spacing w:val="-5"/>
        </w:rPr>
        <w:t>year.</w:t>
      </w:r>
    </w:p>
    <w:p>
      <w:pPr>
        <w:pStyle w:val="BodyText"/>
        <w:spacing w:line="249" w:lineRule="auto" w:before="32"/>
        <w:ind w:left="598" w:right="796"/>
      </w:pPr>
      <w:r>
        <w:rPr/>
        <w:br w:type="column"/>
      </w:r>
      <w:r>
        <w:rPr/>
        <w:t>The</w:t>
      </w:r>
      <w:r>
        <w:rPr>
          <w:spacing w:val="-17"/>
        </w:rPr>
        <w:t> </w:t>
      </w:r>
      <w:r>
        <w:rPr>
          <w:spacing w:val="-3"/>
        </w:rPr>
        <w:t>Department’s</w:t>
      </w:r>
      <w:r>
        <w:rPr>
          <w:spacing w:val="-17"/>
        </w:rPr>
        <w:t> </w:t>
      </w:r>
      <w:r>
        <w:rPr/>
        <w:t>fees</w:t>
      </w:r>
      <w:r>
        <w:rPr>
          <w:spacing w:val="-17"/>
        </w:rPr>
        <w:t> </w:t>
      </w:r>
      <w:r>
        <w:rPr/>
        <w:t>and</w:t>
      </w:r>
      <w:r>
        <w:rPr>
          <w:spacing w:val="-17"/>
        </w:rPr>
        <w:t> </w:t>
      </w:r>
      <w:r>
        <w:rPr/>
        <w:t>charges</w:t>
      </w:r>
      <w:r>
        <w:rPr>
          <w:spacing w:val="-16"/>
        </w:rPr>
        <w:t> </w:t>
      </w:r>
      <w:r>
        <w:rPr/>
        <w:t>were</w:t>
      </w:r>
      <w:r>
        <w:rPr>
          <w:spacing w:val="-17"/>
        </w:rPr>
        <w:t> </w:t>
      </w:r>
      <w:r>
        <w:rPr/>
        <w:t>reviewed</w:t>
      </w:r>
      <w:r>
        <w:rPr>
          <w:spacing w:val="-17"/>
        </w:rPr>
        <w:t> </w:t>
      </w:r>
      <w:r>
        <w:rPr/>
        <w:t>in</w:t>
      </w:r>
      <w:r>
        <w:rPr>
          <w:spacing w:val="-17"/>
        </w:rPr>
        <w:t> </w:t>
      </w:r>
      <w:r>
        <w:rPr/>
        <w:t>2016-17</w:t>
      </w:r>
      <w:r>
        <w:rPr>
          <w:spacing w:val="-16"/>
        </w:rPr>
        <w:t> </w:t>
      </w:r>
      <w:r>
        <w:rPr/>
        <w:t>in</w:t>
      </w:r>
      <w:r>
        <w:rPr>
          <w:spacing w:val="-17"/>
        </w:rPr>
        <w:t> </w:t>
      </w:r>
      <w:r>
        <w:rPr/>
        <w:t>accordance</w:t>
      </w:r>
      <w:r>
        <w:rPr>
          <w:spacing w:val="-17"/>
        </w:rPr>
        <w:t> </w:t>
      </w:r>
      <w:r>
        <w:rPr/>
        <w:t>with</w:t>
      </w:r>
      <w:r>
        <w:rPr>
          <w:spacing w:val="-17"/>
        </w:rPr>
        <w:t> </w:t>
      </w:r>
      <w:r>
        <w:rPr/>
        <w:t>the</w:t>
      </w:r>
      <w:r>
        <w:rPr>
          <w:spacing w:val="-17"/>
        </w:rPr>
        <w:t> </w:t>
      </w:r>
      <w:r>
        <w:rPr/>
        <w:t>State</w:t>
      </w:r>
      <w:r>
        <w:rPr>
          <w:spacing w:val="-16"/>
        </w:rPr>
        <w:t> </w:t>
      </w:r>
      <w:r>
        <w:rPr>
          <w:spacing w:val="-4"/>
        </w:rPr>
        <w:t>Government’s </w:t>
      </w:r>
      <w:r>
        <w:rPr>
          <w:spacing w:val="-3"/>
        </w:rPr>
        <w:t>policy.</w:t>
      </w:r>
      <w:r>
        <w:rPr>
          <w:spacing w:val="-15"/>
        </w:rPr>
        <w:t> </w:t>
      </w:r>
      <w:r>
        <w:rPr/>
        <w:t>Increases</w:t>
      </w:r>
      <w:r>
        <w:rPr>
          <w:spacing w:val="-14"/>
        </w:rPr>
        <w:t> </w:t>
      </w:r>
      <w:r>
        <w:rPr/>
        <w:t>were</w:t>
      </w:r>
      <w:r>
        <w:rPr>
          <w:spacing w:val="-14"/>
        </w:rPr>
        <w:t> </w:t>
      </w:r>
      <w:r>
        <w:rPr/>
        <w:t>limited</w:t>
      </w:r>
      <w:r>
        <w:rPr>
          <w:spacing w:val="-14"/>
        </w:rPr>
        <w:t> </w:t>
      </w:r>
      <w:r>
        <w:rPr/>
        <w:t>to</w:t>
      </w:r>
      <w:r>
        <w:rPr>
          <w:spacing w:val="-15"/>
        </w:rPr>
        <w:t> </w:t>
      </w:r>
      <w:r>
        <w:rPr/>
        <w:t>the</w:t>
      </w:r>
      <w:r>
        <w:rPr>
          <w:spacing w:val="-14"/>
        </w:rPr>
        <w:t> </w:t>
      </w:r>
      <w:r>
        <w:rPr/>
        <w:t>Consumer</w:t>
      </w:r>
      <w:r>
        <w:rPr>
          <w:spacing w:val="-14"/>
        </w:rPr>
        <w:t> </w:t>
      </w:r>
      <w:r>
        <w:rPr/>
        <w:t>Price</w:t>
      </w:r>
      <w:r>
        <w:rPr>
          <w:spacing w:val="-14"/>
        </w:rPr>
        <w:t> </w:t>
      </w:r>
      <w:r>
        <w:rPr/>
        <w:t>Index</w:t>
      </w:r>
      <w:r>
        <w:rPr>
          <w:spacing w:val="-15"/>
        </w:rPr>
        <w:t> </w:t>
      </w:r>
      <w:r>
        <w:rPr/>
        <w:t>as</w:t>
      </w:r>
      <w:r>
        <w:rPr>
          <w:spacing w:val="-14"/>
        </w:rPr>
        <w:t> </w:t>
      </w:r>
      <w:r>
        <w:rPr/>
        <w:t>advised</w:t>
      </w:r>
      <w:r>
        <w:rPr>
          <w:spacing w:val="-14"/>
        </w:rPr>
        <w:t> </w:t>
      </w:r>
      <w:r>
        <w:rPr/>
        <w:t>by</w:t>
      </w:r>
      <w:r>
        <w:rPr>
          <w:spacing w:val="-14"/>
        </w:rPr>
        <w:t> </w:t>
      </w:r>
      <w:r>
        <w:rPr/>
        <w:t>the</w:t>
      </w:r>
      <w:r>
        <w:rPr>
          <w:spacing w:val="-15"/>
        </w:rPr>
        <w:t> </w:t>
      </w:r>
      <w:r>
        <w:rPr/>
        <w:t>Department</w:t>
      </w:r>
      <w:r>
        <w:rPr>
          <w:spacing w:val="-14"/>
        </w:rPr>
        <w:t> </w:t>
      </w:r>
      <w:r>
        <w:rPr/>
        <w:t>of</w:t>
      </w:r>
      <w:r>
        <w:rPr>
          <w:spacing w:val="-14"/>
        </w:rPr>
        <w:t> </w:t>
      </w:r>
      <w:r>
        <w:rPr>
          <w:spacing w:val="-6"/>
        </w:rPr>
        <w:t>Treasury.</w:t>
      </w:r>
    </w:p>
    <w:p>
      <w:pPr>
        <w:pStyle w:val="BodyText"/>
        <w:spacing w:before="2"/>
        <w:rPr>
          <w:sz w:val="23"/>
        </w:rPr>
      </w:pPr>
    </w:p>
    <w:p>
      <w:pPr>
        <w:pStyle w:val="BodyText"/>
        <w:ind w:left="598"/>
      </w:pPr>
      <w:r>
        <w:rPr/>
        <w:t>Where possible, full cost-recovery was sought pursuant to the Department’s policy for fees and charges.</w:t>
      </w:r>
    </w:p>
    <w:p>
      <w:pPr>
        <w:pStyle w:val="BodyText"/>
        <w:spacing w:before="10"/>
        <w:rPr>
          <w:sz w:val="23"/>
        </w:rPr>
      </w:pPr>
    </w:p>
    <w:p>
      <w:pPr>
        <w:pStyle w:val="BodyText"/>
        <w:spacing w:line="249" w:lineRule="auto"/>
        <w:ind w:left="598" w:right="1578"/>
      </w:pPr>
      <w:r>
        <w:rPr/>
        <w:t>Aside</w:t>
      </w:r>
      <w:r>
        <w:rPr>
          <w:spacing w:val="-17"/>
        </w:rPr>
        <w:t> </w:t>
      </w:r>
      <w:r>
        <w:rPr/>
        <w:t>from</w:t>
      </w:r>
      <w:r>
        <w:rPr>
          <w:spacing w:val="-17"/>
        </w:rPr>
        <w:t> </w:t>
      </w:r>
      <w:r>
        <w:rPr/>
        <w:t>the</w:t>
      </w:r>
      <w:r>
        <w:rPr>
          <w:spacing w:val="-16"/>
        </w:rPr>
        <w:t> </w:t>
      </w:r>
      <w:r>
        <w:rPr>
          <w:spacing w:val="-3"/>
        </w:rPr>
        <w:t>Department’s</w:t>
      </w:r>
      <w:r>
        <w:rPr>
          <w:spacing w:val="-17"/>
        </w:rPr>
        <w:t> </w:t>
      </w:r>
      <w:r>
        <w:rPr/>
        <w:t>retained</w:t>
      </w:r>
      <w:r>
        <w:rPr>
          <w:spacing w:val="-17"/>
        </w:rPr>
        <w:t> </w:t>
      </w:r>
      <w:r>
        <w:rPr/>
        <w:t>fees</w:t>
      </w:r>
      <w:r>
        <w:rPr>
          <w:spacing w:val="-16"/>
        </w:rPr>
        <w:t> </w:t>
      </w:r>
      <w:r>
        <w:rPr/>
        <w:t>and</w:t>
      </w:r>
      <w:r>
        <w:rPr>
          <w:spacing w:val="-17"/>
        </w:rPr>
        <w:t> </w:t>
      </w:r>
      <w:r>
        <w:rPr/>
        <w:t>charges,</w:t>
      </w:r>
      <w:r>
        <w:rPr>
          <w:spacing w:val="-17"/>
        </w:rPr>
        <w:t> </w:t>
      </w:r>
      <w:r>
        <w:rPr/>
        <w:t>the</w:t>
      </w:r>
      <w:r>
        <w:rPr>
          <w:spacing w:val="-16"/>
        </w:rPr>
        <w:t> </w:t>
      </w:r>
      <w:r>
        <w:rPr/>
        <w:t>Department</w:t>
      </w:r>
      <w:r>
        <w:rPr>
          <w:spacing w:val="-17"/>
        </w:rPr>
        <w:t> </w:t>
      </w:r>
      <w:r>
        <w:rPr/>
        <w:t>collects</w:t>
      </w:r>
      <w:r>
        <w:rPr>
          <w:spacing w:val="-16"/>
        </w:rPr>
        <w:t> </w:t>
      </w:r>
      <w:r>
        <w:rPr/>
        <w:t>a</w:t>
      </w:r>
      <w:r>
        <w:rPr>
          <w:spacing w:val="-17"/>
        </w:rPr>
        <w:t> </w:t>
      </w:r>
      <w:r>
        <w:rPr/>
        <w:t>range</w:t>
      </w:r>
      <w:r>
        <w:rPr>
          <w:spacing w:val="-17"/>
        </w:rPr>
        <w:t> </w:t>
      </w:r>
      <w:r>
        <w:rPr/>
        <w:t>of</w:t>
      </w:r>
      <w:r>
        <w:rPr>
          <w:spacing w:val="-16"/>
        </w:rPr>
        <w:t> </w:t>
      </w:r>
      <w:r>
        <w:rPr/>
        <w:t>State Government</w:t>
      </w:r>
      <w:r>
        <w:rPr>
          <w:spacing w:val="-20"/>
        </w:rPr>
        <w:t> </w:t>
      </w:r>
      <w:r>
        <w:rPr/>
        <w:t>and</w:t>
      </w:r>
      <w:r>
        <w:rPr>
          <w:spacing w:val="-20"/>
        </w:rPr>
        <w:t> </w:t>
      </w:r>
      <w:r>
        <w:rPr/>
        <w:t>other</w:t>
      </w:r>
      <w:r>
        <w:rPr>
          <w:spacing w:val="-19"/>
        </w:rPr>
        <w:t> </w:t>
      </w:r>
      <w:r>
        <w:rPr/>
        <w:t>agencies’</w:t>
      </w:r>
      <w:r>
        <w:rPr>
          <w:spacing w:val="-20"/>
        </w:rPr>
        <w:t> </w:t>
      </w:r>
      <w:r>
        <w:rPr/>
        <w:t>fees</w:t>
      </w:r>
      <w:r>
        <w:rPr>
          <w:spacing w:val="-20"/>
        </w:rPr>
        <w:t> </w:t>
      </w:r>
      <w:r>
        <w:rPr/>
        <w:t>and</w:t>
      </w:r>
      <w:r>
        <w:rPr>
          <w:spacing w:val="-19"/>
        </w:rPr>
        <w:t> </w:t>
      </w:r>
      <w:r>
        <w:rPr/>
        <w:t>taxes</w:t>
      </w:r>
      <w:r>
        <w:rPr>
          <w:spacing w:val="-20"/>
        </w:rPr>
        <w:t> </w:t>
      </w:r>
      <w:r>
        <w:rPr/>
        <w:t>on</w:t>
      </w:r>
      <w:r>
        <w:rPr>
          <w:spacing w:val="-19"/>
        </w:rPr>
        <w:t> </w:t>
      </w:r>
      <w:r>
        <w:rPr/>
        <w:t>their</w:t>
      </w:r>
      <w:r>
        <w:rPr>
          <w:spacing w:val="-20"/>
        </w:rPr>
        <w:t> </w:t>
      </w:r>
      <w:r>
        <w:rPr/>
        <w:t>behalf,</w:t>
      </w:r>
      <w:r>
        <w:rPr>
          <w:spacing w:val="-20"/>
        </w:rPr>
        <w:t> </w:t>
      </w:r>
      <w:r>
        <w:rPr/>
        <w:t>which</w:t>
      </w:r>
      <w:r>
        <w:rPr>
          <w:spacing w:val="-19"/>
        </w:rPr>
        <w:t> </w:t>
      </w:r>
      <w:r>
        <w:rPr/>
        <w:t>are</w:t>
      </w:r>
      <w:r>
        <w:rPr>
          <w:spacing w:val="-20"/>
        </w:rPr>
        <w:t> </w:t>
      </w:r>
      <w:r>
        <w:rPr/>
        <w:t>covered</w:t>
      </w:r>
      <w:r>
        <w:rPr>
          <w:spacing w:val="-19"/>
        </w:rPr>
        <w:t> </w:t>
      </w:r>
      <w:r>
        <w:rPr/>
        <w:t>by</w:t>
      </w:r>
      <w:r>
        <w:rPr>
          <w:spacing w:val="-20"/>
        </w:rPr>
        <w:t> </w:t>
      </w:r>
      <w:r>
        <w:rPr/>
        <w:t>the</w:t>
      </w:r>
      <w:r>
        <w:rPr>
          <w:spacing w:val="-20"/>
        </w:rPr>
        <w:t> </w:t>
      </w:r>
      <w:r>
        <w:rPr>
          <w:spacing w:val="-3"/>
        </w:rPr>
        <w:t>relevant </w:t>
      </w:r>
      <w:r>
        <w:rPr/>
        <w:t>agencies’ pricing policies and approval</w:t>
      </w:r>
      <w:r>
        <w:rPr>
          <w:spacing w:val="-9"/>
        </w:rPr>
        <w:t> </w:t>
      </w:r>
      <w:r>
        <w:rPr/>
        <w:t>processes.</w:t>
      </w:r>
    </w:p>
    <w:p>
      <w:pPr>
        <w:pStyle w:val="BodyText"/>
        <w:spacing w:before="4"/>
        <w:rPr>
          <w:sz w:val="26"/>
        </w:rPr>
      </w:pPr>
    </w:p>
    <w:p>
      <w:pPr>
        <w:pStyle w:val="Heading4"/>
        <w:spacing w:before="1"/>
        <w:ind w:left="598"/>
      </w:pPr>
      <w:r>
        <w:rPr>
          <w:color w:val="A7BE39"/>
        </w:rPr>
        <w:t>Capital works</w:t>
      </w:r>
    </w:p>
    <w:p>
      <w:pPr>
        <w:pStyle w:val="BodyText"/>
        <w:spacing w:line="249" w:lineRule="auto" w:before="245"/>
        <w:ind w:left="598" w:right="1255"/>
      </w:pPr>
      <w:r>
        <w:rPr/>
        <w:t>In</w:t>
      </w:r>
      <w:r>
        <w:rPr>
          <w:spacing w:val="-16"/>
        </w:rPr>
        <w:t> </w:t>
      </w:r>
      <w:r>
        <w:rPr/>
        <w:t>2016-17,</w:t>
      </w:r>
      <w:r>
        <w:rPr>
          <w:spacing w:val="-15"/>
        </w:rPr>
        <w:t> </w:t>
      </w:r>
      <w:r>
        <w:rPr/>
        <w:t>$132</w:t>
      </w:r>
      <w:r>
        <w:rPr>
          <w:spacing w:val="-15"/>
        </w:rPr>
        <w:t> </w:t>
      </w:r>
      <w:r>
        <w:rPr/>
        <w:t>million</w:t>
      </w:r>
      <w:r>
        <w:rPr>
          <w:spacing w:val="-15"/>
        </w:rPr>
        <w:t> </w:t>
      </w:r>
      <w:r>
        <w:rPr/>
        <w:t>in</w:t>
      </w:r>
      <w:r>
        <w:rPr>
          <w:spacing w:val="-15"/>
        </w:rPr>
        <w:t> </w:t>
      </w:r>
      <w:r>
        <w:rPr/>
        <w:t>total</w:t>
      </w:r>
      <w:r>
        <w:rPr>
          <w:spacing w:val="-15"/>
        </w:rPr>
        <w:t> </w:t>
      </w:r>
      <w:r>
        <w:rPr/>
        <w:t>was</w:t>
      </w:r>
      <w:r>
        <w:rPr>
          <w:spacing w:val="-15"/>
        </w:rPr>
        <w:t> </w:t>
      </w:r>
      <w:r>
        <w:rPr/>
        <w:t>spent</w:t>
      </w:r>
      <w:r>
        <w:rPr>
          <w:spacing w:val="-16"/>
        </w:rPr>
        <w:t> </w:t>
      </w:r>
      <w:r>
        <w:rPr/>
        <w:t>on</w:t>
      </w:r>
      <w:r>
        <w:rPr>
          <w:spacing w:val="-15"/>
        </w:rPr>
        <w:t> </w:t>
      </w:r>
      <w:r>
        <w:rPr/>
        <w:t>capital</w:t>
      </w:r>
      <w:r>
        <w:rPr>
          <w:spacing w:val="-15"/>
        </w:rPr>
        <w:t> </w:t>
      </w:r>
      <w:r>
        <w:rPr/>
        <w:t>investments</w:t>
      </w:r>
      <w:r>
        <w:rPr>
          <w:spacing w:val="-15"/>
        </w:rPr>
        <w:t> </w:t>
      </w:r>
      <w:r>
        <w:rPr/>
        <w:t>by</w:t>
      </w:r>
      <w:r>
        <w:rPr>
          <w:spacing w:val="-15"/>
        </w:rPr>
        <w:t> </w:t>
      </w:r>
      <w:r>
        <w:rPr/>
        <w:t>the</w:t>
      </w:r>
      <w:r>
        <w:rPr>
          <w:spacing w:val="-15"/>
        </w:rPr>
        <w:t> </w:t>
      </w:r>
      <w:r>
        <w:rPr/>
        <w:t>Department.</w:t>
      </w:r>
      <w:r>
        <w:rPr>
          <w:spacing w:val="-15"/>
        </w:rPr>
        <w:t> </w:t>
      </w:r>
      <w:r>
        <w:rPr/>
        <w:t>The</w:t>
      </w:r>
      <w:r>
        <w:rPr>
          <w:spacing w:val="-16"/>
        </w:rPr>
        <w:t> </w:t>
      </w:r>
      <w:r>
        <w:rPr/>
        <w:t>key</w:t>
      </w:r>
      <w:r>
        <w:rPr>
          <w:spacing w:val="-15"/>
        </w:rPr>
        <w:t> </w:t>
      </w:r>
      <w:r>
        <w:rPr>
          <w:spacing w:val="-3"/>
        </w:rPr>
        <w:t>capital </w:t>
      </w:r>
      <w:r>
        <w:rPr/>
        <w:t>projects included in this figure are detailed in the table</w:t>
      </w:r>
      <w:r>
        <w:rPr>
          <w:spacing w:val="-27"/>
        </w:rPr>
        <w:t> </w:t>
      </w:r>
      <w:r>
        <w:rPr/>
        <w:t>below:</w:t>
      </w:r>
    </w:p>
    <w:p>
      <w:pPr>
        <w:spacing w:after="0" w:line="249" w:lineRule="auto"/>
        <w:sectPr>
          <w:type w:val="continuous"/>
          <w:pgSz w:w="16840" w:h="11910" w:orient="landscape"/>
          <w:pgMar w:top="0" w:bottom="0" w:left="0" w:right="0"/>
          <w:cols w:num="2" w:equalWidth="0">
            <w:col w:w="5371" w:space="40"/>
            <w:col w:w="11429"/>
          </w:cols>
        </w:sectPr>
      </w:pPr>
    </w:p>
    <w:p>
      <w:pPr>
        <w:pStyle w:val="BodyText"/>
        <w:spacing w:before="8"/>
        <w:rPr>
          <w:sz w:val="28"/>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37"/>
        <w:gridCol w:w="1474"/>
        <w:gridCol w:w="1474"/>
        <w:gridCol w:w="1474"/>
        <w:gridCol w:w="1474"/>
        <w:gridCol w:w="1474"/>
      </w:tblGrid>
      <w:tr>
        <w:trPr>
          <w:trHeight w:val="989" w:hRule="atLeast"/>
        </w:trPr>
        <w:tc>
          <w:tcPr>
            <w:tcW w:w="7937" w:type="dxa"/>
            <w:tcBorders>
              <w:left w:val="single" w:sz="8" w:space="0" w:color="FFFFFF"/>
            </w:tcBorders>
            <w:shd w:val="clear" w:color="auto" w:fill="783A79"/>
          </w:tcPr>
          <w:p>
            <w:pPr>
              <w:pStyle w:val="TableParagraph"/>
              <w:spacing w:before="42"/>
              <w:ind w:left="113"/>
              <w:rPr>
                <w:b/>
                <w:sz w:val="19"/>
              </w:rPr>
            </w:pPr>
            <w:r>
              <w:rPr>
                <w:b/>
                <w:color w:val="FFFFFF"/>
                <w:sz w:val="19"/>
              </w:rPr>
              <w:t>Project</w:t>
            </w:r>
          </w:p>
        </w:tc>
        <w:tc>
          <w:tcPr>
            <w:tcW w:w="1474" w:type="dxa"/>
            <w:shd w:val="clear" w:color="auto" w:fill="783A79"/>
          </w:tcPr>
          <w:p>
            <w:pPr>
              <w:pStyle w:val="TableParagraph"/>
              <w:spacing w:line="249" w:lineRule="auto" w:before="42"/>
              <w:ind w:left="354" w:right="86" w:firstLine="164"/>
              <w:rPr>
                <w:b/>
                <w:sz w:val="19"/>
              </w:rPr>
            </w:pPr>
            <w:r>
              <w:rPr>
                <w:b/>
                <w:color w:val="FFFFFF"/>
                <w:sz w:val="19"/>
              </w:rPr>
              <w:t>Expected completion</w:t>
            </w:r>
          </w:p>
          <w:p>
            <w:pPr>
              <w:pStyle w:val="TableParagraph"/>
              <w:spacing w:before="2"/>
              <w:ind w:left="969"/>
              <w:rPr>
                <w:b/>
                <w:sz w:val="19"/>
              </w:rPr>
            </w:pPr>
            <w:r>
              <w:rPr>
                <w:b/>
                <w:color w:val="FFFFFF"/>
                <w:w w:val="105"/>
                <w:sz w:val="19"/>
              </w:rPr>
              <w:t>date</w:t>
            </w:r>
          </w:p>
        </w:tc>
        <w:tc>
          <w:tcPr>
            <w:tcW w:w="1474" w:type="dxa"/>
            <w:shd w:val="clear" w:color="auto" w:fill="783A79"/>
          </w:tcPr>
          <w:p>
            <w:pPr>
              <w:pStyle w:val="TableParagraph"/>
              <w:spacing w:line="249" w:lineRule="auto" w:before="42"/>
              <w:ind w:left="297" w:right="91" w:firstLine="496"/>
              <w:rPr>
                <w:b/>
                <w:sz w:val="19"/>
              </w:rPr>
            </w:pPr>
            <w:r>
              <w:rPr>
                <w:b/>
                <w:color w:val="FFFFFF"/>
                <w:w w:val="95"/>
                <w:sz w:val="19"/>
              </w:rPr>
              <w:t>Actual </w:t>
            </w:r>
            <w:r>
              <w:rPr>
                <w:b/>
                <w:color w:val="FFFFFF"/>
                <w:spacing w:val="-1"/>
                <w:sz w:val="19"/>
              </w:rPr>
              <w:t>expenditure</w:t>
            </w:r>
          </w:p>
          <w:p>
            <w:pPr>
              <w:pStyle w:val="TableParagraph"/>
              <w:spacing w:before="2"/>
              <w:ind w:left="659"/>
              <w:rPr>
                <w:b/>
                <w:sz w:val="19"/>
              </w:rPr>
            </w:pPr>
            <w:r>
              <w:rPr>
                <w:b/>
                <w:color w:val="FFFFFF"/>
                <w:sz w:val="19"/>
              </w:rPr>
              <w:t>2016-17</w:t>
            </w:r>
          </w:p>
          <w:p>
            <w:pPr>
              <w:pStyle w:val="TableParagraph"/>
              <w:spacing w:before="9"/>
              <w:ind w:left="948"/>
              <w:rPr>
                <w:b/>
                <w:sz w:val="19"/>
              </w:rPr>
            </w:pPr>
            <w:r>
              <w:rPr>
                <w:b/>
                <w:color w:val="FFFFFF"/>
                <w:sz w:val="19"/>
              </w:rPr>
              <w:t>$000</w:t>
            </w:r>
          </w:p>
        </w:tc>
        <w:tc>
          <w:tcPr>
            <w:tcW w:w="1474" w:type="dxa"/>
            <w:shd w:val="clear" w:color="auto" w:fill="783A79"/>
          </w:tcPr>
          <w:p>
            <w:pPr>
              <w:pStyle w:val="TableParagraph"/>
              <w:spacing w:line="249" w:lineRule="auto" w:before="42"/>
              <w:ind w:left="297" w:right="91" w:firstLine="496"/>
              <w:rPr>
                <w:b/>
                <w:sz w:val="19"/>
              </w:rPr>
            </w:pPr>
            <w:r>
              <w:rPr>
                <w:b/>
                <w:color w:val="FFFFFF"/>
                <w:w w:val="95"/>
                <w:sz w:val="19"/>
              </w:rPr>
              <w:t>Actual </w:t>
            </w:r>
            <w:r>
              <w:rPr>
                <w:b/>
                <w:color w:val="FFFFFF"/>
                <w:spacing w:val="-1"/>
                <w:sz w:val="19"/>
              </w:rPr>
              <w:t>expenditure</w:t>
            </w:r>
          </w:p>
          <w:p>
            <w:pPr>
              <w:pStyle w:val="TableParagraph"/>
              <w:spacing w:before="2"/>
              <w:ind w:left="659"/>
              <w:rPr>
                <w:b/>
                <w:sz w:val="19"/>
              </w:rPr>
            </w:pPr>
            <w:r>
              <w:rPr>
                <w:b/>
                <w:color w:val="FFFFFF"/>
                <w:sz w:val="19"/>
              </w:rPr>
              <w:t>2015-16</w:t>
            </w:r>
          </w:p>
          <w:p>
            <w:pPr>
              <w:pStyle w:val="TableParagraph"/>
              <w:spacing w:before="9"/>
              <w:ind w:left="948"/>
              <w:rPr>
                <w:b/>
                <w:sz w:val="19"/>
              </w:rPr>
            </w:pPr>
            <w:r>
              <w:rPr>
                <w:b/>
                <w:color w:val="FFFFFF"/>
                <w:sz w:val="19"/>
              </w:rPr>
              <w:t>$000</w:t>
            </w:r>
          </w:p>
        </w:tc>
        <w:tc>
          <w:tcPr>
            <w:tcW w:w="1474" w:type="dxa"/>
            <w:shd w:val="clear" w:color="auto" w:fill="783A79"/>
          </w:tcPr>
          <w:p>
            <w:pPr>
              <w:pStyle w:val="TableParagraph"/>
              <w:spacing w:before="42"/>
              <w:ind w:left="456"/>
              <w:rPr>
                <w:b/>
                <w:sz w:val="19"/>
              </w:rPr>
            </w:pPr>
            <w:r>
              <w:rPr>
                <w:b/>
                <w:color w:val="FFFFFF"/>
                <w:sz w:val="19"/>
              </w:rPr>
              <w:t>Estimated</w:t>
            </w:r>
          </w:p>
          <w:p>
            <w:pPr>
              <w:pStyle w:val="TableParagraph"/>
              <w:spacing w:line="249" w:lineRule="auto" w:before="10"/>
              <w:ind w:left="523" w:right="96" w:firstLine="217"/>
              <w:rPr>
                <w:b/>
                <w:sz w:val="19"/>
              </w:rPr>
            </w:pPr>
            <w:r>
              <w:rPr>
                <w:b/>
                <w:color w:val="FFFFFF"/>
                <w:sz w:val="19"/>
              </w:rPr>
              <w:t>cost </w:t>
            </w:r>
            <w:r>
              <w:rPr>
                <w:b/>
                <w:color w:val="FFFFFF"/>
                <w:spacing w:val="-9"/>
                <w:sz w:val="19"/>
              </w:rPr>
              <w:t>to </w:t>
            </w:r>
            <w:r>
              <w:rPr>
                <w:b/>
                <w:color w:val="FFFFFF"/>
                <w:sz w:val="19"/>
              </w:rPr>
              <w:t>complete</w:t>
            </w:r>
          </w:p>
          <w:p>
            <w:pPr>
              <w:pStyle w:val="TableParagraph"/>
              <w:spacing w:before="1"/>
              <w:ind w:left="948"/>
              <w:rPr>
                <w:b/>
                <w:sz w:val="19"/>
              </w:rPr>
            </w:pPr>
            <w:r>
              <w:rPr>
                <w:b/>
                <w:color w:val="FFFFFF"/>
                <w:sz w:val="19"/>
              </w:rPr>
              <w:t>$000</w:t>
            </w:r>
          </w:p>
        </w:tc>
        <w:tc>
          <w:tcPr>
            <w:tcW w:w="1474" w:type="dxa"/>
            <w:shd w:val="clear" w:color="auto" w:fill="783A79"/>
          </w:tcPr>
          <w:p>
            <w:pPr>
              <w:pStyle w:val="TableParagraph"/>
              <w:spacing w:line="249" w:lineRule="auto" w:before="42"/>
              <w:ind w:left="515" w:right="90" w:hanging="60"/>
              <w:rPr>
                <w:b/>
                <w:sz w:val="19"/>
              </w:rPr>
            </w:pPr>
            <w:r>
              <w:rPr>
                <w:b/>
                <w:color w:val="FFFFFF"/>
                <w:sz w:val="19"/>
              </w:rPr>
              <w:t>Estimated total</w:t>
            </w:r>
            <w:r>
              <w:rPr>
                <w:b/>
                <w:color w:val="FFFFFF"/>
                <w:spacing w:val="13"/>
                <w:sz w:val="19"/>
              </w:rPr>
              <w:t> </w:t>
            </w:r>
            <w:r>
              <w:rPr>
                <w:b/>
                <w:color w:val="FFFFFF"/>
                <w:spacing w:val="-5"/>
                <w:sz w:val="19"/>
              </w:rPr>
              <w:t>cost</w:t>
            </w:r>
          </w:p>
          <w:p>
            <w:pPr>
              <w:pStyle w:val="TableParagraph"/>
              <w:spacing w:before="0"/>
              <w:rPr>
                <w:sz w:val="20"/>
              </w:rPr>
            </w:pPr>
          </w:p>
          <w:p>
            <w:pPr>
              <w:pStyle w:val="TableParagraph"/>
              <w:spacing w:before="0"/>
              <w:ind w:left="948"/>
              <w:rPr>
                <w:b/>
                <w:sz w:val="19"/>
              </w:rPr>
            </w:pPr>
            <w:r>
              <w:rPr>
                <w:b/>
                <w:color w:val="FFFFFF"/>
                <w:sz w:val="19"/>
              </w:rPr>
              <w:t>$000</w:t>
            </w:r>
          </w:p>
        </w:tc>
      </w:tr>
      <w:tr>
        <w:trPr>
          <w:trHeight w:val="312" w:hRule="atLeast"/>
        </w:trPr>
        <w:tc>
          <w:tcPr>
            <w:tcW w:w="7937" w:type="dxa"/>
            <w:shd w:val="clear" w:color="auto" w:fill="FFFFFF"/>
          </w:tcPr>
          <w:p>
            <w:pPr>
              <w:pStyle w:val="TableParagraph"/>
              <w:spacing w:before="42"/>
              <w:ind w:left="123"/>
              <w:rPr>
                <w:sz w:val="19"/>
              </w:rPr>
            </w:pPr>
            <w:r>
              <w:rPr>
                <w:sz w:val="19"/>
              </w:rPr>
              <w:t>Master Planning Strategy – Government Office Accommodation</w:t>
            </w:r>
          </w:p>
        </w:tc>
        <w:tc>
          <w:tcPr>
            <w:tcW w:w="1474" w:type="dxa"/>
            <w:shd w:val="clear" w:color="auto" w:fill="FFFFFF"/>
          </w:tcPr>
          <w:p>
            <w:pPr>
              <w:pStyle w:val="TableParagraph"/>
              <w:spacing w:before="42"/>
              <w:ind w:right="101"/>
              <w:jc w:val="right"/>
              <w:rPr>
                <w:sz w:val="19"/>
              </w:rPr>
            </w:pPr>
            <w:r>
              <w:rPr>
                <w:w w:val="95"/>
                <w:sz w:val="19"/>
              </w:rPr>
              <w:t>2018</w:t>
            </w:r>
          </w:p>
        </w:tc>
        <w:tc>
          <w:tcPr>
            <w:tcW w:w="1474" w:type="dxa"/>
            <w:shd w:val="clear" w:color="auto" w:fill="DFE1B8"/>
          </w:tcPr>
          <w:p>
            <w:pPr>
              <w:pStyle w:val="TableParagraph"/>
              <w:spacing w:before="42"/>
              <w:ind w:right="101"/>
              <w:jc w:val="right"/>
              <w:rPr>
                <w:sz w:val="19"/>
              </w:rPr>
            </w:pPr>
            <w:r>
              <w:rPr>
                <w:w w:val="95"/>
                <w:sz w:val="19"/>
              </w:rPr>
              <w:t>10,542</w:t>
            </w:r>
          </w:p>
        </w:tc>
        <w:tc>
          <w:tcPr>
            <w:tcW w:w="1474" w:type="dxa"/>
            <w:shd w:val="clear" w:color="auto" w:fill="FFFFFF"/>
          </w:tcPr>
          <w:p>
            <w:pPr>
              <w:pStyle w:val="TableParagraph"/>
              <w:spacing w:before="42"/>
              <w:ind w:right="101"/>
              <w:jc w:val="right"/>
              <w:rPr>
                <w:sz w:val="19"/>
              </w:rPr>
            </w:pPr>
            <w:r>
              <w:rPr>
                <w:w w:val="95"/>
                <w:sz w:val="19"/>
              </w:rPr>
              <w:t>26,199</w:t>
            </w:r>
          </w:p>
        </w:tc>
        <w:tc>
          <w:tcPr>
            <w:tcW w:w="1474" w:type="dxa"/>
            <w:shd w:val="clear" w:color="auto" w:fill="FFFFFF"/>
          </w:tcPr>
          <w:p>
            <w:pPr>
              <w:pStyle w:val="TableParagraph"/>
              <w:spacing w:before="42"/>
              <w:ind w:right="101"/>
              <w:jc w:val="right"/>
              <w:rPr>
                <w:sz w:val="19"/>
              </w:rPr>
            </w:pPr>
            <w:r>
              <w:rPr>
                <w:w w:val="95"/>
                <w:sz w:val="19"/>
              </w:rPr>
              <w:t>5,225</w:t>
            </w:r>
          </w:p>
        </w:tc>
        <w:tc>
          <w:tcPr>
            <w:tcW w:w="1474" w:type="dxa"/>
            <w:shd w:val="clear" w:color="auto" w:fill="FFFFFF"/>
          </w:tcPr>
          <w:p>
            <w:pPr>
              <w:pStyle w:val="TableParagraph"/>
              <w:spacing w:before="42"/>
              <w:ind w:right="101"/>
              <w:jc w:val="right"/>
              <w:rPr>
                <w:sz w:val="19"/>
              </w:rPr>
            </w:pPr>
            <w:r>
              <w:rPr>
                <w:w w:val="95"/>
                <w:sz w:val="19"/>
              </w:rPr>
              <w:t>223,442</w:t>
            </w:r>
          </w:p>
        </w:tc>
      </w:tr>
      <w:tr>
        <w:trPr>
          <w:trHeight w:val="341" w:hRule="atLeast"/>
        </w:trPr>
        <w:tc>
          <w:tcPr>
            <w:tcW w:w="7937" w:type="dxa"/>
            <w:shd w:val="clear" w:color="auto" w:fill="FFFFFF"/>
          </w:tcPr>
          <w:p>
            <w:pPr>
              <w:pStyle w:val="TableParagraph"/>
              <w:spacing w:before="57"/>
              <w:ind w:left="123"/>
              <w:rPr>
                <w:sz w:val="19"/>
              </w:rPr>
            </w:pPr>
            <w:r>
              <w:rPr>
                <w:sz w:val="19"/>
              </w:rPr>
              <w:t>St George’s Cathedral Heritage Precinct</w:t>
            </w:r>
          </w:p>
        </w:tc>
        <w:tc>
          <w:tcPr>
            <w:tcW w:w="1474" w:type="dxa"/>
            <w:shd w:val="clear" w:color="auto" w:fill="FFFFFF"/>
          </w:tcPr>
          <w:p>
            <w:pPr>
              <w:pStyle w:val="TableParagraph"/>
              <w:spacing w:before="57"/>
              <w:ind w:right="101"/>
              <w:jc w:val="right"/>
              <w:rPr>
                <w:sz w:val="19"/>
              </w:rPr>
            </w:pPr>
            <w:r>
              <w:rPr>
                <w:w w:val="95"/>
                <w:sz w:val="19"/>
              </w:rPr>
              <w:t>2017</w:t>
            </w:r>
          </w:p>
        </w:tc>
        <w:tc>
          <w:tcPr>
            <w:tcW w:w="1474" w:type="dxa"/>
            <w:shd w:val="clear" w:color="auto" w:fill="DFE1B8"/>
          </w:tcPr>
          <w:p>
            <w:pPr>
              <w:pStyle w:val="TableParagraph"/>
              <w:spacing w:before="57"/>
              <w:ind w:right="101"/>
              <w:jc w:val="right"/>
              <w:rPr>
                <w:sz w:val="19"/>
              </w:rPr>
            </w:pPr>
            <w:r>
              <w:rPr>
                <w:w w:val="95"/>
                <w:sz w:val="19"/>
              </w:rPr>
              <w:t>8,251</w:t>
            </w:r>
          </w:p>
        </w:tc>
        <w:tc>
          <w:tcPr>
            <w:tcW w:w="1474" w:type="dxa"/>
            <w:shd w:val="clear" w:color="auto" w:fill="FFFFFF"/>
          </w:tcPr>
          <w:p>
            <w:pPr>
              <w:pStyle w:val="TableParagraph"/>
              <w:spacing w:before="57"/>
              <w:ind w:right="101"/>
              <w:jc w:val="right"/>
              <w:rPr>
                <w:sz w:val="19"/>
              </w:rPr>
            </w:pPr>
            <w:r>
              <w:rPr>
                <w:w w:val="95"/>
                <w:sz w:val="19"/>
              </w:rPr>
              <w:t>59,325</w:t>
            </w:r>
          </w:p>
        </w:tc>
        <w:tc>
          <w:tcPr>
            <w:tcW w:w="1474" w:type="dxa"/>
            <w:tcBorders>
              <w:right w:val="single" w:sz="2" w:space="0" w:color="FAF9F9"/>
            </w:tcBorders>
            <w:shd w:val="clear" w:color="auto" w:fill="FFFFFF"/>
          </w:tcPr>
          <w:p>
            <w:pPr>
              <w:pStyle w:val="TableParagraph"/>
              <w:spacing w:before="57"/>
              <w:ind w:right="98"/>
              <w:jc w:val="right"/>
              <w:rPr>
                <w:sz w:val="19"/>
              </w:rPr>
            </w:pPr>
            <w:r>
              <w:rPr>
                <w:w w:val="111"/>
                <w:sz w:val="19"/>
              </w:rPr>
              <w:t>-</w:t>
            </w:r>
          </w:p>
        </w:tc>
        <w:tc>
          <w:tcPr>
            <w:tcW w:w="1474" w:type="dxa"/>
            <w:tcBorders>
              <w:left w:val="single" w:sz="2" w:space="0" w:color="FAF9F9"/>
            </w:tcBorders>
            <w:shd w:val="clear" w:color="auto" w:fill="FFFFFF"/>
          </w:tcPr>
          <w:p>
            <w:pPr>
              <w:pStyle w:val="TableParagraph"/>
              <w:spacing w:before="57"/>
              <w:ind w:right="101"/>
              <w:jc w:val="right"/>
              <w:rPr>
                <w:sz w:val="19"/>
              </w:rPr>
            </w:pPr>
            <w:r>
              <w:rPr>
                <w:w w:val="95"/>
                <w:sz w:val="19"/>
              </w:rPr>
              <w:t>91,086</w:t>
            </w:r>
          </w:p>
        </w:tc>
      </w:tr>
      <w:tr>
        <w:trPr>
          <w:trHeight w:val="312" w:hRule="atLeast"/>
        </w:trPr>
        <w:tc>
          <w:tcPr>
            <w:tcW w:w="7937" w:type="dxa"/>
            <w:shd w:val="clear" w:color="auto" w:fill="FFFFFF"/>
          </w:tcPr>
          <w:p>
            <w:pPr>
              <w:pStyle w:val="TableParagraph"/>
              <w:spacing w:before="42"/>
              <w:ind w:left="123"/>
              <w:rPr>
                <w:sz w:val="19"/>
              </w:rPr>
            </w:pPr>
            <w:r>
              <w:rPr>
                <w:sz w:val="19"/>
              </w:rPr>
              <w:t>State Fleet Annual Vehicle Acquisition Program</w:t>
            </w:r>
          </w:p>
        </w:tc>
        <w:tc>
          <w:tcPr>
            <w:tcW w:w="1474" w:type="dxa"/>
            <w:shd w:val="clear" w:color="auto" w:fill="FFFFFF"/>
          </w:tcPr>
          <w:p>
            <w:pPr>
              <w:pStyle w:val="TableParagraph"/>
              <w:spacing w:before="42"/>
              <w:ind w:right="101"/>
              <w:jc w:val="right"/>
              <w:rPr>
                <w:sz w:val="19"/>
              </w:rPr>
            </w:pPr>
            <w:r>
              <w:rPr>
                <w:w w:val="95"/>
                <w:sz w:val="19"/>
              </w:rPr>
              <w:t>2017</w:t>
            </w:r>
          </w:p>
        </w:tc>
        <w:tc>
          <w:tcPr>
            <w:tcW w:w="1474" w:type="dxa"/>
            <w:shd w:val="clear" w:color="auto" w:fill="DFE1B8"/>
          </w:tcPr>
          <w:p>
            <w:pPr>
              <w:pStyle w:val="TableParagraph"/>
              <w:spacing w:before="42"/>
              <w:ind w:right="101"/>
              <w:jc w:val="right"/>
              <w:rPr>
                <w:sz w:val="19"/>
              </w:rPr>
            </w:pPr>
            <w:r>
              <w:rPr>
                <w:w w:val="95"/>
                <w:sz w:val="19"/>
              </w:rPr>
              <w:t>88,093</w:t>
            </w:r>
          </w:p>
        </w:tc>
        <w:tc>
          <w:tcPr>
            <w:tcW w:w="1474" w:type="dxa"/>
            <w:shd w:val="clear" w:color="auto" w:fill="FFFFFF"/>
          </w:tcPr>
          <w:p>
            <w:pPr>
              <w:pStyle w:val="TableParagraph"/>
              <w:spacing w:before="42"/>
              <w:ind w:right="101"/>
              <w:jc w:val="right"/>
              <w:rPr>
                <w:sz w:val="19"/>
              </w:rPr>
            </w:pPr>
            <w:r>
              <w:rPr>
                <w:w w:val="95"/>
                <w:sz w:val="19"/>
              </w:rPr>
              <w:t>84,992</w:t>
            </w:r>
          </w:p>
        </w:tc>
        <w:tc>
          <w:tcPr>
            <w:tcW w:w="1474" w:type="dxa"/>
            <w:shd w:val="clear" w:color="auto" w:fill="FFFFFF"/>
          </w:tcPr>
          <w:p>
            <w:pPr>
              <w:pStyle w:val="TableParagraph"/>
              <w:spacing w:before="42"/>
              <w:ind w:right="101"/>
              <w:jc w:val="right"/>
              <w:rPr>
                <w:sz w:val="19"/>
              </w:rPr>
            </w:pPr>
            <w:r>
              <w:rPr>
                <w:w w:val="111"/>
                <w:sz w:val="19"/>
              </w:rPr>
              <w:t>-</w:t>
            </w:r>
          </w:p>
        </w:tc>
        <w:tc>
          <w:tcPr>
            <w:tcW w:w="1474" w:type="dxa"/>
            <w:shd w:val="clear" w:color="auto" w:fill="FFFFFF"/>
          </w:tcPr>
          <w:p>
            <w:pPr>
              <w:pStyle w:val="TableParagraph"/>
              <w:spacing w:before="42"/>
              <w:ind w:right="101"/>
              <w:jc w:val="right"/>
              <w:rPr>
                <w:sz w:val="19"/>
              </w:rPr>
            </w:pPr>
            <w:r>
              <w:rPr>
                <w:w w:val="111"/>
                <w:sz w:val="19"/>
              </w:rPr>
              <w:t>-</w:t>
            </w:r>
          </w:p>
        </w:tc>
      </w:tr>
      <w:tr>
        <w:trPr>
          <w:trHeight w:val="331" w:hRule="atLeast"/>
        </w:trPr>
        <w:tc>
          <w:tcPr>
            <w:tcW w:w="7937" w:type="dxa"/>
            <w:shd w:val="clear" w:color="auto" w:fill="FFFFFF"/>
          </w:tcPr>
          <w:p>
            <w:pPr>
              <w:pStyle w:val="TableParagraph"/>
              <w:spacing w:before="57"/>
              <w:ind w:left="123"/>
              <w:rPr>
                <w:sz w:val="19"/>
              </w:rPr>
            </w:pPr>
            <w:r>
              <w:rPr>
                <w:sz w:val="19"/>
              </w:rPr>
              <w:t>Revenue Systems Consolidation and Enhancement Program</w:t>
            </w:r>
          </w:p>
        </w:tc>
        <w:tc>
          <w:tcPr>
            <w:tcW w:w="1474" w:type="dxa"/>
            <w:shd w:val="clear" w:color="auto" w:fill="FFFFFF"/>
          </w:tcPr>
          <w:p>
            <w:pPr>
              <w:pStyle w:val="TableParagraph"/>
              <w:spacing w:before="57"/>
              <w:ind w:right="101"/>
              <w:jc w:val="right"/>
              <w:rPr>
                <w:sz w:val="19"/>
              </w:rPr>
            </w:pPr>
            <w:r>
              <w:rPr>
                <w:w w:val="95"/>
                <w:sz w:val="19"/>
              </w:rPr>
              <w:t>2019</w:t>
            </w:r>
          </w:p>
        </w:tc>
        <w:tc>
          <w:tcPr>
            <w:tcW w:w="1474" w:type="dxa"/>
            <w:shd w:val="clear" w:color="auto" w:fill="DFE1B8"/>
          </w:tcPr>
          <w:p>
            <w:pPr>
              <w:pStyle w:val="TableParagraph"/>
              <w:spacing w:before="57"/>
              <w:ind w:right="101"/>
              <w:jc w:val="right"/>
              <w:rPr>
                <w:sz w:val="19"/>
              </w:rPr>
            </w:pPr>
            <w:r>
              <w:rPr>
                <w:w w:val="95"/>
                <w:sz w:val="19"/>
              </w:rPr>
              <w:t>6,936</w:t>
            </w:r>
          </w:p>
        </w:tc>
        <w:tc>
          <w:tcPr>
            <w:tcW w:w="1474" w:type="dxa"/>
            <w:shd w:val="clear" w:color="auto" w:fill="FFFFFF"/>
          </w:tcPr>
          <w:p>
            <w:pPr>
              <w:pStyle w:val="TableParagraph"/>
              <w:spacing w:before="57"/>
              <w:ind w:right="101"/>
              <w:jc w:val="right"/>
              <w:rPr>
                <w:sz w:val="19"/>
              </w:rPr>
            </w:pPr>
            <w:r>
              <w:rPr>
                <w:w w:val="95"/>
                <w:sz w:val="19"/>
              </w:rPr>
              <w:t>6,153</w:t>
            </w:r>
          </w:p>
        </w:tc>
        <w:tc>
          <w:tcPr>
            <w:tcW w:w="1474" w:type="dxa"/>
            <w:tcBorders>
              <w:right w:val="single" w:sz="2" w:space="0" w:color="FAF9F9"/>
            </w:tcBorders>
            <w:shd w:val="clear" w:color="auto" w:fill="FFFFFF"/>
          </w:tcPr>
          <w:p>
            <w:pPr>
              <w:pStyle w:val="TableParagraph"/>
              <w:spacing w:before="57"/>
              <w:ind w:right="98"/>
              <w:jc w:val="right"/>
              <w:rPr>
                <w:sz w:val="19"/>
              </w:rPr>
            </w:pPr>
            <w:r>
              <w:rPr>
                <w:w w:val="95"/>
                <w:sz w:val="19"/>
              </w:rPr>
              <w:t>14,944</w:t>
            </w:r>
          </w:p>
        </w:tc>
        <w:tc>
          <w:tcPr>
            <w:tcW w:w="1474" w:type="dxa"/>
            <w:tcBorders>
              <w:left w:val="single" w:sz="2" w:space="0" w:color="FAF9F9"/>
            </w:tcBorders>
            <w:shd w:val="clear" w:color="auto" w:fill="FFFFFF"/>
          </w:tcPr>
          <w:p>
            <w:pPr>
              <w:pStyle w:val="TableParagraph"/>
              <w:spacing w:before="57"/>
              <w:ind w:right="101"/>
              <w:jc w:val="right"/>
              <w:rPr>
                <w:sz w:val="19"/>
              </w:rPr>
            </w:pPr>
            <w:r>
              <w:rPr>
                <w:w w:val="95"/>
                <w:sz w:val="19"/>
              </w:rPr>
              <w:t>33,008</w:t>
            </w:r>
          </w:p>
        </w:tc>
      </w:tr>
      <w:tr>
        <w:trPr>
          <w:trHeight w:val="307" w:hRule="atLeast"/>
        </w:trPr>
        <w:tc>
          <w:tcPr>
            <w:tcW w:w="7937"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left="113"/>
              <w:rPr>
                <w:sz w:val="19"/>
              </w:rPr>
            </w:pPr>
            <w:r>
              <w:rPr>
                <w:sz w:val="19"/>
              </w:rPr>
              <w:t>Karratha Government Office Co-Location Project</w:t>
            </w:r>
          </w:p>
        </w:tc>
        <w:tc>
          <w:tcPr>
            <w:tcW w:w="1474" w:type="dxa"/>
            <w:tcBorders>
              <w:top w:val="single" w:sz="8" w:space="0" w:color="FFFFFF"/>
              <w:left w:val="single" w:sz="8" w:space="0" w:color="FFFFFF"/>
              <w:bottom w:val="single" w:sz="8" w:space="0" w:color="FFFFFF"/>
            </w:tcBorders>
            <w:shd w:val="clear" w:color="auto" w:fill="F4F4F4"/>
          </w:tcPr>
          <w:p>
            <w:pPr>
              <w:pStyle w:val="TableParagraph"/>
              <w:ind w:right="101"/>
              <w:jc w:val="right"/>
              <w:rPr>
                <w:sz w:val="19"/>
              </w:rPr>
            </w:pPr>
            <w:r>
              <w:rPr>
                <w:w w:val="95"/>
                <w:sz w:val="19"/>
              </w:rPr>
              <w:t>2017</w:t>
            </w:r>
          </w:p>
        </w:tc>
        <w:tc>
          <w:tcPr>
            <w:tcW w:w="1474" w:type="dxa"/>
            <w:shd w:val="clear" w:color="auto" w:fill="DFE1B8"/>
          </w:tcPr>
          <w:p>
            <w:pPr>
              <w:pStyle w:val="TableParagraph"/>
              <w:ind w:right="101"/>
              <w:jc w:val="right"/>
              <w:rPr>
                <w:sz w:val="19"/>
              </w:rPr>
            </w:pPr>
            <w:r>
              <w:rPr>
                <w:w w:val="95"/>
                <w:sz w:val="19"/>
              </w:rPr>
              <w:t>4,930</w:t>
            </w:r>
          </w:p>
        </w:tc>
        <w:tc>
          <w:tcPr>
            <w:tcW w:w="1474"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5"/>
                <w:sz w:val="19"/>
              </w:rPr>
              <w:t>490</w:t>
            </w:r>
          </w:p>
        </w:tc>
        <w:tc>
          <w:tcPr>
            <w:tcW w:w="1474"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111"/>
                <w:sz w:val="19"/>
              </w:rPr>
              <w:t>-</w:t>
            </w:r>
          </w:p>
        </w:tc>
        <w:tc>
          <w:tcPr>
            <w:tcW w:w="1474" w:type="dxa"/>
            <w:tcBorders>
              <w:top w:val="single" w:sz="8" w:space="0" w:color="FFFFFF"/>
              <w:left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5"/>
                <w:sz w:val="19"/>
              </w:rPr>
              <w:t>5,995</w:t>
            </w:r>
          </w:p>
        </w:tc>
      </w:tr>
    </w:tbl>
    <w:p>
      <w:pPr>
        <w:pStyle w:val="BodyText"/>
        <w:rPr>
          <w:sz w:val="20"/>
        </w:rPr>
      </w:pPr>
    </w:p>
    <w:p>
      <w:pPr>
        <w:pStyle w:val="BodyText"/>
        <w:rPr>
          <w:sz w:val="20"/>
        </w:rPr>
      </w:pPr>
    </w:p>
    <w:p>
      <w:pPr>
        <w:pStyle w:val="BodyText"/>
        <w:spacing w:before="9"/>
        <w:rPr>
          <w:sz w:val="25"/>
        </w:rPr>
      </w:pPr>
    </w:p>
    <w:p>
      <w:pPr>
        <w:tabs>
          <w:tab w:pos="4671" w:val="left" w:leader="none"/>
          <w:tab w:pos="16072" w:val="left" w:leader="none"/>
        </w:tabs>
        <w:spacing w:before="106"/>
        <w:ind w:left="765" w:right="0" w:firstLine="0"/>
        <w:jc w:val="left"/>
        <w:rPr>
          <w:sz w:val="16"/>
        </w:rPr>
      </w:pPr>
      <w:r>
        <w:rPr>
          <w:b/>
          <w:color w:val="6F2770"/>
          <w:sz w:val="16"/>
        </w:rPr>
        <w:t>104   </w:t>
      </w:r>
      <w:r>
        <w:rPr>
          <w:color w:val="939598"/>
          <w:sz w:val="16"/>
        </w:rPr>
        <w:t>Department of Finance Annual Report</w:t>
      </w:r>
      <w:r>
        <w:rPr>
          <w:color w:val="939598"/>
          <w:spacing w:val="-29"/>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pStyle w:val="BodyText"/>
        <w:ind w:left="-10"/>
        <w:rPr>
          <w:sz w:val="20"/>
        </w:rPr>
      </w:pPr>
      <w:r>
        <w:rPr>
          <w:sz w:val="20"/>
        </w:rPr>
        <w:pict>
          <v:group style="width:240.15pt;height:56.95pt;mso-position-horizontal-relative:char;mso-position-vertical-relative:line" coordorigin="0,0" coordsize="4803,1139">
            <v:shape style="position:absolute;left:0;top:181;width:11;height:10" coordorigin="0,181" coordsize="11,10" path="m7,181l0,186,0,191,11,185,7,181xe" filled="true" fillcolor="#cdcccd" stroked="false">
              <v:path arrowok="t"/>
              <v:fill type="solid"/>
            </v:shape>
            <v:shape style="position:absolute;left:0;top:231;width:362;height:513" type="#_x0000_t75" stroked="false">
              <v:imagedata r:id="rId27" o:title=""/>
            </v:shape>
            <v:shape style="position:absolute;left:0;top:581;width:412;height:242" coordorigin="0,582" coordsize="412,242" path="m408,582l0,817,0,823,411,585,408,582xe" filled="true" fillcolor="#cdcccd" stroked="false">
              <v:path arrowok="t"/>
              <v:fill type="solid"/>
            </v:shape>
            <v:shape style="position:absolute;left:0;top:631;width:462;height:270" coordorigin="0,632" coordsize="462,270" path="m458,632l0,896,0,902,461,635,458,632xe" filled="true" fillcolor="#cdcccd" stroked="false">
              <v:path arrowok="t"/>
              <v:fill type="solid"/>
            </v:shape>
            <v:shape style="position:absolute;left:0;top:701;width:475;height:280" coordorigin="0,701" coordsize="475,280" path="m474,701l0,975,0,981,461,715,474,701xe" filled="true" fillcolor="#cdcccd" stroked="false">
              <v:path arrowok="t"/>
              <v:fill type="solid"/>
            </v:shape>
            <v:shape style="position:absolute;left:0;top:887;width:288;height:251" type="#_x0000_t75" stroked="false">
              <v:imagedata r:id="rId28" o:title=""/>
            </v:shape>
            <v:rect style="position:absolute;left:0;top:0;width:2406;height:851" filled="true" fillcolor="#aebd37" stroked="false">
              <v:fill type="solid"/>
            </v:rect>
            <v:shape style="position:absolute;left:0;top:0;width:2406;height:1139"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shape style="position:absolute;left:2397;top:0;width:2406;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spacing w:before="5"/>
        <w:rPr>
          <w:sz w:val="19"/>
        </w:rPr>
      </w:pPr>
    </w:p>
    <w:p>
      <w:pPr>
        <w:spacing w:after="0"/>
        <w:rPr>
          <w:sz w:val="19"/>
        </w:rPr>
        <w:sectPr>
          <w:footerReference w:type="default" r:id="rId273"/>
          <w:pgSz w:w="16840" w:h="11910" w:orient="landscape"/>
          <w:pgMar w:footer="0" w:header="0" w:top="0" w:bottom="280" w:left="0" w:right="0"/>
        </w:sectPr>
      </w:pPr>
    </w:p>
    <w:p>
      <w:pPr>
        <w:pStyle w:val="Heading4"/>
        <w:spacing w:line="249" w:lineRule="auto" w:before="111"/>
        <w:ind w:right="595"/>
      </w:pPr>
      <w:r>
        <w:rPr/>
        <w:pict>
          <v:group style="position:absolute;margin-left:240.123001pt;margin-top:-70.456223pt;width:601.8pt;height:42.55pt;mso-position-horizontal-relative:page;mso-position-vertical-relative:paragraph;z-index:37312" coordorigin="4802,-1409" coordsize="12036,851">
            <v:rect style="position:absolute;left:12026;top:-1410;width:2406;height:851" filled="true" fillcolor="#e6e7e8" stroked="false">
              <v:fill type="solid"/>
            </v:rect>
            <v:shape style="position:absolute;left:12026;top:-1410;width:583;height:583" type="#_x0000_t75" stroked="false">
              <v:imagedata r:id="rId272" o:title=""/>
            </v:shape>
            <v:rect style="position:absolute;left:14432;top:-1410;width:2406;height:851" filled="true" fillcolor="#aebd37" stroked="false">
              <v:fill type="solid"/>
            </v:rect>
            <v:shape style="position:absolute;left:12026;top:-1410;width:4811;height:851" type="#_x0000_t202" filled="false" stroked="false">
              <v:textbox inset="0,0,0,0">
                <w:txbxContent>
                  <w:p>
                    <w:pPr>
                      <w:spacing w:line="240" w:lineRule="auto" w:before="9"/>
                      <w:rPr>
                        <w:b/>
                        <w:sz w:val="26"/>
                      </w:rPr>
                    </w:pPr>
                  </w:p>
                  <w:p>
                    <w:pPr>
                      <w:spacing w:before="0"/>
                      <w:ind w:left="3141" w:right="0" w:firstLine="0"/>
                      <w:jc w:val="left"/>
                      <w:rPr>
                        <w:sz w:val="20"/>
                      </w:rPr>
                    </w:pPr>
                    <w:hyperlink w:history="true" w:anchor="_bookmark73">
                      <w:r>
                        <w:rPr>
                          <w:color w:val="FFFFFF"/>
                          <w:sz w:val="20"/>
                        </w:rPr>
                        <w:t>APPENDIX</w:t>
                      </w:r>
                    </w:hyperlink>
                  </w:p>
                </w:txbxContent>
              </v:textbox>
              <w10:wrap type="none"/>
            </v:shape>
            <v:shape style="position:absolute;left:12026;top:-1410;width:2406;height:851" type="#_x0000_t202" filled="false" stroked="false">
              <v:textbox inset="0,0,0,0">
                <w:txbxContent>
                  <w:p>
                    <w:pPr>
                      <w:spacing w:line="240" w:lineRule="auto" w:before="9"/>
                      <w:rPr>
                        <w:b/>
                        <w:sz w:val="26"/>
                      </w:rPr>
                    </w:pPr>
                  </w:p>
                  <w:p>
                    <w:pPr>
                      <w:spacing w:before="0"/>
                      <w:ind w:left="530" w:right="0" w:firstLine="0"/>
                      <w:jc w:val="left"/>
                      <w:rPr>
                        <w:sz w:val="20"/>
                      </w:rPr>
                    </w:pPr>
                    <w:hyperlink w:history="true" w:anchor="_bookmark68">
                      <w:r>
                        <w:rPr>
                          <w:color w:val="6F2770"/>
                          <w:sz w:val="20"/>
                        </w:rPr>
                        <w:t>DISCLOSURES</w:t>
                      </w:r>
                    </w:hyperlink>
                  </w:p>
                </w:txbxContent>
              </v:textbox>
              <w10:wrap type="none"/>
            </v:shape>
            <v:shape style="position:absolute;left:9621;top:-1410;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v:shape style="position:absolute;left:7215;top:-1410;width:2406;height:851"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410;width:2414;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w10:wrap type="none"/>
          </v:group>
        </w:pict>
      </w:r>
      <w:r>
        <w:rPr>
          <w:color w:val="A7BE39"/>
          <w:w w:val="95"/>
        </w:rPr>
        <w:t>Employment and industrial </w:t>
      </w:r>
      <w:r>
        <w:rPr>
          <w:color w:val="A7BE39"/>
        </w:rPr>
        <w:t>relations</w:t>
      </w:r>
    </w:p>
    <w:p>
      <w:pPr>
        <w:pStyle w:val="Heading6"/>
        <w:spacing w:line="249" w:lineRule="auto" w:before="230"/>
        <w:ind w:right="962"/>
      </w:pPr>
      <w:r>
        <w:rPr>
          <w:spacing w:val="-5"/>
        </w:rPr>
        <w:t>Comparative full-time equivalent (FTE) allocation </w:t>
      </w:r>
      <w:r>
        <w:rPr>
          <w:spacing w:val="-3"/>
        </w:rPr>
        <w:t>by </w:t>
      </w:r>
      <w:r>
        <w:rPr>
          <w:spacing w:val="-5"/>
        </w:rPr>
        <w:t>category</w:t>
      </w:r>
    </w:p>
    <w:p>
      <w:pPr>
        <w:pStyle w:val="BodyText"/>
        <w:spacing w:line="249" w:lineRule="auto" w:before="2"/>
        <w:ind w:left="765" w:right="11"/>
      </w:pPr>
      <w:r>
        <w:rPr/>
        <w:pict>
          <v:shape style="position:absolute;margin-left:38.2677pt;margin-top:55.246864pt;width:242.2pt;height:91.05pt;mso-position-horizontal-relative:page;mso-position-vertical-relative:paragraph;z-index:37336"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1"/>
                    <w:gridCol w:w="1321"/>
                    <w:gridCol w:w="1321"/>
                  </w:tblGrid>
                  <w:tr>
                    <w:trPr>
                      <w:trHeight w:val="305" w:hRule="atLeast"/>
                    </w:trPr>
                    <w:tc>
                      <w:tcPr>
                        <w:tcW w:w="2171" w:type="dxa"/>
                        <w:tcBorders>
                          <w:left w:val="single" w:sz="8" w:space="0" w:color="FFFFFF"/>
                        </w:tcBorders>
                        <w:shd w:val="clear" w:color="auto" w:fill="783A79"/>
                      </w:tcPr>
                      <w:p>
                        <w:pPr>
                          <w:pStyle w:val="TableParagraph"/>
                          <w:spacing w:before="42"/>
                          <w:ind w:left="113"/>
                          <w:rPr>
                            <w:b/>
                            <w:sz w:val="19"/>
                          </w:rPr>
                        </w:pPr>
                        <w:r>
                          <w:rPr>
                            <w:b/>
                            <w:color w:val="FFFFFF"/>
                            <w:sz w:val="19"/>
                          </w:rPr>
                          <w:t>Category</w:t>
                        </w:r>
                      </w:p>
                    </w:tc>
                    <w:tc>
                      <w:tcPr>
                        <w:tcW w:w="1321" w:type="dxa"/>
                        <w:shd w:val="clear" w:color="auto" w:fill="783A79"/>
                      </w:tcPr>
                      <w:p>
                        <w:pPr>
                          <w:pStyle w:val="TableParagraph"/>
                          <w:spacing w:before="42"/>
                          <w:ind w:right="101"/>
                          <w:jc w:val="right"/>
                          <w:rPr>
                            <w:b/>
                            <w:sz w:val="19"/>
                          </w:rPr>
                        </w:pPr>
                        <w:r>
                          <w:rPr>
                            <w:b/>
                            <w:color w:val="FFFFFF"/>
                            <w:sz w:val="19"/>
                          </w:rPr>
                          <w:t>2016-17</w:t>
                        </w:r>
                      </w:p>
                    </w:tc>
                    <w:tc>
                      <w:tcPr>
                        <w:tcW w:w="1321" w:type="dxa"/>
                        <w:shd w:val="clear" w:color="auto" w:fill="783A79"/>
                      </w:tcPr>
                      <w:p>
                        <w:pPr>
                          <w:pStyle w:val="TableParagraph"/>
                          <w:spacing w:before="42"/>
                          <w:ind w:right="101"/>
                          <w:jc w:val="right"/>
                          <w:rPr>
                            <w:b/>
                            <w:sz w:val="19"/>
                          </w:rPr>
                        </w:pPr>
                        <w:r>
                          <w:rPr>
                            <w:b/>
                            <w:color w:val="FFFFFF"/>
                            <w:sz w:val="19"/>
                          </w:rPr>
                          <w:t>2015-16</w:t>
                        </w:r>
                      </w:p>
                    </w:tc>
                  </w:tr>
                  <w:tr>
                    <w:trPr>
                      <w:trHeight w:val="317" w:hRule="atLeast"/>
                    </w:trPr>
                    <w:tc>
                      <w:tcPr>
                        <w:tcW w:w="2171" w:type="dxa"/>
                        <w:tcBorders>
                          <w:left w:val="single" w:sz="8" w:space="0" w:color="FFFFFF"/>
                          <w:bottom w:val="single" w:sz="8" w:space="0" w:color="FFFFFF"/>
                        </w:tcBorders>
                        <w:shd w:val="clear" w:color="auto" w:fill="F4F4F4"/>
                      </w:tcPr>
                      <w:p>
                        <w:pPr>
                          <w:pStyle w:val="TableParagraph"/>
                          <w:spacing w:before="42"/>
                          <w:ind w:left="113"/>
                          <w:rPr>
                            <w:sz w:val="19"/>
                          </w:rPr>
                        </w:pPr>
                        <w:r>
                          <w:rPr>
                            <w:sz w:val="19"/>
                          </w:rPr>
                          <w:t>Full-time permanent</w:t>
                        </w:r>
                      </w:p>
                    </w:tc>
                    <w:tc>
                      <w:tcPr>
                        <w:tcW w:w="1321" w:type="dxa"/>
                        <w:shd w:val="clear" w:color="auto" w:fill="DFE1B8"/>
                      </w:tcPr>
                      <w:p>
                        <w:pPr>
                          <w:pStyle w:val="TableParagraph"/>
                          <w:spacing w:before="42"/>
                          <w:ind w:right="101"/>
                          <w:jc w:val="right"/>
                          <w:rPr>
                            <w:sz w:val="19"/>
                          </w:rPr>
                        </w:pPr>
                        <w:r>
                          <w:rPr>
                            <w:w w:val="95"/>
                            <w:sz w:val="19"/>
                          </w:rPr>
                          <w:t>784</w:t>
                        </w:r>
                      </w:p>
                    </w:tc>
                    <w:tc>
                      <w:tcPr>
                        <w:tcW w:w="1321" w:type="dxa"/>
                        <w:tcBorders>
                          <w:bottom w:val="single" w:sz="8" w:space="0" w:color="FFFFFF"/>
                          <w:right w:val="single" w:sz="8" w:space="0" w:color="FFFFFF"/>
                        </w:tcBorders>
                        <w:shd w:val="clear" w:color="auto" w:fill="F4F4F4"/>
                      </w:tcPr>
                      <w:p>
                        <w:pPr>
                          <w:pStyle w:val="TableParagraph"/>
                          <w:spacing w:before="42"/>
                          <w:ind w:right="91"/>
                          <w:jc w:val="right"/>
                          <w:rPr>
                            <w:sz w:val="19"/>
                          </w:rPr>
                        </w:pPr>
                        <w:r>
                          <w:rPr>
                            <w:w w:val="95"/>
                            <w:sz w:val="19"/>
                          </w:rPr>
                          <w:t>867</w:t>
                        </w:r>
                      </w:p>
                    </w:tc>
                  </w:tr>
                  <w:tr>
                    <w:trPr>
                      <w:trHeight w:val="307" w:hRule="atLeast"/>
                    </w:trPr>
                    <w:tc>
                      <w:tcPr>
                        <w:tcW w:w="2171"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Full-time contract</w:t>
                        </w:r>
                      </w:p>
                    </w:tc>
                    <w:tc>
                      <w:tcPr>
                        <w:tcW w:w="1321" w:type="dxa"/>
                        <w:shd w:val="clear" w:color="auto" w:fill="DFE1B8"/>
                      </w:tcPr>
                      <w:p>
                        <w:pPr>
                          <w:pStyle w:val="TableParagraph"/>
                          <w:ind w:right="101"/>
                          <w:jc w:val="right"/>
                          <w:rPr>
                            <w:sz w:val="19"/>
                          </w:rPr>
                        </w:pPr>
                        <w:r>
                          <w:rPr>
                            <w:w w:val="95"/>
                            <w:sz w:val="19"/>
                          </w:rPr>
                          <w:t>114</w:t>
                        </w:r>
                      </w:p>
                    </w:tc>
                    <w:tc>
                      <w:tcPr>
                        <w:tcW w:w="1321"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95"/>
                            <w:sz w:val="19"/>
                          </w:rPr>
                          <w:t>106</w:t>
                        </w:r>
                      </w:p>
                    </w:tc>
                  </w:tr>
                  <w:tr>
                    <w:trPr>
                      <w:trHeight w:val="253" w:hRule="atLeast"/>
                    </w:trPr>
                    <w:tc>
                      <w:tcPr>
                        <w:tcW w:w="2171" w:type="dxa"/>
                        <w:tcBorders>
                          <w:top w:val="single" w:sz="8" w:space="0" w:color="FFFFFF"/>
                          <w:left w:val="single" w:sz="8" w:space="0" w:color="FFFFFF"/>
                        </w:tcBorders>
                        <w:shd w:val="clear" w:color="auto" w:fill="F4F4F4"/>
                      </w:tcPr>
                      <w:p>
                        <w:pPr>
                          <w:pStyle w:val="TableParagraph"/>
                          <w:spacing w:line="201" w:lineRule="exact"/>
                          <w:ind w:left="113"/>
                          <w:rPr>
                            <w:sz w:val="19"/>
                          </w:rPr>
                        </w:pPr>
                        <w:r>
                          <w:rPr>
                            <w:sz w:val="19"/>
                          </w:rPr>
                          <w:t>Part-time permanent</w:t>
                        </w:r>
                      </w:p>
                    </w:tc>
                    <w:tc>
                      <w:tcPr>
                        <w:tcW w:w="1321" w:type="dxa"/>
                        <w:shd w:val="clear" w:color="auto" w:fill="DFE1B8"/>
                      </w:tcPr>
                      <w:p>
                        <w:pPr>
                          <w:pStyle w:val="TableParagraph"/>
                          <w:spacing w:line="201" w:lineRule="exact"/>
                          <w:ind w:right="101"/>
                          <w:jc w:val="right"/>
                          <w:rPr>
                            <w:sz w:val="19"/>
                          </w:rPr>
                        </w:pPr>
                        <w:r>
                          <w:rPr>
                            <w:w w:val="95"/>
                            <w:sz w:val="19"/>
                          </w:rPr>
                          <w:t>77</w:t>
                        </w:r>
                      </w:p>
                    </w:tc>
                    <w:tc>
                      <w:tcPr>
                        <w:tcW w:w="1321" w:type="dxa"/>
                        <w:tcBorders>
                          <w:top w:val="single" w:sz="8" w:space="0" w:color="FFFFFF"/>
                          <w:right w:val="single" w:sz="8" w:space="0" w:color="FFFFFF"/>
                        </w:tcBorders>
                        <w:shd w:val="clear" w:color="auto" w:fill="F4F4F4"/>
                      </w:tcPr>
                      <w:p>
                        <w:pPr>
                          <w:pStyle w:val="TableParagraph"/>
                          <w:spacing w:line="201" w:lineRule="exact"/>
                          <w:ind w:right="91"/>
                          <w:jc w:val="right"/>
                          <w:rPr>
                            <w:sz w:val="19"/>
                          </w:rPr>
                        </w:pPr>
                        <w:r>
                          <w:rPr>
                            <w:w w:val="95"/>
                            <w:sz w:val="19"/>
                          </w:rPr>
                          <w:t>78</w:t>
                        </w:r>
                      </w:p>
                    </w:tc>
                  </w:tr>
                  <w:tr>
                    <w:trPr>
                      <w:trHeight w:val="260" w:hRule="atLeast"/>
                    </w:trPr>
                    <w:tc>
                      <w:tcPr>
                        <w:tcW w:w="2171" w:type="dxa"/>
                        <w:tcBorders>
                          <w:left w:val="single" w:sz="8" w:space="0" w:color="FFFFFF"/>
                          <w:bottom w:val="single" w:sz="8" w:space="0" w:color="FFFFFF"/>
                        </w:tcBorders>
                        <w:shd w:val="clear" w:color="auto" w:fill="F4F4F4"/>
                      </w:tcPr>
                      <w:p>
                        <w:pPr>
                          <w:pStyle w:val="TableParagraph"/>
                          <w:spacing w:before="7"/>
                          <w:ind w:left="113"/>
                          <w:rPr>
                            <w:sz w:val="19"/>
                          </w:rPr>
                        </w:pPr>
                        <w:r>
                          <w:rPr>
                            <w:sz w:val="19"/>
                          </w:rPr>
                          <w:t>and contract</w:t>
                        </w:r>
                      </w:p>
                    </w:tc>
                    <w:tc>
                      <w:tcPr>
                        <w:tcW w:w="1321" w:type="dxa"/>
                        <w:shd w:val="clear" w:color="auto" w:fill="DFE1B8"/>
                      </w:tcPr>
                      <w:p>
                        <w:pPr>
                          <w:pStyle w:val="TableParagraph"/>
                          <w:spacing w:before="0"/>
                          <w:rPr>
                            <w:rFonts w:ascii="Times New Roman"/>
                            <w:sz w:val="18"/>
                          </w:rPr>
                        </w:pPr>
                      </w:p>
                    </w:tc>
                    <w:tc>
                      <w:tcPr>
                        <w:tcW w:w="1321" w:type="dxa"/>
                        <w:tcBorders>
                          <w:bottom w:val="single" w:sz="8" w:space="0" w:color="FFFFFF"/>
                          <w:right w:val="single" w:sz="8" w:space="0" w:color="FFFFFF"/>
                        </w:tcBorders>
                        <w:shd w:val="clear" w:color="auto" w:fill="F4F4F4"/>
                      </w:tcPr>
                      <w:p>
                        <w:pPr>
                          <w:pStyle w:val="TableParagraph"/>
                          <w:spacing w:before="0"/>
                          <w:rPr>
                            <w:rFonts w:ascii="Times New Roman"/>
                            <w:sz w:val="18"/>
                          </w:rPr>
                        </w:pPr>
                      </w:p>
                    </w:tc>
                  </w:tr>
                  <w:tr>
                    <w:trPr>
                      <w:trHeight w:val="317" w:hRule="atLeast"/>
                    </w:trPr>
                    <w:tc>
                      <w:tcPr>
                        <w:tcW w:w="2171" w:type="dxa"/>
                        <w:tcBorders>
                          <w:top w:val="single" w:sz="8" w:space="0" w:color="FFFFFF"/>
                          <w:left w:val="single" w:sz="8" w:space="0" w:color="FFFFFF"/>
                        </w:tcBorders>
                        <w:shd w:val="clear" w:color="auto" w:fill="FAF9F9"/>
                      </w:tcPr>
                      <w:p>
                        <w:pPr>
                          <w:pStyle w:val="TableParagraph"/>
                          <w:ind w:left="113"/>
                          <w:rPr>
                            <w:sz w:val="19"/>
                          </w:rPr>
                        </w:pPr>
                        <w:r>
                          <w:rPr>
                            <w:sz w:val="19"/>
                          </w:rPr>
                          <w:t>Total</w:t>
                        </w:r>
                      </w:p>
                    </w:tc>
                    <w:tc>
                      <w:tcPr>
                        <w:tcW w:w="1321" w:type="dxa"/>
                        <w:shd w:val="clear" w:color="auto" w:fill="DFE1B8"/>
                      </w:tcPr>
                      <w:p>
                        <w:pPr>
                          <w:pStyle w:val="TableParagraph"/>
                          <w:ind w:right="101"/>
                          <w:jc w:val="right"/>
                          <w:rPr>
                            <w:sz w:val="19"/>
                          </w:rPr>
                        </w:pPr>
                        <w:r>
                          <w:rPr>
                            <w:w w:val="95"/>
                            <w:sz w:val="19"/>
                          </w:rPr>
                          <w:t>975</w:t>
                        </w:r>
                      </w:p>
                    </w:tc>
                    <w:tc>
                      <w:tcPr>
                        <w:tcW w:w="1321" w:type="dxa"/>
                        <w:tcBorders>
                          <w:top w:val="single" w:sz="8" w:space="0" w:color="FFFFFF"/>
                          <w:right w:val="single" w:sz="8" w:space="0" w:color="FFFFFF"/>
                        </w:tcBorders>
                        <w:shd w:val="clear" w:color="auto" w:fill="FAF9F9"/>
                      </w:tcPr>
                      <w:p>
                        <w:pPr>
                          <w:pStyle w:val="TableParagraph"/>
                          <w:ind w:right="91"/>
                          <w:jc w:val="right"/>
                          <w:rPr>
                            <w:sz w:val="19"/>
                          </w:rPr>
                        </w:pPr>
                        <w:r>
                          <w:rPr>
                            <w:w w:val="95"/>
                            <w:sz w:val="19"/>
                          </w:rPr>
                          <w:t>1,051</w:t>
                        </w:r>
                      </w:p>
                    </w:tc>
                  </w:tr>
                </w:tbl>
                <w:p>
                  <w:pPr>
                    <w:pStyle w:val="BodyText"/>
                  </w:pPr>
                </w:p>
              </w:txbxContent>
            </v:textbox>
            <w10:wrap type="none"/>
          </v:shape>
        </w:pict>
      </w:r>
      <w:r>
        <w:rPr>
          <w:spacing w:val="-4"/>
        </w:rPr>
        <w:t>The </w:t>
      </w:r>
      <w:r>
        <w:rPr>
          <w:spacing w:val="-5"/>
        </w:rPr>
        <w:t>number </w:t>
      </w:r>
      <w:r>
        <w:rPr>
          <w:spacing w:val="-3"/>
        </w:rPr>
        <w:t>of </w:t>
      </w:r>
      <w:r>
        <w:rPr>
          <w:spacing w:val="-4"/>
        </w:rPr>
        <w:t>FTE </w:t>
      </w:r>
      <w:r>
        <w:rPr>
          <w:spacing w:val="-5"/>
        </w:rPr>
        <w:t>employees </w:t>
      </w:r>
      <w:r>
        <w:rPr>
          <w:spacing w:val="-4"/>
        </w:rPr>
        <w:t>has </w:t>
      </w:r>
      <w:r>
        <w:rPr>
          <w:spacing w:val="-5"/>
        </w:rPr>
        <w:t>reduced </w:t>
      </w:r>
      <w:r>
        <w:rPr>
          <w:spacing w:val="-3"/>
        </w:rPr>
        <w:t>as </w:t>
      </w:r>
      <w:r>
        <w:rPr>
          <w:spacing w:val="-5"/>
        </w:rPr>
        <w:t>the recommendations</w:t>
      </w:r>
      <w:r>
        <w:rPr>
          <w:spacing w:val="-37"/>
        </w:rPr>
        <w:t> </w:t>
      </w:r>
      <w:r>
        <w:rPr>
          <w:spacing w:val="-3"/>
        </w:rPr>
        <w:t>of</w:t>
      </w:r>
      <w:r>
        <w:rPr>
          <w:spacing w:val="-36"/>
        </w:rPr>
        <w:t> </w:t>
      </w:r>
      <w:r>
        <w:rPr>
          <w:spacing w:val="-4"/>
        </w:rPr>
        <w:t>the</w:t>
      </w:r>
      <w:r>
        <w:rPr>
          <w:spacing w:val="-36"/>
        </w:rPr>
        <w:t> </w:t>
      </w:r>
      <w:r>
        <w:rPr>
          <w:spacing w:val="-5"/>
        </w:rPr>
        <w:t>Agency</w:t>
      </w:r>
      <w:r>
        <w:rPr>
          <w:spacing w:val="-36"/>
        </w:rPr>
        <w:t> </w:t>
      </w:r>
      <w:r>
        <w:rPr>
          <w:spacing w:val="-5"/>
        </w:rPr>
        <w:t>Expenditure</w:t>
      </w:r>
      <w:r>
        <w:rPr>
          <w:spacing w:val="-37"/>
        </w:rPr>
        <w:t> </w:t>
      </w:r>
      <w:r>
        <w:rPr>
          <w:spacing w:val="-5"/>
        </w:rPr>
        <w:t>Review continue</w:t>
      </w:r>
      <w:r>
        <w:rPr>
          <w:spacing w:val="-28"/>
        </w:rPr>
        <w:t> </w:t>
      </w:r>
      <w:r>
        <w:rPr>
          <w:spacing w:val="-3"/>
        </w:rPr>
        <w:t>to</w:t>
      </w:r>
      <w:r>
        <w:rPr>
          <w:spacing w:val="-28"/>
        </w:rPr>
        <w:t> </w:t>
      </w:r>
      <w:r>
        <w:rPr>
          <w:spacing w:val="-3"/>
        </w:rPr>
        <w:t>be</w:t>
      </w:r>
      <w:r>
        <w:rPr>
          <w:spacing w:val="-28"/>
        </w:rPr>
        <w:t> </w:t>
      </w:r>
      <w:r>
        <w:rPr>
          <w:spacing w:val="-5"/>
        </w:rPr>
        <w:t>implemented,</w:t>
      </w:r>
      <w:r>
        <w:rPr>
          <w:spacing w:val="-28"/>
        </w:rPr>
        <w:t> </w:t>
      </w:r>
      <w:r>
        <w:rPr>
          <w:spacing w:val="-4"/>
        </w:rPr>
        <w:t>and</w:t>
      </w:r>
      <w:r>
        <w:rPr>
          <w:spacing w:val="-28"/>
        </w:rPr>
        <w:t> </w:t>
      </w:r>
      <w:r>
        <w:rPr>
          <w:spacing w:val="-4"/>
        </w:rPr>
        <w:t>internal</w:t>
      </w:r>
      <w:r>
        <w:rPr>
          <w:spacing w:val="-28"/>
        </w:rPr>
        <w:t> </w:t>
      </w:r>
      <w:r>
        <w:rPr>
          <w:spacing w:val="-5"/>
        </w:rPr>
        <w:t>efficiencies are</w:t>
      </w:r>
      <w:r>
        <w:rPr>
          <w:spacing w:val="-10"/>
        </w:rPr>
        <w:t> </w:t>
      </w:r>
      <w:r>
        <w:rPr>
          <w:spacing w:val="-6"/>
        </w:rPr>
        <w:t>realised.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line="400" w:lineRule="atLeast" w:before="215"/>
        <w:ind w:left="765" w:right="2517" w:firstLine="0"/>
        <w:jc w:val="left"/>
        <w:rPr>
          <w:i/>
          <w:sz w:val="15"/>
        </w:rPr>
      </w:pPr>
      <w:r>
        <w:rPr>
          <w:i/>
          <w:sz w:val="15"/>
        </w:rPr>
        <w:t>Source Data: 2016-17 MOIR data. </w:t>
      </w:r>
      <w:r>
        <w:rPr>
          <w:i/>
          <w:sz w:val="15"/>
        </w:rPr>
        <w:t>Notes:</w:t>
      </w:r>
    </w:p>
    <w:p>
      <w:pPr>
        <w:pStyle w:val="ListParagraph"/>
        <w:numPr>
          <w:ilvl w:val="0"/>
          <w:numId w:val="37"/>
        </w:numPr>
        <w:tabs>
          <w:tab w:pos="863" w:val="left" w:leader="none"/>
        </w:tabs>
        <w:spacing w:line="240" w:lineRule="auto" w:before="28" w:after="0"/>
        <w:ind w:left="890" w:right="0" w:hanging="125"/>
        <w:jc w:val="left"/>
        <w:rPr>
          <w:i/>
          <w:sz w:val="15"/>
        </w:rPr>
      </w:pPr>
      <w:r>
        <w:rPr>
          <w:i/>
          <w:sz w:val="15"/>
        </w:rPr>
        <w:t>Part</w:t>
      </w:r>
      <w:r>
        <w:rPr>
          <w:i/>
          <w:spacing w:val="-4"/>
          <w:sz w:val="15"/>
        </w:rPr>
        <w:t> </w:t>
      </w:r>
      <w:r>
        <w:rPr>
          <w:i/>
          <w:sz w:val="15"/>
        </w:rPr>
        <w:t>time</w:t>
      </w:r>
      <w:r>
        <w:rPr>
          <w:i/>
          <w:spacing w:val="-3"/>
          <w:sz w:val="15"/>
        </w:rPr>
        <w:t> </w:t>
      </w:r>
      <w:r>
        <w:rPr>
          <w:i/>
          <w:sz w:val="15"/>
        </w:rPr>
        <w:t>=</w:t>
      </w:r>
      <w:r>
        <w:rPr>
          <w:i/>
          <w:spacing w:val="-4"/>
          <w:sz w:val="15"/>
        </w:rPr>
        <w:t> </w:t>
      </w:r>
      <w:r>
        <w:rPr>
          <w:i/>
          <w:sz w:val="15"/>
        </w:rPr>
        <w:t>hours</w:t>
      </w:r>
      <w:r>
        <w:rPr>
          <w:i/>
          <w:spacing w:val="-3"/>
          <w:sz w:val="15"/>
        </w:rPr>
        <w:t> </w:t>
      </w:r>
      <w:r>
        <w:rPr>
          <w:i/>
          <w:sz w:val="15"/>
        </w:rPr>
        <w:t>less</w:t>
      </w:r>
      <w:r>
        <w:rPr>
          <w:i/>
          <w:spacing w:val="-3"/>
          <w:sz w:val="15"/>
        </w:rPr>
        <w:t> </w:t>
      </w:r>
      <w:r>
        <w:rPr>
          <w:i/>
          <w:sz w:val="15"/>
        </w:rPr>
        <w:t>than</w:t>
      </w:r>
      <w:r>
        <w:rPr>
          <w:i/>
          <w:spacing w:val="-4"/>
          <w:sz w:val="15"/>
        </w:rPr>
        <w:t> </w:t>
      </w:r>
      <w:r>
        <w:rPr>
          <w:i/>
          <w:sz w:val="15"/>
        </w:rPr>
        <w:t>full-time</w:t>
      </w:r>
      <w:r>
        <w:rPr>
          <w:i/>
          <w:spacing w:val="-3"/>
          <w:sz w:val="15"/>
        </w:rPr>
        <w:t> </w:t>
      </w:r>
      <w:r>
        <w:rPr>
          <w:i/>
          <w:sz w:val="15"/>
        </w:rPr>
        <w:t>hours</w:t>
      </w:r>
      <w:r>
        <w:rPr>
          <w:i/>
          <w:spacing w:val="-4"/>
          <w:sz w:val="15"/>
        </w:rPr>
        <w:t> </w:t>
      </w:r>
      <w:r>
        <w:rPr>
          <w:i/>
          <w:sz w:val="15"/>
        </w:rPr>
        <w:t>of</w:t>
      </w:r>
      <w:r>
        <w:rPr>
          <w:i/>
          <w:spacing w:val="-3"/>
          <w:sz w:val="15"/>
        </w:rPr>
        <w:t> </w:t>
      </w:r>
      <w:r>
        <w:rPr>
          <w:i/>
          <w:sz w:val="15"/>
        </w:rPr>
        <w:t>37.5</w:t>
      </w:r>
      <w:r>
        <w:rPr>
          <w:i/>
          <w:spacing w:val="-3"/>
          <w:sz w:val="15"/>
        </w:rPr>
        <w:t> </w:t>
      </w:r>
      <w:r>
        <w:rPr>
          <w:i/>
          <w:sz w:val="15"/>
        </w:rPr>
        <w:t>per</w:t>
      </w:r>
      <w:r>
        <w:rPr>
          <w:i/>
          <w:spacing w:val="-4"/>
          <w:sz w:val="15"/>
        </w:rPr>
        <w:t> </w:t>
      </w:r>
      <w:r>
        <w:rPr>
          <w:i/>
          <w:sz w:val="15"/>
        </w:rPr>
        <w:t>week.</w:t>
      </w:r>
    </w:p>
    <w:p>
      <w:pPr>
        <w:pStyle w:val="ListParagraph"/>
        <w:numPr>
          <w:ilvl w:val="0"/>
          <w:numId w:val="37"/>
        </w:numPr>
        <w:tabs>
          <w:tab w:pos="863" w:val="left" w:leader="none"/>
        </w:tabs>
        <w:spacing w:line="278" w:lineRule="auto" w:before="27" w:after="0"/>
        <w:ind w:left="890" w:right="187" w:hanging="125"/>
        <w:jc w:val="left"/>
        <w:rPr>
          <w:i/>
          <w:sz w:val="15"/>
        </w:rPr>
      </w:pPr>
      <w:r>
        <w:rPr>
          <w:i/>
          <w:sz w:val="15"/>
        </w:rPr>
        <w:t>Employees</w:t>
      </w:r>
      <w:r>
        <w:rPr>
          <w:i/>
          <w:spacing w:val="-14"/>
          <w:sz w:val="15"/>
        </w:rPr>
        <w:t> </w:t>
      </w:r>
      <w:r>
        <w:rPr>
          <w:i/>
          <w:sz w:val="15"/>
        </w:rPr>
        <w:t>seconded</w:t>
      </w:r>
      <w:r>
        <w:rPr>
          <w:i/>
          <w:spacing w:val="-13"/>
          <w:sz w:val="15"/>
        </w:rPr>
        <w:t> </w:t>
      </w:r>
      <w:r>
        <w:rPr>
          <w:i/>
          <w:sz w:val="15"/>
        </w:rPr>
        <w:t>out</w:t>
      </w:r>
      <w:r>
        <w:rPr>
          <w:i/>
          <w:spacing w:val="-14"/>
          <w:sz w:val="15"/>
        </w:rPr>
        <w:t> </w:t>
      </w:r>
      <w:r>
        <w:rPr>
          <w:i/>
          <w:sz w:val="15"/>
        </w:rPr>
        <w:t>of</w:t>
      </w:r>
      <w:r>
        <w:rPr>
          <w:i/>
          <w:spacing w:val="-13"/>
          <w:sz w:val="15"/>
        </w:rPr>
        <w:t> </w:t>
      </w:r>
      <w:r>
        <w:rPr>
          <w:i/>
          <w:sz w:val="15"/>
        </w:rPr>
        <w:t>the</w:t>
      </w:r>
      <w:r>
        <w:rPr>
          <w:i/>
          <w:spacing w:val="-13"/>
          <w:sz w:val="15"/>
        </w:rPr>
        <w:t> </w:t>
      </w:r>
      <w:r>
        <w:rPr>
          <w:i/>
          <w:sz w:val="15"/>
        </w:rPr>
        <w:t>Department</w:t>
      </w:r>
      <w:r>
        <w:rPr>
          <w:i/>
          <w:spacing w:val="-14"/>
          <w:sz w:val="15"/>
        </w:rPr>
        <w:t> </w:t>
      </w:r>
      <w:r>
        <w:rPr>
          <w:i/>
          <w:sz w:val="15"/>
        </w:rPr>
        <w:t>have</w:t>
      </w:r>
      <w:r>
        <w:rPr>
          <w:i/>
          <w:spacing w:val="-13"/>
          <w:sz w:val="15"/>
        </w:rPr>
        <w:t> </w:t>
      </w:r>
      <w:r>
        <w:rPr>
          <w:i/>
          <w:sz w:val="15"/>
        </w:rPr>
        <w:t>been</w:t>
      </w:r>
      <w:r>
        <w:rPr>
          <w:i/>
          <w:spacing w:val="-13"/>
          <w:sz w:val="15"/>
        </w:rPr>
        <w:t> </w:t>
      </w:r>
      <w:r>
        <w:rPr>
          <w:i/>
          <w:sz w:val="15"/>
        </w:rPr>
        <w:t>excluded</w:t>
      </w:r>
      <w:r>
        <w:rPr>
          <w:i/>
          <w:spacing w:val="-14"/>
          <w:sz w:val="15"/>
        </w:rPr>
        <w:t> </w:t>
      </w:r>
      <w:r>
        <w:rPr>
          <w:i/>
          <w:spacing w:val="-4"/>
          <w:sz w:val="15"/>
        </w:rPr>
        <w:t>from </w:t>
      </w:r>
      <w:r>
        <w:rPr>
          <w:i/>
          <w:sz w:val="15"/>
        </w:rPr>
        <w:t>the figures as these officers were not contributing to departmental outputs as they were working for another</w:t>
      </w:r>
      <w:r>
        <w:rPr>
          <w:i/>
          <w:spacing w:val="-23"/>
          <w:sz w:val="15"/>
        </w:rPr>
        <w:t> </w:t>
      </w:r>
      <w:r>
        <w:rPr>
          <w:i/>
          <w:sz w:val="15"/>
        </w:rPr>
        <w:t>organisation.</w:t>
      </w:r>
    </w:p>
    <w:p>
      <w:pPr>
        <w:pStyle w:val="ListParagraph"/>
        <w:numPr>
          <w:ilvl w:val="0"/>
          <w:numId w:val="37"/>
        </w:numPr>
        <w:tabs>
          <w:tab w:pos="863" w:val="left" w:leader="none"/>
        </w:tabs>
        <w:spacing w:line="172" w:lineRule="exact" w:before="0" w:after="0"/>
        <w:ind w:left="862" w:right="0" w:hanging="97"/>
        <w:jc w:val="left"/>
        <w:rPr>
          <w:i/>
          <w:sz w:val="15"/>
        </w:rPr>
      </w:pPr>
      <w:r>
        <w:rPr>
          <w:i/>
          <w:sz w:val="15"/>
        </w:rPr>
        <w:t>Approved FTE target for 2016-17 was</w:t>
      </w:r>
      <w:r>
        <w:rPr>
          <w:i/>
          <w:spacing w:val="-8"/>
          <w:sz w:val="15"/>
        </w:rPr>
        <w:t> </w:t>
      </w:r>
      <w:r>
        <w:rPr>
          <w:i/>
          <w:spacing w:val="-5"/>
          <w:sz w:val="15"/>
        </w:rPr>
        <w:t>1,165.</w:t>
      </w:r>
    </w:p>
    <w:p>
      <w:pPr>
        <w:pStyle w:val="BodyText"/>
        <w:rPr>
          <w:i/>
          <w:sz w:val="16"/>
        </w:rPr>
      </w:pPr>
    </w:p>
    <w:p>
      <w:pPr>
        <w:pStyle w:val="Heading6"/>
        <w:spacing w:before="134"/>
      </w:pPr>
      <w:r>
        <w:rPr/>
        <w:t>Industrial relations</w:t>
      </w:r>
    </w:p>
    <w:p>
      <w:pPr>
        <w:pStyle w:val="BodyText"/>
        <w:spacing w:line="249" w:lineRule="auto" w:before="11"/>
        <w:ind w:left="765" w:right="-6"/>
      </w:pPr>
      <w:r>
        <w:rPr>
          <w:spacing w:val="-4"/>
        </w:rPr>
        <w:t>The </w:t>
      </w:r>
      <w:r>
        <w:rPr>
          <w:spacing w:val="-5"/>
        </w:rPr>
        <w:t>majority </w:t>
      </w:r>
      <w:r>
        <w:rPr>
          <w:spacing w:val="-3"/>
        </w:rPr>
        <w:t>of </w:t>
      </w:r>
      <w:r>
        <w:rPr>
          <w:spacing w:val="-5"/>
        </w:rPr>
        <w:t>Department </w:t>
      </w:r>
      <w:r>
        <w:rPr>
          <w:spacing w:val="-3"/>
        </w:rPr>
        <w:t>of </w:t>
      </w:r>
      <w:r>
        <w:rPr>
          <w:spacing w:val="-5"/>
        </w:rPr>
        <w:t>Finance staff are employed</w:t>
      </w:r>
      <w:r>
        <w:rPr>
          <w:spacing w:val="-21"/>
        </w:rPr>
        <w:t> </w:t>
      </w:r>
      <w:r>
        <w:rPr>
          <w:spacing w:val="-4"/>
        </w:rPr>
        <w:t>under</w:t>
      </w:r>
      <w:r>
        <w:rPr>
          <w:spacing w:val="-21"/>
        </w:rPr>
        <w:t> </w:t>
      </w:r>
      <w:r>
        <w:rPr>
          <w:spacing w:val="-4"/>
        </w:rPr>
        <w:t>the</w:t>
      </w:r>
      <w:r>
        <w:rPr>
          <w:spacing w:val="-21"/>
        </w:rPr>
        <w:t> </w:t>
      </w:r>
      <w:r>
        <w:rPr>
          <w:spacing w:val="-5"/>
        </w:rPr>
        <w:t>Public</w:t>
      </w:r>
      <w:r>
        <w:rPr>
          <w:spacing w:val="-21"/>
        </w:rPr>
        <w:t> </w:t>
      </w:r>
      <w:r>
        <w:rPr>
          <w:spacing w:val="-5"/>
        </w:rPr>
        <w:t>Service</w:t>
      </w:r>
      <w:r>
        <w:rPr>
          <w:spacing w:val="-21"/>
        </w:rPr>
        <w:t> </w:t>
      </w:r>
      <w:r>
        <w:rPr>
          <w:spacing w:val="-6"/>
        </w:rPr>
        <w:t>Award</w:t>
      </w:r>
      <w:r>
        <w:rPr>
          <w:spacing w:val="-21"/>
        </w:rPr>
        <w:t> </w:t>
      </w:r>
      <w:r>
        <w:rPr>
          <w:spacing w:val="-4"/>
        </w:rPr>
        <w:t>1992</w:t>
      </w:r>
      <w:r>
        <w:rPr>
          <w:spacing w:val="-21"/>
        </w:rPr>
        <w:t> </w:t>
      </w:r>
      <w:r>
        <w:rPr>
          <w:spacing w:val="-5"/>
        </w:rPr>
        <w:t>and Public Service </w:t>
      </w:r>
      <w:r>
        <w:rPr>
          <w:spacing w:val="-4"/>
        </w:rPr>
        <w:t>and </w:t>
      </w:r>
      <w:r>
        <w:rPr>
          <w:spacing w:val="-5"/>
        </w:rPr>
        <w:t>Government Officers General Agreement </w:t>
      </w:r>
      <w:r>
        <w:rPr>
          <w:spacing w:val="-4"/>
        </w:rPr>
        <w:t>2014. Five </w:t>
      </w:r>
      <w:r>
        <w:rPr>
          <w:spacing w:val="-5"/>
        </w:rPr>
        <w:t>senior officers are employed </w:t>
      </w:r>
      <w:r>
        <w:rPr>
          <w:spacing w:val="-4"/>
        </w:rPr>
        <w:t>under</w:t>
      </w:r>
      <w:r>
        <w:rPr>
          <w:spacing w:val="-31"/>
        </w:rPr>
        <w:t> </w:t>
      </w:r>
      <w:r>
        <w:rPr>
          <w:spacing w:val="-4"/>
        </w:rPr>
        <w:t>the</w:t>
      </w:r>
      <w:r>
        <w:rPr>
          <w:spacing w:val="-30"/>
        </w:rPr>
        <w:t> </w:t>
      </w:r>
      <w:r>
        <w:rPr>
          <w:i/>
          <w:spacing w:val="-5"/>
        </w:rPr>
        <w:t>Salaries</w:t>
      </w:r>
      <w:r>
        <w:rPr>
          <w:i/>
          <w:spacing w:val="-31"/>
        </w:rPr>
        <w:t> </w:t>
      </w:r>
      <w:r>
        <w:rPr>
          <w:i/>
          <w:spacing w:val="-4"/>
        </w:rPr>
        <w:t>and</w:t>
      </w:r>
      <w:r>
        <w:rPr>
          <w:i/>
          <w:spacing w:val="-30"/>
        </w:rPr>
        <w:t> </w:t>
      </w:r>
      <w:r>
        <w:rPr>
          <w:i/>
          <w:spacing w:val="-5"/>
        </w:rPr>
        <w:t>Allowances</w:t>
      </w:r>
      <w:r>
        <w:rPr>
          <w:i/>
          <w:spacing w:val="-30"/>
        </w:rPr>
        <w:t> </w:t>
      </w:r>
      <w:r>
        <w:rPr>
          <w:i/>
          <w:spacing w:val="-7"/>
        </w:rPr>
        <w:t>Tribunal</w:t>
      </w:r>
      <w:r>
        <w:rPr>
          <w:i/>
          <w:spacing w:val="-31"/>
        </w:rPr>
        <w:t> </w:t>
      </w:r>
      <w:r>
        <w:rPr>
          <w:i/>
          <w:spacing w:val="-4"/>
        </w:rPr>
        <w:t>Act</w:t>
      </w:r>
      <w:r>
        <w:rPr>
          <w:i/>
          <w:spacing w:val="-30"/>
        </w:rPr>
        <w:t> </w:t>
      </w:r>
      <w:r>
        <w:rPr>
          <w:i/>
          <w:spacing w:val="-4"/>
        </w:rPr>
        <w:t>1975</w:t>
      </w:r>
      <w:r>
        <w:rPr>
          <w:spacing w:val="-4"/>
        </w:rPr>
        <w:t>.</w:t>
      </w:r>
    </w:p>
    <w:p>
      <w:pPr>
        <w:pStyle w:val="BodyText"/>
        <w:spacing w:before="4"/>
        <w:rPr>
          <w:sz w:val="23"/>
        </w:rPr>
      </w:pPr>
    </w:p>
    <w:p>
      <w:pPr>
        <w:pStyle w:val="BodyText"/>
        <w:spacing w:line="249" w:lineRule="auto"/>
        <w:ind w:left="765" w:right="414"/>
      </w:pPr>
      <w:r>
        <w:rPr>
          <w:spacing w:val="-4"/>
        </w:rPr>
        <w:t>The </w:t>
      </w:r>
      <w:r>
        <w:rPr>
          <w:spacing w:val="-5"/>
        </w:rPr>
        <w:t>Department </w:t>
      </w:r>
      <w:r>
        <w:rPr>
          <w:spacing w:val="-4"/>
        </w:rPr>
        <w:t>also has </w:t>
      </w:r>
      <w:r>
        <w:rPr>
          <w:spacing w:val="-3"/>
        </w:rPr>
        <w:t>an </w:t>
      </w:r>
      <w:r>
        <w:rPr>
          <w:spacing w:val="-5"/>
        </w:rPr>
        <w:t>Agency Specific Agreement </w:t>
      </w:r>
      <w:r>
        <w:rPr>
          <w:spacing w:val="-3"/>
        </w:rPr>
        <w:t>in </w:t>
      </w:r>
      <w:r>
        <w:rPr>
          <w:spacing w:val="-4"/>
        </w:rPr>
        <w:t>place with </w:t>
      </w:r>
      <w:r>
        <w:rPr>
          <w:spacing w:val="-5"/>
        </w:rPr>
        <w:t>provisions </w:t>
      </w:r>
      <w:r>
        <w:rPr>
          <w:spacing w:val="-4"/>
        </w:rPr>
        <w:t>for </w:t>
      </w:r>
      <w:r>
        <w:rPr/>
        <w:t>a </w:t>
      </w:r>
      <w:r>
        <w:rPr>
          <w:spacing w:val="-5"/>
        </w:rPr>
        <w:t>wellness program, </w:t>
      </w:r>
      <w:r>
        <w:rPr>
          <w:spacing w:val="-4"/>
        </w:rPr>
        <w:t>motor </w:t>
      </w:r>
      <w:r>
        <w:rPr>
          <w:spacing w:val="-5"/>
        </w:rPr>
        <w:t>vehicle allowance for business</w:t>
      </w:r>
      <w:r>
        <w:rPr>
          <w:spacing w:val="-37"/>
        </w:rPr>
        <w:t> </w:t>
      </w:r>
      <w:r>
        <w:rPr>
          <w:spacing w:val="-4"/>
        </w:rPr>
        <w:t>use</w:t>
      </w:r>
      <w:r>
        <w:rPr>
          <w:spacing w:val="-36"/>
        </w:rPr>
        <w:t> </w:t>
      </w:r>
      <w:r>
        <w:rPr>
          <w:spacing w:val="-4"/>
        </w:rPr>
        <w:t>and</w:t>
      </w:r>
      <w:r>
        <w:rPr>
          <w:spacing w:val="-36"/>
        </w:rPr>
        <w:t> </w:t>
      </w:r>
      <w:r>
        <w:rPr>
          <w:spacing w:val="-4"/>
        </w:rPr>
        <w:t>flexible</w:t>
      </w:r>
      <w:r>
        <w:rPr>
          <w:spacing w:val="-36"/>
        </w:rPr>
        <w:t> </w:t>
      </w:r>
      <w:r>
        <w:rPr>
          <w:spacing w:val="-5"/>
        </w:rPr>
        <w:t>working</w:t>
      </w:r>
      <w:r>
        <w:rPr>
          <w:spacing w:val="-37"/>
        </w:rPr>
        <w:t> </w:t>
      </w:r>
      <w:r>
        <w:rPr>
          <w:spacing w:val="-5"/>
        </w:rPr>
        <w:t>arrangements.</w:t>
      </w:r>
    </w:p>
    <w:p>
      <w:pPr>
        <w:pStyle w:val="BodyText"/>
        <w:spacing w:line="249" w:lineRule="auto" w:before="142"/>
        <w:ind w:left="390" w:right="81"/>
      </w:pPr>
      <w:r>
        <w:rPr/>
        <w:br w:type="column"/>
      </w:r>
      <w:r>
        <w:rPr>
          <w:spacing w:val="-4"/>
        </w:rPr>
        <w:t>Our </w:t>
      </w:r>
      <w:r>
        <w:rPr>
          <w:spacing w:val="-5"/>
        </w:rPr>
        <w:t>commitment </w:t>
      </w:r>
      <w:r>
        <w:rPr>
          <w:spacing w:val="-3"/>
        </w:rPr>
        <w:t>to </w:t>
      </w:r>
      <w:r>
        <w:rPr>
          <w:spacing w:val="-5"/>
        </w:rPr>
        <w:t>providing </w:t>
      </w:r>
      <w:r>
        <w:rPr/>
        <w:t>a </w:t>
      </w:r>
      <w:r>
        <w:rPr>
          <w:spacing w:val="-5"/>
        </w:rPr>
        <w:t>supportive work environment</w:t>
      </w:r>
      <w:r>
        <w:rPr>
          <w:spacing w:val="-27"/>
        </w:rPr>
        <w:t> </w:t>
      </w:r>
      <w:r>
        <w:rPr>
          <w:spacing w:val="-3"/>
        </w:rPr>
        <w:t>is</w:t>
      </w:r>
      <w:r>
        <w:rPr>
          <w:spacing w:val="-27"/>
        </w:rPr>
        <w:t> </w:t>
      </w:r>
      <w:r>
        <w:rPr>
          <w:spacing w:val="-5"/>
        </w:rPr>
        <w:t>reflected</w:t>
      </w:r>
      <w:r>
        <w:rPr>
          <w:spacing w:val="-26"/>
        </w:rPr>
        <w:t> </w:t>
      </w:r>
      <w:r>
        <w:rPr>
          <w:spacing w:val="-3"/>
        </w:rPr>
        <w:t>in</w:t>
      </w:r>
      <w:r>
        <w:rPr>
          <w:spacing w:val="-27"/>
        </w:rPr>
        <w:t> </w:t>
      </w:r>
      <w:r>
        <w:rPr>
          <w:spacing w:val="-4"/>
        </w:rPr>
        <w:t>the</w:t>
      </w:r>
      <w:r>
        <w:rPr>
          <w:spacing w:val="-26"/>
        </w:rPr>
        <w:t> </w:t>
      </w:r>
      <w:r>
        <w:rPr>
          <w:spacing w:val="-5"/>
        </w:rPr>
        <w:t>importance</w:t>
      </w:r>
      <w:r>
        <w:rPr>
          <w:spacing w:val="-27"/>
        </w:rPr>
        <w:t> </w:t>
      </w:r>
      <w:r>
        <w:rPr>
          <w:spacing w:val="-3"/>
        </w:rPr>
        <w:t>we</w:t>
      </w:r>
      <w:r>
        <w:rPr>
          <w:spacing w:val="-26"/>
        </w:rPr>
        <w:t> </w:t>
      </w:r>
      <w:r>
        <w:rPr>
          <w:spacing w:val="-5"/>
        </w:rPr>
        <w:t>place </w:t>
      </w:r>
      <w:r>
        <w:rPr>
          <w:spacing w:val="-3"/>
        </w:rPr>
        <w:t>on </w:t>
      </w:r>
      <w:r>
        <w:rPr>
          <w:spacing w:val="-5"/>
        </w:rPr>
        <w:t>managing </w:t>
      </w:r>
      <w:r>
        <w:rPr>
          <w:spacing w:val="-4"/>
        </w:rPr>
        <w:t>and </w:t>
      </w:r>
      <w:r>
        <w:rPr>
          <w:spacing w:val="-5"/>
        </w:rPr>
        <w:t>developing </w:t>
      </w:r>
      <w:r>
        <w:rPr>
          <w:spacing w:val="-4"/>
        </w:rPr>
        <w:t>our </w:t>
      </w:r>
      <w:r>
        <w:rPr>
          <w:spacing w:val="-5"/>
        </w:rPr>
        <w:t>people. </w:t>
      </w:r>
      <w:r>
        <w:rPr>
          <w:spacing w:val="-4"/>
        </w:rPr>
        <w:t>Find </w:t>
      </w:r>
      <w:r>
        <w:rPr>
          <w:spacing w:val="-5"/>
        </w:rPr>
        <w:t>out more </w:t>
      </w:r>
      <w:r>
        <w:rPr>
          <w:spacing w:val="-3"/>
        </w:rPr>
        <w:t>on </w:t>
      </w:r>
      <w:r>
        <w:rPr>
          <w:spacing w:val="-4"/>
        </w:rPr>
        <w:t>page</w:t>
      </w:r>
      <w:r>
        <w:rPr>
          <w:spacing w:val="-21"/>
        </w:rPr>
        <w:t> </w:t>
      </w:r>
      <w:hyperlink w:history="true" w:anchor="_bookmark14">
        <w:r>
          <w:rPr>
            <w:color w:val="A7BE39"/>
            <w:spacing w:val="-4"/>
            <w:u w:val="single" w:color="A7BE39"/>
          </w:rPr>
          <w:t>21</w:t>
        </w:r>
      </w:hyperlink>
      <w:r>
        <w:rPr>
          <w:spacing w:val="-4"/>
        </w:rPr>
        <w:t>.</w:t>
      </w:r>
    </w:p>
    <w:p>
      <w:pPr>
        <w:pStyle w:val="BodyText"/>
        <w:spacing w:before="3"/>
        <w:rPr>
          <w:sz w:val="23"/>
        </w:rPr>
      </w:pPr>
    </w:p>
    <w:p>
      <w:pPr>
        <w:pStyle w:val="Heading6"/>
        <w:ind w:left="390"/>
      </w:pPr>
      <w:r>
        <w:rPr>
          <w:spacing w:val="-6"/>
        </w:rPr>
        <w:t>Workers’</w:t>
      </w:r>
      <w:r>
        <w:rPr>
          <w:spacing w:val="3"/>
        </w:rPr>
        <w:t> </w:t>
      </w:r>
      <w:r>
        <w:rPr>
          <w:spacing w:val="-5"/>
        </w:rPr>
        <w:t>compensation</w:t>
      </w:r>
    </w:p>
    <w:p>
      <w:pPr>
        <w:pStyle w:val="BodyText"/>
        <w:spacing w:line="249" w:lineRule="auto" w:before="11"/>
        <w:ind w:left="390" w:right="137"/>
      </w:pPr>
      <w:r>
        <w:rPr/>
        <w:pict>
          <v:shape style="position:absolute;margin-left:300.472412pt;margin-top:55.894772pt;width:241.05pt;height:58.85pt;mso-position-horizontal-relative:page;mso-position-vertical-relative:paragraph;z-index:37360"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9"/>
                    <w:gridCol w:w="1020"/>
                    <w:gridCol w:w="1020"/>
                    <w:gridCol w:w="1020"/>
                  </w:tblGrid>
                  <w:tr>
                    <w:trPr>
                      <w:trHeight w:val="305" w:hRule="atLeast"/>
                    </w:trPr>
                    <w:tc>
                      <w:tcPr>
                        <w:tcW w:w="1729" w:type="dxa"/>
                        <w:tcBorders>
                          <w:left w:val="single" w:sz="8" w:space="0" w:color="FFFFFF"/>
                        </w:tcBorders>
                        <w:shd w:val="clear" w:color="auto" w:fill="783A79"/>
                      </w:tcPr>
                      <w:p>
                        <w:pPr>
                          <w:pStyle w:val="TableParagraph"/>
                          <w:spacing w:before="42"/>
                          <w:ind w:left="113"/>
                          <w:rPr>
                            <w:b/>
                            <w:sz w:val="19"/>
                          </w:rPr>
                        </w:pPr>
                        <w:r>
                          <w:rPr>
                            <w:b/>
                            <w:color w:val="FFFFFF"/>
                            <w:sz w:val="19"/>
                          </w:rPr>
                          <w:t>Claims</w:t>
                        </w:r>
                      </w:p>
                    </w:tc>
                    <w:tc>
                      <w:tcPr>
                        <w:tcW w:w="1020" w:type="dxa"/>
                        <w:shd w:val="clear" w:color="auto" w:fill="783A79"/>
                      </w:tcPr>
                      <w:p>
                        <w:pPr>
                          <w:pStyle w:val="TableParagraph"/>
                          <w:spacing w:before="42"/>
                          <w:ind w:left="150" w:right="130"/>
                          <w:jc w:val="center"/>
                          <w:rPr>
                            <w:b/>
                            <w:sz w:val="19"/>
                          </w:rPr>
                        </w:pPr>
                        <w:r>
                          <w:rPr>
                            <w:b/>
                            <w:color w:val="FFFFFF"/>
                            <w:sz w:val="19"/>
                          </w:rPr>
                          <w:t>2016-17</w:t>
                        </w:r>
                      </w:p>
                    </w:tc>
                    <w:tc>
                      <w:tcPr>
                        <w:tcW w:w="1020" w:type="dxa"/>
                        <w:shd w:val="clear" w:color="auto" w:fill="783A79"/>
                      </w:tcPr>
                      <w:p>
                        <w:pPr>
                          <w:pStyle w:val="TableParagraph"/>
                          <w:spacing w:before="42"/>
                          <w:ind w:left="151" w:right="130"/>
                          <w:jc w:val="center"/>
                          <w:rPr>
                            <w:b/>
                            <w:sz w:val="19"/>
                          </w:rPr>
                        </w:pPr>
                        <w:r>
                          <w:rPr>
                            <w:b/>
                            <w:color w:val="FFFFFF"/>
                            <w:sz w:val="19"/>
                          </w:rPr>
                          <w:t>2015-16</w:t>
                        </w:r>
                      </w:p>
                    </w:tc>
                    <w:tc>
                      <w:tcPr>
                        <w:tcW w:w="1020" w:type="dxa"/>
                        <w:shd w:val="clear" w:color="auto" w:fill="783A79"/>
                      </w:tcPr>
                      <w:p>
                        <w:pPr>
                          <w:pStyle w:val="TableParagraph"/>
                          <w:spacing w:before="42"/>
                          <w:ind w:left="151" w:right="129"/>
                          <w:jc w:val="center"/>
                          <w:rPr>
                            <w:b/>
                            <w:sz w:val="19"/>
                          </w:rPr>
                        </w:pPr>
                        <w:r>
                          <w:rPr>
                            <w:b/>
                            <w:color w:val="FFFFFF"/>
                            <w:sz w:val="19"/>
                          </w:rPr>
                          <w:t>2014-15</w:t>
                        </w:r>
                      </w:p>
                    </w:tc>
                  </w:tr>
                  <w:tr>
                    <w:trPr>
                      <w:trHeight w:val="263" w:hRule="atLeast"/>
                    </w:trPr>
                    <w:tc>
                      <w:tcPr>
                        <w:tcW w:w="1729" w:type="dxa"/>
                        <w:tcBorders>
                          <w:left w:val="single" w:sz="8" w:space="0" w:color="FFFFFF"/>
                        </w:tcBorders>
                        <w:shd w:val="clear" w:color="auto" w:fill="F4F4F4"/>
                      </w:tcPr>
                      <w:p>
                        <w:pPr>
                          <w:pStyle w:val="TableParagraph"/>
                          <w:spacing w:line="201" w:lineRule="exact" w:before="42"/>
                          <w:ind w:left="113"/>
                          <w:rPr>
                            <w:sz w:val="19"/>
                          </w:rPr>
                        </w:pPr>
                        <w:r>
                          <w:rPr>
                            <w:sz w:val="19"/>
                          </w:rPr>
                          <w:t>Workers’</w:t>
                        </w:r>
                      </w:p>
                    </w:tc>
                    <w:tc>
                      <w:tcPr>
                        <w:tcW w:w="1020" w:type="dxa"/>
                        <w:shd w:val="clear" w:color="auto" w:fill="DFE1B8"/>
                      </w:tcPr>
                      <w:p>
                        <w:pPr>
                          <w:pStyle w:val="TableParagraph"/>
                          <w:spacing w:line="201" w:lineRule="exact" w:before="42"/>
                          <w:ind w:left="20"/>
                          <w:jc w:val="center"/>
                          <w:rPr>
                            <w:sz w:val="19"/>
                          </w:rPr>
                        </w:pPr>
                        <w:r>
                          <w:rPr>
                            <w:w w:val="99"/>
                            <w:sz w:val="19"/>
                          </w:rPr>
                          <w:t>4</w:t>
                        </w:r>
                      </w:p>
                    </w:tc>
                    <w:tc>
                      <w:tcPr>
                        <w:tcW w:w="1020" w:type="dxa"/>
                        <w:tcBorders>
                          <w:right w:val="single" w:sz="8" w:space="0" w:color="FFFFFF"/>
                        </w:tcBorders>
                        <w:shd w:val="clear" w:color="auto" w:fill="F4F4F4"/>
                      </w:tcPr>
                      <w:p>
                        <w:pPr>
                          <w:pStyle w:val="TableParagraph"/>
                          <w:spacing w:line="201" w:lineRule="exact" w:before="42"/>
                          <w:ind w:left="31"/>
                          <w:jc w:val="center"/>
                          <w:rPr>
                            <w:sz w:val="19"/>
                          </w:rPr>
                        </w:pPr>
                        <w:r>
                          <w:rPr>
                            <w:w w:val="99"/>
                            <w:sz w:val="19"/>
                          </w:rPr>
                          <w:t>6</w:t>
                        </w:r>
                      </w:p>
                    </w:tc>
                    <w:tc>
                      <w:tcPr>
                        <w:tcW w:w="1020" w:type="dxa"/>
                        <w:tcBorders>
                          <w:left w:val="single" w:sz="8" w:space="0" w:color="FFFFFF"/>
                          <w:right w:val="single" w:sz="8" w:space="0" w:color="FFFFFF"/>
                        </w:tcBorders>
                        <w:shd w:val="clear" w:color="auto" w:fill="F4F4F4"/>
                      </w:tcPr>
                      <w:p>
                        <w:pPr>
                          <w:pStyle w:val="TableParagraph"/>
                          <w:spacing w:line="201" w:lineRule="exact" w:before="42"/>
                          <w:ind w:left="22"/>
                          <w:jc w:val="center"/>
                          <w:rPr>
                            <w:sz w:val="19"/>
                          </w:rPr>
                        </w:pPr>
                        <w:r>
                          <w:rPr>
                            <w:w w:val="99"/>
                            <w:sz w:val="19"/>
                          </w:rPr>
                          <w:t>3</w:t>
                        </w:r>
                      </w:p>
                    </w:tc>
                  </w:tr>
                  <w:tr>
                    <w:trPr>
                      <w:trHeight w:val="260" w:hRule="atLeast"/>
                    </w:trPr>
                    <w:tc>
                      <w:tcPr>
                        <w:tcW w:w="1729" w:type="dxa"/>
                        <w:tcBorders>
                          <w:left w:val="single" w:sz="8" w:space="0" w:color="FFFFFF"/>
                          <w:bottom w:val="single" w:sz="8" w:space="0" w:color="FFFFFF"/>
                        </w:tcBorders>
                        <w:shd w:val="clear" w:color="auto" w:fill="F4F4F4"/>
                      </w:tcPr>
                      <w:p>
                        <w:pPr>
                          <w:pStyle w:val="TableParagraph"/>
                          <w:spacing w:before="7"/>
                          <w:ind w:left="113"/>
                          <w:rPr>
                            <w:sz w:val="19"/>
                          </w:rPr>
                        </w:pPr>
                        <w:r>
                          <w:rPr>
                            <w:sz w:val="19"/>
                          </w:rPr>
                          <w:t>compensation</w:t>
                        </w:r>
                      </w:p>
                    </w:tc>
                    <w:tc>
                      <w:tcPr>
                        <w:tcW w:w="1020" w:type="dxa"/>
                        <w:shd w:val="clear" w:color="auto" w:fill="DFE1B8"/>
                      </w:tcPr>
                      <w:p>
                        <w:pPr>
                          <w:pStyle w:val="TableParagraph"/>
                          <w:spacing w:before="0"/>
                          <w:rPr>
                            <w:rFonts w:ascii="Times New Roman"/>
                            <w:sz w:val="18"/>
                          </w:rPr>
                        </w:pPr>
                      </w:p>
                    </w:tc>
                    <w:tc>
                      <w:tcPr>
                        <w:tcW w:w="1020" w:type="dxa"/>
                        <w:tcBorders>
                          <w:right w:val="single" w:sz="8" w:space="0" w:color="FFFFFF"/>
                        </w:tcBorders>
                        <w:shd w:val="clear" w:color="auto" w:fill="F4F4F4"/>
                      </w:tcPr>
                      <w:p>
                        <w:pPr>
                          <w:pStyle w:val="TableParagraph"/>
                          <w:spacing w:before="0"/>
                          <w:rPr>
                            <w:rFonts w:ascii="Times New Roman"/>
                            <w:sz w:val="18"/>
                          </w:rPr>
                        </w:pPr>
                      </w:p>
                    </w:tc>
                    <w:tc>
                      <w:tcPr>
                        <w:tcW w:w="1020" w:type="dxa"/>
                        <w:tcBorders>
                          <w:left w:val="single" w:sz="8" w:space="0" w:color="FFFFFF"/>
                          <w:right w:val="single" w:sz="8" w:space="0" w:color="FFFFFF"/>
                        </w:tcBorders>
                        <w:shd w:val="clear" w:color="auto" w:fill="F4F4F4"/>
                      </w:tcPr>
                      <w:p>
                        <w:pPr>
                          <w:pStyle w:val="TableParagraph"/>
                          <w:spacing w:before="0"/>
                          <w:rPr>
                            <w:rFonts w:ascii="Times New Roman"/>
                            <w:sz w:val="18"/>
                          </w:rPr>
                        </w:pPr>
                      </w:p>
                    </w:tc>
                  </w:tr>
                  <w:tr>
                    <w:trPr>
                      <w:trHeight w:val="307" w:hRule="atLeast"/>
                    </w:trPr>
                    <w:tc>
                      <w:tcPr>
                        <w:tcW w:w="1729"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Lost time injuries</w:t>
                        </w:r>
                      </w:p>
                    </w:tc>
                    <w:tc>
                      <w:tcPr>
                        <w:tcW w:w="1020" w:type="dxa"/>
                        <w:shd w:val="clear" w:color="auto" w:fill="DFE1B8"/>
                      </w:tcPr>
                      <w:p>
                        <w:pPr>
                          <w:pStyle w:val="TableParagraph"/>
                          <w:ind w:left="20"/>
                          <w:jc w:val="center"/>
                          <w:rPr>
                            <w:sz w:val="19"/>
                          </w:rPr>
                        </w:pPr>
                        <w:r>
                          <w:rPr>
                            <w:w w:val="99"/>
                            <w:sz w:val="19"/>
                          </w:rPr>
                          <w:t>2</w:t>
                        </w:r>
                      </w:p>
                    </w:tc>
                    <w:tc>
                      <w:tcPr>
                        <w:tcW w:w="1020" w:type="dxa"/>
                        <w:tcBorders>
                          <w:bottom w:val="single" w:sz="8" w:space="0" w:color="FFFFFF"/>
                          <w:right w:val="single" w:sz="8" w:space="0" w:color="FFFFFF"/>
                        </w:tcBorders>
                        <w:shd w:val="clear" w:color="auto" w:fill="F4F4F4"/>
                      </w:tcPr>
                      <w:p>
                        <w:pPr>
                          <w:pStyle w:val="TableParagraph"/>
                          <w:ind w:left="31"/>
                          <w:jc w:val="center"/>
                          <w:rPr>
                            <w:sz w:val="19"/>
                          </w:rPr>
                        </w:pPr>
                        <w:r>
                          <w:rPr>
                            <w:w w:val="99"/>
                            <w:sz w:val="19"/>
                          </w:rPr>
                          <w:t>3</w:t>
                        </w:r>
                      </w:p>
                    </w:tc>
                    <w:tc>
                      <w:tcPr>
                        <w:tcW w:w="1020" w:type="dxa"/>
                        <w:tcBorders>
                          <w:left w:val="single" w:sz="8" w:space="0" w:color="FFFFFF"/>
                          <w:bottom w:val="single" w:sz="8" w:space="0" w:color="FFFFFF"/>
                          <w:right w:val="single" w:sz="8" w:space="0" w:color="FFFFFF"/>
                        </w:tcBorders>
                        <w:shd w:val="clear" w:color="auto" w:fill="F4F4F4"/>
                      </w:tcPr>
                      <w:p>
                        <w:pPr>
                          <w:pStyle w:val="TableParagraph"/>
                          <w:ind w:left="22"/>
                          <w:jc w:val="center"/>
                          <w:rPr>
                            <w:sz w:val="19"/>
                          </w:rPr>
                        </w:pPr>
                        <w:r>
                          <w:rPr>
                            <w:w w:val="99"/>
                            <w:sz w:val="19"/>
                          </w:rPr>
                          <w:t>2</w:t>
                        </w:r>
                      </w:p>
                    </w:tc>
                  </w:tr>
                </w:tbl>
                <w:p>
                  <w:pPr>
                    <w:pStyle w:val="BodyText"/>
                  </w:pPr>
                </w:p>
              </w:txbxContent>
            </v:textbox>
            <w10:wrap type="none"/>
          </v:shape>
        </w:pict>
      </w:r>
      <w:r>
        <w:rPr>
          <w:spacing w:val="-3"/>
        </w:rPr>
        <w:t>In</w:t>
      </w:r>
      <w:r>
        <w:rPr>
          <w:spacing w:val="-30"/>
        </w:rPr>
        <w:t> </w:t>
      </w:r>
      <w:r>
        <w:rPr>
          <w:spacing w:val="-5"/>
        </w:rPr>
        <w:t>accordance</w:t>
      </w:r>
      <w:r>
        <w:rPr>
          <w:spacing w:val="-30"/>
        </w:rPr>
        <w:t> </w:t>
      </w:r>
      <w:r>
        <w:rPr>
          <w:spacing w:val="-4"/>
        </w:rPr>
        <w:t>with</w:t>
      </w:r>
      <w:r>
        <w:rPr>
          <w:spacing w:val="-30"/>
        </w:rPr>
        <w:t> </w:t>
      </w:r>
      <w:r>
        <w:rPr>
          <w:spacing w:val="-10"/>
        </w:rPr>
        <w:t>Treasurer’s</w:t>
      </w:r>
      <w:r>
        <w:rPr>
          <w:spacing w:val="-30"/>
        </w:rPr>
        <w:t> </w:t>
      </w:r>
      <w:r>
        <w:rPr>
          <w:spacing w:val="-5"/>
        </w:rPr>
        <w:t>Instruction</w:t>
      </w:r>
      <w:r>
        <w:rPr>
          <w:spacing w:val="-30"/>
        </w:rPr>
        <w:t> </w:t>
      </w:r>
      <w:r>
        <w:rPr>
          <w:spacing w:val="-4"/>
        </w:rPr>
        <w:t>903</w:t>
      </w:r>
      <w:r>
        <w:rPr>
          <w:spacing w:val="-30"/>
        </w:rPr>
        <w:t> </w:t>
      </w:r>
      <w:r>
        <w:rPr>
          <w:spacing w:val="-5"/>
        </w:rPr>
        <w:t>(13), </w:t>
      </w:r>
      <w:r>
        <w:rPr>
          <w:spacing w:val="-4"/>
        </w:rPr>
        <w:t>the </w:t>
      </w:r>
      <w:r>
        <w:rPr>
          <w:spacing w:val="-5"/>
        </w:rPr>
        <w:t>Department </w:t>
      </w:r>
      <w:r>
        <w:rPr>
          <w:spacing w:val="-4"/>
        </w:rPr>
        <w:t>had the </w:t>
      </w:r>
      <w:r>
        <w:rPr>
          <w:spacing w:val="-5"/>
        </w:rPr>
        <w:t>following workers’ compensation</w:t>
      </w:r>
      <w:r>
        <w:rPr>
          <w:spacing w:val="-11"/>
        </w:rPr>
        <w:t> </w:t>
      </w:r>
      <w:r>
        <w:rPr>
          <w:spacing w:val="-6"/>
        </w:rPr>
        <w:t>disclosures.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49" w:lineRule="auto" w:before="201"/>
        <w:ind w:left="390" w:right="128"/>
      </w:pPr>
      <w:r>
        <w:rPr>
          <w:spacing w:val="-12"/>
        </w:rPr>
        <w:t>Two </w:t>
      </w:r>
      <w:r>
        <w:rPr>
          <w:spacing w:val="-4"/>
        </w:rPr>
        <w:t>out </w:t>
      </w:r>
      <w:r>
        <w:rPr>
          <w:spacing w:val="-3"/>
        </w:rPr>
        <w:t>of </w:t>
      </w:r>
      <w:r>
        <w:rPr>
          <w:spacing w:val="-4"/>
        </w:rPr>
        <w:t>the four </w:t>
      </w:r>
      <w:r>
        <w:rPr>
          <w:spacing w:val="-5"/>
        </w:rPr>
        <w:t>workers’ compensation claims lodged were </w:t>
      </w:r>
      <w:r>
        <w:rPr>
          <w:spacing w:val="-4"/>
        </w:rPr>
        <w:t>lost time </w:t>
      </w:r>
      <w:r>
        <w:rPr>
          <w:spacing w:val="-5"/>
        </w:rPr>
        <w:t>claims. </w:t>
      </w:r>
      <w:r>
        <w:rPr>
          <w:spacing w:val="-4"/>
        </w:rPr>
        <w:t>Both </w:t>
      </w:r>
      <w:r>
        <w:rPr>
          <w:spacing w:val="-5"/>
        </w:rPr>
        <w:t>employees returned </w:t>
      </w:r>
      <w:r>
        <w:rPr>
          <w:spacing w:val="-3"/>
        </w:rPr>
        <w:t>to </w:t>
      </w:r>
      <w:r>
        <w:rPr>
          <w:spacing w:val="-4"/>
        </w:rPr>
        <w:t>work </w:t>
      </w:r>
      <w:r>
        <w:rPr>
          <w:spacing w:val="-3"/>
        </w:rPr>
        <w:t>in 13 </w:t>
      </w:r>
      <w:r>
        <w:rPr>
          <w:spacing w:val="-5"/>
        </w:rPr>
        <w:t>weeks.</w:t>
      </w:r>
    </w:p>
    <w:p>
      <w:pPr>
        <w:pStyle w:val="BodyText"/>
        <w:spacing w:before="2"/>
        <w:rPr>
          <w:sz w:val="23"/>
        </w:rPr>
      </w:pPr>
    </w:p>
    <w:p>
      <w:pPr>
        <w:pStyle w:val="BodyText"/>
        <w:spacing w:line="249" w:lineRule="auto"/>
        <w:ind w:left="390" w:right="302"/>
      </w:pPr>
      <w:r>
        <w:rPr>
          <w:spacing w:val="-4"/>
        </w:rPr>
        <w:t>Both</w:t>
      </w:r>
      <w:r>
        <w:rPr>
          <w:spacing w:val="-27"/>
        </w:rPr>
        <w:t> </w:t>
      </w:r>
      <w:r>
        <w:rPr>
          <w:spacing w:val="-5"/>
        </w:rPr>
        <w:t>claims</w:t>
      </w:r>
      <w:r>
        <w:rPr>
          <w:spacing w:val="-26"/>
        </w:rPr>
        <w:t> </w:t>
      </w:r>
      <w:r>
        <w:rPr>
          <w:spacing w:val="-4"/>
        </w:rPr>
        <w:t>with</w:t>
      </w:r>
      <w:r>
        <w:rPr>
          <w:spacing w:val="-26"/>
        </w:rPr>
        <w:t> </w:t>
      </w:r>
      <w:r>
        <w:rPr>
          <w:spacing w:val="-6"/>
        </w:rPr>
        <w:t>registered</w:t>
      </w:r>
      <w:r>
        <w:rPr>
          <w:spacing w:val="-27"/>
        </w:rPr>
        <w:t> </w:t>
      </w:r>
      <w:r>
        <w:rPr>
          <w:spacing w:val="-4"/>
        </w:rPr>
        <w:t>lost</w:t>
      </w:r>
      <w:r>
        <w:rPr>
          <w:spacing w:val="-26"/>
        </w:rPr>
        <w:t> </w:t>
      </w:r>
      <w:r>
        <w:rPr>
          <w:spacing w:val="-4"/>
        </w:rPr>
        <w:t>time</w:t>
      </w:r>
      <w:r>
        <w:rPr>
          <w:spacing w:val="-26"/>
        </w:rPr>
        <w:t> </w:t>
      </w:r>
      <w:r>
        <w:rPr>
          <w:spacing w:val="-5"/>
        </w:rPr>
        <w:t>injuries</w:t>
      </w:r>
      <w:r>
        <w:rPr>
          <w:spacing w:val="-27"/>
        </w:rPr>
        <w:t> </w:t>
      </w:r>
      <w:r>
        <w:rPr>
          <w:spacing w:val="-5"/>
        </w:rPr>
        <w:t>were provided </w:t>
      </w:r>
      <w:r>
        <w:rPr>
          <w:spacing w:val="-4"/>
        </w:rPr>
        <w:t>with </w:t>
      </w:r>
      <w:r>
        <w:rPr>
          <w:spacing w:val="-5"/>
        </w:rPr>
        <w:t>specialised injury management assistance.</w:t>
      </w:r>
    </w:p>
    <w:p>
      <w:pPr>
        <w:pStyle w:val="BodyText"/>
        <w:spacing w:before="2"/>
        <w:rPr>
          <w:sz w:val="23"/>
        </w:rPr>
      </w:pPr>
    </w:p>
    <w:p>
      <w:pPr>
        <w:pStyle w:val="Heading6"/>
        <w:ind w:left="390"/>
      </w:pPr>
      <w:r>
        <w:rPr/>
        <w:t>Staff development</w:t>
      </w:r>
    </w:p>
    <w:p>
      <w:pPr>
        <w:pStyle w:val="BodyText"/>
        <w:spacing w:line="249" w:lineRule="auto" w:before="11"/>
        <w:ind w:left="390" w:right="-6"/>
      </w:pPr>
      <w:r>
        <w:rPr>
          <w:spacing w:val="-5"/>
        </w:rPr>
        <w:t>Leadership </w:t>
      </w:r>
      <w:r>
        <w:rPr>
          <w:spacing w:val="-4"/>
        </w:rPr>
        <w:t>and </w:t>
      </w:r>
      <w:r>
        <w:rPr>
          <w:spacing w:val="-5"/>
        </w:rPr>
        <w:t>expertise </w:t>
      </w:r>
      <w:r>
        <w:rPr>
          <w:spacing w:val="-3"/>
        </w:rPr>
        <w:t>is at </w:t>
      </w:r>
      <w:r>
        <w:rPr>
          <w:spacing w:val="-4"/>
        </w:rPr>
        <w:t>the heart </w:t>
      </w:r>
      <w:r>
        <w:rPr>
          <w:spacing w:val="-3"/>
        </w:rPr>
        <w:t>of </w:t>
      </w:r>
      <w:r>
        <w:rPr>
          <w:spacing w:val="-5"/>
        </w:rPr>
        <w:t>the </w:t>
      </w:r>
      <w:r>
        <w:rPr>
          <w:spacing w:val="-7"/>
        </w:rPr>
        <w:t>Department’s </w:t>
      </w:r>
      <w:r>
        <w:rPr>
          <w:spacing w:val="-5"/>
        </w:rPr>
        <w:t>professional development </w:t>
      </w:r>
      <w:r>
        <w:rPr>
          <w:spacing w:val="-6"/>
        </w:rPr>
        <w:t>programs, </w:t>
      </w:r>
      <w:r>
        <w:rPr>
          <w:spacing w:val="-3"/>
        </w:rPr>
        <w:t>in </w:t>
      </w:r>
      <w:r>
        <w:rPr>
          <w:spacing w:val="-5"/>
        </w:rPr>
        <w:t>alignment </w:t>
      </w:r>
      <w:r>
        <w:rPr>
          <w:spacing w:val="-4"/>
        </w:rPr>
        <w:t>with the </w:t>
      </w:r>
      <w:r>
        <w:rPr>
          <w:spacing w:val="-8"/>
        </w:rPr>
        <w:t>Agency’s </w:t>
      </w:r>
      <w:r>
        <w:rPr>
          <w:spacing w:val="-5"/>
        </w:rPr>
        <w:t>vision </w:t>
      </w:r>
      <w:r>
        <w:rPr>
          <w:spacing w:val="-3"/>
        </w:rPr>
        <w:t>to be </w:t>
      </w:r>
      <w:r>
        <w:rPr>
          <w:spacing w:val="-5"/>
        </w:rPr>
        <w:t>sought </w:t>
      </w:r>
      <w:r>
        <w:rPr>
          <w:spacing w:val="-4"/>
        </w:rPr>
        <w:t>out for its </w:t>
      </w:r>
      <w:r>
        <w:rPr>
          <w:spacing w:val="-5"/>
        </w:rPr>
        <w:t>trusted advice </w:t>
      </w:r>
      <w:r>
        <w:rPr>
          <w:spacing w:val="-3"/>
        </w:rPr>
        <w:t>to </w:t>
      </w:r>
      <w:r>
        <w:rPr>
          <w:spacing w:val="-5"/>
        </w:rPr>
        <w:t>improve </w:t>
      </w:r>
      <w:r>
        <w:rPr>
          <w:spacing w:val="-4"/>
        </w:rPr>
        <w:t>the </w:t>
      </w:r>
      <w:r>
        <w:rPr>
          <w:spacing w:val="-5"/>
        </w:rPr>
        <w:t>operations </w:t>
      </w:r>
      <w:r>
        <w:rPr>
          <w:spacing w:val="-4"/>
        </w:rPr>
        <w:t>and </w:t>
      </w:r>
      <w:r>
        <w:rPr>
          <w:spacing w:val="-5"/>
        </w:rPr>
        <w:t>management </w:t>
      </w:r>
      <w:r>
        <w:rPr>
          <w:spacing w:val="-3"/>
        </w:rPr>
        <w:t>of </w:t>
      </w:r>
      <w:r>
        <w:rPr>
          <w:spacing w:val="-5"/>
        </w:rPr>
        <w:t>services across </w:t>
      </w:r>
      <w:r>
        <w:rPr>
          <w:spacing w:val="-4"/>
        </w:rPr>
        <w:t>the </w:t>
      </w:r>
      <w:r>
        <w:rPr>
          <w:spacing w:val="-5"/>
        </w:rPr>
        <w:t>public </w:t>
      </w:r>
      <w:r>
        <w:rPr>
          <w:spacing w:val="-8"/>
        </w:rPr>
        <w:t>sector. Finance’s </w:t>
      </w:r>
      <w:r>
        <w:rPr>
          <w:spacing w:val="-5"/>
        </w:rPr>
        <w:t>professional development programs support planning processes, requiring all staff</w:t>
      </w:r>
      <w:r>
        <w:rPr>
          <w:spacing w:val="-24"/>
        </w:rPr>
        <w:t> </w:t>
      </w:r>
      <w:r>
        <w:rPr>
          <w:spacing w:val="-3"/>
        </w:rPr>
        <w:t>to</w:t>
      </w:r>
      <w:r>
        <w:rPr>
          <w:spacing w:val="-24"/>
        </w:rPr>
        <w:t> </w:t>
      </w:r>
      <w:r>
        <w:rPr>
          <w:spacing w:val="-5"/>
        </w:rPr>
        <w:t>formally</w:t>
      </w:r>
      <w:r>
        <w:rPr>
          <w:spacing w:val="-24"/>
        </w:rPr>
        <w:t> </w:t>
      </w:r>
      <w:r>
        <w:rPr>
          <w:spacing w:val="-4"/>
        </w:rPr>
        <w:t>meet</w:t>
      </w:r>
      <w:r>
        <w:rPr>
          <w:spacing w:val="-24"/>
        </w:rPr>
        <w:t> </w:t>
      </w:r>
      <w:r>
        <w:rPr>
          <w:spacing w:val="-4"/>
        </w:rPr>
        <w:t>with</w:t>
      </w:r>
      <w:r>
        <w:rPr>
          <w:spacing w:val="-24"/>
        </w:rPr>
        <w:t> </w:t>
      </w:r>
      <w:r>
        <w:rPr>
          <w:spacing w:val="-4"/>
        </w:rPr>
        <w:t>their</w:t>
      </w:r>
      <w:r>
        <w:rPr>
          <w:spacing w:val="-24"/>
        </w:rPr>
        <w:t> </w:t>
      </w:r>
      <w:r>
        <w:rPr>
          <w:spacing w:val="-5"/>
        </w:rPr>
        <w:t>manager</w:t>
      </w:r>
      <w:r>
        <w:rPr>
          <w:spacing w:val="-24"/>
        </w:rPr>
        <w:t> </w:t>
      </w:r>
      <w:r>
        <w:rPr>
          <w:spacing w:val="-5"/>
        </w:rPr>
        <w:t>three</w:t>
      </w:r>
      <w:r>
        <w:rPr>
          <w:spacing w:val="-24"/>
        </w:rPr>
        <w:t> </w:t>
      </w:r>
      <w:r>
        <w:rPr>
          <w:spacing w:val="-5"/>
        </w:rPr>
        <w:t>times </w:t>
      </w:r>
      <w:r>
        <w:rPr/>
        <w:t>a</w:t>
      </w:r>
      <w:r>
        <w:rPr>
          <w:spacing w:val="-21"/>
        </w:rPr>
        <w:t> </w:t>
      </w:r>
      <w:r>
        <w:rPr>
          <w:spacing w:val="-4"/>
        </w:rPr>
        <w:t>year</w:t>
      </w:r>
      <w:r>
        <w:rPr>
          <w:spacing w:val="-21"/>
        </w:rPr>
        <w:t> </w:t>
      </w:r>
      <w:r>
        <w:rPr>
          <w:spacing w:val="-3"/>
        </w:rPr>
        <w:t>to</w:t>
      </w:r>
      <w:r>
        <w:rPr>
          <w:spacing w:val="-21"/>
        </w:rPr>
        <w:t> </w:t>
      </w:r>
      <w:r>
        <w:rPr>
          <w:spacing w:val="-4"/>
        </w:rPr>
        <w:t>plan</w:t>
      </w:r>
      <w:r>
        <w:rPr>
          <w:spacing w:val="-21"/>
        </w:rPr>
        <w:t> </w:t>
      </w:r>
      <w:r>
        <w:rPr>
          <w:spacing w:val="-4"/>
        </w:rPr>
        <w:t>and</w:t>
      </w:r>
      <w:r>
        <w:rPr>
          <w:spacing w:val="-21"/>
        </w:rPr>
        <w:t> </w:t>
      </w:r>
      <w:r>
        <w:rPr>
          <w:spacing w:val="-4"/>
        </w:rPr>
        <w:t>set</w:t>
      </w:r>
      <w:r>
        <w:rPr>
          <w:spacing w:val="-21"/>
        </w:rPr>
        <w:t> </w:t>
      </w:r>
      <w:r>
        <w:rPr>
          <w:spacing w:val="-5"/>
        </w:rPr>
        <w:t>agreed</w:t>
      </w:r>
      <w:r>
        <w:rPr>
          <w:spacing w:val="-21"/>
        </w:rPr>
        <w:t> </w:t>
      </w:r>
      <w:r>
        <w:rPr>
          <w:spacing w:val="-4"/>
        </w:rPr>
        <w:t>goals</w:t>
      </w:r>
      <w:r>
        <w:rPr>
          <w:spacing w:val="-21"/>
        </w:rPr>
        <w:t> </w:t>
      </w:r>
      <w:r>
        <w:rPr>
          <w:spacing w:val="-4"/>
        </w:rPr>
        <w:t>and</w:t>
      </w:r>
      <w:r>
        <w:rPr>
          <w:spacing w:val="-21"/>
        </w:rPr>
        <w:t> </w:t>
      </w:r>
      <w:r>
        <w:rPr>
          <w:spacing w:val="-5"/>
        </w:rPr>
        <w:t>objectives, review</w:t>
      </w:r>
      <w:r>
        <w:rPr>
          <w:spacing w:val="-34"/>
        </w:rPr>
        <w:t> </w:t>
      </w:r>
      <w:r>
        <w:rPr>
          <w:spacing w:val="-5"/>
        </w:rPr>
        <w:t>outcomes</w:t>
      </w:r>
      <w:r>
        <w:rPr>
          <w:spacing w:val="-33"/>
        </w:rPr>
        <w:t> </w:t>
      </w:r>
      <w:r>
        <w:rPr>
          <w:spacing w:val="-5"/>
        </w:rPr>
        <w:t>achieved</w:t>
      </w:r>
      <w:r>
        <w:rPr>
          <w:spacing w:val="-34"/>
        </w:rPr>
        <w:t> </w:t>
      </w:r>
      <w:r>
        <w:rPr>
          <w:spacing w:val="-4"/>
        </w:rPr>
        <w:t>and</w:t>
      </w:r>
      <w:r>
        <w:rPr>
          <w:spacing w:val="-33"/>
        </w:rPr>
        <w:t> </w:t>
      </w:r>
      <w:r>
        <w:rPr>
          <w:spacing w:val="-5"/>
        </w:rPr>
        <w:t>identify</w:t>
      </w:r>
      <w:r>
        <w:rPr>
          <w:spacing w:val="-34"/>
        </w:rPr>
        <w:t> </w:t>
      </w:r>
      <w:r>
        <w:rPr>
          <w:spacing w:val="-5"/>
        </w:rPr>
        <w:t>development needs.</w:t>
      </w:r>
    </w:p>
    <w:p>
      <w:pPr>
        <w:pStyle w:val="BodyText"/>
        <w:spacing w:line="249" w:lineRule="auto" w:before="142"/>
        <w:ind w:left="476" w:right="1645"/>
      </w:pPr>
      <w:r>
        <w:rPr/>
        <w:br w:type="column"/>
      </w:r>
      <w:r>
        <w:rPr>
          <w:spacing w:val="-3"/>
        </w:rPr>
        <w:t>In </w:t>
      </w:r>
      <w:r>
        <w:rPr>
          <w:spacing w:val="-5"/>
        </w:rPr>
        <w:t>support </w:t>
      </w:r>
      <w:r>
        <w:rPr>
          <w:spacing w:val="-3"/>
        </w:rPr>
        <w:t>of </w:t>
      </w:r>
      <w:r>
        <w:rPr>
          <w:spacing w:val="-4"/>
        </w:rPr>
        <w:t>this, </w:t>
      </w:r>
      <w:r>
        <w:rPr/>
        <w:t>a </w:t>
      </w:r>
      <w:r>
        <w:rPr>
          <w:spacing w:val="-4"/>
        </w:rPr>
        <w:t>new </w:t>
      </w:r>
      <w:r>
        <w:rPr>
          <w:spacing w:val="-5"/>
        </w:rPr>
        <w:t>capability framework</w:t>
      </w:r>
      <w:r>
        <w:rPr>
          <w:spacing w:val="-28"/>
        </w:rPr>
        <w:t> </w:t>
      </w:r>
      <w:r>
        <w:rPr>
          <w:spacing w:val="-4"/>
        </w:rPr>
        <w:t>has</w:t>
      </w:r>
      <w:r>
        <w:rPr>
          <w:spacing w:val="-28"/>
        </w:rPr>
        <w:t> </w:t>
      </w:r>
      <w:r>
        <w:rPr>
          <w:spacing w:val="-4"/>
        </w:rPr>
        <w:t>been</w:t>
      </w:r>
      <w:r>
        <w:rPr>
          <w:spacing w:val="-27"/>
        </w:rPr>
        <w:t> </w:t>
      </w:r>
      <w:r>
        <w:rPr>
          <w:spacing w:val="-5"/>
        </w:rPr>
        <w:t>developed</w:t>
      </w:r>
      <w:r>
        <w:rPr>
          <w:spacing w:val="-28"/>
        </w:rPr>
        <w:t> </w:t>
      </w:r>
      <w:r>
        <w:rPr>
          <w:spacing w:val="-3"/>
        </w:rPr>
        <w:t>to</w:t>
      </w:r>
      <w:r>
        <w:rPr>
          <w:spacing w:val="-28"/>
        </w:rPr>
        <w:t> </w:t>
      </w:r>
      <w:r>
        <w:rPr>
          <w:spacing w:val="-5"/>
        </w:rPr>
        <w:t>enhance</w:t>
      </w:r>
    </w:p>
    <w:p>
      <w:pPr>
        <w:pStyle w:val="BodyText"/>
        <w:spacing w:line="249" w:lineRule="auto" w:before="2"/>
        <w:ind w:left="476" w:right="813"/>
      </w:pPr>
      <w:r>
        <w:rPr/>
        <w:pict>
          <v:group style="position:absolute;margin-left:763.172119pt;margin-top:-50.094242pt;width:61.1pt;height:45.2pt;mso-position-horizontal-relative:page;mso-position-vertical-relative:paragraph;z-index:37168" coordorigin="15263,-1002" coordsize="1222,904">
            <v:shape style="position:absolute;left:15424;top:-1002;width:900;height:904" coordorigin="15424,-1002" coordsize="900,904" path="m15874,-1002l15424,-552,15424,-549,15874,-99,16324,-549,16324,-552,15874,-1002xe" filled="true" fillcolor="#c4cd71" stroked="false">
              <v:path arrowok="t"/>
              <v:fill type="solid"/>
            </v:shape>
            <v:shape style="position:absolute;left:15263;top:-712;width:161;height:322" type="#_x0000_t75" stroked="false">
              <v:imagedata r:id="rId16" o:title=""/>
            </v:shape>
            <v:shape style="position:absolute;left:16324;top:-712;width:161;height:322" type="#_x0000_t75" stroked="false">
              <v:imagedata r:id="rId11" o:title=""/>
            </v:shape>
            <v:shape style="position:absolute;left:15263;top:-1002;width:1222;height:904" type="#_x0000_t202" filled="false" stroked="false">
              <v:textbox inset="0,0,0,0">
                <w:txbxContent>
                  <w:p>
                    <w:pPr>
                      <w:spacing w:line="240" w:lineRule="auto" w:before="8"/>
                      <w:rPr>
                        <w:b/>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spacing w:val="-5"/>
        </w:rPr>
        <w:t>employee</w:t>
      </w:r>
      <w:r>
        <w:rPr>
          <w:spacing w:val="-28"/>
        </w:rPr>
        <w:t> </w:t>
      </w:r>
      <w:r>
        <w:rPr>
          <w:spacing w:val="-5"/>
        </w:rPr>
        <w:t>agility</w:t>
      </w:r>
      <w:r>
        <w:rPr>
          <w:spacing w:val="-27"/>
        </w:rPr>
        <w:t> </w:t>
      </w:r>
      <w:r>
        <w:rPr>
          <w:spacing w:val="-4"/>
        </w:rPr>
        <w:t>and</w:t>
      </w:r>
      <w:r>
        <w:rPr>
          <w:spacing w:val="-27"/>
        </w:rPr>
        <w:t> </w:t>
      </w:r>
      <w:r>
        <w:rPr>
          <w:spacing w:val="-5"/>
        </w:rPr>
        <w:t>connectedness</w:t>
      </w:r>
      <w:r>
        <w:rPr>
          <w:spacing w:val="-28"/>
        </w:rPr>
        <w:t> </w:t>
      </w:r>
      <w:r>
        <w:rPr>
          <w:spacing w:val="-3"/>
        </w:rPr>
        <w:t>to</w:t>
      </w:r>
      <w:r>
        <w:rPr>
          <w:spacing w:val="-27"/>
        </w:rPr>
        <w:t> </w:t>
      </w:r>
      <w:r>
        <w:rPr>
          <w:spacing w:val="-4"/>
        </w:rPr>
        <w:t>the</w:t>
      </w:r>
      <w:r>
        <w:rPr>
          <w:spacing w:val="-27"/>
        </w:rPr>
        <w:t> </w:t>
      </w:r>
      <w:r>
        <w:rPr>
          <w:spacing w:val="-5"/>
        </w:rPr>
        <w:t>priorities </w:t>
      </w:r>
      <w:r>
        <w:rPr>
          <w:spacing w:val="-3"/>
        </w:rPr>
        <w:t>of </w:t>
      </w:r>
      <w:r>
        <w:rPr>
          <w:spacing w:val="-5"/>
        </w:rPr>
        <w:t>government. </w:t>
      </w:r>
      <w:r>
        <w:rPr>
          <w:spacing w:val="-4"/>
        </w:rPr>
        <w:t>The </w:t>
      </w:r>
      <w:r>
        <w:rPr>
          <w:spacing w:val="-5"/>
        </w:rPr>
        <w:t>framework enables managers </w:t>
      </w:r>
      <w:r>
        <w:rPr>
          <w:spacing w:val="-4"/>
        </w:rPr>
        <w:t>and </w:t>
      </w:r>
      <w:r>
        <w:rPr>
          <w:spacing w:val="-5"/>
        </w:rPr>
        <w:t>staff </w:t>
      </w:r>
      <w:r>
        <w:rPr>
          <w:spacing w:val="-3"/>
        </w:rPr>
        <w:t>to </w:t>
      </w:r>
      <w:r>
        <w:rPr>
          <w:spacing w:val="-4"/>
        </w:rPr>
        <w:t>work </w:t>
      </w:r>
      <w:r>
        <w:rPr>
          <w:spacing w:val="-5"/>
        </w:rPr>
        <w:t>together </w:t>
      </w:r>
      <w:r>
        <w:rPr>
          <w:spacing w:val="-3"/>
        </w:rPr>
        <w:t>to </w:t>
      </w:r>
      <w:r>
        <w:rPr>
          <w:spacing w:val="-4"/>
        </w:rPr>
        <w:t>build clear </w:t>
      </w:r>
      <w:r>
        <w:rPr>
          <w:spacing w:val="-5"/>
        </w:rPr>
        <w:t>and consistent expectations </w:t>
      </w:r>
      <w:r>
        <w:rPr>
          <w:spacing w:val="-4"/>
        </w:rPr>
        <w:t>and </w:t>
      </w:r>
      <w:r>
        <w:rPr>
          <w:spacing w:val="-5"/>
        </w:rPr>
        <w:t>identify development opportunities </w:t>
      </w:r>
      <w:r>
        <w:rPr>
          <w:spacing w:val="-4"/>
        </w:rPr>
        <w:t>for </w:t>
      </w:r>
      <w:r>
        <w:rPr>
          <w:spacing w:val="-5"/>
        </w:rPr>
        <w:t>staff </w:t>
      </w:r>
      <w:r>
        <w:rPr>
          <w:spacing w:val="-3"/>
        </w:rPr>
        <w:t>to </w:t>
      </w:r>
      <w:r>
        <w:rPr>
          <w:spacing w:val="-5"/>
        </w:rPr>
        <w:t>pursue, </w:t>
      </w:r>
      <w:r>
        <w:rPr>
          <w:spacing w:val="-3"/>
        </w:rPr>
        <w:t>in </w:t>
      </w:r>
      <w:r>
        <w:rPr>
          <w:spacing w:val="-5"/>
        </w:rPr>
        <w:t>alignment with government</w:t>
      </w:r>
      <w:r>
        <w:rPr>
          <w:spacing w:val="-19"/>
        </w:rPr>
        <w:t> </w:t>
      </w:r>
      <w:r>
        <w:rPr>
          <w:spacing w:val="-5"/>
        </w:rPr>
        <w:t>outcomes.</w:t>
      </w:r>
      <w:r>
        <w:rPr>
          <w:spacing w:val="-19"/>
        </w:rPr>
        <w:t> </w:t>
      </w:r>
      <w:r>
        <w:rPr>
          <w:spacing w:val="-4"/>
        </w:rPr>
        <w:t>Find</w:t>
      </w:r>
      <w:r>
        <w:rPr>
          <w:spacing w:val="-19"/>
        </w:rPr>
        <w:t> </w:t>
      </w:r>
      <w:r>
        <w:rPr>
          <w:spacing w:val="-4"/>
        </w:rPr>
        <w:t>out</w:t>
      </w:r>
      <w:r>
        <w:rPr>
          <w:spacing w:val="-19"/>
        </w:rPr>
        <w:t> </w:t>
      </w:r>
      <w:r>
        <w:rPr>
          <w:spacing w:val="-5"/>
        </w:rPr>
        <w:t>more</w:t>
      </w:r>
      <w:r>
        <w:rPr>
          <w:spacing w:val="-19"/>
        </w:rPr>
        <w:t> </w:t>
      </w:r>
      <w:r>
        <w:rPr>
          <w:spacing w:val="-3"/>
        </w:rPr>
        <w:t>on</w:t>
      </w:r>
      <w:r>
        <w:rPr>
          <w:spacing w:val="-19"/>
        </w:rPr>
        <w:t> </w:t>
      </w:r>
      <w:r>
        <w:rPr>
          <w:spacing w:val="-4"/>
        </w:rPr>
        <w:t>page</w:t>
      </w:r>
      <w:r>
        <w:rPr>
          <w:spacing w:val="-19"/>
        </w:rPr>
        <w:t> </w:t>
      </w:r>
      <w:hyperlink w:history="true" w:anchor="_bookmark70">
        <w:r>
          <w:rPr>
            <w:color w:val="A7BE39"/>
            <w:spacing w:val="-4"/>
            <w:u w:val="single" w:color="A7BE39"/>
          </w:rPr>
          <w:t>108</w:t>
        </w:r>
      </w:hyperlink>
      <w:r>
        <w:rPr>
          <w:spacing w:val="-4"/>
        </w:rPr>
        <w:t>.</w:t>
      </w:r>
    </w:p>
    <w:p>
      <w:pPr>
        <w:pStyle w:val="BodyText"/>
        <w:spacing w:before="5"/>
        <w:rPr>
          <w:sz w:val="23"/>
        </w:rPr>
      </w:pPr>
    </w:p>
    <w:p>
      <w:pPr>
        <w:pStyle w:val="BodyText"/>
        <w:spacing w:line="249" w:lineRule="auto"/>
        <w:ind w:left="476" w:right="813"/>
      </w:pPr>
      <w:r>
        <w:rPr>
          <w:spacing w:val="-3"/>
        </w:rPr>
        <w:t>By </w:t>
      </w:r>
      <w:r>
        <w:rPr>
          <w:spacing w:val="-5"/>
        </w:rPr>
        <w:t>lifting departmental performance, building capability </w:t>
      </w:r>
      <w:r>
        <w:rPr>
          <w:spacing w:val="-4"/>
        </w:rPr>
        <w:t>and </w:t>
      </w:r>
      <w:r>
        <w:rPr>
          <w:spacing w:val="-5"/>
        </w:rPr>
        <w:t>becoming </w:t>
      </w:r>
      <w:r>
        <w:rPr/>
        <w:t>a </w:t>
      </w:r>
      <w:r>
        <w:rPr>
          <w:spacing w:val="-5"/>
        </w:rPr>
        <w:t>more </w:t>
      </w:r>
      <w:r>
        <w:rPr>
          <w:spacing w:val="-4"/>
        </w:rPr>
        <w:t>agile </w:t>
      </w:r>
      <w:r>
        <w:rPr>
          <w:spacing w:val="-5"/>
        </w:rPr>
        <w:t>organisation, </w:t>
      </w:r>
      <w:r>
        <w:rPr>
          <w:spacing w:val="-4"/>
        </w:rPr>
        <w:t>the </w:t>
      </w:r>
      <w:r>
        <w:rPr>
          <w:spacing w:val="-5"/>
        </w:rPr>
        <w:t>Department </w:t>
      </w:r>
      <w:r>
        <w:rPr>
          <w:spacing w:val="-3"/>
        </w:rPr>
        <w:t>is </w:t>
      </w:r>
      <w:r>
        <w:rPr>
          <w:spacing w:val="-5"/>
        </w:rPr>
        <w:t>better </w:t>
      </w:r>
      <w:r>
        <w:rPr>
          <w:spacing w:val="-4"/>
        </w:rPr>
        <w:t>able </w:t>
      </w:r>
      <w:r>
        <w:rPr>
          <w:spacing w:val="-3"/>
        </w:rPr>
        <w:t>to </w:t>
      </w:r>
      <w:r>
        <w:rPr>
          <w:spacing w:val="-5"/>
        </w:rPr>
        <w:t>quickly respond to </w:t>
      </w:r>
      <w:r>
        <w:rPr>
          <w:spacing w:val="-4"/>
        </w:rPr>
        <w:t>the</w:t>
      </w:r>
      <w:r>
        <w:rPr>
          <w:spacing w:val="-27"/>
        </w:rPr>
        <w:t> </w:t>
      </w:r>
      <w:r>
        <w:rPr>
          <w:spacing w:val="-5"/>
        </w:rPr>
        <w:t>changing</w:t>
      </w:r>
      <w:r>
        <w:rPr>
          <w:spacing w:val="-27"/>
        </w:rPr>
        <w:t> </w:t>
      </w:r>
      <w:r>
        <w:rPr>
          <w:spacing w:val="-5"/>
        </w:rPr>
        <w:t>demands</w:t>
      </w:r>
      <w:r>
        <w:rPr>
          <w:spacing w:val="-27"/>
        </w:rPr>
        <w:t> </w:t>
      </w:r>
      <w:r>
        <w:rPr>
          <w:spacing w:val="-4"/>
        </w:rPr>
        <w:t>and</w:t>
      </w:r>
      <w:r>
        <w:rPr>
          <w:spacing w:val="-27"/>
        </w:rPr>
        <w:t> </w:t>
      </w:r>
      <w:r>
        <w:rPr>
          <w:spacing w:val="-5"/>
        </w:rPr>
        <w:t>priorities</w:t>
      </w:r>
      <w:r>
        <w:rPr>
          <w:spacing w:val="-26"/>
        </w:rPr>
        <w:t> </w:t>
      </w:r>
      <w:r>
        <w:rPr>
          <w:spacing w:val="-3"/>
        </w:rPr>
        <w:t>of</w:t>
      </w:r>
      <w:r>
        <w:rPr>
          <w:spacing w:val="-27"/>
        </w:rPr>
        <w:t> </w:t>
      </w:r>
      <w:r>
        <w:rPr>
          <w:spacing w:val="-5"/>
        </w:rPr>
        <w:t>Government.</w:t>
      </w:r>
    </w:p>
    <w:p>
      <w:pPr>
        <w:pStyle w:val="BodyText"/>
        <w:spacing w:line="249" w:lineRule="auto" w:before="4"/>
        <w:ind w:left="476" w:right="1356"/>
      </w:pPr>
      <w:r>
        <w:rPr>
          <w:spacing w:val="-4"/>
        </w:rPr>
        <w:t>This</w:t>
      </w:r>
      <w:r>
        <w:rPr>
          <w:spacing w:val="-25"/>
        </w:rPr>
        <w:t> </w:t>
      </w:r>
      <w:r>
        <w:rPr>
          <w:spacing w:val="-5"/>
        </w:rPr>
        <w:t>culture</w:t>
      </w:r>
      <w:r>
        <w:rPr>
          <w:spacing w:val="-24"/>
        </w:rPr>
        <w:t> </w:t>
      </w:r>
      <w:r>
        <w:rPr>
          <w:spacing w:val="-4"/>
        </w:rPr>
        <w:t>also</w:t>
      </w:r>
      <w:r>
        <w:rPr>
          <w:spacing w:val="-24"/>
        </w:rPr>
        <w:t> </w:t>
      </w:r>
      <w:r>
        <w:rPr>
          <w:spacing w:val="-5"/>
        </w:rPr>
        <w:t>provides</w:t>
      </w:r>
      <w:r>
        <w:rPr>
          <w:spacing w:val="-24"/>
        </w:rPr>
        <w:t> </w:t>
      </w:r>
      <w:r>
        <w:rPr>
          <w:spacing w:val="-5"/>
        </w:rPr>
        <w:t>staff</w:t>
      </w:r>
      <w:r>
        <w:rPr>
          <w:spacing w:val="-24"/>
        </w:rPr>
        <w:t> </w:t>
      </w:r>
      <w:r>
        <w:rPr>
          <w:spacing w:val="-4"/>
        </w:rPr>
        <w:t>the</w:t>
      </w:r>
      <w:r>
        <w:rPr>
          <w:spacing w:val="-24"/>
        </w:rPr>
        <w:t> </w:t>
      </w:r>
      <w:r>
        <w:rPr>
          <w:spacing w:val="-5"/>
        </w:rPr>
        <w:t>opportunity </w:t>
      </w:r>
      <w:r>
        <w:rPr>
          <w:spacing w:val="-3"/>
        </w:rPr>
        <w:t>to</w:t>
      </w:r>
      <w:r>
        <w:rPr>
          <w:spacing w:val="-29"/>
        </w:rPr>
        <w:t> </w:t>
      </w:r>
      <w:r>
        <w:rPr>
          <w:spacing w:val="-4"/>
        </w:rPr>
        <w:t>think</w:t>
      </w:r>
      <w:r>
        <w:rPr>
          <w:spacing w:val="-29"/>
        </w:rPr>
        <w:t> </w:t>
      </w:r>
      <w:r>
        <w:rPr>
          <w:spacing w:val="-5"/>
        </w:rPr>
        <w:t>innovatively</w:t>
      </w:r>
      <w:r>
        <w:rPr>
          <w:spacing w:val="-29"/>
        </w:rPr>
        <w:t> </w:t>
      </w:r>
      <w:r>
        <w:rPr>
          <w:spacing w:val="-4"/>
        </w:rPr>
        <w:t>about</w:t>
      </w:r>
      <w:r>
        <w:rPr>
          <w:spacing w:val="-29"/>
        </w:rPr>
        <w:t> </w:t>
      </w:r>
      <w:r>
        <w:rPr>
          <w:spacing w:val="-4"/>
        </w:rPr>
        <w:t>the</w:t>
      </w:r>
      <w:r>
        <w:rPr>
          <w:spacing w:val="-28"/>
        </w:rPr>
        <w:t> </w:t>
      </w:r>
      <w:r>
        <w:rPr>
          <w:spacing w:val="-4"/>
        </w:rPr>
        <w:t>way</w:t>
      </w:r>
      <w:r>
        <w:rPr>
          <w:spacing w:val="-29"/>
        </w:rPr>
        <w:t> </w:t>
      </w:r>
      <w:r>
        <w:rPr>
          <w:spacing w:val="-5"/>
        </w:rPr>
        <w:t>services</w:t>
      </w:r>
      <w:r>
        <w:rPr>
          <w:spacing w:val="-29"/>
        </w:rPr>
        <w:t> </w:t>
      </w:r>
      <w:r>
        <w:rPr>
          <w:spacing w:val="-5"/>
        </w:rPr>
        <w:t>are designed, funded, delivered </w:t>
      </w:r>
      <w:r>
        <w:rPr>
          <w:spacing w:val="-4"/>
        </w:rPr>
        <w:t>and </w:t>
      </w:r>
      <w:r>
        <w:rPr>
          <w:spacing w:val="-5"/>
        </w:rPr>
        <w:t>evaluated, enhancing </w:t>
      </w:r>
      <w:r>
        <w:rPr>
          <w:spacing w:val="-6"/>
        </w:rPr>
        <w:t>value-for-money </w:t>
      </w:r>
      <w:r>
        <w:rPr>
          <w:spacing w:val="-5"/>
        </w:rPr>
        <w:t>outcomes </w:t>
      </w:r>
      <w:r>
        <w:rPr>
          <w:spacing w:val="-4"/>
        </w:rPr>
        <w:t>for </w:t>
      </w:r>
      <w:r>
        <w:rPr>
          <w:spacing w:val="-5"/>
        </w:rPr>
        <w:t>all Western</w:t>
      </w:r>
      <w:r>
        <w:rPr>
          <w:spacing w:val="-11"/>
        </w:rPr>
        <w:t> </w:t>
      </w:r>
      <w:r>
        <w:rPr>
          <w:spacing w:val="-5"/>
        </w:rPr>
        <w:t>Australians.</w:t>
      </w:r>
    </w:p>
    <w:p>
      <w:pPr>
        <w:pStyle w:val="BodyText"/>
        <w:spacing w:before="3"/>
        <w:rPr>
          <w:sz w:val="23"/>
        </w:rPr>
      </w:pPr>
    </w:p>
    <w:p>
      <w:pPr>
        <w:pStyle w:val="BodyText"/>
        <w:spacing w:line="249" w:lineRule="auto" w:before="1"/>
        <w:ind w:left="476" w:right="1166"/>
      </w:pPr>
      <w:r>
        <w:rPr>
          <w:spacing w:val="-4"/>
        </w:rPr>
        <w:t>The</w:t>
      </w:r>
      <w:r>
        <w:rPr>
          <w:spacing w:val="-28"/>
        </w:rPr>
        <w:t> </w:t>
      </w:r>
      <w:r>
        <w:rPr>
          <w:spacing w:val="-5"/>
        </w:rPr>
        <w:t>Department</w:t>
      </w:r>
      <w:r>
        <w:rPr>
          <w:spacing w:val="-28"/>
        </w:rPr>
        <w:t> </w:t>
      </w:r>
      <w:r>
        <w:rPr>
          <w:spacing w:val="-4"/>
        </w:rPr>
        <w:t>also</w:t>
      </w:r>
      <w:r>
        <w:rPr>
          <w:spacing w:val="-27"/>
        </w:rPr>
        <w:t> </w:t>
      </w:r>
      <w:r>
        <w:rPr>
          <w:spacing w:val="-5"/>
        </w:rPr>
        <w:t>continues</w:t>
      </w:r>
      <w:r>
        <w:rPr>
          <w:spacing w:val="-28"/>
        </w:rPr>
        <w:t> </w:t>
      </w:r>
      <w:r>
        <w:rPr>
          <w:spacing w:val="-3"/>
        </w:rPr>
        <w:t>to</w:t>
      </w:r>
      <w:r>
        <w:rPr>
          <w:spacing w:val="-28"/>
        </w:rPr>
        <w:t> </w:t>
      </w:r>
      <w:r>
        <w:rPr>
          <w:spacing w:val="-4"/>
        </w:rPr>
        <w:t>lead</w:t>
      </w:r>
      <w:r>
        <w:rPr>
          <w:spacing w:val="-27"/>
        </w:rPr>
        <w:t> </w:t>
      </w:r>
      <w:r>
        <w:rPr>
          <w:spacing w:val="-4"/>
        </w:rPr>
        <w:t>the</w:t>
      </w:r>
      <w:r>
        <w:rPr>
          <w:spacing w:val="-28"/>
        </w:rPr>
        <w:t> </w:t>
      </w:r>
      <w:r>
        <w:rPr>
          <w:spacing w:val="-5"/>
        </w:rPr>
        <w:t>highly successful interagency mentoring </w:t>
      </w:r>
      <w:r>
        <w:rPr>
          <w:spacing w:val="-6"/>
        </w:rPr>
        <w:t>program, </w:t>
      </w:r>
      <w:r>
        <w:rPr>
          <w:spacing w:val="-4"/>
        </w:rPr>
        <w:t>which</w:t>
      </w:r>
      <w:r>
        <w:rPr>
          <w:spacing w:val="-20"/>
        </w:rPr>
        <w:t> </w:t>
      </w:r>
      <w:r>
        <w:rPr>
          <w:spacing w:val="-4"/>
        </w:rPr>
        <w:t>this</w:t>
      </w:r>
      <w:r>
        <w:rPr>
          <w:spacing w:val="-19"/>
        </w:rPr>
        <w:t> </w:t>
      </w:r>
      <w:r>
        <w:rPr>
          <w:spacing w:val="-4"/>
        </w:rPr>
        <w:t>year</w:t>
      </w:r>
      <w:r>
        <w:rPr>
          <w:spacing w:val="-19"/>
        </w:rPr>
        <w:t> </w:t>
      </w:r>
      <w:r>
        <w:rPr>
          <w:spacing w:val="-4"/>
        </w:rPr>
        <w:t>has</w:t>
      </w:r>
      <w:r>
        <w:rPr>
          <w:spacing w:val="-19"/>
        </w:rPr>
        <w:t> </w:t>
      </w:r>
      <w:r>
        <w:rPr>
          <w:spacing w:val="-4"/>
        </w:rPr>
        <w:t>six</w:t>
      </w:r>
      <w:r>
        <w:rPr>
          <w:spacing w:val="-19"/>
        </w:rPr>
        <w:t> </w:t>
      </w:r>
      <w:r>
        <w:rPr>
          <w:spacing w:val="-5"/>
        </w:rPr>
        <w:t>agencies</w:t>
      </w:r>
      <w:r>
        <w:rPr>
          <w:spacing w:val="-19"/>
        </w:rPr>
        <w:t> </w:t>
      </w:r>
      <w:r>
        <w:rPr>
          <w:spacing w:val="-5"/>
        </w:rPr>
        <w:t>participating</w:t>
      </w:r>
    </w:p>
    <w:p>
      <w:pPr>
        <w:pStyle w:val="BodyText"/>
        <w:spacing w:line="249" w:lineRule="auto" w:before="2"/>
        <w:ind w:left="476" w:right="894"/>
      </w:pPr>
      <w:r>
        <w:rPr>
          <w:spacing w:val="-4"/>
        </w:rPr>
        <w:t>and</w:t>
      </w:r>
      <w:r>
        <w:rPr>
          <w:spacing w:val="-21"/>
        </w:rPr>
        <w:t> </w:t>
      </w:r>
      <w:r>
        <w:rPr>
          <w:spacing w:val="-3"/>
        </w:rPr>
        <w:t>39</w:t>
      </w:r>
      <w:r>
        <w:rPr>
          <w:spacing w:val="-20"/>
        </w:rPr>
        <w:t> </w:t>
      </w:r>
      <w:r>
        <w:rPr>
          <w:spacing w:val="-5"/>
        </w:rPr>
        <w:t>mentoring</w:t>
      </w:r>
      <w:r>
        <w:rPr>
          <w:spacing w:val="-20"/>
        </w:rPr>
        <w:t> </w:t>
      </w:r>
      <w:r>
        <w:rPr>
          <w:spacing w:val="-5"/>
        </w:rPr>
        <w:t>pairs.</w:t>
      </w:r>
      <w:r>
        <w:rPr>
          <w:spacing w:val="-21"/>
        </w:rPr>
        <w:t> </w:t>
      </w:r>
      <w:r>
        <w:rPr>
          <w:spacing w:val="-4"/>
        </w:rPr>
        <w:t>This</w:t>
      </w:r>
      <w:r>
        <w:rPr>
          <w:spacing w:val="-20"/>
        </w:rPr>
        <w:t> </w:t>
      </w:r>
      <w:r>
        <w:rPr>
          <w:spacing w:val="-8"/>
        </w:rPr>
        <w:t>year,</w:t>
      </w:r>
      <w:r>
        <w:rPr>
          <w:spacing w:val="-20"/>
        </w:rPr>
        <w:t> </w:t>
      </w:r>
      <w:r>
        <w:rPr>
          <w:spacing w:val="-4"/>
        </w:rPr>
        <w:t>over</w:t>
      </w:r>
      <w:r>
        <w:rPr>
          <w:spacing w:val="-20"/>
        </w:rPr>
        <w:t> </w:t>
      </w:r>
      <w:r>
        <w:rPr>
          <w:spacing w:val="-3"/>
        </w:rPr>
        <w:t>75</w:t>
      </w:r>
      <w:r>
        <w:rPr>
          <w:spacing w:val="-21"/>
        </w:rPr>
        <w:t> </w:t>
      </w:r>
      <w:r>
        <w:rPr>
          <w:spacing w:val="-4"/>
        </w:rPr>
        <w:t>per</w:t>
      </w:r>
      <w:r>
        <w:rPr>
          <w:spacing w:val="-20"/>
        </w:rPr>
        <w:t> </w:t>
      </w:r>
      <w:r>
        <w:rPr>
          <w:spacing w:val="-5"/>
        </w:rPr>
        <w:t>cent </w:t>
      </w:r>
      <w:r>
        <w:rPr>
          <w:spacing w:val="-3"/>
        </w:rPr>
        <w:t>of</w:t>
      </w:r>
      <w:r>
        <w:rPr>
          <w:spacing w:val="-31"/>
        </w:rPr>
        <w:t> </w:t>
      </w:r>
      <w:r>
        <w:rPr>
          <w:spacing w:val="-5"/>
        </w:rPr>
        <w:t>participating</w:t>
      </w:r>
      <w:r>
        <w:rPr>
          <w:spacing w:val="-30"/>
        </w:rPr>
        <w:t> </w:t>
      </w:r>
      <w:r>
        <w:rPr>
          <w:spacing w:val="-5"/>
        </w:rPr>
        <w:t>managers</w:t>
      </w:r>
      <w:r>
        <w:rPr>
          <w:spacing w:val="-31"/>
        </w:rPr>
        <w:t> </w:t>
      </w:r>
      <w:r>
        <w:rPr>
          <w:spacing w:val="-5"/>
        </w:rPr>
        <w:t>reported</w:t>
      </w:r>
      <w:r>
        <w:rPr>
          <w:spacing w:val="-30"/>
        </w:rPr>
        <w:t> </w:t>
      </w:r>
      <w:r>
        <w:rPr>
          <w:spacing w:val="-5"/>
        </w:rPr>
        <w:t>positive</w:t>
      </w:r>
      <w:r>
        <w:rPr>
          <w:spacing w:val="-30"/>
        </w:rPr>
        <w:t> </w:t>
      </w:r>
      <w:r>
        <w:rPr>
          <w:spacing w:val="-5"/>
        </w:rPr>
        <w:t>changes </w:t>
      </w:r>
      <w:r>
        <w:rPr>
          <w:spacing w:val="-3"/>
        </w:rPr>
        <w:t>in </w:t>
      </w:r>
      <w:r>
        <w:rPr>
          <w:spacing w:val="-4"/>
        </w:rPr>
        <w:t>work </w:t>
      </w:r>
      <w:r>
        <w:rPr>
          <w:spacing w:val="-5"/>
        </w:rPr>
        <w:t>quality </w:t>
      </w:r>
      <w:r>
        <w:rPr>
          <w:spacing w:val="-4"/>
        </w:rPr>
        <w:t>and </w:t>
      </w:r>
      <w:r>
        <w:rPr>
          <w:spacing w:val="-5"/>
        </w:rPr>
        <w:t>behaviours, </w:t>
      </w:r>
      <w:r>
        <w:rPr>
          <w:spacing w:val="-4"/>
        </w:rPr>
        <w:t>and 100 per </w:t>
      </w:r>
      <w:r>
        <w:rPr>
          <w:spacing w:val="-5"/>
        </w:rPr>
        <w:t>cent stated </w:t>
      </w:r>
      <w:r>
        <w:rPr>
          <w:spacing w:val="-4"/>
        </w:rPr>
        <w:t>they would </w:t>
      </w:r>
      <w:r>
        <w:rPr>
          <w:spacing w:val="-5"/>
        </w:rPr>
        <w:t>support participation </w:t>
      </w:r>
      <w:r>
        <w:rPr>
          <w:spacing w:val="-3"/>
        </w:rPr>
        <w:t>in </w:t>
      </w:r>
      <w:r>
        <w:rPr>
          <w:spacing w:val="-5"/>
        </w:rPr>
        <w:t>future programs. </w:t>
      </w:r>
      <w:r>
        <w:rPr>
          <w:spacing w:val="-4"/>
        </w:rPr>
        <w:t>Find out </w:t>
      </w:r>
      <w:r>
        <w:rPr>
          <w:spacing w:val="-5"/>
        </w:rPr>
        <w:t>more </w:t>
      </w:r>
      <w:r>
        <w:rPr>
          <w:spacing w:val="-3"/>
        </w:rPr>
        <w:t>on </w:t>
      </w:r>
      <w:r>
        <w:rPr>
          <w:spacing w:val="-4"/>
        </w:rPr>
        <w:t>page</w:t>
      </w:r>
      <w:r>
        <w:rPr>
          <w:spacing w:val="-45"/>
        </w:rPr>
        <w:t> </w:t>
      </w:r>
      <w:hyperlink w:history="true" w:anchor="_bookmark14">
        <w:r>
          <w:rPr>
            <w:color w:val="A7BE39"/>
            <w:spacing w:val="-4"/>
            <w:u w:val="single" w:color="A7BE39"/>
          </w:rPr>
          <w:t>21</w:t>
        </w:r>
      </w:hyperlink>
      <w:r>
        <w:rPr>
          <w:spacing w:val="-4"/>
        </w:rPr>
        <w:t>.</w:t>
      </w:r>
    </w:p>
    <w:p>
      <w:pPr>
        <w:pStyle w:val="BodyText"/>
        <w:spacing w:before="4"/>
        <w:rPr>
          <w:sz w:val="23"/>
        </w:rPr>
      </w:pPr>
    </w:p>
    <w:p>
      <w:pPr>
        <w:pStyle w:val="BodyText"/>
        <w:spacing w:line="249" w:lineRule="auto"/>
        <w:ind w:left="476" w:right="790"/>
      </w:pPr>
      <w:r>
        <w:rPr>
          <w:spacing w:val="-4"/>
        </w:rPr>
        <w:t>The</w:t>
      </w:r>
      <w:r>
        <w:rPr>
          <w:spacing w:val="-27"/>
        </w:rPr>
        <w:t> </w:t>
      </w:r>
      <w:r>
        <w:rPr>
          <w:spacing w:val="-5"/>
        </w:rPr>
        <w:t>Department</w:t>
      </w:r>
      <w:r>
        <w:rPr>
          <w:spacing w:val="-27"/>
        </w:rPr>
        <w:t> </w:t>
      </w:r>
      <w:r>
        <w:rPr>
          <w:spacing w:val="-4"/>
        </w:rPr>
        <w:t>also</w:t>
      </w:r>
      <w:r>
        <w:rPr>
          <w:spacing w:val="-27"/>
        </w:rPr>
        <w:t> </w:t>
      </w:r>
      <w:r>
        <w:rPr>
          <w:spacing w:val="-5"/>
        </w:rPr>
        <w:t>continues</w:t>
      </w:r>
      <w:r>
        <w:rPr>
          <w:spacing w:val="-26"/>
        </w:rPr>
        <w:t> </w:t>
      </w:r>
      <w:r>
        <w:rPr>
          <w:spacing w:val="-3"/>
        </w:rPr>
        <w:t>to</w:t>
      </w:r>
      <w:r>
        <w:rPr>
          <w:spacing w:val="-27"/>
        </w:rPr>
        <w:t> </w:t>
      </w:r>
      <w:r>
        <w:rPr>
          <w:spacing w:val="-5"/>
        </w:rPr>
        <w:t>recruit</w:t>
      </w:r>
      <w:r>
        <w:rPr>
          <w:spacing w:val="-27"/>
        </w:rPr>
        <w:t> </w:t>
      </w:r>
      <w:r>
        <w:rPr>
          <w:spacing w:val="-4"/>
        </w:rPr>
        <w:t>high</w:t>
      </w:r>
      <w:r>
        <w:rPr>
          <w:spacing w:val="-27"/>
        </w:rPr>
        <w:t> </w:t>
      </w:r>
      <w:r>
        <w:rPr>
          <w:spacing w:val="-5"/>
        </w:rPr>
        <w:t>calibre graduates </w:t>
      </w:r>
      <w:r>
        <w:rPr>
          <w:spacing w:val="-3"/>
        </w:rPr>
        <w:t>to </w:t>
      </w:r>
      <w:r>
        <w:rPr>
          <w:spacing w:val="-5"/>
        </w:rPr>
        <w:t>participate </w:t>
      </w:r>
      <w:r>
        <w:rPr>
          <w:spacing w:val="-3"/>
        </w:rPr>
        <w:t>in </w:t>
      </w:r>
      <w:r>
        <w:rPr>
          <w:spacing w:val="-4"/>
        </w:rPr>
        <w:t>its </w:t>
      </w:r>
      <w:r>
        <w:rPr>
          <w:spacing w:val="-5"/>
        </w:rPr>
        <w:t>tailored one-year graduate program, where successful candidates </w:t>
      </w:r>
      <w:r>
        <w:rPr>
          <w:spacing w:val="-4"/>
        </w:rPr>
        <w:t>have the </w:t>
      </w:r>
      <w:r>
        <w:rPr>
          <w:spacing w:val="-5"/>
        </w:rPr>
        <w:t>opportunity </w:t>
      </w:r>
      <w:r>
        <w:rPr>
          <w:spacing w:val="-3"/>
        </w:rPr>
        <w:t>to </w:t>
      </w:r>
      <w:r>
        <w:rPr>
          <w:spacing w:val="-5"/>
        </w:rPr>
        <w:t>rotate through various business</w:t>
      </w:r>
      <w:r>
        <w:rPr>
          <w:spacing w:val="-32"/>
        </w:rPr>
        <w:t> </w:t>
      </w:r>
      <w:r>
        <w:rPr>
          <w:spacing w:val="-5"/>
        </w:rPr>
        <w:t>units,</w:t>
      </w:r>
      <w:r>
        <w:rPr>
          <w:spacing w:val="-31"/>
        </w:rPr>
        <w:t> </w:t>
      </w:r>
      <w:r>
        <w:rPr>
          <w:spacing w:val="-4"/>
        </w:rPr>
        <w:t>based</w:t>
      </w:r>
      <w:r>
        <w:rPr>
          <w:spacing w:val="-31"/>
        </w:rPr>
        <w:t> </w:t>
      </w:r>
      <w:r>
        <w:rPr>
          <w:spacing w:val="-3"/>
        </w:rPr>
        <w:t>on</w:t>
      </w:r>
      <w:r>
        <w:rPr>
          <w:spacing w:val="-31"/>
        </w:rPr>
        <w:t> </w:t>
      </w:r>
      <w:r>
        <w:rPr>
          <w:spacing w:val="-5"/>
        </w:rPr>
        <w:t>business</w:t>
      </w:r>
      <w:r>
        <w:rPr>
          <w:spacing w:val="-31"/>
        </w:rPr>
        <w:t> </w:t>
      </w:r>
      <w:r>
        <w:rPr>
          <w:spacing w:val="-4"/>
        </w:rPr>
        <w:t>need,</w:t>
      </w:r>
      <w:r>
        <w:rPr>
          <w:spacing w:val="-32"/>
        </w:rPr>
        <w:t> </w:t>
      </w:r>
      <w:r>
        <w:rPr>
          <w:spacing w:val="-5"/>
        </w:rPr>
        <w:t>qualification relevance </w:t>
      </w:r>
      <w:r>
        <w:rPr>
          <w:spacing w:val="-4"/>
        </w:rPr>
        <w:t>and </w:t>
      </w:r>
      <w:r>
        <w:rPr>
          <w:spacing w:val="-5"/>
        </w:rPr>
        <w:t>career interest. There are </w:t>
      </w:r>
      <w:r>
        <w:rPr>
          <w:spacing w:val="-6"/>
        </w:rPr>
        <w:t>currently </w:t>
      </w:r>
      <w:r>
        <w:rPr>
          <w:spacing w:val="-4"/>
        </w:rPr>
        <w:t>eight </w:t>
      </w:r>
      <w:r>
        <w:rPr>
          <w:spacing w:val="-5"/>
        </w:rPr>
        <w:t>graduates undertaking </w:t>
      </w:r>
      <w:r>
        <w:rPr>
          <w:spacing w:val="-4"/>
        </w:rPr>
        <w:t>the </w:t>
      </w:r>
      <w:r>
        <w:rPr>
          <w:spacing w:val="-5"/>
        </w:rPr>
        <w:t>program. </w:t>
      </w:r>
      <w:r>
        <w:rPr>
          <w:spacing w:val="-4"/>
        </w:rPr>
        <w:t>Find </w:t>
      </w:r>
      <w:r>
        <w:rPr>
          <w:spacing w:val="-5"/>
        </w:rPr>
        <w:t>out more </w:t>
      </w:r>
      <w:r>
        <w:rPr>
          <w:spacing w:val="-3"/>
        </w:rPr>
        <w:t>on </w:t>
      </w:r>
      <w:r>
        <w:rPr>
          <w:spacing w:val="-4"/>
        </w:rPr>
        <w:t>page</w:t>
      </w:r>
      <w:r>
        <w:rPr>
          <w:spacing w:val="-21"/>
        </w:rPr>
        <w:t> </w:t>
      </w:r>
      <w:hyperlink w:history="true" w:anchor="_bookmark14">
        <w:r>
          <w:rPr>
            <w:color w:val="A7BE39"/>
            <w:spacing w:val="-4"/>
            <w:u w:val="single" w:color="A7BE39"/>
          </w:rPr>
          <w:t>21</w:t>
        </w:r>
      </w:hyperlink>
      <w:r>
        <w:rPr>
          <w:spacing w:val="-4"/>
        </w:rPr>
        <w:t>.</w:t>
      </w:r>
    </w:p>
    <w:p>
      <w:pPr>
        <w:spacing w:after="0" w:line="249" w:lineRule="auto"/>
        <w:sectPr>
          <w:type w:val="continuous"/>
          <w:pgSz w:w="16840" w:h="11910" w:orient="landscape"/>
          <w:pgMar w:top="0" w:bottom="0" w:left="0" w:right="0"/>
          <w:cols w:num="3" w:equalWidth="0">
            <w:col w:w="5579" w:space="40"/>
            <w:col w:w="5119" w:space="39"/>
            <w:col w:w="6063"/>
          </w:cols>
        </w:sectPr>
      </w:pPr>
    </w:p>
    <w:p>
      <w:pPr>
        <w:pStyle w:val="BodyText"/>
        <w:spacing w:before="6"/>
        <w:rPr>
          <w:sz w:val="9"/>
        </w:rPr>
      </w:pPr>
    </w:p>
    <w:p>
      <w:pPr>
        <w:tabs>
          <w:tab w:pos="12166" w:val="left" w:leader="none"/>
          <w:tab w:pos="12373" w:val="left" w:leader="none"/>
        </w:tabs>
        <w:spacing w:before="106"/>
        <w:ind w:left="765" w:right="0" w:firstLine="0"/>
        <w:jc w:val="left"/>
        <w:rPr>
          <w:b/>
          <w:sz w:val="16"/>
        </w:rPr>
      </w:pPr>
      <w:r>
        <w:rPr>
          <w:color w:val="939598"/>
          <w:w w:val="100"/>
          <w:sz w:val="16"/>
          <w:u w:val="single" w:color="939598"/>
        </w:rPr>
        <w:t> </w:t>
      </w:r>
      <w:r>
        <w:rPr>
          <w:color w:val="939598"/>
          <w:sz w:val="16"/>
          <w:u w:val="single" w:color="939598"/>
        </w:rPr>
        <w:tab/>
      </w:r>
      <w:r>
        <w:rPr>
          <w:color w:val="939598"/>
          <w:sz w:val="16"/>
        </w:rPr>
        <w:tab/>
        <w:t>Department of Finance Annual Report 2016-17</w:t>
      </w:r>
      <w:r>
        <w:rPr>
          <w:color w:val="939598"/>
          <w:spacing w:val="29"/>
          <w:sz w:val="16"/>
        </w:rPr>
        <w:t> </w:t>
      </w:r>
      <w:r>
        <w:rPr>
          <w:b/>
          <w:color w:val="6F2770"/>
          <w:sz w:val="16"/>
        </w:rPr>
        <w:t>105</w:t>
      </w:r>
    </w:p>
    <w:p>
      <w:pPr>
        <w:spacing w:after="0"/>
        <w:jc w:val="left"/>
        <w:rPr>
          <w:sz w:val="16"/>
        </w:rPr>
        <w:sectPr>
          <w:type w:val="continuous"/>
          <w:pgSz w:w="16840" w:h="11910" w:orient="landscape"/>
          <w:pgMar w:top="0" w:bottom="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6"/>
        </w:rPr>
      </w:pPr>
    </w:p>
    <w:p>
      <w:pPr>
        <w:pStyle w:val="Heading1"/>
        <w:spacing w:before="93"/>
      </w:pPr>
      <w:r>
        <w:rPr/>
        <w:pict>
          <v:group style="position:absolute;margin-left:0pt;margin-top:-67.324211pt;width:841.9pt;height:104.75pt;mso-position-horizontal-relative:page;mso-position-vertical-relative:paragraph;z-index:-776032" coordorigin="0,-1346" coordsize="16838,2095">
            <v:shape style="position:absolute;left:14419;top:-1347;width:1455;height:1745" coordorigin="14419,-1346" coordsize="1455,1745" path="m15219,-1346l15194,-1346,14935,-1197,14901,-1163,15219,-1346m15356,-1346l15331,-1346,14748,-1010,14714,-976,15356,-1346m15492,-1346l15467,-1346,14562,-824,14527,-789,15492,-1346m15629,-1346l15604,-1346,14419,-662,14428,-653,15629,-1346m15766,-1346l15741,-1346,14469,-612,14478,-603,15766,-1346m15874,155l15470,388,15479,398,15874,170,15874,155m15874,76l15420,338,15429,348,15874,91,15874,76m15874,-3l15370,288,15379,297,15874,12,15874,-3m15874,-82l15320,238,15329,247,15874,-67,15874,-82m15874,-161l15270,188,15279,197,15874,-146,15874,-161m15874,-240l15220,138,15229,147,15874,-225,15874,-240m15874,-318l15170,88,15179,97,15874,-304,15874,-318m15874,-397l15120,38,15129,47,15874,-383,15874,-397m15874,-476l15070,-12,15079,-3,15874,-462,15874,-476m15874,-555l15020,-62,15029,-53,15874,-541,15874,-555m15874,-713l14920,-162,14929,-153,15874,-699,15874,-713m15874,-792l14870,-212,14879,-203,15874,-778,15874,-792m15874,-871l14819,-262,14829,-253,15874,-856,15874,-871m15874,-950l14769,-312,14779,-303,15874,-935,15874,-950m15874,-1029l14719,-362,14729,-353,15874,-1014,15874,-1029m15874,-1108l14669,-412,14679,-403,15874,-1093,15874,-1108m15874,-1187l14619,-462,14628,-453,15874,-1172,15874,-1187m15874,-1345l14519,-562,14528,-553,15874,-1330,15874,-1345m15874,-634l14970,-112,14979,-103,15874,-620,15874,-634m15874,-1266l14569,-512,14578,-503,15874,-1251,15874,-1266e" filled="true" fillcolor="#cdcccd" stroked="false">
              <v:path arrowok="t"/>
              <v:fill type="solid"/>
            </v:shape>
            <v:shape style="position:absolute;left:15520;top:234;width:354;height:514" type="#_x0000_t75" stroked="false">
              <v:imagedata r:id="rId42" o:title=""/>
            </v:shape>
            <v:shape style="position:absolute;left:15874;top:-1347;width:338;height:196" type="#_x0000_t75" stroked="false">
              <v:imagedata r:id="rId20" o:title=""/>
            </v:shape>
            <v:shape style="position:absolute;left:15874;top:-1347;width:964;height:1932" coordorigin="15874,-1346" coordsize="964,1932" path="m16349,-1346l16339,-1346,15874,-1078,15874,-1072,16349,-1346m16378,288l15874,579,15874,585,16365,302,16378,288m16486,-1346l16476,-1346,15874,-999,15874,-993,16486,-1346m16565,101l15874,500,15874,506,16551,115,16565,101m16622,-1346l16612,-1346,15874,-920,15874,-915,16622,-1346m16699,-1312l16695,-1315,15874,-841,15874,-836,16699,-1312m16749,-1262l16745,-1265,15874,-762,15874,-757,16749,-1262m16752,-85l15874,421,15874,427,16738,-72,16752,-85m16799,-1212l16795,-1215,15874,-684,15874,-678,16799,-1212m16838,-214l15874,343,15874,348,16838,-208,16838,-214m16838,-293l15874,264,15874,269,16838,-287,16838,-293m16838,-372l15874,185,15874,190,16838,-366,16838,-372m16838,-451l15874,106,15874,112,16838,-445,16838,-451m16838,-530l15874,27,15874,33,16838,-524,16838,-530m16838,-608l15874,-52,15874,-46,16838,-603,16838,-608m16838,-687l15874,-131,15874,-125,16838,-682,16838,-687m16838,-766l15874,-210,15874,-204,16838,-761,16838,-766m16838,-845l15874,-289,15874,-283,16838,-839,16838,-845m16838,-924l15874,-368,15874,-362,16838,-918,16838,-924m16838,-1003l15874,-447,15874,-441,16838,-997,16838,-1003m16838,-1082l15874,-526,15874,-520,16838,-1076,16838,-1082m16838,-1161l15874,-605,15874,-599,16838,-1155,16838,-1161e" filled="true" fillcolor="#cdcccd" stroked="false">
              <v:path arrowok="t"/>
              <v:fill type="solid"/>
            </v:shape>
            <v:shape style="position:absolute;left:15874;top:474;width:318;height:269" type="#_x0000_t75" stroked="false">
              <v:imagedata r:id="rId158" o:title=""/>
            </v:shape>
            <v:shape style="position:absolute;left:13677;top:-974;width:904;height:904" coordorigin="13677,-974" coordsize="904,904" path="m14129,-974l13677,-522,14129,-71,14580,-522,14129,-974xe" filled="true" fillcolor="#ffffff" stroked="false">
              <v:path arrowok="t"/>
              <v:fill type="solid"/>
            </v:shape>
            <v:shape style="position:absolute;left:13225;top:-523;width:904;height:904" coordorigin="13225,-522" coordsize="904,904" path="m13677,-522l13225,-71,13677,381,14129,-71,13677,-522xe" filled="true" fillcolor="#e8e9c9" stroked="false">
              <v:path arrowok="t"/>
              <v:fill type="solid"/>
            </v:shape>
            <v:shape style="position:absolute;left:11870;top:-974;width:2710;height:904" coordorigin="11871,-974" coordsize="2710,904" path="m12774,-522l12322,-974,11871,-522,12322,-71,12774,-522m14580,-522l14129,-974,13677,-522,14129,-71,14580,-522e" filled="true" fillcolor="#efeeeb" stroked="false">
              <v:path arrowok="t"/>
              <v:fill type="solid"/>
            </v:shape>
            <v:shape style="position:absolute;left:12773;top:-974;width:904;height:904" coordorigin="12774,-974" coordsize="904,904" path="m13225,-974l12774,-522,13225,-71,13677,-522,13225,-974xe" filled="true" fillcolor="#c0aac2" stroked="false">
              <v:path arrowok="t"/>
              <v:fill type="solid"/>
            </v:shape>
            <v:shape style="position:absolute;left:15424;top:-271;width:900;height:904" coordorigin="15424,-271" coordsize="900,904" path="m15874,-271l15424,179,15424,182,15874,632,16324,182,16324,179,15874,-271xe" filled="true" fillcolor="#c4cd71" stroked="false">
              <v:path arrowok="t"/>
              <v:fill type="solid"/>
            </v:shape>
            <v:shape style="position:absolute;left:15422;top:179;width:2;height:4" coordorigin="15423,179" coordsize="2,4" path="m15424,179l15423,181,15424,182,15424,179xe" filled="true" fillcolor="#b9c369" stroked="false">
              <v:path arrowok="t"/>
              <v:fill type="solid"/>
            </v:shape>
            <v:shape style="position:absolute;left:16324;top:179;width:2;height:4" coordorigin="16324,179" coordsize="2,4" path="m16324,179l16324,182,16326,181,16324,179xe" filled="true" fillcolor="#bec29e" stroked="false">
              <v:path arrowok="t"/>
              <v:fill type="solid"/>
            </v:shape>
            <v:rect style="position:absolute;left:9621;top:-1347;width:2406;height:851" filled="true" fillcolor="#bec85c" stroked="false">
              <v:fill type="solid"/>
            </v:rect>
            <v:rect style="position:absolute;left:12026;top:-1347;width:2406;height:851" filled="true" fillcolor="#e6e7e8" stroked="false">
              <v:fill type="solid"/>
            </v:rect>
            <v:shape style="position:absolute;left:12026;top:-1347;width:583;height:583" type="#_x0000_t75" stroked="false">
              <v:imagedata r:id="rId272" o:title=""/>
            </v:shape>
            <v:rect style="position:absolute;left:14432;top:-1347;width:2406;height:851" filled="true" fillcolor="#aebd37" stroked="false">
              <v:fill type="solid"/>
            </v:rect>
            <v:line style="position:absolute" from="16838,-1346" to="16838,-496" stroked="true" strokeweight=".001pt" strokecolor="#aebd37">
              <v:stroke dashstyle="solid"/>
            </v:line>
            <v:shape style="position:absolute;left:15263;top:19;width:161;height:322" type="#_x0000_t75" stroked="false">
              <v:imagedata r:id="rId16" o:title=""/>
            </v:shape>
            <v:shape style="position:absolute;left:16324;top:19;width:161;height:322" type="#_x0000_t75" stroked="false">
              <v:imagedata r:id="rId11" o:title=""/>
            </v:shape>
            <v:shape style="position:absolute;left:15585;top:0;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4432;top:-13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w10:wrap type="none"/>
            </v:shape>
            <v:shape style="position:absolute;left:12026;top:-1347;width:2406;height:851" type="#_x0000_t202" filled="false"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6F2770"/>
                          <w:sz w:val="20"/>
                        </w:rPr>
                        <w:t>DISCLOSURES</w:t>
                      </w:r>
                    </w:hyperlink>
                  </w:p>
                </w:txbxContent>
              </v:textbox>
              <w10:wrap type="none"/>
            </v:shape>
            <v:shape style="position:absolute;left:9621;top:-1347;width:2406;height:851"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v:shape style="position:absolute;left:7215;top:-1347;width:2406;height:851"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347;width:2414;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347;width:2398;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347;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bookmarkStart w:name="_bookmark69" w:id="71"/>
      <w:bookmarkEnd w:id="71"/>
      <w:r>
        <w:rPr/>
      </w:r>
      <w:r>
        <w:rPr>
          <w:color w:val="6F2770"/>
        </w:rPr>
        <w:t>Governance Disclosures</w:t>
      </w:r>
    </w:p>
    <w:p>
      <w:pPr>
        <w:spacing w:after="0"/>
        <w:sectPr>
          <w:footerReference w:type="default" r:id="rId274"/>
          <w:pgSz w:w="16840" w:h="11910" w:orient="landscape"/>
          <w:pgMar w:footer="0" w:header="0" w:top="0" w:bottom="0" w:left="0" w:right="0"/>
        </w:sectPr>
      </w:pPr>
    </w:p>
    <w:p>
      <w:pPr>
        <w:pStyle w:val="Heading4"/>
        <w:spacing w:before="113"/>
      </w:pPr>
      <w:r>
        <w:rPr>
          <w:color w:val="A7BE39"/>
        </w:rPr>
        <w:t>Senior officers</w:t>
      </w:r>
    </w:p>
    <w:p>
      <w:pPr>
        <w:pStyle w:val="BodyText"/>
        <w:spacing w:line="249" w:lineRule="auto" w:before="245"/>
        <w:ind w:left="765" w:right="-7"/>
      </w:pPr>
      <w:r>
        <w:rPr/>
        <w:t>In 2016-17, no senior officers disclosed that they held any shares that are required to be disclosed in</w:t>
      </w:r>
      <w:r>
        <w:rPr>
          <w:spacing w:val="-25"/>
        </w:rPr>
        <w:t> </w:t>
      </w:r>
      <w:r>
        <w:rPr/>
        <w:t>accordance</w:t>
      </w:r>
      <w:r>
        <w:rPr>
          <w:spacing w:val="-24"/>
        </w:rPr>
        <w:t> </w:t>
      </w:r>
      <w:r>
        <w:rPr/>
        <w:t>with</w:t>
      </w:r>
      <w:r>
        <w:rPr>
          <w:spacing w:val="-24"/>
        </w:rPr>
        <w:t> </w:t>
      </w:r>
      <w:r>
        <w:rPr>
          <w:spacing w:val="-5"/>
        </w:rPr>
        <w:t>Treasurer’s</w:t>
      </w:r>
      <w:r>
        <w:rPr>
          <w:spacing w:val="-24"/>
        </w:rPr>
        <w:t> </w:t>
      </w:r>
      <w:r>
        <w:rPr/>
        <w:t>Instruction</w:t>
      </w:r>
      <w:r>
        <w:rPr>
          <w:spacing w:val="-24"/>
        </w:rPr>
        <w:t> </w:t>
      </w:r>
      <w:r>
        <w:rPr/>
        <w:t>903</w:t>
      </w:r>
      <w:r>
        <w:rPr>
          <w:spacing w:val="-24"/>
        </w:rPr>
        <w:t> </w:t>
      </w:r>
      <w:r>
        <w:rPr>
          <w:spacing w:val="-4"/>
        </w:rPr>
        <w:t>(14). </w:t>
      </w:r>
      <w:r>
        <w:rPr/>
        <w:t>No</w:t>
      </w:r>
      <w:r>
        <w:rPr>
          <w:spacing w:val="-21"/>
        </w:rPr>
        <w:t> </w:t>
      </w:r>
      <w:r>
        <w:rPr/>
        <w:t>senior</w:t>
      </w:r>
      <w:r>
        <w:rPr>
          <w:spacing w:val="-21"/>
        </w:rPr>
        <w:t> </w:t>
      </w:r>
      <w:r>
        <w:rPr/>
        <w:t>officers,</w:t>
      </w:r>
      <w:r>
        <w:rPr>
          <w:spacing w:val="-21"/>
        </w:rPr>
        <w:t> </w:t>
      </w:r>
      <w:r>
        <w:rPr/>
        <w:t>firms</w:t>
      </w:r>
      <w:r>
        <w:rPr>
          <w:spacing w:val="-21"/>
        </w:rPr>
        <w:t> </w:t>
      </w:r>
      <w:r>
        <w:rPr/>
        <w:t>of</w:t>
      </w:r>
      <w:r>
        <w:rPr>
          <w:spacing w:val="-20"/>
        </w:rPr>
        <w:t> </w:t>
      </w:r>
      <w:r>
        <w:rPr/>
        <w:t>which</w:t>
      </w:r>
      <w:r>
        <w:rPr>
          <w:spacing w:val="-21"/>
        </w:rPr>
        <w:t> </w:t>
      </w:r>
      <w:r>
        <w:rPr/>
        <w:t>senior</w:t>
      </w:r>
      <w:r>
        <w:rPr>
          <w:spacing w:val="-21"/>
        </w:rPr>
        <w:t> </w:t>
      </w:r>
      <w:r>
        <w:rPr/>
        <w:t>officers</w:t>
      </w:r>
      <w:r>
        <w:rPr>
          <w:spacing w:val="-21"/>
        </w:rPr>
        <w:t> </w:t>
      </w:r>
      <w:r>
        <w:rPr>
          <w:spacing w:val="-11"/>
        </w:rPr>
        <w:t>are </w:t>
      </w:r>
      <w:r>
        <w:rPr/>
        <w:t>members,</w:t>
      </w:r>
      <w:r>
        <w:rPr>
          <w:spacing w:val="-18"/>
        </w:rPr>
        <w:t> </w:t>
      </w:r>
      <w:r>
        <w:rPr/>
        <w:t>or</w:t>
      </w:r>
      <w:r>
        <w:rPr>
          <w:spacing w:val="-18"/>
        </w:rPr>
        <w:t> </w:t>
      </w:r>
      <w:r>
        <w:rPr/>
        <w:t>entities</w:t>
      </w:r>
      <w:r>
        <w:rPr>
          <w:spacing w:val="-17"/>
        </w:rPr>
        <w:t> </w:t>
      </w:r>
      <w:r>
        <w:rPr/>
        <w:t>in</w:t>
      </w:r>
      <w:r>
        <w:rPr>
          <w:spacing w:val="-18"/>
        </w:rPr>
        <w:t> </w:t>
      </w:r>
      <w:r>
        <w:rPr/>
        <w:t>which</w:t>
      </w:r>
      <w:r>
        <w:rPr>
          <w:spacing w:val="-17"/>
        </w:rPr>
        <w:t> </w:t>
      </w:r>
      <w:r>
        <w:rPr/>
        <w:t>senior</w:t>
      </w:r>
      <w:r>
        <w:rPr>
          <w:spacing w:val="-18"/>
        </w:rPr>
        <w:t> </w:t>
      </w:r>
      <w:r>
        <w:rPr/>
        <w:t>officers</w:t>
      </w:r>
      <w:r>
        <w:rPr>
          <w:spacing w:val="-17"/>
        </w:rPr>
        <w:t> </w:t>
      </w:r>
      <w:r>
        <w:rPr/>
        <w:t>have substantial interests, had any interests in existing or proposed contracts with the Department other than</w:t>
      </w:r>
      <w:r>
        <w:rPr>
          <w:spacing w:val="-12"/>
        </w:rPr>
        <w:t> </w:t>
      </w:r>
      <w:r>
        <w:rPr/>
        <w:t>normal</w:t>
      </w:r>
      <w:r>
        <w:rPr>
          <w:spacing w:val="-12"/>
        </w:rPr>
        <w:t> </w:t>
      </w:r>
      <w:r>
        <w:rPr/>
        <w:t>contracts</w:t>
      </w:r>
      <w:r>
        <w:rPr>
          <w:spacing w:val="-11"/>
        </w:rPr>
        <w:t> </w:t>
      </w:r>
      <w:r>
        <w:rPr/>
        <w:t>of</w:t>
      </w:r>
      <w:r>
        <w:rPr>
          <w:spacing w:val="-12"/>
        </w:rPr>
        <w:t> </w:t>
      </w:r>
      <w:r>
        <w:rPr/>
        <w:t>employment</w:t>
      </w:r>
      <w:r>
        <w:rPr>
          <w:spacing w:val="-12"/>
        </w:rPr>
        <w:t> </w:t>
      </w:r>
      <w:r>
        <w:rPr/>
        <w:t>of</w:t>
      </w:r>
      <w:r>
        <w:rPr>
          <w:spacing w:val="-11"/>
        </w:rPr>
        <w:t> </w:t>
      </w:r>
      <w:r>
        <w:rPr/>
        <w:t>service.</w:t>
      </w:r>
    </w:p>
    <w:p>
      <w:pPr>
        <w:pStyle w:val="BodyText"/>
        <w:spacing w:before="9"/>
        <w:rPr>
          <w:sz w:val="26"/>
        </w:rPr>
      </w:pPr>
    </w:p>
    <w:p>
      <w:pPr>
        <w:pStyle w:val="Heading4"/>
        <w:spacing w:line="249" w:lineRule="auto" w:before="0"/>
        <w:ind w:right="1430"/>
      </w:pPr>
      <w:r>
        <w:rPr>
          <w:color w:val="A7BE39"/>
        </w:rPr>
        <w:t>Board and</w:t>
      </w:r>
      <w:r>
        <w:rPr>
          <w:color w:val="A7BE39"/>
          <w:spacing w:val="-65"/>
        </w:rPr>
        <w:t> </w:t>
      </w:r>
      <w:r>
        <w:rPr>
          <w:color w:val="A7BE39"/>
        </w:rPr>
        <w:t>committee remuneration</w:t>
      </w:r>
    </w:p>
    <w:p>
      <w:pPr>
        <w:pStyle w:val="BodyText"/>
        <w:spacing w:line="249" w:lineRule="auto" w:before="230"/>
        <w:ind w:left="765" w:right="345"/>
      </w:pPr>
      <w:r>
        <w:rPr/>
        <w:t>In</w:t>
      </w:r>
      <w:r>
        <w:rPr>
          <w:spacing w:val="-15"/>
        </w:rPr>
        <w:t> </w:t>
      </w:r>
      <w:r>
        <w:rPr/>
        <w:t>2016-17,</w:t>
      </w:r>
      <w:r>
        <w:rPr>
          <w:spacing w:val="-15"/>
        </w:rPr>
        <w:t> </w:t>
      </w:r>
      <w:r>
        <w:rPr/>
        <w:t>the</w:t>
      </w:r>
      <w:r>
        <w:rPr>
          <w:spacing w:val="-14"/>
        </w:rPr>
        <w:t> </w:t>
      </w:r>
      <w:r>
        <w:rPr/>
        <w:t>Department</w:t>
      </w:r>
      <w:r>
        <w:rPr>
          <w:spacing w:val="-15"/>
        </w:rPr>
        <w:t> </w:t>
      </w:r>
      <w:r>
        <w:rPr/>
        <w:t>of</w:t>
      </w:r>
      <w:r>
        <w:rPr>
          <w:spacing w:val="-14"/>
        </w:rPr>
        <w:t> </w:t>
      </w:r>
      <w:r>
        <w:rPr/>
        <w:t>Finance</w:t>
      </w:r>
      <w:r>
        <w:rPr>
          <w:spacing w:val="-15"/>
        </w:rPr>
        <w:t> </w:t>
      </w:r>
      <w:r>
        <w:rPr/>
        <w:t>paid</w:t>
      </w:r>
      <w:r>
        <w:rPr>
          <w:spacing w:val="-14"/>
        </w:rPr>
        <w:t> </w:t>
      </w:r>
      <w:r>
        <w:rPr>
          <w:spacing w:val="-9"/>
        </w:rPr>
        <w:t>no </w:t>
      </w:r>
      <w:r>
        <w:rPr/>
        <w:t>board or committee</w:t>
      </w:r>
      <w:r>
        <w:rPr>
          <w:spacing w:val="-11"/>
        </w:rPr>
        <w:t> </w:t>
      </w:r>
      <w:r>
        <w:rPr/>
        <w:t>renumeration.</w:t>
      </w:r>
    </w:p>
    <w:p>
      <w:pPr>
        <w:pStyle w:val="BodyText"/>
        <w:spacing w:before="4"/>
        <w:rPr>
          <w:sz w:val="26"/>
        </w:rPr>
      </w:pPr>
    </w:p>
    <w:p>
      <w:pPr>
        <w:pStyle w:val="Heading4"/>
        <w:spacing w:before="0"/>
      </w:pPr>
      <w:r>
        <w:rPr>
          <w:color w:val="A7BE39"/>
        </w:rPr>
        <w:t>Governance committees</w:t>
      </w:r>
    </w:p>
    <w:p>
      <w:pPr>
        <w:pStyle w:val="BodyText"/>
        <w:spacing w:line="249" w:lineRule="auto" w:before="245"/>
        <w:ind w:left="765" w:right="237"/>
      </w:pPr>
      <w:r>
        <w:rPr/>
        <w:t>Good</w:t>
      </w:r>
      <w:r>
        <w:rPr>
          <w:spacing w:val="-20"/>
        </w:rPr>
        <w:t> </w:t>
      </w:r>
      <w:r>
        <w:rPr/>
        <w:t>governance</w:t>
      </w:r>
      <w:r>
        <w:rPr>
          <w:spacing w:val="-20"/>
        </w:rPr>
        <w:t> </w:t>
      </w:r>
      <w:r>
        <w:rPr/>
        <w:t>is</w:t>
      </w:r>
      <w:r>
        <w:rPr>
          <w:spacing w:val="-20"/>
        </w:rPr>
        <w:t> </w:t>
      </w:r>
      <w:r>
        <w:rPr/>
        <w:t>the</w:t>
      </w:r>
      <w:r>
        <w:rPr>
          <w:spacing w:val="-20"/>
        </w:rPr>
        <w:t> </w:t>
      </w:r>
      <w:r>
        <w:rPr/>
        <w:t>cornerstone</w:t>
      </w:r>
      <w:r>
        <w:rPr>
          <w:spacing w:val="-20"/>
        </w:rPr>
        <w:t> </w:t>
      </w:r>
      <w:r>
        <w:rPr/>
        <w:t>for</w:t>
      </w:r>
      <w:r>
        <w:rPr>
          <w:spacing w:val="-20"/>
        </w:rPr>
        <w:t> </w:t>
      </w:r>
      <w:r>
        <w:rPr>
          <w:spacing w:val="-3"/>
        </w:rPr>
        <w:t>efficient </w:t>
      </w:r>
      <w:r>
        <w:rPr/>
        <w:t>and</w:t>
      </w:r>
      <w:r>
        <w:rPr>
          <w:spacing w:val="-17"/>
        </w:rPr>
        <w:t> </w:t>
      </w:r>
      <w:r>
        <w:rPr/>
        <w:t>effective</w:t>
      </w:r>
      <w:r>
        <w:rPr>
          <w:spacing w:val="-17"/>
        </w:rPr>
        <w:t> </w:t>
      </w:r>
      <w:r>
        <w:rPr/>
        <w:t>organisational</w:t>
      </w:r>
      <w:r>
        <w:rPr>
          <w:spacing w:val="-17"/>
        </w:rPr>
        <w:t> </w:t>
      </w:r>
      <w:r>
        <w:rPr/>
        <w:t>performance</w:t>
      </w:r>
      <w:r>
        <w:rPr>
          <w:spacing w:val="-17"/>
        </w:rPr>
        <w:t> </w:t>
      </w:r>
      <w:r>
        <w:rPr/>
        <w:t>and</w:t>
      </w:r>
    </w:p>
    <w:p>
      <w:pPr>
        <w:pStyle w:val="BodyText"/>
        <w:spacing w:line="249" w:lineRule="auto" w:before="2"/>
        <w:ind w:left="765" w:right="168"/>
      </w:pPr>
      <w:r>
        <w:rPr/>
        <w:t>is underpinned by a number of accountability requirements. As per existing legislative requirements and industry standards, the Department of Finance continues to convene several governance committees regularly to enhance</w:t>
      </w:r>
      <w:r>
        <w:rPr>
          <w:spacing w:val="-32"/>
        </w:rPr>
        <w:t> </w:t>
      </w:r>
      <w:r>
        <w:rPr/>
        <w:t>accountability,</w:t>
      </w:r>
      <w:r>
        <w:rPr>
          <w:spacing w:val="-32"/>
        </w:rPr>
        <w:t> </w:t>
      </w:r>
      <w:r>
        <w:rPr/>
        <w:t>probity</w:t>
      </w:r>
      <w:r>
        <w:rPr>
          <w:spacing w:val="-32"/>
        </w:rPr>
        <w:t> </w:t>
      </w:r>
      <w:r>
        <w:rPr/>
        <w:t>and</w:t>
      </w:r>
      <w:r>
        <w:rPr>
          <w:spacing w:val="-31"/>
        </w:rPr>
        <w:t> </w:t>
      </w:r>
      <w:r>
        <w:rPr>
          <w:spacing w:val="-3"/>
        </w:rPr>
        <w:t>transparency </w:t>
      </w:r>
      <w:r>
        <w:rPr/>
        <w:t>in procurement, technology and governance, people and communications, and audit and risk management.</w:t>
      </w:r>
    </w:p>
    <w:p>
      <w:pPr>
        <w:pStyle w:val="BodyText"/>
        <w:spacing w:line="249" w:lineRule="auto" w:before="144"/>
        <w:ind w:left="398" w:right="6032"/>
      </w:pPr>
      <w:r>
        <w:rPr/>
        <w:br w:type="column"/>
      </w:r>
      <w:r>
        <w:rPr/>
        <w:t>In</w:t>
      </w:r>
      <w:r>
        <w:rPr>
          <w:spacing w:val="-22"/>
        </w:rPr>
        <w:t> </w:t>
      </w:r>
      <w:r>
        <w:rPr/>
        <w:t>addition,</w:t>
      </w:r>
      <w:r>
        <w:rPr>
          <w:spacing w:val="-21"/>
        </w:rPr>
        <w:t> </w:t>
      </w:r>
      <w:r>
        <w:rPr/>
        <w:t>this</w:t>
      </w:r>
      <w:r>
        <w:rPr>
          <w:spacing w:val="-22"/>
        </w:rPr>
        <w:t> </w:t>
      </w:r>
      <w:r>
        <w:rPr/>
        <w:t>year</w:t>
      </w:r>
      <w:r>
        <w:rPr>
          <w:spacing w:val="-21"/>
        </w:rPr>
        <w:t> </w:t>
      </w:r>
      <w:r>
        <w:rPr/>
        <w:t>the</w:t>
      </w:r>
      <w:r>
        <w:rPr>
          <w:spacing w:val="-22"/>
        </w:rPr>
        <w:t> </w:t>
      </w:r>
      <w:r>
        <w:rPr/>
        <w:t>Department</w:t>
      </w:r>
      <w:r>
        <w:rPr>
          <w:spacing w:val="-21"/>
        </w:rPr>
        <w:t> </w:t>
      </w:r>
      <w:r>
        <w:rPr/>
        <w:t>has</w:t>
      </w:r>
      <w:r>
        <w:rPr>
          <w:spacing w:val="-22"/>
        </w:rPr>
        <w:t> </w:t>
      </w:r>
      <w:r>
        <w:rPr>
          <w:spacing w:val="-3"/>
        </w:rPr>
        <w:t>assessed </w:t>
      </w:r>
      <w:r>
        <w:rPr/>
        <w:t>its governance mechanisms against the nine governance principles contained in the Public Sector</w:t>
      </w:r>
      <w:r>
        <w:rPr>
          <w:spacing w:val="-14"/>
        </w:rPr>
        <w:t> </w:t>
      </w:r>
      <w:r>
        <w:rPr>
          <w:spacing w:val="-3"/>
        </w:rPr>
        <w:t>Commission’s</w:t>
      </w:r>
      <w:r>
        <w:rPr>
          <w:spacing w:val="-14"/>
        </w:rPr>
        <w:t> </w:t>
      </w:r>
      <w:r>
        <w:rPr/>
        <w:t>‘</w:t>
      </w:r>
      <w:hyperlink r:id="rId275">
        <w:r>
          <w:rPr>
            <w:i/>
            <w:color w:val="A7BE39"/>
            <w:u w:val="single" w:color="A7BE39"/>
          </w:rPr>
          <w:t>Good</w:t>
        </w:r>
        <w:r>
          <w:rPr>
            <w:i/>
            <w:color w:val="A7BE39"/>
            <w:spacing w:val="-13"/>
            <w:u w:val="single" w:color="A7BE39"/>
          </w:rPr>
          <w:t> </w:t>
        </w:r>
        <w:r>
          <w:rPr>
            <w:i/>
            <w:color w:val="A7BE39"/>
            <w:u w:val="single" w:color="A7BE39"/>
          </w:rPr>
          <w:t>governance</w:t>
        </w:r>
        <w:r>
          <w:rPr>
            <w:i/>
            <w:color w:val="A7BE39"/>
            <w:spacing w:val="-14"/>
            <w:u w:val="single" w:color="A7BE39"/>
          </w:rPr>
          <w:t> </w:t>
        </w:r>
        <w:r>
          <w:rPr>
            <w:i/>
            <w:color w:val="A7BE39"/>
            <w:u w:val="single" w:color="A7BE39"/>
          </w:rPr>
          <w:t>guide</w:t>
        </w:r>
        <w:r>
          <w:rPr>
            <w:i/>
            <w:color w:val="A7BE39"/>
            <w:spacing w:val="-14"/>
            <w:u w:val="single" w:color="A7BE39"/>
          </w:rPr>
          <w:t> </w:t>
        </w:r>
        <w:r>
          <w:rPr>
            <w:i/>
            <w:color w:val="A7BE39"/>
            <w:u w:val="single" w:color="A7BE39"/>
          </w:rPr>
          <w:t>for</w:t>
        </w:r>
      </w:hyperlink>
      <w:r>
        <w:rPr>
          <w:i/>
          <w:color w:val="A7BE39"/>
        </w:rPr>
        <w:t> </w:t>
      </w:r>
      <w:hyperlink r:id="rId275">
        <w:r>
          <w:rPr>
            <w:i/>
            <w:color w:val="A7BE39"/>
            <w:u w:val="single" w:color="A7BE39"/>
          </w:rPr>
          <w:t>public sector agencies</w:t>
        </w:r>
      </w:hyperlink>
      <w:r>
        <w:rPr/>
        <w:t>’. The Review highlighted that the </w:t>
      </w:r>
      <w:r>
        <w:rPr>
          <w:spacing w:val="-3"/>
        </w:rPr>
        <w:t>Department’s </w:t>
      </w:r>
      <w:r>
        <w:rPr/>
        <w:t>governance is</w:t>
      </w:r>
      <w:r>
        <w:rPr>
          <w:spacing w:val="-44"/>
        </w:rPr>
        <w:t> </w:t>
      </w:r>
      <w:r>
        <w:rPr/>
        <w:t>effective,</w:t>
      </w:r>
    </w:p>
    <w:p>
      <w:pPr>
        <w:pStyle w:val="BodyText"/>
        <w:spacing w:line="249" w:lineRule="auto" w:before="6"/>
        <w:ind w:left="398" w:right="6427"/>
      </w:pPr>
      <w:r>
        <w:rPr/>
        <w:pict>
          <v:group style="position:absolute;margin-left:560.606079pt;margin-top:-22.093233pt;width:281.3pt;height:417.85pt;mso-position-horizontal-relative:page;mso-position-vertical-relative:paragraph;z-index:-776248" coordorigin="11212,-442" coordsize="5626,8357">
            <v:shape style="position:absolute;left:11915;top:964;width:2110;height:2813" coordorigin="11915,965" coordsize="2110,2813" path="m14025,2371l12618,2371,11915,3074,12619,3777,12619,2371,14025,2371,14025,2371xm12619,965l11915,1668,12619,2371,12619,2371,12619,965xe" filled="true" fillcolor="#aebd37" stroked="false">
              <v:path arrowok="t"/>
              <v:fill type="solid"/>
            </v:shape>
            <v:shape style="position:absolute;left:12618;top:-442;width:2813;height:2813" coordorigin="12619,-442" coordsize="2813,2813" path="m14025,-442l12619,965,12619,965,14025,965,14025,2371,14025,965,15431,965,15431,965,14025,965,13322,261,14025,-442xm14728,261l14025,965,15431,965,14728,261xe" filled="true" fillcolor="#6f2770" stroked="false">
              <v:path arrowok="t"/>
              <v:fill type="solid"/>
            </v:shape>
            <v:shape style="position:absolute;left:12618;top:3777;width:2813;height:1407" coordorigin="12619,3777" coordsize="2813,1407" path="m14025,3777l12619,3777,14025,5184,13322,4481,14025,3777,15431,3777,14025,3777xm14728,4481l14025,5184,14728,4481,14728,4481xm15431,3777l14025,3777,14728,4481,15431,3777xe" filled="true" fillcolor="#5d883c" stroked="false">
              <v:path arrowok="t"/>
              <v:fill type="solid"/>
            </v:shape>
            <v:shape style="position:absolute;left:14024;top:964;width:2110;height:2813" coordorigin="14025,965" coordsize="2110,2813" path="m15431,965l15431,2371,14025,2371,15431,2371,15431,3777,16135,3074,15431,2371,16135,1668,15431,965xe" filled="true" fillcolor="#360e3f" stroked="false">
              <v:path arrowok="t"/>
              <v:fill type="solid"/>
            </v:shape>
            <v:shape style="position:absolute;left:12618;top:2370;width:1407;height:1407" coordorigin="12619,2371" coordsize="1407,1407" path="m13673,2723l12619,3777,12619,3777,13673,2723xm14025,2371l13673,2723,14025,2371,14025,2371xe" filled="true" fillcolor="#aebd37" stroked="false">
              <v:path arrowok="t"/>
              <v:fill type="solid"/>
            </v:shape>
            <v:shape style="position:absolute;left:12618;top:2370;width:1407;height:1407" coordorigin="12619,2371" coordsize="1407,1407" path="m14025,2371l12619,2371,12619,3777,14025,2371xm14025,2371l14025,2371,14025,2371,14025,2371xe" filled="true" fillcolor="#7aa142" stroked="false">
              <v:path arrowok="t"/>
              <v:fill type="solid"/>
            </v:shape>
            <v:shape style="position:absolute;left:12618;top:2370;width:1407;height:1407" coordorigin="12619,2371" coordsize="1407,1407" path="m14025,2371l12619,3777,14025,3777,14025,2371xe" filled="true" fillcolor="#41793d" stroked="false">
              <v:path arrowok="t"/>
              <v:fill type="solid"/>
            </v:shape>
            <v:shape style="position:absolute;left:12618;top:964;width:1407;height:1407" coordorigin="12619,965" coordsize="1407,1407" path="m12619,965l14025,2371,12619,965xe" filled="true" fillcolor="#6f2770" stroked="false">
              <v:path arrowok="t"/>
              <v:fill type="solid"/>
            </v:shape>
            <v:shape style="position:absolute;left:12618;top:964;width:1407;height:1407" coordorigin="12619,965" coordsize="1407,1407" path="m12619,965l12619,2371,14025,2371,12619,965xe" filled="true" fillcolor="#5b2e31" stroked="false">
              <v:path arrowok="t"/>
              <v:fill type="solid"/>
            </v:shape>
            <v:shape style="position:absolute;left:12618;top:964;width:1407;height:1407" coordorigin="12619,965" coordsize="1407,1407" path="m14025,965l12619,965,14025,2371,14025,965xe" filled="true" fillcolor="#42285e" stroked="false">
              <v:path arrowok="t"/>
              <v:fill type="solid"/>
            </v:shape>
            <v:shape style="position:absolute;left:14024;top:2370;width:1407;height:1407" coordorigin="14025,2371" coordsize="1407,1407" path="m14728,3074l15431,3777,15431,3777,14728,3074xm14025,2371l14025,2371,14728,3074,14025,2371xe" filled="true" fillcolor="#5d883c" stroked="false">
              <v:path arrowok="t"/>
              <v:fill type="solid"/>
            </v:shape>
            <v:shape style="position:absolute;left:14024;top:2370;width:1407;height:1407" coordorigin="14025,2371" coordsize="1407,1407" path="m14025,2371l14025,3777,15431,3777,14025,2371xe" filled="true" fillcolor="#226237" stroked="false">
              <v:path arrowok="t"/>
              <v:fill type="solid"/>
            </v:shape>
            <v:shape style="position:absolute;left:14024;top:2370;width:1407;height:1407" coordorigin="14025,2371" coordsize="1407,1407" path="m15431,2371l14025,2371,15431,3777,15431,2371xe" filled="true" fillcolor="#1e0f13" stroked="false">
              <v:path arrowok="t"/>
              <v:fill type="solid"/>
            </v:shape>
            <v:shape style="position:absolute;left:14024;top:964;width:1407;height:1407" coordorigin="14025,965" coordsize="1407,1407" path="m15431,965l14025,2371,15431,965xe" filled="true" fillcolor="#360e3f" stroked="false">
              <v:path arrowok="t"/>
              <v:fill type="solid"/>
            </v:shape>
            <v:shape style="position:absolute;left:14024;top:964;width:1407;height:1407" coordorigin="14025,965" coordsize="1407,1407" path="m15431,965l14025,965,14025,2371,15431,965xe" filled="true" fillcolor="#200d34" stroked="false">
              <v:path arrowok="t"/>
              <v:fill type="solid"/>
            </v:shape>
            <v:shape style="position:absolute;left:14024;top:964;width:1407;height:1407" coordorigin="14025,965" coordsize="1407,1407" path="m15431,965l14025,2371,15431,2371,15431,965xe" filled="true" fillcolor="#050019" stroked="false">
              <v:path arrowok="t"/>
              <v:fill type="solid"/>
            </v:shape>
            <v:shape style="position:absolute;left:11212;top:1667;width:1407;height:1407" coordorigin="11212,1668" coordsize="1407,1407" path="m11915,1668l11212,2371,11915,3074,12619,2371,11915,1668xe" filled="true" fillcolor="#89993e" stroked="false">
              <v:path arrowok="t"/>
              <v:fill type="solid"/>
            </v:shape>
            <v:shape style="position:absolute;left:13321;top:3777;width:1407;height:1407" coordorigin="13322,3777" coordsize="1407,1407" path="m14025,3777l13322,4481,14025,5184,14728,4481,14025,3777xe" filled="true" fillcolor="#4f743b" stroked="false">
              <v:path arrowok="t"/>
              <v:fill type="solid"/>
            </v:shape>
            <v:shape style="position:absolute;left:15431;top:1667;width:1407;height:1407" coordorigin="15431,1668" coordsize="1407,1407" path="m16135,1668l15431,2371,16135,3074,16838,2371,16135,1668xe" filled="true" fillcolor="#2f1038" stroked="false">
              <v:path arrowok="t"/>
              <v:fill type="solid"/>
            </v:shape>
            <v:shape style="position:absolute;left:13321;top:-442;width:1407;height:1407" coordorigin="13322,-442" coordsize="1407,1407" path="m14025,-442l13322,261,14025,965,14728,261,14025,-442xe" filled="true" fillcolor="#602a63" stroked="false">
              <v:path arrowok="t"/>
              <v:fill type="solid"/>
            </v:shape>
            <v:shape style="position:absolute;left:11652;top:-2;width:4746;height:4746" coordorigin="11652,-2" coordsize="4746,4746" path="m14025,-2l11652,2371,14025,4744,16398,2371,14025,-2xe" filled="true" fillcolor="#ffffff" stroked="false">
              <v:path arrowok="t"/>
              <v:fill type="solid"/>
            </v:shape>
            <v:shape style="position:absolute;left:11420;top:-300;width:1455;height:2532" coordorigin="11420,-300" coordsize="1455,2532" path="m12875,1910l12421,2172,12430,2182,12875,1925,12875,1910m12875,1831l12371,2122,12380,2131,12875,1846,12875,1831m12875,1752l12321,2072,12330,2081,12875,1767,12875,1752m12875,1594l12221,1972,12230,1981,12875,1609,12875,1594m12875,1516l12171,1922,12180,1931,12875,1530,12875,1516m12875,1437l12121,1872,12130,1881,12875,1451,12875,1437m12875,1358l12071,1822,12080,1831,12875,1372,12875,1358m12875,1279l12021,1772,12030,1781,12875,1293,12875,1279m12875,1200l11971,1722,11980,1731,12875,1214,12875,1200m12875,1121l11921,1672,11930,1681,12875,1135,12875,1121m12875,1042l11870,1622,11880,1631,12875,1056,12875,1042m12875,963l11820,1572,11830,1581,12875,977,12875,963m12875,884l11770,1522,11780,1531,12875,899,12875,884m12875,805l11720,1472,11730,1481,12875,820,12875,805m12875,726l11670,1422,11679,1431,12875,741,12875,726m12875,647l11620,1372,11629,1381,12875,662,12875,647m12875,489l11520,1272,11529,1281,12875,504,12875,489m12875,411l11470,1222,11479,1231,12875,425,12875,411m12875,332l11420,1172,11429,1181,12875,346,12875,332m12875,-300l12870,-297,12836,-263,12875,-285,12875,-300m12875,1989l12471,2222,12480,2232,12875,2004,12875,1989m12875,1673l12271,2022,12280,2031,12875,1688,12875,1673m12875,568l11570,1322,11579,1331,12875,583,12875,568m12875,253l11562,1010,11528,1045,12875,267,12875,253m12875,174l11749,824,11715,858,12875,188,12875,174m12875,95l11936,637,11902,671,12875,109,12875,95m12875,16l12123,450,12089,484,12875,30,12875,16m12875,-63l12309,263,12275,298,12875,-49,12875,-63m12875,-142l12496,77,12462,111,12875,-128,12875,-142m12875,-221l12683,-110,12649,-76,12875,-206,12875,-221e" filled="true" fillcolor="#cdcccd" stroked="false">
              <v:path arrowok="t"/>
              <v:fill type="solid"/>
            </v:shape>
            <v:shape style="position:absolute;left:12521;top:2068;width:354;height:514" type="#_x0000_t75" stroked="false">
              <v:imagedata r:id="rId276" o:title=""/>
            </v:shape>
            <v:shape style="position:absolute;left:12875;top:-282;width:24;height:18" coordorigin="12875,-282" coordsize="24,18" path="m12895,-282l12875,-270,12875,-265,12899,-278,12895,-282xe" filled="true" fillcolor="#cdcccd" stroked="false">
              <v:path arrowok="t"/>
              <v:fill type="solid"/>
            </v:shape>
            <v:shape style="position:absolute;left:12875;top:-232;width:375;height:520" type="#_x0000_t75" stroked="false">
              <v:imagedata r:id="rId277" o:title=""/>
            </v:shape>
            <v:shape style="position:absolute;left:12875;top:118;width:1438;height:2301" coordorigin="12875,118" coordsize="1438,2301" path="m13299,122l13296,118,12875,361,12875,367,13299,122m13349,172l13346,168,12875,440,12875,446,13349,172m13379,2122l12875,2413,12875,2419,13366,2136,13379,2122m13399,222l13396,218,12875,519,12875,525,13399,222m13449,272l13446,269,12875,598,12875,604,13449,272m13499,322l13496,319,12875,677,12875,683,13499,322m13549,372l13546,369,12875,756,12875,762,13549,372m13566,1935l12875,2334,12875,2340,13552,1949,13566,1935m13599,422l13596,419,12875,835,12875,841,13599,422m13649,472l13646,469,12875,914,12875,919,13649,472m13700,522l13696,519,12875,993,12875,998,13700,522m13750,572l13746,569,12875,1072,12875,1077,13750,572m13753,1749l12875,2255,12875,2261,13739,1762,13753,1749m13800,622l13796,619,12875,1150,12875,1156,13800,622m13850,673l13846,669,12875,1229,12875,1235,13850,673m13900,723l13896,719,12875,1308,12875,1314,13900,723m13940,1562l12875,2177,12875,2182,13926,1576,13940,1562m13950,773l13946,769,12875,1387,12875,1393,13950,773m14000,823l13996,819,12875,1466,12875,1472,14000,823m14050,873l14046,869,12875,1545,12875,1551,14050,873m14100,923l14096,919,12875,1624,12875,1630,14100,923m14126,1375l12875,2098,12875,2103,14113,1389,14126,1375m14150,973l14146,969,12875,1703,12875,1709,14150,973m14200,1023l14196,1019,12875,1782,12875,1788,14200,1023m14250,1073l14246,1069,12875,1861,12875,1867,14250,1073m14300,1123l14296,1119,12875,1940,12875,1946,14300,1123m14313,1189l12875,2019,12875,2024,14299,1202,14313,1189e" filled="true" fillcolor="#cdcccd" stroked="false">
              <v:path arrowok="t"/>
              <v:fill type="solid"/>
            </v:shape>
            <v:shape style="position:absolute;left:12875;top:2308;width:318;height:269" type="#_x0000_t75" stroked="false">
              <v:imagedata r:id="rId278" o:title=""/>
            </v:shape>
            <v:shape style="position:absolute;left:16387;top:3400;width:451;height:902" coordorigin="16387,3401" coordsize="451,902" path="m16838,3401l16387,3851,16838,4302,16838,3401xe" filled="true" fillcolor="#c4cd71" stroked="false">
              <v:path arrowok="t"/>
              <v:fill opacity="32768f" type="solid"/>
            </v:shape>
            <v:shape style="position:absolute;left:16387;top:7013;width:451;height:902" coordorigin="16387,7013" coordsize="451,902" path="m16838,7013l16387,7464,16838,7915,16838,7013xe" filled="true" fillcolor="#513457" stroked="false">
              <v:path arrowok="t"/>
              <v:fill opacity="32768f" type="solid"/>
            </v:shape>
            <v:shape style="position:absolute;left:16387;top:6110;width:451;height:902" coordorigin="16387,6110" coordsize="451,902" path="m16838,6110l16387,6561,16838,7012,16838,6110xe" filled="true" fillcolor="#d4d4d3" stroked="false">
              <v:path arrowok="t"/>
              <v:fill opacity="32768f" type="solid"/>
            </v:shape>
            <v:shape style="position:absolute;left:16387;top:5207;width:451;height:902" coordorigin="16387,5207" coordsize="451,902" path="m16838,5207l16387,5658,16838,6108,16838,5207xe" filled="true" fillcolor="#783a79" stroked="false">
              <v:path arrowok="t"/>
              <v:fill opacity="32768f" type="solid"/>
            </v:shape>
            <w10:wrap type="none"/>
          </v:group>
        </w:pict>
      </w:r>
      <w:r>
        <w:rPr/>
        <w:pict>
          <v:shape style="position:absolute;margin-left:592.920471pt;margin-top:-84.829636pt;width:45.2pt;height:45.2pt;mso-position-horizontal-relative:page;mso-position-vertical-relative:paragraph;z-index:37624" coordorigin="11858,-1697" coordsize="904,904" path="m12310,-1697l11858,-1245,12310,-793,12762,-1245,12310,-1697xe" filled="true" fillcolor="#5d883c" stroked="false">
            <v:path arrowok="t"/>
            <v:fill opacity="16384f" type="solid"/>
            <w10:wrap type="none"/>
          </v:shape>
        </w:pict>
      </w:r>
      <w:r>
        <w:rPr/>
        <w:t>has strong leadership and is an appropriate governance</w:t>
      </w:r>
      <w:r>
        <w:rPr>
          <w:spacing w:val="-33"/>
        </w:rPr>
        <w:t> </w:t>
      </w:r>
      <w:r>
        <w:rPr/>
        <w:t>structure,</w:t>
      </w:r>
      <w:r>
        <w:rPr>
          <w:spacing w:val="-32"/>
        </w:rPr>
        <w:t> </w:t>
      </w:r>
      <w:r>
        <w:rPr/>
        <w:t>with</w:t>
      </w:r>
      <w:r>
        <w:rPr>
          <w:spacing w:val="-32"/>
        </w:rPr>
        <w:t> </w:t>
      </w:r>
      <w:r>
        <w:rPr/>
        <w:t>clear</w:t>
      </w:r>
      <w:r>
        <w:rPr>
          <w:spacing w:val="-33"/>
        </w:rPr>
        <w:t> </w:t>
      </w:r>
      <w:r>
        <w:rPr/>
        <w:t>accountability mechanisms and sound</w:t>
      </w:r>
      <w:r>
        <w:rPr>
          <w:spacing w:val="-11"/>
        </w:rPr>
        <w:t> </w:t>
      </w:r>
      <w:r>
        <w:rPr/>
        <w:t>systems.</w:t>
      </w:r>
    </w:p>
    <w:p>
      <w:pPr>
        <w:pStyle w:val="BodyText"/>
        <w:spacing w:before="4"/>
        <w:rPr>
          <w:sz w:val="26"/>
        </w:rPr>
      </w:pPr>
    </w:p>
    <w:p>
      <w:pPr>
        <w:pStyle w:val="Heading4"/>
        <w:spacing w:line="249" w:lineRule="auto" w:before="0"/>
        <w:ind w:left="398" w:right="6826"/>
      </w:pPr>
      <w:r>
        <w:rPr>
          <w:color w:val="A7BE39"/>
        </w:rPr>
        <w:t>Finance</w:t>
      </w:r>
      <w:r>
        <w:rPr>
          <w:color w:val="A7BE39"/>
          <w:spacing w:val="-58"/>
        </w:rPr>
        <w:t> </w:t>
      </w:r>
      <w:r>
        <w:rPr>
          <w:color w:val="A7BE39"/>
        </w:rPr>
        <w:t>and</w:t>
      </w:r>
      <w:r>
        <w:rPr>
          <w:color w:val="A7BE39"/>
          <w:spacing w:val="-57"/>
        </w:rPr>
        <w:t> </w:t>
      </w:r>
      <w:r>
        <w:rPr>
          <w:color w:val="A7BE39"/>
          <w:spacing w:val="-4"/>
        </w:rPr>
        <w:t>Procurement </w:t>
      </w:r>
      <w:r>
        <w:rPr>
          <w:color w:val="A7BE39"/>
        </w:rPr>
        <w:t>Committee</w:t>
      </w:r>
    </w:p>
    <w:p>
      <w:pPr>
        <w:pStyle w:val="BodyText"/>
        <w:spacing w:line="249" w:lineRule="auto" w:before="230"/>
        <w:ind w:left="398" w:right="5998"/>
      </w:pPr>
      <w:r>
        <w:rPr/>
        <w:t>The</w:t>
      </w:r>
      <w:r>
        <w:rPr>
          <w:spacing w:val="-31"/>
        </w:rPr>
        <w:t> </w:t>
      </w:r>
      <w:r>
        <w:rPr/>
        <w:t>Finance</w:t>
      </w:r>
      <w:r>
        <w:rPr>
          <w:spacing w:val="-31"/>
        </w:rPr>
        <w:t> </w:t>
      </w:r>
      <w:r>
        <w:rPr/>
        <w:t>and</w:t>
      </w:r>
      <w:r>
        <w:rPr>
          <w:spacing w:val="-30"/>
        </w:rPr>
        <w:t> </w:t>
      </w:r>
      <w:r>
        <w:rPr/>
        <w:t>Procurement</w:t>
      </w:r>
      <w:r>
        <w:rPr>
          <w:spacing w:val="-31"/>
        </w:rPr>
        <w:t> </w:t>
      </w:r>
      <w:r>
        <w:rPr/>
        <w:t>Committee</w:t>
      </w:r>
      <w:r>
        <w:rPr>
          <w:spacing w:val="-30"/>
        </w:rPr>
        <w:t> </w:t>
      </w:r>
      <w:r>
        <w:rPr>
          <w:spacing w:val="-3"/>
        </w:rPr>
        <w:t>provides </w:t>
      </w:r>
      <w:r>
        <w:rPr/>
        <w:t>direction</w:t>
      </w:r>
      <w:r>
        <w:rPr>
          <w:spacing w:val="-11"/>
        </w:rPr>
        <w:t> </w:t>
      </w:r>
      <w:r>
        <w:rPr/>
        <w:t>and</w:t>
      </w:r>
      <w:r>
        <w:rPr>
          <w:spacing w:val="-11"/>
        </w:rPr>
        <w:t> </w:t>
      </w:r>
      <w:r>
        <w:rPr/>
        <w:t>leadership</w:t>
      </w:r>
      <w:r>
        <w:rPr>
          <w:spacing w:val="-11"/>
        </w:rPr>
        <w:t> </w:t>
      </w:r>
      <w:r>
        <w:rPr/>
        <w:t>in</w:t>
      </w:r>
      <w:r>
        <w:rPr>
          <w:spacing w:val="-10"/>
        </w:rPr>
        <w:t> </w:t>
      </w:r>
      <w:r>
        <w:rPr/>
        <w:t>the</w:t>
      </w:r>
      <w:r>
        <w:rPr>
          <w:spacing w:val="-11"/>
        </w:rPr>
        <w:t> </w:t>
      </w:r>
      <w:r>
        <w:rPr/>
        <w:t>management</w:t>
      </w:r>
      <w:r>
        <w:rPr>
          <w:spacing w:val="-11"/>
        </w:rPr>
        <w:t> </w:t>
      </w:r>
      <w:r>
        <w:rPr/>
        <w:t>of</w:t>
      </w:r>
    </w:p>
    <w:p>
      <w:pPr>
        <w:pStyle w:val="BodyText"/>
        <w:spacing w:line="249" w:lineRule="auto" w:before="2"/>
        <w:ind w:left="398" w:right="6093"/>
      </w:pPr>
      <w:r>
        <w:rPr/>
        <w:t>the</w:t>
      </w:r>
      <w:r>
        <w:rPr>
          <w:spacing w:val="-26"/>
        </w:rPr>
        <w:t> </w:t>
      </w:r>
      <w:r>
        <w:rPr>
          <w:spacing w:val="-3"/>
        </w:rPr>
        <w:t>Department’s</w:t>
      </w:r>
      <w:r>
        <w:rPr>
          <w:spacing w:val="-26"/>
        </w:rPr>
        <w:t> </w:t>
      </w:r>
      <w:r>
        <w:rPr/>
        <w:t>financial</w:t>
      </w:r>
      <w:r>
        <w:rPr>
          <w:spacing w:val="-26"/>
        </w:rPr>
        <w:t> </w:t>
      </w:r>
      <w:r>
        <w:rPr/>
        <w:t>responsibilities,</w:t>
      </w:r>
      <w:r>
        <w:rPr>
          <w:spacing w:val="-26"/>
        </w:rPr>
        <w:t> </w:t>
      </w:r>
      <w:r>
        <w:rPr/>
        <w:t>as</w:t>
      </w:r>
      <w:r>
        <w:rPr>
          <w:spacing w:val="-26"/>
        </w:rPr>
        <w:t> </w:t>
      </w:r>
      <w:r>
        <w:rPr/>
        <w:t>well as making recommendations on </w:t>
      </w:r>
      <w:r>
        <w:rPr>
          <w:spacing w:val="-3"/>
        </w:rPr>
        <w:t>Finance’s </w:t>
      </w:r>
      <w:r>
        <w:rPr/>
        <w:t>own procurement activities. This year the Committee implemented</w:t>
      </w:r>
      <w:r>
        <w:rPr>
          <w:spacing w:val="-22"/>
        </w:rPr>
        <w:t> </w:t>
      </w:r>
      <w:r>
        <w:rPr/>
        <w:t>a</w:t>
      </w:r>
      <w:r>
        <w:rPr>
          <w:spacing w:val="-22"/>
        </w:rPr>
        <w:t> </w:t>
      </w:r>
      <w:r>
        <w:rPr/>
        <w:t>periodic</w:t>
      </w:r>
      <w:r>
        <w:rPr>
          <w:spacing w:val="-21"/>
        </w:rPr>
        <w:t> </w:t>
      </w:r>
      <w:r>
        <w:rPr/>
        <w:t>review</w:t>
      </w:r>
      <w:r>
        <w:rPr>
          <w:spacing w:val="-22"/>
        </w:rPr>
        <w:t> </w:t>
      </w:r>
      <w:r>
        <w:rPr/>
        <w:t>process</w:t>
      </w:r>
      <w:r>
        <w:rPr>
          <w:spacing w:val="-21"/>
        </w:rPr>
        <w:t> </w:t>
      </w:r>
      <w:r>
        <w:rPr/>
        <w:t>that</w:t>
      </w:r>
      <w:r>
        <w:rPr>
          <w:spacing w:val="-22"/>
        </w:rPr>
        <w:t> </w:t>
      </w:r>
      <w:r>
        <w:rPr>
          <w:spacing w:val="-4"/>
        </w:rPr>
        <w:t>seeks </w:t>
      </w:r>
      <w:r>
        <w:rPr/>
        <w:t>to achieve better value-for-money outcomes for the</w:t>
      </w:r>
      <w:r>
        <w:rPr>
          <w:spacing w:val="-8"/>
        </w:rPr>
        <w:t> </w:t>
      </w:r>
      <w:r>
        <w:rPr/>
        <w:t>Department</w:t>
      </w:r>
      <w:r>
        <w:rPr>
          <w:spacing w:val="-8"/>
        </w:rPr>
        <w:t> </w:t>
      </w:r>
      <w:r>
        <w:rPr/>
        <w:t>and</w:t>
      </w:r>
      <w:r>
        <w:rPr>
          <w:spacing w:val="-8"/>
        </w:rPr>
        <w:t> </w:t>
      </w:r>
      <w:r>
        <w:rPr/>
        <w:t>government</w:t>
      </w:r>
      <w:r>
        <w:rPr>
          <w:spacing w:val="-8"/>
        </w:rPr>
        <w:t> </w:t>
      </w:r>
      <w:r>
        <w:rPr/>
        <w:t>as</w:t>
      </w:r>
      <w:r>
        <w:rPr>
          <w:spacing w:val="-8"/>
        </w:rPr>
        <w:t> </w:t>
      </w:r>
      <w:r>
        <w:rPr/>
        <w:t>a</w:t>
      </w:r>
      <w:r>
        <w:rPr>
          <w:spacing w:val="-8"/>
        </w:rPr>
        <w:t> </w:t>
      </w:r>
      <w:r>
        <w:rPr/>
        <w:t>whole.</w:t>
      </w:r>
    </w:p>
    <w:p>
      <w:pPr>
        <w:pStyle w:val="BodyText"/>
        <w:spacing w:before="5"/>
        <w:rPr>
          <w:sz w:val="23"/>
        </w:rPr>
      </w:pPr>
    </w:p>
    <w:p>
      <w:pPr>
        <w:pStyle w:val="BodyText"/>
        <w:spacing w:line="249" w:lineRule="auto"/>
        <w:ind w:left="398" w:right="6310"/>
      </w:pPr>
      <w:r>
        <w:rPr/>
        <w:t>The Department also improved its focus on contract oversight through the development of a register of contracts, in line with </w:t>
      </w:r>
      <w:r>
        <w:rPr>
          <w:spacing w:val="-5"/>
        </w:rPr>
        <w:t>Treasurer’s </w:t>
      </w:r>
      <w:r>
        <w:rPr/>
        <w:t>Instruction</w:t>
      </w:r>
      <w:r>
        <w:rPr>
          <w:spacing w:val="-16"/>
        </w:rPr>
        <w:t> </w:t>
      </w:r>
      <w:r>
        <w:rPr/>
        <w:t>820.</w:t>
      </w:r>
      <w:r>
        <w:rPr>
          <w:spacing w:val="-15"/>
        </w:rPr>
        <w:t> </w:t>
      </w:r>
      <w:r>
        <w:rPr/>
        <w:t>In</w:t>
      </w:r>
      <w:r>
        <w:rPr>
          <w:spacing w:val="-15"/>
        </w:rPr>
        <w:t> </w:t>
      </w:r>
      <w:r>
        <w:rPr/>
        <w:t>addition,</w:t>
      </w:r>
      <w:r>
        <w:rPr>
          <w:spacing w:val="-15"/>
        </w:rPr>
        <w:t> </w:t>
      </w:r>
      <w:r>
        <w:rPr/>
        <w:t>the</w:t>
      </w:r>
      <w:r>
        <w:rPr>
          <w:spacing w:val="-15"/>
        </w:rPr>
        <w:t> </w:t>
      </w:r>
      <w:r>
        <w:rPr/>
        <w:t>Committee</w:t>
      </w:r>
      <w:r>
        <w:rPr>
          <w:spacing w:val="-15"/>
        </w:rPr>
        <w:t> </w:t>
      </w:r>
      <w:r>
        <w:rPr/>
        <w:t>has improved corporate purchasing card analytics, to</w:t>
      </w:r>
      <w:r>
        <w:rPr>
          <w:spacing w:val="-18"/>
        </w:rPr>
        <w:t> </w:t>
      </w:r>
      <w:r>
        <w:rPr/>
        <w:t>facilitate</w:t>
      </w:r>
      <w:r>
        <w:rPr>
          <w:spacing w:val="-18"/>
        </w:rPr>
        <w:t> </w:t>
      </w:r>
      <w:r>
        <w:rPr/>
        <w:t>the</w:t>
      </w:r>
      <w:r>
        <w:rPr>
          <w:spacing w:val="-18"/>
        </w:rPr>
        <w:t> </w:t>
      </w:r>
      <w:r>
        <w:rPr/>
        <w:t>timelier</w:t>
      </w:r>
      <w:r>
        <w:rPr>
          <w:spacing w:val="-18"/>
        </w:rPr>
        <w:t> </w:t>
      </w:r>
      <w:r>
        <w:rPr/>
        <w:t>processing</w:t>
      </w:r>
      <w:r>
        <w:rPr>
          <w:spacing w:val="-18"/>
        </w:rPr>
        <w:t> </w:t>
      </w:r>
      <w:r>
        <w:rPr/>
        <w:t>of</w:t>
      </w:r>
      <w:r>
        <w:rPr>
          <w:spacing w:val="-18"/>
        </w:rPr>
        <w:t> </w:t>
      </w:r>
      <w:r>
        <w:rPr/>
        <w:t>credit</w:t>
      </w:r>
      <w:r>
        <w:rPr>
          <w:spacing w:val="-18"/>
        </w:rPr>
        <w:t> </w:t>
      </w:r>
      <w:r>
        <w:rPr>
          <w:spacing w:val="-7"/>
        </w:rPr>
        <w:t>card </w:t>
      </w:r>
      <w:r>
        <w:rPr/>
        <w:t>activity across the</w:t>
      </w:r>
      <w:r>
        <w:rPr>
          <w:spacing w:val="-9"/>
        </w:rPr>
        <w:t> </w:t>
      </w:r>
      <w:r>
        <w:rPr/>
        <w:t>Department.</w:t>
      </w:r>
    </w:p>
    <w:p>
      <w:pPr>
        <w:spacing w:after="0" w:line="249" w:lineRule="auto"/>
        <w:sectPr>
          <w:type w:val="continuous"/>
          <w:pgSz w:w="16840" w:h="11910" w:orient="landscape"/>
          <w:pgMar w:top="0" w:bottom="0" w:left="0" w:right="0"/>
          <w:cols w:num="2" w:equalWidth="0">
            <w:col w:w="5572" w:space="40"/>
            <w:col w:w="11228"/>
          </w:cols>
        </w:sectPr>
      </w:pPr>
    </w:p>
    <w:p>
      <w:pPr>
        <w:pStyle w:val="BodyText"/>
        <w:spacing w:before="11"/>
        <w:rPr>
          <w:sz w:val="19"/>
        </w:rPr>
      </w:pPr>
    </w:p>
    <w:p>
      <w:pPr>
        <w:tabs>
          <w:tab w:pos="4671" w:val="left" w:leader="none"/>
          <w:tab w:pos="16072" w:val="left" w:leader="none"/>
        </w:tabs>
        <w:spacing w:before="106"/>
        <w:ind w:left="765" w:right="0" w:firstLine="0"/>
        <w:jc w:val="left"/>
        <w:rPr>
          <w:sz w:val="16"/>
        </w:rPr>
      </w:pPr>
      <w:r>
        <w:rPr>
          <w:b/>
          <w:color w:val="6F2770"/>
          <w:sz w:val="16"/>
        </w:rPr>
        <w:t>106   </w:t>
      </w:r>
      <w:r>
        <w:rPr>
          <w:color w:val="939598"/>
          <w:sz w:val="16"/>
        </w:rPr>
        <w:t>Department of Finance Annual Report</w:t>
      </w:r>
      <w:r>
        <w:rPr>
          <w:color w:val="939598"/>
          <w:spacing w:val="-29"/>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tabs>
          <w:tab w:pos="14432" w:val="left" w:leader="none"/>
        </w:tabs>
        <w:spacing w:line="240" w:lineRule="auto"/>
        <w:ind w:left="4802" w:right="-44" w:firstLine="0"/>
        <w:rPr>
          <w:sz w:val="20"/>
        </w:rPr>
      </w:pPr>
      <w:r>
        <w:rPr>
          <w:sz w:val="20"/>
        </w:rPr>
        <w:pict>
          <v:shape style="width:120.7pt;height:42.55pt;mso-position-horizontal-relative:char;mso-position-vertical-relative:line" type="#_x0000_t202" filled="true" fillcolor="#bec85c" stroked="false">
            <w10:anchorlock/>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shape>
        </w:pict>
      </w:r>
      <w:r>
        <w:rPr>
          <w:sz w:val="20"/>
        </w:rPr>
      </w:r>
    </w:p>
    <w:p>
      <w:pPr>
        <w:pStyle w:val="BodyText"/>
        <w:rPr>
          <w:sz w:val="20"/>
        </w:rPr>
      </w:pPr>
    </w:p>
    <w:p>
      <w:pPr>
        <w:spacing w:after="0"/>
        <w:rPr>
          <w:sz w:val="20"/>
        </w:rPr>
        <w:sectPr>
          <w:footerReference w:type="default" r:id="rId279"/>
          <w:pgSz w:w="16840" w:h="11910" w:orient="landscape"/>
          <w:pgMar w:footer="0" w:header="0" w:top="0" w:bottom="0" w:left="0" w:right="0"/>
        </w:sectPr>
      </w:pPr>
    </w:p>
    <w:p>
      <w:pPr>
        <w:pStyle w:val="BodyText"/>
        <w:rPr>
          <w:sz w:val="36"/>
        </w:rPr>
      </w:pPr>
    </w:p>
    <w:p>
      <w:pPr>
        <w:pStyle w:val="Heading4"/>
        <w:spacing w:line="249" w:lineRule="auto" w:before="0"/>
        <w:ind w:right="1046"/>
      </w:pPr>
      <w:r>
        <w:rPr>
          <w:color w:val="A7BE39"/>
          <w:w w:val="95"/>
        </w:rPr>
        <w:t>Technology Governance </w:t>
      </w:r>
      <w:r>
        <w:rPr>
          <w:color w:val="A7BE39"/>
        </w:rPr>
        <w:t>Committee</w:t>
      </w:r>
    </w:p>
    <w:p>
      <w:pPr>
        <w:pStyle w:val="BodyText"/>
        <w:spacing w:line="249" w:lineRule="auto" w:before="231"/>
        <w:ind w:left="765" w:right="-9"/>
      </w:pPr>
      <w:r>
        <w:rPr/>
        <w:t>The </w:t>
      </w:r>
      <w:r>
        <w:rPr>
          <w:spacing w:val="-3"/>
        </w:rPr>
        <w:t>Technology </w:t>
      </w:r>
      <w:r>
        <w:rPr/>
        <w:t>Governance Committee comprises executive members from all business units,</w:t>
      </w:r>
      <w:r>
        <w:rPr>
          <w:spacing w:val="-24"/>
        </w:rPr>
        <w:t> </w:t>
      </w:r>
      <w:r>
        <w:rPr/>
        <w:t>relevant</w:t>
      </w:r>
      <w:r>
        <w:rPr>
          <w:spacing w:val="-24"/>
        </w:rPr>
        <w:t> </w:t>
      </w:r>
      <w:r>
        <w:rPr/>
        <w:t>technical</w:t>
      </w:r>
      <w:r>
        <w:rPr>
          <w:spacing w:val="-24"/>
        </w:rPr>
        <w:t> </w:t>
      </w:r>
      <w:r>
        <w:rPr/>
        <w:t>staff</w:t>
      </w:r>
      <w:r>
        <w:rPr>
          <w:spacing w:val="-23"/>
        </w:rPr>
        <w:t> </w:t>
      </w:r>
      <w:r>
        <w:rPr/>
        <w:t>and</w:t>
      </w:r>
      <w:r>
        <w:rPr>
          <w:spacing w:val="-24"/>
        </w:rPr>
        <w:t> </w:t>
      </w:r>
      <w:r>
        <w:rPr/>
        <w:t>a</w:t>
      </w:r>
      <w:r>
        <w:rPr>
          <w:spacing w:val="-24"/>
        </w:rPr>
        <w:t> </w:t>
      </w:r>
      <w:r>
        <w:rPr/>
        <w:t>representative from</w:t>
      </w:r>
      <w:r>
        <w:rPr>
          <w:spacing w:val="-28"/>
        </w:rPr>
        <w:t> </w:t>
      </w:r>
      <w:r>
        <w:rPr/>
        <w:t>the</w:t>
      </w:r>
      <w:r>
        <w:rPr>
          <w:spacing w:val="-27"/>
        </w:rPr>
        <w:t> </w:t>
      </w:r>
      <w:r>
        <w:rPr/>
        <w:t>Department</w:t>
      </w:r>
      <w:r>
        <w:rPr>
          <w:spacing w:val="-28"/>
        </w:rPr>
        <w:t> </w:t>
      </w:r>
      <w:r>
        <w:rPr/>
        <w:t>of</w:t>
      </w:r>
      <w:r>
        <w:rPr>
          <w:spacing w:val="-27"/>
        </w:rPr>
        <w:t> </w:t>
      </w:r>
      <w:r>
        <w:rPr>
          <w:spacing w:val="-6"/>
        </w:rPr>
        <w:t>Treasury.</w:t>
      </w:r>
      <w:r>
        <w:rPr>
          <w:spacing w:val="-28"/>
        </w:rPr>
        <w:t> </w:t>
      </w:r>
      <w:r>
        <w:rPr/>
        <w:t>This</w:t>
      </w:r>
      <w:r>
        <w:rPr>
          <w:spacing w:val="-27"/>
        </w:rPr>
        <w:t> </w:t>
      </w:r>
      <w:r>
        <w:rPr/>
        <w:t>membership mix ensures a strategic approach is taken to the development</w:t>
      </w:r>
      <w:r>
        <w:rPr>
          <w:spacing w:val="-21"/>
        </w:rPr>
        <w:t> </w:t>
      </w:r>
      <w:r>
        <w:rPr/>
        <w:t>of</w:t>
      </w:r>
      <w:r>
        <w:rPr>
          <w:spacing w:val="-21"/>
        </w:rPr>
        <w:t> </w:t>
      </w:r>
      <w:r>
        <w:rPr/>
        <w:t>ICT</w:t>
      </w:r>
      <w:r>
        <w:rPr>
          <w:spacing w:val="-21"/>
        </w:rPr>
        <w:t> </w:t>
      </w:r>
      <w:r>
        <w:rPr/>
        <w:t>strategy</w:t>
      </w:r>
      <w:r>
        <w:rPr>
          <w:spacing w:val="-20"/>
        </w:rPr>
        <w:t> </w:t>
      </w:r>
      <w:r>
        <w:rPr/>
        <w:t>and</w:t>
      </w:r>
      <w:r>
        <w:rPr>
          <w:spacing w:val="-21"/>
        </w:rPr>
        <w:t> </w:t>
      </w:r>
      <w:r>
        <w:rPr/>
        <w:t>digital</w:t>
      </w:r>
      <w:r>
        <w:rPr>
          <w:spacing w:val="-21"/>
        </w:rPr>
        <w:t> </w:t>
      </w:r>
      <w:r>
        <w:rPr/>
        <w:t>programs, while considering opportunities and risks across the Department and wider government</w:t>
      </w:r>
      <w:r>
        <w:rPr>
          <w:spacing w:val="-40"/>
        </w:rPr>
        <w:t> </w:t>
      </w:r>
      <w:r>
        <w:rPr>
          <w:spacing w:val="-3"/>
        </w:rPr>
        <w:t>sector.</w:t>
      </w:r>
    </w:p>
    <w:p>
      <w:pPr>
        <w:pStyle w:val="BodyText"/>
        <w:spacing w:before="6"/>
        <w:rPr>
          <w:sz w:val="23"/>
        </w:rPr>
      </w:pPr>
    </w:p>
    <w:p>
      <w:pPr>
        <w:pStyle w:val="BodyText"/>
        <w:spacing w:line="249" w:lineRule="auto"/>
        <w:ind w:left="765" w:right="721"/>
      </w:pPr>
      <w:r>
        <w:rPr/>
        <w:t>The</w:t>
      </w:r>
      <w:r>
        <w:rPr>
          <w:spacing w:val="-20"/>
        </w:rPr>
        <w:t> </w:t>
      </w:r>
      <w:r>
        <w:rPr/>
        <w:t>focus</w:t>
      </w:r>
      <w:r>
        <w:rPr>
          <w:spacing w:val="-19"/>
        </w:rPr>
        <w:t> </w:t>
      </w:r>
      <w:r>
        <w:rPr/>
        <w:t>areas</w:t>
      </w:r>
      <w:r>
        <w:rPr>
          <w:spacing w:val="-19"/>
        </w:rPr>
        <w:t> </w:t>
      </w:r>
      <w:r>
        <w:rPr/>
        <w:t>of</w:t>
      </w:r>
      <w:r>
        <w:rPr>
          <w:spacing w:val="-19"/>
        </w:rPr>
        <w:t> </w:t>
      </w:r>
      <w:r>
        <w:rPr/>
        <w:t>the</w:t>
      </w:r>
      <w:r>
        <w:rPr>
          <w:spacing w:val="-19"/>
        </w:rPr>
        <w:t> </w:t>
      </w:r>
      <w:r>
        <w:rPr/>
        <w:t>Committee</w:t>
      </w:r>
      <w:r>
        <w:rPr>
          <w:spacing w:val="-20"/>
        </w:rPr>
        <w:t> </w:t>
      </w:r>
      <w:r>
        <w:rPr/>
        <w:t>this</w:t>
      </w:r>
      <w:r>
        <w:rPr>
          <w:spacing w:val="-19"/>
        </w:rPr>
        <w:t> </w:t>
      </w:r>
      <w:r>
        <w:rPr>
          <w:spacing w:val="-5"/>
        </w:rPr>
        <w:t>year </w:t>
      </w:r>
      <w:r>
        <w:rPr/>
        <w:t>included:</w:t>
      </w:r>
    </w:p>
    <w:p>
      <w:pPr>
        <w:pStyle w:val="BodyText"/>
        <w:spacing w:before="2"/>
        <w:rPr>
          <w:sz w:val="23"/>
        </w:rPr>
      </w:pPr>
    </w:p>
    <w:p>
      <w:pPr>
        <w:pStyle w:val="ListParagraph"/>
        <w:numPr>
          <w:ilvl w:val="0"/>
          <w:numId w:val="38"/>
        </w:numPr>
        <w:tabs>
          <w:tab w:pos="937" w:val="left" w:leader="none"/>
        </w:tabs>
        <w:spacing w:line="249" w:lineRule="auto" w:before="0" w:after="0"/>
        <w:ind w:left="948" w:right="38" w:hanging="183"/>
        <w:jc w:val="left"/>
        <w:rPr>
          <w:sz w:val="22"/>
        </w:rPr>
      </w:pPr>
      <w:r>
        <w:rPr>
          <w:sz w:val="22"/>
        </w:rPr>
        <w:t>The continued alignment of ICT works and digital services with the whole-of-government ICT </w:t>
      </w:r>
      <w:r>
        <w:rPr>
          <w:spacing w:val="-3"/>
          <w:sz w:val="22"/>
        </w:rPr>
        <w:t>Strategy, </w:t>
      </w:r>
      <w:r>
        <w:rPr>
          <w:sz w:val="22"/>
        </w:rPr>
        <w:t>focussing specifically on the transition</w:t>
      </w:r>
      <w:r>
        <w:rPr>
          <w:spacing w:val="-21"/>
          <w:sz w:val="22"/>
        </w:rPr>
        <w:t> </w:t>
      </w:r>
      <w:r>
        <w:rPr>
          <w:sz w:val="22"/>
        </w:rPr>
        <w:t>to</w:t>
      </w:r>
      <w:r>
        <w:rPr>
          <w:spacing w:val="-21"/>
          <w:sz w:val="22"/>
        </w:rPr>
        <w:t> </w:t>
      </w:r>
      <w:r>
        <w:rPr>
          <w:sz w:val="22"/>
        </w:rPr>
        <w:t>a</w:t>
      </w:r>
      <w:r>
        <w:rPr>
          <w:spacing w:val="-21"/>
          <w:sz w:val="22"/>
        </w:rPr>
        <w:t> </w:t>
      </w:r>
      <w:r>
        <w:rPr>
          <w:sz w:val="22"/>
        </w:rPr>
        <w:t>consumption</w:t>
      </w:r>
      <w:r>
        <w:rPr>
          <w:spacing w:val="-21"/>
          <w:sz w:val="22"/>
        </w:rPr>
        <w:t> </w:t>
      </w:r>
      <w:r>
        <w:rPr>
          <w:sz w:val="22"/>
        </w:rPr>
        <w:t>based</w:t>
      </w:r>
      <w:r>
        <w:rPr>
          <w:spacing w:val="-21"/>
          <w:sz w:val="22"/>
        </w:rPr>
        <w:t> </w:t>
      </w:r>
      <w:r>
        <w:rPr>
          <w:sz w:val="22"/>
        </w:rPr>
        <w:t>ICT</w:t>
      </w:r>
      <w:r>
        <w:rPr>
          <w:spacing w:val="-21"/>
          <w:sz w:val="22"/>
        </w:rPr>
        <w:t> </w:t>
      </w:r>
      <w:r>
        <w:rPr>
          <w:sz w:val="22"/>
        </w:rPr>
        <w:t>operating model.</w:t>
      </w:r>
    </w:p>
    <w:p>
      <w:pPr>
        <w:pStyle w:val="BodyText"/>
        <w:spacing w:before="4"/>
        <w:rPr>
          <w:sz w:val="23"/>
        </w:rPr>
      </w:pPr>
    </w:p>
    <w:p>
      <w:pPr>
        <w:pStyle w:val="ListParagraph"/>
        <w:numPr>
          <w:ilvl w:val="0"/>
          <w:numId w:val="38"/>
        </w:numPr>
        <w:tabs>
          <w:tab w:pos="937" w:val="left" w:leader="none"/>
        </w:tabs>
        <w:spacing w:line="249" w:lineRule="auto" w:before="0" w:after="0"/>
        <w:ind w:left="948" w:right="160" w:hanging="183"/>
        <w:jc w:val="left"/>
        <w:rPr>
          <w:sz w:val="22"/>
        </w:rPr>
      </w:pPr>
      <w:r>
        <w:rPr/>
        <w:pict>
          <v:shape style="position:absolute;margin-left:.000001pt;margin-top:1.311467pt;width:22.65pt;height:45.2pt;mso-position-horizontal-relative:page;mso-position-vertical-relative:paragraph;z-index:37864" coordorigin="0,26" coordsize="453,904" path="m1,26l0,27,0,928,1,929,452,478,1,26xe" filled="true" fillcolor="#c4cd71" stroked="false">
            <v:path arrowok="t"/>
            <v:fill opacity="32768f" type="solid"/>
            <w10:wrap type="none"/>
          </v:shape>
        </w:pict>
      </w:r>
      <w:r>
        <w:rPr>
          <w:sz w:val="22"/>
        </w:rPr>
        <w:t>The</w:t>
      </w:r>
      <w:r>
        <w:rPr>
          <w:spacing w:val="-22"/>
          <w:sz w:val="22"/>
        </w:rPr>
        <w:t> </w:t>
      </w:r>
      <w:r>
        <w:rPr>
          <w:sz w:val="22"/>
        </w:rPr>
        <w:t>formation</w:t>
      </w:r>
      <w:r>
        <w:rPr>
          <w:spacing w:val="-21"/>
          <w:sz w:val="22"/>
        </w:rPr>
        <w:t> </w:t>
      </w:r>
      <w:r>
        <w:rPr>
          <w:sz w:val="22"/>
        </w:rPr>
        <w:t>of</w:t>
      </w:r>
      <w:r>
        <w:rPr>
          <w:spacing w:val="-21"/>
          <w:sz w:val="22"/>
        </w:rPr>
        <w:t> </w:t>
      </w:r>
      <w:r>
        <w:rPr>
          <w:sz w:val="22"/>
        </w:rPr>
        <w:t>the</w:t>
      </w:r>
      <w:r>
        <w:rPr>
          <w:spacing w:val="-21"/>
          <w:sz w:val="22"/>
        </w:rPr>
        <w:t> </w:t>
      </w:r>
      <w:r>
        <w:rPr>
          <w:sz w:val="22"/>
        </w:rPr>
        <w:t>Digital</w:t>
      </w:r>
      <w:r>
        <w:rPr>
          <w:spacing w:val="-22"/>
          <w:sz w:val="22"/>
        </w:rPr>
        <w:t> </w:t>
      </w:r>
      <w:r>
        <w:rPr>
          <w:sz w:val="22"/>
        </w:rPr>
        <w:t>Finance</w:t>
      </w:r>
      <w:r>
        <w:rPr>
          <w:spacing w:val="-21"/>
          <w:sz w:val="22"/>
        </w:rPr>
        <w:t> </w:t>
      </w:r>
      <w:r>
        <w:rPr>
          <w:spacing w:val="-3"/>
          <w:sz w:val="22"/>
        </w:rPr>
        <w:t>Transition </w:t>
      </w:r>
      <w:r>
        <w:rPr>
          <w:sz w:val="22"/>
        </w:rPr>
        <w:t>(GovNext-ICT)</w:t>
      </w:r>
      <w:r>
        <w:rPr>
          <w:spacing w:val="-25"/>
          <w:sz w:val="22"/>
        </w:rPr>
        <w:t> </w:t>
      </w:r>
      <w:r>
        <w:rPr>
          <w:sz w:val="22"/>
        </w:rPr>
        <w:t>program</w:t>
      </w:r>
      <w:r>
        <w:rPr>
          <w:spacing w:val="-25"/>
          <w:sz w:val="22"/>
        </w:rPr>
        <w:t> </w:t>
      </w:r>
      <w:r>
        <w:rPr>
          <w:sz w:val="22"/>
        </w:rPr>
        <w:t>based</w:t>
      </w:r>
      <w:r>
        <w:rPr>
          <w:spacing w:val="-25"/>
          <w:sz w:val="22"/>
        </w:rPr>
        <w:t> </w:t>
      </w:r>
      <w:r>
        <w:rPr>
          <w:sz w:val="22"/>
        </w:rPr>
        <w:t>on</w:t>
      </w:r>
      <w:r>
        <w:rPr>
          <w:spacing w:val="-24"/>
          <w:sz w:val="22"/>
        </w:rPr>
        <w:t> </w:t>
      </w:r>
      <w:r>
        <w:rPr>
          <w:sz w:val="22"/>
        </w:rPr>
        <w:t>best</w:t>
      </w:r>
      <w:r>
        <w:rPr>
          <w:spacing w:val="-25"/>
          <w:sz w:val="22"/>
        </w:rPr>
        <w:t> </w:t>
      </w:r>
      <w:r>
        <w:rPr>
          <w:spacing w:val="-3"/>
          <w:sz w:val="22"/>
        </w:rPr>
        <w:t>practice </w:t>
      </w:r>
      <w:r>
        <w:rPr>
          <w:sz w:val="22"/>
        </w:rPr>
        <w:t>guidance, to ensure good governance throughout the lifetime of the</w:t>
      </w:r>
      <w:r>
        <w:rPr>
          <w:spacing w:val="-26"/>
          <w:sz w:val="22"/>
        </w:rPr>
        <w:t> </w:t>
      </w:r>
      <w:r>
        <w:rPr>
          <w:sz w:val="22"/>
        </w:rPr>
        <w:t>program.</w:t>
      </w:r>
    </w:p>
    <w:p>
      <w:pPr>
        <w:pStyle w:val="BodyText"/>
        <w:spacing w:before="3"/>
        <w:rPr>
          <w:sz w:val="23"/>
        </w:rPr>
      </w:pPr>
    </w:p>
    <w:p>
      <w:pPr>
        <w:pStyle w:val="ListParagraph"/>
        <w:numPr>
          <w:ilvl w:val="0"/>
          <w:numId w:val="38"/>
        </w:numPr>
        <w:tabs>
          <w:tab w:pos="937" w:val="left" w:leader="none"/>
        </w:tabs>
        <w:spacing w:line="249" w:lineRule="auto" w:before="0" w:after="0"/>
        <w:ind w:left="948" w:right="112" w:hanging="183"/>
        <w:jc w:val="left"/>
        <w:rPr>
          <w:sz w:val="22"/>
        </w:rPr>
      </w:pPr>
      <w:r>
        <w:rPr/>
        <w:pict>
          <v:group style="position:absolute;margin-left:.0pt;margin-top:25.628866pt;width:45.25pt;height:135.5pt;mso-position-horizontal-relative:page;mso-position-vertical-relative:paragraph;z-index:-775792" coordorigin="0,513" coordsize="905,2710">
            <v:shape style="position:absolute;left:0;top:2318;width:453;height:904" coordorigin="0,2319" coordsize="453,904" path="m1,2319l0,2320,0,3221,1,3222,452,2771,1,2319xe" filled="true" fillcolor="#513457" stroked="false">
              <v:path arrowok="t"/>
              <v:fill opacity="32768f" type="solid"/>
            </v:shape>
            <v:shape style="position:absolute;left:0;top:964;width:904;height:904" coordorigin="1,964" coordsize="904,904" path="m452,964l1,1416,452,1867,904,1416,452,964xe" filled="true" fillcolor="#96ac7a" stroked="false">
              <v:path arrowok="t"/>
              <v:fill opacity="32768f" type="solid"/>
            </v:shape>
            <v:shape style="position:absolute;left:0;top:1415;width:453;height:904" coordorigin="0,1416" coordsize="453,904" path="m1,1416l0,1417,0,2318,1,2319,452,1867,1,1416xe" filled="true" fillcolor="#d4d4d3" stroked="false">
              <v:path arrowok="t"/>
              <v:fill opacity="32768f" type="solid"/>
            </v:shape>
            <v:shape style="position:absolute;left:0;top:512;width:453;height:904" coordorigin="0,513" coordsize="453,904" path="m1,513l0,513,0,1415,1,1416,452,964,1,513xe" filled="true" fillcolor="#783a79" stroked="false">
              <v:path arrowok="t"/>
              <v:fill opacity="32768f" type="solid"/>
            </v:shape>
            <w10:wrap type="none"/>
          </v:group>
        </w:pict>
      </w:r>
      <w:r>
        <w:rPr>
          <w:sz w:val="22"/>
        </w:rPr>
        <w:t>The oversight of ICT policies, standards and directions</w:t>
      </w:r>
      <w:r>
        <w:rPr>
          <w:spacing w:val="-16"/>
          <w:sz w:val="22"/>
        </w:rPr>
        <w:t> </w:t>
      </w:r>
      <w:r>
        <w:rPr>
          <w:sz w:val="22"/>
        </w:rPr>
        <w:t>of</w:t>
      </w:r>
      <w:r>
        <w:rPr>
          <w:spacing w:val="-15"/>
          <w:sz w:val="22"/>
        </w:rPr>
        <w:t> </w:t>
      </w:r>
      <w:r>
        <w:rPr>
          <w:sz w:val="22"/>
        </w:rPr>
        <w:t>all</w:t>
      </w:r>
      <w:r>
        <w:rPr>
          <w:spacing w:val="-15"/>
          <w:sz w:val="22"/>
        </w:rPr>
        <w:t> </w:t>
      </w:r>
      <w:r>
        <w:rPr>
          <w:sz w:val="22"/>
        </w:rPr>
        <w:t>corporate</w:t>
      </w:r>
      <w:r>
        <w:rPr>
          <w:spacing w:val="-16"/>
          <w:sz w:val="22"/>
        </w:rPr>
        <w:t> </w:t>
      </w:r>
      <w:r>
        <w:rPr>
          <w:sz w:val="22"/>
        </w:rPr>
        <w:t>systems,</w:t>
      </w:r>
      <w:r>
        <w:rPr>
          <w:spacing w:val="-15"/>
          <w:sz w:val="22"/>
        </w:rPr>
        <w:t> </w:t>
      </w:r>
      <w:r>
        <w:rPr>
          <w:sz w:val="22"/>
        </w:rPr>
        <w:t>with</w:t>
      </w:r>
      <w:r>
        <w:rPr>
          <w:spacing w:val="-15"/>
          <w:sz w:val="22"/>
        </w:rPr>
        <w:t> </w:t>
      </w:r>
      <w:r>
        <w:rPr>
          <w:sz w:val="22"/>
        </w:rPr>
        <w:t>a</w:t>
      </w:r>
      <w:r>
        <w:rPr>
          <w:spacing w:val="-16"/>
          <w:sz w:val="22"/>
        </w:rPr>
        <w:t> </w:t>
      </w:r>
      <w:r>
        <w:rPr>
          <w:spacing w:val="-4"/>
          <w:sz w:val="22"/>
        </w:rPr>
        <w:t>focus </w:t>
      </w:r>
      <w:r>
        <w:rPr>
          <w:sz w:val="22"/>
        </w:rPr>
        <w:t>on simplicity and</w:t>
      </w:r>
      <w:r>
        <w:rPr>
          <w:spacing w:val="-8"/>
          <w:sz w:val="22"/>
        </w:rPr>
        <w:t> </w:t>
      </w:r>
      <w:r>
        <w:rPr>
          <w:spacing w:val="-3"/>
          <w:sz w:val="22"/>
        </w:rPr>
        <w:t>efficiency.</w:t>
      </w:r>
    </w:p>
    <w:p>
      <w:pPr>
        <w:pStyle w:val="BodyText"/>
        <w:rPr>
          <w:sz w:val="36"/>
        </w:rPr>
      </w:pPr>
      <w:r>
        <w:rPr/>
        <w:br w:type="column"/>
      </w:r>
      <w:r>
        <w:rPr>
          <w:sz w:val="36"/>
        </w:rPr>
      </w:r>
    </w:p>
    <w:p>
      <w:pPr>
        <w:pStyle w:val="Heading4"/>
        <w:spacing w:line="249" w:lineRule="auto" w:before="0"/>
        <w:ind w:left="411" w:right="446"/>
      </w:pPr>
      <w:r>
        <w:rPr>
          <w:color w:val="A7BE39"/>
        </w:rPr>
        <w:t>Audit</w:t>
      </w:r>
      <w:r>
        <w:rPr>
          <w:color w:val="A7BE39"/>
          <w:spacing w:val="-48"/>
        </w:rPr>
        <w:t> </w:t>
      </w:r>
      <w:r>
        <w:rPr>
          <w:color w:val="A7BE39"/>
        </w:rPr>
        <w:t>and</w:t>
      </w:r>
      <w:r>
        <w:rPr>
          <w:color w:val="A7BE39"/>
          <w:spacing w:val="-47"/>
        </w:rPr>
        <w:t> </w:t>
      </w:r>
      <w:r>
        <w:rPr>
          <w:color w:val="A7BE39"/>
        </w:rPr>
        <w:t>Risk</w:t>
      </w:r>
      <w:r>
        <w:rPr>
          <w:color w:val="A7BE39"/>
          <w:spacing w:val="-48"/>
        </w:rPr>
        <w:t> </w:t>
      </w:r>
      <w:r>
        <w:rPr>
          <w:color w:val="A7BE39"/>
        </w:rPr>
        <w:t>Management Committee</w:t>
      </w:r>
    </w:p>
    <w:p>
      <w:pPr>
        <w:pStyle w:val="BodyText"/>
        <w:spacing w:line="249" w:lineRule="auto" w:before="231"/>
        <w:ind w:left="411" w:right="526"/>
      </w:pPr>
      <w:r>
        <w:rPr/>
        <w:t>The</w:t>
      </w:r>
      <w:r>
        <w:rPr>
          <w:spacing w:val="-19"/>
        </w:rPr>
        <w:t> </w:t>
      </w:r>
      <w:r>
        <w:rPr/>
        <w:t>Audit</w:t>
      </w:r>
      <w:r>
        <w:rPr>
          <w:spacing w:val="-19"/>
        </w:rPr>
        <w:t> </w:t>
      </w:r>
      <w:r>
        <w:rPr/>
        <w:t>and</w:t>
      </w:r>
      <w:r>
        <w:rPr>
          <w:spacing w:val="-19"/>
        </w:rPr>
        <w:t> </w:t>
      </w:r>
      <w:r>
        <w:rPr/>
        <w:t>Risk</w:t>
      </w:r>
      <w:r>
        <w:rPr>
          <w:spacing w:val="-19"/>
        </w:rPr>
        <w:t> </w:t>
      </w:r>
      <w:r>
        <w:rPr/>
        <w:t>Management</w:t>
      </w:r>
      <w:r>
        <w:rPr>
          <w:spacing w:val="-18"/>
        </w:rPr>
        <w:t> </w:t>
      </w:r>
      <w:r>
        <w:rPr/>
        <w:t>Committee oversees the operation of the </w:t>
      </w:r>
      <w:r>
        <w:rPr>
          <w:spacing w:val="-3"/>
        </w:rPr>
        <w:t>Department’s </w:t>
      </w:r>
      <w:r>
        <w:rPr/>
        <w:t>internal</w:t>
      </w:r>
      <w:r>
        <w:rPr>
          <w:spacing w:val="-28"/>
        </w:rPr>
        <w:t> </w:t>
      </w:r>
      <w:r>
        <w:rPr/>
        <w:t>audit</w:t>
      </w:r>
      <w:r>
        <w:rPr>
          <w:spacing w:val="-28"/>
        </w:rPr>
        <w:t> </w:t>
      </w:r>
      <w:r>
        <w:rPr/>
        <w:t>and</w:t>
      </w:r>
      <w:r>
        <w:rPr>
          <w:spacing w:val="-28"/>
        </w:rPr>
        <w:t> </w:t>
      </w:r>
      <w:r>
        <w:rPr/>
        <w:t>risk</w:t>
      </w:r>
      <w:r>
        <w:rPr>
          <w:spacing w:val="-28"/>
        </w:rPr>
        <w:t> </w:t>
      </w:r>
      <w:r>
        <w:rPr/>
        <w:t>management</w:t>
      </w:r>
      <w:r>
        <w:rPr>
          <w:spacing w:val="-28"/>
        </w:rPr>
        <w:t> </w:t>
      </w:r>
      <w:r>
        <w:rPr/>
        <w:t>functions, and endorses the annual internal audit plan. This </w:t>
      </w:r>
      <w:r>
        <w:rPr>
          <w:spacing w:val="-5"/>
        </w:rPr>
        <w:t>year, </w:t>
      </w:r>
      <w:r>
        <w:rPr/>
        <w:t>the Committee further enhanced risk management operations within the Department</w:t>
      </w:r>
      <w:r>
        <w:rPr>
          <w:spacing w:val="-1"/>
        </w:rPr>
        <w:t> </w:t>
      </w:r>
      <w:r>
        <w:rPr/>
        <w:t>by:</w:t>
      </w:r>
    </w:p>
    <w:p>
      <w:pPr>
        <w:pStyle w:val="BodyText"/>
        <w:spacing w:before="5"/>
        <w:rPr>
          <w:sz w:val="23"/>
        </w:rPr>
      </w:pPr>
    </w:p>
    <w:p>
      <w:pPr>
        <w:pStyle w:val="ListParagraph"/>
        <w:numPr>
          <w:ilvl w:val="0"/>
          <w:numId w:val="3"/>
        </w:numPr>
        <w:tabs>
          <w:tab w:pos="584" w:val="left" w:leader="none"/>
        </w:tabs>
        <w:spacing w:line="249" w:lineRule="auto" w:before="0" w:after="0"/>
        <w:ind w:left="595" w:right="935" w:hanging="184"/>
        <w:jc w:val="both"/>
        <w:rPr>
          <w:sz w:val="22"/>
        </w:rPr>
      </w:pPr>
      <w:r>
        <w:rPr>
          <w:sz w:val="22"/>
        </w:rPr>
        <w:t>Improving</w:t>
      </w:r>
      <w:r>
        <w:rPr>
          <w:spacing w:val="-24"/>
          <w:sz w:val="22"/>
        </w:rPr>
        <w:t> </w:t>
      </w:r>
      <w:r>
        <w:rPr>
          <w:sz w:val="22"/>
        </w:rPr>
        <w:t>the</w:t>
      </w:r>
      <w:r>
        <w:rPr>
          <w:spacing w:val="-23"/>
          <w:sz w:val="22"/>
        </w:rPr>
        <w:t> </w:t>
      </w:r>
      <w:r>
        <w:rPr>
          <w:spacing w:val="-3"/>
          <w:sz w:val="22"/>
        </w:rPr>
        <w:t>Department’s</w:t>
      </w:r>
      <w:r>
        <w:rPr>
          <w:spacing w:val="-23"/>
          <w:sz w:val="22"/>
        </w:rPr>
        <w:t> </w:t>
      </w:r>
      <w:r>
        <w:rPr>
          <w:sz w:val="22"/>
        </w:rPr>
        <w:t>flexibility</w:t>
      </w:r>
      <w:r>
        <w:rPr>
          <w:spacing w:val="-23"/>
          <w:sz w:val="22"/>
        </w:rPr>
        <w:t> </w:t>
      </w:r>
      <w:r>
        <w:rPr>
          <w:sz w:val="22"/>
        </w:rPr>
        <w:t>to </w:t>
      </w:r>
      <w:r>
        <w:rPr>
          <w:w w:val="95"/>
          <w:sz w:val="22"/>
        </w:rPr>
        <w:t>individually assess risks within specified </w:t>
      </w:r>
      <w:r>
        <w:rPr>
          <w:sz w:val="22"/>
        </w:rPr>
        <w:t>parameters.</w:t>
      </w:r>
    </w:p>
    <w:p>
      <w:pPr>
        <w:pStyle w:val="BodyText"/>
        <w:spacing w:before="3"/>
        <w:rPr>
          <w:sz w:val="23"/>
        </w:rPr>
      </w:pPr>
    </w:p>
    <w:p>
      <w:pPr>
        <w:pStyle w:val="ListParagraph"/>
        <w:numPr>
          <w:ilvl w:val="0"/>
          <w:numId w:val="3"/>
        </w:numPr>
        <w:tabs>
          <w:tab w:pos="584" w:val="left" w:leader="none"/>
        </w:tabs>
        <w:spacing w:line="240" w:lineRule="auto" w:before="0" w:after="0"/>
        <w:ind w:left="583" w:right="0" w:hanging="172"/>
        <w:jc w:val="left"/>
        <w:rPr>
          <w:sz w:val="22"/>
        </w:rPr>
      </w:pPr>
      <w:r>
        <w:rPr>
          <w:sz w:val="22"/>
        </w:rPr>
        <w:t>Developing and publishing easy to</w:t>
      </w:r>
      <w:r>
        <w:rPr>
          <w:spacing w:val="-36"/>
          <w:sz w:val="22"/>
        </w:rPr>
        <w:t> </w:t>
      </w:r>
      <w:r>
        <w:rPr>
          <w:sz w:val="22"/>
        </w:rPr>
        <w:t>follow</w:t>
      </w:r>
    </w:p>
    <w:p>
      <w:pPr>
        <w:pStyle w:val="BodyText"/>
        <w:spacing w:line="249" w:lineRule="auto" w:before="11"/>
        <w:ind w:left="595" w:right="88"/>
      </w:pPr>
      <w:r>
        <w:rPr/>
        <w:t>Risk Management Guidelines for management and</w:t>
      </w:r>
      <w:r>
        <w:rPr>
          <w:spacing w:val="-21"/>
        </w:rPr>
        <w:t> </w:t>
      </w:r>
      <w:r>
        <w:rPr/>
        <w:t>staff,</w:t>
      </w:r>
      <w:r>
        <w:rPr>
          <w:spacing w:val="-20"/>
        </w:rPr>
        <w:t> </w:t>
      </w:r>
      <w:r>
        <w:rPr/>
        <w:t>to</w:t>
      </w:r>
      <w:r>
        <w:rPr>
          <w:spacing w:val="-21"/>
        </w:rPr>
        <w:t> </w:t>
      </w:r>
      <w:r>
        <w:rPr/>
        <w:t>enhance</w:t>
      </w:r>
      <w:r>
        <w:rPr>
          <w:spacing w:val="-20"/>
        </w:rPr>
        <w:t> </w:t>
      </w:r>
      <w:r>
        <w:rPr/>
        <w:t>the</w:t>
      </w:r>
      <w:r>
        <w:rPr>
          <w:spacing w:val="-20"/>
        </w:rPr>
        <w:t> </w:t>
      </w:r>
      <w:r>
        <w:rPr/>
        <w:t>capture</w:t>
      </w:r>
      <w:r>
        <w:rPr>
          <w:spacing w:val="-21"/>
        </w:rPr>
        <w:t> </w:t>
      </w:r>
      <w:r>
        <w:rPr/>
        <w:t>and</w:t>
      </w:r>
      <w:r>
        <w:rPr>
          <w:spacing w:val="-20"/>
        </w:rPr>
        <w:t> </w:t>
      </w:r>
      <w:r>
        <w:rPr/>
        <w:t>escalation of</w:t>
      </w:r>
      <w:r>
        <w:rPr>
          <w:spacing w:val="-1"/>
        </w:rPr>
        <w:t> </w:t>
      </w:r>
      <w:r>
        <w:rPr/>
        <w:t>risks.</w:t>
      </w:r>
    </w:p>
    <w:p>
      <w:pPr>
        <w:pStyle w:val="BodyText"/>
        <w:spacing w:before="2"/>
        <w:rPr>
          <w:sz w:val="23"/>
        </w:rPr>
      </w:pPr>
    </w:p>
    <w:p>
      <w:pPr>
        <w:pStyle w:val="ListParagraph"/>
        <w:numPr>
          <w:ilvl w:val="0"/>
          <w:numId w:val="3"/>
        </w:numPr>
        <w:tabs>
          <w:tab w:pos="584" w:val="left" w:leader="none"/>
        </w:tabs>
        <w:spacing w:line="249" w:lineRule="auto" w:before="0" w:after="0"/>
        <w:ind w:left="595" w:right="314" w:hanging="184"/>
        <w:jc w:val="left"/>
        <w:rPr>
          <w:sz w:val="22"/>
        </w:rPr>
      </w:pPr>
      <w:r>
        <w:rPr>
          <w:sz w:val="22"/>
        </w:rPr>
        <w:t>Ensuring</w:t>
      </w:r>
      <w:r>
        <w:rPr>
          <w:spacing w:val="-21"/>
          <w:sz w:val="22"/>
        </w:rPr>
        <w:t> </w:t>
      </w:r>
      <w:r>
        <w:rPr>
          <w:sz w:val="22"/>
        </w:rPr>
        <w:t>the</w:t>
      </w:r>
      <w:r>
        <w:rPr>
          <w:spacing w:val="-21"/>
          <w:sz w:val="22"/>
        </w:rPr>
        <w:t> </w:t>
      </w:r>
      <w:r>
        <w:rPr>
          <w:spacing w:val="-3"/>
          <w:sz w:val="22"/>
        </w:rPr>
        <w:t>Department’s</w:t>
      </w:r>
      <w:r>
        <w:rPr>
          <w:spacing w:val="-21"/>
          <w:sz w:val="22"/>
        </w:rPr>
        <w:t> </w:t>
      </w:r>
      <w:r>
        <w:rPr>
          <w:sz w:val="22"/>
        </w:rPr>
        <w:t>Internal</w:t>
      </w:r>
      <w:r>
        <w:rPr>
          <w:spacing w:val="-21"/>
          <w:sz w:val="22"/>
        </w:rPr>
        <w:t> </w:t>
      </w:r>
      <w:r>
        <w:rPr>
          <w:sz w:val="22"/>
        </w:rPr>
        <w:t>Audit</w:t>
      </w:r>
      <w:r>
        <w:rPr>
          <w:spacing w:val="-20"/>
          <w:sz w:val="22"/>
        </w:rPr>
        <w:t> </w:t>
      </w:r>
      <w:r>
        <w:rPr>
          <w:sz w:val="22"/>
        </w:rPr>
        <w:t>plan included emerging risks such as information </w:t>
      </w:r>
      <w:r>
        <w:rPr>
          <w:spacing w:val="-3"/>
          <w:sz w:val="22"/>
        </w:rPr>
        <w:t>security,</w:t>
      </w:r>
      <w:r>
        <w:rPr>
          <w:spacing w:val="-17"/>
          <w:sz w:val="22"/>
        </w:rPr>
        <w:t> </w:t>
      </w:r>
      <w:r>
        <w:rPr>
          <w:sz w:val="22"/>
        </w:rPr>
        <w:t>corporate</w:t>
      </w:r>
      <w:r>
        <w:rPr>
          <w:spacing w:val="-17"/>
          <w:sz w:val="22"/>
        </w:rPr>
        <w:t> </w:t>
      </w:r>
      <w:r>
        <w:rPr>
          <w:sz w:val="22"/>
        </w:rPr>
        <w:t>purchasing</w:t>
      </w:r>
      <w:r>
        <w:rPr>
          <w:spacing w:val="-17"/>
          <w:sz w:val="22"/>
        </w:rPr>
        <w:t> </w:t>
      </w:r>
      <w:r>
        <w:rPr>
          <w:sz w:val="22"/>
        </w:rPr>
        <w:t>cards,</w:t>
      </w:r>
      <w:r>
        <w:rPr>
          <w:spacing w:val="-16"/>
          <w:sz w:val="22"/>
        </w:rPr>
        <w:t> </w:t>
      </w:r>
      <w:r>
        <w:rPr>
          <w:spacing w:val="-3"/>
          <w:sz w:val="22"/>
        </w:rPr>
        <w:t>contract </w:t>
      </w:r>
      <w:r>
        <w:rPr>
          <w:sz w:val="22"/>
        </w:rPr>
        <w:t>management, State Supply Commission compliance requirements and key state revenue</w:t>
      </w:r>
      <w:r>
        <w:rPr>
          <w:spacing w:val="-2"/>
          <w:sz w:val="22"/>
        </w:rPr>
        <w:t> </w:t>
      </w:r>
      <w:r>
        <w:rPr>
          <w:sz w:val="22"/>
        </w:rPr>
        <w:t>controls.</w:t>
      </w:r>
    </w:p>
    <w:p>
      <w:pPr>
        <w:pStyle w:val="BodyText"/>
        <w:spacing w:before="5"/>
        <w:rPr>
          <w:sz w:val="23"/>
        </w:rPr>
      </w:pPr>
    </w:p>
    <w:p>
      <w:pPr>
        <w:pStyle w:val="BodyText"/>
        <w:spacing w:line="249" w:lineRule="auto"/>
        <w:ind w:left="411" w:right="33"/>
      </w:pPr>
      <w:r>
        <w:rPr/>
        <w:t>Through diligent monitoring, the number of outstanding Internal Audit and Auditor General findings</w:t>
      </w:r>
      <w:r>
        <w:rPr>
          <w:spacing w:val="-16"/>
        </w:rPr>
        <w:t> </w:t>
      </w:r>
      <w:r>
        <w:rPr/>
        <w:t>has</w:t>
      </w:r>
      <w:r>
        <w:rPr>
          <w:spacing w:val="-15"/>
        </w:rPr>
        <w:t> </w:t>
      </w:r>
      <w:r>
        <w:rPr/>
        <w:t>reduced</w:t>
      </w:r>
      <w:r>
        <w:rPr>
          <w:spacing w:val="-16"/>
        </w:rPr>
        <w:t> </w:t>
      </w:r>
      <w:r>
        <w:rPr/>
        <w:t>by</w:t>
      </w:r>
      <w:r>
        <w:rPr>
          <w:spacing w:val="-15"/>
        </w:rPr>
        <w:t> </w:t>
      </w:r>
      <w:r>
        <w:rPr/>
        <w:t>20</w:t>
      </w:r>
      <w:r>
        <w:rPr>
          <w:spacing w:val="-16"/>
        </w:rPr>
        <w:t> </w:t>
      </w:r>
      <w:r>
        <w:rPr/>
        <w:t>per</w:t>
      </w:r>
      <w:r>
        <w:rPr>
          <w:spacing w:val="-15"/>
        </w:rPr>
        <w:t> </w:t>
      </w:r>
      <w:r>
        <w:rPr/>
        <w:t>cent</w:t>
      </w:r>
      <w:r>
        <w:rPr>
          <w:spacing w:val="-16"/>
        </w:rPr>
        <w:t> </w:t>
      </w:r>
      <w:r>
        <w:rPr/>
        <w:t>in</w:t>
      </w:r>
      <w:r>
        <w:rPr>
          <w:spacing w:val="-15"/>
        </w:rPr>
        <w:t> </w:t>
      </w:r>
      <w:r>
        <w:rPr/>
        <w:t>comparison to last</w:t>
      </w:r>
      <w:r>
        <w:rPr>
          <w:spacing w:val="-2"/>
        </w:rPr>
        <w:t> </w:t>
      </w:r>
      <w:r>
        <w:rPr>
          <w:spacing w:val="-5"/>
        </w:rPr>
        <w:t>year.</w:t>
      </w:r>
    </w:p>
    <w:p>
      <w:pPr>
        <w:pStyle w:val="BodyText"/>
        <w:spacing w:before="1"/>
        <w:rPr>
          <w:sz w:val="23"/>
        </w:rPr>
      </w:pPr>
      <w:r>
        <w:rPr/>
        <w:br w:type="column"/>
      </w:r>
      <w:r>
        <w:rPr>
          <w:sz w:val="23"/>
        </w:rPr>
      </w:r>
    </w:p>
    <w:p>
      <w:pPr>
        <w:spacing w:line="208" w:lineRule="auto" w:before="0"/>
        <w:ind w:left="765" w:right="672" w:firstLine="0"/>
        <w:jc w:val="center"/>
        <w:rPr>
          <w:sz w:val="16"/>
        </w:rPr>
      </w:pPr>
      <w:r>
        <w:rPr/>
        <w:pict>
          <v:group style="position:absolute;margin-left:563.283997pt;margin-top:66.065788pt;width:240.35pt;height:296.95pt;mso-position-horizontal-relative:page;mso-position-vertical-relative:paragraph;z-index:37720" coordorigin="11266,1321" coordsize="4807,5939">
            <v:shape style="position:absolute;left:11265;top:1675;width:4807;height:5574" type="#_x0000_t75" stroked="false">
              <v:imagedata r:id="rId280" o:title=""/>
            </v:shape>
            <v:shape style="position:absolute;left:13021;top:5498;width:3052;height:1762" coordorigin="13021,5498" coordsize="3052,1762" path="m16072,6961l15554,7260,15564,7260,16072,6967,16072,6961m16072,6766l15217,7260,15227,7260,16072,6772,16072,6766m16072,6668l15048,7260,15058,7260,16072,6674,16072,6668m16072,6278l14372,7260,14382,7260,16072,6284,16072,6278m16072,6083l14034,7260,14044,7260,16072,6089,16072,6083m16072,5791l13528,7260,13538,7260,16072,5797,16072,5791m16072,6863l15385,7260,15395,7260,16072,6869,16072,6863m16072,6571l14879,7260,14889,7260,16072,6577,16072,6571m16072,6473l14710,7260,14720,7260,16072,6479,16072,6473m16072,6376l14541,7260,14551,7260,16072,6382,16072,6376m16072,6181l14203,7260,14213,7260,16072,6187,16072,6181m16072,5986l13866,7260,13876,7260,16072,5992,16072,5986m16072,5888l13697,7260,13707,7260,16072,5894,16072,5888m16072,5693l13359,7260,13369,7260,16072,5699,16072,5693m16072,5596l13190,7260,13200,7260,16072,5602,16072,5596m16072,5498l13021,7260,13031,7260,16072,5504,16072,5498e" filled="true" fillcolor="#ffffff" stroked="false">
              <v:path arrowok="t"/>
              <v:fill type="solid"/>
            </v:shape>
            <v:shape style="position:absolute;left:15723;top:7058;width:350;height:202" type="#_x0000_t75" stroked="false">
              <v:imagedata r:id="rId281" o:title=""/>
            </v:shape>
            <v:shape style="position:absolute;left:12322;top:1321;width:2694;height:3317" type="#_x0000_t75" stroked="false">
              <v:imagedata r:id="rId282" o:title=""/>
            </v:shape>
            <v:shape style="position:absolute;left:11265;top:1321;width:4807;height:5939" type="#_x0000_t202" filled="false" stroked="false">
              <v:textbox inset="0,0,0,0">
                <w:txbxContent>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9"/>
                      <w:rPr>
                        <w:b/>
                        <w:sz w:val="36"/>
                      </w:rPr>
                    </w:pPr>
                  </w:p>
                  <w:p>
                    <w:pPr>
                      <w:spacing w:line="249" w:lineRule="auto" w:before="0"/>
                      <w:ind w:left="406" w:right="406" w:hanging="1"/>
                      <w:jc w:val="center"/>
                      <w:rPr>
                        <w:b/>
                        <w:sz w:val="28"/>
                      </w:rPr>
                    </w:pPr>
                    <w:r>
                      <w:rPr>
                        <w:b/>
                        <w:color w:val="6F2770"/>
                        <w:spacing w:val="-3"/>
                        <w:sz w:val="28"/>
                      </w:rPr>
                      <w:t>Number </w:t>
                    </w:r>
                    <w:r>
                      <w:rPr>
                        <w:b/>
                        <w:color w:val="6F2770"/>
                        <w:sz w:val="28"/>
                      </w:rPr>
                      <w:t>of </w:t>
                    </w:r>
                    <w:r>
                      <w:rPr>
                        <w:b/>
                        <w:color w:val="6F2770"/>
                        <w:spacing w:val="-3"/>
                        <w:sz w:val="28"/>
                      </w:rPr>
                      <w:t>outstanding </w:t>
                    </w:r>
                    <w:r>
                      <w:rPr>
                        <w:b/>
                        <w:color w:val="6F2770"/>
                        <w:sz w:val="28"/>
                      </w:rPr>
                      <w:t>Internal </w:t>
                    </w:r>
                    <w:r>
                      <w:rPr>
                        <w:b/>
                        <w:color w:val="6F2770"/>
                        <w:spacing w:val="-3"/>
                        <w:sz w:val="28"/>
                      </w:rPr>
                      <w:t>Audit </w:t>
                    </w:r>
                    <w:r>
                      <w:rPr>
                        <w:b/>
                        <w:color w:val="6F2770"/>
                        <w:sz w:val="28"/>
                      </w:rPr>
                      <w:t>and </w:t>
                    </w:r>
                    <w:r>
                      <w:rPr>
                        <w:b/>
                        <w:color w:val="6F2770"/>
                        <w:spacing w:val="-3"/>
                        <w:sz w:val="28"/>
                      </w:rPr>
                      <w:t>Auditor General findings have</w:t>
                    </w:r>
                    <w:r>
                      <w:rPr>
                        <w:b/>
                        <w:color w:val="6F2770"/>
                        <w:spacing w:val="-18"/>
                        <w:sz w:val="28"/>
                      </w:rPr>
                      <w:t> </w:t>
                    </w:r>
                    <w:r>
                      <w:rPr>
                        <w:b/>
                        <w:color w:val="6F2770"/>
                        <w:spacing w:val="-4"/>
                        <w:sz w:val="28"/>
                      </w:rPr>
                      <w:t>reduced </w:t>
                    </w:r>
                    <w:r>
                      <w:rPr>
                        <w:b/>
                        <w:color w:val="6F2770"/>
                        <w:sz w:val="28"/>
                      </w:rPr>
                      <w:t>by 20 per </w:t>
                    </w:r>
                    <w:r>
                      <w:rPr>
                        <w:b/>
                        <w:color w:val="6F2770"/>
                        <w:spacing w:val="-3"/>
                        <w:sz w:val="28"/>
                      </w:rPr>
                      <w:t>cent </w:t>
                    </w:r>
                    <w:r>
                      <w:rPr>
                        <w:b/>
                        <w:color w:val="6F2770"/>
                        <w:sz w:val="28"/>
                      </w:rPr>
                      <w:t>in </w:t>
                    </w:r>
                    <w:r>
                      <w:rPr>
                        <w:b/>
                        <w:color w:val="6F2770"/>
                        <w:spacing w:val="-3"/>
                        <w:sz w:val="28"/>
                      </w:rPr>
                      <w:t>comparison </w:t>
                    </w:r>
                    <w:r>
                      <w:rPr>
                        <w:b/>
                        <w:color w:val="6F2770"/>
                        <w:sz w:val="28"/>
                      </w:rPr>
                      <w:t>to </w:t>
                    </w:r>
                    <w:r>
                      <w:rPr>
                        <w:b/>
                        <w:color w:val="6F2770"/>
                        <w:spacing w:val="-3"/>
                        <w:sz w:val="28"/>
                      </w:rPr>
                      <w:t>last</w:t>
                    </w:r>
                    <w:r>
                      <w:rPr>
                        <w:b/>
                        <w:color w:val="6F2770"/>
                        <w:spacing w:val="-12"/>
                        <w:sz w:val="28"/>
                      </w:rPr>
                      <w:t> </w:t>
                    </w:r>
                    <w:r>
                      <w:rPr>
                        <w:b/>
                        <w:color w:val="6F2770"/>
                        <w:spacing w:val="-8"/>
                        <w:sz w:val="28"/>
                      </w:rPr>
                      <w:t>year.</w:t>
                    </w:r>
                  </w:p>
                </w:txbxContent>
              </v:textbox>
              <w10:wrap type="none"/>
            </v:shape>
            <w10:wrap type="none"/>
          </v:group>
        </w:pict>
      </w:r>
      <w:r>
        <w:rPr/>
        <w:pict>
          <v:group style="position:absolute;margin-left:0pt;margin-top:-68.580612pt;width:240.15pt;height:56.95pt;mso-position-horizontal-relative:page;mso-position-vertical-relative:paragraph;z-index:37816" coordorigin="0,-1372" coordsize="4803,1139">
            <v:shape style="position:absolute;left:0;top:-1191;width:11;height:10" coordorigin="0,-1190" coordsize="11,10" path="m7,-1190l0,-1186,0,-1180,11,-1187,7,-1190xe" filled="true" fillcolor="#cdcccd" stroked="false">
              <v:path arrowok="t"/>
              <v:fill type="solid"/>
            </v:shape>
            <v:shape style="position:absolute;left:0;top:-1141;width:362;height:513" type="#_x0000_t75" stroked="false">
              <v:imagedata r:id="rId27" o:title=""/>
            </v:shape>
            <v:shape style="position:absolute;left:0;top:-790;width:475;height:399" coordorigin="0,-790" coordsize="475,399" path="m411,-786l408,-790,0,-555,0,-549,411,-786m461,-736l458,-740,0,-476,0,-470,461,-736m474,-671l0,-397,0,-391,461,-657,474,-671e" filled="true" fillcolor="#cdcccd" stroked="false">
              <v:path arrowok="t"/>
              <v:fill type="solid"/>
            </v:shape>
            <v:shape style="position:absolute;left:0;top:-484;width:288;height:251" type="#_x0000_t75" stroked="false">
              <v:imagedata r:id="rId28" o:title=""/>
            </v:shape>
            <v:rect style="position:absolute;left:0;top:-1372;width:2406;height:851" filled="true" fillcolor="#aebd37" stroked="false">
              <v:fill type="solid"/>
            </v:rect>
            <v:shape style="position:absolute;left:2405;top:-1372;width:2398;height:851" type="#_x0000_t202" filled="true" fillcolor="#b6c247" stroked="false">
              <v:textbox inset="0,0,0,0">
                <w:txbxContent>
                  <w:p>
                    <w:pPr>
                      <w:spacing w:line="240" w:lineRule="auto" w:before="9"/>
                      <w:rPr>
                        <w:b/>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372;width:2406;height:851" type="#_x0000_t202" filled="false"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w10:wrap type="none"/>
          </v:group>
        </w:pict>
      </w:r>
      <w:r>
        <w:rPr/>
        <w:pict>
          <v:shape style="position:absolute;margin-left:601.348999pt;margin-top:-68.580612pt;width:120.3pt;height:42.55pt;mso-position-horizontal-relative:page;mso-position-vertical-relative:paragraph;z-index:37888" type="#_x0000_t202" filled="false" stroked="false">
            <v:textbox inset="0,0,0,0">
              <w:txbxContent>
                <w:p>
                  <w:pPr>
                    <w:pStyle w:val="BodyText"/>
                    <w:spacing w:before="9"/>
                    <w:rPr>
                      <w:b/>
                      <w:sz w:val="26"/>
                    </w:rPr>
                  </w:pPr>
                </w:p>
                <w:p>
                  <w:pPr>
                    <w:spacing w:before="0"/>
                    <w:ind w:left="530" w:right="0" w:firstLine="0"/>
                    <w:jc w:val="left"/>
                    <w:rPr>
                      <w:sz w:val="20"/>
                    </w:rPr>
                  </w:pPr>
                  <w:hyperlink w:history="true" w:anchor="_bookmark68">
                    <w:r>
                      <w:rPr>
                        <w:color w:val="6F2770"/>
                        <w:sz w:val="20"/>
                      </w:rPr>
                      <w:t>DISCLOSURES</w:t>
                    </w:r>
                  </w:hyperlink>
                </w:p>
              </w:txbxContent>
            </v:textbox>
            <w10:wrap type="none"/>
          </v:shape>
        </w:pict>
      </w:r>
      <w:r>
        <w:rPr/>
        <w:pict>
          <v:shape style="position:absolute;margin-left:481.079498pt;margin-top:-68.580612pt;width:120.3pt;height:42.55pt;mso-position-horizontal-relative:page;mso-position-vertical-relative:paragraph;z-index:37912"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w:pict>
      </w:r>
      <w:r>
        <w:rPr/>
        <w:pict>
          <v:shape style="position:absolute;margin-left:360.796509pt;margin-top:-68.580612pt;width:120.3pt;height:42.55pt;mso-position-horizontal-relative:page;mso-position-vertical-relative:paragraph;z-index:37936"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3" w:equalWidth="0">
            <w:col w:w="5558" w:space="40"/>
            <w:col w:w="5257" w:space="3965"/>
            <w:col w:w="2020"/>
          </w:cols>
        </w:sectPr>
      </w:pPr>
    </w:p>
    <w:p>
      <w:pPr>
        <w:pStyle w:val="BodyText"/>
        <w:rPr>
          <w:sz w:val="20"/>
        </w:rPr>
      </w:pPr>
      <w:r>
        <w:rPr/>
        <w:pict>
          <v:group style="position:absolute;margin-left:481.080994pt;margin-top:.000001pt;width:360.85pt;height:108.95pt;mso-position-horizontal-relative:page;mso-position-vertical-relative:page;z-index:-775888" coordorigin="9622,0" coordsize="7217,2179">
            <v:shape style="position:absolute;left:14419;top:0;width:1455;height:1745" coordorigin="14419,0" coordsize="1455,1745" path="m15219,0l15194,0,14935,149,14901,184,15219,0m15356,0l15331,0,14748,336,14714,370,15356,0m15492,0l15467,0,14562,523,14527,557,15492,0m15629,0l15604,0,14419,684,14428,693,15629,0m15766,0l15741,0,14469,734,14478,743,15766,0m15874,1502l15470,1735,15479,1744,15874,1516,15874,1502m15874,1423l15420,1685,15429,1694,15874,1437,15874,1423m15874,1344l15370,1635,15379,1644,15874,1358,15874,1344m15874,1265l15320,1585,15329,1594,15874,1279,15874,1265m15874,1186l15270,1535,15279,1544,15874,1200,15874,1186m15874,1107l15220,1485,15229,1494,15874,1121,15874,1107m15874,1028l15170,1435,15179,1444,15874,1042,15874,1028m15874,949l15120,1385,15129,1394,15874,964,15874,949m15874,870l15070,1335,15079,1344,15874,885,15874,870m15874,791l15020,1285,15029,1294,15874,806,15874,791m15874,633l14920,1184,14929,1194,15874,648,15874,633m15874,554l14870,1134,14879,1144,15874,569,15874,554m15874,476l14819,1084,14829,1094,15874,490,15874,476m15874,397l14769,1034,14779,1043,15874,411,15874,397m15874,318l14719,984,14729,993,15874,332,15874,318m15874,239l14669,934,14679,943,15874,253,15874,239m15874,160l14619,884,14628,893,15874,174,15874,160m15874,2l14519,784,14528,793,15874,16,15874,2m15874,712l14970,1235,14979,1244,15874,727,15874,712m15874,81l14569,834,14578,843,15874,95,15874,81e" filled="true" fillcolor="#cdcccd" stroked="false">
              <v:path arrowok="t"/>
              <v:fill type="solid"/>
            </v:shape>
            <v:shape style="position:absolute;left:15520;top:1580;width:354;height:514" type="#_x0000_t75" stroked="false">
              <v:imagedata r:id="rId283" o:title=""/>
            </v:shape>
            <v:shape style="position:absolute;left:15874;top:0;width:338;height:196" type="#_x0000_t75" stroked="false">
              <v:imagedata r:id="rId20" o:title=""/>
            </v:shape>
            <v:shape style="position:absolute;left:15874;top:0;width:964;height:1932" coordorigin="15874,0" coordsize="964,1932" path="m16349,0l16339,0,15874,268,15874,274,16349,0m16378,1635l15874,1926,15874,1932,16365,1648,16378,1635m16486,0l16476,0,15874,347,15874,353,16486,0m16565,1448l15874,1847,15874,1853,16551,1462,16565,1448m16622,0l16612,0,15874,426,15874,432,16622,0m16699,35l16695,31,15874,505,15874,511,16699,35m16749,85l16745,81,15874,584,15874,590,16749,85m16752,1261l15874,1768,15874,1774,16738,1275,16752,1261m16799,135l16795,131,15874,663,15874,669,16799,135m16838,1133l15874,1689,15874,1695,16838,1138,16838,1133m16838,1054l15874,1610,15874,1616,16838,1060,16838,1054m16838,975l15874,1531,15874,1537,16838,981,16838,975m16838,896l15874,1452,15874,1458,16838,902,16838,896m16838,817l15874,1373,15874,1379,16838,823,16838,817m16838,738l15874,1294,15874,1300,16838,744,16838,738m16838,659l15874,1215,15874,1221,16838,665,16838,659m16838,580l15874,1137,15874,1142,16838,586,16838,580m16838,501l15874,1058,15874,1063,16838,507,16838,501m16838,422l15874,979,15874,984,16838,428,16838,422m16838,343l15874,900,15874,906,16838,349,16838,343m16838,264l15874,821,15874,827,16838,270,16838,264m16838,186l15874,742,15874,748,16838,191,16838,186e" filled="true" fillcolor="#cdcccd" stroked="false">
              <v:path arrowok="t"/>
              <v:fill type="solid"/>
            </v:shape>
            <v:shape style="position:absolute;left:15874;top:1821;width:318;height:269" type="#_x0000_t75" stroked="false">
              <v:imagedata r:id="rId158" o:title=""/>
            </v:shape>
            <v:shape style="position:absolute;left:13676;top:372;width:904;height:904" coordorigin="13677,372" coordsize="904,904" path="m14128,372l13677,824,14128,1276,14580,824,14128,372xe" filled="true" fillcolor="#ffffff" stroked="false">
              <v:path arrowok="t"/>
              <v:fill type="solid"/>
            </v:shape>
            <v:shape style="position:absolute;left:13225;top:824;width:904;height:904" coordorigin="13225,824" coordsize="904,904" path="m13677,824l13225,1276,13677,1727,14128,1276,13677,824xe" filled="true" fillcolor="#e8e9c9" stroked="false">
              <v:path arrowok="t"/>
              <v:fill type="solid"/>
            </v:shape>
            <v:shape style="position:absolute;left:12773;top:1275;width:904;height:904" coordorigin="12774,1276" coordsize="904,904" path="m13225,1276l12774,1727,13225,2179,13677,1727,13225,1276xe" filled="true" fillcolor="#d5dac6" stroked="false">
              <v:path arrowok="t"/>
              <v:fill type="solid"/>
            </v:shape>
            <v:shape style="position:absolute;left:11870;top:372;width:2710;height:904" coordorigin="11870,372" coordsize="2710,904" path="m12774,824l12322,372,11870,824,12322,1276,12774,824m14580,824l14128,372,13677,824,14128,1276,14580,824e" filled="true" fillcolor="#efeeeb" stroked="false">
              <v:path arrowok="t"/>
              <v:fill type="solid"/>
            </v:shape>
            <v:shape style="position:absolute;left:12773;top:372;width:904;height:904" coordorigin="12774,372" coordsize="904,904" path="m13225,372l12774,824,13225,1276,13677,824,13225,372xe" filled="true" fillcolor="#c0aac2" stroked="false">
              <v:path arrowok="t"/>
              <v:fill type="solid"/>
            </v:shape>
            <v:shape style="position:absolute;left:15424;top:1075;width:900;height:904" coordorigin="15424,1076" coordsize="900,904" path="m15874,1076l15424,1526,15424,1529,15874,1979,16324,1529,16324,1526,15874,1076xe" filled="true" fillcolor="#c4cd71" stroked="false">
              <v:path arrowok="t"/>
              <v:fill type="solid"/>
            </v:shape>
            <v:rect style="position:absolute;left:9621;top:0;width:2406;height:851" filled="true" fillcolor="#bec85c" stroked="false">
              <v:fill type="solid"/>
            </v:rect>
            <v:rect style="position:absolute;left:12026;top:0;width:2406;height:851" filled="true" fillcolor="#e6e7e8" stroked="false">
              <v:fill type="solid"/>
            </v:rect>
            <v:shape style="position:absolute;left:12026;top:0;width:583;height:583" type="#_x0000_t75" stroked="false">
              <v:imagedata r:id="rId272" o:title=""/>
            </v:shape>
            <v:rect style="position:absolute;left:14432;top:0;width:2406;height:851" filled="true" fillcolor="#aebd37" stroked="false">
              <v:fill type="solid"/>
            </v:rect>
            <v:shape style="position:absolute;left:15263;top:1366;width:161;height:322" type="#_x0000_t75" stroked="false">
              <v:imagedata r:id="rId16" o:title=""/>
            </v:shape>
            <v:shape style="position:absolute;left:16324;top:1366;width:161;height:322" type="#_x0000_t75" stroked="false">
              <v:imagedata r:id="rId11" o:title=""/>
            </v:shape>
            <w10:wrap type="none"/>
          </v:group>
        </w:pict>
      </w:r>
    </w:p>
    <w:p>
      <w:pPr>
        <w:pStyle w:val="BodyText"/>
        <w:rPr>
          <w:sz w:val="20"/>
        </w:rPr>
      </w:pPr>
    </w:p>
    <w:p>
      <w:pPr>
        <w:pStyle w:val="BodyText"/>
        <w:rPr>
          <w:sz w:val="20"/>
        </w:rPr>
      </w:pPr>
    </w:p>
    <w:p>
      <w:pPr>
        <w:pStyle w:val="BodyText"/>
        <w:rPr>
          <w:sz w:val="20"/>
        </w:rPr>
      </w:pPr>
    </w:p>
    <w:p>
      <w:pPr>
        <w:pStyle w:val="BodyText"/>
        <w:spacing w:before="7"/>
        <w:rPr>
          <w:sz w:val="20"/>
        </w:rPr>
      </w:pPr>
    </w:p>
    <w:p>
      <w:pPr>
        <w:tabs>
          <w:tab w:pos="12166" w:val="left" w:leader="none"/>
          <w:tab w:pos="12373" w:val="left" w:leader="none"/>
        </w:tabs>
        <w:spacing w:before="106"/>
        <w:ind w:left="765" w:right="0" w:firstLine="0"/>
        <w:jc w:val="left"/>
        <w:rPr>
          <w:b/>
          <w:sz w:val="16"/>
        </w:rPr>
      </w:pPr>
      <w:r>
        <w:rPr>
          <w:color w:val="939598"/>
          <w:w w:val="100"/>
          <w:sz w:val="16"/>
          <w:u w:val="single" w:color="939598"/>
        </w:rPr>
        <w:t> </w:t>
      </w:r>
      <w:r>
        <w:rPr>
          <w:color w:val="939598"/>
          <w:sz w:val="16"/>
          <w:u w:val="single" w:color="939598"/>
        </w:rPr>
        <w:tab/>
      </w:r>
      <w:r>
        <w:rPr>
          <w:color w:val="939598"/>
          <w:sz w:val="16"/>
        </w:rPr>
        <w:tab/>
        <w:t>Department of Finance Annual Report 2016-17</w:t>
      </w:r>
      <w:r>
        <w:rPr>
          <w:color w:val="939598"/>
          <w:spacing w:val="29"/>
          <w:sz w:val="16"/>
        </w:rPr>
        <w:t> </w:t>
      </w:r>
      <w:r>
        <w:rPr>
          <w:b/>
          <w:color w:val="6F2770"/>
          <w:sz w:val="16"/>
        </w:rPr>
        <w:t>107</w:t>
      </w:r>
    </w:p>
    <w:p>
      <w:pPr>
        <w:spacing w:after="0"/>
        <w:jc w:val="left"/>
        <w:rPr>
          <w:sz w:val="16"/>
        </w:rPr>
        <w:sectPr>
          <w:type w:val="continuous"/>
          <w:pgSz w:w="16840" w:h="11910" w:orient="landscape"/>
          <w:pgMar w:top="0" w:bottom="0" w:left="0" w:right="0"/>
        </w:sectPr>
      </w:pPr>
    </w:p>
    <w:p>
      <w:pPr>
        <w:tabs>
          <w:tab w:pos="4802" w:val="left" w:leader="none"/>
          <w:tab w:pos="14432" w:val="left" w:leader="none"/>
        </w:tabs>
        <w:spacing w:line="240" w:lineRule="auto"/>
        <w:ind w:left="0" w:right="-44" w:firstLine="0"/>
        <w:rPr>
          <w:sz w:val="20"/>
        </w:rPr>
      </w:pPr>
      <w:bookmarkStart w:name="_bookmark70" w:id="72"/>
      <w:bookmarkEnd w:id="72"/>
      <w:r>
        <w:rPr/>
      </w: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b/>
                      <w:sz w:val="26"/>
                    </w:rPr>
                  </w:pPr>
                </w:p>
                <w:p>
                  <w:pPr>
                    <w:spacing w:before="0"/>
                    <w:ind w:left="683" w:right="0" w:firstLine="0"/>
                    <w:jc w:val="left"/>
                    <w:rPr>
                      <w:sz w:val="20"/>
                    </w:rPr>
                  </w:pPr>
                  <w:hyperlink w:history="true" w:anchor="_bookmark0">
                    <w:r>
                      <w:rPr>
                        <w:color w:val="FFFFFF"/>
                        <w:sz w:val="20"/>
                      </w:rPr>
                      <w:t>CONTENTS</w:t>
                    </w:r>
                  </w:hyperlink>
                </w:p>
              </w:txbxContent>
            </v:textbox>
            <v:fill type="solid"/>
          </v:shape>
        </w:pict>
      </w:r>
      <w:r>
        <w:rPr>
          <w:sz w:val="20"/>
        </w:rPr>
      </w:r>
      <w:r>
        <w:rPr>
          <w:sz w:val="20"/>
        </w:rPr>
        <w:tab/>
      </w:r>
      <w:r>
        <w:rPr>
          <w:sz w:val="20"/>
        </w:rPr>
        <w:pict>
          <v:shape style="width:120.7pt;height:42.55pt;mso-position-horizontal-relative:char;mso-position-vertical-relative:line" type="#_x0000_t202" filled="true" fillcolor="#bec85c" stroked="false">
            <w10:anchorlock/>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b/>
                      <w:sz w:val="26"/>
                    </w:rPr>
                  </w:pPr>
                </w:p>
                <w:p>
                  <w:pPr>
                    <w:spacing w:before="0"/>
                    <w:ind w:left="735" w:right="0" w:firstLine="0"/>
                    <w:jc w:val="left"/>
                    <w:rPr>
                      <w:sz w:val="20"/>
                    </w:rPr>
                  </w:pPr>
                  <w:hyperlink w:history="true" w:anchor="_bookmark73">
                    <w:r>
                      <w:rPr>
                        <w:color w:val="FFFFFF"/>
                        <w:sz w:val="20"/>
                      </w:rPr>
                      <w:t>APPENDIX</w:t>
                    </w:r>
                  </w:hyperlink>
                </w:p>
              </w:txbxContent>
            </v:textbox>
          </v:shape>
        </w:pict>
      </w:r>
      <w:r>
        <w:rPr>
          <w:sz w:val="20"/>
        </w:rPr>
      </w:r>
    </w:p>
    <w:p>
      <w:pPr>
        <w:pStyle w:val="BodyText"/>
        <w:rPr>
          <w:b/>
          <w:sz w:val="20"/>
        </w:rPr>
      </w:pPr>
    </w:p>
    <w:p>
      <w:pPr>
        <w:spacing w:after="0"/>
        <w:rPr>
          <w:sz w:val="20"/>
        </w:rPr>
        <w:sectPr>
          <w:footerReference w:type="default" r:id="rId284"/>
          <w:pgSz w:w="16840" w:h="11910" w:orient="landscape"/>
          <w:pgMar w:footer="0" w:header="0" w:top="0" w:bottom="0" w:left="0" w:right="0"/>
        </w:sectPr>
      </w:pPr>
    </w:p>
    <w:p>
      <w:pPr>
        <w:pStyle w:val="BodyText"/>
        <w:rPr>
          <w:b/>
          <w:sz w:val="36"/>
        </w:rPr>
      </w:pPr>
    </w:p>
    <w:p>
      <w:pPr>
        <w:pStyle w:val="Heading4"/>
        <w:spacing w:line="249" w:lineRule="auto" w:before="0"/>
        <w:ind w:right="236"/>
      </w:pPr>
      <w:r>
        <w:rPr>
          <w:color w:val="A7BE39"/>
        </w:rPr>
        <w:t>People</w:t>
      </w:r>
      <w:r>
        <w:rPr>
          <w:color w:val="A7BE39"/>
          <w:spacing w:val="-64"/>
        </w:rPr>
        <w:t> </w:t>
      </w:r>
      <w:r>
        <w:rPr>
          <w:color w:val="A7BE39"/>
        </w:rPr>
        <w:t>and</w:t>
      </w:r>
      <w:r>
        <w:rPr>
          <w:color w:val="A7BE39"/>
          <w:spacing w:val="-63"/>
        </w:rPr>
        <w:t> </w:t>
      </w:r>
      <w:r>
        <w:rPr>
          <w:color w:val="A7BE39"/>
        </w:rPr>
        <w:t>Communications Committee</w:t>
      </w:r>
    </w:p>
    <w:p>
      <w:pPr>
        <w:pStyle w:val="BodyText"/>
        <w:spacing w:line="249" w:lineRule="auto" w:before="231"/>
        <w:ind w:left="765" w:right="249"/>
      </w:pPr>
      <w:r>
        <w:rPr/>
        <w:t>This</w:t>
      </w:r>
      <w:r>
        <w:rPr>
          <w:spacing w:val="-17"/>
        </w:rPr>
        <w:t> </w:t>
      </w:r>
      <w:r>
        <w:rPr>
          <w:spacing w:val="-5"/>
        </w:rPr>
        <w:t>year,</w:t>
      </w:r>
      <w:r>
        <w:rPr>
          <w:spacing w:val="-16"/>
        </w:rPr>
        <w:t> </w:t>
      </w:r>
      <w:r>
        <w:rPr/>
        <w:t>the</w:t>
      </w:r>
      <w:r>
        <w:rPr>
          <w:spacing w:val="-16"/>
        </w:rPr>
        <w:t> </w:t>
      </w:r>
      <w:r>
        <w:rPr/>
        <w:t>focus</w:t>
      </w:r>
      <w:r>
        <w:rPr>
          <w:spacing w:val="-17"/>
        </w:rPr>
        <w:t> </w:t>
      </w:r>
      <w:r>
        <w:rPr/>
        <w:t>of</w:t>
      </w:r>
      <w:r>
        <w:rPr>
          <w:spacing w:val="-16"/>
        </w:rPr>
        <w:t> </w:t>
      </w:r>
      <w:r>
        <w:rPr/>
        <w:t>the</w:t>
      </w:r>
      <w:r>
        <w:rPr>
          <w:spacing w:val="-16"/>
        </w:rPr>
        <w:t> </w:t>
      </w:r>
      <w:r>
        <w:rPr/>
        <w:t>Committee</w:t>
      </w:r>
      <w:r>
        <w:rPr>
          <w:spacing w:val="-17"/>
        </w:rPr>
        <w:t> </w:t>
      </w:r>
      <w:r>
        <w:rPr/>
        <w:t>has</w:t>
      </w:r>
      <w:r>
        <w:rPr>
          <w:spacing w:val="-16"/>
        </w:rPr>
        <w:t> </w:t>
      </w:r>
      <w:r>
        <w:rPr>
          <w:spacing w:val="-4"/>
        </w:rPr>
        <w:t>been </w:t>
      </w:r>
      <w:r>
        <w:rPr/>
        <w:t>on supporting the development and adoption of</w:t>
      </w:r>
      <w:r>
        <w:rPr>
          <w:spacing w:val="-14"/>
        </w:rPr>
        <w:t> </w:t>
      </w:r>
      <w:r>
        <w:rPr/>
        <w:t>the</w:t>
      </w:r>
      <w:r>
        <w:rPr>
          <w:spacing w:val="-15"/>
        </w:rPr>
        <w:t> </w:t>
      </w:r>
      <w:r>
        <w:rPr>
          <w:spacing w:val="-3"/>
        </w:rPr>
        <w:t>Department’s</w:t>
      </w:r>
      <w:r>
        <w:rPr>
          <w:spacing w:val="-14"/>
        </w:rPr>
        <w:t> </w:t>
      </w:r>
      <w:r>
        <w:rPr/>
        <w:t>new</w:t>
      </w:r>
      <w:r>
        <w:rPr>
          <w:spacing w:val="-14"/>
        </w:rPr>
        <w:t> </w:t>
      </w:r>
      <w:r>
        <w:rPr/>
        <w:t>capability</w:t>
      </w:r>
      <w:r>
        <w:rPr>
          <w:spacing w:val="-14"/>
        </w:rPr>
        <w:t> </w:t>
      </w:r>
      <w:r>
        <w:rPr/>
        <w:t>framework. This framework seeks to support staff in lifting the</w:t>
      </w:r>
      <w:r>
        <w:rPr>
          <w:spacing w:val="-27"/>
        </w:rPr>
        <w:t> </w:t>
      </w:r>
      <w:r>
        <w:rPr>
          <w:spacing w:val="-3"/>
        </w:rPr>
        <w:t>quality,</w:t>
      </w:r>
      <w:r>
        <w:rPr>
          <w:spacing w:val="-27"/>
        </w:rPr>
        <w:t> </w:t>
      </w:r>
      <w:r>
        <w:rPr/>
        <w:t>responsiveness</w:t>
      </w:r>
      <w:r>
        <w:rPr>
          <w:spacing w:val="-27"/>
        </w:rPr>
        <w:t> </w:t>
      </w:r>
      <w:r>
        <w:rPr/>
        <w:t>and</w:t>
      </w:r>
      <w:r>
        <w:rPr>
          <w:spacing w:val="-26"/>
        </w:rPr>
        <w:t> </w:t>
      </w:r>
      <w:r>
        <w:rPr/>
        <w:t>reliability</w:t>
      </w:r>
      <w:r>
        <w:rPr>
          <w:spacing w:val="-27"/>
        </w:rPr>
        <w:t> </w:t>
      </w:r>
      <w:r>
        <w:rPr/>
        <w:t>of</w:t>
      </w:r>
      <w:r>
        <w:rPr>
          <w:spacing w:val="-27"/>
        </w:rPr>
        <w:t> </w:t>
      </w:r>
      <w:r>
        <w:rPr/>
        <w:t>the work delivered across the</w:t>
      </w:r>
      <w:r>
        <w:rPr>
          <w:spacing w:val="-25"/>
        </w:rPr>
        <w:t> </w:t>
      </w:r>
      <w:r>
        <w:rPr/>
        <w:t>Department.</w:t>
      </w:r>
    </w:p>
    <w:p>
      <w:pPr>
        <w:pStyle w:val="BodyText"/>
        <w:spacing w:line="249" w:lineRule="auto" w:before="5"/>
        <w:ind w:left="765" w:right="532"/>
      </w:pPr>
      <w:r>
        <w:rPr/>
        <w:t>The framework provides an objective basis for managers to provide feedback during performance conversations with their staff, aligning individual capability with the achievement</w:t>
      </w:r>
      <w:r>
        <w:rPr>
          <w:spacing w:val="-29"/>
        </w:rPr>
        <w:t> </w:t>
      </w:r>
      <w:r>
        <w:rPr/>
        <w:t>of</w:t>
      </w:r>
      <w:r>
        <w:rPr>
          <w:spacing w:val="-28"/>
        </w:rPr>
        <w:t> </w:t>
      </w:r>
      <w:r>
        <w:rPr/>
        <w:t>the</w:t>
      </w:r>
      <w:r>
        <w:rPr>
          <w:spacing w:val="-28"/>
        </w:rPr>
        <w:t> </w:t>
      </w:r>
      <w:r>
        <w:rPr>
          <w:spacing w:val="-3"/>
        </w:rPr>
        <w:t>Department’s</w:t>
      </w:r>
      <w:r>
        <w:rPr>
          <w:spacing w:val="-28"/>
        </w:rPr>
        <w:t> </w:t>
      </w:r>
      <w:r>
        <w:rPr/>
        <w:t>objectives.</w:t>
      </w:r>
    </w:p>
    <w:p>
      <w:pPr>
        <w:pStyle w:val="BodyText"/>
        <w:spacing w:before="4"/>
        <w:rPr>
          <w:sz w:val="23"/>
        </w:rPr>
      </w:pPr>
    </w:p>
    <w:p>
      <w:pPr>
        <w:pStyle w:val="BodyText"/>
        <w:ind w:left="765"/>
      </w:pPr>
      <w:r>
        <w:rPr/>
        <w:t>In support of the capability framework,</w:t>
      </w:r>
    </w:p>
    <w:p>
      <w:pPr>
        <w:pStyle w:val="BodyText"/>
        <w:spacing w:line="249" w:lineRule="auto" w:before="11"/>
        <w:ind w:left="765" w:right="-8"/>
      </w:pPr>
      <w:r>
        <w:rPr/>
        <w:t>the</w:t>
      </w:r>
      <w:r>
        <w:rPr>
          <w:spacing w:val="-27"/>
        </w:rPr>
        <w:t> </w:t>
      </w:r>
      <w:r>
        <w:rPr/>
        <w:t>Department</w:t>
      </w:r>
      <w:r>
        <w:rPr>
          <w:spacing w:val="-27"/>
        </w:rPr>
        <w:t> </w:t>
      </w:r>
      <w:r>
        <w:rPr/>
        <w:t>has</w:t>
      </w:r>
      <w:r>
        <w:rPr>
          <w:spacing w:val="-26"/>
        </w:rPr>
        <w:t> </w:t>
      </w:r>
      <w:r>
        <w:rPr/>
        <w:t>also</w:t>
      </w:r>
      <w:r>
        <w:rPr>
          <w:spacing w:val="-27"/>
        </w:rPr>
        <w:t> </w:t>
      </w:r>
      <w:r>
        <w:rPr/>
        <w:t>launched</w:t>
      </w:r>
      <w:r>
        <w:rPr>
          <w:spacing w:val="-26"/>
        </w:rPr>
        <w:t> </w:t>
      </w:r>
      <w:r>
        <w:rPr/>
        <w:t>a</w:t>
      </w:r>
      <w:r>
        <w:rPr>
          <w:spacing w:val="-27"/>
        </w:rPr>
        <w:t> </w:t>
      </w:r>
      <w:r>
        <w:rPr/>
        <w:t>Management of Underperformance </w:t>
      </w:r>
      <w:r>
        <w:rPr>
          <w:spacing w:val="-3"/>
        </w:rPr>
        <w:t>Policy, </w:t>
      </w:r>
      <w:r>
        <w:rPr/>
        <w:t>which outlines practical processes for managing performance, and supports both managers and</w:t>
      </w:r>
      <w:r>
        <w:rPr>
          <w:spacing w:val="-38"/>
        </w:rPr>
        <w:t> </w:t>
      </w:r>
      <w:r>
        <w:rPr/>
        <w:t>employees</w:t>
      </w:r>
    </w:p>
    <w:p>
      <w:pPr>
        <w:pStyle w:val="BodyText"/>
        <w:spacing w:line="249" w:lineRule="auto" w:before="4"/>
        <w:ind w:left="765" w:right="226"/>
      </w:pPr>
      <w:r>
        <w:rPr/>
        <w:t>in</w:t>
      </w:r>
      <w:r>
        <w:rPr>
          <w:spacing w:val="-23"/>
        </w:rPr>
        <w:t> </w:t>
      </w:r>
      <w:r>
        <w:rPr/>
        <w:t>the</w:t>
      </w:r>
      <w:r>
        <w:rPr>
          <w:spacing w:val="-22"/>
        </w:rPr>
        <w:t> </w:t>
      </w:r>
      <w:r>
        <w:rPr/>
        <w:t>early</w:t>
      </w:r>
      <w:r>
        <w:rPr>
          <w:spacing w:val="-22"/>
        </w:rPr>
        <w:t> </w:t>
      </w:r>
      <w:r>
        <w:rPr/>
        <w:t>identification</w:t>
      </w:r>
      <w:r>
        <w:rPr>
          <w:spacing w:val="-23"/>
        </w:rPr>
        <w:t> </w:t>
      </w:r>
      <w:r>
        <w:rPr/>
        <w:t>and</w:t>
      </w:r>
      <w:r>
        <w:rPr>
          <w:spacing w:val="-22"/>
        </w:rPr>
        <w:t> </w:t>
      </w:r>
      <w:r>
        <w:rPr/>
        <w:t>analysis</w:t>
      </w:r>
      <w:r>
        <w:rPr>
          <w:spacing w:val="-22"/>
        </w:rPr>
        <w:t> </w:t>
      </w:r>
      <w:r>
        <w:rPr/>
        <w:t>of</w:t>
      </w:r>
      <w:r>
        <w:rPr>
          <w:spacing w:val="-22"/>
        </w:rPr>
        <w:t> </w:t>
      </w:r>
      <w:r>
        <w:rPr/>
        <w:t>factors that may cause poor performance. The policy also provides a pathway to address identified underperformance,</w:t>
      </w:r>
      <w:r>
        <w:rPr>
          <w:spacing w:val="-23"/>
        </w:rPr>
        <w:t> </w:t>
      </w:r>
      <w:r>
        <w:rPr/>
        <w:t>creating</w:t>
      </w:r>
      <w:r>
        <w:rPr>
          <w:spacing w:val="-22"/>
        </w:rPr>
        <w:t> </w:t>
      </w:r>
      <w:r>
        <w:rPr/>
        <w:t>a</w:t>
      </w:r>
      <w:r>
        <w:rPr>
          <w:spacing w:val="-22"/>
        </w:rPr>
        <w:t> </w:t>
      </w:r>
      <w:r>
        <w:rPr/>
        <w:t>line</w:t>
      </w:r>
      <w:r>
        <w:rPr>
          <w:spacing w:val="-22"/>
        </w:rPr>
        <w:t> </w:t>
      </w:r>
      <w:r>
        <w:rPr/>
        <w:t>of</w:t>
      </w:r>
      <w:r>
        <w:rPr>
          <w:spacing w:val="-22"/>
        </w:rPr>
        <w:t> </w:t>
      </w:r>
      <w:r>
        <w:rPr/>
        <w:t>sight</w:t>
      </w:r>
      <w:r>
        <w:rPr>
          <w:spacing w:val="-23"/>
        </w:rPr>
        <w:t> </w:t>
      </w:r>
      <w:r>
        <w:rPr/>
        <w:t>for</w:t>
      </w:r>
      <w:r>
        <w:rPr>
          <w:spacing w:val="-22"/>
        </w:rPr>
        <w:t> </w:t>
      </w:r>
      <w:r>
        <w:rPr>
          <w:spacing w:val="-6"/>
        </w:rPr>
        <w:t>all </w:t>
      </w:r>
      <w:r>
        <w:rPr/>
        <w:t>involved in the</w:t>
      </w:r>
      <w:r>
        <w:rPr>
          <w:spacing w:val="-6"/>
        </w:rPr>
        <w:t> </w:t>
      </w:r>
      <w:r>
        <w:rPr/>
        <w:t>process.</w:t>
      </w:r>
    </w:p>
    <w:p>
      <w:pPr>
        <w:pStyle w:val="BodyText"/>
        <w:spacing w:before="9"/>
        <w:rPr>
          <w:sz w:val="38"/>
        </w:rPr>
      </w:pPr>
      <w:r>
        <w:rPr/>
        <w:br w:type="column"/>
      </w:r>
      <w:r>
        <w:rPr>
          <w:sz w:val="38"/>
        </w:rPr>
      </w:r>
    </w:p>
    <w:p>
      <w:pPr>
        <w:pStyle w:val="BodyText"/>
        <w:spacing w:line="249" w:lineRule="auto"/>
        <w:ind w:left="473" w:right="102"/>
      </w:pPr>
      <w:r>
        <w:rPr/>
        <w:t>In addition, the Committee provided oversight</w:t>
      </w:r>
      <w:r>
        <w:rPr>
          <w:spacing w:val="-17"/>
        </w:rPr>
        <w:t> </w:t>
      </w:r>
      <w:r>
        <w:rPr/>
        <w:t>of</w:t>
      </w:r>
      <w:r>
        <w:rPr>
          <w:spacing w:val="-17"/>
        </w:rPr>
        <w:t> </w:t>
      </w:r>
      <w:r>
        <w:rPr/>
        <w:t>the</w:t>
      </w:r>
      <w:r>
        <w:rPr>
          <w:spacing w:val="-17"/>
        </w:rPr>
        <w:t> </w:t>
      </w:r>
      <w:r>
        <w:rPr/>
        <w:t>development</w:t>
      </w:r>
      <w:r>
        <w:rPr>
          <w:spacing w:val="-17"/>
        </w:rPr>
        <w:t> </w:t>
      </w:r>
      <w:r>
        <w:rPr/>
        <w:t>and</w:t>
      </w:r>
      <w:r>
        <w:rPr>
          <w:spacing w:val="-17"/>
        </w:rPr>
        <w:t> </w:t>
      </w:r>
      <w:r>
        <w:rPr/>
        <w:t>launch</w:t>
      </w:r>
      <w:r>
        <w:rPr>
          <w:spacing w:val="-17"/>
        </w:rPr>
        <w:t> </w:t>
      </w:r>
      <w:r>
        <w:rPr/>
        <w:t>of</w:t>
      </w:r>
      <w:r>
        <w:rPr>
          <w:spacing w:val="-17"/>
        </w:rPr>
        <w:t> </w:t>
      </w:r>
      <w:r>
        <w:rPr>
          <w:spacing w:val="-18"/>
        </w:rPr>
        <w:t>a</w:t>
      </w:r>
    </w:p>
    <w:p>
      <w:pPr>
        <w:pStyle w:val="BodyText"/>
        <w:spacing w:line="249" w:lineRule="auto" w:before="2"/>
        <w:ind w:left="473" w:right="27"/>
      </w:pPr>
      <w:r>
        <w:rPr/>
        <w:t>number</w:t>
      </w:r>
      <w:r>
        <w:rPr>
          <w:spacing w:val="-20"/>
        </w:rPr>
        <w:t> </w:t>
      </w:r>
      <w:r>
        <w:rPr/>
        <w:t>of</w:t>
      </w:r>
      <w:r>
        <w:rPr>
          <w:spacing w:val="-20"/>
        </w:rPr>
        <w:t> </w:t>
      </w:r>
      <w:r>
        <w:rPr/>
        <w:t>online</w:t>
      </w:r>
      <w:r>
        <w:rPr>
          <w:spacing w:val="-20"/>
        </w:rPr>
        <w:t> </w:t>
      </w:r>
      <w:r>
        <w:rPr/>
        <w:t>learning</w:t>
      </w:r>
      <w:r>
        <w:rPr>
          <w:spacing w:val="-20"/>
        </w:rPr>
        <w:t> </w:t>
      </w:r>
      <w:r>
        <w:rPr/>
        <w:t>modules</w:t>
      </w:r>
      <w:r>
        <w:rPr>
          <w:spacing w:val="-19"/>
        </w:rPr>
        <w:t> </w:t>
      </w:r>
      <w:r>
        <w:rPr/>
        <w:t>to</w:t>
      </w:r>
      <w:r>
        <w:rPr>
          <w:spacing w:val="-20"/>
        </w:rPr>
        <w:t> </w:t>
      </w:r>
      <w:r>
        <w:rPr>
          <w:spacing w:val="-3"/>
        </w:rPr>
        <w:t>educate </w:t>
      </w:r>
      <w:r>
        <w:rPr/>
        <w:t>staff on topics such as Disability Awareness, Accountability</w:t>
      </w:r>
      <w:r>
        <w:rPr>
          <w:spacing w:val="-21"/>
        </w:rPr>
        <w:t> </w:t>
      </w:r>
      <w:r>
        <w:rPr/>
        <w:t>and</w:t>
      </w:r>
      <w:r>
        <w:rPr>
          <w:spacing w:val="-20"/>
        </w:rPr>
        <w:t> </w:t>
      </w:r>
      <w:r>
        <w:rPr/>
        <w:t>Ethical</w:t>
      </w:r>
      <w:r>
        <w:rPr>
          <w:spacing w:val="-20"/>
        </w:rPr>
        <w:t> </w:t>
      </w:r>
      <w:r>
        <w:rPr/>
        <w:t>Decision-Making.</w:t>
      </w:r>
    </w:p>
    <w:p>
      <w:pPr>
        <w:pStyle w:val="BodyText"/>
        <w:spacing w:before="2"/>
        <w:rPr>
          <w:sz w:val="23"/>
        </w:rPr>
      </w:pPr>
    </w:p>
    <w:p>
      <w:pPr>
        <w:pStyle w:val="BodyText"/>
        <w:spacing w:line="249" w:lineRule="auto"/>
        <w:ind w:left="473" w:right="373"/>
      </w:pPr>
      <w:r>
        <w:rPr/>
        <w:pict>
          <v:group style="position:absolute;margin-left:468.599701pt;margin-top:2.801162pt;width:335.05pt;height:337.05pt;mso-position-horizontal-relative:page;mso-position-vertical-relative:paragraph;z-index:-775528" coordorigin="9372,56" coordsize="6701,6741">
            <v:shape style="position:absolute;left:9372;top:56;width:6701;height:6741" type="#_x0000_t75" stroked="false">
              <v:imagedata r:id="rId285" o:title=""/>
            </v:shape>
            <v:shape style="position:absolute;left:10818;top:1517;width:3692;height:3692" type="#_x0000_t75" stroked="false">
              <v:imagedata r:id="rId286" o:title=""/>
            </v:shape>
            <v:shape style="position:absolute;left:10818;top:1978;width:668;height:1740" type="#_x0000_t75" stroked="false">
              <v:imagedata r:id="rId287" o:title=""/>
            </v:shape>
            <v:shape style="position:absolute;left:10818;top:1911;width:1760;height:1447" type="#_x0000_t75" stroked="false">
              <v:imagedata r:id="rId288" o:title=""/>
            </v:shape>
            <v:shape style="position:absolute;left:10818;top:3524;width:1048;height:247" type="#_x0000_t75" stroked="false">
              <v:imagedata r:id="rId289" o:title=""/>
            </v:shape>
            <v:shape style="position:absolute;left:11269;top:2570;width:1194;height:1035" type="#_x0000_t75" stroked="false">
              <v:imagedata r:id="rId290" o:title=""/>
            </v:shape>
            <v:shape style="position:absolute;left:10818;top:1517;width:1808;height:2151" type="#_x0000_t75" stroked="false">
              <v:imagedata r:id="rId291" o:title=""/>
            </v:shape>
            <v:shape style="position:absolute;left:10818;top:1817;width:782;height:656" type="#_x0000_t75" stroked="false">
              <v:imagedata r:id="rId292" o:title=""/>
            </v:shape>
            <v:shape style="position:absolute;left:11634;top:2023;width:937;height:1199" type="#_x0000_t75" stroked="false">
              <v:imagedata r:id="rId293" o:title=""/>
            </v:shape>
            <v:shape style="position:absolute;left:11560;top:1969;width:1063;height:1359" type="#_x0000_t75" stroked="false">
              <v:imagedata r:id="rId294" o:title=""/>
            </v:shape>
            <v:shape style="position:absolute;left:12753;top:1517;width:1758;height:919" type="#_x0000_t75" stroked="false">
              <v:imagedata r:id="rId295" o:title=""/>
            </v:shape>
            <v:shape style="position:absolute;left:12702;top:1517;width:1808;height:1793" type="#_x0000_t75" stroked="false">
              <v:imagedata r:id="rId296" o:title=""/>
            </v:shape>
            <v:shape style="position:absolute;left:13827;top:2030;width:683;height:1689" type="#_x0000_t75" stroked="false">
              <v:imagedata r:id="rId297" o:title=""/>
            </v:shape>
            <v:shape style="position:absolute;left:14057;top:3618;width:454;height:154" type="#_x0000_t75" stroked="false">
              <v:imagedata r:id="rId298" o:title=""/>
            </v:shape>
            <v:shape style="position:absolute;left:13746;top:1966;width:764;height:609" type="#_x0000_t75" stroked="false">
              <v:imagedata r:id="rId299" o:title=""/>
            </v:shape>
            <v:shape style="position:absolute;left:10818;top:3791;width:1151;height:1418" type="#_x0000_t75" stroked="false">
              <v:imagedata r:id="rId300" o:title=""/>
            </v:shape>
            <v:shape style="position:absolute;left:11689;top:4628;width:325;height:581" type="#_x0000_t75" stroked="false">
              <v:imagedata r:id="rId301" o:title=""/>
            </v:shape>
            <v:shape style="position:absolute;left:10818;top:3444;width:1777;height:458" type="#_x0000_t75" stroked="false">
              <v:imagedata r:id="rId302" o:title=""/>
            </v:shape>
            <v:shape style="position:absolute;left:13359;top:3791;width:1151;height:1418" type="#_x0000_t75" stroked="false">
              <v:imagedata r:id="rId303" o:title=""/>
            </v:shape>
            <v:shape style="position:absolute;left:12732;top:3444;width:1778;height:458" type="#_x0000_t75" stroked="false">
              <v:imagedata r:id="rId304" o:title=""/>
            </v:shape>
            <v:shape style="position:absolute;left:13314;top:4628;width:325;height:581" type="#_x0000_t75" stroked="false">
              <v:imagedata r:id="rId305" o:title=""/>
            </v:shape>
            <v:shape style="position:absolute;left:14498;top:5197;width:12;height:12" type="#_x0000_t75" stroked="false">
              <v:imagedata r:id="rId306" o:title=""/>
            </v:shape>
            <v:shape style="position:absolute;left:11886;top:4705;width:1556;height:504" type="#_x0000_t75" stroked="false">
              <v:imagedata r:id="rId307" o:title=""/>
            </v:shape>
            <v:shape style="position:absolute;left:11830;top:3477;width:1668;height:1732" type="#_x0000_t75" stroked="false">
              <v:imagedata r:id="rId308" o:title=""/>
            </v:shape>
            <v:shape style="position:absolute;left:12753;top:2022;width:925;height:1183" type="#_x0000_t75" stroked="false">
              <v:imagedata r:id="rId309" o:title=""/>
            </v:shape>
            <v:shape style="position:absolute;left:12753;top:2464;width:925;height:742" type="#_x0000_t75" stroked="false">
              <v:imagedata r:id="rId310" o:title=""/>
            </v:shape>
            <v:shape style="position:absolute;left:12753;top:1971;width:965;height:497" type="#_x0000_t75" stroked="false">
              <v:imagedata r:id="rId311" o:title=""/>
            </v:shape>
            <v:shape style="position:absolute;left:12702;top:1969;width:1049;height:1341" type="#_x0000_t75" stroked="false">
              <v:imagedata r:id="rId312" o:title=""/>
            </v:shape>
            <v:shape style="position:absolute;left:12863;top:2606;width:1171;height:1001" type="#_x0000_t75" stroked="false">
              <v:imagedata r:id="rId313" o:title=""/>
            </v:shape>
            <v:shape style="position:absolute;left:12863;top:2574;width:1220;height:1044" type="#_x0000_t75" stroked="false">
              <v:imagedata r:id="rId314" o:title=""/>
            </v:shape>
            <v:shape style="position:absolute;left:12749;top:2533;width:1317;height:1135" type="#_x0000_t75" stroked="false">
              <v:imagedata r:id="rId315" o:title=""/>
            </v:shape>
            <v:shape style="position:absolute;left:11351;top:3516;width:1154;height:1066" type="#_x0000_t75" stroked="false">
              <v:imagedata r:id="rId316" o:title=""/>
            </v:shape>
            <v:shape style="position:absolute;left:11301;top:3516;width:1203;height:1112" type="#_x0000_t75" stroked="false">
              <v:imagedata r:id="rId317" o:title=""/>
            </v:shape>
            <v:shape style="position:absolute;left:11288;top:3444;width:1308;height:1209" type="#_x0000_t75" stroked="false">
              <v:imagedata r:id="rId318" o:title=""/>
            </v:shape>
            <v:shape style="position:absolute;left:12824;top:3516;width:1154;height:1066" type="#_x0000_t75" stroked="false">
              <v:imagedata r:id="rId319" o:title=""/>
            </v:shape>
            <v:shape style="position:absolute;left:12824;top:3516;width:1154;height:264" type="#_x0000_t75" stroked="false">
              <v:imagedata r:id="rId320" o:title=""/>
            </v:shape>
            <v:shape style="position:absolute;left:12824;top:3516;width:1203;height:1112" type="#_x0000_t75" stroked="false">
              <v:imagedata r:id="rId321" o:title=""/>
            </v:shape>
            <v:shape style="position:absolute;left:12732;top:3444;width:1308;height:1209" type="#_x0000_t75" stroked="false">
              <v:imagedata r:id="rId322" o:title=""/>
            </v:shape>
            <v:shape style="position:absolute;left:12151;top:3593;width:1027;height:1166" type="#_x0000_t75" stroked="false">
              <v:imagedata r:id="rId323" o:title=""/>
            </v:shape>
            <v:shape style="position:absolute;left:12151;top:3593;width:1027;height:1066" type="#_x0000_t75" stroked="false">
              <v:imagedata r:id="rId324" o:title=""/>
            </v:shape>
            <v:shape style="position:absolute;left:12129;top:4659;width:1071;height:151" type="#_x0000_t75" stroked="false">
              <v:imagedata r:id="rId325" o:title=""/>
            </v:shape>
            <v:shape style="position:absolute;left:12082;top:3477;width:1164;height:1229" type="#_x0000_t75" stroked="false">
              <v:imagedata r:id="rId326" o:title=""/>
            </v:shape>
            <v:shape style="position:absolute;left:11629;top:2327;width:2070;height:2069" coordorigin="11629,2328" coordsize="2070,2069" path="m12052,3913l11886,4045,11937,4099,11992,4150,12050,4196,12112,4238,12176,4276,12244,4309,12314,4337,12386,4360,12461,4378,12538,4390,12616,4397,12616,4294,12506,4294,12438,4226,12586,4078,12131,4078,12035,4067,12052,3913xm12713,4184l12713,4397,12791,4390,12868,4378,12943,4360,13015,4337,13085,4309,13115,4294,12823,4294,12713,4184xm12616,4184l12506,4294,12616,4294,12616,4184xm13189,3999l12664,3999,12891,4226,12823,4294,13115,4294,13153,4276,13217,4238,13279,4196,13337,4150,13392,4099,13412,4078,13198,4078,13189,3999xm13480,3724l11849,3724,12167,3760,12131,4078,12586,4078,12664,3999,13189,3999,13162,3760,13480,3724xm13276,3913l13294,4067,13198,4078,13412,4078,13443,4045,13276,3913xm11645,3180l11638,3225,11633,3270,11630,3316,11629,3363,11633,3447,11643,3529,11659,3610,11681,3687,11709,3763,11743,3835,11782,3904,11826,3970,11992,3837,11838,3820,11849,3724,13634,3724,13647,3687,13670,3610,13686,3529,13696,3447,13698,3392,11773,3392,11721,3310,11853,3227,11645,3180xm13634,3724l13480,3724,13491,3820,13336,3837,13503,3970,13547,3904,13586,3835,13619,3763,13634,3724xm13455,2950l11873,2950,12044,3221,11773,3392,13556,3392,13285,3221,13455,2950xm13683,3180l13476,3227,13607,3310,13556,3392,13698,3392,13699,3363,13698,3316,13695,3270,13690,3225,13683,3180xm12172,2452l12107,2491,12045,2534,11986,2581,11932,2632,11880,2687,11833,2746,11791,2808,11752,2873,11719,2942,11690,3012,11667,3086,11875,3133,11792,3001,11873,2950,13613,2950,13610,2942,13576,2873,13538,2808,13525,2790,12388,2790,12086,2684,12118,2593,12240,2593,12172,2452xm13613,2950l13455,2950,13537,3001,13454,3133,13662,3086,13638,3012,13613,2950xm12926,2455l12403,2455,12494,2487,12388,2790,12940,2790,12835,2487,12926,2455xm13355,2593l13211,2593,13243,2684,12940,2790,13525,2790,13495,2746,13448,2687,13397,2632,13355,2593xm12240,2593l12118,2593,12265,2644,12240,2593xm13156,2452l13064,2644,13211,2593,13355,2593,13342,2581,13284,2534,13222,2491,13156,2452xm12664,2328l12579,2331,12495,2342,12414,2358,12335,2381,12259,2410,12352,2602,12403,2455,13048,2455,13070,2410,12993,2381,12915,2358,12833,2342,12750,2331,12664,2328xm13048,2455l12926,2455,12977,2602,13048,2455xe" filled="true" fillcolor="#e3e6e5" stroked="false">
              <v:path arrowok="t"/>
              <v:fill type="solid"/>
            </v:shape>
            <v:shape style="position:absolute;left:12875;top:1090;width:1300;height:857" type="#_x0000_t75" stroked="false">
              <v:imagedata r:id="rId327" o:title=""/>
            </v:shape>
            <v:shape style="position:absolute;left:14197;top:2815;width:882;height:553" type="#_x0000_t75" stroked="false">
              <v:imagedata r:id="rId328" o:title=""/>
            </v:shape>
            <v:shape style="position:absolute;left:12103;top:3168;width:1125;height:344" coordorigin="12103,3168" coordsize="1125,344" path="m12215,3233l12210,3206,12203,3194,12198,3186,12187,3179,12187,3236,12184,3254,12177,3265,12167,3272,12156,3274,12131,3274,12131,3194,12151,3194,12168,3197,12179,3206,12185,3219,12187,3236,12187,3179,12180,3175,12158,3171,12103,3171,12103,3297,12158,3297,12183,3292,12201,3279,12203,3274,12211,3259,12215,3233m12271,3460l12244,3460,12241,3472,12235,3480,12227,3486,12215,3488,12199,3485,12189,3475,12183,3462,12181,3446,12183,3430,12189,3416,12199,3407,12215,3403,12229,3403,12241,3413,12243,3425,12270,3425,12264,3406,12261,3403,12252,3391,12235,3383,12215,3380,12189,3385,12170,3399,12158,3420,12153,3446,12158,3472,12170,3493,12189,3507,12215,3512,12237,3508,12254,3498,12260,3488,12265,3481,12271,3460m12330,3274l12262,3274,12262,3243,12323,3243,12323,3221,12262,3221,12262,3194,12328,3194,12328,3171,12234,3171,12234,3297,12330,3297,12330,3274m12400,3509l12389,3481,12381,3460,12364,3414,12354,3387,12354,3460,12321,3460,12338,3414,12338,3414,12354,3460,12354,3387,12352,3383,12324,3383,12276,3509,12304,3509,12314,3481,12361,3481,12371,3509,12400,3509m12449,3171l12420,3171,12392,3260,12391,3260,12363,3171,12335,3171,12376,3297,12407,3297,12419,3260,12449,3171m12511,3423l12508,3408,12506,3404,12501,3395,12487,3386,12484,3386,12484,3407,12484,3439,12473,3442,12438,3442,12438,3404,12473,3404,12484,3407,12484,3386,12467,3383,12410,3383,12410,3509,12438,3509,12438,3464,12467,3464,12487,3460,12501,3451,12506,3442,12508,3438,12511,3423m12555,3274l12487,3274,12487,3243,12548,3243,12548,3221,12487,3221,12487,3194,12554,3194,12554,3171,12459,3171,12459,3297,12555,3297,12555,3274m12625,3509l12614,3481,12607,3460,12589,3414,12579,3387,12579,3460,12547,3460,12563,3414,12564,3414,12579,3460,12579,3387,12578,3383,12549,3383,12502,3509,12530,3509,12540,3481,12587,3481,12596,3509,12625,3509m12663,3274l12601,3274,12601,3171,12574,3171,12574,3297,12663,3297,12663,3274m12741,3456l12739,3453,12734,3445,12718,3440,12729,3435,12730,3434,12735,3426,12735,3414,12733,3404,12732,3399,12724,3390,12714,3385,12714,3458,12714,3484,12704,3487,12664,3487,12664,3453,12706,3453,12714,3458,12714,3385,12712,3384,12709,3384,12709,3407,12709,3429,12701,3434,12664,3434,12664,3404,12699,3404,12709,3407,12709,3384,12695,3383,12636,3383,12636,3509,12697,3509,12713,3507,12728,3500,12738,3489,12738,3487,12741,3472,12741,3456m12788,3383l12760,3383,12760,3509,12788,3509,12788,3383m12797,3235l12792,3208,12783,3191,12780,3187,12769,3179,12769,3235,12767,3250,12761,3264,12751,3273,12735,3277,12719,3273,12708,3264,12702,3250,12701,3235,12702,3218,12708,3205,12719,3195,12735,3191,12751,3195,12761,3205,12767,3218,12769,3235,12769,3179,12761,3173,12735,3168,12709,3173,12689,3187,12677,3208,12673,3235,12677,3260,12689,3281,12709,3295,12735,3300,12761,3295,12780,3281,12783,3277,12792,3260,12797,3235m12901,3485l12840,3485,12840,3383,12812,3383,12812,3509,12901,3509,12901,3485m12916,3211l12914,3196,12911,3193,12906,3184,12892,3174,12889,3174,12889,3195,12889,3227,12878,3230,12843,3230,12843,3193,12878,3193,12889,3195,12889,3174,12872,3171,12816,3171,12816,3297,12843,3297,12843,3252,12872,3252,12892,3248,12906,3239,12911,3230,12914,3226,12916,3211m12944,3383l12917,3383,12917,3509,12944,3509,12944,3383m12961,3171l12933,3171,12933,3297,12961,3297,12961,3171m13062,3383l12959,3383,12959,3406,12997,3406,12997,3509,13024,3509,13024,3406,13062,3406,13062,3383m13092,3171l13066,3171,13066,3256,13065,3256,13039,3213,13013,3171,12985,3171,12985,3297,13011,3297,13011,3213,13012,3213,13064,3297,13092,3297,13092,3256,13092,3171m13184,3383l13153,3383,13123,3432,13094,3383,13063,3383,13109,3460,13109,3509,13137,3509,13137,3460,13154,3432,13184,3383m13227,3229l13175,3229,13175,3250,13202,3250,13200,3261,13194,3270,13184,3275,13172,3277,13157,3273,13146,3264,13140,3250,13138,3235,13140,3218,13146,3205,13157,3195,13172,3191,13185,3191,13196,3199,13199,3213,13225,3213,13220,3194,13218,3191,13207,3180,13191,3171,13172,3168,13146,3173,13127,3187,13115,3208,13110,3235,13115,3260,13127,3281,13146,3295,13172,3300,13185,3300,13197,3295,13207,3283,13210,3297,13227,3297,13227,3283,13227,3277,13227,3229e" filled="true" fillcolor="#010101" stroked="false">
              <v:path arrowok="t"/>
              <v:fill type="solid"/>
            </v:shape>
            <v:shape style="position:absolute;left:13763;top:4282;width:829;height:804" type="#_x0000_t75" stroked="false">
              <v:imagedata r:id="rId329" o:title=""/>
            </v:shape>
            <v:shape style="position:absolute;left:11977;top:4861;width:1375;height:965" type="#_x0000_t75" stroked="false">
              <v:imagedata r:id="rId330" o:title=""/>
            </v:shape>
            <v:shape style="position:absolute;left:14419;top:2406;width:441;height:309" type="#_x0000_t75" stroked="false">
              <v:imagedata r:id="rId331" o:title=""/>
            </v:shape>
            <v:shape style="position:absolute;left:13987;top:4010;width:530;height:320" type="#_x0000_t75" stroked="false">
              <v:imagedata r:id="rId332" o:title=""/>
            </v:shape>
            <v:shape style="position:absolute;left:10608;top:3928;width:1083;height:1243" type="#_x0000_t75" stroked="false">
              <v:imagedata r:id="rId333" o:title=""/>
            </v:shape>
            <v:shape style="position:absolute;left:10276;top:2437;width:854;height:825" type="#_x0000_t75" stroked="false">
              <v:imagedata r:id="rId334" o:title=""/>
            </v:shape>
            <v:shape style="position:absolute;left:11007;top:1114;width:1497;height:930" type="#_x0000_t75" stroked="false">
              <v:imagedata r:id="rId335" o:title=""/>
            </v:shape>
            <w10:wrap type="none"/>
          </v:group>
        </w:pict>
      </w:r>
      <w:r>
        <w:rPr/>
        <w:t>The online professional development modules</w:t>
      </w:r>
      <w:r>
        <w:rPr>
          <w:spacing w:val="-19"/>
        </w:rPr>
        <w:t> </w:t>
      </w:r>
      <w:r>
        <w:rPr/>
        <w:t>are</w:t>
      </w:r>
      <w:r>
        <w:rPr>
          <w:spacing w:val="-18"/>
        </w:rPr>
        <w:t> </w:t>
      </w:r>
      <w:r>
        <w:rPr/>
        <w:t>a</w:t>
      </w:r>
      <w:r>
        <w:rPr>
          <w:spacing w:val="-18"/>
        </w:rPr>
        <w:t> </w:t>
      </w:r>
      <w:r>
        <w:rPr/>
        <w:t>demonstrated</w:t>
      </w:r>
      <w:r>
        <w:rPr>
          <w:spacing w:val="-18"/>
        </w:rPr>
        <w:t> </w:t>
      </w:r>
      <w:r>
        <w:rPr>
          <w:spacing w:val="-3"/>
        </w:rPr>
        <w:t>cost-efficient </w:t>
      </w:r>
      <w:r>
        <w:rPr/>
        <w:t>way</w:t>
      </w:r>
      <w:r>
        <w:rPr>
          <w:spacing w:val="-23"/>
        </w:rPr>
        <w:t> </w:t>
      </w:r>
      <w:r>
        <w:rPr/>
        <w:t>to</w:t>
      </w:r>
      <w:r>
        <w:rPr>
          <w:spacing w:val="-22"/>
        </w:rPr>
        <w:t> </w:t>
      </w:r>
      <w:r>
        <w:rPr/>
        <w:t>improve</w:t>
      </w:r>
      <w:r>
        <w:rPr>
          <w:spacing w:val="-22"/>
        </w:rPr>
        <w:t> </w:t>
      </w:r>
      <w:r>
        <w:rPr/>
        <w:t>information</w:t>
      </w:r>
      <w:r>
        <w:rPr>
          <w:spacing w:val="-22"/>
        </w:rPr>
        <w:t> </w:t>
      </w:r>
      <w:r>
        <w:rPr/>
        <w:t>accessibility</w:t>
      </w:r>
      <w:r>
        <w:rPr>
          <w:spacing w:val="-23"/>
        </w:rPr>
        <w:t> </w:t>
      </w:r>
      <w:r>
        <w:rPr>
          <w:spacing w:val="-7"/>
        </w:rPr>
        <w:t>to </w:t>
      </w:r>
      <w:r>
        <w:rPr/>
        <w:t>staff, while complementing</w:t>
      </w:r>
      <w:r>
        <w:rPr>
          <w:spacing w:val="-23"/>
        </w:rPr>
        <w:t> </w:t>
      </w:r>
      <w:r>
        <w:rPr/>
        <w:t>existing</w:t>
      </w:r>
    </w:p>
    <w:p>
      <w:pPr>
        <w:pStyle w:val="BodyText"/>
        <w:spacing w:before="3"/>
        <w:ind w:left="473"/>
      </w:pPr>
      <w:r>
        <w:rPr/>
        <w:t>face-to-face training programs.</w:t>
      </w:r>
    </w:p>
    <w:p>
      <w:pPr>
        <w:pStyle w:val="BodyText"/>
        <w:rPr>
          <w:sz w:val="20"/>
        </w:rPr>
      </w:pPr>
    </w:p>
    <w:p>
      <w:pPr>
        <w:pStyle w:val="BodyText"/>
        <w:spacing w:before="3"/>
        <w:rPr>
          <w:sz w:val="15"/>
        </w:rPr>
      </w:pPr>
      <w:r>
        <w:rPr/>
        <w:pict>
          <v:group style="position:absolute;margin-left:301.856415pt;margin-top:10.760261pt;width:144.65pt;height:175.1pt;mso-position-horizontal-relative:page;mso-position-vertical-relative:paragraph;z-index:35984;mso-wrap-distance-left:0;mso-wrap-distance-right:0" coordorigin="6037,215" coordsize="2893,3502">
            <v:shape style="position:absolute;left:7452;top:835;width:40;height:38" coordorigin="7453,835" coordsize="40,38" path="m7492,835l7487,838,7453,873,7492,850,7492,835xe" filled="true" fillcolor="#cdcccd" stroked="false">
              <v:path arrowok="t"/>
              <v:fill opacity="32768f" type="solid"/>
            </v:shape>
            <v:shape style="position:absolute;left:7265;top:914;width:227;height:145" coordorigin="7266,914" coordsize="227,145" path="m7492,914l7300,1025,7266,1059,7492,929,7492,914xe" filled="true" fillcolor="#cdcccd" stroked="false">
              <v:path arrowok="t"/>
              <v:fill opacity="32768f" type="solid"/>
            </v:shape>
            <v:shape style="position:absolute;left:7079;top:993;width:413;height:253" coordorigin="7079,993" coordsize="413,253" path="m7492,993l7113,1212,7079,1246,7492,1008,7492,993xe" filled="true" fillcolor="#cdcccd" stroked="false">
              <v:path arrowok="t"/>
              <v:fill opacity="32768f" type="solid"/>
            </v:shape>
            <v:shape style="position:absolute;left:6892;top:1072;width:600;height:361" coordorigin="6892,1072" coordsize="600,361" path="m7492,1072l6926,1399,6892,1433,7492,1087,7492,1072xe" filled="true" fillcolor="#cdcccd" stroked="false">
              <v:path arrowok="t"/>
              <v:fill opacity="32768f" type="solid"/>
            </v:shape>
            <v:shape style="position:absolute;left:6705;top:1151;width:787;height:469" coordorigin="6706,1151" coordsize="787,469" path="m7492,1151l6740,1585,6706,1620,7492,1166,7492,1151xe" filled="true" fillcolor="#cdcccd" stroked="false">
              <v:path arrowok="t"/>
              <v:fill opacity="32768f" type="solid"/>
            </v:shape>
            <v:shape style="position:absolute;left:6518;top:1230;width:974;height:577" coordorigin="6519,1230" coordsize="974,577" path="m7492,1230l6553,1772,6519,1806,7492,1245,7492,1230xe" filled="true" fillcolor="#cdcccd" stroked="false">
              <v:path arrowok="t"/>
              <v:fill opacity="32768f" type="solid"/>
            </v:shape>
            <v:shape style="position:absolute;left:6332;top:1309;width:1160;height:685" coordorigin="6332,1309" coordsize="1160,685" path="m7492,1309l6366,1959,6332,1993,7492,1323,7492,1309xe" filled="true" fillcolor="#cdcccd" stroked="false">
              <v:path arrowok="t"/>
              <v:fill opacity="32768f" type="solid"/>
            </v:shape>
            <v:shape style="position:absolute;left:6145;top:1387;width:1347;height:792" coordorigin="6145,1388" coordsize="1347,792" path="m7492,1388l6179,2146,6145,2180,7492,1402,7492,1388xe" filled="true" fillcolor="#cdcccd" stroked="false">
              <v:path arrowok="t"/>
              <v:fill opacity="32768f" type="solid"/>
            </v:shape>
            <v:shape style="position:absolute;left:6037;top:1466;width:1455;height:850" coordorigin="6037,1467" coordsize="1455,850" path="m7492,1467l6037,2307,6046,2316,7492,1481,7492,1467xe" filled="true" fillcolor="#cdcccd" stroked="false">
              <v:path arrowok="t"/>
              <v:fill opacity="32768f" type="solid"/>
            </v:shape>
            <v:shape style="position:absolute;left:6087;top:1545;width:1405;height:821" coordorigin="6087,1546" coordsize="1405,821" path="m7492,1546l6087,2357,6096,2366,7492,1560,7492,1546xe" filled="true" fillcolor="#cdcccd" stroked="false">
              <v:path arrowok="t"/>
              <v:fill opacity="32768f" type="solid"/>
            </v:shape>
            <v:shape style="position:absolute;left:6137;top:1624;width:1355;height:792" coordorigin="6137,1625" coordsize="1355,792" path="m7492,1625l6137,2407,6146,2416,7492,1639,7492,1625xe" filled="true" fillcolor="#cdcccd" stroked="false">
              <v:path arrowok="t"/>
              <v:fill opacity="32768f" type="solid"/>
            </v:shape>
            <v:shape style="position:absolute;left:6187;top:1703;width:1305;height:763" coordorigin="6187,1704" coordsize="1305,763" path="m7492,1704l6187,2457,6196,2466,7492,1718,7492,1704xe" filled="true" fillcolor="#cdcccd" stroked="false">
              <v:path arrowok="t"/>
              <v:fill opacity="32768f" type="solid"/>
            </v:shape>
            <v:shape style="position:absolute;left:6237;top:1782;width:1255;height:734" coordorigin="6237,1783" coordsize="1255,734" path="m7492,1783l6237,2507,6246,2516,7492,1797,7492,1783xe" filled="true" fillcolor="#cdcccd" stroked="false">
              <v:path arrowok="t"/>
              <v:fill opacity="32768f" type="solid"/>
            </v:shape>
            <v:shape style="position:absolute;left:6287;top:1861;width:1205;height:705" coordorigin="6287,1862" coordsize="1205,705" path="m7492,1862l6287,2557,6296,2566,7492,1876,7492,1862xe" filled="true" fillcolor="#cdcccd" stroked="false">
              <v:path arrowok="t"/>
              <v:fill opacity="32768f" type="solid"/>
            </v:shape>
            <v:shape style="position:absolute;left:6337;top:1940;width:1155;height:676" coordorigin="6337,1940" coordsize="1155,676" path="m7492,1940l6337,2607,6347,2616,7492,1955,7492,1940xe" filled="true" fillcolor="#cdcccd" stroked="false">
              <v:path arrowok="t"/>
              <v:fill opacity="32768f" type="solid"/>
            </v:shape>
            <v:shape style="position:absolute;left:6387;top:2019;width:1105;height:647" coordorigin="6387,2019" coordsize="1105,647" path="m7492,2019l6387,2657,6397,2666,7492,2034,7492,2019xe" filled="true" fillcolor="#cdcccd" stroked="false">
              <v:path arrowok="t"/>
              <v:fill opacity="32768f" type="solid"/>
            </v:shape>
            <v:shape style="position:absolute;left:6437;top:2098;width:1055;height:618" coordorigin="6437,2098" coordsize="1055,618" path="m7492,2098l6437,2707,6447,2716,7492,2113,7492,2098xe" filled="true" fillcolor="#cdcccd" stroked="false">
              <v:path arrowok="t"/>
              <v:fill opacity="32768f" type="solid"/>
            </v:shape>
            <v:shape style="position:absolute;left:6487;top:2177;width:1005;height:590" coordorigin="6487,2177" coordsize="1005,590" path="m7492,2177l6487,2757,6497,2766,7492,2192,7492,2177xe" filled="true" fillcolor="#cdcccd" stroked="false">
              <v:path arrowok="t"/>
              <v:fill opacity="32768f" type="solid"/>
            </v:shape>
            <v:shape style="position:absolute;left:6537;top:2256;width:955;height:561" coordorigin="6538,2256" coordsize="955,561" path="m7492,2256l6538,2807,6547,2816,7492,2271,7492,2256xe" filled="true" fillcolor="#cdcccd" stroked="false">
              <v:path arrowok="t"/>
              <v:fill opacity="32768f" type="solid"/>
            </v:shape>
            <v:shape style="position:absolute;left:6587;top:2335;width:905;height:532" coordorigin="6588,2335" coordsize="905,532" path="m7492,2335l6588,2857,6597,2866,7492,2350,7492,2335xe" filled="true" fillcolor="#cdcccd" stroked="false">
              <v:path arrowok="t"/>
              <v:fill opacity="32768f" type="solid"/>
            </v:shape>
            <v:shape style="position:absolute;left:6637;top:2414;width:855;height:503" coordorigin="6638,2414" coordsize="855,503" path="m7492,2414l6638,2907,6647,2916,7492,2428,7492,2414xe" filled="true" fillcolor="#cdcccd" stroked="false">
              <v:path arrowok="t"/>
              <v:fill opacity="32768f" type="solid"/>
            </v:shape>
            <v:shape style="position:absolute;left:6687;top:2492;width:805;height:474" coordorigin="6688,2493" coordsize="805,474" path="m7492,2493l6688,2957,6697,2966,7492,2507,7492,2493xe" filled="true" fillcolor="#cdcccd" stroked="false">
              <v:path arrowok="t"/>
              <v:fill opacity="32768f" type="solid"/>
            </v:shape>
            <v:shape style="position:absolute;left:6737;top:2571;width:755;height:445" coordorigin="6738,2572" coordsize="755,445" path="m7492,2572l6738,3007,6747,3017,7492,2586,7492,2572xe" filled="true" fillcolor="#cdcccd" stroked="false">
              <v:path arrowok="t"/>
              <v:fill opacity="32768f" type="solid"/>
            </v:shape>
            <v:shape style="position:absolute;left:6787;top:2650;width:705;height:416" coordorigin="6788,2651" coordsize="705,416" path="m7492,2651l6788,3057,6797,3067,7492,2665,7492,2651xe" filled="true" fillcolor="#cdcccd" stroked="false">
              <v:path arrowok="t"/>
              <v:fill opacity="32768f" type="solid"/>
            </v:shape>
            <v:shape style="position:absolute;left:6837;top:2729;width:655;height:387" coordorigin="6838,2730" coordsize="655,387" path="m7492,2730l6838,3107,6847,3117,7492,2744,7492,2730xe" filled="true" fillcolor="#cdcccd" stroked="false">
              <v:path arrowok="t"/>
              <v:fill opacity="32768f" type="solid"/>
            </v:shape>
            <v:shape style="position:absolute;left:6887;top:2808;width:605;height:358" coordorigin="6888,2809" coordsize="605,358" path="m7492,2809l6888,3157,6897,3167,7492,2823,7492,2809xe" filled="true" fillcolor="#cdcccd" stroked="false">
              <v:path arrowok="t"/>
              <v:fill opacity="32768f" type="solid"/>
            </v:shape>
            <v:shape style="position:absolute;left:6937;top:2887;width:555;height:330" coordorigin="6938,2888" coordsize="555,330" path="m7492,2888l6938,3208,6947,3217,7492,2902,7492,2888xe" filled="true" fillcolor="#cdcccd" stroked="false">
              <v:path arrowok="t"/>
              <v:fill opacity="32768f" type="solid"/>
            </v:shape>
            <v:shape style="position:absolute;left:6987;top:2966;width:505;height:301" coordorigin="6988,2967" coordsize="505,301" path="m7492,2967l6988,3258,6997,3267,7492,2981,7492,2967xe" filled="true" fillcolor="#cdcccd" stroked="false">
              <v:path arrowok="t"/>
              <v:fill opacity="32768f" type="solid"/>
            </v:shape>
            <v:shape style="position:absolute;left:7037;top:3045;width:455;height:272" coordorigin="7038,3045" coordsize="455,272" path="m7492,3045l7038,3308,7047,3317,7492,3060,7492,3045xe" filled="true" fillcolor="#cdcccd" stroked="false">
              <v:path arrowok="t"/>
              <v:fill opacity="32768f" type="solid"/>
            </v:shape>
            <v:shape style="position:absolute;left:7087;top:3124;width:405;height:243" coordorigin="7088,3124" coordsize="405,243" path="m7492,3124l7088,3358,7097,3367,7492,3139,7492,3124xe" filled="true" fillcolor="#cdcccd" stroked="false">
              <v:path arrowok="t"/>
              <v:fill opacity="32768f" type="solid"/>
            </v:shape>
            <v:shape style="position:absolute;left:7138;top:3203;width:354;height:514" type="#_x0000_t75" stroked="false">
              <v:imagedata r:id="rId336" o:title=""/>
            </v:shape>
            <v:shape style="position:absolute;left:7492;top:853;width:24;height:18" coordorigin="7492,853" coordsize="24,18" path="m7512,853l7492,865,7492,871,7516,857,7512,853xe" filled="true" fillcolor="#cdcccd" stroked="false">
              <v:path arrowok="t"/>
              <v:fill opacity="32768f" type="solid"/>
            </v:shape>
            <v:shape style="position:absolute;left:7492;top:903;width:375;height:520" type="#_x0000_t75" stroked="false">
              <v:imagedata r:id="rId337" o:title=""/>
            </v:shape>
            <v:shape style="position:absolute;left:7492;top:1253;width:425;height:249" coordorigin="7492,1254" coordsize="425,249" path="m7913,1254l7492,1496,7492,1502,7916,1257,7913,1254xe" filled="true" fillcolor="#cdcccd" stroked="false">
              <v:path arrowok="t"/>
              <v:fill opacity="32768f" type="solid"/>
            </v:shape>
            <v:shape style="position:absolute;left:7492;top:1303;width:475;height:278" coordorigin="7492,1304" coordsize="475,278" path="m7963,1304l7492,1575,7492,1581,7966,1307,7963,1304xe" filled="true" fillcolor="#cdcccd" stroked="false">
              <v:path arrowok="t"/>
              <v:fill opacity="32768f" type="solid"/>
            </v:shape>
            <v:shape style="position:absolute;left:7492;top:1353;width:525;height:307" coordorigin="7492,1354" coordsize="525,307" path="m8013,1354l7492,1654,7492,1660,8016,1357,8013,1354xe" filled="true" fillcolor="#cdcccd" stroked="false">
              <v:path arrowok="t"/>
              <v:fill opacity="32768f" type="solid"/>
            </v:shape>
            <v:shape style="position:absolute;left:7492;top:1403;width:575;height:336" coordorigin="7492,1404" coordsize="575,336" path="m8063,1404l7492,1733,7492,1739,8066,1407,8063,1404xe" filled="true" fillcolor="#cdcccd" stroked="false">
              <v:path arrowok="t"/>
              <v:fill opacity="32768f" type="solid"/>
            </v:shape>
            <v:shape style="position:absolute;left:7492;top:1453;width:625;height:365" coordorigin="7492,1454" coordsize="625,365" path="m8113,1454l7492,1812,7492,1818,8116,1457,8113,1454xe" filled="true" fillcolor="#cdcccd" stroked="false">
              <v:path arrowok="t"/>
              <v:fill opacity="32768f" type="solid"/>
            </v:shape>
            <v:shape style="position:absolute;left:7492;top:1503;width:675;height:393" coordorigin="7492,1504" coordsize="675,393" path="m8163,1504l7492,1891,7492,1897,8166,1507,8163,1504xe" filled="true" fillcolor="#cdcccd" stroked="false">
              <v:path arrowok="t"/>
              <v:fill opacity="32768f" type="solid"/>
            </v:shape>
            <v:shape style="position:absolute;left:7492;top:1553;width:725;height:422" coordorigin="7492,1554" coordsize="725,422" path="m8213,1554l7492,1970,7492,1976,8216,1558,8213,1554xe" filled="true" fillcolor="#cdcccd" stroked="false">
              <v:path arrowok="t"/>
              <v:fill opacity="32768f" type="solid"/>
            </v:shape>
            <v:shape style="position:absolute;left:7492;top:1603;width:775;height:451" coordorigin="7492,1604" coordsize="775,451" path="m8263,1604l7492,2049,7492,2055,8266,1608,8263,1604xe" filled="true" fillcolor="#cdcccd" stroked="false">
              <v:path arrowok="t"/>
              <v:fill opacity="32768f" type="solid"/>
            </v:shape>
            <v:shape style="position:absolute;left:7492;top:1653;width:825;height:480" coordorigin="7492,1654" coordsize="825,480" path="m8313,1654l7492,2128,7492,2134,8317,1658,8313,1654xe" filled="true" fillcolor="#cdcccd" stroked="false">
              <v:path arrowok="t"/>
              <v:fill opacity="32768f" type="solid"/>
            </v:shape>
            <v:shape style="position:absolute;left:7492;top:1704;width:875;height:509" coordorigin="7492,1704" coordsize="875,509" path="m8363,1704l7492,2207,7492,2213,8367,1708,8363,1704xe" filled="true" fillcolor="#cdcccd" stroked="false">
              <v:path arrowok="t"/>
              <v:fill opacity="32768f" type="solid"/>
            </v:shape>
            <v:shape style="position:absolute;left:7492;top:1754;width:925;height:538" coordorigin="7492,1754" coordsize="925,538" path="m8413,1754l7492,2286,7492,2291,8417,1758,8413,1754xe" filled="true" fillcolor="#cdcccd" stroked="false">
              <v:path arrowok="t"/>
              <v:fill opacity="32768f" type="solid"/>
            </v:shape>
            <v:shape style="position:absolute;left:7492;top:1804;width:975;height:567" coordorigin="7492,1804" coordsize="975,567" path="m8463,1804l7492,2365,7492,2370,8467,1808,8463,1804xe" filled="true" fillcolor="#cdcccd" stroked="false">
              <v:path arrowok="t"/>
              <v:fill opacity="32768f" type="solid"/>
            </v:shape>
            <v:shape style="position:absolute;left:7492;top:1854;width:1025;height:596" coordorigin="7492,1854" coordsize="1025,596" path="m8513,1854l7492,2444,7492,2449,8517,1858,8513,1854xe" filled="true" fillcolor="#cdcccd" stroked="false">
              <v:path arrowok="t"/>
              <v:fill opacity="32768f" type="solid"/>
            </v:shape>
            <v:shape style="position:absolute;left:7492;top:1904;width:1075;height:625" coordorigin="7492,1904" coordsize="1075,625" path="m8563,1904l7492,2522,7492,2528,8567,1908,8563,1904xe" filled="true" fillcolor="#cdcccd" stroked="false">
              <v:path arrowok="t"/>
              <v:fill opacity="32768f" type="solid"/>
            </v:shape>
            <v:shape style="position:absolute;left:7492;top:1954;width:1125;height:653" coordorigin="7492,1954" coordsize="1125,653" path="m8613,1954l7492,2601,7492,2607,8617,1958,8613,1954xe" filled="true" fillcolor="#cdcccd" stroked="false">
              <v:path arrowok="t"/>
              <v:fill opacity="32768f" type="solid"/>
            </v:shape>
            <v:shape style="position:absolute;left:7492;top:2004;width:1175;height:682" coordorigin="7492,2004" coordsize="1175,682" path="m8663,2004l7492,2680,7492,2686,8667,2008,8663,2004xe" filled="true" fillcolor="#cdcccd" stroked="false">
              <v:path arrowok="t"/>
              <v:fill opacity="32768f" type="solid"/>
            </v:shape>
            <v:shape style="position:absolute;left:7492;top:2054;width:1225;height:711" coordorigin="7492,2054" coordsize="1225,711" path="m8713,2054l7492,2759,7492,2765,8717,2058,8713,2054xe" filled="true" fillcolor="#cdcccd" stroked="false">
              <v:path arrowok="t"/>
              <v:fill opacity="32768f" type="solid"/>
            </v:shape>
            <v:shape style="position:absolute;left:7492;top:2104;width:1275;height:740" coordorigin="7492,2104" coordsize="1275,740" path="m8763,2104l7492,2838,7492,2844,8767,2108,8763,2104xe" filled="true" fillcolor="#cdcccd" stroked="false">
              <v:path arrowok="t"/>
              <v:fill opacity="32768f" type="solid"/>
            </v:shape>
            <v:shape style="position:absolute;left:7492;top:2154;width:1325;height:769" coordorigin="7492,2154" coordsize="1325,769" path="m8813,2154l7492,2917,7492,2923,8817,2158,8813,2154xe" filled="true" fillcolor="#cdcccd" stroked="false">
              <v:path arrowok="t"/>
              <v:fill opacity="32768f" type="solid"/>
            </v:shape>
            <v:shape style="position:absolute;left:7492;top:2204;width:1375;height:798" coordorigin="7492,2204" coordsize="1375,798" path="m8863,2204l7492,2996,7492,3002,8867,2208,8863,2204xe" filled="true" fillcolor="#cdcccd" stroked="false">
              <v:path arrowok="t"/>
              <v:fill opacity="32768f" type="solid"/>
            </v:shape>
            <v:shape style="position:absolute;left:7492;top:2254;width:1425;height:827" coordorigin="7492,2254" coordsize="1425,827" path="m8913,2254l7492,3075,7492,3081,8917,2258,8913,2254xe" filled="true" fillcolor="#cdcccd" stroked="false">
              <v:path arrowok="t"/>
              <v:fill opacity="32768f" type="solid"/>
            </v:shape>
            <v:shape style="position:absolute;left:7492;top:2323;width:1438;height:836" coordorigin="7492,2324" coordsize="1438,836" path="m8930,2324l7492,3154,7492,3160,8916,2337,8930,2324xe" filled="true" fillcolor="#cdcccd" stroked="false">
              <v:path arrowok="t"/>
              <v:fill opacity="32768f" type="solid"/>
            </v:shape>
            <v:shape style="position:absolute;left:7492;top:2510;width:1252;height:729" coordorigin="7492,2510" coordsize="1252,729" path="m8743,2510l7492,3233,7492,3239,8730,2524,8743,2510xe" filled="true" fillcolor="#cdcccd" stroked="false">
              <v:path arrowok="t"/>
              <v:fill opacity="32768f" type="solid"/>
            </v:shape>
            <v:shape style="position:absolute;left:7492;top:2697;width:1065;height:621" coordorigin="7492,2697" coordsize="1065,621" path="m8557,2697l7492,3312,7492,3318,8543,2711,8557,2697xe" filled="true" fillcolor="#cdcccd" stroked="false">
              <v:path arrowok="t"/>
              <v:fill opacity="32768f" type="solid"/>
            </v:shape>
            <v:shape style="position:absolute;left:7492;top:2884;width:878;height:513" coordorigin="7492,2884" coordsize="878,513" path="m8370,2884l7492,3391,7492,3397,8356,2898,8370,2884xe" filled="true" fillcolor="#cdcccd" stroked="false">
              <v:path arrowok="t"/>
              <v:fill opacity="32768f" type="solid"/>
            </v:shape>
            <v:shape style="position:absolute;left:7492;top:3070;width:692;height:405" coordorigin="7492,3071" coordsize="692,405" path="m8183,3071l7492,3470,7492,3475,8169,3084,8183,3071xe" filled="true" fillcolor="#cdcccd" stroked="false">
              <v:path arrowok="t"/>
              <v:fill opacity="32768f" type="solid"/>
            </v:shape>
            <v:shape style="position:absolute;left:7492;top:3257;width:505;height:297" coordorigin="7492,3257" coordsize="505,297" path="m7996,3257l7492,3549,7492,3554,7983,3271,7996,3257xe" filled="true" fillcolor="#cdcccd" stroked="false">
              <v:path arrowok="t"/>
              <v:fill opacity="32768f" type="solid"/>
            </v:shape>
            <v:shape style="position:absolute;left:7492;top:3444;width:318;height:269" type="#_x0000_t75" stroked="false">
              <v:imagedata r:id="rId338" o:title=""/>
            </v:shape>
            <v:shape style="position:absolute;left:6436;top:215;width:904;height:904" coordorigin="6437,215" coordsize="904,904" path="m6888,215l6437,667,6888,1118,7340,667,6888,215xe" filled="true" fillcolor="#bbbcbb" stroked="false">
              <v:path arrowok="t"/>
              <v:fill opacity="16384f" type="solid"/>
            </v:shape>
            <w10:wrap type="topAndBottom"/>
          </v:group>
        </w:pict>
      </w:r>
    </w:p>
    <w:p>
      <w:pPr>
        <w:pStyle w:val="BodyText"/>
        <w:spacing w:before="1"/>
        <w:rPr>
          <w:sz w:val="23"/>
        </w:rPr>
      </w:pPr>
      <w:r>
        <w:rPr/>
        <w:br w:type="column"/>
      </w:r>
      <w:r>
        <w:rPr>
          <w:sz w:val="23"/>
        </w:rPr>
      </w:r>
    </w:p>
    <w:p>
      <w:pPr>
        <w:spacing w:line="208" w:lineRule="auto" w:before="0"/>
        <w:ind w:left="765" w:right="672" w:firstLine="0"/>
        <w:jc w:val="center"/>
        <w:rPr>
          <w:sz w:val="16"/>
        </w:rPr>
      </w:pPr>
      <w:r>
        <w:rPr/>
        <w:pict>
          <v:shape style="position:absolute;margin-left:601.348999pt;margin-top:-68.580612pt;width:120.3pt;height:42.55pt;mso-position-horizontal-relative:page;mso-position-vertical-relative:paragraph;z-index:38128" type="#_x0000_t202" filled="false" stroked="false">
            <v:textbox inset="0,0,0,0">
              <w:txbxContent>
                <w:p>
                  <w:pPr>
                    <w:pStyle w:val="BodyText"/>
                    <w:spacing w:before="9"/>
                    <w:rPr>
                      <w:sz w:val="26"/>
                    </w:rPr>
                  </w:pPr>
                </w:p>
                <w:p>
                  <w:pPr>
                    <w:spacing w:before="0"/>
                    <w:ind w:left="530" w:right="0" w:firstLine="0"/>
                    <w:jc w:val="left"/>
                    <w:rPr>
                      <w:sz w:val="20"/>
                    </w:rPr>
                  </w:pPr>
                  <w:hyperlink w:history="true" w:anchor="_bookmark68">
                    <w:r>
                      <w:rPr>
                        <w:color w:val="6F2770"/>
                        <w:sz w:val="20"/>
                      </w:rPr>
                      <w:t>DISCLOSURES</w:t>
                    </w:r>
                  </w:hyperlink>
                </w:p>
              </w:txbxContent>
            </v:textbox>
            <w10:wrap type="none"/>
          </v:shape>
        </w:pict>
      </w:r>
      <w:r>
        <w:rPr/>
        <w:pict>
          <v:shape style="position:absolute;margin-left:481.079498pt;margin-top:-68.580612pt;width:120.3pt;height:42.55pt;mso-position-horizontal-relative:page;mso-position-vertical-relative:paragraph;z-index:38152"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w:pict>
      </w:r>
      <w:r>
        <w:rPr/>
        <w:pict>
          <v:shape style="position:absolute;margin-left:360.796509pt;margin-top:-68.580612pt;width:120.3pt;height:42.55pt;mso-position-horizontal-relative:page;mso-position-vertical-relative:paragraph;z-index:38176"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pict>
          <v:shape style="position:absolute;margin-left:120.269997pt;margin-top:-68.580612pt;width:119.9pt;height:42.55pt;mso-position-horizontal-relative:page;mso-position-vertical-relative:paragraph;z-index:38200" type="#_x0000_t202" filled="true" fillcolor="#b6c247" stroked="false">
            <v:textbox inset="0,0,0,0">
              <w:txbxContent>
                <w:p>
                  <w:pPr>
                    <w:pStyle w:val="BodyText"/>
                    <w:spacing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w:pict>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3" w:equalWidth="0">
            <w:col w:w="5497" w:space="40"/>
            <w:col w:w="4849" w:space="4434"/>
            <w:col w:w="2020"/>
          </w:cols>
        </w:sectPr>
      </w:pPr>
    </w:p>
    <w:p>
      <w:pPr>
        <w:pStyle w:val="BodyText"/>
        <w:rPr>
          <w:sz w:val="20"/>
        </w:rPr>
      </w:pPr>
      <w:r>
        <w:rPr/>
        <w:pict>
          <v:group style="position:absolute;margin-left:481.080994pt;margin-top:.000001pt;width:360.85pt;height:108.95pt;mso-position-horizontal-relative:page;mso-position-vertical-relative:page;z-index:-775576" coordorigin="9622,0" coordsize="7217,2179">
            <v:shape style="position:absolute;left:14419;top:0;width:1455;height:1745" coordorigin="14419,0" coordsize="1455,1745" path="m15219,0l15194,0,14935,149,14901,184,15219,0m15356,0l15331,0,14748,336,14714,370,15356,0m15492,0l15467,0,14562,523,14527,557,15492,0m15629,0l15604,0,14419,684,14428,693,15629,0m15766,0l15741,0,14469,734,14478,743,15766,0m15874,1502l15470,1735,15479,1744,15874,1516,15874,1502m15874,1423l15420,1685,15429,1694,15874,1437,15874,1423m15874,1344l15370,1635,15379,1644,15874,1358,15874,1344m15874,1265l15320,1585,15329,1594,15874,1279,15874,1265m15874,1186l15270,1535,15279,1544,15874,1200,15874,1186m15874,1107l15220,1485,15229,1494,15874,1121,15874,1107m15874,1028l15170,1435,15179,1444,15874,1042,15874,1028m15874,949l15120,1385,15129,1394,15874,964,15874,949m15874,870l15070,1335,15079,1344,15874,885,15874,870m15874,791l15020,1285,15029,1294,15874,806,15874,791m15874,633l14920,1184,14929,1194,15874,648,15874,633m15874,554l14870,1134,14879,1144,15874,569,15874,554m15874,476l14819,1084,14829,1094,15874,490,15874,476m15874,397l14769,1034,14779,1043,15874,411,15874,397m15874,318l14719,984,14729,993,15874,332,15874,318m15874,239l14669,934,14679,943,15874,253,15874,239m15874,160l14619,884,14628,893,15874,174,15874,160m15874,2l14519,784,14528,793,15874,16,15874,2m15874,712l14970,1235,14979,1244,15874,727,15874,712m15874,81l14569,834,14578,843,15874,95,15874,81e" filled="true" fillcolor="#cdcccd" stroked="false">
              <v:path arrowok="t"/>
              <v:fill type="solid"/>
            </v:shape>
            <v:shape style="position:absolute;left:15520;top:1580;width:354;height:514" type="#_x0000_t75" stroked="false">
              <v:imagedata r:id="rId283" o:title=""/>
            </v:shape>
            <v:shape style="position:absolute;left:15874;top:0;width:338;height:196" type="#_x0000_t75" stroked="false">
              <v:imagedata r:id="rId20" o:title=""/>
            </v:shape>
            <v:shape style="position:absolute;left:15874;top:0;width:964;height:1932" coordorigin="15874,0" coordsize="964,1932" path="m16349,0l16339,0,15874,268,15874,274,16349,0m16378,1635l15874,1926,15874,1932,16365,1648,16378,1635m16486,0l16476,0,15874,347,15874,353,16486,0m16565,1448l15874,1847,15874,1853,16551,1462,16565,1448m16622,0l16612,0,15874,426,15874,432,16622,0m16699,35l16695,31,15874,505,15874,511,16699,35m16749,85l16745,81,15874,584,15874,590,16749,85m16752,1261l15874,1768,15874,1774,16738,1275,16752,1261m16799,135l16795,131,15874,663,15874,669,16799,135m16838,1133l15874,1689,15874,1695,16838,1138,16838,1133m16838,1054l15874,1610,15874,1616,16838,1060,16838,1054m16838,975l15874,1531,15874,1537,16838,981,16838,975m16838,896l15874,1452,15874,1458,16838,902,16838,896m16838,817l15874,1373,15874,1379,16838,823,16838,817m16838,738l15874,1294,15874,1300,16838,744,16838,738m16838,659l15874,1215,15874,1221,16838,665,16838,659m16838,580l15874,1137,15874,1142,16838,586,16838,580m16838,501l15874,1058,15874,1063,16838,507,16838,501m16838,422l15874,979,15874,984,16838,428,16838,422m16838,343l15874,900,15874,906,16838,349,16838,343m16838,264l15874,821,15874,827,16838,270,16838,264m16838,186l15874,742,15874,748,16838,191,16838,186e" filled="true" fillcolor="#cdcccd" stroked="false">
              <v:path arrowok="t"/>
              <v:fill type="solid"/>
            </v:shape>
            <v:shape style="position:absolute;left:15874;top:1821;width:318;height:269" type="#_x0000_t75" stroked="false">
              <v:imagedata r:id="rId158" o:title=""/>
            </v:shape>
            <v:shape style="position:absolute;left:13676;top:372;width:904;height:904" coordorigin="13677,372" coordsize="904,904" path="m14128,372l13677,824,14128,1276,14580,824,14128,372xe" filled="true" fillcolor="#ffffff" stroked="false">
              <v:path arrowok="t"/>
              <v:fill type="solid"/>
            </v:shape>
            <v:shape style="position:absolute;left:13225;top:824;width:904;height:904" coordorigin="13225,824" coordsize="904,904" path="m13677,824l13225,1276,13677,1727,14128,1276,13677,824xe" filled="true" fillcolor="#e8e9c9" stroked="false">
              <v:path arrowok="t"/>
              <v:fill type="solid"/>
            </v:shape>
            <v:shape style="position:absolute;left:12773;top:1275;width:904;height:904" coordorigin="12774,1276" coordsize="904,904" path="m13225,1276l12774,1727,13225,2179,13677,1727,13225,1276xe" filled="true" fillcolor="#d5dac6" stroked="false">
              <v:path arrowok="t"/>
              <v:fill type="solid"/>
            </v:shape>
            <v:shape style="position:absolute;left:11870;top:372;width:2710;height:904" coordorigin="11870,372" coordsize="2710,904" path="m12774,824l12322,372,11870,824,12322,1276,12774,824m14580,824l14128,372,13677,824,14128,1276,14580,824e" filled="true" fillcolor="#efeeeb" stroked="false">
              <v:path arrowok="t"/>
              <v:fill type="solid"/>
            </v:shape>
            <v:shape style="position:absolute;left:12773;top:372;width:904;height:904" coordorigin="12774,372" coordsize="904,904" path="m13225,372l12774,824,13225,1276,13677,824,13225,372xe" filled="true" fillcolor="#c0aac2" stroked="false">
              <v:path arrowok="t"/>
              <v:fill type="solid"/>
            </v:shape>
            <v:shape style="position:absolute;left:15424;top:1075;width:900;height:904" coordorigin="15424,1076" coordsize="900,904" path="m15874,1076l15424,1526,15424,1529,15874,1979,16324,1529,16324,1526,15874,1076xe" filled="true" fillcolor="#c4cd71" stroked="false">
              <v:path arrowok="t"/>
              <v:fill type="solid"/>
            </v:shape>
            <v:rect style="position:absolute;left:9621;top:0;width:2406;height:851" filled="true" fillcolor="#bec85c" stroked="false">
              <v:fill type="solid"/>
            </v:rect>
            <v:rect style="position:absolute;left:12026;top:0;width:2406;height:851" filled="true" fillcolor="#e6e7e8" stroked="false">
              <v:fill type="solid"/>
            </v:rect>
            <v:shape style="position:absolute;left:12026;top:0;width:583;height:583" type="#_x0000_t75" stroked="false">
              <v:imagedata r:id="rId272" o:title=""/>
            </v:shape>
            <v:rect style="position:absolute;left:14432;top:0;width:2406;height:851" filled="true" fillcolor="#aebd37" stroked="false">
              <v:fill type="solid"/>
            </v:rect>
            <v:line style="position:absolute" from="16838,0" to="16838,850" stroked="true" strokeweight=".001pt" strokecolor="#aebd37">
              <v:stroke dashstyle="solid"/>
            </v:line>
            <v:shape style="position:absolute;left:15263;top:1366;width:161;height:322" type="#_x0000_t75" stroked="false">
              <v:imagedata r:id="rId16" o:title=""/>
            </v:shape>
            <v:shape style="position:absolute;left:16324;top:1366;width:161;height:322" type="#_x0000_t75" stroked="false">
              <v:imagedata r:id="rId11"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spacing w:line="249" w:lineRule="auto" w:before="104"/>
        <w:ind w:left="11194" w:right="1087" w:hanging="1494"/>
        <w:jc w:val="left"/>
        <w:rPr>
          <w:sz w:val="16"/>
        </w:rPr>
      </w:pPr>
      <w:r>
        <w:rPr/>
        <w:pict>
          <v:group style="position:absolute;margin-left:56.904987pt;margin-top:-58.685795pt;width:358.85pt;height:147.3pt;mso-position-horizontal-relative:page;mso-position-vertical-relative:paragraph;z-index:-775552" coordorigin="1138,-1174" coordsize="7177,2946">
            <v:shape style="position:absolute;left:3719;top:-1174;width:326;height:301" type="#_x0000_t75" stroked="false">
              <v:imagedata r:id="rId339" o:title=""/>
            </v:shape>
            <v:shape style="position:absolute;left:1138;top:-979;width:2908;height:2751" coordorigin="1138,-979" coordsize="2908,2751" path="m4045,1459l3502,1772,3527,1772,4045,1473,4045,1459m4045,971l2658,1772,2683,1772,4045,986,4045,971m4045,874l2489,1772,2514,1772,4045,888,4045,874m4045,776l2320,1772,2345,1772,4045,791,4045,776m4045,191l1307,1772,1332,1772,4045,206,4045,191m4045,94l1138,1772,1163,1772,4045,108,4045,94m4045,-199l1677,1168,1643,1203,4045,-184,4045,-199m4045,-296l1908,938,1874,972,4045,-282,4045,-296m4045,-686l2831,15,2796,49,4045,-672,4045,-686m4045,1361l3334,1772,3359,1772,4045,1376,4045,1361m4045,1264l3165,1772,3190,1772,4045,1278,4045,1264m4045,1166l2996,1772,3021,1772,4045,1181,4045,1166m4045,1069l2827,1772,2852,1772,4045,1083,4045,1069m4045,679l2151,1772,2176,1772,4045,693,4045,679m4045,581l1982,1772,2007,1772,4045,596,4045,581m4045,484l1814,1772,1839,1772,4045,498,4045,484m4045,386l1645,1772,1670,1772,4045,401,4045,386m4045,289l1476,1772,1501,1772,4045,303,4045,289m4045,-4l1216,1630,1182,1664,4045,11,4045,-4m4045,-101l1447,1399,1412,1433,4045,-87,4045,-101m4045,-394l2139,707,2104,741,4045,-379,4045,-394m4045,-491l2369,476,2335,510,4045,-477,4045,-491m4045,-589l2600,246,2566,280,4045,-574,4045,-589m4045,-784l3061,-216,3027,-182,4045,-769,4045,-784m4045,-881l3292,-446,3258,-412,4045,-867,4045,-881m4045,-979l3523,-677,3489,-643,4045,-964,4045,-979e" filled="true" fillcolor="#d8dad9" stroked="false">
              <v:path arrowok="t"/>
              <v:fill opacity="32768f" type="solid"/>
            </v:shape>
            <v:shape style="position:absolute;left:3671;top:1556;width:374;height:216" type="#_x0000_t75" stroked="false">
              <v:imagedata r:id="rId340" o:title=""/>
            </v:shape>
            <v:shape style="position:absolute;left:4045;top:-1161;width:43;height:29" coordorigin="4045,-1161" coordsize="43,29" path="m4084,-1161l4045,-1138,4045,-1133,4088,-1157,4084,-1161xe" filled="true" fillcolor="#d8dad9" stroked="false">
              <v:path arrowok="t"/>
              <v:fill opacity="32768f" type="solid"/>
            </v:shape>
            <v:shape style="position:absolute;left:4045;top:-1099;width:352;height:454" type="#_x0000_t75" stroked="false">
              <v:imagedata r:id="rId341" o:title=""/>
            </v:shape>
            <v:shape style="position:absolute;left:4045;top:-790;width:2701;height:2562" coordorigin="4045,-790" coordsize="2701,2562" path="m4459,-786l4455,-790,4045,-553,4045,-548,4459,-786m4520,-724l4517,-728,4045,-456,4045,-450,4520,-724m4582,-663l4579,-666,4045,-358,4045,-353,4582,-663m4644,-601l4640,-604,4045,-261,4045,-255,4644,-601m4706,-539l4702,-543,4045,-163,4045,-157,4706,-539m4768,-477l4764,-481,4045,-66,4045,-60,4768,-477m4829,-415l4826,-419,4045,32,4045,37,4829,-415m4891,-353l4888,-357,4045,129,4045,135,4891,-353m4953,-292l4949,-295,4045,227,4045,232,4953,-292m5015,-230l5011,-233,4045,324,4045,330,5015,-230m5077,-168l5073,-172,4045,422,4045,428,5077,-168m5139,-106l5135,-110,4045,519,4045,525,5139,-106m5200,-44l5197,-48,4045,617,4045,623,5200,-44m5262,17l5259,14,4045,714,4045,720,5262,17m5324,79l5320,76,4045,812,4045,818,5324,79m5386,141l5382,137,4045,909,4045,915,5386,141m5448,203l5444,199,4045,1007,4045,1013,5448,203m5509,265l5506,261,4045,1104,4045,1110,5509,265m5571,326l5568,323,4045,1202,4045,1208,5571,326m5633,388l5629,385,4045,1299,4045,1305,5633,388m5695,450l5691,446,4045,1397,4045,1403,5695,450m5757,512l5753,508,4045,1494,4045,1500,5757,512m5819,574l5815,570,4045,1592,4045,1598,5819,574m5880,636l5877,632,4045,1689,4045,1695,5880,636m5942,697l5938,694,4071,1772,4081,1772,5942,697m6004,759l6000,756,4239,1772,4249,1772,6004,759m6066,821l6062,817,4408,1772,4418,1772,6066,821m6128,883l6124,879,4577,1772,4587,1772,6128,883m6189,945l6186,941,4746,1772,4756,1772,6189,945m6251,1006l6248,1003,4915,1772,4925,1772,6251,1006m6313,1068l6309,1065,5084,1772,5094,1772,6313,1068m6375,1130l6371,1126,5253,1772,5263,1772,6375,1130m6437,1192l6433,1188,5422,1772,5432,1772,6437,1192m6498,1254l6495,1250,5591,1772,5601,1772,6498,1254m6560,1316l6557,1312,5759,1772,5769,1772,6560,1316m6622,1377l6618,1374,5928,1772,5938,1772,6622,1377m6684,1439l6680,1435,6097,1772,6107,1772,6684,1439m6746,1501l6742,1497,6266,1772,6276,1772,6746,1501e" filled="true" fillcolor="#d8dad9" stroked="false">
              <v:path arrowok="t"/>
              <v:fill opacity="32768f" type="solid"/>
            </v:shape>
            <v:shape style="position:absolute;left:6434;top:1559;width:559;height:214" type="#_x0000_t75" stroked="false">
              <v:imagedata r:id="rId342" o:title=""/>
            </v:shape>
            <v:shape style="position:absolute;left:5605;top:-65;width:1355;height:1837" coordorigin="5605,-65" coordsize="1355,1837" path="m6509,1290l6057,839,5605,1290,6057,1742,6509,1290m6509,387l6057,-65,5605,387,6057,839,6509,387m6960,1742l6509,1290,6057,1742,6087,1772,6930,1772,6960,1742e" filled="true" fillcolor="#ffffff" stroked="false">
              <v:path arrowok="t"/>
              <v:fill type="solid"/>
            </v:shape>
            <v:shape style="position:absolute;left:5605;top:-65;width:904;height:904" coordorigin="5605,-65" coordsize="904,904" path="m6057,-65l5605,387,6057,839,6509,387,6057,-65xe" filled="true" fillcolor="#c4cd71" stroked="false">
              <v:path arrowok="t"/>
              <v:fill opacity="32768f" type="solid"/>
            </v:shape>
            <v:shape style="position:absolute;left:6508;top:-65;width:904;height:904" coordorigin="6509,-65" coordsize="904,904" path="m6960,-65l6509,387,6960,839,7412,387,6960,-65xe" filled="true" fillcolor="#d8dad9" stroked="false">
              <v:path arrowok="t"/>
              <v:fill opacity="32768f" type="solid"/>
            </v:shape>
            <v:shape style="position:absolute;left:5605;top:838;width:904;height:904" coordorigin="5605,839" coordsize="904,904" path="m6057,839l5605,1290,6057,1742,6509,1290,6057,839xe" filled="true" fillcolor="#96ac7a" stroked="false">
              <v:path arrowok="t"/>
              <v:fill opacity="32768f" type="solid"/>
            </v:shape>
            <v:shape style="position:absolute;left:6508;top:-968;width:904;height:904" coordorigin="6509,-968" coordsize="904,904" path="m6960,-968l6509,-516,6960,-65,7412,-516,6960,-968xe" filled="true" fillcolor="#360f41" stroked="false">
              <v:path arrowok="t"/>
              <v:fill opacity="32768f" type="solid"/>
            </v:shape>
            <v:shape style="position:absolute;left:6056;top:1290;width:904;height:482" coordorigin="6057,1290" coordsize="904,482" path="m6509,1290l6057,1742,6087,1772,6930,1772,6960,1742,6509,1290xe" filled="true" fillcolor="#783a79" stroked="false">
              <v:path arrowok="t"/>
              <v:fill opacity="32768f" type="solid"/>
            </v:shape>
            <v:shape style="position:absolute;left:7411;top:-65;width:904;height:904" coordorigin="7412,-65" coordsize="904,904" path="m7863,-65l7412,387,7863,839,8315,387,7863,-65xe" filled="true" fillcolor="#c4cd71" stroked="false">
              <v:path arrowok="t"/>
              <v:fill opacity="32768f" type="solid"/>
            </v:shape>
            <v:shape style="position:absolute;left:2455;top:-968;width:904;height:904" coordorigin="2455,-968" coordsize="904,904" path="m2907,-968l2455,-516,2907,-65,3358,-516,2907,-968xe" filled="true" fillcolor="#783a79" stroked="false">
              <v:path arrowok="t"/>
              <v:fill opacity="16384f" type="solid"/>
            </v:shape>
            <w10:wrap type="none"/>
          </v:group>
        </w:pict>
      </w:r>
      <w:r>
        <w:rPr>
          <w:color w:val="939598"/>
          <w:sz w:val="16"/>
        </w:rPr>
        <w:t>The</w:t>
      </w:r>
      <w:r>
        <w:rPr>
          <w:color w:val="939598"/>
          <w:spacing w:val="-15"/>
          <w:sz w:val="16"/>
        </w:rPr>
        <w:t> </w:t>
      </w:r>
      <w:r>
        <w:rPr>
          <w:color w:val="939598"/>
          <w:sz w:val="16"/>
        </w:rPr>
        <w:t>Department’s</w:t>
      </w:r>
      <w:r>
        <w:rPr>
          <w:color w:val="939598"/>
          <w:spacing w:val="-14"/>
          <w:sz w:val="16"/>
        </w:rPr>
        <w:t> </w:t>
      </w:r>
      <w:r>
        <w:rPr>
          <w:color w:val="939598"/>
          <w:sz w:val="16"/>
        </w:rPr>
        <w:t>new</w:t>
      </w:r>
      <w:r>
        <w:rPr>
          <w:color w:val="939598"/>
          <w:spacing w:val="-15"/>
          <w:sz w:val="16"/>
        </w:rPr>
        <w:t> </w:t>
      </w:r>
      <w:r>
        <w:rPr>
          <w:color w:val="939598"/>
          <w:sz w:val="16"/>
        </w:rPr>
        <w:t>Capability</w:t>
      </w:r>
      <w:r>
        <w:rPr>
          <w:color w:val="939598"/>
          <w:spacing w:val="-15"/>
          <w:sz w:val="16"/>
        </w:rPr>
        <w:t> </w:t>
      </w:r>
      <w:r>
        <w:rPr>
          <w:color w:val="939598"/>
          <w:sz w:val="16"/>
        </w:rPr>
        <w:t>Framework</w:t>
      </w:r>
      <w:r>
        <w:rPr>
          <w:color w:val="939598"/>
          <w:spacing w:val="-14"/>
          <w:sz w:val="16"/>
        </w:rPr>
        <w:t> </w:t>
      </w:r>
      <w:r>
        <w:rPr>
          <w:color w:val="939598"/>
          <w:sz w:val="16"/>
        </w:rPr>
        <w:t>was</w:t>
      </w:r>
      <w:r>
        <w:rPr>
          <w:color w:val="939598"/>
          <w:spacing w:val="-15"/>
          <w:sz w:val="16"/>
        </w:rPr>
        <w:t> </w:t>
      </w:r>
      <w:r>
        <w:rPr>
          <w:color w:val="939598"/>
          <w:sz w:val="16"/>
        </w:rPr>
        <w:t>launched</w:t>
      </w:r>
      <w:r>
        <w:rPr>
          <w:color w:val="939598"/>
          <w:spacing w:val="-14"/>
          <w:sz w:val="16"/>
        </w:rPr>
        <w:t> </w:t>
      </w:r>
      <w:r>
        <w:rPr>
          <w:color w:val="939598"/>
          <w:sz w:val="16"/>
        </w:rPr>
        <w:t>this</w:t>
      </w:r>
      <w:r>
        <w:rPr>
          <w:color w:val="939598"/>
          <w:spacing w:val="-15"/>
          <w:sz w:val="16"/>
        </w:rPr>
        <w:t> </w:t>
      </w:r>
      <w:r>
        <w:rPr>
          <w:color w:val="939598"/>
          <w:sz w:val="16"/>
        </w:rPr>
        <w:t>year</w:t>
      </w:r>
      <w:r>
        <w:rPr>
          <w:color w:val="939598"/>
          <w:spacing w:val="-14"/>
          <w:sz w:val="16"/>
        </w:rPr>
        <w:t> </w:t>
      </w:r>
      <w:r>
        <w:rPr>
          <w:color w:val="939598"/>
          <w:sz w:val="16"/>
        </w:rPr>
        <w:t>with</w:t>
      </w:r>
      <w:r>
        <w:rPr>
          <w:color w:val="939598"/>
          <w:spacing w:val="-15"/>
          <w:sz w:val="16"/>
        </w:rPr>
        <w:t> </w:t>
      </w:r>
      <w:r>
        <w:rPr>
          <w:color w:val="939598"/>
          <w:sz w:val="16"/>
        </w:rPr>
        <w:t>the</w:t>
      </w:r>
      <w:r>
        <w:rPr>
          <w:color w:val="939598"/>
          <w:spacing w:val="-14"/>
          <w:sz w:val="16"/>
        </w:rPr>
        <w:t> </w:t>
      </w:r>
      <w:r>
        <w:rPr>
          <w:color w:val="939598"/>
          <w:sz w:val="16"/>
        </w:rPr>
        <w:t>support</w:t>
      </w:r>
      <w:r>
        <w:rPr>
          <w:color w:val="939598"/>
          <w:spacing w:val="-15"/>
          <w:sz w:val="16"/>
        </w:rPr>
        <w:t> </w:t>
      </w:r>
      <w:r>
        <w:rPr>
          <w:color w:val="939598"/>
          <w:spacing w:val="-9"/>
          <w:sz w:val="16"/>
        </w:rPr>
        <w:t>of </w:t>
      </w:r>
      <w:r>
        <w:rPr>
          <w:color w:val="939598"/>
          <w:sz w:val="16"/>
        </w:rPr>
        <w:t>the People and Communications</w:t>
      </w:r>
      <w:r>
        <w:rPr>
          <w:color w:val="939598"/>
          <w:spacing w:val="-8"/>
          <w:sz w:val="16"/>
        </w:rPr>
        <w:t> </w:t>
      </w:r>
      <w:r>
        <w:rPr>
          <w:color w:val="939598"/>
          <w:sz w:val="16"/>
        </w:rPr>
        <w:t>Committee</w:t>
      </w:r>
    </w:p>
    <w:p>
      <w:pPr>
        <w:pStyle w:val="BodyText"/>
        <w:rPr>
          <w:sz w:val="20"/>
        </w:rPr>
      </w:pPr>
    </w:p>
    <w:p>
      <w:pPr>
        <w:pStyle w:val="BodyText"/>
        <w:spacing w:before="8"/>
        <w:rPr>
          <w:sz w:val="26"/>
        </w:rPr>
      </w:pPr>
    </w:p>
    <w:p>
      <w:pPr>
        <w:tabs>
          <w:tab w:pos="4671" w:val="left" w:leader="none"/>
          <w:tab w:pos="16072" w:val="left" w:leader="none"/>
        </w:tabs>
        <w:spacing w:before="106"/>
        <w:ind w:left="765" w:right="0" w:firstLine="0"/>
        <w:jc w:val="left"/>
        <w:rPr>
          <w:sz w:val="16"/>
        </w:rPr>
      </w:pPr>
      <w:r>
        <w:rPr>
          <w:b/>
          <w:color w:val="6F2770"/>
          <w:sz w:val="16"/>
        </w:rPr>
        <w:t>108   </w:t>
      </w:r>
      <w:r>
        <w:rPr>
          <w:color w:val="939598"/>
          <w:sz w:val="16"/>
        </w:rPr>
        <w:t>Department of Finance Annual Report</w:t>
      </w:r>
      <w:r>
        <w:rPr>
          <w:color w:val="939598"/>
          <w:spacing w:val="-29"/>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pStyle w:val="BodyText"/>
        <w:spacing w:before="1"/>
        <w:rPr>
          <w:sz w:val="17"/>
        </w:rPr>
      </w:pPr>
    </w:p>
    <w:p>
      <w:pPr>
        <w:spacing w:before="106"/>
        <w:ind w:left="0" w:right="734" w:firstLine="0"/>
        <w:jc w:val="right"/>
        <w:rPr>
          <w:sz w:val="20"/>
        </w:rPr>
      </w:pPr>
      <w:r>
        <w:rPr/>
        <w:pict>
          <v:group style="position:absolute;margin-left:0pt;margin-top:-10.120531pt;width:240.15pt;height:56.95pt;mso-position-horizontal-relative:page;mso-position-vertical-relative:paragraph;z-index:38272" coordorigin="0,-202" coordsize="4803,1139">
            <v:shape style="position:absolute;left:0;top:-22;width:11;height:10" coordorigin="0,-21" coordsize="11,10" path="m7,-21l0,-17,0,-11,11,-17,7,-21xe" filled="true" fillcolor="#cdcccd" stroked="false">
              <v:path arrowok="t"/>
              <v:fill type="solid"/>
            </v:shape>
            <v:shape style="position:absolute;left:0;top:28;width:362;height:513" type="#_x0000_t75" stroked="false">
              <v:imagedata r:id="rId27" o:title=""/>
            </v:shape>
            <v:shape style="position:absolute;left:0;top:379;width:475;height:399" coordorigin="0,379" coordsize="475,399" path="m411,383l408,379,0,615,0,620,411,383m461,433l458,429,0,693,0,699,461,433m474,499l0,772,0,778,461,512,474,499e" filled="true" fillcolor="#cdcccd" stroked="false">
              <v:path arrowok="t"/>
              <v:fill type="solid"/>
            </v:shape>
            <v:shape style="position:absolute;left:0;top:685;width:288;height:251" type="#_x0000_t75" stroked="false">
              <v:imagedata r:id="rId28" o:title=""/>
            </v:shape>
            <v:rect style="position:absolute;left:0;top:-203;width:2406;height:851" filled="true" fillcolor="#aebd37" stroked="false">
              <v:fill type="solid"/>
            </v:rect>
            <v:shape style="position:absolute;left:0;top:-203;width:2406;height:1139" type="#_x0000_t202" filled="false"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shape style="position:absolute;left:2397;top:-203;width:2406;height:851" type="#_x0000_t202" filled="true" fillcolor="#b6c247" stroked="false">
              <v:textbox inset="0,0,0,0">
                <w:txbxContent>
                  <w:p>
                    <w:pPr>
                      <w:spacing w:line="240" w:lineRule="auto" w:before="9"/>
                      <w:rPr>
                        <w:b/>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w10:wrap type="none"/>
          </v:group>
        </w:pict>
      </w:r>
      <w:r>
        <w:rPr/>
        <w:pict>
          <v:group style="position:absolute;margin-left:481.080994pt;margin-top:-10.120531pt;width:360.85pt;height:108.95pt;mso-position-horizontal-relative:page;mso-position-vertical-relative:paragraph;z-index:-775336" coordorigin="9622,-202" coordsize="7217,2179">
            <v:shape style="position:absolute;left:14419;top:-203;width:1455;height:1745" coordorigin="14419,-202" coordsize="1455,1745" path="m15219,-202l15194,-202,14935,-53,14901,-19,15219,-202m15356,-202l15331,-202,14748,134,14714,168,15356,-202m15492,-202l15467,-202,14562,321,14527,355,15492,-202m15629,-202l15604,-202,14419,482,14428,491,15629,-202m15766,-202l15741,-202,14469,532,14478,541,15766,-202m15874,1299l15470,1532,15479,1542,15874,1314,15874,1299m15874,1220l15420,1482,15429,1492,15874,1235,15874,1220m15874,1141l15370,1432,15379,1442,15874,1156,15874,1141m15874,1062l15320,1382,15329,1392,15874,1077,15874,1062m15874,983l15270,1332,15279,1341,15874,998,15874,983m15874,905l15220,1282,15229,1291,15874,919,15874,905m15874,826l15170,1232,15179,1241,15874,840,15874,826m15874,747l15120,1182,15129,1191,15874,761,15874,747m15874,668l15070,1132,15079,1141,15874,682,15874,668m15874,589l15020,1082,15029,1091,15874,603,15874,589m15874,431l14920,982,14929,991,15874,445,15874,431m15874,352l14870,932,14879,941,15874,367,15874,352m15874,273l14819,882,14829,891,15874,288,15874,273m15874,194l14769,832,14779,841,15874,209,15874,194m15874,115l14719,782,14729,791,15874,130,15874,115m15874,36l14669,732,14679,741,15874,51,15874,36m15874,-43l14619,682,14628,691,15874,-28,15874,-43m15874,-200l14519,582,14528,591,15874,-186,15874,-200m15874,510l14970,1032,14979,1041,15874,524,15874,510m15874,-121l14569,632,14578,641,15874,-107,15874,-121e" filled="true" fillcolor="#cdcccd" stroked="false">
              <v:path arrowok="t"/>
              <v:fill type="solid"/>
            </v:shape>
            <v:shape style="position:absolute;left:15520;top:1378;width:354;height:514" type="#_x0000_t75" stroked="false">
              <v:imagedata r:id="rId283" o:title=""/>
            </v:shape>
            <v:shape style="position:absolute;left:15874;top:-203;width:338;height:196" type="#_x0000_t75" stroked="false">
              <v:imagedata r:id="rId20" o:title=""/>
            </v:shape>
            <v:shape style="position:absolute;left:15874;top:-203;width:964;height:1932" coordorigin="15874,-202" coordsize="964,1932" path="m16349,-202l16339,-202,15874,66,15874,72,16349,-202m16378,1432l15874,1723,15874,1729,16365,1446,16378,1432m16486,-202l16476,-202,15874,145,15874,151,16486,-202m16565,1246l15874,1645,15874,1650,16551,1259,16565,1246m16622,-202l16612,-202,15874,224,15874,230,16622,-202m16699,-168l16695,-171,15874,303,15874,308,16699,-168m16749,-117l16745,-121,15874,382,15874,387,16749,-117m16752,1059l15874,1566,15874,1571,16738,1073,16752,1059m16799,-67l16795,-71,15874,461,15874,466,16799,-67m16838,930l15874,1487,15874,1492,16838,936,16838,930m16838,851l15874,1408,15874,1414,16838,857,16838,851m16838,772l15874,1329,15874,1335,16838,778,16838,772m16838,693l15874,1250,15874,1256,16838,699,16838,693m16838,615l15874,1171,15874,1177,16838,620,16838,615m16838,536l15874,1092,15874,1098,16838,541,16838,536m16838,457l15874,1013,15874,1019,16838,462,16838,457m16838,378l15874,934,15874,940,16838,384,16838,378m16838,299l15874,855,15874,861,16838,305,16838,299m16838,220l15874,776,15874,782,16838,226,16838,220m16838,141l15874,697,15874,703,16838,147,16838,141m16838,62l15874,618,15874,624,16838,68,16838,62m16838,-17l15874,539,15874,545,16838,-11,16838,-17e" filled="true" fillcolor="#cdcccd" stroked="false">
              <v:path arrowok="t"/>
              <v:fill type="solid"/>
            </v:shape>
            <v:shape style="position:absolute;left:15874;top:1619;width:318;height:269" type="#_x0000_t75" stroked="false">
              <v:imagedata r:id="rId158" o:title=""/>
            </v:shape>
            <v:shape style="position:absolute;left:13676;top:170;width:904;height:904" coordorigin="13677,170" coordsize="904,904" path="m14128,170l13677,622,14128,1073,14580,622,14128,170xe" filled="true" fillcolor="#ffffff" stroked="false">
              <v:path arrowok="t"/>
              <v:fill type="solid"/>
            </v:shape>
            <v:shape style="position:absolute;left:13225;top:621;width:904;height:904" coordorigin="13225,622" coordsize="904,904" path="m13677,622l13225,1073,13677,1525,14128,1073,13677,622xe" filled="true" fillcolor="#e8e9c9" stroked="false">
              <v:path arrowok="t"/>
              <v:fill type="solid"/>
            </v:shape>
            <v:shape style="position:absolute;left:12773;top:1073;width:904;height:904" coordorigin="12774,1073" coordsize="904,904" path="m13225,1073l12774,1525,13225,1976,13677,1525,13225,1073xe" filled="true" fillcolor="#d5dac6" stroked="false">
              <v:path arrowok="t"/>
              <v:fill type="solid"/>
            </v:shape>
            <v:shape style="position:absolute;left:11870;top:170;width:2710;height:904" coordorigin="11870,170" coordsize="2710,904" path="m12774,622l12322,170,11870,622,12322,1073,12774,622m14580,622l14128,170,13677,622,14128,1073,14580,622e" filled="true" fillcolor="#efeeeb" stroked="false">
              <v:path arrowok="t"/>
              <v:fill type="solid"/>
            </v:shape>
            <v:shape style="position:absolute;left:12773;top:170;width:904;height:904" coordorigin="12774,170" coordsize="904,904" path="m13225,170l12774,622,13225,1073,13677,622,13225,170xe" filled="true" fillcolor="#c0aac2" stroked="false">
              <v:path arrowok="t"/>
              <v:fill type="solid"/>
            </v:shape>
            <v:shape style="position:absolute;left:15424;top:873;width:900;height:904" coordorigin="15424,873" coordsize="900,904" path="m15874,873l15424,1323,15424,1326,15874,1776,16324,1326,16324,1323,15874,873xe" filled="true" fillcolor="#c4cd71" stroked="false">
              <v:path arrowok="t"/>
              <v:fill type="solid"/>
            </v:shape>
            <v:shape style="position:absolute;left:15422;top:1323;width:2;height:4" coordorigin="15423,1323" coordsize="2,4" path="m15424,1323l15423,1325,15424,1326,15424,1323xe" filled="true" fillcolor="#b9c369" stroked="false">
              <v:path arrowok="t"/>
              <v:fill type="solid"/>
            </v:shape>
            <v:shape style="position:absolute;left:16324;top:1323;width:2;height:4" coordorigin="16324,1323" coordsize="2,4" path="m16324,1323l16324,1326,16326,1325,16324,1323xe" filled="true" fillcolor="#bec29e" stroked="false">
              <v:path arrowok="t"/>
              <v:fill type="solid"/>
            </v:shape>
            <v:rect style="position:absolute;left:9621;top:-203;width:2406;height:851" filled="true" fillcolor="#bec85c" stroked="false">
              <v:fill type="solid"/>
            </v:rect>
            <v:rect style="position:absolute;left:12026;top:-203;width:2406;height:851" filled="true" fillcolor="#e6e7e8" stroked="false">
              <v:fill type="solid"/>
            </v:rect>
            <v:shape style="position:absolute;left:12026;top:-203;width:583;height:583" type="#_x0000_t75" stroked="false">
              <v:imagedata r:id="rId272" o:title=""/>
            </v:shape>
            <v:rect style="position:absolute;left:14432;top:-203;width:2406;height:851" filled="true" fillcolor="#aebd37" stroked="false">
              <v:fill type="solid"/>
            </v:rect>
            <v:shape style="position:absolute;left:15263;top:1164;width:161;height:322" type="#_x0000_t75" stroked="false">
              <v:imagedata r:id="rId16" o:title=""/>
            </v:shape>
            <v:shape style="position:absolute;left:16324;top:1163;width:161;height:322" type="#_x0000_t75" stroked="false">
              <v:imagedata r:id="rId11" o:title=""/>
            </v:shape>
            <w10:wrap type="none"/>
          </v:group>
        </w:pict>
      </w:r>
      <w:r>
        <w:rPr/>
        <w:pict>
          <v:shape style="position:absolute;margin-left:601.348999pt;margin-top:-10.120531pt;width:120.3pt;height:42.55pt;mso-position-horizontal-relative:page;mso-position-vertical-relative:paragraph;z-index:38368" type="#_x0000_t202" filled="false" stroked="false">
            <v:textbox inset="0,0,0,0">
              <w:txbxContent>
                <w:p>
                  <w:pPr>
                    <w:pStyle w:val="BodyText"/>
                    <w:spacing w:before="9"/>
                    <w:rPr>
                      <w:b/>
                      <w:sz w:val="26"/>
                    </w:rPr>
                  </w:pPr>
                </w:p>
                <w:p>
                  <w:pPr>
                    <w:spacing w:before="0"/>
                    <w:ind w:left="530" w:right="0" w:firstLine="0"/>
                    <w:jc w:val="left"/>
                    <w:rPr>
                      <w:sz w:val="20"/>
                    </w:rPr>
                  </w:pPr>
                  <w:hyperlink w:history="true" w:anchor="_bookmark68">
                    <w:r>
                      <w:rPr>
                        <w:color w:val="6F2770"/>
                        <w:sz w:val="20"/>
                      </w:rPr>
                      <w:t>DISCLOSURES</w:t>
                    </w:r>
                  </w:hyperlink>
                </w:p>
              </w:txbxContent>
            </v:textbox>
            <w10:wrap type="none"/>
          </v:shape>
        </w:pict>
      </w:r>
      <w:r>
        <w:rPr/>
        <w:pict>
          <v:shape style="position:absolute;margin-left:481.079498pt;margin-top:-10.120531pt;width:120.3pt;height:42.55pt;mso-position-horizontal-relative:page;mso-position-vertical-relative:paragraph;z-index:38392"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w:pict>
      </w:r>
      <w:r>
        <w:rPr/>
        <w:pict>
          <v:shape style="position:absolute;margin-left:360.796509pt;margin-top:-10.120531pt;width:120.3pt;height:42.55pt;mso-position-horizontal-relative:page;mso-position-vertical-relative:paragraph;z-index:38416"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pict>
          <v:shape style="position:absolute;margin-left:240.123001pt;margin-top:-10.120531pt;width:120.7pt;height:42.55pt;mso-position-horizontal-relative:page;mso-position-vertical-relative:paragraph;z-index:38440"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w:pict>
      </w:r>
      <w:bookmarkStart w:name="_bookmark71" w:id="73"/>
      <w:bookmarkEnd w:id="73"/>
      <w:r>
        <w:rPr/>
      </w:r>
      <w:hyperlink w:history="true" w:anchor="_bookmark73">
        <w:r>
          <w:rPr>
            <w:color w:val="FFFFFF"/>
            <w:w w:val="90"/>
            <w:sz w:val="20"/>
          </w:rPr>
          <w:t>APPENDIX</w:t>
        </w:r>
      </w:hyperlink>
    </w:p>
    <w:p>
      <w:pPr>
        <w:pStyle w:val="BodyText"/>
        <w:rPr>
          <w:sz w:val="20"/>
        </w:rPr>
      </w:pPr>
    </w:p>
    <w:p>
      <w:pPr>
        <w:pStyle w:val="BodyText"/>
        <w:rPr>
          <w:sz w:val="20"/>
        </w:rPr>
      </w:pPr>
    </w:p>
    <w:p>
      <w:pPr>
        <w:pStyle w:val="BodyText"/>
        <w:spacing w:before="8"/>
        <w:rPr>
          <w:sz w:val="21"/>
        </w:rPr>
      </w:pPr>
    </w:p>
    <w:p>
      <w:pPr>
        <w:spacing w:after="0"/>
        <w:rPr>
          <w:sz w:val="21"/>
        </w:rPr>
        <w:sectPr>
          <w:footerReference w:type="default" r:id="rId343"/>
          <w:pgSz w:w="16840" w:h="11910" w:orient="landscape"/>
          <w:pgMar w:footer="0" w:header="0" w:top="0" w:bottom="0" w:left="0" w:right="0"/>
        </w:sectPr>
      </w:pPr>
    </w:p>
    <w:p>
      <w:pPr>
        <w:pStyle w:val="Heading4"/>
        <w:spacing w:before="272"/>
      </w:pPr>
      <w:r>
        <w:rPr>
          <w:color w:val="A7BE39"/>
        </w:rPr>
        <w:t>Unauthorised use of credit cards</w:t>
      </w:r>
    </w:p>
    <w:p>
      <w:pPr>
        <w:pStyle w:val="BodyText"/>
        <w:spacing w:line="249" w:lineRule="auto" w:before="246"/>
        <w:ind w:left="765" w:right="-9"/>
      </w:pPr>
      <w:r>
        <w:rPr/>
        <w:t>The Department of Finance uses corporate credit cards as a purchasing tool to</w:t>
      </w:r>
      <w:r>
        <w:rPr>
          <w:spacing w:val="-15"/>
        </w:rPr>
        <w:t> </w:t>
      </w:r>
      <w:r>
        <w:rPr/>
        <w:t>reduce</w:t>
      </w:r>
      <w:r>
        <w:rPr>
          <w:spacing w:val="-14"/>
        </w:rPr>
        <w:t> </w:t>
      </w:r>
      <w:r>
        <w:rPr/>
        <w:t>the</w:t>
      </w:r>
      <w:r>
        <w:rPr>
          <w:spacing w:val="-15"/>
        </w:rPr>
        <w:t> </w:t>
      </w:r>
      <w:r>
        <w:rPr/>
        <w:t>cost</w:t>
      </w:r>
      <w:r>
        <w:rPr>
          <w:spacing w:val="-14"/>
        </w:rPr>
        <w:t> </w:t>
      </w:r>
      <w:r>
        <w:rPr/>
        <w:t>of</w:t>
      </w:r>
      <w:r>
        <w:rPr>
          <w:spacing w:val="-15"/>
        </w:rPr>
        <w:t> </w:t>
      </w:r>
      <w:r>
        <w:rPr/>
        <w:t>invoice</w:t>
      </w:r>
      <w:r>
        <w:rPr>
          <w:spacing w:val="-15"/>
        </w:rPr>
        <w:t> </w:t>
      </w:r>
      <w:r>
        <w:rPr/>
        <w:t>payments.</w:t>
      </w:r>
      <w:r>
        <w:rPr>
          <w:spacing w:val="-14"/>
        </w:rPr>
        <w:t> </w:t>
      </w:r>
      <w:r>
        <w:rPr/>
        <w:t>There</w:t>
      </w:r>
      <w:r>
        <w:rPr>
          <w:spacing w:val="-15"/>
        </w:rPr>
        <w:t> </w:t>
      </w:r>
      <w:r>
        <w:rPr/>
        <w:t>is</w:t>
      </w:r>
      <w:r>
        <w:rPr>
          <w:spacing w:val="-14"/>
        </w:rPr>
        <w:t> </w:t>
      </w:r>
      <w:r>
        <w:rPr/>
        <w:t>a</w:t>
      </w:r>
      <w:r>
        <w:rPr>
          <w:spacing w:val="-15"/>
        </w:rPr>
        <w:t> </w:t>
      </w:r>
      <w:r>
        <w:rPr/>
        <w:t>strong</w:t>
      </w:r>
      <w:r>
        <w:rPr>
          <w:spacing w:val="-14"/>
        </w:rPr>
        <w:t> </w:t>
      </w:r>
      <w:r>
        <w:rPr/>
        <w:t>control</w:t>
      </w:r>
      <w:r>
        <w:rPr>
          <w:spacing w:val="-15"/>
        </w:rPr>
        <w:t> </w:t>
      </w:r>
      <w:r>
        <w:rPr/>
        <w:t>framework</w:t>
      </w:r>
      <w:r>
        <w:rPr>
          <w:spacing w:val="-14"/>
        </w:rPr>
        <w:t> </w:t>
      </w:r>
      <w:r>
        <w:rPr/>
        <w:t>in place</w:t>
      </w:r>
      <w:r>
        <w:rPr>
          <w:spacing w:val="-15"/>
        </w:rPr>
        <w:t> </w:t>
      </w:r>
      <w:r>
        <w:rPr/>
        <w:t>to</w:t>
      </w:r>
      <w:r>
        <w:rPr>
          <w:spacing w:val="-15"/>
        </w:rPr>
        <w:t> </w:t>
      </w:r>
      <w:r>
        <w:rPr/>
        <w:t>support</w:t>
      </w:r>
      <w:r>
        <w:rPr>
          <w:spacing w:val="-15"/>
        </w:rPr>
        <w:t> </w:t>
      </w:r>
      <w:r>
        <w:rPr/>
        <w:t>the</w:t>
      </w:r>
      <w:r>
        <w:rPr>
          <w:spacing w:val="-14"/>
        </w:rPr>
        <w:t> </w:t>
      </w:r>
      <w:r>
        <w:rPr/>
        <w:t>use</w:t>
      </w:r>
      <w:r>
        <w:rPr>
          <w:spacing w:val="-15"/>
        </w:rPr>
        <w:t> </w:t>
      </w:r>
      <w:r>
        <w:rPr/>
        <w:t>of</w:t>
      </w:r>
      <w:r>
        <w:rPr>
          <w:spacing w:val="-15"/>
        </w:rPr>
        <w:t> </w:t>
      </w:r>
      <w:r>
        <w:rPr/>
        <w:t>purchasing</w:t>
      </w:r>
      <w:r>
        <w:rPr>
          <w:spacing w:val="-14"/>
        </w:rPr>
        <w:t> </w:t>
      </w:r>
      <w:r>
        <w:rPr/>
        <w:t>cards</w:t>
      </w:r>
      <w:r>
        <w:rPr>
          <w:spacing w:val="-15"/>
        </w:rPr>
        <w:t> </w:t>
      </w:r>
      <w:r>
        <w:rPr/>
        <w:t>across</w:t>
      </w:r>
      <w:r>
        <w:rPr>
          <w:spacing w:val="-15"/>
        </w:rPr>
        <w:t> </w:t>
      </w:r>
      <w:r>
        <w:rPr/>
        <w:t>the</w:t>
      </w:r>
      <w:r>
        <w:rPr>
          <w:spacing w:val="-14"/>
        </w:rPr>
        <w:t> </w:t>
      </w:r>
      <w:r>
        <w:rPr/>
        <w:t>Department,</w:t>
      </w:r>
      <w:r>
        <w:rPr>
          <w:spacing w:val="-15"/>
        </w:rPr>
        <w:t> </w:t>
      </w:r>
      <w:r>
        <w:rPr>
          <w:spacing w:val="-3"/>
        </w:rPr>
        <w:t>including </w:t>
      </w:r>
      <w:r>
        <w:rPr/>
        <w:t>supervisor approval of all staff transactions and high level oversight by the </w:t>
      </w:r>
      <w:r>
        <w:rPr>
          <w:spacing w:val="-3"/>
        </w:rPr>
        <w:t>Department’s </w:t>
      </w:r>
      <w:r>
        <w:rPr/>
        <w:t>Finance and Procurement</w:t>
      </w:r>
      <w:r>
        <w:rPr>
          <w:spacing w:val="-9"/>
        </w:rPr>
        <w:t> </w:t>
      </w:r>
      <w:r>
        <w:rPr/>
        <w:t>Committee.</w:t>
      </w:r>
    </w:p>
    <w:p>
      <w:pPr>
        <w:pStyle w:val="BodyText"/>
        <w:spacing w:before="4"/>
        <w:rPr>
          <w:sz w:val="23"/>
        </w:rPr>
      </w:pPr>
    </w:p>
    <w:p>
      <w:pPr>
        <w:pStyle w:val="BodyText"/>
        <w:ind w:left="765"/>
      </w:pPr>
      <w:r>
        <w:rPr/>
        <w:t>Processes</w:t>
      </w:r>
      <w:r>
        <w:rPr>
          <w:spacing w:val="-20"/>
        </w:rPr>
        <w:t> </w:t>
      </w:r>
      <w:r>
        <w:rPr/>
        <w:t>are</w:t>
      </w:r>
      <w:r>
        <w:rPr>
          <w:spacing w:val="-19"/>
        </w:rPr>
        <w:t> </w:t>
      </w:r>
      <w:r>
        <w:rPr/>
        <w:t>in</w:t>
      </w:r>
      <w:r>
        <w:rPr>
          <w:spacing w:val="-19"/>
        </w:rPr>
        <w:t> </w:t>
      </w:r>
      <w:r>
        <w:rPr/>
        <w:t>place</w:t>
      </w:r>
      <w:r>
        <w:rPr>
          <w:spacing w:val="-20"/>
        </w:rPr>
        <w:t> </w:t>
      </w:r>
      <w:r>
        <w:rPr/>
        <w:t>to</w:t>
      </w:r>
      <w:r>
        <w:rPr>
          <w:spacing w:val="-19"/>
        </w:rPr>
        <w:t> </w:t>
      </w:r>
      <w:r>
        <w:rPr/>
        <w:t>ensure</w:t>
      </w:r>
      <w:r>
        <w:rPr>
          <w:spacing w:val="-19"/>
        </w:rPr>
        <w:t> </w:t>
      </w:r>
      <w:r>
        <w:rPr/>
        <w:t>the</w:t>
      </w:r>
      <w:r>
        <w:rPr>
          <w:spacing w:val="-19"/>
        </w:rPr>
        <w:t> </w:t>
      </w:r>
      <w:r>
        <w:rPr/>
        <w:t>early</w:t>
      </w:r>
      <w:r>
        <w:rPr>
          <w:spacing w:val="-20"/>
        </w:rPr>
        <w:t> </w:t>
      </w:r>
      <w:r>
        <w:rPr/>
        <w:t>detection</w:t>
      </w:r>
      <w:r>
        <w:rPr>
          <w:spacing w:val="-19"/>
        </w:rPr>
        <w:t> </w:t>
      </w:r>
      <w:r>
        <w:rPr/>
        <w:t>of</w:t>
      </w:r>
      <w:r>
        <w:rPr>
          <w:spacing w:val="-19"/>
        </w:rPr>
        <w:t> </w:t>
      </w:r>
      <w:r>
        <w:rPr/>
        <w:t>inadvertent/accidental</w:t>
      </w:r>
    </w:p>
    <w:p>
      <w:pPr>
        <w:pStyle w:val="Heading1"/>
        <w:spacing w:line="208" w:lineRule="auto" w:before="280"/>
        <w:ind w:left="393"/>
      </w:pPr>
      <w:r>
        <w:rPr/>
        <w:br w:type="column"/>
      </w:r>
      <w:r>
        <w:rPr>
          <w:color w:val="6F2770"/>
        </w:rPr>
        <w:t>Other Legal </w:t>
      </w:r>
      <w:r>
        <w:rPr>
          <w:color w:val="6F2770"/>
          <w:w w:val="90"/>
        </w:rPr>
        <w:t>Requirements</w:t>
      </w:r>
    </w:p>
    <w:p>
      <w:pPr>
        <w:pStyle w:val="Heading4"/>
        <w:spacing w:before="132"/>
        <w:ind w:left="393"/>
      </w:pPr>
      <w:r>
        <w:rPr>
          <w:color w:val="A7BE39"/>
        </w:rPr>
        <w:t>Expenditure on advertising,</w:t>
      </w:r>
    </w:p>
    <w:p>
      <w:pPr>
        <w:spacing w:before="18"/>
        <w:ind w:left="393" w:right="0" w:firstLine="0"/>
        <w:jc w:val="left"/>
        <w:rPr>
          <w:sz w:val="36"/>
        </w:rPr>
      </w:pPr>
      <w:r>
        <w:rPr>
          <w:color w:val="A7BE39"/>
          <w:sz w:val="36"/>
        </w:rPr>
        <w:t>market</w:t>
      </w:r>
      <w:r>
        <w:rPr>
          <w:color w:val="A7BE39"/>
          <w:spacing w:val="-40"/>
          <w:sz w:val="36"/>
        </w:rPr>
        <w:t> </w:t>
      </w:r>
      <w:r>
        <w:rPr>
          <w:color w:val="A7BE39"/>
          <w:sz w:val="36"/>
        </w:rPr>
        <w:t>research,</w:t>
      </w:r>
      <w:r>
        <w:rPr>
          <w:color w:val="A7BE39"/>
          <w:spacing w:val="-40"/>
          <w:sz w:val="36"/>
        </w:rPr>
        <w:t> </w:t>
      </w:r>
      <w:r>
        <w:rPr>
          <w:color w:val="A7BE39"/>
          <w:sz w:val="36"/>
        </w:rPr>
        <w:t>polling</w:t>
      </w:r>
      <w:r>
        <w:rPr>
          <w:color w:val="A7BE39"/>
          <w:spacing w:val="-40"/>
          <w:sz w:val="36"/>
        </w:rPr>
        <w:t> </w:t>
      </w:r>
      <w:r>
        <w:rPr>
          <w:color w:val="A7BE39"/>
          <w:sz w:val="36"/>
        </w:rPr>
        <w:t>and</w:t>
      </w:r>
      <w:r>
        <w:rPr>
          <w:color w:val="A7BE39"/>
          <w:spacing w:val="-39"/>
          <w:sz w:val="36"/>
        </w:rPr>
        <w:t> </w:t>
      </w:r>
      <w:r>
        <w:rPr>
          <w:color w:val="A7BE39"/>
          <w:sz w:val="36"/>
        </w:rPr>
        <w:t>direct</w:t>
      </w:r>
      <w:r>
        <w:rPr>
          <w:color w:val="A7BE39"/>
          <w:spacing w:val="-40"/>
          <w:sz w:val="36"/>
        </w:rPr>
        <w:t> </w:t>
      </w:r>
      <w:r>
        <w:rPr>
          <w:color w:val="A7BE39"/>
          <w:sz w:val="36"/>
        </w:rPr>
        <w:t>mail</w:t>
      </w:r>
    </w:p>
    <w:p>
      <w:pPr>
        <w:spacing w:line="208" w:lineRule="auto" w:before="124"/>
        <w:ind w:left="765" w:right="672" w:firstLine="0"/>
        <w:jc w:val="center"/>
        <w:rPr>
          <w:sz w:val="16"/>
        </w:rPr>
      </w:pPr>
      <w:r>
        <w:rPr/>
        <w:br w:type="column"/>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3" w:equalWidth="0">
            <w:col w:w="8199" w:space="40"/>
            <w:col w:w="6503" w:space="78"/>
            <w:col w:w="2020"/>
          </w:cols>
        </w:sectPr>
      </w:pPr>
    </w:p>
    <w:p>
      <w:pPr>
        <w:pStyle w:val="BodyText"/>
        <w:spacing w:line="249" w:lineRule="auto" w:before="11"/>
        <w:ind w:left="765" w:right="227"/>
      </w:pPr>
      <w:r>
        <w:rPr/>
        <w:t>personal</w:t>
      </w:r>
      <w:r>
        <w:rPr>
          <w:spacing w:val="-23"/>
        </w:rPr>
        <w:t> </w:t>
      </w:r>
      <w:r>
        <w:rPr/>
        <w:t>misuse</w:t>
      </w:r>
      <w:r>
        <w:rPr>
          <w:spacing w:val="-22"/>
        </w:rPr>
        <w:t> </w:t>
      </w:r>
      <w:r>
        <w:rPr/>
        <w:t>of</w:t>
      </w:r>
      <w:r>
        <w:rPr>
          <w:spacing w:val="-23"/>
        </w:rPr>
        <w:t> </w:t>
      </w:r>
      <w:r>
        <w:rPr/>
        <w:t>Department</w:t>
      </w:r>
      <w:r>
        <w:rPr>
          <w:spacing w:val="-22"/>
        </w:rPr>
        <w:t> </w:t>
      </w:r>
      <w:r>
        <w:rPr/>
        <w:t>of</w:t>
      </w:r>
      <w:r>
        <w:rPr>
          <w:spacing w:val="-22"/>
        </w:rPr>
        <w:t> </w:t>
      </w:r>
      <w:r>
        <w:rPr/>
        <w:t>Finance</w:t>
      </w:r>
      <w:r>
        <w:rPr>
          <w:spacing w:val="-23"/>
        </w:rPr>
        <w:t> </w:t>
      </w:r>
      <w:r>
        <w:rPr/>
        <w:t>purchasing</w:t>
      </w:r>
      <w:r>
        <w:rPr>
          <w:spacing w:val="-22"/>
        </w:rPr>
        <w:t> </w:t>
      </w:r>
      <w:r>
        <w:rPr/>
        <w:t>cards,</w:t>
      </w:r>
      <w:r>
        <w:rPr>
          <w:spacing w:val="-23"/>
        </w:rPr>
        <w:t> </w:t>
      </w:r>
      <w:r>
        <w:rPr/>
        <w:t>and</w:t>
      </w:r>
      <w:r>
        <w:rPr>
          <w:spacing w:val="-22"/>
        </w:rPr>
        <w:t> </w:t>
      </w:r>
      <w:r>
        <w:rPr/>
        <w:t>ensure timely</w:t>
      </w:r>
      <w:r>
        <w:rPr>
          <w:spacing w:val="-22"/>
        </w:rPr>
        <w:t> </w:t>
      </w:r>
      <w:r>
        <w:rPr/>
        <w:t>repayment</w:t>
      </w:r>
      <w:r>
        <w:rPr>
          <w:spacing w:val="-22"/>
        </w:rPr>
        <w:t> </w:t>
      </w:r>
      <w:r>
        <w:rPr/>
        <w:t>of</w:t>
      </w:r>
      <w:r>
        <w:rPr>
          <w:spacing w:val="-22"/>
        </w:rPr>
        <w:t> </w:t>
      </w:r>
      <w:r>
        <w:rPr/>
        <w:t>the</w:t>
      </w:r>
      <w:r>
        <w:rPr>
          <w:spacing w:val="-22"/>
        </w:rPr>
        <w:t> </w:t>
      </w:r>
      <w:r>
        <w:rPr/>
        <w:t>associated</w:t>
      </w:r>
      <w:r>
        <w:rPr>
          <w:spacing w:val="-22"/>
        </w:rPr>
        <w:t> </w:t>
      </w:r>
      <w:r>
        <w:rPr/>
        <w:t>costs.</w:t>
      </w:r>
      <w:r>
        <w:rPr>
          <w:spacing w:val="-22"/>
        </w:rPr>
        <w:t> </w:t>
      </w:r>
      <w:r>
        <w:rPr/>
        <w:t>Regardless</w:t>
      </w:r>
      <w:r>
        <w:rPr>
          <w:spacing w:val="-22"/>
        </w:rPr>
        <w:t> </w:t>
      </w:r>
      <w:r>
        <w:rPr/>
        <w:t>of</w:t>
      </w:r>
      <w:r>
        <w:rPr>
          <w:spacing w:val="-22"/>
        </w:rPr>
        <w:t> </w:t>
      </w:r>
      <w:r>
        <w:rPr/>
        <w:t>these</w:t>
      </w:r>
      <w:r>
        <w:rPr>
          <w:spacing w:val="-22"/>
        </w:rPr>
        <w:t> </w:t>
      </w:r>
      <w:r>
        <w:rPr>
          <w:spacing w:val="-3"/>
        </w:rPr>
        <w:t>processes, </w:t>
      </w:r>
      <w:r>
        <w:rPr/>
        <w:t>there</w:t>
      </w:r>
      <w:r>
        <w:rPr>
          <w:spacing w:val="-7"/>
        </w:rPr>
        <w:t> </w:t>
      </w:r>
      <w:r>
        <w:rPr/>
        <w:t>was</w:t>
      </w:r>
      <w:r>
        <w:rPr>
          <w:spacing w:val="-6"/>
        </w:rPr>
        <w:t> </w:t>
      </w:r>
      <w:r>
        <w:rPr/>
        <w:t>a</w:t>
      </w:r>
      <w:r>
        <w:rPr>
          <w:spacing w:val="-6"/>
        </w:rPr>
        <w:t> </w:t>
      </w:r>
      <w:r>
        <w:rPr/>
        <w:t>minor</w:t>
      </w:r>
      <w:r>
        <w:rPr>
          <w:spacing w:val="-6"/>
        </w:rPr>
        <w:t> </w:t>
      </w:r>
      <w:r>
        <w:rPr/>
        <w:t>number</w:t>
      </w:r>
      <w:r>
        <w:rPr>
          <w:spacing w:val="-6"/>
        </w:rPr>
        <w:t> </w:t>
      </w:r>
      <w:r>
        <w:rPr/>
        <w:t>of</w:t>
      </w:r>
      <w:r>
        <w:rPr>
          <w:spacing w:val="-7"/>
        </w:rPr>
        <w:t> </w:t>
      </w:r>
      <w:r>
        <w:rPr/>
        <w:t>inadvertent</w:t>
      </w:r>
      <w:r>
        <w:rPr>
          <w:spacing w:val="-6"/>
        </w:rPr>
        <w:t> </w:t>
      </w:r>
      <w:r>
        <w:rPr/>
        <w:t>uses</w:t>
      </w:r>
      <w:r>
        <w:rPr>
          <w:spacing w:val="-6"/>
        </w:rPr>
        <w:t> </w:t>
      </w:r>
      <w:r>
        <w:rPr/>
        <w:t>over</w:t>
      </w:r>
      <w:r>
        <w:rPr>
          <w:spacing w:val="-6"/>
        </w:rPr>
        <w:t> </w:t>
      </w:r>
      <w:r>
        <w:rPr/>
        <w:t>the</w:t>
      </w:r>
      <w:r>
        <w:rPr>
          <w:spacing w:val="-6"/>
        </w:rPr>
        <w:t> </w:t>
      </w:r>
      <w:r>
        <w:rPr>
          <w:spacing w:val="-5"/>
        </w:rPr>
        <w:t>year.</w:t>
      </w:r>
    </w:p>
    <w:p>
      <w:pPr>
        <w:pStyle w:val="BodyText"/>
        <w:spacing w:before="2"/>
        <w:rPr>
          <w:sz w:val="23"/>
        </w:rPr>
      </w:pPr>
    </w:p>
    <w:p>
      <w:pPr>
        <w:pStyle w:val="BodyText"/>
        <w:spacing w:line="249" w:lineRule="auto"/>
        <w:ind w:left="765" w:right="-5"/>
      </w:pPr>
      <w:r>
        <w:rPr/>
        <w:t>This </w:t>
      </w:r>
      <w:r>
        <w:rPr>
          <w:spacing w:val="-5"/>
        </w:rPr>
        <w:t>year, </w:t>
      </w:r>
      <w:r>
        <w:rPr/>
        <w:t>the Department performed 12,477 credit card transactions, with eight</w:t>
      </w:r>
      <w:r>
        <w:rPr>
          <w:spacing w:val="-21"/>
        </w:rPr>
        <w:t> </w:t>
      </w:r>
      <w:r>
        <w:rPr/>
        <w:t>being</w:t>
      </w:r>
      <w:r>
        <w:rPr>
          <w:spacing w:val="-21"/>
        </w:rPr>
        <w:t> </w:t>
      </w:r>
      <w:r>
        <w:rPr/>
        <w:t>identified</w:t>
      </w:r>
      <w:r>
        <w:rPr>
          <w:spacing w:val="-20"/>
        </w:rPr>
        <w:t> </w:t>
      </w:r>
      <w:r>
        <w:rPr/>
        <w:t>as</w:t>
      </w:r>
      <w:r>
        <w:rPr>
          <w:spacing w:val="-21"/>
        </w:rPr>
        <w:t> </w:t>
      </w:r>
      <w:r>
        <w:rPr/>
        <w:t>not</w:t>
      </w:r>
      <w:r>
        <w:rPr>
          <w:spacing w:val="-21"/>
        </w:rPr>
        <w:t> </w:t>
      </w:r>
      <w:r>
        <w:rPr/>
        <w:t>related</w:t>
      </w:r>
      <w:r>
        <w:rPr>
          <w:spacing w:val="-21"/>
        </w:rPr>
        <w:t> </w:t>
      </w:r>
      <w:r>
        <w:rPr/>
        <w:t>to</w:t>
      </w:r>
      <w:r>
        <w:rPr>
          <w:spacing w:val="-20"/>
        </w:rPr>
        <w:t> </w:t>
      </w:r>
      <w:r>
        <w:rPr/>
        <w:t>departmental</w:t>
      </w:r>
      <w:r>
        <w:rPr>
          <w:spacing w:val="-21"/>
        </w:rPr>
        <w:t> </w:t>
      </w:r>
      <w:r>
        <w:rPr/>
        <w:t>operations.</w:t>
      </w:r>
      <w:r>
        <w:rPr>
          <w:spacing w:val="-21"/>
        </w:rPr>
        <w:t> </w:t>
      </w:r>
      <w:r>
        <w:rPr/>
        <w:t>These</w:t>
      </w:r>
      <w:r>
        <w:rPr>
          <w:spacing w:val="-20"/>
        </w:rPr>
        <w:t> </w:t>
      </w:r>
      <w:r>
        <w:rPr/>
        <w:t>eight transactions</w:t>
      </w:r>
      <w:r>
        <w:rPr>
          <w:spacing w:val="-14"/>
        </w:rPr>
        <w:t> </w:t>
      </w:r>
      <w:r>
        <w:rPr/>
        <w:t>represent</w:t>
      </w:r>
      <w:r>
        <w:rPr>
          <w:spacing w:val="-14"/>
        </w:rPr>
        <w:t> </w:t>
      </w:r>
      <w:r>
        <w:rPr/>
        <w:t>less</w:t>
      </w:r>
      <w:r>
        <w:rPr>
          <w:spacing w:val="-14"/>
        </w:rPr>
        <w:t> </w:t>
      </w:r>
      <w:r>
        <w:rPr/>
        <w:t>than</w:t>
      </w:r>
      <w:r>
        <w:rPr>
          <w:spacing w:val="-13"/>
        </w:rPr>
        <w:t> </w:t>
      </w:r>
      <w:r>
        <w:rPr/>
        <w:t>0.1</w:t>
      </w:r>
      <w:r>
        <w:rPr>
          <w:spacing w:val="-14"/>
        </w:rPr>
        <w:t> </w:t>
      </w:r>
      <w:r>
        <w:rPr/>
        <w:t>per</w:t>
      </w:r>
      <w:r>
        <w:rPr>
          <w:spacing w:val="-14"/>
        </w:rPr>
        <w:t> </w:t>
      </w:r>
      <w:r>
        <w:rPr/>
        <w:t>cent</w:t>
      </w:r>
      <w:r>
        <w:rPr>
          <w:spacing w:val="-14"/>
        </w:rPr>
        <w:t> </w:t>
      </w:r>
      <w:r>
        <w:rPr/>
        <w:t>of</w:t>
      </w:r>
      <w:r>
        <w:rPr>
          <w:spacing w:val="-13"/>
        </w:rPr>
        <w:t> </w:t>
      </w:r>
      <w:r>
        <w:rPr/>
        <w:t>the</w:t>
      </w:r>
      <w:r>
        <w:rPr>
          <w:spacing w:val="-14"/>
        </w:rPr>
        <w:t> </w:t>
      </w:r>
      <w:r>
        <w:rPr>
          <w:spacing w:val="-3"/>
        </w:rPr>
        <w:t>Department’s</w:t>
      </w:r>
      <w:r>
        <w:rPr>
          <w:spacing w:val="-14"/>
        </w:rPr>
        <w:t> </w:t>
      </w:r>
      <w:r>
        <w:rPr/>
        <w:t>total</w:t>
      </w:r>
      <w:r>
        <w:rPr>
          <w:spacing w:val="-13"/>
        </w:rPr>
        <w:t> </w:t>
      </w:r>
      <w:r>
        <w:rPr>
          <w:spacing w:val="-5"/>
        </w:rPr>
        <w:t>credit </w:t>
      </w:r>
      <w:r>
        <w:rPr/>
        <w:t>card transactions completed during the</w:t>
      </w:r>
      <w:r>
        <w:rPr>
          <w:spacing w:val="-10"/>
        </w:rPr>
        <w:t> </w:t>
      </w:r>
      <w:r>
        <w:rPr>
          <w:spacing w:val="-5"/>
        </w:rPr>
        <w:t>year.</w:t>
      </w:r>
    </w:p>
    <w:p>
      <w:pPr>
        <w:pStyle w:val="BodyText"/>
        <w:spacing w:line="249" w:lineRule="auto" w:before="175"/>
        <w:ind w:left="629" w:right="947"/>
      </w:pPr>
      <w:r>
        <w:rPr/>
        <w:br w:type="column"/>
      </w:r>
      <w:r>
        <w:rPr/>
        <w:t>In</w:t>
      </w:r>
      <w:r>
        <w:rPr>
          <w:spacing w:val="-18"/>
        </w:rPr>
        <w:t> </w:t>
      </w:r>
      <w:r>
        <w:rPr>
          <w:spacing w:val="-4"/>
        </w:rPr>
        <w:t>accordance</w:t>
      </w:r>
      <w:r>
        <w:rPr>
          <w:spacing w:val="-18"/>
        </w:rPr>
        <w:t> </w:t>
      </w:r>
      <w:r>
        <w:rPr>
          <w:spacing w:val="-3"/>
        </w:rPr>
        <w:t>with</w:t>
      </w:r>
      <w:r>
        <w:rPr>
          <w:spacing w:val="-18"/>
        </w:rPr>
        <w:t> </w:t>
      </w:r>
      <w:r>
        <w:rPr>
          <w:spacing w:val="-3"/>
        </w:rPr>
        <w:t>section</w:t>
      </w:r>
      <w:r>
        <w:rPr>
          <w:spacing w:val="-18"/>
        </w:rPr>
        <w:t> </w:t>
      </w:r>
      <w:r>
        <w:rPr>
          <w:spacing w:val="-3"/>
        </w:rPr>
        <w:t>175ZE</w:t>
      </w:r>
      <w:r>
        <w:rPr>
          <w:spacing w:val="-17"/>
        </w:rPr>
        <w:t> </w:t>
      </w:r>
      <w:r>
        <w:rPr/>
        <w:t>of</w:t>
      </w:r>
      <w:r>
        <w:rPr>
          <w:spacing w:val="-18"/>
        </w:rPr>
        <w:t> </w:t>
      </w:r>
      <w:r>
        <w:rPr/>
        <w:t>the</w:t>
      </w:r>
      <w:r>
        <w:rPr>
          <w:spacing w:val="-18"/>
        </w:rPr>
        <w:t> </w:t>
      </w:r>
      <w:r>
        <w:rPr>
          <w:i/>
          <w:spacing w:val="-3"/>
        </w:rPr>
        <w:t>Electoral</w:t>
      </w:r>
      <w:r>
        <w:rPr>
          <w:i/>
          <w:spacing w:val="-18"/>
        </w:rPr>
        <w:t> </w:t>
      </w:r>
      <w:r>
        <w:rPr>
          <w:i/>
        </w:rPr>
        <w:t>Act</w:t>
      </w:r>
      <w:r>
        <w:rPr>
          <w:i/>
          <w:spacing w:val="-17"/>
        </w:rPr>
        <w:t> </w:t>
      </w:r>
      <w:r>
        <w:rPr>
          <w:i/>
          <w:spacing w:val="-3"/>
        </w:rPr>
        <w:t>1907</w:t>
      </w:r>
      <w:r>
        <w:rPr>
          <w:spacing w:val="-3"/>
        </w:rPr>
        <w:t>,</w:t>
      </w:r>
      <w:r>
        <w:rPr>
          <w:spacing w:val="-18"/>
        </w:rPr>
        <w:t> </w:t>
      </w:r>
      <w:r>
        <w:rPr>
          <w:spacing w:val="-3"/>
        </w:rPr>
        <w:t>total</w:t>
      </w:r>
      <w:r>
        <w:rPr>
          <w:spacing w:val="-18"/>
        </w:rPr>
        <w:t> </w:t>
      </w:r>
      <w:r>
        <w:rPr>
          <w:spacing w:val="-3"/>
        </w:rPr>
        <w:t>advertising </w:t>
      </w:r>
      <w:r>
        <w:rPr>
          <w:spacing w:val="-4"/>
        </w:rPr>
        <w:t>related</w:t>
      </w:r>
      <w:r>
        <w:rPr>
          <w:spacing w:val="-23"/>
        </w:rPr>
        <w:t> </w:t>
      </w:r>
      <w:r>
        <w:rPr>
          <w:spacing w:val="-4"/>
        </w:rPr>
        <w:t>expenditure</w:t>
      </w:r>
      <w:r>
        <w:rPr>
          <w:spacing w:val="-23"/>
        </w:rPr>
        <w:t> </w:t>
      </w:r>
      <w:r>
        <w:rPr>
          <w:spacing w:val="-3"/>
        </w:rPr>
        <w:t>this</w:t>
      </w:r>
      <w:r>
        <w:rPr>
          <w:spacing w:val="-23"/>
        </w:rPr>
        <w:t> </w:t>
      </w:r>
      <w:r>
        <w:rPr>
          <w:spacing w:val="-3"/>
        </w:rPr>
        <w:t>year</w:t>
      </w:r>
      <w:r>
        <w:rPr>
          <w:spacing w:val="-22"/>
        </w:rPr>
        <w:t> </w:t>
      </w:r>
      <w:r>
        <w:rPr/>
        <w:t>was</w:t>
      </w:r>
      <w:r>
        <w:rPr>
          <w:spacing w:val="-23"/>
        </w:rPr>
        <w:t> </w:t>
      </w:r>
      <w:r>
        <w:rPr>
          <w:spacing w:val="-3"/>
        </w:rPr>
        <w:t>$648,356.</w:t>
      </w:r>
      <w:r>
        <w:rPr>
          <w:spacing w:val="-23"/>
        </w:rPr>
        <w:t> </w:t>
      </w:r>
      <w:r>
        <w:rPr/>
        <w:t>The</w:t>
      </w:r>
      <w:r>
        <w:rPr>
          <w:spacing w:val="-23"/>
        </w:rPr>
        <w:t> </w:t>
      </w:r>
      <w:r>
        <w:rPr>
          <w:spacing w:val="-3"/>
        </w:rPr>
        <w:t>majority</w:t>
      </w:r>
      <w:r>
        <w:rPr>
          <w:spacing w:val="-22"/>
        </w:rPr>
        <w:t> </w:t>
      </w:r>
      <w:r>
        <w:rPr/>
        <w:t>of</w:t>
      </w:r>
      <w:r>
        <w:rPr>
          <w:spacing w:val="-23"/>
        </w:rPr>
        <w:t> </w:t>
      </w:r>
      <w:r>
        <w:rPr>
          <w:spacing w:val="-3"/>
        </w:rPr>
        <w:t>this</w:t>
      </w:r>
      <w:r>
        <w:rPr>
          <w:spacing w:val="-23"/>
        </w:rPr>
        <w:t> </w:t>
      </w:r>
      <w:r>
        <w:rPr>
          <w:spacing w:val="-4"/>
        </w:rPr>
        <w:t>expenditure</w:t>
      </w:r>
      <w:r>
        <w:rPr>
          <w:spacing w:val="-23"/>
        </w:rPr>
        <w:t> </w:t>
      </w:r>
      <w:r>
        <w:rPr>
          <w:spacing w:val="-3"/>
        </w:rPr>
        <w:t>is </w:t>
      </w:r>
      <w:r>
        <w:rPr/>
        <w:t>a</w:t>
      </w:r>
      <w:r>
        <w:rPr>
          <w:spacing w:val="-18"/>
        </w:rPr>
        <w:t> </w:t>
      </w:r>
      <w:r>
        <w:rPr>
          <w:spacing w:val="-4"/>
        </w:rPr>
        <w:t>result</w:t>
      </w:r>
      <w:r>
        <w:rPr>
          <w:spacing w:val="-17"/>
        </w:rPr>
        <w:t> </w:t>
      </w:r>
      <w:r>
        <w:rPr/>
        <w:t>of</w:t>
      </w:r>
      <w:r>
        <w:rPr>
          <w:spacing w:val="-17"/>
        </w:rPr>
        <w:t> </w:t>
      </w:r>
      <w:r>
        <w:rPr>
          <w:spacing w:val="-3"/>
        </w:rPr>
        <w:t>‘one-off’</w:t>
      </w:r>
      <w:r>
        <w:rPr>
          <w:spacing w:val="-17"/>
        </w:rPr>
        <w:t> </w:t>
      </w:r>
      <w:r>
        <w:rPr>
          <w:spacing w:val="-4"/>
        </w:rPr>
        <w:t>creative</w:t>
      </w:r>
      <w:r>
        <w:rPr>
          <w:spacing w:val="-17"/>
        </w:rPr>
        <w:t> </w:t>
      </w:r>
      <w:r>
        <w:rPr>
          <w:spacing w:val="-3"/>
        </w:rPr>
        <w:t>services</w:t>
      </w:r>
      <w:r>
        <w:rPr>
          <w:spacing w:val="-17"/>
        </w:rPr>
        <w:t> </w:t>
      </w:r>
      <w:r>
        <w:rPr/>
        <w:t>and</w:t>
      </w:r>
      <w:r>
        <w:rPr>
          <w:spacing w:val="-17"/>
        </w:rPr>
        <w:t> </w:t>
      </w:r>
      <w:r>
        <w:rPr>
          <w:spacing w:val="-3"/>
        </w:rPr>
        <w:t>advertising</w:t>
      </w:r>
      <w:r>
        <w:rPr>
          <w:spacing w:val="-17"/>
        </w:rPr>
        <w:t> </w:t>
      </w:r>
      <w:r>
        <w:rPr/>
        <w:t>to</w:t>
      </w:r>
      <w:r>
        <w:rPr>
          <w:spacing w:val="-18"/>
        </w:rPr>
        <w:t> </w:t>
      </w:r>
      <w:r>
        <w:rPr>
          <w:spacing w:val="-3"/>
        </w:rPr>
        <w:t>educate</w:t>
      </w:r>
      <w:r>
        <w:rPr>
          <w:spacing w:val="-17"/>
        </w:rPr>
        <w:t> </w:t>
      </w:r>
      <w:r>
        <w:rPr/>
        <w:t>the</w:t>
      </w:r>
      <w:r>
        <w:rPr>
          <w:spacing w:val="-17"/>
        </w:rPr>
        <w:t> </w:t>
      </w:r>
      <w:r>
        <w:rPr>
          <w:spacing w:val="-3"/>
        </w:rPr>
        <w:t>public</w:t>
      </w:r>
      <w:r>
        <w:rPr>
          <w:spacing w:val="-17"/>
        </w:rPr>
        <w:t> </w:t>
      </w:r>
      <w:r>
        <w:rPr>
          <w:spacing w:val="-3"/>
        </w:rPr>
        <w:t>on</w:t>
      </w:r>
    </w:p>
    <w:p>
      <w:pPr>
        <w:pStyle w:val="BodyText"/>
        <w:spacing w:line="249" w:lineRule="auto" w:before="3"/>
        <w:ind w:left="629" w:right="303"/>
      </w:pPr>
      <w:r>
        <w:rPr>
          <w:spacing w:val="-3"/>
        </w:rPr>
        <w:t>policy</w:t>
      </w:r>
      <w:r>
        <w:rPr>
          <w:spacing w:val="-24"/>
        </w:rPr>
        <w:t> </w:t>
      </w:r>
      <w:r>
        <w:rPr>
          <w:spacing w:val="-4"/>
        </w:rPr>
        <w:t>reform</w:t>
      </w:r>
      <w:r>
        <w:rPr>
          <w:spacing w:val="-23"/>
        </w:rPr>
        <w:t> </w:t>
      </w:r>
      <w:r>
        <w:rPr>
          <w:spacing w:val="-3"/>
        </w:rPr>
        <w:t>initiatives</w:t>
      </w:r>
      <w:r>
        <w:rPr>
          <w:spacing w:val="-23"/>
        </w:rPr>
        <w:t> </w:t>
      </w:r>
      <w:r>
        <w:rPr/>
        <w:t>as</w:t>
      </w:r>
      <w:r>
        <w:rPr>
          <w:spacing w:val="-23"/>
        </w:rPr>
        <w:t> </w:t>
      </w:r>
      <w:r>
        <w:rPr>
          <w:spacing w:val="-3"/>
        </w:rPr>
        <w:t>part</w:t>
      </w:r>
      <w:r>
        <w:rPr>
          <w:spacing w:val="-23"/>
        </w:rPr>
        <w:t> </w:t>
      </w:r>
      <w:r>
        <w:rPr/>
        <w:t>of</w:t>
      </w:r>
      <w:r>
        <w:rPr>
          <w:spacing w:val="-23"/>
        </w:rPr>
        <w:t> </w:t>
      </w:r>
      <w:r>
        <w:rPr/>
        <w:t>the</w:t>
      </w:r>
      <w:r>
        <w:rPr>
          <w:spacing w:val="-23"/>
        </w:rPr>
        <w:t> </w:t>
      </w:r>
      <w:r>
        <w:rPr>
          <w:spacing w:val="-3"/>
        </w:rPr>
        <w:t>Electricity</w:t>
      </w:r>
      <w:r>
        <w:rPr>
          <w:spacing w:val="-24"/>
        </w:rPr>
        <w:t> </w:t>
      </w:r>
      <w:r>
        <w:rPr>
          <w:spacing w:val="-3"/>
        </w:rPr>
        <w:t>Market</w:t>
      </w:r>
      <w:r>
        <w:rPr>
          <w:spacing w:val="-23"/>
        </w:rPr>
        <w:t> </w:t>
      </w:r>
      <w:r>
        <w:rPr>
          <w:spacing w:val="-5"/>
        </w:rPr>
        <w:t>Review.</w:t>
      </w:r>
      <w:r>
        <w:rPr>
          <w:spacing w:val="-23"/>
        </w:rPr>
        <w:t> </w:t>
      </w:r>
      <w:r>
        <w:rPr/>
        <w:t>A</w:t>
      </w:r>
      <w:r>
        <w:rPr>
          <w:spacing w:val="-23"/>
        </w:rPr>
        <w:t> </w:t>
      </w:r>
      <w:r>
        <w:rPr>
          <w:spacing w:val="-3"/>
        </w:rPr>
        <w:t>small</w:t>
      </w:r>
      <w:r>
        <w:rPr>
          <w:spacing w:val="-23"/>
        </w:rPr>
        <w:t> </w:t>
      </w:r>
      <w:r>
        <w:rPr>
          <w:spacing w:val="-3"/>
        </w:rPr>
        <w:t>portion</w:t>
      </w:r>
      <w:r>
        <w:rPr>
          <w:spacing w:val="-23"/>
        </w:rPr>
        <w:t> </w:t>
      </w:r>
      <w:r>
        <w:rPr>
          <w:spacing w:val="-3"/>
        </w:rPr>
        <w:t>of advertising</w:t>
      </w:r>
      <w:r>
        <w:rPr>
          <w:spacing w:val="-23"/>
        </w:rPr>
        <w:t> </w:t>
      </w:r>
      <w:r>
        <w:rPr>
          <w:spacing w:val="-4"/>
        </w:rPr>
        <w:t>expenditure</w:t>
      </w:r>
      <w:r>
        <w:rPr>
          <w:spacing w:val="-23"/>
        </w:rPr>
        <w:t> </w:t>
      </w:r>
      <w:r>
        <w:rPr>
          <w:spacing w:val="-3"/>
        </w:rPr>
        <w:t>also</w:t>
      </w:r>
      <w:r>
        <w:rPr>
          <w:spacing w:val="-22"/>
        </w:rPr>
        <w:t> </w:t>
      </w:r>
      <w:r>
        <w:rPr>
          <w:spacing w:val="-4"/>
        </w:rPr>
        <w:t>related</w:t>
      </w:r>
      <w:r>
        <w:rPr>
          <w:spacing w:val="-23"/>
        </w:rPr>
        <w:t> </w:t>
      </w:r>
      <w:r>
        <w:rPr/>
        <w:t>to</w:t>
      </w:r>
      <w:r>
        <w:rPr>
          <w:spacing w:val="-23"/>
        </w:rPr>
        <w:t> </w:t>
      </w:r>
      <w:r>
        <w:rPr>
          <w:spacing w:val="-3"/>
        </w:rPr>
        <w:t>Economic</w:t>
      </w:r>
      <w:r>
        <w:rPr>
          <w:spacing w:val="-22"/>
        </w:rPr>
        <w:t> </w:t>
      </w:r>
      <w:r>
        <w:rPr>
          <w:spacing w:val="-3"/>
        </w:rPr>
        <w:t>Reform</w:t>
      </w:r>
      <w:r>
        <w:rPr>
          <w:spacing w:val="-23"/>
        </w:rPr>
        <w:t> </w:t>
      </w:r>
      <w:r>
        <w:rPr>
          <w:spacing w:val="-3"/>
        </w:rPr>
        <w:t>marketing</w:t>
      </w:r>
      <w:r>
        <w:rPr>
          <w:spacing w:val="-22"/>
        </w:rPr>
        <w:t> </w:t>
      </w:r>
      <w:r>
        <w:rPr>
          <w:spacing w:val="-3"/>
        </w:rPr>
        <w:t>material</w:t>
      </w:r>
      <w:r>
        <w:rPr>
          <w:spacing w:val="-23"/>
        </w:rPr>
        <w:t> </w:t>
      </w:r>
      <w:r>
        <w:rPr>
          <w:spacing w:val="-3"/>
        </w:rPr>
        <w:t>for Repeal</w:t>
      </w:r>
      <w:r>
        <w:rPr>
          <w:spacing w:val="-21"/>
        </w:rPr>
        <w:t> </w:t>
      </w:r>
      <w:r>
        <w:rPr>
          <w:spacing w:val="-4"/>
        </w:rPr>
        <w:t>Week,</w:t>
      </w:r>
      <w:r>
        <w:rPr>
          <w:spacing w:val="-21"/>
        </w:rPr>
        <w:t> </w:t>
      </w:r>
      <w:r>
        <w:rPr/>
        <w:t>and</w:t>
      </w:r>
      <w:r>
        <w:rPr>
          <w:spacing w:val="-20"/>
        </w:rPr>
        <w:t> </w:t>
      </w:r>
      <w:r>
        <w:rPr>
          <w:spacing w:val="-3"/>
        </w:rPr>
        <w:t>advertising</w:t>
      </w:r>
      <w:r>
        <w:rPr>
          <w:spacing w:val="-21"/>
        </w:rPr>
        <w:t> </w:t>
      </w:r>
      <w:r>
        <w:rPr>
          <w:spacing w:val="-3"/>
        </w:rPr>
        <w:t>first</w:t>
      </w:r>
      <w:r>
        <w:rPr>
          <w:spacing w:val="-20"/>
        </w:rPr>
        <w:t> </w:t>
      </w:r>
      <w:r>
        <w:rPr>
          <w:spacing w:val="-3"/>
        </w:rPr>
        <w:t>home</w:t>
      </w:r>
      <w:r>
        <w:rPr>
          <w:spacing w:val="-21"/>
        </w:rPr>
        <w:t> </w:t>
      </w:r>
      <w:r>
        <w:rPr>
          <w:spacing w:val="-3"/>
        </w:rPr>
        <w:t>owner</w:t>
      </w:r>
      <w:r>
        <w:rPr>
          <w:spacing w:val="-20"/>
        </w:rPr>
        <w:t> </w:t>
      </w:r>
      <w:r>
        <w:rPr>
          <w:spacing w:val="-3"/>
        </w:rPr>
        <w:t>grant</w:t>
      </w:r>
      <w:r>
        <w:rPr>
          <w:spacing w:val="-21"/>
        </w:rPr>
        <w:t> </w:t>
      </w:r>
      <w:r>
        <w:rPr>
          <w:spacing w:val="-3"/>
        </w:rPr>
        <w:t>changes.</w:t>
      </w:r>
      <w:r>
        <w:rPr>
          <w:spacing w:val="-20"/>
        </w:rPr>
        <w:t> </w:t>
      </w:r>
      <w:r>
        <w:rPr/>
        <w:t>The</w:t>
      </w:r>
      <w:r>
        <w:rPr>
          <w:spacing w:val="-21"/>
        </w:rPr>
        <w:t> </w:t>
      </w:r>
      <w:r>
        <w:rPr>
          <w:spacing w:val="-3"/>
        </w:rPr>
        <w:t>majority</w:t>
      </w:r>
      <w:r>
        <w:rPr>
          <w:spacing w:val="-20"/>
        </w:rPr>
        <w:t> </w:t>
      </w:r>
      <w:r>
        <w:rPr>
          <w:spacing w:val="-3"/>
        </w:rPr>
        <w:t>of Adcorp</w:t>
      </w:r>
      <w:r>
        <w:rPr>
          <w:spacing w:val="-10"/>
        </w:rPr>
        <w:t> </w:t>
      </w:r>
      <w:r>
        <w:rPr>
          <w:spacing w:val="-4"/>
        </w:rPr>
        <w:t>expenditure</w:t>
      </w:r>
      <w:r>
        <w:rPr>
          <w:spacing w:val="-9"/>
        </w:rPr>
        <w:t> </w:t>
      </w:r>
      <w:r>
        <w:rPr>
          <w:spacing w:val="-4"/>
        </w:rPr>
        <w:t>relates</w:t>
      </w:r>
      <w:r>
        <w:rPr>
          <w:spacing w:val="-10"/>
        </w:rPr>
        <w:t> </w:t>
      </w:r>
      <w:r>
        <w:rPr/>
        <w:t>to</w:t>
      </w:r>
      <w:r>
        <w:rPr>
          <w:spacing w:val="-9"/>
        </w:rPr>
        <w:t> </w:t>
      </w:r>
      <w:r>
        <w:rPr>
          <w:spacing w:val="-3"/>
        </w:rPr>
        <w:t>information</w:t>
      </w:r>
      <w:r>
        <w:rPr>
          <w:spacing w:val="-9"/>
        </w:rPr>
        <w:t> </w:t>
      </w:r>
      <w:r>
        <w:rPr>
          <w:spacing w:val="-3"/>
        </w:rPr>
        <w:t>notices</w:t>
      </w:r>
      <w:r>
        <w:rPr>
          <w:spacing w:val="-10"/>
        </w:rPr>
        <w:t> </w:t>
      </w:r>
      <w:r>
        <w:rPr/>
        <w:t>and</w:t>
      </w:r>
      <w:r>
        <w:rPr>
          <w:spacing w:val="-9"/>
        </w:rPr>
        <w:t> </w:t>
      </w:r>
      <w:r>
        <w:rPr>
          <w:spacing w:val="-4"/>
        </w:rPr>
        <w:t>recruitment.</w:t>
      </w:r>
    </w:p>
    <w:p>
      <w:pPr>
        <w:spacing w:after="0" w:line="249" w:lineRule="auto"/>
        <w:sectPr>
          <w:type w:val="continuous"/>
          <w:pgSz w:w="16840" w:h="11910" w:orient="landscape"/>
          <w:pgMar w:top="0" w:bottom="0" w:left="0" w:right="0"/>
          <w:cols w:num="2" w:equalWidth="0">
            <w:col w:w="7962" w:space="40"/>
            <w:col w:w="8838"/>
          </w:cols>
        </w:sectPr>
      </w:pPr>
    </w:p>
    <w:p>
      <w:pPr>
        <w:pStyle w:val="BodyText"/>
        <w:spacing w:before="2"/>
        <w:rPr>
          <w:sz w:val="26"/>
        </w:rPr>
      </w:pPr>
    </w:p>
    <w:p>
      <w:pPr>
        <w:tabs>
          <w:tab w:pos="8631" w:val="left" w:leader="none"/>
        </w:tabs>
        <w:spacing w:line="240" w:lineRule="auto"/>
        <w:ind w:left="765" w:right="0" w:firstLine="0"/>
        <w:rPr>
          <w:sz w:val="20"/>
        </w:rPr>
      </w:pPr>
      <w:r>
        <w:rPr>
          <w:position w:val="28"/>
          <w:sz w:val="20"/>
        </w:rPr>
        <w:pict>
          <v:shape style="width:372.55pt;height:149.25pt;mso-position-horizontal-relative:char;mso-position-vertical-relative:line" type="#_x0000_t202"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4"/>
                    <w:gridCol w:w="1418"/>
                  </w:tblGrid>
                  <w:tr>
                    <w:trPr>
                      <w:trHeight w:val="305" w:hRule="atLeast"/>
                    </w:trPr>
                    <w:tc>
                      <w:tcPr>
                        <w:tcW w:w="7442" w:type="dxa"/>
                        <w:gridSpan w:val="2"/>
                        <w:tcBorders>
                          <w:left w:val="single" w:sz="8" w:space="0" w:color="FFFFFF"/>
                        </w:tcBorders>
                        <w:shd w:val="clear" w:color="auto" w:fill="783A79"/>
                      </w:tcPr>
                      <w:p>
                        <w:pPr>
                          <w:pStyle w:val="TableParagraph"/>
                          <w:tabs>
                            <w:tab w:pos="7327" w:val="right" w:leader="none"/>
                          </w:tabs>
                          <w:spacing w:before="42"/>
                          <w:ind w:left="113"/>
                          <w:rPr>
                            <w:b/>
                            <w:sz w:val="19"/>
                          </w:rPr>
                        </w:pPr>
                        <w:r>
                          <w:rPr>
                            <w:b/>
                            <w:color w:val="FFFFFF"/>
                            <w:sz w:val="19"/>
                          </w:rPr>
                          <w:t>Measure</w:t>
                          <w:tab/>
                          <w:t>2016-17</w:t>
                        </w:r>
                      </w:p>
                    </w:tc>
                  </w:tr>
                  <w:tr>
                    <w:trPr>
                      <w:trHeight w:val="523" w:hRule="atLeast"/>
                    </w:trPr>
                    <w:tc>
                      <w:tcPr>
                        <w:tcW w:w="6024" w:type="dxa"/>
                        <w:tcBorders>
                          <w:left w:val="single" w:sz="8" w:space="0" w:color="FFFFFF"/>
                          <w:bottom w:val="single" w:sz="8" w:space="0" w:color="FFFFFF"/>
                        </w:tcBorders>
                        <w:shd w:val="clear" w:color="auto" w:fill="F4F4F4"/>
                      </w:tcPr>
                      <w:p>
                        <w:pPr>
                          <w:pStyle w:val="TableParagraph"/>
                          <w:spacing w:line="249" w:lineRule="auto" w:before="42"/>
                          <w:ind w:left="113" w:right="1646"/>
                          <w:rPr>
                            <w:sz w:val="19"/>
                          </w:rPr>
                        </w:pPr>
                        <w:r>
                          <w:rPr>
                            <w:sz w:val="19"/>
                          </w:rPr>
                          <w:t>Number</w:t>
                        </w:r>
                        <w:r>
                          <w:rPr>
                            <w:spacing w:val="-18"/>
                            <w:sz w:val="19"/>
                          </w:rPr>
                          <w:t> </w:t>
                        </w:r>
                        <w:r>
                          <w:rPr>
                            <w:sz w:val="19"/>
                          </w:rPr>
                          <w:t>of</w:t>
                        </w:r>
                        <w:r>
                          <w:rPr>
                            <w:spacing w:val="-17"/>
                            <w:sz w:val="19"/>
                          </w:rPr>
                          <w:t> </w:t>
                        </w:r>
                        <w:r>
                          <w:rPr>
                            <w:sz w:val="19"/>
                          </w:rPr>
                          <w:t>instances</w:t>
                        </w:r>
                        <w:r>
                          <w:rPr>
                            <w:spacing w:val="-17"/>
                            <w:sz w:val="19"/>
                          </w:rPr>
                          <w:t> </w:t>
                        </w:r>
                        <w:r>
                          <w:rPr>
                            <w:sz w:val="19"/>
                          </w:rPr>
                          <w:t>a</w:t>
                        </w:r>
                        <w:r>
                          <w:rPr>
                            <w:spacing w:val="-17"/>
                            <w:sz w:val="19"/>
                          </w:rPr>
                          <w:t> </w:t>
                        </w:r>
                        <w:r>
                          <w:rPr>
                            <w:sz w:val="19"/>
                          </w:rPr>
                          <w:t>government</w:t>
                        </w:r>
                        <w:r>
                          <w:rPr>
                            <w:spacing w:val="-17"/>
                            <w:sz w:val="19"/>
                          </w:rPr>
                          <w:t> </w:t>
                        </w:r>
                        <w:r>
                          <w:rPr>
                            <w:sz w:val="19"/>
                          </w:rPr>
                          <w:t>purchasing</w:t>
                        </w:r>
                        <w:r>
                          <w:rPr>
                            <w:spacing w:val="-17"/>
                            <w:sz w:val="19"/>
                          </w:rPr>
                          <w:t> </w:t>
                        </w:r>
                        <w:r>
                          <w:rPr>
                            <w:spacing w:val="-6"/>
                            <w:sz w:val="19"/>
                          </w:rPr>
                          <w:t>card </w:t>
                        </w:r>
                        <w:r>
                          <w:rPr>
                            <w:sz w:val="19"/>
                          </w:rPr>
                          <w:t>has been used for personal</w:t>
                        </w:r>
                        <w:r>
                          <w:rPr>
                            <w:spacing w:val="-13"/>
                            <w:sz w:val="19"/>
                          </w:rPr>
                          <w:t> </w:t>
                        </w:r>
                        <w:r>
                          <w:rPr>
                            <w:sz w:val="19"/>
                          </w:rPr>
                          <w:t>use</w:t>
                        </w:r>
                      </w:p>
                    </w:tc>
                    <w:tc>
                      <w:tcPr>
                        <w:tcW w:w="1418" w:type="dxa"/>
                        <w:vMerge w:val="restart"/>
                        <w:shd w:val="clear" w:color="auto" w:fill="DFE1B8"/>
                      </w:tcPr>
                      <w:p>
                        <w:pPr>
                          <w:pStyle w:val="TableParagraph"/>
                          <w:spacing w:before="42"/>
                          <w:ind w:right="102"/>
                          <w:jc w:val="right"/>
                          <w:rPr>
                            <w:sz w:val="19"/>
                          </w:rPr>
                        </w:pPr>
                        <w:r>
                          <w:rPr>
                            <w:w w:val="99"/>
                            <w:sz w:val="19"/>
                          </w:rPr>
                          <w:t>8</w:t>
                        </w:r>
                      </w:p>
                      <w:p>
                        <w:pPr>
                          <w:pStyle w:val="TableParagraph"/>
                          <w:spacing w:before="5"/>
                          <w:rPr>
                            <w:sz w:val="27"/>
                          </w:rPr>
                        </w:pPr>
                      </w:p>
                      <w:p>
                        <w:pPr>
                          <w:pStyle w:val="TableParagraph"/>
                          <w:spacing w:before="0"/>
                          <w:ind w:left="626"/>
                          <w:rPr>
                            <w:sz w:val="19"/>
                          </w:rPr>
                        </w:pPr>
                        <w:r>
                          <w:rPr>
                            <w:sz w:val="19"/>
                          </w:rPr>
                          <w:t>$757.82</w:t>
                        </w:r>
                      </w:p>
                      <w:p>
                        <w:pPr>
                          <w:pStyle w:val="TableParagraph"/>
                          <w:spacing w:before="4"/>
                          <w:rPr>
                            <w:sz w:val="27"/>
                          </w:rPr>
                        </w:pPr>
                      </w:p>
                      <w:p>
                        <w:pPr>
                          <w:pStyle w:val="TableParagraph"/>
                          <w:spacing w:before="1"/>
                          <w:ind w:left="626"/>
                          <w:rPr>
                            <w:sz w:val="19"/>
                          </w:rPr>
                        </w:pPr>
                        <w:r>
                          <w:rPr>
                            <w:sz w:val="19"/>
                          </w:rPr>
                          <w:t>$757.82</w:t>
                        </w:r>
                      </w:p>
                      <w:p>
                        <w:pPr>
                          <w:pStyle w:val="TableParagraph"/>
                          <w:spacing w:line="530" w:lineRule="atLeast" w:before="3"/>
                          <w:ind w:left="937" w:right="102"/>
                          <w:jc w:val="right"/>
                          <w:rPr>
                            <w:sz w:val="19"/>
                          </w:rPr>
                        </w:pPr>
                        <w:r>
                          <w:rPr>
                            <w:w w:val="90"/>
                            <w:sz w:val="19"/>
                          </w:rPr>
                          <w:t>Nil Nil</w:t>
                        </w:r>
                      </w:p>
                    </w:tc>
                  </w:tr>
                  <w:tr>
                    <w:trPr>
                      <w:trHeight w:val="513" w:hRule="atLeast"/>
                    </w:trPr>
                    <w:tc>
                      <w:tcPr>
                        <w:tcW w:w="6024" w:type="dxa"/>
                        <w:tcBorders>
                          <w:top w:val="single" w:sz="8" w:space="0" w:color="FFFFFF"/>
                          <w:left w:val="single" w:sz="8" w:space="0" w:color="FFFFFF"/>
                          <w:bottom w:val="single" w:sz="8" w:space="0" w:color="FFFFFF"/>
                        </w:tcBorders>
                        <w:shd w:val="clear" w:color="auto" w:fill="FAF9F9"/>
                      </w:tcPr>
                      <w:p>
                        <w:pPr>
                          <w:pStyle w:val="TableParagraph"/>
                          <w:spacing w:line="249" w:lineRule="auto"/>
                          <w:ind w:left="113" w:right="2055"/>
                          <w:rPr>
                            <w:sz w:val="19"/>
                          </w:rPr>
                        </w:pPr>
                        <w:r>
                          <w:rPr>
                            <w:sz w:val="19"/>
                          </w:rPr>
                          <w:t>Aggregate</w:t>
                        </w:r>
                        <w:r>
                          <w:rPr>
                            <w:spacing w:val="-21"/>
                            <w:sz w:val="19"/>
                          </w:rPr>
                          <w:t> </w:t>
                        </w:r>
                        <w:r>
                          <w:rPr>
                            <w:sz w:val="19"/>
                          </w:rPr>
                          <w:t>amount</w:t>
                        </w:r>
                        <w:r>
                          <w:rPr>
                            <w:spacing w:val="-20"/>
                            <w:sz w:val="19"/>
                          </w:rPr>
                          <w:t> </w:t>
                        </w:r>
                        <w:r>
                          <w:rPr>
                            <w:sz w:val="19"/>
                          </w:rPr>
                          <w:t>of</w:t>
                        </w:r>
                        <w:r>
                          <w:rPr>
                            <w:spacing w:val="-21"/>
                            <w:sz w:val="19"/>
                          </w:rPr>
                          <w:t> </w:t>
                        </w:r>
                        <w:r>
                          <w:rPr>
                            <w:sz w:val="19"/>
                          </w:rPr>
                          <w:t>personal</w:t>
                        </w:r>
                        <w:r>
                          <w:rPr>
                            <w:spacing w:val="-20"/>
                            <w:sz w:val="19"/>
                          </w:rPr>
                          <w:t> </w:t>
                        </w:r>
                        <w:r>
                          <w:rPr>
                            <w:sz w:val="19"/>
                          </w:rPr>
                          <w:t>use</w:t>
                        </w:r>
                        <w:r>
                          <w:rPr>
                            <w:spacing w:val="-21"/>
                            <w:sz w:val="19"/>
                          </w:rPr>
                          <w:t> </w:t>
                        </w:r>
                        <w:r>
                          <w:rPr>
                            <w:spacing w:val="-3"/>
                            <w:sz w:val="19"/>
                          </w:rPr>
                          <w:t>expenditure </w:t>
                        </w:r>
                        <w:r>
                          <w:rPr>
                            <w:sz w:val="19"/>
                          </w:rPr>
                          <w:t>for the reporting</w:t>
                        </w:r>
                        <w:r>
                          <w:rPr>
                            <w:spacing w:val="-4"/>
                            <w:sz w:val="19"/>
                          </w:rPr>
                          <w:t> </w:t>
                        </w:r>
                        <w:r>
                          <w:rPr>
                            <w:sz w:val="19"/>
                          </w:rPr>
                          <w:t>period</w:t>
                        </w:r>
                      </w:p>
                    </w:tc>
                    <w:tc>
                      <w:tcPr>
                        <w:tcW w:w="1418" w:type="dxa"/>
                        <w:vMerge/>
                        <w:tcBorders>
                          <w:top w:val="nil"/>
                        </w:tcBorders>
                        <w:shd w:val="clear" w:color="auto" w:fill="DFE1B8"/>
                      </w:tcPr>
                      <w:p>
                        <w:pPr>
                          <w:rPr>
                            <w:sz w:val="2"/>
                            <w:szCs w:val="2"/>
                          </w:rPr>
                        </w:pPr>
                      </w:p>
                    </w:tc>
                  </w:tr>
                  <w:tr>
                    <w:trPr>
                      <w:trHeight w:val="513" w:hRule="atLeast"/>
                    </w:trPr>
                    <w:tc>
                      <w:tcPr>
                        <w:tcW w:w="6024" w:type="dxa"/>
                        <w:tcBorders>
                          <w:top w:val="single" w:sz="8" w:space="0" w:color="FFFFFF"/>
                          <w:left w:val="single" w:sz="8" w:space="0" w:color="FFFFFF"/>
                          <w:bottom w:val="single" w:sz="8" w:space="0" w:color="FFFFFF"/>
                        </w:tcBorders>
                        <w:shd w:val="clear" w:color="auto" w:fill="F4F4F4"/>
                      </w:tcPr>
                      <w:p>
                        <w:pPr>
                          <w:pStyle w:val="TableParagraph"/>
                          <w:spacing w:line="249" w:lineRule="auto"/>
                          <w:ind w:left="113" w:right="1206"/>
                          <w:rPr>
                            <w:sz w:val="19"/>
                          </w:rPr>
                        </w:pPr>
                        <w:r>
                          <w:rPr>
                            <w:sz w:val="19"/>
                          </w:rPr>
                          <w:t>Aggregate</w:t>
                        </w:r>
                        <w:r>
                          <w:rPr>
                            <w:spacing w:val="-20"/>
                            <w:sz w:val="19"/>
                          </w:rPr>
                          <w:t> </w:t>
                        </w:r>
                        <w:r>
                          <w:rPr>
                            <w:sz w:val="19"/>
                          </w:rPr>
                          <w:t>amount</w:t>
                        </w:r>
                        <w:r>
                          <w:rPr>
                            <w:spacing w:val="-19"/>
                            <w:sz w:val="19"/>
                          </w:rPr>
                          <w:t> </w:t>
                        </w:r>
                        <w:r>
                          <w:rPr>
                            <w:sz w:val="19"/>
                          </w:rPr>
                          <w:t>of</w:t>
                        </w:r>
                        <w:r>
                          <w:rPr>
                            <w:spacing w:val="-19"/>
                            <w:sz w:val="19"/>
                          </w:rPr>
                          <w:t> </w:t>
                        </w:r>
                        <w:r>
                          <w:rPr>
                            <w:sz w:val="19"/>
                          </w:rPr>
                          <w:t>personal</w:t>
                        </w:r>
                        <w:r>
                          <w:rPr>
                            <w:spacing w:val="-20"/>
                            <w:sz w:val="19"/>
                          </w:rPr>
                          <w:t> </w:t>
                        </w:r>
                        <w:r>
                          <w:rPr>
                            <w:sz w:val="19"/>
                          </w:rPr>
                          <w:t>use</w:t>
                        </w:r>
                        <w:r>
                          <w:rPr>
                            <w:spacing w:val="-19"/>
                            <w:sz w:val="19"/>
                          </w:rPr>
                          <w:t> </w:t>
                        </w:r>
                        <w:r>
                          <w:rPr>
                            <w:sz w:val="19"/>
                          </w:rPr>
                          <w:t>expenditure</w:t>
                        </w:r>
                        <w:r>
                          <w:rPr>
                            <w:spacing w:val="-19"/>
                            <w:sz w:val="19"/>
                          </w:rPr>
                          <w:t> </w:t>
                        </w:r>
                        <w:r>
                          <w:rPr>
                            <w:sz w:val="19"/>
                          </w:rPr>
                          <w:t>settled</w:t>
                        </w:r>
                        <w:r>
                          <w:rPr>
                            <w:spacing w:val="-19"/>
                            <w:sz w:val="19"/>
                          </w:rPr>
                          <w:t> </w:t>
                        </w:r>
                        <w:r>
                          <w:rPr>
                            <w:spacing w:val="-9"/>
                            <w:sz w:val="19"/>
                          </w:rPr>
                          <w:t>by </w:t>
                        </w:r>
                        <w:r>
                          <w:rPr>
                            <w:sz w:val="19"/>
                          </w:rPr>
                          <w:t>the due date (within five working</w:t>
                        </w:r>
                        <w:r>
                          <w:rPr>
                            <w:spacing w:val="-21"/>
                            <w:sz w:val="19"/>
                          </w:rPr>
                          <w:t> </w:t>
                        </w:r>
                        <w:r>
                          <w:rPr>
                            <w:sz w:val="19"/>
                          </w:rPr>
                          <w:t>days)</w:t>
                        </w:r>
                      </w:p>
                    </w:tc>
                    <w:tc>
                      <w:tcPr>
                        <w:tcW w:w="1418" w:type="dxa"/>
                        <w:vMerge/>
                        <w:tcBorders>
                          <w:top w:val="nil"/>
                        </w:tcBorders>
                        <w:shd w:val="clear" w:color="auto" w:fill="DFE1B8"/>
                      </w:tcPr>
                      <w:p>
                        <w:pPr>
                          <w:rPr>
                            <w:sz w:val="2"/>
                            <w:szCs w:val="2"/>
                          </w:rPr>
                        </w:pPr>
                      </w:p>
                    </w:tc>
                  </w:tr>
                  <w:tr>
                    <w:trPr>
                      <w:trHeight w:val="513" w:hRule="atLeast"/>
                    </w:trPr>
                    <w:tc>
                      <w:tcPr>
                        <w:tcW w:w="6024" w:type="dxa"/>
                        <w:tcBorders>
                          <w:top w:val="single" w:sz="8" w:space="0" w:color="FFFFFF"/>
                          <w:left w:val="single" w:sz="8" w:space="0" w:color="FFFFFF"/>
                          <w:bottom w:val="single" w:sz="8" w:space="0" w:color="FFFFFF"/>
                        </w:tcBorders>
                        <w:shd w:val="clear" w:color="auto" w:fill="FAF9F9"/>
                      </w:tcPr>
                      <w:p>
                        <w:pPr>
                          <w:pStyle w:val="TableParagraph"/>
                          <w:spacing w:line="249" w:lineRule="auto"/>
                          <w:ind w:left="113" w:right="1040"/>
                          <w:rPr>
                            <w:sz w:val="19"/>
                          </w:rPr>
                        </w:pPr>
                        <w:r>
                          <w:rPr>
                            <w:sz w:val="19"/>
                          </w:rPr>
                          <w:t>Aggregate</w:t>
                        </w:r>
                        <w:r>
                          <w:rPr>
                            <w:spacing w:val="-21"/>
                            <w:sz w:val="19"/>
                          </w:rPr>
                          <w:t> </w:t>
                        </w:r>
                        <w:r>
                          <w:rPr>
                            <w:sz w:val="19"/>
                          </w:rPr>
                          <w:t>amount</w:t>
                        </w:r>
                        <w:r>
                          <w:rPr>
                            <w:spacing w:val="-21"/>
                            <w:sz w:val="19"/>
                          </w:rPr>
                          <w:t> </w:t>
                        </w:r>
                        <w:r>
                          <w:rPr>
                            <w:sz w:val="19"/>
                          </w:rPr>
                          <w:t>of</w:t>
                        </w:r>
                        <w:r>
                          <w:rPr>
                            <w:spacing w:val="-21"/>
                            <w:sz w:val="19"/>
                          </w:rPr>
                          <w:t> </w:t>
                        </w:r>
                        <w:r>
                          <w:rPr>
                            <w:sz w:val="19"/>
                          </w:rPr>
                          <w:t>personal</w:t>
                        </w:r>
                        <w:r>
                          <w:rPr>
                            <w:spacing w:val="-21"/>
                            <w:sz w:val="19"/>
                          </w:rPr>
                          <w:t> </w:t>
                        </w:r>
                        <w:r>
                          <w:rPr>
                            <w:sz w:val="19"/>
                          </w:rPr>
                          <w:t>use</w:t>
                        </w:r>
                        <w:r>
                          <w:rPr>
                            <w:spacing w:val="-21"/>
                            <w:sz w:val="19"/>
                          </w:rPr>
                          <w:t> </w:t>
                        </w:r>
                        <w:r>
                          <w:rPr>
                            <w:sz w:val="19"/>
                          </w:rPr>
                          <w:t>expenditure</w:t>
                        </w:r>
                        <w:r>
                          <w:rPr>
                            <w:spacing w:val="-20"/>
                            <w:sz w:val="19"/>
                          </w:rPr>
                          <w:t> </w:t>
                        </w:r>
                        <w:r>
                          <w:rPr>
                            <w:sz w:val="19"/>
                          </w:rPr>
                          <w:t>settled</w:t>
                        </w:r>
                        <w:r>
                          <w:rPr>
                            <w:spacing w:val="-21"/>
                            <w:sz w:val="19"/>
                          </w:rPr>
                          <w:t> </w:t>
                        </w:r>
                        <w:r>
                          <w:rPr>
                            <w:spacing w:val="-4"/>
                            <w:sz w:val="19"/>
                          </w:rPr>
                          <w:t>after </w:t>
                        </w:r>
                        <w:r>
                          <w:rPr>
                            <w:sz w:val="19"/>
                          </w:rPr>
                          <w:t>the period (after five working</w:t>
                        </w:r>
                        <w:r>
                          <w:rPr>
                            <w:spacing w:val="-14"/>
                            <w:sz w:val="19"/>
                          </w:rPr>
                          <w:t> </w:t>
                        </w:r>
                        <w:r>
                          <w:rPr>
                            <w:sz w:val="19"/>
                          </w:rPr>
                          <w:t>days)</w:t>
                        </w:r>
                      </w:p>
                    </w:tc>
                    <w:tc>
                      <w:tcPr>
                        <w:tcW w:w="1418" w:type="dxa"/>
                        <w:vMerge/>
                        <w:tcBorders>
                          <w:top w:val="nil"/>
                        </w:tcBorders>
                        <w:shd w:val="clear" w:color="auto" w:fill="DFE1B8"/>
                      </w:tcPr>
                      <w:p>
                        <w:pPr>
                          <w:rPr>
                            <w:sz w:val="2"/>
                            <w:szCs w:val="2"/>
                          </w:rPr>
                        </w:pPr>
                      </w:p>
                    </w:tc>
                  </w:tr>
                  <w:tr>
                    <w:trPr>
                      <w:trHeight w:val="513" w:hRule="atLeast"/>
                    </w:trPr>
                    <w:tc>
                      <w:tcPr>
                        <w:tcW w:w="6024" w:type="dxa"/>
                        <w:tcBorders>
                          <w:top w:val="single" w:sz="8" w:space="0" w:color="FFFFFF"/>
                          <w:left w:val="single" w:sz="8" w:space="0" w:color="FFFFFF"/>
                          <w:bottom w:val="single" w:sz="8" w:space="0" w:color="FFFFFF"/>
                        </w:tcBorders>
                        <w:shd w:val="clear" w:color="auto" w:fill="F4F4F4"/>
                      </w:tcPr>
                      <w:p>
                        <w:pPr>
                          <w:pStyle w:val="TableParagraph"/>
                          <w:spacing w:line="249" w:lineRule="auto"/>
                          <w:ind w:left="113" w:right="1035"/>
                          <w:rPr>
                            <w:sz w:val="19"/>
                          </w:rPr>
                        </w:pPr>
                        <w:r>
                          <w:rPr>
                            <w:sz w:val="19"/>
                          </w:rPr>
                          <w:t>Aggregate</w:t>
                        </w:r>
                        <w:r>
                          <w:rPr>
                            <w:spacing w:val="-26"/>
                            <w:sz w:val="19"/>
                          </w:rPr>
                          <w:t> </w:t>
                        </w:r>
                        <w:r>
                          <w:rPr>
                            <w:sz w:val="19"/>
                          </w:rPr>
                          <w:t>amount</w:t>
                        </w:r>
                        <w:r>
                          <w:rPr>
                            <w:spacing w:val="-25"/>
                            <w:sz w:val="19"/>
                          </w:rPr>
                          <w:t> </w:t>
                        </w:r>
                        <w:r>
                          <w:rPr>
                            <w:sz w:val="19"/>
                          </w:rPr>
                          <w:t>of</w:t>
                        </w:r>
                        <w:r>
                          <w:rPr>
                            <w:spacing w:val="-25"/>
                            <w:sz w:val="19"/>
                          </w:rPr>
                          <w:t> </w:t>
                        </w:r>
                        <w:r>
                          <w:rPr>
                            <w:sz w:val="19"/>
                          </w:rPr>
                          <w:t>personal</w:t>
                        </w:r>
                        <w:r>
                          <w:rPr>
                            <w:spacing w:val="-25"/>
                            <w:sz w:val="19"/>
                          </w:rPr>
                          <w:t> </w:t>
                        </w:r>
                        <w:r>
                          <w:rPr>
                            <w:sz w:val="19"/>
                          </w:rPr>
                          <w:t>use</w:t>
                        </w:r>
                        <w:r>
                          <w:rPr>
                            <w:spacing w:val="-25"/>
                            <w:sz w:val="19"/>
                          </w:rPr>
                          <w:t> </w:t>
                        </w:r>
                        <w:r>
                          <w:rPr>
                            <w:sz w:val="19"/>
                          </w:rPr>
                          <w:t>expenditure</w:t>
                        </w:r>
                        <w:r>
                          <w:rPr>
                            <w:spacing w:val="-25"/>
                            <w:sz w:val="19"/>
                          </w:rPr>
                          <w:t> </w:t>
                        </w:r>
                        <w:r>
                          <w:rPr>
                            <w:sz w:val="19"/>
                          </w:rPr>
                          <w:t>outstanding at balance</w:t>
                        </w:r>
                        <w:r>
                          <w:rPr>
                            <w:spacing w:val="-2"/>
                            <w:sz w:val="19"/>
                          </w:rPr>
                          <w:t> </w:t>
                        </w:r>
                        <w:r>
                          <w:rPr>
                            <w:sz w:val="19"/>
                          </w:rPr>
                          <w:t>date</w:t>
                        </w:r>
                      </w:p>
                    </w:tc>
                    <w:tc>
                      <w:tcPr>
                        <w:tcW w:w="1418" w:type="dxa"/>
                        <w:vMerge/>
                        <w:tcBorders>
                          <w:top w:val="nil"/>
                        </w:tcBorders>
                        <w:shd w:val="clear" w:color="auto" w:fill="DFE1B8"/>
                      </w:tcPr>
                      <w:p>
                        <w:pPr>
                          <w:rPr>
                            <w:sz w:val="2"/>
                            <w:szCs w:val="2"/>
                          </w:rPr>
                        </w:pPr>
                      </w:p>
                    </w:tc>
                  </w:tr>
                </w:tbl>
                <w:p>
                  <w:pPr>
                    <w:pStyle w:val="BodyText"/>
                  </w:pPr>
                </w:p>
              </w:txbxContent>
            </v:textbox>
          </v:shape>
        </w:pict>
      </w:r>
      <w:r>
        <w:rPr>
          <w:position w:val="28"/>
          <w:sz w:val="20"/>
        </w:rPr>
      </w:r>
      <w:r>
        <w:rPr>
          <w:position w:val="28"/>
          <w:sz w:val="20"/>
        </w:rPr>
        <w:tab/>
      </w:r>
      <w:r>
        <w:rPr>
          <w:sz w:val="20"/>
        </w:rPr>
        <w:pict>
          <v:shape style="width:372.55pt;height:163.050pt;mso-position-horizontal-relative:char;mso-position-vertical-relative:line" type="#_x0000_t202"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6"/>
                    <w:gridCol w:w="1417"/>
                    <w:gridCol w:w="1417"/>
                  </w:tblGrid>
                  <w:tr>
                    <w:trPr>
                      <w:trHeight w:val="305" w:hRule="atLeast"/>
                    </w:trPr>
                    <w:tc>
                      <w:tcPr>
                        <w:tcW w:w="4606" w:type="dxa"/>
                        <w:tcBorders>
                          <w:left w:val="single" w:sz="8" w:space="0" w:color="FFFFFF"/>
                        </w:tcBorders>
                        <w:shd w:val="clear" w:color="auto" w:fill="783A79"/>
                      </w:tcPr>
                      <w:p>
                        <w:pPr>
                          <w:pStyle w:val="TableParagraph"/>
                          <w:spacing w:before="42"/>
                          <w:ind w:left="113"/>
                          <w:rPr>
                            <w:b/>
                            <w:sz w:val="19"/>
                          </w:rPr>
                        </w:pPr>
                        <w:r>
                          <w:rPr>
                            <w:b/>
                            <w:color w:val="FFFFFF"/>
                            <w:sz w:val="19"/>
                          </w:rPr>
                          <w:t>Agency/Organisation</w:t>
                        </w:r>
                      </w:p>
                    </w:tc>
                    <w:tc>
                      <w:tcPr>
                        <w:tcW w:w="1417" w:type="dxa"/>
                        <w:shd w:val="clear" w:color="auto" w:fill="783A79"/>
                      </w:tcPr>
                      <w:p>
                        <w:pPr>
                          <w:pStyle w:val="TableParagraph"/>
                          <w:spacing w:before="42"/>
                          <w:ind w:right="100"/>
                          <w:jc w:val="right"/>
                          <w:rPr>
                            <w:b/>
                            <w:sz w:val="19"/>
                          </w:rPr>
                        </w:pPr>
                        <w:r>
                          <w:rPr>
                            <w:b/>
                            <w:color w:val="FFFFFF"/>
                            <w:sz w:val="19"/>
                          </w:rPr>
                          <w:t>Total $</w:t>
                        </w:r>
                      </w:p>
                    </w:tc>
                    <w:tc>
                      <w:tcPr>
                        <w:tcW w:w="1417" w:type="dxa"/>
                        <w:shd w:val="clear" w:color="auto" w:fill="783A79"/>
                      </w:tcPr>
                      <w:p>
                        <w:pPr>
                          <w:pStyle w:val="TableParagraph"/>
                          <w:spacing w:before="42"/>
                          <w:ind w:right="100"/>
                          <w:jc w:val="right"/>
                          <w:rPr>
                            <w:b/>
                            <w:sz w:val="19"/>
                          </w:rPr>
                        </w:pPr>
                        <w:r>
                          <w:rPr>
                            <w:b/>
                            <w:color w:val="FFFFFF"/>
                            <w:sz w:val="19"/>
                          </w:rPr>
                          <w:t>Amount $</w:t>
                        </w:r>
                      </w:p>
                    </w:tc>
                  </w:tr>
                  <w:tr>
                    <w:trPr>
                      <w:trHeight w:val="317" w:hRule="atLeast"/>
                    </w:trPr>
                    <w:tc>
                      <w:tcPr>
                        <w:tcW w:w="4606" w:type="dxa"/>
                        <w:tcBorders>
                          <w:left w:val="single" w:sz="8" w:space="0" w:color="FFFFFF"/>
                          <w:bottom w:val="single" w:sz="8" w:space="0" w:color="FFFFFF"/>
                        </w:tcBorders>
                        <w:shd w:val="clear" w:color="auto" w:fill="F4F4F4"/>
                      </w:tcPr>
                      <w:p>
                        <w:pPr>
                          <w:pStyle w:val="TableParagraph"/>
                          <w:spacing w:before="42"/>
                          <w:ind w:left="113"/>
                          <w:rPr>
                            <w:b/>
                            <w:sz w:val="19"/>
                          </w:rPr>
                        </w:pPr>
                        <w:r>
                          <w:rPr>
                            <w:b/>
                            <w:sz w:val="19"/>
                          </w:rPr>
                          <w:t>Advertising Agencies</w:t>
                        </w:r>
                      </w:p>
                    </w:tc>
                    <w:tc>
                      <w:tcPr>
                        <w:tcW w:w="1417" w:type="dxa"/>
                        <w:tcBorders>
                          <w:right w:val="single" w:sz="4" w:space="0" w:color="FFFFFF"/>
                        </w:tcBorders>
                        <w:shd w:val="clear" w:color="auto" w:fill="DFE1B8"/>
                      </w:tcPr>
                      <w:p>
                        <w:pPr>
                          <w:pStyle w:val="TableParagraph"/>
                          <w:spacing w:before="42"/>
                          <w:ind w:right="95"/>
                          <w:jc w:val="right"/>
                          <w:rPr>
                            <w:sz w:val="19"/>
                          </w:rPr>
                        </w:pPr>
                        <w:r>
                          <w:rPr>
                            <w:w w:val="95"/>
                            <w:sz w:val="19"/>
                          </w:rPr>
                          <w:t>172,498</w:t>
                        </w:r>
                      </w:p>
                    </w:tc>
                    <w:tc>
                      <w:tcPr>
                        <w:tcW w:w="1417" w:type="dxa"/>
                        <w:tcBorders>
                          <w:left w:val="single" w:sz="4" w:space="0" w:color="FFFFFF"/>
                        </w:tcBorders>
                        <w:shd w:val="clear" w:color="auto" w:fill="DFE1B8"/>
                      </w:tcPr>
                      <w:p>
                        <w:pPr>
                          <w:pStyle w:val="TableParagraph"/>
                          <w:spacing w:before="0"/>
                          <w:rPr>
                            <w:rFonts w:ascii="Times New Roman"/>
                            <w:sz w:val="20"/>
                          </w:rPr>
                        </w:pPr>
                      </w:p>
                    </w:tc>
                  </w:tr>
                  <w:tr>
                    <w:trPr>
                      <w:trHeight w:val="307" w:hRule="atLeast"/>
                    </w:trPr>
                    <w:tc>
                      <w:tcPr>
                        <w:tcW w:w="4606"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Adcorp</w:t>
                        </w:r>
                      </w:p>
                    </w:tc>
                    <w:tc>
                      <w:tcPr>
                        <w:tcW w:w="1417" w:type="dxa"/>
                        <w:tcBorders>
                          <w:right w:val="single" w:sz="4" w:space="0" w:color="FFFFFF"/>
                        </w:tcBorders>
                        <w:shd w:val="clear" w:color="auto" w:fill="DFE1B8"/>
                      </w:tcPr>
                      <w:p>
                        <w:pPr>
                          <w:pStyle w:val="TableParagraph"/>
                          <w:spacing w:before="0"/>
                          <w:rPr>
                            <w:rFonts w:ascii="Times New Roman"/>
                            <w:sz w:val="20"/>
                          </w:rPr>
                        </w:pPr>
                      </w:p>
                    </w:tc>
                    <w:tc>
                      <w:tcPr>
                        <w:tcW w:w="1417" w:type="dxa"/>
                        <w:tcBorders>
                          <w:left w:val="single" w:sz="4" w:space="0" w:color="FFFFFF"/>
                        </w:tcBorders>
                        <w:shd w:val="clear" w:color="auto" w:fill="DFE1B8"/>
                      </w:tcPr>
                      <w:p>
                        <w:pPr>
                          <w:pStyle w:val="TableParagraph"/>
                          <w:ind w:right="100"/>
                          <w:jc w:val="right"/>
                          <w:rPr>
                            <w:sz w:val="19"/>
                          </w:rPr>
                        </w:pPr>
                        <w:r>
                          <w:rPr>
                            <w:w w:val="95"/>
                            <w:sz w:val="19"/>
                          </w:rPr>
                          <w:t>23,447</w:t>
                        </w:r>
                      </w:p>
                    </w:tc>
                  </w:tr>
                  <w:tr>
                    <w:trPr>
                      <w:trHeight w:val="307" w:hRule="atLeast"/>
                    </w:trPr>
                    <w:tc>
                      <w:tcPr>
                        <w:tcW w:w="4606"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Rare Pty Ltd</w:t>
                        </w:r>
                      </w:p>
                    </w:tc>
                    <w:tc>
                      <w:tcPr>
                        <w:tcW w:w="1417" w:type="dxa"/>
                        <w:tcBorders>
                          <w:right w:val="single" w:sz="4" w:space="0" w:color="FFFFFF"/>
                        </w:tcBorders>
                        <w:shd w:val="clear" w:color="auto" w:fill="DFE1B8"/>
                      </w:tcPr>
                      <w:p>
                        <w:pPr>
                          <w:pStyle w:val="TableParagraph"/>
                          <w:spacing w:before="0"/>
                          <w:rPr>
                            <w:rFonts w:ascii="Times New Roman"/>
                            <w:sz w:val="20"/>
                          </w:rPr>
                        </w:pPr>
                      </w:p>
                    </w:tc>
                    <w:tc>
                      <w:tcPr>
                        <w:tcW w:w="1417" w:type="dxa"/>
                        <w:tcBorders>
                          <w:left w:val="single" w:sz="4" w:space="0" w:color="FFFFFF"/>
                        </w:tcBorders>
                        <w:shd w:val="clear" w:color="auto" w:fill="DFE1B8"/>
                      </w:tcPr>
                      <w:p>
                        <w:pPr>
                          <w:pStyle w:val="TableParagraph"/>
                          <w:ind w:right="100"/>
                          <w:jc w:val="right"/>
                          <w:rPr>
                            <w:sz w:val="19"/>
                          </w:rPr>
                        </w:pPr>
                        <w:r>
                          <w:rPr>
                            <w:w w:val="95"/>
                            <w:sz w:val="19"/>
                          </w:rPr>
                          <w:t>149,051</w:t>
                        </w:r>
                      </w:p>
                    </w:tc>
                  </w:tr>
                  <w:tr>
                    <w:trPr>
                      <w:trHeight w:val="307" w:hRule="atLeast"/>
                    </w:trPr>
                    <w:tc>
                      <w:tcPr>
                        <w:tcW w:w="4606" w:type="dxa"/>
                        <w:tcBorders>
                          <w:top w:val="single" w:sz="8" w:space="0" w:color="FFFFFF"/>
                          <w:left w:val="single" w:sz="8" w:space="0" w:color="FFFFFF"/>
                          <w:bottom w:val="single" w:sz="8" w:space="0" w:color="FFFFFF"/>
                        </w:tcBorders>
                        <w:shd w:val="clear" w:color="auto" w:fill="FAF9F9"/>
                      </w:tcPr>
                      <w:p>
                        <w:pPr>
                          <w:pStyle w:val="TableParagraph"/>
                          <w:ind w:left="113"/>
                          <w:rPr>
                            <w:b/>
                            <w:sz w:val="19"/>
                          </w:rPr>
                        </w:pPr>
                        <w:r>
                          <w:rPr>
                            <w:b/>
                            <w:sz w:val="19"/>
                          </w:rPr>
                          <w:t>Market Research Organisations</w:t>
                        </w:r>
                      </w:p>
                    </w:tc>
                    <w:tc>
                      <w:tcPr>
                        <w:tcW w:w="1417" w:type="dxa"/>
                        <w:tcBorders>
                          <w:right w:val="single" w:sz="4" w:space="0" w:color="FFFFFF"/>
                        </w:tcBorders>
                        <w:shd w:val="clear" w:color="auto" w:fill="DFE1B8"/>
                      </w:tcPr>
                      <w:p>
                        <w:pPr>
                          <w:pStyle w:val="TableParagraph"/>
                          <w:ind w:right="95"/>
                          <w:jc w:val="right"/>
                          <w:rPr>
                            <w:sz w:val="19"/>
                          </w:rPr>
                        </w:pPr>
                        <w:r>
                          <w:rPr>
                            <w:w w:val="95"/>
                            <w:sz w:val="19"/>
                          </w:rPr>
                          <w:t>55,115</w:t>
                        </w:r>
                      </w:p>
                    </w:tc>
                    <w:tc>
                      <w:tcPr>
                        <w:tcW w:w="1417" w:type="dxa"/>
                        <w:tcBorders>
                          <w:left w:val="single" w:sz="4" w:space="0" w:color="FFFFFF"/>
                        </w:tcBorders>
                        <w:shd w:val="clear" w:color="auto" w:fill="DFE1B8"/>
                      </w:tcPr>
                      <w:p>
                        <w:pPr>
                          <w:pStyle w:val="TableParagraph"/>
                          <w:spacing w:before="0"/>
                          <w:rPr>
                            <w:rFonts w:ascii="Times New Roman"/>
                            <w:sz w:val="20"/>
                          </w:rPr>
                        </w:pPr>
                      </w:p>
                    </w:tc>
                  </w:tr>
                  <w:tr>
                    <w:trPr>
                      <w:trHeight w:val="307" w:hRule="atLeast"/>
                    </w:trPr>
                    <w:tc>
                      <w:tcPr>
                        <w:tcW w:w="4606"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Rare Pty Ltd</w:t>
                        </w:r>
                      </w:p>
                    </w:tc>
                    <w:tc>
                      <w:tcPr>
                        <w:tcW w:w="1417" w:type="dxa"/>
                        <w:tcBorders>
                          <w:right w:val="single" w:sz="4" w:space="0" w:color="FFFFFF"/>
                        </w:tcBorders>
                        <w:shd w:val="clear" w:color="auto" w:fill="DFE1B8"/>
                      </w:tcPr>
                      <w:p>
                        <w:pPr>
                          <w:pStyle w:val="TableParagraph"/>
                          <w:spacing w:before="0"/>
                          <w:rPr>
                            <w:rFonts w:ascii="Times New Roman"/>
                            <w:sz w:val="20"/>
                          </w:rPr>
                        </w:pPr>
                      </w:p>
                    </w:tc>
                    <w:tc>
                      <w:tcPr>
                        <w:tcW w:w="1417" w:type="dxa"/>
                        <w:tcBorders>
                          <w:left w:val="single" w:sz="4" w:space="0" w:color="FFFFFF"/>
                        </w:tcBorders>
                        <w:shd w:val="clear" w:color="auto" w:fill="DFE1B8"/>
                      </w:tcPr>
                      <w:p>
                        <w:pPr>
                          <w:pStyle w:val="TableParagraph"/>
                          <w:ind w:right="100"/>
                          <w:jc w:val="right"/>
                          <w:rPr>
                            <w:sz w:val="19"/>
                          </w:rPr>
                        </w:pPr>
                        <w:r>
                          <w:rPr>
                            <w:w w:val="95"/>
                            <w:sz w:val="19"/>
                          </w:rPr>
                          <w:t>55,115</w:t>
                        </w:r>
                      </w:p>
                    </w:tc>
                  </w:tr>
                  <w:tr>
                    <w:trPr>
                      <w:trHeight w:val="307" w:hRule="atLeast"/>
                    </w:trPr>
                    <w:tc>
                      <w:tcPr>
                        <w:tcW w:w="4606" w:type="dxa"/>
                        <w:tcBorders>
                          <w:top w:val="single" w:sz="8" w:space="0" w:color="FFFFFF"/>
                          <w:left w:val="single" w:sz="8" w:space="0" w:color="FFFFFF"/>
                          <w:bottom w:val="single" w:sz="8" w:space="0" w:color="FFFFFF"/>
                        </w:tcBorders>
                        <w:shd w:val="clear" w:color="auto" w:fill="FAF9F9"/>
                      </w:tcPr>
                      <w:p>
                        <w:pPr>
                          <w:pStyle w:val="TableParagraph"/>
                          <w:ind w:left="113"/>
                          <w:rPr>
                            <w:b/>
                            <w:sz w:val="19"/>
                          </w:rPr>
                        </w:pPr>
                        <w:r>
                          <w:rPr>
                            <w:b/>
                            <w:sz w:val="19"/>
                          </w:rPr>
                          <w:t>Polling Organisations</w:t>
                        </w:r>
                      </w:p>
                    </w:tc>
                    <w:tc>
                      <w:tcPr>
                        <w:tcW w:w="1417" w:type="dxa"/>
                        <w:tcBorders>
                          <w:right w:val="single" w:sz="4" w:space="0" w:color="FFFFFF"/>
                        </w:tcBorders>
                        <w:shd w:val="clear" w:color="auto" w:fill="DFE1B8"/>
                      </w:tcPr>
                      <w:p>
                        <w:pPr>
                          <w:pStyle w:val="TableParagraph"/>
                          <w:ind w:right="95"/>
                          <w:jc w:val="right"/>
                          <w:rPr>
                            <w:sz w:val="19"/>
                          </w:rPr>
                        </w:pPr>
                        <w:r>
                          <w:rPr>
                            <w:w w:val="90"/>
                            <w:sz w:val="19"/>
                          </w:rPr>
                          <w:t>Nil</w:t>
                        </w:r>
                      </w:p>
                    </w:tc>
                    <w:tc>
                      <w:tcPr>
                        <w:tcW w:w="1417" w:type="dxa"/>
                        <w:tcBorders>
                          <w:left w:val="single" w:sz="4" w:space="0" w:color="FFFFFF"/>
                        </w:tcBorders>
                        <w:shd w:val="clear" w:color="auto" w:fill="DFE1B8"/>
                      </w:tcPr>
                      <w:p>
                        <w:pPr>
                          <w:pStyle w:val="TableParagraph"/>
                          <w:spacing w:before="0"/>
                          <w:rPr>
                            <w:rFonts w:ascii="Times New Roman"/>
                            <w:sz w:val="20"/>
                          </w:rPr>
                        </w:pPr>
                      </w:p>
                    </w:tc>
                  </w:tr>
                  <w:tr>
                    <w:trPr>
                      <w:trHeight w:val="307" w:hRule="atLeast"/>
                    </w:trPr>
                    <w:tc>
                      <w:tcPr>
                        <w:tcW w:w="4606" w:type="dxa"/>
                        <w:tcBorders>
                          <w:top w:val="single" w:sz="8" w:space="0" w:color="FFFFFF"/>
                          <w:left w:val="single" w:sz="8" w:space="0" w:color="FFFFFF"/>
                          <w:bottom w:val="single" w:sz="8" w:space="0" w:color="FFFFFF"/>
                        </w:tcBorders>
                        <w:shd w:val="clear" w:color="auto" w:fill="F4F4F4"/>
                      </w:tcPr>
                      <w:p>
                        <w:pPr>
                          <w:pStyle w:val="TableParagraph"/>
                          <w:ind w:left="113"/>
                          <w:rPr>
                            <w:b/>
                            <w:sz w:val="19"/>
                          </w:rPr>
                        </w:pPr>
                        <w:r>
                          <w:rPr>
                            <w:b/>
                            <w:sz w:val="19"/>
                          </w:rPr>
                          <w:t>Direct Mail Organisations</w:t>
                        </w:r>
                      </w:p>
                    </w:tc>
                    <w:tc>
                      <w:tcPr>
                        <w:tcW w:w="1417" w:type="dxa"/>
                        <w:tcBorders>
                          <w:right w:val="single" w:sz="4" w:space="0" w:color="FFFFFF"/>
                        </w:tcBorders>
                        <w:shd w:val="clear" w:color="auto" w:fill="DFE1B8"/>
                      </w:tcPr>
                      <w:p>
                        <w:pPr>
                          <w:pStyle w:val="TableParagraph"/>
                          <w:ind w:right="95"/>
                          <w:jc w:val="right"/>
                          <w:rPr>
                            <w:sz w:val="19"/>
                          </w:rPr>
                        </w:pPr>
                        <w:r>
                          <w:rPr>
                            <w:w w:val="90"/>
                            <w:sz w:val="19"/>
                          </w:rPr>
                          <w:t>Nil</w:t>
                        </w:r>
                      </w:p>
                    </w:tc>
                    <w:tc>
                      <w:tcPr>
                        <w:tcW w:w="1417" w:type="dxa"/>
                        <w:tcBorders>
                          <w:left w:val="single" w:sz="4" w:space="0" w:color="FFFFFF"/>
                        </w:tcBorders>
                        <w:shd w:val="clear" w:color="auto" w:fill="DFE1B8"/>
                      </w:tcPr>
                      <w:p>
                        <w:pPr>
                          <w:pStyle w:val="TableParagraph"/>
                          <w:spacing w:before="0"/>
                          <w:rPr>
                            <w:rFonts w:ascii="Times New Roman"/>
                            <w:sz w:val="20"/>
                          </w:rPr>
                        </w:pPr>
                      </w:p>
                    </w:tc>
                  </w:tr>
                  <w:tr>
                    <w:trPr>
                      <w:trHeight w:val="307" w:hRule="atLeast"/>
                    </w:trPr>
                    <w:tc>
                      <w:tcPr>
                        <w:tcW w:w="4606" w:type="dxa"/>
                        <w:tcBorders>
                          <w:top w:val="single" w:sz="8" w:space="0" w:color="FFFFFF"/>
                          <w:left w:val="single" w:sz="8" w:space="0" w:color="FFFFFF"/>
                          <w:bottom w:val="single" w:sz="8" w:space="0" w:color="FFFFFF"/>
                        </w:tcBorders>
                        <w:shd w:val="clear" w:color="auto" w:fill="FAF9F9"/>
                      </w:tcPr>
                      <w:p>
                        <w:pPr>
                          <w:pStyle w:val="TableParagraph"/>
                          <w:ind w:left="113"/>
                          <w:rPr>
                            <w:b/>
                            <w:sz w:val="19"/>
                          </w:rPr>
                        </w:pPr>
                        <w:r>
                          <w:rPr>
                            <w:b/>
                            <w:sz w:val="19"/>
                          </w:rPr>
                          <w:t>Media Advertising Organisations</w:t>
                        </w:r>
                      </w:p>
                    </w:tc>
                    <w:tc>
                      <w:tcPr>
                        <w:tcW w:w="1417" w:type="dxa"/>
                        <w:tcBorders>
                          <w:right w:val="single" w:sz="4" w:space="0" w:color="FFFFFF"/>
                        </w:tcBorders>
                        <w:shd w:val="clear" w:color="auto" w:fill="DFE1B8"/>
                      </w:tcPr>
                      <w:p>
                        <w:pPr>
                          <w:pStyle w:val="TableParagraph"/>
                          <w:ind w:right="95"/>
                          <w:jc w:val="right"/>
                          <w:rPr>
                            <w:sz w:val="19"/>
                          </w:rPr>
                        </w:pPr>
                        <w:r>
                          <w:rPr>
                            <w:w w:val="95"/>
                            <w:sz w:val="19"/>
                          </w:rPr>
                          <w:t>420,744</w:t>
                        </w:r>
                      </w:p>
                    </w:tc>
                    <w:tc>
                      <w:tcPr>
                        <w:tcW w:w="1417" w:type="dxa"/>
                        <w:tcBorders>
                          <w:left w:val="single" w:sz="4" w:space="0" w:color="FFFFFF"/>
                        </w:tcBorders>
                        <w:shd w:val="clear" w:color="auto" w:fill="DFE1B8"/>
                      </w:tcPr>
                      <w:p>
                        <w:pPr>
                          <w:pStyle w:val="TableParagraph"/>
                          <w:spacing w:before="0"/>
                          <w:rPr>
                            <w:rFonts w:ascii="Times New Roman"/>
                            <w:sz w:val="20"/>
                          </w:rPr>
                        </w:pPr>
                      </w:p>
                    </w:tc>
                  </w:tr>
                  <w:tr>
                    <w:trPr>
                      <w:trHeight w:val="307" w:hRule="atLeast"/>
                    </w:trPr>
                    <w:tc>
                      <w:tcPr>
                        <w:tcW w:w="4606"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Carat Australia Media Services Pty Ltd</w:t>
                        </w:r>
                      </w:p>
                    </w:tc>
                    <w:tc>
                      <w:tcPr>
                        <w:tcW w:w="1417" w:type="dxa"/>
                        <w:tcBorders>
                          <w:right w:val="single" w:sz="4" w:space="0" w:color="FFFFFF"/>
                        </w:tcBorders>
                        <w:shd w:val="clear" w:color="auto" w:fill="DFE1B8"/>
                      </w:tcPr>
                      <w:p>
                        <w:pPr>
                          <w:pStyle w:val="TableParagraph"/>
                          <w:spacing w:before="0"/>
                          <w:rPr>
                            <w:rFonts w:ascii="Times New Roman"/>
                            <w:sz w:val="20"/>
                          </w:rPr>
                        </w:pPr>
                      </w:p>
                    </w:tc>
                    <w:tc>
                      <w:tcPr>
                        <w:tcW w:w="1417" w:type="dxa"/>
                        <w:tcBorders>
                          <w:left w:val="single" w:sz="4" w:space="0" w:color="FFFFFF"/>
                        </w:tcBorders>
                        <w:shd w:val="clear" w:color="auto" w:fill="DFE1B8"/>
                      </w:tcPr>
                      <w:p>
                        <w:pPr>
                          <w:pStyle w:val="TableParagraph"/>
                          <w:ind w:right="100"/>
                          <w:jc w:val="right"/>
                          <w:rPr>
                            <w:sz w:val="19"/>
                          </w:rPr>
                        </w:pPr>
                        <w:r>
                          <w:rPr>
                            <w:w w:val="95"/>
                            <w:sz w:val="19"/>
                          </w:rPr>
                          <w:t>420,744</w:t>
                        </w:r>
                      </w:p>
                    </w:tc>
                  </w:tr>
                </w:tbl>
                <w:p>
                  <w:pPr>
                    <w:pStyle w:val="BodyText"/>
                  </w:pPr>
                </w:p>
              </w:txbxContent>
            </v:textbox>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tabs>
          <w:tab w:pos="12166" w:val="left" w:leader="none"/>
          <w:tab w:pos="12373" w:val="left" w:leader="none"/>
        </w:tabs>
        <w:spacing w:before="106"/>
        <w:ind w:left="765" w:right="0" w:firstLine="0"/>
        <w:jc w:val="left"/>
        <w:rPr>
          <w:b/>
          <w:sz w:val="16"/>
        </w:rPr>
      </w:pPr>
      <w:r>
        <w:rPr/>
        <w:pict>
          <v:group style="position:absolute;margin-left:272.432709pt;margin-top:-55.128395pt;width:135.5pt;height:90.35pt;mso-position-horizontal-relative:page;mso-position-vertical-relative:paragraph;z-index:-775312" coordorigin="5449,-1103" coordsize="2710,1807">
            <v:shape style="position:absolute;left:5448;top:-200;width:2710;height:904" coordorigin="5449,-199" coordsize="2710,904" path="m7255,252l6803,-199,6352,252,5900,-199,5449,252,5900,704,6352,252,6803,704,7255,252m8158,252l7707,-199,7255,252,7707,704,8158,252e" filled="true" fillcolor="#ffffff" stroked="false">
              <v:path arrowok="t"/>
              <v:fill type="solid"/>
            </v:shape>
            <v:shape style="position:absolute;left:7255;top:-1103;width:904;height:904" coordorigin="7255,-1103" coordsize="904,904" path="m7707,-1103l7255,-651,7707,-199,8158,-651,7707,-1103xe" filled="true" fillcolor="#96ac7a" stroked="false">
              <v:path arrowok="t"/>
              <v:fill opacity="32768f" type="solid"/>
            </v:shape>
            <v:shape style="position:absolute;left:5448;top:-200;width:904;height:904" coordorigin="5449,-199" coordsize="904,904" path="m5900,-199l5449,252,5900,704,6352,252,5900,-199xe" filled="true" fillcolor="#513457" stroked="false">
              <v:path arrowok="t"/>
              <v:fill opacity="32768f" type="solid"/>
            </v:shape>
            <v:shape style="position:absolute;left:6803;top:-651;width:904;height:904" coordorigin="6803,-651" coordsize="904,904" path="m7255,-651l6803,-199,7255,252,7707,-199,7255,-651xe" filled="true" fillcolor="#c4cd71" stroked="false">
              <v:path arrowok="t"/>
              <v:fill opacity="32768f" type="solid"/>
            </v:shape>
            <v:shape style="position:absolute;left:6351;top:-200;width:904;height:904" coordorigin="6352,-199" coordsize="904,904" path="m6803,-199l6352,252,6803,704,7255,252,6803,-199xe" filled="true" fillcolor="#d4d4d3" stroked="false">
              <v:path arrowok="t"/>
              <v:fill opacity="32768f" type="solid"/>
            </v:shape>
            <v:shape style="position:absolute;left:7255;top:-200;width:904;height:904" coordorigin="7255,-199" coordsize="904,904" path="m7707,-199l7255,252,7707,704,8158,252,7707,-199xe" filled="true" fillcolor="#783a79" stroked="false">
              <v:path arrowok="t"/>
              <v:fill opacity="32768f" type="solid"/>
            </v:shape>
            <w10:wrap type="none"/>
          </v:group>
        </w:pict>
      </w:r>
      <w:r>
        <w:rPr/>
        <w:pict>
          <v:group style="position:absolute;margin-left:453.067505pt;margin-top:-9.970195pt;width:45.2pt;height:45.2pt;mso-position-horizontal-relative:page;mso-position-vertical-relative:paragraph;z-index:-775288" coordorigin="9061,-199" coordsize="904,904">
            <v:shape style="position:absolute;left:9061;top:-200;width:904;height:904" coordorigin="9061,-199" coordsize="904,904" path="m9513,-199l9061,252,9513,704,9965,252,9513,-199xe" filled="true" fillcolor="#ffffff" stroked="false">
              <v:path arrowok="t"/>
              <v:fill type="solid"/>
            </v:shape>
            <v:shape style="position:absolute;left:9061;top:-200;width:904;height:904" coordorigin="9061,-199" coordsize="904,904" path="m9513,-199l9061,252,9513,704,9965,252,9513,-199xe" filled="true" fillcolor="#c4cd71" stroked="false">
              <v:path arrowok="t"/>
              <v:fill opacity="32768f" type="solid"/>
            </v:shape>
            <w10:wrap type="none"/>
          </v:group>
        </w:pict>
      </w:r>
      <w:r>
        <w:rPr>
          <w:color w:val="939598"/>
          <w:w w:val="100"/>
          <w:sz w:val="16"/>
          <w:u w:val="single" w:color="939598"/>
        </w:rPr>
        <w:t> </w:t>
      </w:r>
      <w:r>
        <w:rPr>
          <w:color w:val="939598"/>
          <w:sz w:val="16"/>
          <w:u w:val="single" w:color="939598"/>
        </w:rPr>
        <w:tab/>
      </w:r>
      <w:r>
        <w:rPr>
          <w:color w:val="939598"/>
          <w:sz w:val="16"/>
        </w:rPr>
        <w:tab/>
        <w:t>Department of Finance Annual Report 2016-17</w:t>
      </w:r>
      <w:r>
        <w:rPr>
          <w:color w:val="939598"/>
          <w:spacing w:val="29"/>
          <w:sz w:val="16"/>
        </w:rPr>
        <w:t> </w:t>
      </w:r>
      <w:r>
        <w:rPr>
          <w:b/>
          <w:color w:val="6F2770"/>
          <w:sz w:val="16"/>
        </w:rPr>
        <w:t>109</w:t>
      </w:r>
    </w:p>
    <w:p>
      <w:pPr>
        <w:spacing w:after="0"/>
        <w:jc w:val="left"/>
        <w:rPr>
          <w:sz w:val="16"/>
        </w:rPr>
        <w:sectPr>
          <w:type w:val="continuous"/>
          <w:pgSz w:w="16840" w:h="11910" w:orient="landscape"/>
          <w:pgMar w:top="0" w:bottom="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rPr>
      </w:pPr>
    </w:p>
    <w:p>
      <w:pPr>
        <w:spacing w:after="0"/>
        <w:sectPr>
          <w:footerReference w:type="default" r:id="rId344"/>
          <w:pgSz w:w="16840" w:h="11910" w:orient="landscape"/>
          <w:pgMar w:footer="0" w:header="0" w:top="0" w:bottom="0" w:left="0" w:right="0"/>
        </w:sectPr>
      </w:pPr>
    </w:p>
    <w:p>
      <w:pPr>
        <w:pStyle w:val="Heading4"/>
        <w:spacing w:line="249" w:lineRule="auto" w:before="110"/>
        <w:ind w:right="65"/>
      </w:pPr>
      <w:r>
        <w:rPr/>
        <w:pict>
          <v:group style="position:absolute;margin-left:0pt;margin-top:-70.506226pt;width:841.9pt;height:42.55pt;mso-position-horizontal-relative:page;mso-position-vertical-relative:paragraph;z-index:38728" coordorigin="0,-1410" coordsize="16838,851">
            <v:rect style="position:absolute;left:12026;top:-1411;width:2406;height:851" filled="true" fillcolor="#e6e7e8" stroked="false">
              <v:fill type="solid"/>
            </v:rect>
            <v:shape style="position:absolute;left:12026;top:-1411;width:583;height:583" type="#_x0000_t75" stroked="false">
              <v:imagedata r:id="rId272" o:title=""/>
            </v:shape>
            <v:shape style="position:absolute;left:14432;top:-1411;width:2406;height:851" type="#_x0000_t202" filled="true" fillcolor="#aebd37"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w10:wrap type="none"/>
            </v:shape>
            <v:shape style="position:absolute;left:12026;top:-1411;width:2406;height:851" type="#_x0000_t202" filled="false"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6F2770"/>
                          <w:sz w:val="20"/>
                        </w:rPr>
                        <w:t>DISCLOSURES</w:t>
                      </w:r>
                    </w:hyperlink>
                  </w:p>
                </w:txbxContent>
              </v:textbox>
              <w10:wrap type="none"/>
            </v:shape>
            <v:shape style="position:absolute;left:9621;top:-1411;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v:shape style="position:absolute;left:7215;top:-1411;width:2406;height:851"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411;width:2414;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411;width:2398;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411;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color w:val="A7BE39"/>
        </w:rPr>
        <w:t>Disability</w:t>
      </w:r>
      <w:r>
        <w:rPr>
          <w:color w:val="A7BE39"/>
          <w:spacing w:val="-67"/>
        </w:rPr>
        <w:t> </w:t>
      </w:r>
      <w:r>
        <w:rPr>
          <w:color w:val="A7BE39"/>
        </w:rPr>
        <w:t>Access</w:t>
      </w:r>
      <w:r>
        <w:rPr>
          <w:color w:val="A7BE39"/>
          <w:spacing w:val="-66"/>
        </w:rPr>
        <w:t> </w:t>
      </w:r>
      <w:r>
        <w:rPr>
          <w:color w:val="A7BE39"/>
        </w:rPr>
        <w:t>and</w:t>
      </w:r>
      <w:r>
        <w:rPr>
          <w:color w:val="A7BE39"/>
          <w:spacing w:val="-66"/>
        </w:rPr>
        <w:t> </w:t>
      </w:r>
      <w:r>
        <w:rPr>
          <w:color w:val="A7BE39"/>
        </w:rPr>
        <w:t>Inclusion Plan outcomes</w:t>
      </w:r>
    </w:p>
    <w:p>
      <w:pPr>
        <w:pStyle w:val="BodyText"/>
        <w:spacing w:line="249" w:lineRule="auto" w:before="231"/>
        <w:ind w:left="765" w:right="43"/>
      </w:pPr>
      <w:r>
        <w:rPr/>
        <w:t>Through its Disability Access and Inclusion Plan, the Department of Finance seeks to ensure that people with a disability have an equal level of inclusion</w:t>
      </w:r>
      <w:r>
        <w:rPr>
          <w:spacing w:val="-25"/>
        </w:rPr>
        <w:t> </w:t>
      </w:r>
      <w:r>
        <w:rPr/>
        <w:t>and</w:t>
      </w:r>
      <w:r>
        <w:rPr>
          <w:spacing w:val="-24"/>
        </w:rPr>
        <w:t> </w:t>
      </w:r>
      <w:r>
        <w:rPr/>
        <w:t>access</w:t>
      </w:r>
      <w:r>
        <w:rPr>
          <w:spacing w:val="-24"/>
        </w:rPr>
        <w:t> </w:t>
      </w:r>
      <w:r>
        <w:rPr/>
        <w:t>to</w:t>
      </w:r>
      <w:r>
        <w:rPr>
          <w:spacing w:val="-24"/>
        </w:rPr>
        <w:t> </w:t>
      </w:r>
      <w:r>
        <w:rPr/>
        <w:t>services</w:t>
      </w:r>
      <w:r>
        <w:rPr>
          <w:spacing w:val="-25"/>
        </w:rPr>
        <w:t> </w:t>
      </w:r>
      <w:r>
        <w:rPr/>
        <w:t>and</w:t>
      </w:r>
      <w:r>
        <w:rPr>
          <w:spacing w:val="-24"/>
        </w:rPr>
        <w:t> </w:t>
      </w:r>
      <w:r>
        <w:rPr/>
        <w:t>employment.</w:t>
      </w:r>
    </w:p>
    <w:p>
      <w:pPr>
        <w:pStyle w:val="BodyText"/>
        <w:spacing w:before="3"/>
        <w:rPr>
          <w:sz w:val="23"/>
        </w:rPr>
      </w:pPr>
    </w:p>
    <w:p>
      <w:pPr>
        <w:pStyle w:val="BodyText"/>
        <w:ind w:left="765"/>
      </w:pPr>
      <w:r>
        <w:rPr/>
        <w:t>The Plan has this year achieved:</w:t>
      </w:r>
    </w:p>
    <w:p>
      <w:pPr>
        <w:pStyle w:val="BodyText"/>
        <w:spacing w:before="10"/>
        <w:rPr>
          <w:sz w:val="23"/>
        </w:rPr>
      </w:pPr>
    </w:p>
    <w:p>
      <w:pPr>
        <w:pStyle w:val="ListParagraph"/>
        <w:numPr>
          <w:ilvl w:val="1"/>
          <w:numId w:val="3"/>
        </w:numPr>
        <w:tabs>
          <w:tab w:pos="937" w:val="left" w:leader="none"/>
        </w:tabs>
        <w:spacing w:line="249" w:lineRule="auto" w:before="0" w:after="0"/>
        <w:ind w:left="948" w:right="124" w:hanging="183"/>
        <w:jc w:val="left"/>
        <w:rPr>
          <w:sz w:val="22"/>
        </w:rPr>
      </w:pPr>
      <w:r>
        <w:rPr>
          <w:sz w:val="22"/>
        </w:rPr>
        <w:t>The recruitment of four employees under the public</w:t>
      </w:r>
      <w:r>
        <w:rPr>
          <w:spacing w:val="-23"/>
          <w:sz w:val="22"/>
        </w:rPr>
        <w:t> </w:t>
      </w:r>
      <w:r>
        <w:rPr>
          <w:sz w:val="22"/>
        </w:rPr>
        <w:t>sector</w:t>
      </w:r>
      <w:r>
        <w:rPr>
          <w:spacing w:val="-23"/>
          <w:sz w:val="22"/>
        </w:rPr>
        <w:t> </w:t>
      </w:r>
      <w:r>
        <w:rPr>
          <w:sz w:val="22"/>
        </w:rPr>
        <w:t>disability</w:t>
      </w:r>
      <w:r>
        <w:rPr>
          <w:spacing w:val="-23"/>
          <w:sz w:val="22"/>
        </w:rPr>
        <w:t> </w:t>
      </w:r>
      <w:r>
        <w:rPr>
          <w:sz w:val="22"/>
        </w:rPr>
        <w:t>traineeship</w:t>
      </w:r>
      <w:r>
        <w:rPr>
          <w:spacing w:val="-23"/>
          <w:sz w:val="22"/>
        </w:rPr>
        <w:t> </w:t>
      </w:r>
      <w:r>
        <w:rPr>
          <w:sz w:val="22"/>
        </w:rPr>
        <w:t>program</w:t>
      </w:r>
      <w:r>
        <w:rPr>
          <w:spacing w:val="-23"/>
          <w:sz w:val="22"/>
        </w:rPr>
        <w:t> </w:t>
      </w:r>
      <w:r>
        <w:rPr>
          <w:spacing w:val="-6"/>
          <w:sz w:val="22"/>
        </w:rPr>
        <w:t>who </w:t>
      </w:r>
      <w:r>
        <w:rPr>
          <w:sz w:val="22"/>
        </w:rPr>
        <w:t>are in the process of or have completed their Certificate</w:t>
      </w:r>
      <w:r>
        <w:rPr>
          <w:spacing w:val="-13"/>
          <w:sz w:val="22"/>
        </w:rPr>
        <w:t> </w:t>
      </w:r>
      <w:r>
        <w:rPr>
          <w:sz w:val="22"/>
        </w:rPr>
        <w:t>III</w:t>
      </w:r>
      <w:r>
        <w:rPr>
          <w:spacing w:val="-12"/>
          <w:sz w:val="22"/>
        </w:rPr>
        <w:t> </w:t>
      </w:r>
      <w:r>
        <w:rPr>
          <w:sz w:val="22"/>
        </w:rPr>
        <w:t>in</w:t>
      </w:r>
      <w:r>
        <w:rPr>
          <w:spacing w:val="-12"/>
          <w:sz w:val="22"/>
        </w:rPr>
        <w:t> </w:t>
      </w:r>
      <w:r>
        <w:rPr>
          <w:sz w:val="22"/>
        </w:rPr>
        <w:t>Government</w:t>
      </w:r>
      <w:r>
        <w:rPr>
          <w:spacing w:val="-12"/>
          <w:sz w:val="22"/>
        </w:rPr>
        <w:t> </w:t>
      </w:r>
      <w:r>
        <w:rPr>
          <w:sz w:val="22"/>
        </w:rPr>
        <w:t>qualification.</w:t>
      </w:r>
    </w:p>
    <w:p>
      <w:pPr>
        <w:pStyle w:val="BodyText"/>
        <w:spacing w:before="3"/>
        <w:rPr>
          <w:sz w:val="23"/>
        </w:rPr>
      </w:pPr>
    </w:p>
    <w:p>
      <w:pPr>
        <w:pStyle w:val="ListParagraph"/>
        <w:numPr>
          <w:ilvl w:val="1"/>
          <w:numId w:val="3"/>
        </w:numPr>
        <w:tabs>
          <w:tab w:pos="937" w:val="left" w:leader="none"/>
        </w:tabs>
        <w:spacing w:line="249" w:lineRule="auto" w:before="1" w:after="0"/>
        <w:ind w:left="948" w:right="10" w:hanging="183"/>
        <w:jc w:val="left"/>
        <w:rPr>
          <w:sz w:val="22"/>
        </w:rPr>
      </w:pPr>
      <w:r>
        <w:rPr>
          <w:sz w:val="22"/>
        </w:rPr>
        <w:t>The launch of the ‘Disability Awareness’ eLearning online module to assist staff in understanding issues around disability in the workplace and the wider </w:t>
      </w:r>
      <w:r>
        <w:rPr>
          <w:spacing w:val="-3"/>
          <w:sz w:val="22"/>
        </w:rPr>
        <w:t>community. </w:t>
      </w:r>
      <w:r>
        <w:rPr>
          <w:spacing w:val="-13"/>
          <w:sz w:val="22"/>
        </w:rPr>
        <w:t>To </w:t>
      </w:r>
      <w:r>
        <w:rPr>
          <w:sz w:val="22"/>
        </w:rPr>
        <w:t>date, 845</w:t>
      </w:r>
      <w:r>
        <w:rPr>
          <w:spacing w:val="-21"/>
          <w:sz w:val="22"/>
        </w:rPr>
        <w:t> </w:t>
      </w:r>
      <w:r>
        <w:rPr>
          <w:sz w:val="22"/>
        </w:rPr>
        <w:t>staff</w:t>
      </w:r>
      <w:r>
        <w:rPr>
          <w:spacing w:val="-20"/>
          <w:sz w:val="22"/>
        </w:rPr>
        <w:t> </w:t>
      </w:r>
      <w:r>
        <w:rPr>
          <w:sz w:val="22"/>
        </w:rPr>
        <w:t>have</w:t>
      </w:r>
      <w:r>
        <w:rPr>
          <w:spacing w:val="-20"/>
          <w:sz w:val="22"/>
        </w:rPr>
        <w:t> </w:t>
      </w:r>
      <w:r>
        <w:rPr>
          <w:sz w:val="22"/>
        </w:rPr>
        <w:t>completed</w:t>
      </w:r>
      <w:r>
        <w:rPr>
          <w:spacing w:val="-21"/>
          <w:sz w:val="22"/>
        </w:rPr>
        <w:t> </w:t>
      </w:r>
      <w:r>
        <w:rPr>
          <w:sz w:val="22"/>
        </w:rPr>
        <w:t>this</w:t>
      </w:r>
      <w:r>
        <w:rPr>
          <w:spacing w:val="-20"/>
          <w:sz w:val="22"/>
        </w:rPr>
        <w:t> </w:t>
      </w:r>
      <w:r>
        <w:rPr>
          <w:sz w:val="22"/>
        </w:rPr>
        <w:t>eLearning</w:t>
      </w:r>
      <w:r>
        <w:rPr>
          <w:spacing w:val="-20"/>
          <w:sz w:val="22"/>
        </w:rPr>
        <w:t> </w:t>
      </w:r>
      <w:r>
        <w:rPr>
          <w:spacing w:val="-3"/>
          <w:sz w:val="22"/>
        </w:rPr>
        <w:t>module.</w:t>
      </w:r>
    </w:p>
    <w:p>
      <w:pPr>
        <w:pStyle w:val="BodyText"/>
        <w:spacing w:before="3"/>
        <w:rPr>
          <w:sz w:val="23"/>
        </w:rPr>
      </w:pPr>
    </w:p>
    <w:p>
      <w:pPr>
        <w:pStyle w:val="BodyText"/>
        <w:spacing w:line="249" w:lineRule="auto" w:before="1"/>
        <w:ind w:left="765" w:right="277"/>
      </w:pPr>
      <w:r>
        <w:rPr/>
        <w:t>The Department is also proud to continue to lead</w:t>
      </w:r>
      <w:r>
        <w:rPr>
          <w:spacing w:val="-31"/>
        </w:rPr>
        <w:t> </w:t>
      </w:r>
      <w:r>
        <w:rPr/>
        <w:t>whole-of-government</w:t>
      </w:r>
      <w:r>
        <w:rPr>
          <w:spacing w:val="-31"/>
        </w:rPr>
        <w:t> </w:t>
      </w:r>
      <w:r>
        <w:rPr/>
        <w:t>access</w:t>
      </w:r>
      <w:r>
        <w:rPr>
          <w:spacing w:val="-31"/>
        </w:rPr>
        <w:t> </w:t>
      </w:r>
      <w:r>
        <w:rPr/>
        <w:t>and</w:t>
      </w:r>
      <w:r>
        <w:rPr>
          <w:spacing w:val="-30"/>
        </w:rPr>
        <w:t> </w:t>
      </w:r>
      <w:r>
        <w:rPr/>
        <w:t>inclusion</w:t>
      </w:r>
    </w:p>
    <w:p>
      <w:pPr>
        <w:pStyle w:val="BodyText"/>
        <w:spacing w:line="249" w:lineRule="auto" w:before="1"/>
        <w:ind w:left="765" w:right="-8"/>
      </w:pPr>
      <w:r>
        <w:rPr/>
        <w:t>related</w:t>
      </w:r>
      <w:r>
        <w:rPr>
          <w:spacing w:val="-33"/>
        </w:rPr>
        <w:t> </w:t>
      </w:r>
      <w:r>
        <w:rPr/>
        <w:t>programs</w:t>
      </w:r>
      <w:r>
        <w:rPr>
          <w:spacing w:val="-32"/>
        </w:rPr>
        <w:t> </w:t>
      </w:r>
      <w:r>
        <w:rPr/>
        <w:t>including</w:t>
      </w:r>
      <w:r>
        <w:rPr>
          <w:spacing w:val="-33"/>
        </w:rPr>
        <w:t> </w:t>
      </w:r>
      <w:r>
        <w:rPr/>
        <w:t>the</w:t>
      </w:r>
      <w:r>
        <w:rPr>
          <w:spacing w:val="-32"/>
        </w:rPr>
        <w:t> </w:t>
      </w:r>
      <w:r>
        <w:rPr/>
        <w:t>Australian</w:t>
      </w:r>
      <w:r>
        <w:rPr>
          <w:spacing w:val="-33"/>
        </w:rPr>
        <w:t> </w:t>
      </w:r>
      <w:r>
        <w:rPr/>
        <w:t>Disability Enterprises initiative through Government Procurement,</w:t>
      </w:r>
      <w:r>
        <w:rPr>
          <w:spacing w:val="-27"/>
        </w:rPr>
        <w:t> </w:t>
      </w:r>
      <w:r>
        <w:rPr/>
        <w:t>assisting</w:t>
      </w:r>
      <w:r>
        <w:rPr>
          <w:spacing w:val="-27"/>
        </w:rPr>
        <w:t> </w:t>
      </w:r>
      <w:r>
        <w:rPr/>
        <w:t>agencies</w:t>
      </w:r>
      <w:r>
        <w:rPr>
          <w:spacing w:val="-27"/>
        </w:rPr>
        <w:t> </w:t>
      </w:r>
      <w:r>
        <w:rPr/>
        <w:t>to</w:t>
      </w:r>
      <w:r>
        <w:rPr>
          <w:spacing w:val="-27"/>
        </w:rPr>
        <w:t> </w:t>
      </w:r>
      <w:r>
        <w:rPr/>
        <w:t>understand</w:t>
      </w:r>
      <w:r>
        <w:rPr>
          <w:spacing w:val="-27"/>
        </w:rPr>
        <w:t> </w:t>
      </w:r>
      <w:r>
        <w:rPr>
          <w:spacing w:val="-7"/>
        </w:rPr>
        <w:t>the </w:t>
      </w:r>
      <w:r>
        <w:rPr/>
        <w:t>capabilities and offerings of disability enterprises, and the benefits of working with</w:t>
      </w:r>
      <w:r>
        <w:rPr>
          <w:spacing w:val="-18"/>
        </w:rPr>
        <w:t> </w:t>
      </w:r>
      <w:r>
        <w:rPr/>
        <w:t>them.</w:t>
      </w:r>
    </w:p>
    <w:p>
      <w:pPr>
        <w:pStyle w:val="BodyText"/>
        <w:spacing w:line="249" w:lineRule="auto" w:before="142"/>
        <w:ind w:left="395" w:right="299"/>
      </w:pPr>
      <w:r>
        <w:rPr/>
        <w:br w:type="column"/>
      </w:r>
      <w:r>
        <w:rPr/>
        <w:t>A</w:t>
      </w:r>
      <w:r>
        <w:rPr>
          <w:spacing w:val="-19"/>
        </w:rPr>
        <w:t> </w:t>
      </w:r>
      <w:r>
        <w:rPr/>
        <w:t>new</w:t>
      </w:r>
      <w:r>
        <w:rPr>
          <w:spacing w:val="-18"/>
        </w:rPr>
        <w:t> </w:t>
      </w:r>
      <w:r>
        <w:rPr/>
        <w:t>Workforce</w:t>
      </w:r>
      <w:r>
        <w:rPr>
          <w:spacing w:val="-19"/>
        </w:rPr>
        <w:t> </w:t>
      </w:r>
      <w:r>
        <w:rPr/>
        <w:t>Diversity</w:t>
      </w:r>
      <w:r>
        <w:rPr>
          <w:spacing w:val="-18"/>
        </w:rPr>
        <w:t> </w:t>
      </w:r>
      <w:r>
        <w:rPr/>
        <w:t>Plan</w:t>
      </w:r>
      <w:r>
        <w:rPr>
          <w:spacing w:val="-19"/>
        </w:rPr>
        <w:t> </w:t>
      </w:r>
      <w:r>
        <w:rPr/>
        <w:t>has</w:t>
      </w:r>
      <w:r>
        <w:rPr>
          <w:spacing w:val="-18"/>
        </w:rPr>
        <w:t> </w:t>
      </w:r>
      <w:r>
        <w:rPr/>
        <w:t>also</w:t>
      </w:r>
      <w:r>
        <w:rPr>
          <w:spacing w:val="-19"/>
        </w:rPr>
        <w:t> </w:t>
      </w:r>
      <w:r>
        <w:rPr/>
        <w:t>been launched</w:t>
      </w:r>
      <w:r>
        <w:rPr>
          <w:spacing w:val="-22"/>
        </w:rPr>
        <w:t> </w:t>
      </w:r>
      <w:r>
        <w:rPr/>
        <w:t>which</w:t>
      </w:r>
      <w:r>
        <w:rPr>
          <w:spacing w:val="-21"/>
        </w:rPr>
        <w:t> </w:t>
      </w:r>
      <w:r>
        <w:rPr/>
        <w:t>includes</w:t>
      </w:r>
      <w:r>
        <w:rPr>
          <w:spacing w:val="-21"/>
        </w:rPr>
        <w:t> </w:t>
      </w:r>
      <w:r>
        <w:rPr/>
        <w:t>tangible</w:t>
      </w:r>
      <w:r>
        <w:rPr>
          <w:spacing w:val="-21"/>
        </w:rPr>
        <w:t> </w:t>
      </w:r>
      <w:r>
        <w:rPr/>
        <w:t>strategies</w:t>
      </w:r>
      <w:r>
        <w:rPr>
          <w:spacing w:val="-21"/>
        </w:rPr>
        <w:t> </w:t>
      </w:r>
      <w:r>
        <w:rPr/>
        <w:t>for the</w:t>
      </w:r>
      <w:r>
        <w:rPr>
          <w:spacing w:val="-25"/>
        </w:rPr>
        <w:t> </w:t>
      </w:r>
      <w:r>
        <w:rPr/>
        <w:t>Department</w:t>
      </w:r>
      <w:r>
        <w:rPr>
          <w:spacing w:val="-25"/>
        </w:rPr>
        <w:t> </w:t>
      </w:r>
      <w:r>
        <w:rPr/>
        <w:t>to</w:t>
      </w:r>
      <w:r>
        <w:rPr>
          <w:spacing w:val="-25"/>
        </w:rPr>
        <w:t> </w:t>
      </w:r>
      <w:r>
        <w:rPr/>
        <w:t>achieve</w:t>
      </w:r>
      <w:r>
        <w:rPr>
          <w:spacing w:val="-24"/>
        </w:rPr>
        <w:t> </w:t>
      </w:r>
      <w:r>
        <w:rPr/>
        <w:t>a</w:t>
      </w:r>
      <w:r>
        <w:rPr>
          <w:spacing w:val="-25"/>
        </w:rPr>
        <w:t> </w:t>
      </w:r>
      <w:r>
        <w:rPr/>
        <w:t>workforce</w:t>
      </w:r>
      <w:r>
        <w:rPr>
          <w:spacing w:val="-25"/>
        </w:rPr>
        <w:t> </w:t>
      </w:r>
      <w:r>
        <w:rPr/>
        <w:t>diversity that</w:t>
      </w:r>
      <w:r>
        <w:rPr>
          <w:spacing w:val="-18"/>
        </w:rPr>
        <w:t> </w:t>
      </w:r>
      <w:r>
        <w:rPr/>
        <w:t>reflects</w:t>
      </w:r>
      <w:r>
        <w:rPr>
          <w:spacing w:val="-18"/>
        </w:rPr>
        <w:t> </w:t>
      </w:r>
      <w:r>
        <w:rPr/>
        <w:t>the</w:t>
      </w:r>
      <w:r>
        <w:rPr>
          <w:spacing w:val="-18"/>
        </w:rPr>
        <w:t> </w:t>
      </w:r>
      <w:r>
        <w:rPr/>
        <w:t>broader</w:t>
      </w:r>
      <w:r>
        <w:rPr>
          <w:spacing w:val="-17"/>
        </w:rPr>
        <w:t> </w:t>
      </w:r>
      <w:r>
        <w:rPr/>
        <w:t>community</w:t>
      </w:r>
      <w:r>
        <w:rPr>
          <w:spacing w:val="-18"/>
        </w:rPr>
        <w:t> </w:t>
      </w:r>
      <w:r>
        <w:rPr/>
        <w:t>in</w:t>
      </w:r>
      <w:r>
        <w:rPr>
          <w:spacing w:val="-18"/>
        </w:rPr>
        <w:t> </w:t>
      </w:r>
      <w:r>
        <w:rPr/>
        <w:t>Western Australia.</w:t>
      </w:r>
    </w:p>
    <w:p>
      <w:pPr>
        <w:pStyle w:val="BodyText"/>
        <w:spacing w:before="6"/>
        <w:rPr>
          <w:sz w:val="26"/>
        </w:rPr>
      </w:pPr>
    </w:p>
    <w:p>
      <w:pPr>
        <w:pStyle w:val="Heading4"/>
        <w:spacing w:line="249" w:lineRule="auto" w:before="0"/>
        <w:ind w:left="395" w:right="299"/>
      </w:pPr>
      <w:r>
        <w:rPr/>
        <w:pict>
          <v:group style="position:absolute;margin-left:533.328003pt;margin-top:-50.768505pt;width:308.6pt;height:361.1pt;mso-position-horizontal-relative:page;mso-position-vertical-relative:paragraph;z-index:-775144" coordorigin="10667,-1015" coordsize="6172,7222">
            <v:shape style="position:absolute;left:14643;top:4694;width:904;height:904" coordorigin="14643,4694" coordsize="904,904" path="m15095,4694l14643,5146,15095,5598,15547,5146,15095,4694xe" filled="true" fillcolor="#d8dad9" stroked="false">
              <v:path arrowok="t"/>
              <v:fill opacity="16384f" type="solid"/>
            </v:shape>
            <v:shape style="position:absolute;left:13469;top:753;width:531;height:2121" coordorigin="13469,753" coordsize="531,2121" path="m13635,2177l13469,2343,13999,2873,13999,2542,13635,2177xm13999,753l13469,1283,13635,1449,13999,1085,13999,753xe" filled="true" fillcolor="#aebd37" stroked="false">
              <v:path arrowok="t"/>
              <v:fill type="solid"/>
            </v:shape>
            <v:shape style="position:absolute;left:13999;top:222;width:2121;height:531" coordorigin="13999,223" coordsize="2121,531" path="m14529,223l13999,753,13999,753,14331,753,14695,389,14529,223xm15590,223l15424,389,15788,753,16120,753,15590,223xe" filled="true" fillcolor="#6f2770" stroked="false">
              <v:path arrowok="t"/>
              <v:fill type="solid"/>
            </v:shape>
            <v:shape style="position:absolute;left:13999;top:2873;width:2121;height:531" coordorigin="13999,2873" coordsize="2121,531" path="m14331,2873l13999,2873,14529,3404,14695,3238,14331,2873xm15788,2873l15424,3238,15590,3404,16120,2873,15788,2873xe" filled="true" fillcolor="#5d883c" stroked="false">
              <v:path arrowok="t"/>
              <v:fill type="solid"/>
            </v:shape>
            <v:shape style="position:absolute;left:16119;top:753;width:531;height:2121" coordorigin="16120,753" coordsize="531,2121" path="m16484,2177l16120,2542,16120,2873,16650,2343,16484,2177xm16120,753l16120,1085,16484,1449,16650,1283,16120,753xe" filled="true" fillcolor="#360e3f" stroked="false">
              <v:path arrowok="t"/>
              <v:fill type="solid"/>
            </v:shape>
            <v:shape style="position:absolute;left:13999;top:2541;width:332;height:332" type="#_x0000_t75" stroked="false">
              <v:imagedata r:id="rId345" o:title=""/>
            </v:shape>
            <v:shape style="position:absolute;left:13999;top:753;width:332;height:332" type="#_x0000_t75" stroked="false">
              <v:imagedata r:id="rId346" o:title=""/>
            </v:shape>
            <v:shape style="position:absolute;left:15787;top:2541;width:332;height:332" type="#_x0000_t75" stroked="false">
              <v:imagedata r:id="rId347" o:title=""/>
            </v:shape>
            <v:shape style="position:absolute;left:15787;top:753;width:332;height:332" type="#_x0000_t75" stroked="false">
              <v:imagedata r:id="rId348" o:title=""/>
            </v:shape>
            <v:shape style="position:absolute;left:12939;top:1283;width:696;height:1061" coordorigin="12939,1283" coordsize="696,1061" path="m13469,1283l12939,1813,13469,2343,13635,2177,13271,1813,13635,1449,13469,1283xe" filled="true" fillcolor="#89993e" stroked="false">
              <v:path arrowok="t"/>
              <v:fill type="solid"/>
            </v:shape>
            <v:shape style="position:absolute;left:14529;top:3237;width:1061;height:696" coordorigin="14529,3238" coordsize="1061,696" path="m14695,3238l14529,3404,15060,3934,15391,3602,15060,3602,14695,3238xm15424,3238l15060,3602,15391,3602,15590,3404,15424,3238xe" filled="true" fillcolor="#4f743b" stroked="false">
              <v:path arrowok="t"/>
              <v:fill type="solid"/>
            </v:shape>
            <v:shape style="position:absolute;left:16483;top:1283;width:354;height:1061" coordorigin="16484,1283" coordsize="354,1061" path="m16650,1283l16484,1449,16838,1803,16838,1471,16650,1283,16650,1283xm16838,1824l16484,2177,16650,2343,16838,2155,16838,1824xe" filled="true" fillcolor="#2f1038" stroked="false">
              <v:path arrowok="t"/>
              <v:fill type="solid"/>
            </v:shape>
            <v:shape style="position:absolute;left:14529;top:-308;width:1061;height:696" coordorigin="14529,-307" coordsize="1061,696" path="m15060,-307l14529,223,14695,389,15060,25,15391,25,15060,-307xm15391,25l15060,25,15424,389,15590,223,15391,25xe" filled="true" fillcolor="#602a63" stroked="false">
              <v:path arrowok="t"/>
              <v:fill type="solid"/>
            </v:shape>
            <v:shape style="position:absolute;left:13635;top:1084;width:1425;height:1457" coordorigin="13635,1085" coordsize="1425,1457" path="m15060,1813l13999,1813,13635,2177,13999,2542,13999,1813,15060,1813xm13999,1085l13635,1449,13999,1813,13999,1813,13999,1085xe" filled="true" fillcolor="#f3f5e6" stroked="false">
              <v:path arrowok="t"/>
              <v:fill type="solid"/>
            </v:shape>
            <v:shape style="position:absolute;left:14331;top:388;width:1457;height:1425" coordorigin="14331,389" coordsize="1457,1425" path="m15424,389l15060,753,14331,753,15060,753,15060,1813,15060,753,15788,753,15060,753,14695,389,15424,389xe" filled="true" fillcolor="#e5dee7" stroked="false">
              <v:path arrowok="t"/>
              <v:fill type="solid"/>
            </v:shape>
            <v:shape style="position:absolute;left:14331;top:2873;width:1457;height:365" coordorigin="14331,2873" coordsize="1457,365" path="m15788,2873l15060,2873,15424,3238,15788,2873xm15060,2873l15060,2873,14331,2873,14695,3238,15060,2873,15788,2873,15060,2873xe" filled="true" fillcolor="#e7eae0" stroked="false">
              <v:path arrowok="t"/>
              <v:fill type="solid"/>
            </v:shape>
            <v:shape style="position:absolute;left:15059;top:1084;width:1425;height:1457" coordorigin="15060,1085" coordsize="1425,1457" path="m16120,1085l16120,1813,15060,1813,16120,1813,16120,2542,16484,2177,16120,1813,16484,1449,16120,1085xe" filled="true" fillcolor="#dad4db" stroked="false">
              <v:path arrowok="t"/>
              <v:fill type="solid"/>
            </v:shape>
            <v:shape style="position:absolute;left:14165;top:1813;width:895;height:895" coordorigin="14165,1813" coordsize="895,895" path="m15059,1813l14165,2708,15060,1813xe" filled="true" fillcolor="#f3f5e6" stroked="false">
              <v:path arrowok="t"/>
              <v:fill type="solid"/>
            </v:shape>
            <v:shape style="position:absolute;left:13999;top:1813;width:1061;height:895" coordorigin="13999,1813" coordsize="1061,895" path="m15060,1813l13999,1813,13999,2542,14165,2708,15060,1813xe" filled="true" fillcolor="#edf0e4" stroked="false">
              <v:path arrowok="t"/>
              <v:fill type="solid"/>
            </v:shape>
            <v:shape style="position:absolute;left:14165;top:1813;width:895;height:1061" coordorigin="14165,1813" coordsize="895,1061" path="m15060,1813l14165,2708,14331,2873,15060,2873,15060,1813xe" filled="true" fillcolor="#e5e7df" stroked="false">
              <v:path arrowok="t"/>
              <v:fill type="solid"/>
            </v:shape>
            <v:shape style="position:absolute;left:14165;top:918;width:895;height:895" coordorigin="14165,919" coordsize="895,895" path="m14165,919l15060,1813,14165,919xe" filled="true" fillcolor="#e5dee7" stroked="false">
              <v:path arrowok="t"/>
              <v:fill type="solid"/>
            </v:shape>
            <v:shape style="position:absolute;left:13999;top:918;width:1061;height:895" coordorigin="13999,919" coordsize="1061,895" path="m14165,919l13999,1085,13999,1813,15059,1813,14165,919xe" filled="true" fillcolor="#e4dcd8" stroked="false">
              <v:path arrowok="t"/>
              <v:fill type="solid"/>
            </v:shape>
            <v:shape style="position:absolute;left:14165;top:753;width:895;height:1061" coordorigin="14165,753" coordsize="895,1061" path="m15060,753l14331,753,14165,919,15060,1813,15060,753xe" filled="true" fillcolor="#ded9e0" stroked="false">
              <v:path arrowok="t"/>
              <v:fill type="solid"/>
            </v:shape>
            <v:shape style="position:absolute;left:15059;top:1813;width:895;height:895" coordorigin="15060,1813" coordsize="895,895" path="m15060,1813l15954,2708,15060,1813xe" filled="true" fillcolor="#e7eae0" stroked="false">
              <v:path arrowok="t"/>
              <v:fill type="solid"/>
            </v:shape>
            <v:shape style="position:absolute;left:15059;top:1813;width:895;height:1061" coordorigin="15060,1813" coordsize="895,1061" path="m15060,1813l15060,2873,15788,2873,15954,2708,15060,1813xe" filled="true" fillcolor="#e0e1db" stroked="false">
              <v:path arrowok="t"/>
              <v:fill type="solid"/>
            </v:shape>
            <v:shape style="position:absolute;left:15059;top:1813;width:1061;height:895" coordorigin="15060,1813" coordsize="1061,895" path="m16120,1813l15060,1813,15954,2708,16120,2542,16120,1813xe" filled="true" fillcolor="#d9d3d1" stroked="false">
              <v:path arrowok="t"/>
              <v:fill type="solid"/>
            </v:shape>
            <v:shape style="position:absolute;left:15059;top:1813;width:2;height:1061" coordorigin="15060,1813" coordsize="0,1061" path="m15060,1813l15060,2873,15060,1813xe" filled="true" fillcolor="#e0e1db" stroked="false">
              <v:path arrowok="t"/>
              <v:fill type="solid"/>
            </v:shape>
            <v:shape style="position:absolute;left:15059;top:918;width:895;height:895" coordorigin="15060,919" coordsize="895,895" path="m15954,919l15060,1813,15954,919xe" filled="true" fillcolor="#dad4db" stroked="false">
              <v:path arrowok="t"/>
              <v:fill type="solid"/>
            </v:shape>
            <v:shape style="position:absolute;left:15059;top:753;width:895;height:1061" coordorigin="15060,753" coordsize="895,1061" path="m15788,753l15060,753,15060,1813,15954,919,15788,753xe" filled="true" fillcolor="#d8d3d9" stroked="false">
              <v:path arrowok="t"/>
              <v:fill type="solid"/>
            </v:shape>
            <v:shape style="position:absolute;left:15059;top:918;width:1061;height:895" coordorigin="15060,919" coordsize="1061,895" path="m15954,919l15060,1813,16120,1813,16120,1085,15954,919xe" filled="true" fillcolor="#d5d0d4" stroked="false">
              <v:path arrowok="t"/>
              <v:fill type="solid"/>
            </v:shape>
            <v:shape style="position:absolute;left:13270;top:1449;width:729;height:729" coordorigin="13271,1449" coordsize="729,729" path="m13635,1449l13271,1813,13635,2177,13999,1813,13635,1449xe" filled="true" fillcolor="#f0efe3" stroked="false">
              <v:path arrowok="t"/>
              <v:fill type="solid"/>
            </v:shape>
            <v:shape style="position:absolute;left:14695;top:2873;width:729;height:729" coordorigin="14695,2873" coordsize="729,729" path="m15060,2873l14695,3238,15060,3602,15424,3238,15060,2873xe" filled="true" fillcolor="#e7e8df" stroked="false">
              <v:path arrowok="t"/>
              <v:fill type="solid"/>
            </v:shape>
            <v:shape style="position:absolute;left:16119;top:1449;width:719;height:729" coordorigin="16120,1449" coordsize="719,729" path="m16484,1449l16120,1813,16484,2177,16838,1824,16838,1803,16484,1449xe" filled="true" fillcolor="#dbd4d9" stroked="false">
              <v:path arrowok="t"/>
              <v:fill type="solid"/>
            </v:shape>
            <v:shape style="position:absolute;left:14695;top:24;width:729;height:729" coordorigin="14695,25" coordsize="729,729" path="m15060,25l14695,389,15060,753,15424,389,15060,25xe" filled="true" fillcolor="#e5dde3" stroked="false">
              <v:path arrowok="t"/>
              <v:fill type="solid"/>
            </v:shape>
            <v:shape style="position:absolute;left:10666;top:1965;width:4241;height:4241" type="#_x0000_t75" stroked="false">
              <v:imagedata r:id="rId349" o:title=""/>
            </v:shape>
            <v:shape style="position:absolute;left:12159;top:-113;width:904;height:904" coordorigin="12159,-112" coordsize="904,904" path="m12611,-112l12159,339,12611,791,13062,339,12611,-112xe" filled="true" fillcolor="#a5b68b" stroked="false">
              <v:path arrowok="t"/>
              <v:fill opacity="45875f" type="solid"/>
            </v:shape>
            <v:shape style="position:absolute;left:11707;top:-564;width:904;height:904" coordorigin="11707,-564" coordsize="904,904" path="m12159,-564l11707,-112,12159,339,12611,-112,12159,-564xe" filled="true" fillcolor="#d3d896" stroked="false">
              <v:path arrowok="t"/>
              <v:fill opacity="45875f" type="solid"/>
            </v:shape>
            <v:shape style="position:absolute;left:11255;top:-1016;width:904;height:2710" coordorigin="11256,-1015" coordsize="904,2710" path="m12159,1243l11707,791,11256,1243,11707,1694,12159,1243m12159,-564l11707,-1015,11256,-564,11707,-112,12159,-564e" filled="true" fillcolor="#d8dad9" stroked="false">
              <v:path arrowok="t"/>
              <v:fill opacity="45875f" type="solid"/>
            </v:shape>
            <v:shape style="position:absolute;left:11255;top:-113;width:904;height:904" coordorigin="11256,-112" coordsize="904,904" path="m11707,-112l11256,339,11707,791,12159,339,11707,-112xe" filled="true" fillcolor="#a783a6" stroked="false">
              <v:path arrowok="t"/>
              <v:fill opacity="45875f" type="solid"/>
            </v:shape>
            <v:shape style="position:absolute;left:13248;top:10;width:3309;height:3615" type="#_x0000_t75" stroked="false">
              <v:imagedata r:id="rId350" o:title=""/>
            </v:shape>
            <v:shape style="position:absolute;left:14195;top:5145;width:904;height:904" coordorigin="14195,5145" coordsize="904,904" path="m14647,5145l14195,5597,14647,6049,15098,5597,14647,5145xe" filled="true" fillcolor="#d3d896" stroked="false">
              <v:path arrowok="t"/>
              <v:fill opacity="32768f" type="solid"/>
            </v:shape>
            <w10:wrap type="none"/>
          </v:group>
        </w:pict>
      </w:r>
      <w:r>
        <w:rPr>
          <w:color w:val="A7BE39"/>
          <w:w w:val="95"/>
        </w:rPr>
        <w:t>Reconciliation Action Plan </w:t>
      </w:r>
      <w:r>
        <w:rPr>
          <w:color w:val="A7BE39"/>
        </w:rPr>
        <w:t>Committee</w:t>
      </w:r>
    </w:p>
    <w:p>
      <w:pPr>
        <w:pStyle w:val="BodyText"/>
        <w:spacing w:line="249" w:lineRule="auto" w:before="230"/>
        <w:ind w:left="395" w:right="30"/>
      </w:pPr>
      <w:r>
        <w:rPr/>
        <w:t>The Department is committed to the sustainable employment of and positive economic outcomes for</w:t>
      </w:r>
      <w:r>
        <w:rPr>
          <w:spacing w:val="-25"/>
        </w:rPr>
        <w:t> </w:t>
      </w:r>
      <w:r>
        <w:rPr/>
        <w:t>Aboriginal</w:t>
      </w:r>
      <w:r>
        <w:rPr>
          <w:spacing w:val="-25"/>
        </w:rPr>
        <w:t> </w:t>
      </w:r>
      <w:r>
        <w:rPr/>
        <w:t>and</w:t>
      </w:r>
      <w:r>
        <w:rPr>
          <w:spacing w:val="-25"/>
        </w:rPr>
        <w:t> </w:t>
      </w:r>
      <w:r>
        <w:rPr>
          <w:spacing w:val="-5"/>
        </w:rPr>
        <w:t>Torres</w:t>
      </w:r>
      <w:r>
        <w:rPr>
          <w:spacing w:val="-25"/>
        </w:rPr>
        <w:t> </w:t>
      </w:r>
      <w:r>
        <w:rPr/>
        <w:t>Strait</w:t>
      </w:r>
      <w:r>
        <w:rPr>
          <w:spacing w:val="-25"/>
        </w:rPr>
        <w:t> </w:t>
      </w:r>
      <w:r>
        <w:rPr/>
        <w:t>Islander</w:t>
      </w:r>
      <w:r>
        <w:rPr>
          <w:spacing w:val="-25"/>
        </w:rPr>
        <w:t> </w:t>
      </w:r>
      <w:r>
        <w:rPr/>
        <w:t>people</w:t>
      </w:r>
      <w:r>
        <w:rPr>
          <w:spacing w:val="-25"/>
        </w:rPr>
        <w:t> </w:t>
      </w:r>
      <w:r>
        <w:rPr>
          <w:spacing w:val="-6"/>
        </w:rPr>
        <w:t>and </w:t>
      </w:r>
      <w:r>
        <w:rPr/>
        <w:t>communities.</w:t>
      </w:r>
    </w:p>
    <w:p>
      <w:pPr>
        <w:pStyle w:val="BodyText"/>
        <w:spacing w:before="3"/>
        <w:rPr>
          <w:sz w:val="23"/>
        </w:rPr>
      </w:pPr>
    </w:p>
    <w:p>
      <w:pPr>
        <w:pStyle w:val="BodyText"/>
        <w:spacing w:line="249" w:lineRule="auto"/>
        <w:ind w:left="395" w:right="147"/>
      </w:pPr>
      <w:r>
        <w:rPr/>
        <w:t>This</w:t>
      </w:r>
      <w:r>
        <w:rPr>
          <w:spacing w:val="-27"/>
        </w:rPr>
        <w:t> </w:t>
      </w:r>
      <w:r>
        <w:rPr>
          <w:spacing w:val="-5"/>
        </w:rPr>
        <w:t>year,</w:t>
      </w:r>
      <w:r>
        <w:rPr>
          <w:spacing w:val="-27"/>
        </w:rPr>
        <w:t> </w:t>
      </w:r>
      <w:r>
        <w:rPr/>
        <w:t>the</w:t>
      </w:r>
      <w:r>
        <w:rPr>
          <w:spacing w:val="-26"/>
        </w:rPr>
        <w:t> </w:t>
      </w:r>
      <w:r>
        <w:rPr/>
        <w:t>Reconciliation</w:t>
      </w:r>
      <w:r>
        <w:rPr>
          <w:spacing w:val="-27"/>
        </w:rPr>
        <w:t> </w:t>
      </w:r>
      <w:r>
        <w:rPr/>
        <w:t>Committee</w:t>
      </w:r>
      <w:r>
        <w:rPr>
          <w:spacing w:val="-27"/>
        </w:rPr>
        <w:t> </w:t>
      </w:r>
      <w:r>
        <w:rPr/>
        <w:t>has</w:t>
      </w:r>
      <w:r>
        <w:rPr>
          <w:spacing w:val="-26"/>
        </w:rPr>
        <w:t> </w:t>
      </w:r>
      <w:r>
        <w:rPr>
          <w:spacing w:val="-5"/>
        </w:rPr>
        <w:t>been </w:t>
      </w:r>
      <w:r>
        <w:rPr/>
        <w:t>active with volunteering,</w:t>
      </w:r>
      <w:r>
        <w:rPr>
          <w:spacing w:val="-13"/>
        </w:rPr>
        <w:t> </w:t>
      </w:r>
      <w:r>
        <w:rPr/>
        <w:t>including:</w:t>
      </w:r>
    </w:p>
    <w:p>
      <w:pPr>
        <w:pStyle w:val="BodyText"/>
        <w:spacing w:before="2"/>
        <w:rPr>
          <w:sz w:val="23"/>
        </w:rPr>
      </w:pPr>
    </w:p>
    <w:p>
      <w:pPr>
        <w:pStyle w:val="ListParagraph"/>
        <w:numPr>
          <w:ilvl w:val="0"/>
          <w:numId w:val="3"/>
        </w:numPr>
        <w:tabs>
          <w:tab w:pos="567" w:val="left" w:leader="none"/>
        </w:tabs>
        <w:spacing w:line="249" w:lineRule="auto" w:before="0" w:after="0"/>
        <w:ind w:left="579" w:right="478" w:hanging="184"/>
        <w:jc w:val="left"/>
        <w:rPr>
          <w:sz w:val="22"/>
        </w:rPr>
      </w:pPr>
      <w:r>
        <w:rPr>
          <w:sz w:val="22"/>
        </w:rPr>
        <w:t>Participating</w:t>
      </w:r>
      <w:r>
        <w:rPr>
          <w:spacing w:val="-18"/>
          <w:sz w:val="22"/>
        </w:rPr>
        <w:t> </w:t>
      </w:r>
      <w:r>
        <w:rPr>
          <w:sz w:val="22"/>
        </w:rPr>
        <w:t>in</w:t>
      </w:r>
      <w:r>
        <w:rPr>
          <w:spacing w:val="-17"/>
          <w:sz w:val="22"/>
        </w:rPr>
        <w:t> </w:t>
      </w:r>
      <w:r>
        <w:rPr>
          <w:sz w:val="22"/>
        </w:rPr>
        <w:t>the</w:t>
      </w:r>
      <w:r>
        <w:rPr>
          <w:color w:val="A7BE39"/>
          <w:spacing w:val="-18"/>
          <w:sz w:val="22"/>
        </w:rPr>
        <w:t> </w:t>
      </w:r>
      <w:hyperlink r:id="rId351">
        <w:r>
          <w:rPr>
            <w:color w:val="A7BE39"/>
            <w:sz w:val="22"/>
            <w:u w:val="single" w:color="A7BE39"/>
          </w:rPr>
          <w:t>Sorry</w:t>
        </w:r>
        <w:r>
          <w:rPr>
            <w:color w:val="A7BE39"/>
            <w:spacing w:val="-17"/>
            <w:sz w:val="22"/>
            <w:u w:val="single" w:color="A7BE39"/>
          </w:rPr>
          <w:t> </w:t>
        </w:r>
        <w:r>
          <w:rPr>
            <w:color w:val="A7BE39"/>
            <w:sz w:val="22"/>
            <w:u w:val="single" w:color="A7BE39"/>
          </w:rPr>
          <w:t>Day</w:t>
        </w:r>
        <w:r>
          <w:rPr>
            <w:color w:val="A7BE39"/>
            <w:spacing w:val="-17"/>
            <w:sz w:val="22"/>
            <w:u w:val="single" w:color="A7BE39"/>
          </w:rPr>
          <w:t> </w:t>
        </w:r>
        <w:r>
          <w:rPr>
            <w:color w:val="A7BE39"/>
            <w:sz w:val="22"/>
            <w:u w:val="single" w:color="A7BE39"/>
          </w:rPr>
          <w:t>2017</w:t>
        </w:r>
        <w:r>
          <w:rPr>
            <w:color w:val="A7BE39"/>
            <w:spacing w:val="-18"/>
            <w:sz w:val="22"/>
            <w:u w:val="single" w:color="A7BE39"/>
          </w:rPr>
          <w:t> </w:t>
        </w:r>
        <w:r>
          <w:rPr>
            <w:color w:val="A7BE39"/>
            <w:sz w:val="22"/>
            <w:u w:val="single" w:color="A7BE39"/>
          </w:rPr>
          <w:t>event</w:t>
        </w:r>
        <w:r>
          <w:rPr>
            <w:color w:val="A7BE39"/>
            <w:spacing w:val="-17"/>
            <w:sz w:val="22"/>
            <w:u w:val="single" w:color="A7BE39"/>
          </w:rPr>
          <w:t> </w:t>
        </w:r>
        <w:r>
          <w:rPr>
            <w:color w:val="A7BE39"/>
            <w:sz w:val="22"/>
            <w:u w:val="single" w:color="A7BE39"/>
          </w:rPr>
          <w:t>at</w:t>
        </w:r>
      </w:hyperlink>
      <w:hyperlink r:id="rId351">
        <w:r>
          <w:rPr>
            <w:color w:val="A7BE39"/>
            <w:sz w:val="22"/>
            <w:u w:val="single" w:color="A7BE39"/>
          </w:rPr>
          <w:t> Wellington</w:t>
        </w:r>
        <w:r>
          <w:rPr>
            <w:color w:val="A7BE39"/>
            <w:spacing w:val="-3"/>
            <w:sz w:val="22"/>
            <w:u w:val="single" w:color="A7BE39"/>
          </w:rPr>
          <w:t> </w:t>
        </w:r>
        <w:r>
          <w:rPr>
            <w:color w:val="A7BE39"/>
            <w:sz w:val="22"/>
            <w:u w:val="single" w:color="A7BE39"/>
          </w:rPr>
          <w:t>Square</w:t>
        </w:r>
      </w:hyperlink>
      <w:r>
        <w:rPr>
          <w:sz w:val="22"/>
        </w:rPr>
        <w:t>;</w:t>
      </w:r>
    </w:p>
    <w:p>
      <w:pPr>
        <w:pStyle w:val="BodyText"/>
        <w:spacing w:before="1"/>
        <w:rPr>
          <w:sz w:val="23"/>
        </w:rPr>
      </w:pPr>
    </w:p>
    <w:p>
      <w:pPr>
        <w:pStyle w:val="ListParagraph"/>
        <w:numPr>
          <w:ilvl w:val="0"/>
          <w:numId w:val="3"/>
        </w:numPr>
        <w:tabs>
          <w:tab w:pos="567" w:val="left" w:leader="none"/>
        </w:tabs>
        <w:spacing w:line="249" w:lineRule="auto" w:before="0" w:after="0"/>
        <w:ind w:left="579" w:right="747" w:hanging="184"/>
        <w:jc w:val="left"/>
        <w:rPr>
          <w:sz w:val="22"/>
        </w:rPr>
      </w:pPr>
      <w:r>
        <w:rPr>
          <w:sz w:val="22"/>
        </w:rPr>
        <w:t>Engaging</w:t>
      </w:r>
      <w:r>
        <w:rPr>
          <w:spacing w:val="-22"/>
          <w:sz w:val="22"/>
        </w:rPr>
        <w:t> </w:t>
      </w:r>
      <w:r>
        <w:rPr>
          <w:sz w:val="22"/>
        </w:rPr>
        <w:t>staff</w:t>
      </w:r>
      <w:r>
        <w:rPr>
          <w:spacing w:val="-21"/>
          <w:sz w:val="22"/>
        </w:rPr>
        <w:t> </w:t>
      </w:r>
      <w:r>
        <w:rPr>
          <w:sz w:val="22"/>
        </w:rPr>
        <w:t>in</w:t>
      </w:r>
      <w:r>
        <w:rPr>
          <w:spacing w:val="-22"/>
          <w:sz w:val="22"/>
        </w:rPr>
        <w:t> </w:t>
      </w:r>
      <w:r>
        <w:rPr>
          <w:sz w:val="22"/>
        </w:rPr>
        <w:t>the</w:t>
      </w:r>
      <w:r>
        <w:rPr>
          <w:spacing w:val="-21"/>
          <w:sz w:val="22"/>
        </w:rPr>
        <w:t> </w:t>
      </w:r>
      <w:r>
        <w:rPr>
          <w:sz w:val="22"/>
        </w:rPr>
        <w:t>collection</w:t>
      </w:r>
      <w:r>
        <w:rPr>
          <w:spacing w:val="-22"/>
          <w:sz w:val="22"/>
        </w:rPr>
        <w:t> </w:t>
      </w:r>
      <w:r>
        <w:rPr>
          <w:sz w:val="22"/>
        </w:rPr>
        <w:t>of</w:t>
      </w:r>
      <w:r>
        <w:rPr>
          <w:spacing w:val="-21"/>
          <w:sz w:val="22"/>
        </w:rPr>
        <w:t> </w:t>
      </w:r>
      <w:r>
        <w:rPr>
          <w:spacing w:val="-3"/>
          <w:sz w:val="22"/>
        </w:rPr>
        <w:t>musical </w:t>
      </w:r>
      <w:r>
        <w:rPr>
          <w:sz w:val="22"/>
        </w:rPr>
        <w:t>instruments</w:t>
      </w:r>
      <w:r>
        <w:rPr>
          <w:spacing w:val="-26"/>
          <w:sz w:val="22"/>
        </w:rPr>
        <w:t> </w:t>
      </w:r>
      <w:r>
        <w:rPr>
          <w:sz w:val="22"/>
        </w:rPr>
        <w:t>for</w:t>
      </w:r>
      <w:r>
        <w:rPr>
          <w:spacing w:val="-25"/>
          <w:sz w:val="22"/>
        </w:rPr>
        <w:t> </w:t>
      </w:r>
      <w:r>
        <w:rPr>
          <w:sz w:val="22"/>
        </w:rPr>
        <w:t>the</w:t>
      </w:r>
      <w:r>
        <w:rPr>
          <w:color w:val="A7BE39"/>
          <w:spacing w:val="-25"/>
          <w:sz w:val="22"/>
        </w:rPr>
        <w:t> </w:t>
      </w:r>
      <w:hyperlink r:id="rId352">
        <w:r>
          <w:rPr>
            <w:color w:val="A7BE39"/>
            <w:sz w:val="22"/>
            <w:u w:val="single" w:color="A7BE39"/>
          </w:rPr>
          <w:t>Desert</w:t>
        </w:r>
        <w:r>
          <w:rPr>
            <w:color w:val="A7BE39"/>
            <w:spacing w:val="-25"/>
            <w:sz w:val="22"/>
            <w:u w:val="single" w:color="A7BE39"/>
          </w:rPr>
          <w:t> </w:t>
        </w:r>
        <w:r>
          <w:rPr>
            <w:color w:val="A7BE39"/>
            <w:sz w:val="22"/>
            <w:u w:val="single" w:color="A7BE39"/>
          </w:rPr>
          <w:t>Feet</w:t>
        </w:r>
        <w:r>
          <w:rPr>
            <w:color w:val="A7BE39"/>
            <w:spacing w:val="-26"/>
            <w:sz w:val="22"/>
            <w:u w:val="single" w:color="A7BE39"/>
          </w:rPr>
          <w:t> </w:t>
        </w:r>
        <w:r>
          <w:rPr>
            <w:color w:val="A7BE39"/>
            <w:sz w:val="22"/>
            <w:u w:val="single" w:color="A7BE39"/>
          </w:rPr>
          <w:t>Program</w:t>
        </w:r>
      </w:hyperlink>
      <w:r>
        <w:rPr>
          <w:sz w:val="22"/>
        </w:rPr>
        <w:t>;</w:t>
      </w:r>
    </w:p>
    <w:p>
      <w:pPr>
        <w:pStyle w:val="BodyText"/>
        <w:spacing w:before="1"/>
        <w:rPr>
          <w:sz w:val="23"/>
        </w:rPr>
      </w:pPr>
    </w:p>
    <w:p>
      <w:pPr>
        <w:pStyle w:val="ListParagraph"/>
        <w:numPr>
          <w:ilvl w:val="0"/>
          <w:numId w:val="3"/>
        </w:numPr>
        <w:tabs>
          <w:tab w:pos="567" w:val="left" w:leader="none"/>
        </w:tabs>
        <w:spacing w:line="240" w:lineRule="auto" w:before="0" w:after="0"/>
        <w:ind w:left="566" w:right="0" w:hanging="171"/>
        <w:jc w:val="left"/>
        <w:rPr>
          <w:sz w:val="22"/>
        </w:rPr>
      </w:pPr>
      <w:r>
        <w:rPr>
          <w:sz w:val="22"/>
        </w:rPr>
        <w:t>Participating</w:t>
      </w:r>
      <w:r>
        <w:rPr>
          <w:spacing w:val="-15"/>
          <w:sz w:val="22"/>
        </w:rPr>
        <w:t> </w:t>
      </w:r>
      <w:r>
        <w:rPr>
          <w:sz w:val="22"/>
        </w:rPr>
        <w:t>in</w:t>
      </w:r>
      <w:r>
        <w:rPr>
          <w:spacing w:val="-15"/>
          <w:sz w:val="22"/>
        </w:rPr>
        <w:t> </w:t>
      </w:r>
      <w:r>
        <w:rPr>
          <w:sz w:val="22"/>
        </w:rPr>
        <w:t>the</w:t>
      </w:r>
      <w:r>
        <w:rPr>
          <w:spacing w:val="-14"/>
          <w:sz w:val="22"/>
        </w:rPr>
        <w:t> </w:t>
      </w:r>
      <w:r>
        <w:rPr>
          <w:sz w:val="22"/>
        </w:rPr>
        <w:t>Run</w:t>
      </w:r>
      <w:r>
        <w:rPr>
          <w:spacing w:val="-15"/>
          <w:sz w:val="22"/>
        </w:rPr>
        <w:t> </w:t>
      </w:r>
      <w:r>
        <w:rPr>
          <w:sz w:val="22"/>
        </w:rPr>
        <w:t>for</w:t>
      </w:r>
      <w:r>
        <w:rPr>
          <w:spacing w:val="-14"/>
          <w:sz w:val="22"/>
        </w:rPr>
        <w:t> </w:t>
      </w:r>
      <w:r>
        <w:rPr>
          <w:sz w:val="22"/>
        </w:rPr>
        <w:t>Reconciliation;</w:t>
      </w:r>
      <w:r>
        <w:rPr>
          <w:spacing w:val="-15"/>
          <w:sz w:val="22"/>
        </w:rPr>
        <w:t> </w:t>
      </w:r>
      <w:r>
        <w:rPr>
          <w:sz w:val="22"/>
        </w:rPr>
        <w:t>and</w:t>
      </w:r>
    </w:p>
    <w:p>
      <w:pPr>
        <w:pStyle w:val="BodyText"/>
        <w:spacing w:before="11"/>
        <w:rPr>
          <w:sz w:val="23"/>
        </w:rPr>
      </w:pPr>
    </w:p>
    <w:p>
      <w:pPr>
        <w:pStyle w:val="ListParagraph"/>
        <w:numPr>
          <w:ilvl w:val="0"/>
          <w:numId w:val="3"/>
        </w:numPr>
        <w:tabs>
          <w:tab w:pos="567" w:val="left" w:leader="none"/>
        </w:tabs>
        <w:spacing w:line="249" w:lineRule="auto" w:before="0" w:after="0"/>
        <w:ind w:left="579" w:right="75" w:hanging="184"/>
        <w:jc w:val="left"/>
        <w:rPr>
          <w:sz w:val="22"/>
        </w:rPr>
      </w:pPr>
      <w:r>
        <w:rPr>
          <w:sz w:val="22"/>
        </w:rPr>
        <w:t>Coordinating the joint National Aborigines and </w:t>
      </w:r>
      <w:r>
        <w:rPr>
          <w:w w:val="95"/>
          <w:sz w:val="22"/>
        </w:rPr>
        <w:t>Islanders Day Observance Committee </w:t>
      </w:r>
      <w:r>
        <w:rPr>
          <w:spacing w:val="-3"/>
          <w:w w:val="95"/>
          <w:sz w:val="22"/>
        </w:rPr>
        <w:t>(NAIDOC) </w:t>
      </w:r>
      <w:r>
        <w:rPr>
          <w:sz w:val="22"/>
        </w:rPr>
        <w:t>celebration at the Optima Centre in Osborne Park, where two Department of Finance business units are located. This celebration focussed on the theme of</w:t>
      </w:r>
      <w:r>
        <w:rPr>
          <w:spacing w:val="-19"/>
          <w:sz w:val="22"/>
        </w:rPr>
        <w:t> </w:t>
      </w:r>
      <w:r>
        <w:rPr>
          <w:sz w:val="22"/>
        </w:rPr>
        <w:t>‘Songlines:</w:t>
      </w:r>
    </w:p>
    <w:p>
      <w:pPr>
        <w:pStyle w:val="BodyText"/>
        <w:spacing w:before="5"/>
        <w:ind w:left="579"/>
      </w:pPr>
      <w:r>
        <w:rPr/>
        <w:t>The living narrative of our nation’.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20"/>
        </w:rPr>
      </w:pPr>
    </w:p>
    <w:p>
      <w:pPr>
        <w:spacing w:line="249" w:lineRule="auto" w:before="0"/>
        <w:ind w:left="691" w:right="1225" w:firstLine="287"/>
        <w:jc w:val="right"/>
        <w:rPr>
          <w:i/>
          <w:sz w:val="16"/>
        </w:rPr>
      </w:pPr>
      <w:r>
        <w:rPr>
          <w:i/>
          <w:color w:val="939598"/>
          <w:sz w:val="16"/>
        </w:rPr>
        <w:t>Finance staff and friends</w:t>
      </w:r>
      <w:r>
        <w:rPr>
          <w:i/>
          <w:color w:val="939598"/>
          <w:w w:val="95"/>
          <w:sz w:val="16"/>
        </w:rPr>
        <w:t> </w:t>
      </w:r>
      <w:r>
        <w:rPr>
          <w:i/>
          <w:color w:val="939598"/>
          <w:sz w:val="16"/>
        </w:rPr>
        <w:t>answer the music call for the</w:t>
      </w:r>
      <w:r>
        <w:rPr>
          <w:i/>
          <w:color w:val="939598"/>
          <w:w w:val="97"/>
          <w:sz w:val="16"/>
        </w:rPr>
        <w:t> </w:t>
      </w:r>
      <w:r>
        <w:rPr>
          <w:i/>
          <w:color w:val="939598"/>
          <w:w w:val="95"/>
          <w:sz w:val="16"/>
        </w:rPr>
        <w:t>Desert Feet Program.</w:t>
      </w:r>
    </w:p>
    <w:p>
      <w:pPr>
        <w:spacing w:after="0" w:line="249" w:lineRule="auto"/>
        <w:jc w:val="right"/>
        <w:rPr>
          <w:sz w:val="16"/>
        </w:rPr>
        <w:sectPr>
          <w:type w:val="continuous"/>
          <w:pgSz w:w="16840" w:h="11910" w:orient="landscape"/>
          <w:pgMar w:top="0" w:bottom="0" w:left="0" w:right="0"/>
          <w:cols w:num="3" w:equalWidth="0">
            <w:col w:w="5574" w:space="40"/>
            <w:col w:w="5212" w:space="2051"/>
            <w:col w:w="3963"/>
          </w:cols>
        </w:sectPr>
      </w:pPr>
    </w:p>
    <w:p>
      <w:pPr>
        <w:pStyle w:val="BodyText"/>
        <w:rPr>
          <w:i/>
          <w:sz w:val="20"/>
        </w:rPr>
      </w:pPr>
      <w:r>
        <w:rPr/>
        <w:pict>
          <v:group style="position:absolute;margin-left:763.172119pt;margin-top:53.780003pt;width:61.1pt;height:45.2pt;mso-position-horizontal-relative:page;mso-position-vertical-relative:page;z-index:38536" coordorigin="15263,1076" coordsize="1222,904">
            <v:shape style="position:absolute;left:15424;top:1075;width:900;height:904" coordorigin="15424,1076" coordsize="900,904" path="m15874,1076l15424,1526,15424,1529,15874,1979,16324,1529,16324,1526,15874,1076xe" filled="true" fillcolor="#c4cd71" stroked="false">
              <v:path arrowok="t"/>
              <v:fill type="solid"/>
            </v:shape>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shape style="position:absolute;left:15263;top:1366;width:161;height:322" type="#_x0000_t75" stroked="false">
              <v:imagedata r:id="rId16" o:title=""/>
            </v:shape>
            <v:shape style="position:absolute;left:16324;top:1366;width:161;height:322" type="#_x0000_t75" stroked="false">
              <v:imagedata r:id="rId11" o:title=""/>
            </v:shape>
            <v:shape style="position:absolute;left:15263;top:1075;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p>
    <w:p>
      <w:pPr>
        <w:pStyle w:val="BodyText"/>
        <w:rPr>
          <w:i/>
          <w:sz w:val="20"/>
        </w:rPr>
      </w:pPr>
    </w:p>
    <w:p>
      <w:pPr>
        <w:pStyle w:val="BodyText"/>
        <w:rPr>
          <w:i/>
          <w:sz w:val="20"/>
        </w:rPr>
      </w:pPr>
    </w:p>
    <w:p>
      <w:pPr>
        <w:pStyle w:val="BodyText"/>
        <w:spacing w:before="7"/>
        <w:rPr>
          <w:i/>
          <w:sz w:val="21"/>
        </w:rPr>
      </w:pPr>
    </w:p>
    <w:p>
      <w:pPr>
        <w:tabs>
          <w:tab w:pos="4671" w:val="left" w:leader="none"/>
          <w:tab w:pos="16072" w:val="left" w:leader="none"/>
        </w:tabs>
        <w:spacing w:before="1"/>
        <w:ind w:left="765" w:right="0" w:firstLine="0"/>
        <w:jc w:val="left"/>
        <w:rPr>
          <w:sz w:val="16"/>
        </w:rPr>
      </w:pPr>
      <w:r>
        <w:rPr/>
        <w:pict>
          <v:group style="position:absolute;margin-left:-.000005pt;margin-top:-89.330498pt;width:161.75pt;height:121.65pt;mso-position-horizontal-relative:page;mso-position-vertical-relative:paragraph;z-index:-775168" coordorigin="0,-1787" coordsize="3235,2433">
            <v:shape style="position:absolute;left:0;top:-1787;width:797;height:2431" coordorigin="0,-1787" coordsize="797,2431" path="m796,405l384,643,409,643,796,420,796,405m796,106l0,566,0,581,796,121,796,106m796,-93l0,367,0,381,796,-79,796,-93m796,-193l0,267,0,282,796,-178,796,-193m796,-392l0,68,0,82,796,-377,796,-392m796,-591l0,-131,0,-117,796,-577,796,-591m796,-691l0,-231,0,-217,796,-676,796,-691m796,-790l0,-331,0,-316,796,-776,796,-790m796,-1089l0,-629,0,-615,796,-1075,796,-1089m796,-1189l0,-729,0,-715,796,-1174,796,-1189m796,-1288l0,-829,0,-814,796,-1274,796,-1288m796,-1388l0,-928,0,-914,796,-1374,796,-1388m796,-1587l284,-1292,250,-1258,796,-1573,796,-1587m796,-1787l756,-1763,722,-1729,796,-1772,796,-1787m796,306l211,643,236,643,796,320,796,306m796,206l39,643,64,643,796,220,796,206m796,7l0,466,0,481,796,21,796,7m796,-292l0,168,0,182,796,-278,796,-292m796,-491l0,-32,0,-17,796,-477,796,-491m796,-890l0,-430,0,-416,796,-876,796,-890m796,-990l0,-530,0,-515,796,-975,796,-990m796,-1488l49,-1056,14,-1022,796,-1473,796,-1488m796,-1687l520,-1527,486,-1493,796,-1673,796,-1687e" filled="true" fillcolor="#d8dad9" stroked="false">
              <v:path arrowok="t"/>
              <v:fill opacity="32768f" type="solid"/>
            </v:shape>
            <v:shape style="position:absolute;left:556;top:504;width:241;height:139" type="#_x0000_t75" stroked="false">
              <v:imagedata r:id="rId353" o:title=""/>
            </v:shape>
            <v:shape style="position:absolute;left:796;top:-1771;width:38;height:26" coordorigin="796,-1770" coordsize="38,26" path="m830,-1770l796,-1751,796,-1745,834,-1766,830,-1770xe" filled="true" fillcolor="#d8dad9" stroked="false">
              <v:path arrowok="t"/>
              <v:fill opacity="32768f" type="solid"/>
            </v:shape>
            <v:shape style="position:absolute;left:796;top:-1707;width:354;height:461" type="#_x0000_t75" stroked="false">
              <v:imagedata r:id="rId354" o:title=""/>
            </v:shape>
            <v:shape style="position:absolute;left:796;top:-1392;width:2186;height:2038" coordorigin="796,-1391" coordsize="2186,2038" path="m1213,-1387l1209,-1391,796,-1153,796,-1147,1213,-1387m1276,-1324l1272,-1328,796,-1053,796,-1047,1276,-1324m1339,-1261l1336,-1265,796,-953,796,-948,1339,-1261m1402,-1198l1399,-1202,796,-854,796,-848,1402,-1198m1466,-1135l1462,-1138,796,-754,796,-748,1466,-1135m1529,-1072l1525,-1075,796,-655,796,-649,1529,-1072m1592,-1008l1588,-1012,796,-555,796,-549,1592,-1008m1655,-945l1651,-949,796,-455,796,-450,1655,-945m1718,-882l1715,-886,796,-356,796,-350,1718,-882m1781,-819l1778,-823,796,-256,796,-250,1781,-819m1845,-756l1841,-759,796,-156,796,-151,1845,-756m1908,-693l1904,-696,796,-57,796,-51,1908,-693m1971,-629l1967,-633,796,43,796,49,1971,-629m2034,-566l2030,-570,796,142,796,148,2034,-566m2097,-503l2094,-507,796,242,796,248,2097,-503m2160,-440l2157,-444,796,342,796,347,2160,-440m2224,-377l2220,-380,796,441,796,447,2224,-377m2287,-314l2283,-317,796,541,796,547,2287,-314m2350,-250l2346,-254,796,641,796,646,2350,-250m2413,-187l2409,-191,964,643,974,643,2413,-187m2476,-124l2473,-128,1137,643,1147,643,2476,-124m2539,-61l2536,-65,1309,643,1319,643,2539,-61m2603,2l2599,-1,1482,643,1492,643,2603,2m2666,65l2662,62,1654,643,1664,643,2666,65m2729,128l2725,125,1827,643,1837,643,2729,128m2792,192l2788,188,1999,643,2010,643,2792,192m2855,255l2852,251,2172,643,2182,643,2855,255m2918,318l2915,314,2345,643,2355,643,2918,318m2982,381l2978,377,2517,643,2527,643,2982,381e" filled="true" fillcolor="#d8dad9" stroked="false">
              <v:path arrowok="t"/>
              <v:fill opacity="32768f" type="solid"/>
            </v:shape>
            <v:shape style="position:absolute;left:2689;top:440;width:482;height:203" type="#_x0000_t75" stroked="false">
              <v:imagedata r:id="rId355" o:title=""/>
            </v:shape>
            <v:shape style="position:absolute;left:3207;top:630;width:27;height:14" coordorigin="3207,630" coordsize="27,14" path="m3230,630l3207,643,3217,643,3234,634,3230,630xe" filled="true" fillcolor="#d8dad9" stroked="false">
              <v:path arrowok="t"/>
              <v:fill opacity="32768f" type="solid"/>
            </v:shape>
            <w10:wrap type="none"/>
          </v:group>
        </w:pict>
      </w:r>
      <w:r>
        <w:rPr>
          <w:b/>
          <w:color w:val="6F2770"/>
          <w:sz w:val="16"/>
        </w:rPr>
        <w:t>110   </w:t>
      </w:r>
      <w:r>
        <w:rPr>
          <w:color w:val="939598"/>
          <w:sz w:val="16"/>
        </w:rPr>
        <w:t>Department of Finance Annual Report</w:t>
      </w:r>
      <w:r>
        <w:rPr>
          <w:color w:val="939598"/>
          <w:spacing w:val="-29"/>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tabs>
          <w:tab w:pos="4802" w:val="left" w:leader="none"/>
          <w:tab w:pos="14432" w:val="left" w:leader="none"/>
        </w:tabs>
        <w:spacing w:line="240" w:lineRule="auto"/>
        <w:ind w:left="0" w:right="-44" w:firstLine="0"/>
        <w:rPr>
          <w:sz w:val="20"/>
        </w:rPr>
      </w:pPr>
      <w:r>
        <w:rPr>
          <w:sz w:val="20"/>
        </w:rPr>
        <w:pict>
          <v:shape style="width:120.3pt;height:42.55pt;mso-position-horizontal-relative:char;mso-position-vertical-relative:line" type="#_x0000_t202" filled="true" fillcolor="#aebd37" stroked="false">
            <w10:anchorlock/>
            <v:textbox inset="0,0,0,0">
              <w:txbxContent>
                <w:p>
                  <w:pPr>
                    <w:pStyle w:val="BodyText"/>
                    <w:spacing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v:shape>
        </w:pict>
      </w:r>
      <w:r>
        <w:rPr>
          <w:sz w:val="20"/>
        </w:rPr>
      </w:r>
      <w:r>
        <w:rPr>
          <w:sz w:val="20"/>
        </w:rPr>
        <w:tab/>
      </w:r>
      <w:r>
        <w:rPr>
          <w:sz w:val="20"/>
        </w:rPr>
        <w:pict>
          <v:shape style="width:120.7pt;height:42.55pt;mso-position-horizontal-relative:char;mso-position-vertical-relative:line" type="#_x0000_t202" filled="true" fillcolor="#bec85c" stroked="false">
            <w10:anchorlock/>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v:shape>
        </w:pict>
      </w:r>
      <w:r>
        <w:rPr>
          <w:sz w:val="20"/>
        </w:rPr>
      </w:r>
      <w:r>
        <w:rPr>
          <w:sz w:val="20"/>
        </w:rPr>
        <w:tab/>
      </w:r>
      <w:r>
        <w:rPr>
          <w:sz w:val="20"/>
        </w:rPr>
        <w:pict>
          <v:shape style="width:120.3pt;height:42.55pt;mso-position-horizontal-relative:char;mso-position-vertical-relative:line" type="#_x0000_t202" filled="false" stroked="false">
            <w10:anchorlock/>
            <v:textbox inset="0,0,0,0">
              <w:txbxContent>
                <w:p>
                  <w:pPr>
                    <w:pStyle w:val="BodyText"/>
                    <w:spacing w:before="9"/>
                    <w:rPr>
                      <w:sz w:val="26"/>
                    </w:rPr>
                  </w:pPr>
                </w:p>
                <w:p>
                  <w:pPr>
                    <w:spacing w:before="0"/>
                    <w:ind w:left="735" w:right="0" w:firstLine="0"/>
                    <w:jc w:val="left"/>
                    <w:rPr>
                      <w:sz w:val="20"/>
                    </w:rPr>
                  </w:pPr>
                  <w:hyperlink w:history="true" w:anchor="_bookmark73">
                    <w:r>
                      <w:rPr>
                        <w:color w:val="FFFFFF"/>
                        <w:sz w:val="20"/>
                      </w:rPr>
                      <w:t>APPENDIX</w:t>
                    </w:r>
                  </w:hyperlink>
                </w:p>
              </w:txbxContent>
            </v:textbox>
          </v:shape>
        </w:pict>
      </w:r>
      <w:r>
        <w:rPr>
          <w:sz w:val="20"/>
        </w:rPr>
      </w:r>
    </w:p>
    <w:p>
      <w:pPr>
        <w:pStyle w:val="BodyText"/>
        <w:rPr>
          <w:sz w:val="20"/>
        </w:rPr>
      </w:pPr>
    </w:p>
    <w:p>
      <w:pPr>
        <w:spacing w:after="0"/>
        <w:rPr>
          <w:sz w:val="20"/>
        </w:rPr>
        <w:sectPr>
          <w:footerReference w:type="default" r:id="rId356"/>
          <w:pgSz w:w="16840" w:h="11910" w:orient="landscape"/>
          <w:pgMar w:footer="0" w:header="0" w:top="0" w:bottom="0" w:left="0" w:right="0"/>
        </w:sectPr>
      </w:pPr>
    </w:p>
    <w:p>
      <w:pPr>
        <w:pStyle w:val="BodyText"/>
        <w:rPr>
          <w:sz w:val="36"/>
        </w:rPr>
      </w:pPr>
    </w:p>
    <w:p>
      <w:pPr>
        <w:pStyle w:val="Heading4"/>
        <w:spacing w:line="249" w:lineRule="auto" w:before="0"/>
        <w:ind w:right="1203"/>
      </w:pPr>
      <w:r>
        <w:rPr>
          <w:color w:val="A7BE39"/>
        </w:rPr>
        <w:t>Compliance with</w:t>
      </w:r>
      <w:r>
        <w:rPr>
          <w:color w:val="A7BE39"/>
          <w:spacing w:val="-68"/>
        </w:rPr>
        <w:t> </w:t>
      </w:r>
      <w:r>
        <w:rPr>
          <w:color w:val="A7BE39"/>
          <w:spacing w:val="-3"/>
        </w:rPr>
        <w:t>public </w:t>
      </w:r>
      <w:r>
        <w:rPr>
          <w:color w:val="A7BE39"/>
        </w:rPr>
        <w:t>sector standards and ethical codes</w:t>
      </w:r>
    </w:p>
    <w:p>
      <w:pPr>
        <w:pStyle w:val="BodyText"/>
        <w:spacing w:line="249" w:lineRule="auto" w:before="232"/>
        <w:ind w:left="765" w:right="114"/>
      </w:pPr>
      <w:r>
        <w:rPr/>
        <w:t>The Department has maintained its good record in</w:t>
      </w:r>
      <w:r>
        <w:rPr>
          <w:spacing w:val="-13"/>
        </w:rPr>
        <w:t> </w:t>
      </w:r>
      <w:r>
        <w:rPr/>
        <w:t>complying</w:t>
      </w:r>
      <w:r>
        <w:rPr>
          <w:spacing w:val="-13"/>
        </w:rPr>
        <w:t> </w:t>
      </w:r>
      <w:r>
        <w:rPr/>
        <w:t>with</w:t>
      </w:r>
      <w:r>
        <w:rPr>
          <w:spacing w:val="-13"/>
        </w:rPr>
        <w:t> </w:t>
      </w:r>
      <w:r>
        <w:rPr/>
        <w:t>public</w:t>
      </w:r>
      <w:r>
        <w:rPr>
          <w:spacing w:val="-13"/>
        </w:rPr>
        <w:t> </w:t>
      </w:r>
      <w:r>
        <w:rPr/>
        <w:t>sector</w:t>
      </w:r>
      <w:r>
        <w:rPr>
          <w:spacing w:val="-13"/>
        </w:rPr>
        <w:t> </w:t>
      </w:r>
      <w:r>
        <w:rPr/>
        <w:t>standards</w:t>
      </w:r>
      <w:r>
        <w:rPr>
          <w:spacing w:val="-13"/>
        </w:rPr>
        <w:t> </w:t>
      </w:r>
      <w:r>
        <w:rPr/>
        <w:t>and</w:t>
      </w:r>
      <w:r>
        <w:rPr>
          <w:spacing w:val="-13"/>
        </w:rPr>
        <w:t> </w:t>
      </w:r>
      <w:r>
        <w:rPr>
          <w:spacing w:val="-6"/>
        </w:rPr>
        <w:t>the </w:t>
      </w:r>
      <w:r>
        <w:rPr/>
        <w:t>public</w:t>
      </w:r>
      <w:r>
        <w:rPr>
          <w:spacing w:val="-17"/>
        </w:rPr>
        <w:t> </w:t>
      </w:r>
      <w:r>
        <w:rPr/>
        <w:t>sector</w:t>
      </w:r>
      <w:r>
        <w:rPr>
          <w:spacing w:val="-17"/>
        </w:rPr>
        <w:t> </w:t>
      </w:r>
      <w:r>
        <w:rPr/>
        <w:t>code</w:t>
      </w:r>
      <w:r>
        <w:rPr>
          <w:spacing w:val="-17"/>
        </w:rPr>
        <w:t> </w:t>
      </w:r>
      <w:r>
        <w:rPr/>
        <w:t>of</w:t>
      </w:r>
      <w:r>
        <w:rPr>
          <w:spacing w:val="-17"/>
        </w:rPr>
        <w:t> </w:t>
      </w:r>
      <w:r>
        <w:rPr/>
        <w:t>ethics,</w:t>
      </w:r>
      <w:r>
        <w:rPr>
          <w:spacing w:val="-17"/>
        </w:rPr>
        <w:t> </w:t>
      </w:r>
      <w:r>
        <w:rPr/>
        <w:t>delivering</w:t>
      </w:r>
      <w:r>
        <w:rPr>
          <w:spacing w:val="-17"/>
        </w:rPr>
        <w:t> </w:t>
      </w:r>
      <w:r>
        <w:rPr/>
        <w:t>its</w:t>
      </w:r>
      <w:r>
        <w:rPr>
          <w:spacing w:val="-16"/>
        </w:rPr>
        <w:t> </w:t>
      </w:r>
      <w:r>
        <w:rPr/>
        <w:t>training programs via online and face-to-face sessions, tailored for new and existing</w:t>
      </w:r>
      <w:r>
        <w:rPr>
          <w:spacing w:val="-34"/>
        </w:rPr>
        <w:t> </w:t>
      </w:r>
      <w:r>
        <w:rPr/>
        <w:t>employees.</w:t>
      </w:r>
    </w:p>
    <w:p>
      <w:pPr>
        <w:pStyle w:val="BodyText"/>
        <w:spacing w:before="4"/>
        <w:rPr>
          <w:sz w:val="23"/>
        </w:rPr>
      </w:pPr>
    </w:p>
    <w:p>
      <w:pPr>
        <w:pStyle w:val="BodyText"/>
        <w:spacing w:line="249" w:lineRule="auto"/>
        <w:ind w:left="765" w:right="-9"/>
      </w:pPr>
      <w:r>
        <w:rPr/>
        <w:pict>
          <v:group style="position:absolute;margin-left:0pt;margin-top:.79157pt;width:17.150pt;height:34.25pt;mso-position-horizontal-relative:page;mso-position-vertical-relative:paragraph;z-index:38872" coordorigin="0,16" coordsize="343,685">
            <v:shape style="position:absolute;left:0;top:15;width:343;height:685" coordorigin="0,16" coordsize="343,685" path="m0,16l0,348,10,358,0,368,0,700,342,358,0,16xe" filled="true" fillcolor="#2f1038" stroked="false">
              <v:path arrowok="t"/>
              <v:fill type="solid"/>
            </v:shape>
            <v:shape style="position:absolute;left:0;top:347;width:11;height:21" coordorigin="0,348" coordsize="11,21" path="m0,348l0,368,10,358,0,348xe" filled="true" fillcolor="#dbd4d9" stroked="false">
              <v:path arrowok="t"/>
              <v:fill type="solid"/>
            </v:shape>
            <w10:wrap type="none"/>
          </v:group>
        </w:pict>
      </w:r>
      <w:r>
        <w:rPr>
          <w:spacing w:val="-3"/>
        </w:rPr>
        <w:t>Over</w:t>
      </w:r>
      <w:r>
        <w:rPr>
          <w:spacing w:val="-23"/>
        </w:rPr>
        <w:t> </w:t>
      </w:r>
      <w:r>
        <w:rPr/>
        <w:t>the</w:t>
      </w:r>
      <w:r>
        <w:rPr>
          <w:spacing w:val="-22"/>
        </w:rPr>
        <w:t> </w:t>
      </w:r>
      <w:r>
        <w:rPr>
          <w:spacing w:val="-7"/>
        </w:rPr>
        <w:t>year,</w:t>
      </w:r>
      <w:r>
        <w:rPr>
          <w:spacing w:val="-22"/>
        </w:rPr>
        <w:t> </w:t>
      </w:r>
      <w:r>
        <w:rPr/>
        <w:t>the</w:t>
      </w:r>
      <w:r>
        <w:rPr>
          <w:spacing w:val="-22"/>
        </w:rPr>
        <w:t> </w:t>
      </w:r>
      <w:r>
        <w:rPr>
          <w:spacing w:val="-3"/>
        </w:rPr>
        <w:t>Department</w:t>
      </w:r>
      <w:r>
        <w:rPr>
          <w:spacing w:val="-23"/>
        </w:rPr>
        <w:t> </w:t>
      </w:r>
      <w:r>
        <w:rPr>
          <w:spacing w:val="-3"/>
        </w:rPr>
        <w:t>continued</w:t>
      </w:r>
      <w:r>
        <w:rPr>
          <w:spacing w:val="-22"/>
        </w:rPr>
        <w:t> </w:t>
      </w:r>
      <w:r>
        <w:rPr/>
        <w:t>to</w:t>
      </w:r>
      <w:r>
        <w:rPr>
          <w:spacing w:val="-22"/>
        </w:rPr>
        <w:t> </w:t>
      </w:r>
      <w:r>
        <w:rPr>
          <w:spacing w:val="-4"/>
        </w:rPr>
        <w:t>provide proactive</w:t>
      </w:r>
      <w:r>
        <w:rPr>
          <w:spacing w:val="-22"/>
        </w:rPr>
        <w:t> </w:t>
      </w:r>
      <w:r>
        <w:rPr>
          <w:spacing w:val="-3"/>
        </w:rPr>
        <w:t>guidance</w:t>
      </w:r>
      <w:r>
        <w:rPr>
          <w:spacing w:val="-21"/>
        </w:rPr>
        <w:t> </w:t>
      </w:r>
      <w:r>
        <w:rPr/>
        <w:t>to</w:t>
      </w:r>
      <w:r>
        <w:rPr>
          <w:spacing w:val="-22"/>
        </w:rPr>
        <w:t> </w:t>
      </w:r>
      <w:r>
        <w:rPr>
          <w:spacing w:val="-3"/>
        </w:rPr>
        <w:t>managers</w:t>
      </w:r>
      <w:r>
        <w:rPr>
          <w:spacing w:val="-21"/>
        </w:rPr>
        <w:t> </w:t>
      </w:r>
      <w:r>
        <w:rPr/>
        <w:t>and</w:t>
      </w:r>
      <w:r>
        <w:rPr>
          <w:spacing w:val="-22"/>
        </w:rPr>
        <w:t> </w:t>
      </w:r>
      <w:r>
        <w:rPr>
          <w:spacing w:val="-4"/>
        </w:rPr>
        <w:t>staff</w:t>
      </w:r>
      <w:r>
        <w:rPr>
          <w:spacing w:val="-21"/>
        </w:rPr>
        <w:t> </w:t>
      </w:r>
      <w:r>
        <w:rPr/>
        <w:t>to</w:t>
      </w:r>
      <w:r>
        <w:rPr>
          <w:spacing w:val="-22"/>
        </w:rPr>
        <w:t> </w:t>
      </w:r>
      <w:r>
        <w:rPr>
          <w:spacing w:val="-4"/>
        </w:rPr>
        <w:t>ensure </w:t>
      </w:r>
      <w:r>
        <w:rPr>
          <w:spacing w:val="-3"/>
        </w:rPr>
        <w:t>that </w:t>
      </w:r>
      <w:r>
        <w:rPr>
          <w:spacing w:val="-4"/>
        </w:rPr>
        <w:t>recruitment processes </w:t>
      </w:r>
      <w:r>
        <w:rPr>
          <w:spacing w:val="-3"/>
        </w:rPr>
        <w:t>complied with public sector </w:t>
      </w:r>
      <w:r>
        <w:rPr>
          <w:spacing w:val="-4"/>
        </w:rPr>
        <w:t>standards. </w:t>
      </w:r>
      <w:r>
        <w:rPr/>
        <w:t>The </w:t>
      </w:r>
      <w:r>
        <w:rPr>
          <w:spacing w:val="-3"/>
        </w:rPr>
        <w:t>Department successfully completed</w:t>
      </w:r>
      <w:r>
        <w:rPr>
          <w:spacing w:val="-17"/>
        </w:rPr>
        <w:t> </w:t>
      </w:r>
      <w:r>
        <w:rPr/>
        <w:t>90</w:t>
      </w:r>
      <w:r>
        <w:rPr>
          <w:spacing w:val="-17"/>
        </w:rPr>
        <w:t> </w:t>
      </w:r>
      <w:r>
        <w:rPr>
          <w:spacing w:val="-4"/>
        </w:rPr>
        <w:t>recruitment</w:t>
      </w:r>
      <w:r>
        <w:rPr>
          <w:spacing w:val="-16"/>
        </w:rPr>
        <w:t> </w:t>
      </w:r>
      <w:r>
        <w:rPr>
          <w:spacing w:val="-4"/>
        </w:rPr>
        <w:t>processes</w:t>
      </w:r>
      <w:r>
        <w:rPr>
          <w:spacing w:val="-17"/>
        </w:rPr>
        <w:t> </w:t>
      </w:r>
      <w:r>
        <w:rPr>
          <w:spacing w:val="-3"/>
        </w:rPr>
        <w:t>this</w:t>
      </w:r>
      <w:r>
        <w:rPr>
          <w:spacing w:val="-16"/>
        </w:rPr>
        <w:t> </w:t>
      </w:r>
      <w:r>
        <w:rPr>
          <w:spacing w:val="-3"/>
        </w:rPr>
        <w:t>year</w:t>
      </w:r>
      <w:r>
        <w:rPr>
          <w:spacing w:val="-17"/>
        </w:rPr>
        <w:t> </w:t>
      </w:r>
      <w:r>
        <w:rPr>
          <w:spacing w:val="-4"/>
        </w:rPr>
        <w:t>from </w:t>
      </w:r>
      <w:r>
        <w:rPr>
          <w:spacing w:val="-3"/>
        </w:rPr>
        <w:t>which 2,569 applications </w:t>
      </w:r>
      <w:r>
        <w:rPr>
          <w:spacing w:val="-4"/>
        </w:rPr>
        <w:t>were</w:t>
      </w:r>
      <w:r>
        <w:rPr>
          <w:spacing w:val="-25"/>
        </w:rPr>
        <w:t> </w:t>
      </w:r>
      <w:r>
        <w:rPr>
          <w:spacing w:val="-4"/>
        </w:rPr>
        <w:t>received.</w:t>
      </w:r>
    </w:p>
    <w:p>
      <w:pPr>
        <w:pStyle w:val="BodyText"/>
        <w:spacing w:before="5"/>
        <w:rPr>
          <w:sz w:val="23"/>
        </w:rPr>
      </w:pPr>
    </w:p>
    <w:p>
      <w:pPr>
        <w:pStyle w:val="BodyText"/>
        <w:spacing w:line="249" w:lineRule="auto"/>
        <w:ind w:left="765" w:right="395"/>
      </w:pPr>
      <w:r>
        <w:rPr>
          <w:spacing w:val="-9"/>
        </w:rPr>
        <w:t>Two </w:t>
      </w:r>
      <w:r>
        <w:rPr/>
        <w:t>breach of standard claims were lodged against</w:t>
      </w:r>
      <w:r>
        <w:rPr>
          <w:spacing w:val="-25"/>
        </w:rPr>
        <w:t> </w:t>
      </w:r>
      <w:r>
        <w:rPr/>
        <w:t>a</w:t>
      </w:r>
      <w:r>
        <w:rPr>
          <w:spacing w:val="-24"/>
        </w:rPr>
        <w:t> </w:t>
      </w:r>
      <w:r>
        <w:rPr/>
        <w:t>selection</w:t>
      </w:r>
      <w:r>
        <w:rPr>
          <w:spacing w:val="-24"/>
        </w:rPr>
        <w:t> </w:t>
      </w:r>
      <w:r>
        <w:rPr/>
        <w:t>process</w:t>
      </w:r>
      <w:r>
        <w:rPr>
          <w:spacing w:val="-24"/>
        </w:rPr>
        <w:t> </w:t>
      </w:r>
      <w:r>
        <w:rPr/>
        <w:t>of</w:t>
      </w:r>
      <w:r>
        <w:rPr>
          <w:spacing w:val="-25"/>
        </w:rPr>
        <w:t> </w:t>
      </w:r>
      <w:r>
        <w:rPr/>
        <w:t>the</w:t>
      </w:r>
      <w:r>
        <w:rPr>
          <w:spacing w:val="-24"/>
        </w:rPr>
        <w:t> </w:t>
      </w:r>
      <w:r>
        <w:rPr/>
        <w:t>Employment Standard, and were subsequently withdrawn. One</w:t>
      </w:r>
      <w:r>
        <w:rPr>
          <w:spacing w:val="-12"/>
        </w:rPr>
        <w:t> </w:t>
      </w:r>
      <w:r>
        <w:rPr/>
        <w:t>case</w:t>
      </w:r>
      <w:r>
        <w:rPr>
          <w:spacing w:val="-12"/>
        </w:rPr>
        <w:t> </w:t>
      </w:r>
      <w:r>
        <w:rPr/>
        <w:t>of</w:t>
      </w:r>
      <w:r>
        <w:rPr>
          <w:spacing w:val="-11"/>
        </w:rPr>
        <w:t> </w:t>
      </w:r>
      <w:r>
        <w:rPr/>
        <w:t>non-compliance</w:t>
      </w:r>
      <w:r>
        <w:rPr>
          <w:spacing w:val="-12"/>
        </w:rPr>
        <w:t> </w:t>
      </w:r>
      <w:r>
        <w:rPr/>
        <w:t>with</w:t>
      </w:r>
      <w:r>
        <w:rPr>
          <w:spacing w:val="-11"/>
        </w:rPr>
        <w:t> </w:t>
      </w:r>
      <w:r>
        <w:rPr/>
        <w:t>the</w:t>
      </w:r>
      <w:r>
        <w:rPr>
          <w:spacing w:val="-12"/>
        </w:rPr>
        <w:t> </w:t>
      </w:r>
      <w:r>
        <w:rPr/>
        <w:t>Code</w:t>
      </w:r>
      <w:r>
        <w:rPr>
          <w:spacing w:val="-11"/>
        </w:rPr>
        <w:t> </w:t>
      </w:r>
      <w:r>
        <w:rPr/>
        <w:t>of</w:t>
      </w:r>
    </w:p>
    <w:p>
      <w:pPr>
        <w:pStyle w:val="BodyText"/>
        <w:spacing w:line="249" w:lineRule="auto" w:before="4"/>
        <w:ind w:left="765" w:right="-8"/>
      </w:pPr>
      <w:r>
        <w:rPr/>
        <w:t>Conduct</w:t>
      </w:r>
      <w:r>
        <w:rPr>
          <w:spacing w:val="-25"/>
        </w:rPr>
        <w:t> </w:t>
      </w:r>
      <w:r>
        <w:rPr/>
        <w:t>was</w:t>
      </w:r>
      <w:r>
        <w:rPr>
          <w:spacing w:val="-25"/>
        </w:rPr>
        <w:t> </w:t>
      </w:r>
      <w:r>
        <w:rPr/>
        <w:t>finalised.</w:t>
      </w:r>
      <w:r>
        <w:rPr>
          <w:spacing w:val="-24"/>
        </w:rPr>
        <w:t> </w:t>
      </w:r>
      <w:r>
        <w:rPr>
          <w:spacing w:val="-9"/>
        </w:rPr>
        <w:t>Two</w:t>
      </w:r>
      <w:r>
        <w:rPr>
          <w:spacing w:val="-25"/>
        </w:rPr>
        <w:t> </w:t>
      </w:r>
      <w:r>
        <w:rPr/>
        <w:t>formal</w:t>
      </w:r>
      <w:r>
        <w:rPr>
          <w:spacing w:val="-24"/>
        </w:rPr>
        <w:t> </w:t>
      </w:r>
      <w:r>
        <w:rPr/>
        <w:t>grievance</w:t>
      </w:r>
      <w:r>
        <w:rPr>
          <w:spacing w:val="-25"/>
        </w:rPr>
        <w:t> </w:t>
      </w:r>
      <w:r>
        <w:rPr>
          <w:spacing w:val="-4"/>
        </w:rPr>
        <w:t>cases </w:t>
      </w:r>
      <w:r>
        <w:rPr/>
        <w:t>were completed, and one case of substandard performance management was</w:t>
      </w:r>
      <w:r>
        <w:rPr>
          <w:spacing w:val="-18"/>
        </w:rPr>
        <w:t> </w:t>
      </w:r>
      <w:r>
        <w:rPr/>
        <w:t>completed.</w:t>
      </w:r>
    </w:p>
    <w:p>
      <w:pPr>
        <w:pStyle w:val="BodyText"/>
        <w:spacing w:before="2"/>
        <w:rPr>
          <w:sz w:val="23"/>
        </w:rPr>
      </w:pPr>
    </w:p>
    <w:p>
      <w:pPr>
        <w:pStyle w:val="BodyText"/>
        <w:spacing w:line="249" w:lineRule="auto"/>
        <w:ind w:left="765" w:right="64"/>
      </w:pPr>
      <w:r>
        <w:rPr>
          <w:w w:val="95"/>
        </w:rPr>
        <w:t>Departmental policies, procedures and guidelines </w:t>
      </w:r>
      <w:r>
        <w:rPr/>
        <w:t>are</w:t>
      </w:r>
      <w:r>
        <w:rPr>
          <w:spacing w:val="-37"/>
        </w:rPr>
        <w:t> </w:t>
      </w:r>
      <w:r>
        <w:rPr/>
        <w:t>maintained</w:t>
      </w:r>
      <w:r>
        <w:rPr>
          <w:spacing w:val="-36"/>
        </w:rPr>
        <w:t> </w:t>
      </w:r>
      <w:r>
        <w:rPr/>
        <w:t>to</w:t>
      </w:r>
      <w:r>
        <w:rPr>
          <w:spacing w:val="-36"/>
        </w:rPr>
        <w:t> </w:t>
      </w:r>
      <w:r>
        <w:rPr/>
        <w:t>satisfy</w:t>
      </w:r>
      <w:r>
        <w:rPr>
          <w:spacing w:val="-36"/>
        </w:rPr>
        <w:t> </w:t>
      </w:r>
      <w:r>
        <w:rPr/>
        <w:t>legislative</w:t>
      </w:r>
      <w:r>
        <w:rPr>
          <w:spacing w:val="-36"/>
        </w:rPr>
        <w:t> </w:t>
      </w:r>
      <w:r>
        <w:rPr/>
        <w:t>requirements.</w:t>
      </w:r>
    </w:p>
    <w:p>
      <w:pPr>
        <w:pStyle w:val="BodyText"/>
        <w:spacing w:before="1"/>
        <w:rPr>
          <w:sz w:val="23"/>
        </w:rPr>
      </w:pPr>
    </w:p>
    <w:p>
      <w:pPr>
        <w:pStyle w:val="BodyText"/>
        <w:ind w:left="765"/>
      </w:pPr>
      <w:r>
        <w:rPr/>
        <w:t>No</w:t>
      </w:r>
      <w:r>
        <w:rPr>
          <w:spacing w:val="-17"/>
        </w:rPr>
        <w:t> </w:t>
      </w:r>
      <w:r>
        <w:rPr/>
        <w:t>disclosures</w:t>
      </w:r>
      <w:r>
        <w:rPr>
          <w:spacing w:val="-17"/>
        </w:rPr>
        <w:t> </w:t>
      </w:r>
      <w:r>
        <w:rPr/>
        <w:t>were</w:t>
      </w:r>
      <w:r>
        <w:rPr>
          <w:spacing w:val="-17"/>
        </w:rPr>
        <w:t> </w:t>
      </w:r>
      <w:r>
        <w:rPr/>
        <w:t>received</w:t>
      </w:r>
      <w:r>
        <w:rPr>
          <w:spacing w:val="-17"/>
        </w:rPr>
        <w:t> </w:t>
      </w:r>
      <w:r>
        <w:rPr/>
        <w:t>in</w:t>
      </w:r>
      <w:r>
        <w:rPr>
          <w:spacing w:val="-17"/>
        </w:rPr>
        <w:t> </w:t>
      </w:r>
      <w:r>
        <w:rPr>
          <w:spacing w:val="-10"/>
        </w:rPr>
        <w:t>2016-17</w:t>
      </w:r>
      <w:r>
        <w:rPr>
          <w:spacing w:val="-16"/>
        </w:rPr>
        <w:t> </w:t>
      </w:r>
      <w:r>
        <w:rPr/>
        <w:t>under</w:t>
      </w:r>
      <w:r>
        <w:rPr>
          <w:spacing w:val="-17"/>
        </w:rPr>
        <w:t> </w:t>
      </w:r>
      <w:r>
        <w:rPr/>
        <w:t>the</w:t>
      </w:r>
    </w:p>
    <w:p>
      <w:pPr>
        <w:spacing w:before="11"/>
        <w:ind w:left="765" w:right="0" w:firstLine="0"/>
        <w:jc w:val="left"/>
        <w:rPr>
          <w:sz w:val="22"/>
        </w:rPr>
      </w:pPr>
      <w:r>
        <w:rPr>
          <w:i/>
          <w:sz w:val="22"/>
        </w:rPr>
        <w:t>Public Interest Disclosure Act 2003</w:t>
      </w:r>
      <w:r>
        <w:rPr>
          <w:sz w:val="22"/>
        </w:rPr>
        <w:t>.</w:t>
      </w:r>
    </w:p>
    <w:p>
      <w:pPr>
        <w:pStyle w:val="BodyText"/>
        <w:rPr>
          <w:sz w:val="36"/>
        </w:rPr>
      </w:pPr>
      <w:r>
        <w:rPr/>
        <w:br w:type="column"/>
      </w:r>
      <w:r>
        <w:rPr>
          <w:sz w:val="36"/>
        </w:rPr>
      </w:r>
    </w:p>
    <w:p>
      <w:pPr>
        <w:pStyle w:val="Heading4"/>
        <w:spacing w:before="0"/>
        <w:ind w:left="385"/>
      </w:pPr>
      <w:r>
        <w:rPr>
          <w:color w:val="A7BE39"/>
        </w:rPr>
        <w:t>Recordkeeping plans</w:t>
      </w:r>
    </w:p>
    <w:p>
      <w:pPr>
        <w:pStyle w:val="BodyText"/>
        <w:spacing w:line="249" w:lineRule="auto" w:before="246"/>
        <w:ind w:left="385" w:right="176"/>
      </w:pPr>
      <w:r>
        <w:rPr/>
        <w:t>The</w:t>
      </w:r>
      <w:r>
        <w:rPr>
          <w:spacing w:val="-28"/>
        </w:rPr>
        <w:t> </w:t>
      </w:r>
      <w:r>
        <w:rPr>
          <w:spacing w:val="-3"/>
        </w:rPr>
        <w:t>Department’s</w:t>
      </w:r>
      <w:r>
        <w:rPr>
          <w:spacing w:val="-28"/>
        </w:rPr>
        <w:t> </w:t>
      </w:r>
      <w:r>
        <w:rPr/>
        <w:t>Recordkeeping</w:t>
      </w:r>
      <w:r>
        <w:rPr>
          <w:spacing w:val="-28"/>
        </w:rPr>
        <w:t> </w:t>
      </w:r>
      <w:r>
        <w:rPr/>
        <w:t>Plan</w:t>
      </w:r>
      <w:r>
        <w:rPr>
          <w:spacing w:val="-28"/>
        </w:rPr>
        <w:t> </w:t>
      </w:r>
      <w:r>
        <w:rPr>
          <w:spacing w:val="-4"/>
        </w:rPr>
        <w:t>provides </w:t>
      </w:r>
      <w:r>
        <w:rPr/>
        <w:t>the</w:t>
      </w:r>
      <w:r>
        <w:rPr>
          <w:spacing w:val="-7"/>
        </w:rPr>
        <w:t> </w:t>
      </w:r>
      <w:r>
        <w:rPr/>
        <w:t>framework</w:t>
      </w:r>
      <w:r>
        <w:rPr>
          <w:spacing w:val="-7"/>
        </w:rPr>
        <w:t> </w:t>
      </w:r>
      <w:r>
        <w:rPr/>
        <w:t>to</w:t>
      </w:r>
      <w:r>
        <w:rPr>
          <w:spacing w:val="-6"/>
        </w:rPr>
        <w:t> </w:t>
      </w:r>
      <w:r>
        <w:rPr/>
        <w:t>capture</w:t>
      </w:r>
      <w:r>
        <w:rPr>
          <w:spacing w:val="-7"/>
        </w:rPr>
        <w:t> </w:t>
      </w:r>
      <w:r>
        <w:rPr/>
        <w:t>and</w:t>
      </w:r>
      <w:r>
        <w:rPr>
          <w:spacing w:val="-7"/>
        </w:rPr>
        <w:t> </w:t>
      </w:r>
      <w:r>
        <w:rPr/>
        <w:t>store</w:t>
      </w:r>
      <w:r>
        <w:rPr>
          <w:spacing w:val="-7"/>
        </w:rPr>
        <w:t> </w:t>
      </w:r>
      <w:r>
        <w:rPr/>
        <w:t>the</w:t>
      </w:r>
      <w:r>
        <w:rPr>
          <w:spacing w:val="-6"/>
        </w:rPr>
        <w:t> </w:t>
      </w:r>
      <w:r>
        <w:rPr/>
        <w:t>work</w:t>
      </w:r>
    </w:p>
    <w:p>
      <w:pPr>
        <w:spacing w:line="249" w:lineRule="auto" w:before="2"/>
        <w:ind w:left="385" w:right="0" w:firstLine="0"/>
        <w:jc w:val="left"/>
        <w:rPr>
          <w:sz w:val="22"/>
        </w:rPr>
      </w:pPr>
      <w:r>
        <w:rPr>
          <w:sz w:val="22"/>
        </w:rPr>
        <w:t>of</w:t>
      </w:r>
      <w:r>
        <w:rPr>
          <w:spacing w:val="-20"/>
          <w:sz w:val="22"/>
        </w:rPr>
        <w:t> </w:t>
      </w:r>
      <w:r>
        <w:rPr>
          <w:sz w:val="22"/>
        </w:rPr>
        <w:t>the</w:t>
      </w:r>
      <w:r>
        <w:rPr>
          <w:spacing w:val="-19"/>
          <w:sz w:val="22"/>
        </w:rPr>
        <w:t> </w:t>
      </w:r>
      <w:r>
        <w:rPr>
          <w:spacing w:val="-3"/>
          <w:sz w:val="22"/>
        </w:rPr>
        <w:t>Agency,</w:t>
      </w:r>
      <w:r>
        <w:rPr>
          <w:spacing w:val="-19"/>
          <w:sz w:val="22"/>
        </w:rPr>
        <w:t> </w:t>
      </w:r>
      <w:r>
        <w:rPr>
          <w:sz w:val="22"/>
        </w:rPr>
        <w:t>in</w:t>
      </w:r>
      <w:r>
        <w:rPr>
          <w:spacing w:val="-19"/>
          <w:sz w:val="22"/>
        </w:rPr>
        <w:t> </w:t>
      </w:r>
      <w:r>
        <w:rPr>
          <w:sz w:val="22"/>
        </w:rPr>
        <w:t>accordance</w:t>
      </w:r>
      <w:r>
        <w:rPr>
          <w:spacing w:val="-19"/>
          <w:sz w:val="22"/>
        </w:rPr>
        <w:t> </w:t>
      </w:r>
      <w:r>
        <w:rPr>
          <w:sz w:val="22"/>
        </w:rPr>
        <w:t>with</w:t>
      </w:r>
      <w:r>
        <w:rPr>
          <w:spacing w:val="-19"/>
          <w:sz w:val="22"/>
        </w:rPr>
        <w:t> </w:t>
      </w:r>
      <w:r>
        <w:rPr>
          <w:sz w:val="22"/>
        </w:rPr>
        <w:t>legislative requirements</w:t>
      </w:r>
      <w:r>
        <w:rPr>
          <w:spacing w:val="-17"/>
          <w:sz w:val="22"/>
        </w:rPr>
        <w:t> </w:t>
      </w:r>
      <w:r>
        <w:rPr>
          <w:sz w:val="22"/>
        </w:rPr>
        <w:t>of</w:t>
      </w:r>
      <w:r>
        <w:rPr>
          <w:spacing w:val="-17"/>
          <w:sz w:val="22"/>
        </w:rPr>
        <w:t> </w:t>
      </w:r>
      <w:r>
        <w:rPr>
          <w:sz w:val="22"/>
        </w:rPr>
        <w:t>the</w:t>
      </w:r>
      <w:r>
        <w:rPr>
          <w:spacing w:val="-18"/>
          <w:sz w:val="22"/>
        </w:rPr>
        <w:t> </w:t>
      </w:r>
      <w:r>
        <w:rPr>
          <w:i/>
          <w:sz w:val="22"/>
        </w:rPr>
        <w:t>State</w:t>
      </w:r>
      <w:r>
        <w:rPr>
          <w:i/>
          <w:spacing w:val="-17"/>
          <w:sz w:val="22"/>
        </w:rPr>
        <w:t> </w:t>
      </w:r>
      <w:r>
        <w:rPr>
          <w:i/>
          <w:sz w:val="22"/>
        </w:rPr>
        <w:t>Records</w:t>
      </w:r>
      <w:r>
        <w:rPr>
          <w:i/>
          <w:spacing w:val="-17"/>
          <w:sz w:val="22"/>
        </w:rPr>
        <w:t> </w:t>
      </w:r>
      <w:r>
        <w:rPr>
          <w:i/>
          <w:sz w:val="22"/>
        </w:rPr>
        <w:t>Act</w:t>
      </w:r>
      <w:r>
        <w:rPr>
          <w:i/>
          <w:spacing w:val="-17"/>
          <w:sz w:val="22"/>
        </w:rPr>
        <w:t> </w:t>
      </w:r>
      <w:r>
        <w:rPr>
          <w:i/>
          <w:spacing w:val="-5"/>
          <w:sz w:val="22"/>
        </w:rPr>
        <w:t>2000</w:t>
      </w:r>
      <w:r>
        <w:rPr>
          <w:spacing w:val="-5"/>
          <w:sz w:val="22"/>
        </w:rPr>
        <w:t>.</w:t>
      </w:r>
    </w:p>
    <w:p>
      <w:pPr>
        <w:pStyle w:val="BodyText"/>
        <w:spacing w:before="1"/>
        <w:rPr>
          <w:sz w:val="23"/>
        </w:rPr>
      </w:pPr>
    </w:p>
    <w:p>
      <w:pPr>
        <w:pStyle w:val="BodyText"/>
        <w:spacing w:line="249" w:lineRule="auto"/>
        <w:ind w:left="385" w:right="30"/>
      </w:pPr>
      <w:r>
        <w:rPr/>
        <w:pict>
          <v:group style="position:absolute;margin-left:408.163788pt;margin-top:-1.830037pt;width:433.75pt;height:422.15pt;mso-position-horizontal-relative:page;mso-position-vertical-relative:paragraph;z-index:-774808" coordorigin="8163,-37" coordsize="8675,8443">
            <v:shape style="position:absolute;left:9647;top:5207;width:1945;height:3199" coordorigin="9647,5208" coordsize="1945,3199" path="m9810,6989l9647,7152,9810,6989,9810,6989m10203,6596l10040,6759,10040,6759,10203,6596m10852,6554l10845,6558,10847,6559,10852,6554m10893,8095l10849,8052,10837,8058,10675,8221,10893,8095m11135,8337l11086,8288,10912,8389,10912,8383,10997,8334,11046,8306,11082,8285,11033,8236,10912,8306,10912,8300,10997,8250,11029,8232,11020,8223,10980,8183,10912,8223,10912,8217,10977,8179,10965,8167,10937,8140,10928,8130,10912,8140,10912,8134,10924,8127,10902,8104,10641,8255,10543,8352,10543,8352,10543,8352,10561,8370,10912,8167,10912,8182,10570,8379,10583,8393,10597,8406,10597,8406,10642,8406,10912,8250,10912,8265,10667,8406,10786,8406,10912,8334,10912,8348,10811,8406,11016,8406,11046,8389,11135,8337m11188,8390l11139,8341,11026,8406,11160,8406,11188,8390m11204,8406l11191,8394,11170,8406,11204,8406m11286,5513l11286,5513,11103,5696,11286,5513m11483,5316l11483,5316,11300,5499,11300,5499,11483,5316m11592,5208l11592,5208,11496,5303,11496,5303,11592,5208,11592,5208m11592,5420l11089,5710,11089,5710,10827,5972,10827,5972,10912,5923,10912,5938,10793,6006,10793,6006,10793,6006,10630,6169,10630,6169,10912,6006,10912,6021,10596,6203,10543,6256,10573,6285,10912,6089,10912,6104,10582,6294,10625,6338,10912,6173,10912,6187,10634,6347,10678,6391,10912,6256,10912,6270,10687,6400,10731,6443,10912,6339,10912,6353,10740,6452,10783,6496,10912,6422,10912,6436,10792,6505,10836,6549,10886,6520,10929,6477,10952,6454,10912,6477,10912,6471,10965,6440,10984,6422,11012,6394,11148,6257,10912,6394,10912,6388,10997,6339,11046,6311,11162,6244,11345,6061,10912,6311,10912,6305,10997,6256,11046,6228,11359,6047,11542,5864,10912,6228,10912,6222,10997,6173,11046,6145,11555,5850,11592,5814,11592,5752,10912,6145,10912,6139,10997,6089,11046,6062,11592,5746,11592,5669,10912,6062,10912,6056,10997,6006,11046,5978,11592,5663,11592,5586,10912,5978,10912,5973,10997,5923,11046,5895,11592,5580,11592,5503,10912,5895,10912,5890,11592,5497,11592,5420m11592,5337l11286,5513,11286,5513,11103,5696,11592,5414,11592,5337m11592,5253l11483,5316,11300,5499,11592,5331,11592,5253m11592,5248l11592,5208,11496,5303,11592,5248e" filled="true" fillcolor="#aebd37" stroked="false">
              <v:path arrowok="t"/>
              <v:fill type="solid"/>
            </v:shape>
            <v:shape style="position:absolute;left:11591;top:3110;width:4194;height:2097" coordorigin="11592,3111" coordsize="4194,2097" path="m12640,4159l12640,4159,11592,5208,12640,4159m12943,4463l12640,4159,11592,5208,11592,5208,12198,5208,12943,4463m14656,4079l13688,3111,13688,3111,13688,3111,14656,4079m15785,5208l14736,4159,14433,4462,15178,5208,15785,5208,15785,5208e" filled="true" fillcolor="#6f2770" stroked="false">
              <v:path arrowok="t"/>
              <v:fill type="solid"/>
            </v:shape>
            <v:shape style="position:absolute;left:15784;top:5207;width:1054;height:3199" coordorigin="15785,5208" coordsize="1054,3199" path="m15785,5208l15785,5814,16530,6559,16833,6256,16833,6256,15785,5208xm16833,6256l16833,6256,16838,6261,16838,6260,16833,6256xm16530,8049l16173,8406,16780,8406,16833,8352,16833,8352,16530,8049xm16838,8348l16833,8352,16833,8352,16838,8348,16838,8348xe" filled="true" fillcolor="#360e3f" stroked="false">
              <v:path arrowok="t"/>
              <v:fill type="solid"/>
            </v:shape>
            <v:shape style="position:absolute;left:8163;top:-37;width:8675;height:8443" type="#_x0000_t75" stroked="false">
              <v:imagedata r:id="rId357" o:title=""/>
            </v:shape>
            <w10:wrap type="none"/>
          </v:group>
        </w:pict>
      </w:r>
      <w:r>
        <w:rPr/>
        <w:t>This </w:t>
      </w:r>
      <w:r>
        <w:rPr>
          <w:spacing w:val="-5"/>
        </w:rPr>
        <w:t>year, </w:t>
      </w:r>
      <w:r>
        <w:rPr/>
        <w:t>the Department released a new eLearning</w:t>
      </w:r>
      <w:r>
        <w:rPr>
          <w:spacing w:val="-23"/>
        </w:rPr>
        <w:t> </w:t>
      </w:r>
      <w:r>
        <w:rPr/>
        <w:t>module</w:t>
      </w:r>
      <w:r>
        <w:rPr>
          <w:spacing w:val="-23"/>
        </w:rPr>
        <w:t> </w:t>
      </w:r>
      <w:r>
        <w:rPr/>
        <w:t>educating</w:t>
      </w:r>
      <w:r>
        <w:rPr>
          <w:spacing w:val="-22"/>
        </w:rPr>
        <w:t> </w:t>
      </w:r>
      <w:r>
        <w:rPr/>
        <w:t>staff</w:t>
      </w:r>
      <w:r>
        <w:rPr>
          <w:spacing w:val="-23"/>
        </w:rPr>
        <w:t> </w:t>
      </w:r>
      <w:r>
        <w:rPr/>
        <w:t>on</w:t>
      </w:r>
      <w:r>
        <w:rPr>
          <w:spacing w:val="-23"/>
        </w:rPr>
        <w:t> </w:t>
      </w:r>
      <w:r>
        <w:rPr/>
        <w:t>appropriate record</w:t>
      </w:r>
      <w:r>
        <w:rPr>
          <w:spacing w:val="-26"/>
        </w:rPr>
        <w:t> </w:t>
      </w:r>
      <w:r>
        <w:rPr/>
        <w:t>management</w:t>
      </w:r>
      <w:r>
        <w:rPr>
          <w:spacing w:val="-25"/>
        </w:rPr>
        <w:t> </w:t>
      </w:r>
      <w:r>
        <w:rPr/>
        <w:t>procedures,</w:t>
      </w:r>
      <w:r>
        <w:rPr>
          <w:spacing w:val="-26"/>
        </w:rPr>
        <w:t> </w:t>
      </w:r>
      <w:r>
        <w:rPr/>
        <w:t>and</w:t>
      </w:r>
      <w:r>
        <w:rPr>
          <w:spacing w:val="-25"/>
        </w:rPr>
        <w:t> </w:t>
      </w:r>
      <w:r>
        <w:rPr>
          <w:spacing w:val="-3"/>
        </w:rPr>
        <w:t>progressed </w:t>
      </w:r>
      <w:r>
        <w:rPr/>
        <w:t>the disposal of records, in accordance with the </w:t>
      </w:r>
      <w:r>
        <w:rPr>
          <w:i/>
        </w:rPr>
        <w:t>General</w:t>
      </w:r>
      <w:r>
        <w:rPr>
          <w:i/>
          <w:spacing w:val="-31"/>
        </w:rPr>
        <w:t> </w:t>
      </w:r>
      <w:r>
        <w:rPr>
          <w:i/>
        </w:rPr>
        <w:t>Disposal</w:t>
      </w:r>
      <w:r>
        <w:rPr>
          <w:i/>
          <w:spacing w:val="-30"/>
        </w:rPr>
        <w:t> </w:t>
      </w:r>
      <w:r>
        <w:rPr>
          <w:i/>
        </w:rPr>
        <w:t>Authority</w:t>
      </w:r>
      <w:r>
        <w:rPr>
          <w:i/>
          <w:spacing w:val="-30"/>
        </w:rPr>
        <w:t> </w:t>
      </w:r>
      <w:r>
        <w:rPr>
          <w:i/>
        </w:rPr>
        <w:t>for</w:t>
      </w:r>
      <w:r>
        <w:rPr>
          <w:i/>
          <w:spacing w:val="-30"/>
        </w:rPr>
        <w:t> </w:t>
      </w:r>
      <w:r>
        <w:rPr>
          <w:i/>
        </w:rPr>
        <w:t>State</w:t>
      </w:r>
      <w:r>
        <w:rPr>
          <w:i/>
          <w:spacing w:val="-30"/>
        </w:rPr>
        <w:t> </w:t>
      </w:r>
      <w:r>
        <w:rPr>
          <w:i/>
        </w:rPr>
        <w:t>Government </w:t>
      </w:r>
      <w:r>
        <w:rPr>
          <w:i/>
        </w:rPr>
        <w:t>Information</w:t>
      </w:r>
      <w:r>
        <w:rPr/>
        <w:t>. This initiative has resulted in a significant reduction in the volume of paper records</w:t>
      </w:r>
      <w:r>
        <w:rPr>
          <w:spacing w:val="-13"/>
        </w:rPr>
        <w:t> </w:t>
      </w:r>
      <w:r>
        <w:rPr/>
        <w:t>held</w:t>
      </w:r>
      <w:r>
        <w:rPr>
          <w:spacing w:val="-12"/>
        </w:rPr>
        <w:t> </w:t>
      </w:r>
      <w:r>
        <w:rPr/>
        <w:t>by</w:t>
      </w:r>
      <w:r>
        <w:rPr>
          <w:spacing w:val="-13"/>
        </w:rPr>
        <w:t> </w:t>
      </w:r>
      <w:r>
        <w:rPr/>
        <w:t>the</w:t>
      </w:r>
      <w:r>
        <w:rPr>
          <w:spacing w:val="-12"/>
        </w:rPr>
        <w:t> </w:t>
      </w:r>
      <w:r>
        <w:rPr>
          <w:spacing w:val="-3"/>
        </w:rPr>
        <w:t>agency,</w:t>
      </w:r>
      <w:r>
        <w:rPr>
          <w:spacing w:val="-13"/>
        </w:rPr>
        <w:t> </w:t>
      </w:r>
      <w:r>
        <w:rPr/>
        <w:t>realising</w:t>
      </w:r>
      <w:r>
        <w:rPr>
          <w:spacing w:val="-12"/>
        </w:rPr>
        <w:t> </w:t>
      </w:r>
      <w:r>
        <w:rPr/>
        <w:t>savings</w:t>
      </w:r>
    </w:p>
    <w:p>
      <w:pPr>
        <w:pStyle w:val="BodyText"/>
        <w:spacing w:line="249" w:lineRule="auto" w:before="7"/>
        <w:ind w:left="385" w:right="292"/>
      </w:pPr>
      <w:r>
        <w:rPr/>
        <w:t>of approximately $140,000. This approach to managing the </w:t>
      </w:r>
      <w:r>
        <w:rPr>
          <w:spacing w:val="-3"/>
        </w:rPr>
        <w:t>Department’s </w:t>
      </w:r>
      <w:r>
        <w:rPr/>
        <w:t>records directly improves the </w:t>
      </w:r>
      <w:r>
        <w:rPr>
          <w:spacing w:val="-3"/>
        </w:rPr>
        <w:t>security, </w:t>
      </w:r>
      <w:r>
        <w:rPr/>
        <w:t>accessibility and preservation</w:t>
      </w:r>
      <w:r>
        <w:rPr>
          <w:spacing w:val="-22"/>
        </w:rPr>
        <w:t> </w:t>
      </w:r>
      <w:r>
        <w:rPr/>
        <w:t>of</w:t>
      </w:r>
      <w:r>
        <w:rPr>
          <w:spacing w:val="-22"/>
        </w:rPr>
        <w:t> </w:t>
      </w:r>
      <w:r>
        <w:rPr/>
        <w:t>holdings,</w:t>
      </w:r>
      <w:r>
        <w:rPr>
          <w:spacing w:val="-22"/>
        </w:rPr>
        <w:t> </w:t>
      </w:r>
      <w:r>
        <w:rPr/>
        <w:t>which</w:t>
      </w:r>
      <w:r>
        <w:rPr>
          <w:spacing w:val="-22"/>
        </w:rPr>
        <w:t> </w:t>
      </w:r>
      <w:r>
        <w:rPr/>
        <w:t>grew</w:t>
      </w:r>
      <w:r>
        <w:rPr>
          <w:spacing w:val="-22"/>
        </w:rPr>
        <w:t> </w:t>
      </w:r>
      <w:r>
        <w:rPr/>
        <w:t>in</w:t>
      </w:r>
      <w:r>
        <w:rPr>
          <w:spacing w:val="-21"/>
        </w:rPr>
        <w:t> </w:t>
      </w:r>
      <w:r>
        <w:rPr>
          <w:spacing w:val="-3"/>
        </w:rPr>
        <w:t>excess </w:t>
      </w:r>
      <w:r>
        <w:rPr/>
        <w:t>of</w:t>
      </w:r>
      <w:r>
        <w:rPr>
          <w:spacing w:val="-13"/>
        </w:rPr>
        <w:t> </w:t>
      </w:r>
      <w:r>
        <w:rPr/>
        <w:t>half</w:t>
      </w:r>
      <w:r>
        <w:rPr>
          <w:spacing w:val="-13"/>
        </w:rPr>
        <w:t> </w:t>
      </w:r>
      <w:r>
        <w:rPr/>
        <w:t>a</w:t>
      </w:r>
      <w:r>
        <w:rPr>
          <w:spacing w:val="-13"/>
        </w:rPr>
        <w:t> </w:t>
      </w:r>
      <w:r>
        <w:rPr/>
        <w:t>million</w:t>
      </w:r>
      <w:r>
        <w:rPr>
          <w:spacing w:val="-13"/>
        </w:rPr>
        <w:t> </w:t>
      </w:r>
      <w:r>
        <w:rPr/>
        <w:t>electronic</w:t>
      </w:r>
      <w:r>
        <w:rPr>
          <w:spacing w:val="-12"/>
        </w:rPr>
        <w:t> </w:t>
      </w:r>
      <w:r>
        <w:rPr/>
        <w:t>records</w:t>
      </w:r>
      <w:r>
        <w:rPr>
          <w:spacing w:val="-13"/>
        </w:rPr>
        <w:t> </w:t>
      </w:r>
      <w:r>
        <w:rPr/>
        <w:t>last</w:t>
      </w:r>
      <w:r>
        <w:rPr>
          <w:spacing w:val="-13"/>
        </w:rPr>
        <w:t> </w:t>
      </w:r>
      <w:r>
        <w:rPr>
          <w:spacing w:val="-5"/>
        </w:rPr>
        <w:t>year.</w:t>
      </w:r>
    </w:p>
    <w:p>
      <w:pPr>
        <w:pStyle w:val="BodyText"/>
        <w:spacing w:before="1"/>
        <w:rPr>
          <w:sz w:val="23"/>
        </w:rPr>
      </w:pPr>
      <w:r>
        <w:rPr/>
        <w:br w:type="column"/>
      </w:r>
      <w:r>
        <w:rPr>
          <w:sz w:val="23"/>
        </w:rPr>
      </w:r>
    </w:p>
    <w:p>
      <w:pPr>
        <w:spacing w:line="208" w:lineRule="auto" w:before="0"/>
        <w:ind w:left="765" w:right="672" w:firstLine="0"/>
        <w:jc w:val="center"/>
        <w:rPr>
          <w:sz w:val="16"/>
        </w:rPr>
      </w:pPr>
      <w:r>
        <w:rPr/>
        <w:pict>
          <v:shape style="position:absolute;margin-left:601.348999pt;margin-top:-68.580612pt;width:120.3pt;height:42.55pt;mso-position-horizontal-relative:page;mso-position-vertical-relative:paragraph;z-index:38896" type="#_x0000_t202" filled="false" stroked="false">
            <v:textbox inset="0,0,0,0">
              <w:txbxContent>
                <w:p>
                  <w:pPr>
                    <w:pStyle w:val="BodyText"/>
                    <w:spacing w:before="9"/>
                    <w:rPr>
                      <w:b/>
                      <w:sz w:val="26"/>
                    </w:rPr>
                  </w:pPr>
                </w:p>
                <w:p>
                  <w:pPr>
                    <w:spacing w:before="0"/>
                    <w:ind w:left="530" w:right="0" w:firstLine="0"/>
                    <w:jc w:val="left"/>
                    <w:rPr>
                      <w:sz w:val="20"/>
                    </w:rPr>
                  </w:pPr>
                  <w:hyperlink w:history="true" w:anchor="_bookmark68">
                    <w:r>
                      <w:rPr>
                        <w:color w:val="6F2770"/>
                        <w:sz w:val="20"/>
                      </w:rPr>
                      <w:t>DISCLOSURES</w:t>
                    </w:r>
                  </w:hyperlink>
                </w:p>
              </w:txbxContent>
            </v:textbox>
            <w10:wrap type="none"/>
          </v:shape>
        </w:pict>
      </w:r>
      <w:r>
        <w:rPr/>
        <w:pict>
          <v:shape style="position:absolute;margin-left:481.079498pt;margin-top:-68.580612pt;width:120.3pt;height:42.55pt;mso-position-horizontal-relative:page;mso-position-vertical-relative:paragraph;z-index:38920"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w:pict>
      </w:r>
      <w:r>
        <w:rPr/>
        <w:pict>
          <v:shape style="position:absolute;margin-left:360.796509pt;margin-top:-68.580612pt;width:120.3pt;height:42.55pt;mso-position-horizontal-relative:page;mso-position-vertical-relative:paragraph;z-index:38944"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w:pict>
      </w:r>
      <w:r>
        <w:rPr/>
        <w:pict>
          <v:shape style="position:absolute;margin-left:120.269997pt;margin-top:-68.580612pt;width:119.9pt;height:42.55pt;mso-position-horizontal-relative:page;mso-position-vertical-relative:paragraph;z-index:38968" type="#_x0000_t202" filled="true" fillcolor="#b6c247" stroked="false">
            <v:textbox inset="0,0,0,0">
              <w:txbxContent>
                <w:p>
                  <w:pPr>
                    <w:pStyle w:val="BodyText"/>
                    <w:spacing w:before="9"/>
                    <w:rPr>
                      <w:b/>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w:pict>
      </w:r>
      <w:r>
        <w:rPr>
          <w:color w:val="FFFFFF"/>
          <w:w w:val="95"/>
          <w:sz w:val="16"/>
        </w:rPr>
        <w:t>previous </w:t>
      </w:r>
      <w:r>
        <w:rPr>
          <w:color w:val="FFFFFF"/>
          <w:sz w:val="16"/>
        </w:rPr>
        <w:t>view</w:t>
      </w:r>
    </w:p>
    <w:p>
      <w:pPr>
        <w:spacing w:after="0" w:line="208" w:lineRule="auto"/>
        <w:jc w:val="center"/>
        <w:rPr>
          <w:sz w:val="16"/>
        </w:rPr>
        <w:sectPr>
          <w:type w:val="continuous"/>
          <w:pgSz w:w="16840" w:h="11910" w:orient="landscape"/>
          <w:pgMar w:top="0" w:bottom="0" w:left="0" w:right="0"/>
          <w:cols w:num="3" w:equalWidth="0">
            <w:col w:w="5584" w:space="40"/>
            <w:col w:w="5085" w:space="4111"/>
            <w:col w:w="2020"/>
          </w:cols>
        </w:sectPr>
      </w:pPr>
    </w:p>
    <w:p>
      <w:pPr>
        <w:pStyle w:val="BodyText"/>
        <w:rPr>
          <w:sz w:val="20"/>
        </w:rPr>
      </w:pPr>
      <w:r>
        <w:rPr/>
        <w:pict>
          <v:group style="position:absolute;margin-left:481.080994pt;margin-top:.000001pt;width:360.85pt;height:151.7pt;mso-position-horizontal-relative:page;mso-position-vertical-relative:page;z-index:-774784" coordorigin="9622,0" coordsize="7217,3034">
            <v:shape style="position:absolute;left:12879;top:0;width:448;height:182" type="#_x0000_t75" stroked="false">
              <v:imagedata r:id="rId358" o:title=""/>
            </v:shape>
            <v:shape style="position:absolute;left:13064;top:0;width:2824;height:2655" coordorigin="13065,0" coordsize="2824,2655" path="m13496,0l13471,0,13065,234,13074,244,13496,0m13665,0l13640,0,13127,296,13136,305,13665,0m13834,0l13809,0,13189,358,13198,367,13834,0m14003,0l13978,0,13250,420,13260,429,14003,0m14171,0l14146,0,13312,482,13321,491,14171,0m14340,0l14315,0,13374,543,13383,553,14340,0m14509,0l14484,0,13436,605,13445,614,14509,0m14678,0l14653,0,13498,667,13507,676,14678,0m14847,0l14822,0,13559,729,13569,738,14847,0m15016,0l14991,0,13621,791,13630,800,15016,0m15185,0l15160,0,13683,853,13692,862,15185,0m15354,0l15329,0,13745,914,13754,923,15354,0m15522,0l15497,0,13807,976,13816,985,15522,0m15691,0l15666,0,13869,1038,13878,1047,15691,0m15860,0l15835,0,13930,1100,13939,1109,15860,0m15888,2017l15228,2398,15238,2407,15888,2031,15888,2017m15888,1335l14796,1965,14805,1974,15888,1349,15888,1335m15888,847l14487,1656,14496,1665,15888,861,15888,847m15888,652l14363,1532,14372,1542,15888,666,15888,652m15888,165l14054,1223,14063,1233,15888,179,15888,165m15888,2407l15476,2645,15485,2654,15888,2421,15888,2407m15888,2310l15414,2583,15423,2592,15888,2324,15888,2310m15888,2212l15352,2521,15361,2531,15888,2226,15888,2212m15888,2115l15290,2460,15299,2469,15888,2129,15888,2115m15888,1920l15167,2336,15176,2345,15888,1934,15888,1920m15888,1822l15105,2274,15114,2283,15888,1836,15888,1822m15888,1725l15043,2212,15052,2222,15888,1739,15888,1725m15888,1627l14981,2151,14990,2160,15888,1641,15888,1627m15888,1530l14919,2089,14928,2098,15888,1544,15888,1530m15888,1432l14858,2027,14867,2036,15888,1446,15888,1432m15888,1237l14734,1903,14743,1913,15888,1251,15888,1237m15888,1140l14672,1842,14681,1851,15888,1154,15888,1140m15888,1042l14610,1780,14619,1789,15888,1056,15888,1042m15888,945l14548,1718,14558,1727,15888,959,15888,945m15888,750l14425,1594,14434,1603,15888,764,15888,750m15888,555l14301,1471,14310,1480,15888,569,15888,555m15888,457l14239,1409,14249,1418,15888,471,15888,457m15888,360l14178,1347,14184,1353,14187,1356,15888,374,15888,360m15888,262l14116,1285,14125,1294,15888,276,15888,262m15888,67l13992,1162,14001,1171,15888,81,15888,67e" filled="true" fillcolor="#d8dad9" stroked="false">
              <v:path arrowok="t"/>
              <v:fill type="solid"/>
            </v:shape>
            <v:shape style="position:absolute;left:15537;top:2504;width:351;height:521" type="#_x0000_t75" stroked="false">
              <v:imagedata r:id="rId359" o:title=""/>
            </v:shape>
            <v:shape style="position:absolute;left:15888;top:0;width:357;height:206" type="#_x0000_t75" stroked="false">
              <v:imagedata r:id="rId360" o:title=""/>
            </v:shape>
            <v:shape style="position:absolute;left:15888;top:0;width:950;height:3034" coordorigin="15888,0" coordsize="950,3034" path="m15959,2987l15888,3028,15888,3033,15945,3000,15959,2987m16190,2756l15888,2930,15888,2936,16176,2770,16190,2756m16413,0l16403,0,15888,297,15888,303,16413,0m16420,2525l15888,2833,15888,2838,16407,2539,16420,2525m16582,0l16572,0,15888,395,15888,401,16582,0m16651,2295l15888,2735,15888,2741,16637,2308,16651,2295m16751,0l16741,0,15888,493,15888,498,16751,0m16838,2089l15888,2638,15888,2643,16838,2095,16838,2089m16838,1992l15888,2540,15888,2546,16838,1998,16838,1992m16838,1894l15888,2443,15888,2448,16838,1900,16838,1894m16838,1797l15888,2345,15888,2351,16838,1803,16838,1797m16838,1699l15888,2248,15888,2253,16838,1705,16838,1699m16838,1602l15888,2150,15888,2156,16838,1608,16838,1602m16838,1504l15888,2053,15888,2058,16838,1510,16838,1504m16838,1407l15888,1955,15888,1961,16838,1413,16838,1407m16838,1309l15888,1858,15888,1863,16838,1315,16838,1309m16838,1212l15888,1760,15888,1766,16838,1218,16838,1212m16838,1114l15888,1663,15888,1668,16838,1120,16838,1114m16838,1017l15888,1565,15888,1571,16838,1023,16838,1017m16838,919l15888,1468,15888,1473,16838,925,16838,919m16838,822l15888,1370,15888,1376,16838,828,16838,822m16838,724l15888,1273,15888,1278,16838,730,16838,724m16838,627l15888,1175,15888,1181,16838,632,16838,627m16838,529l15888,1078,15888,1083,16838,535,16838,529m16838,432l15888,980,15888,986,16838,438,16838,432m16838,334l15888,882,15888,888,16838,340,16838,334m16838,237l15888,785,15888,791,16838,242,16838,237m16838,139l15888,688,15888,693,16838,145,16838,139m16838,42l15888,590,15888,596,16838,47,16838,42e" filled="true" fillcolor="#d8dad9" stroked="false">
              <v:path arrowok="t"/>
              <v:fill type="solid"/>
            </v:shape>
            <v:shape style="position:absolute;left:12773;top:372;width:1807;height:1355" coordorigin="12774,372" coordsize="1807,1355" path="m14128,1276l13677,824,13225,372,12774,824,13225,1276,13677,1727,14128,1276m14580,824l14128,372,13677,824,14128,1276,14128,1276,14580,824e" filled="true" fillcolor="#ffffff" stroked="false">
              <v:path arrowok="t"/>
              <v:fill type="solid"/>
            </v:shape>
            <v:shape style="position:absolute;left:13225;top:824;width:904;height:904" coordorigin="13225,824" coordsize="904,904" path="m13677,824l13225,1276,13677,1727,14128,1276,13677,824xe" filled="true" fillcolor="#e8e9c9" stroked="false">
              <v:path arrowok="t"/>
              <v:fill type="solid"/>
            </v:shape>
            <v:shape style="position:absolute;left:12773;top:1275;width:904;height:904" coordorigin="12774,1276" coordsize="904,904" path="m13225,1276l12774,1727,13225,2179,13677,1727,13225,1276xe" filled="true" fillcolor="#d5dac6" stroked="false">
              <v:path arrowok="t"/>
              <v:fill type="solid"/>
            </v:shape>
            <v:shape style="position:absolute;left:11870;top:372;width:2710;height:904" coordorigin="11870,372" coordsize="2710,904" path="m12774,824l12322,372,11870,824,12322,1276,12774,824m14580,824l14128,372,13677,824,14128,1276,14580,824e" filled="true" fillcolor="#efeeeb" stroked="false">
              <v:path arrowok="t"/>
              <v:fill type="solid"/>
            </v:shape>
            <v:shape style="position:absolute;left:12773;top:372;width:904;height:904" coordorigin="12774,372" coordsize="904,904" path="m13225,372l12774,824,13225,1276,13677,824,13225,372xe" filled="true" fillcolor="#c0aac2" stroked="false">
              <v:path arrowok="t"/>
              <v:fill type="solid"/>
            </v:shape>
            <v:shape style="position:absolute;left:15424;top:1075;width:900;height:904" coordorigin="15424,1076" coordsize="900,904" path="m15874,1076l15424,1526,15424,1529,15874,1979,16324,1529,16324,1526,15874,1076xe" filled="true" fillcolor="#c4cd71" stroked="false">
              <v:path arrowok="t"/>
              <v:fill type="solid"/>
            </v:shape>
            <v:rect style="position:absolute;left:9621;top:0;width:2406;height:851" filled="true" fillcolor="#bec85c" stroked="false">
              <v:fill type="solid"/>
            </v:rect>
            <v:rect style="position:absolute;left:12026;top:0;width:2406;height:851" filled="true" fillcolor="#e6e7e8" stroked="false">
              <v:fill type="solid"/>
            </v:rect>
            <v:shape style="position:absolute;left:12026;top:0;width:583;height:583" type="#_x0000_t75" stroked="false">
              <v:imagedata r:id="rId272" o:title=""/>
            </v:shape>
            <v:rect style="position:absolute;left:14432;top:0;width:2406;height:851" filled="true" fillcolor="#aebd37" stroked="false">
              <v:fill type="solid"/>
            </v:rect>
            <v:shape style="position:absolute;left:15263;top:1366;width:161;height:322" type="#_x0000_t75" stroked="false">
              <v:imagedata r:id="rId16" o:title=""/>
            </v:shape>
            <v:shape style="position:absolute;left:16324;top:1366;width:161;height:322" type="#_x0000_t75" stroked="false">
              <v:imagedata r:id="rId11" o:title=""/>
            </v:shape>
            <w10:wrap type="none"/>
          </v:group>
        </w:pict>
      </w:r>
    </w:p>
    <w:p>
      <w:pPr>
        <w:pStyle w:val="BodyText"/>
        <w:rPr>
          <w:sz w:val="20"/>
        </w:rPr>
      </w:pPr>
    </w:p>
    <w:p>
      <w:pPr>
        <w:pStyle w:val="BodyText"/>
        <w:rPr>
          <w:sz w:val="20"/>
        </w:rPr>
      </w:pPr>
    </w:p>
    <w:p>
      <w:pPr>
        <w:pStyle w:val="BodyText"/>
        <w:rPr>
          <w:sz w:val="20"/>
        </w:rPr>
      </w:pPr>
    </w:p>
    <w:p>
      <w:pPr>
        <w:pStyle w:val="BodyText"/>
        <w:spacing w:before="7"/>
        <w:rPr>
          <w:sz w:val="29"/>
        </w:rPr>
      </w:pPr>
    </w:p>
    <w:p>
      <w:pPr>
        <w:tabs>
          <w:tab w:pos="12166" w:val="left" w:leader="none"/>
          <w:tab w:pos="12373" w:val="left" w:leader="none"/>
        </w:tabs>
        <w:spacing w:before="107"/>
        <w:ind w:left="765" w:right="0" w:firstLine="0"/>
        <w:jc w:val="left"/>
        <w:rPr>
          <w:b/>
          <w:sz w:val="16"/>
        </w:rPr>
      </w:pPr>
      <w:r>
        <w:rPr>
          <w:color w:val="939598"/>
          <w:w w:val="100"/>
          <w:sz w:val="16"/>
          <w:u w:val="single" w:color="939598"/>
        </w:rPr>
        <w:t> </w:t>
      </w:r>
      <w:r>
        <w:rPr>
          <w:color w:val="939598"/>
          <w:sz w:val="16"/>
          <w:u w:val="single" w:color="939598"/>
        </w:rPr>
        <w:tab/>
      </w:r>
      <w:r>
        <w:rPr>
          <w:color w:val="939598"/>
          <w:sz w:val="16"/>
        </w:rPr>
        <w:tab/>
        <w:t>Department of Finance Annual Report 2016-17</w:t>
      </w:r>
      <w:r>
        <w:rPr>
          <w:color w:val="939598"/>
          <w:spacing w:val="29"/>
          <w:sz w:val="16"/>
        </w:rPr>
        <w:t> </w:t>
      </w:r>
      <w:r>
        <w:rPr>
          <w:b/>
          <w:color w:val="6F2770"/>
          <w:sz w:val="16"/>
        </w:rPr>
        <w:t>111</w:t>
      </w:r>
    </w:p>
    <w:p>
      <w:pPr>
        <w:spacing w:after="0"/>
        <w:jc w:val="left"/>
        <w:rPr>
          <w:sz w:val="16"/>
        </w:rPr>
        <w:sectPr>
          <w:type w:val="continuous"/>
          <w:pgSz w:w="16840" w:h="11910" w:orient="landscape"/>
          <w:pgMar w:top="0" w:bottom="0" w:left="0" w:right="0"/>
        </w:sectPr>
      </w:pPr>
    </w:p>
    <w:p>
      <w:pPr>
        <w:pStyle w:val="BodyText"/>
        <w:rPr>
          <w:sz w:val="20"/>
        </w:rPr>
      </w:pPr>
      <w:r>
        <w:rPr>
          <w:sz w:val="20"/>
        </w:rPr>
        <w:pict>
          <v:group style="width:240.15pt;height:42.55pt;mso-position-horizontal-relative:char;mso-position-vertical-relative:line" coordorigin="0,0" coordsize="4803,851">
            <v:rect style="position:absolute;left:0;top:0;width:2406;height:851" filled="true" fillcolor="#aebd37" stroked="false">
              <v:fill type="solid"/>
            </v:rect>
            <v:shape style="position:absolute;left:0;top:0;width:2406;height:851" type="#_x0000_t202" filled="false"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shape style="position:absolute;left:2397;top:0;width:2406;height:851" type="#_x0000_t202" filled="true" fillcolor="#b6c247" stroked="false">
              <v:textbox inset="0,0,0,0">
                <w:txbxContent>
                  <w:p>
                    <w:pPr>
                      <w:spacing w:line="240" w:lineRule="auto" w:before="9"/>
                      <w:rPr>
                        <w:b/>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rPr>
          <w:b/>
          <w:sz w:val="20"/>
        </w:rPr>
      </w:pPr>
    </w:p>
    <w:p>
      <w:pPr>
        <w:pStyle w:val="BodyText"/>
        <w:spacing w:before="6"/>
        <w:rPr>
          <w:b/>
          <w:sz w:val="25"/>
        </w:rPr>
      </w:pPr>
    </w:p>
    <w:p>
      <w:pPr>
        <w:spacing w:after="0"/>
        <w:rPr>
          <w:sz w:val="25"/>
        </w:rPr>
        <w:sectPr>
          <w:footerReference w:type="default" r:id="rId361"/>
          <w:pgSz w:w="16840" w:h="11910" w:orient="landscape"/>
          <w:pgMar w:footer="0" w:header="0" w:top="0" w:bottom="0" w:left="0" w:right="0"/>
        </w:sectPr>
      </w:pPr>
    </w:p>
    <w:p>
      <w:pPr>
        <w:pStyle w:val="Heading4"/>
        <w:spacing w:before="111"/>
      </w:pPr>
      <w:r>
        <w:rPr/>
        <w:pict>
          <v:group style="position:absolute;margin-left:240.123001pt;margin-top:-70.456223pt;width:601.8pt;height:42.55pt;mso-position-horizontal-relative:page;mso-position-vertical-relative:paragraph;z-index:39304" coordorigin="4802,-1409" coordsize="12036,851">
            <v:rect style="position:absolute;left:12026;top:-1410;width:2406;height:851" filled="true" fillcolor="#e6e7e8" stroked="false">
              <v:fill type="solid"/>
            </v:rect>
            <v:shape style="position:absolute;left:12026;top:-1410;width:583;height:583" type="#_x0000_t75" stroked="false">
              <v:imagedata r:id="rId272" o:title=""/>
            </v:shape>
            <v:rect style="position:absolute;left:14432;top:-1410;width:2406;height:851" filled="true" fillcolor="#aebd37" stroked="false">
              <v:fill type="solid"/>
            </v:rect>
            <v:line style="position:absolute" from="16838,-1409" to="16838,-559" stroked="true" strokeweight=".001pt" strokecolor="#aebd37">
              <v:stroke dashstyle="solid"/>
            </v:line>
            <v:shape style="position:absolute;left:12026;top:-1410;width:4811;height:851" type="#_x0000_t202" filled="false" stroked="false">
              <v:textbox inset="0,0,0,0">
                <w:txbxContent>
                  <w:p>
                    <w:pPr>
                      <w:spacing w:line="240" w:lineRule="auto" w:before="9"/>
                      <w:rPr>
                        <w:sz w:val="26"/>
                      </w:rPr>
                    </w:pPr>
                  </w:p>
                  <w:p>
                    <w:pPr>
                      <w:spacing w:before="0"/>
                      <w:ind w:left="3141" w:right="0" w:firstLine="0"/>
                      <w:jc w:val="left"/>
                      <w:rPr>
                        <w:sz w:val="20"/>
                      </w:rPr>
                    </w:pPr>
                    <w:hyperlink w:history="true" w:anchor="_bookmark73">
                      <w:r>
                        <w:rPr>
                          <w:color w:val="FFFFFF"/>
                          <w:sz w:val="20"/>
                        </w:rPr>
                        <w:t>APPENDIX</w:t>
                      </w:r>
                    </w:hyperlink>
                  </w:p>
                </w:txbxContent>
              </v:textbox>
              <w10:wrap type="none"/>
            </v:shape>
            <v:shape style="position:absolute;left:12026;top:-1410;width:2406;height:851" type="#_x0000_t202" filled="false"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6F2770"/>
                          <w:sz w:val="20"/>
                        </w:rPr>
                        <w:t>DISCLOSURES</w:t>
                      </w:r>
                    </w:hyperlink>
                  </w:p>
                </w:txbxContent>
              </v:textbox>
              <w10:wrap type="none"/>
            </v:shape>
            <v:shape style="position:absolute;left:9621;top:-1410;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v:shape style="position:absolute;left:7215;top:-1410;width:2406;height:851"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410;width:2414;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w10:wrap type="none"/>
          </v:group>
        </w:pict>
      </w:r>
      <w:r>
        <w:rPr>
          <w:color w:val="A7BE39"/>
        </w:rPr>
        <w:t>Freedom of Information</w:t>
      </w:r>
    </w:p>
    <w:p>
      <w:pPr>
        <w:pStyle w:val="BodyText"/>
        <w:spacing w:line="249" w:lineRule="auto" w:before="245"/>
        <w:ind w:left="765" w:right="169"/>
      </w:pPr>
      <w:r>
        <w:rPr/>
        <w:t>The </w:t>
      </w:r>
      <w:r>
        <w:rPr>
          <w:i/>
        </w:rPr>
        <w:t>Freedom of Information Act 1992 </w:t>
      </w:r>
      <w:r>
        <w:rPr/>
        <w:t>(the Act) gives members of the public a general right of access to documents of an agency and official documents of a </w:t>
      </w:r>
      <w:r>
        <w:rPr>
          <w:spacing w:val="-3"/>
        </w:rPr>
        <w:t>Minister, </w:t>
      </w:r>
      <w:r>
        <w:rPr/>
        <w:t>other than exempt documents or parts of documents. Exemptions may</w:t>
      </w:r>
      <w:r>
        <w:rPr>
          <w:spacing w:val="-24"/>
        </w:rPr>
        <w:t> </w:t>
      </w:r>
      <w:r>
        <w:rPr/>
        <w:t>relate</w:t>
      </w:r>
      <w:r>
        <w:rPr>
          <w:spacing w:val="-23"/>
        </w:rPr>
        <w:t> </w:t>
      </w:r>
      <w:r>
        <w:rPr/>
        <w:t>to</w:t>
      </w:r>
      <w:r>
        <w:rPr>
          <w:spacing w:val="-24"/>
        </w:rPr>
        <w:t> </w:t>
      </w:r>
      <w:r>
        <w:rPr/>
        <w:t>law</w:t>
      </w:r>
      <w:r>
        <w:rPr>
          <w:spacing w:val="-23"/>
        </w:rPr>
        <w:t> </w:t>
      </w:r>
      <w:r>
        <w:rPr/>
        <w:t>enforcement,</w:t>
      </w:r>
      <w:r>
        <w:rPr>
          <w:spacing w:val="-24"/>
        </w:rPr>
        <w:t> </w:t>
      </w:r>
      <w:r>
        <w:rPr/>
        <w:t>material</w:t>
      </w:r>
      <w:r>
        <w:rPr>
          <w:spacing w:val="-23"/>
        </w:rPr>
        <w:t> </w:t>
      </w:r>
      <w:r>
        <w:rPr>
          <w:spacing w:val="-3"/>
        </w:rPr>
        <w:t>obtained </w:t>
      </w:r>
      <w:r>
        <w:rPr/>
        <w:t>in confidence, Cabinet documents, or other matters set out in the</w:t>
      </w:r>
      <w:r>
        <w:rPr>
          <w:spacing w:val="-6"/>
        </w:rPr>
        <w:t> </w:t>
      </w:r>
      <w:r>
        <w:rPr/>
        <w:t>Act.</w:t>
      </w:r>
    </w:p>
    <w:p>
      <w:pPr>
        <w:pStyle w:val="BodyText"/>
        <w:spacing w:before="7"/>
        <w:rPr>
          <w:sz w:val="23"/>
        </w:rPr>
      </w:pPr>
    </w:p>
    <w:p>
      <w:pPr>
        <w:pStyle w:val="BodyText"/>
        <w:spacing w:line="249" w:lineRule="auto"/>
        <w:ind w:left="765" w:right="35"/>
      </w:pPr>
      <w:r>
        <w:rPr/>
        <w:t>The</w:t>
      </w:r>
      <w:r>
        <w:rPr>
          <w:spacing w:val="-22"/>
        </w:rPr>
        <w:t> </w:t>
      </w:r>
      <w:r>
        <w:rPr/>
        <w:t>Act</w:t>
      </w:r>
      <w:r>
        <w:rPr>
          <w:spacing w:val="-22"/>
        </w:rPr>
        <w:t> </w:t>
      </w:r>
      <w:r>
        <w:rPr/>
        <w:t>allows</w:t>
      </w:r>
      <w:r>
        <w:rPr>
          <w:spacing w:val="-22"/>
        </w:rPr>
        <w:t> </w:t>
      </w:r>
      <w:r>
        <w:rPr/>
        <w:t>individuals</w:t>
      </w:r>
      <w:r>
        <w:rPr>
          <w:spacing w:val="-22"/>
        </w:rPr>
        <w:t> </w:t>
      </w:r>
      <w:r>
        <w:rPr/>
        <w:t>access</w:t>
      </w:r>
      <w:r>
        <w:rPr>
          <w:spacing w:val="-22"/>
        </w:rPr>
        <w:t> </w:t>
      </w:r>
      <w:r>
        <w:rPr/>
        <w:t>to</w:t>
      </w:r>
      <w:r>
        <w:rPr>
          <w:spacing w:val="-22"/>
        </w:rPr>
        <w:t> </w:t>
      </w:r>
      <w:r>
        <w:rPr/>
        <w:t>their</w:t>
      </w:r>
      <w:r>
        <w:rPr>
          <w:spacing w:val="-22"/>
        </w:rPr>
        <w:t> </w:t>
      </w:r>
      <w:r>
        <w:rPr>
          <w:spacing w:val="-3"/>
        </w:rPr>
        <w:t>personal </w:t>
      </w:r>
      <w:r>
        <w:rPr/>
        <w:t>records</w:t>
      </w:r>
      <w:r>
        <w:rPr>
          <w:spacing w:val="-12"/>
        </w:rPr>
        <w:t> </w:t>
      </w:r>
      <w:r>
        <w:rPr/>
        <w:t>held</w:t>
      </w:r>
      <w:r>
        <w:rPr>
          <w:spacing w:val="-11"/>
        </w:rPr>
        <w:t> </w:t>
      </w:r>
      <w:r>
        <w:rPr/>
        <w:t>by</w:t>
      </w:r>
      <w:r>
        <w:rPr>
          <w:spacing w:val="-11"/>
        </w:rPr>
        <w:t> </w:t>
      </w:r>
      <w:r>
        <w:rPr/>
        <w:t>government</w:t>
      </w:r>
      <w:r>
        <w:rPr>
          <w:spacing w:val="-11"/>
        </w:rPr>
        <w:t> </w:t>
      </w:r>
      <w:r>
        <w:rPr/>
        <w:t>and</w:t>
      </w:r>
      <w:r>
        <w:rPr>
          <w:spacing w:val="-11"/>
        </w:rPr>
        <w:t> </w:t>
      </w:r>
      <w:r>
        <w:rPr/>
        <w:t>enables</w:t>
      </w:r>
      <w:r>
        <w:rPr>
          <w:spacing w:val="-11"/>
        </w:rPr>
        <w:t> </w:t>
      </w:r>
      <w:r>
        <w:rPr/>
        <w:t>them</w:t>
      </w:r>
    </w:p>
    <w:p>
      <w:pPr>
        <w:pStyle w:val="BodyText"/>
        <w:spacing w:line="249" w:lineRule="auto" w:before="2"/>
        <w:ind w:left="765" w:right="256"/>
      </w:pPr>
      <w:r>
        <w:rPr/>
        <w:t>to correct any personal information that is incomplete,</w:t>
      </w:r>
      <w:r>
        <w:rPr>
          <w:spacing w:val="-20"/>
        </w:rPr>
        <w:t> </w:t>
      </w:r>
      <w:r>
        <w:rPr/>
        <w:t>incorrect,</w:t>
      </w:r>
      <w:r>
        <w:rPr>
          <w:spacing w:val="-20"/>
        </w:rPr>
        <w:t> </w:t>
      </w:r>
      <w:r>
        <w:rPr/>
        <w:t>out</w:t>
      </w:r>
      <w:r>
        <w:rPr>
          <w:spacing w:val="-19"/>
        </w:rPr>
        <w:t> </w:t>
      </w:r>
      <w:r>
        <w:rPr/>
        <w:t>of</w:t>
      </w:r>
      <w:r>
        <w:rPr>
          <w:spacing w:val="-20"/>
        </w:rPr>
        <w:t> </w:t>
      </w:r>
      <w:r>
        <w:rPr/>
        <w:t>date</w:t>
      </w:r>
      <w:r>
        <w:rPr>
          <w:spacing w:val="-19"/>
        </w:rPr>
        <w:t> </w:t>
      </w:r>
      <w:r>
        <w:rPr/>
        <w:t>or</w:t>
      </w:r>
      <w:r>
        <w:rPr>
          <w:spacing w:val="-20"/>
        </w:rPr>
        <w:t> </w:t>
      </w:r>
      <w:r>
        <w:rPr/>
        <w:t>misleading.</w:t>
      </w:r>
    </w:p>
    <w:p>
      <w:pPr>
        <w:pStyle w:val="BodyText"/>
        <w:spacing w:before="1"/>
        <w:rPr>
          <w:sz w:val="23"/>
        </w:rPr>
      </w:pPr>
    </w:p>
    <w:p>
      <w:pPr>
        <w:pStyle w:val="BodyText"/>
        <w:spacing w:line="249" w:lineRule="auto"/>
        <w:ind w:left="765" w:right="233"/>
      </w:pPr>
      <w:r>
        <w:rPr/>
        <w:t>The</w:t>
      </w:r>
      <w:r>
        <w:rPr>
          <w:spacing w:val="-28"/>
        </w:rPr>
        <w:t> </w:t>
      </w:r>
      <w:r>
        <w:rPr/>
        <w:t>Department</w:t>
      </w:r>
      <w:r>
        <w:rPr>
          <w:spacing w:val="-28"/>
        </w:rPr>
        <w:t> </w:t>
      </w:r>
      <w:r>
        <w:rPr/>
        <w:t>of</w:t>
      </w:r>
      <w:r>
        <w:rPr>
          <w:spacing w:val="-28"/>
        </w:rPr>
        <w:t> </w:t>
      </w:r>
      <w:r>
        <w:rPr/>
        <w:t>Finance</w:t>
      </w:r>
      <w:r>
        <w:rPr>
          <w:spacing w:val="-28"/>
        </w:rPr>
        <w:t> </w:t>
      </w:r>
      <w:r>
        <w:rPr/>
        <w:t>processed</w:t>
      </w:r>
      <w:r>
        <w:rPr>
          <w:spacing w:val="-28"/>
        </w:rPr>
        <w:t> </w:t>
      </w:r>
      <w:r>
        <w:rPr>
          <w:spacing w:val="-4"/>
        </w:rPr>
        <w:t>Freedom </w:t>
      </w:r>
      <w:r>
        <w:rPr/>
        <w:t>of</w:t>
      </w:r>
      <w:r>
        <w:rPr>
          <w:spacing w:val="-14"/>
        </w:rPr>
        <w:t> </w:t>
      </w:r>
      <w:r>
        <w:rPr/>
        <w:t>Information</w:t>
      </w:r>
      <w:r>
        <w:rPr>
          <w:spacing w:val="-14"/>
        </w:rPr>
        <w:t> </w:t>
      </w:r>
      <w:r>
        <w:rPr/>
        <w:t>applications</w:t>
      </w:r>
      <w:r>
        <w:rPr>
          <w:spacing w:val="-14"/>
        </w:rPr>
        <w:t> </w:t>
      </w:r>
      <w:r>
        <w:rPr/>
        <w:t>in</w:t>
      </w:r>
      <w:r>
        <w:rPr>
          <w:spacing w:val="-14"/>
        </w:rPr>
        <w:t> </w:t>
      </w:r>
      <w:r>
        <w:rPr/>
        <w:t>accordance</w:t>
      </w:r>
      <w:r>
        <w:rPr>
          <w:spacing w:val="-14"/>
        </w:rPr>
        <w:t> </w:t>
      </w:r>
      <w:r>
        <w:rPr/>
        <w:t>with</w:t>
      </w:r>
    </w:p>
    <w:p>
      <w:pPr>
        <w:pStyle w:val="BodyText"/>
        <w:spacing w:line="249" w:lineRule="auto" w:before="2"/>
        <w:ind w:left="765" w:right="-8"/>
      </w:pPr>
      <w:r>
        <w:rPr/>
        <w:t>the</w:t>
      </w:r>
      <w:r>
        <w:rPr>
          <w:spacing w:val="-27"/>
        </w:rPr>
        <w:t> </w:t>
      </w:r>
      <w:r>
        <w:rPr/>
        <w:t>Act</w:t>
      </w:r>
      <w:r>
        <w:rPr>
          <w:spacing w:val="-26"/>
        </w:rPr>
        <w:t> </w:t>
      </w:r>
      <w:r>
        <w:rPr/>
        <w:t>and</w:t>
      </w:r>
      <w:r>
        <w:rPr>
          <w:spacing w:val="-26"/>
        </w:rPr>
        <w:t> </w:t>
      </w:r>
      <w:r>
        <w:rPr/>
        <w:t>guidelines</w:t>
      </w:r>
      <w:r>
        <w:rPr>
          <w:spacing w:val="-26"/>
        </w:rPr>
        <w:t> </w:t>
      </w:r>
      <w:r>
        <w:rPr/>
        <w:t>from</w:t>
      </w:r>
      <w:r>
        <w:rPr>
          <w:spacing w:val="-27"/>
        </w:rPr>
        <w:t> </w:t>
      </w:r>
      <w:r>
        <w:rPr/>
        <w:t>the</w:t>
      </w:r>
      <w:r>
        <w:rPr>
          <w:spacing w:val="-26"/>
        </w:rPr>
        <w:t> </w:t>
      </w:r>
      <w:r>
        <w:rPr/>
        <w:t>Western</w:t>
      </w:r>
      <w:r>
        <w:rPr>
          <w:spacing w:val="-26"/>
        </w:rPr>
        <w:t> </w:t>
      </w:r>
      <w:r>
        <w:rPr/>
        <w:t>Australian Office of the Information</w:t>
      </w:r>
      <w:r>
        <w:rPr>
          <w:spacing w:val="-29"/>
        </w:rPr>
        <w:t> </w:t>
      </w:r>
      <w:r>
        <w:rPr/>
        <w:t>Commissioner.</w:t>
      </w:r>
    </w:p>
    <w:p>
      <w:pPr>
        <w:pStyle w:val="BodyText"/>
        <w:spacing w:line="249" w:lineRule="auto" w:before="2"/>
        <w:ind w:left="765" w:right="730"/>
      </w:pPr>
      <w:r>
        <w:rPr/>
        <w:pict>
          <v:group style="position:absolute;margin-left:132.818405pt;margin-top:61.709373pt;width:135.5pt;height:90.35pt;mso-position-horizontal-relative:page;mso-position-vertical-relative:paragraph;z-index:39088" coordorigin="2656,1234" coordsize="2710,1807">
            <v:shape style="position:absolute;left:3559;top:1234;width:904;height:904" coordorigin="3560,1234" coordsize="904,904" path="m4011,1234l3560,1686,4011,2137,4463,1686,4011,1234xe" filled="true" fillcolor="#96ac7a" stroked="false">
              <v:path arrowok="t"/>
              <v:fill opacity="32768f" type="solid"/>
            </v:shape>
            <v:shape style="position:absolute;left:3107;top:1685;width:904;height:904" coordorigin="3108,1686" coordsize="904,904" path="m3560,1686l3108,2137,3560,2589,4011,2137,3560,1686xe" filled="true" fillcolor="#c4cd71" stroked="false">
              <v:path arrowok="t"/>
              <v:fill opacity="32768f" type="solid"/>
            </v:shape>
            <v:shape style="position:absolute;left:2656;top:2137;width:904;height:904" coordorigin="2656,2137" coordsize="904,904" path="m3108,2137l2656,2589,3108,3041,3560,2589,3108,2137xe" filled="true" fillcolor="#d4d4d3" stroked="false">
              <v:path arrowok="t"/>
              <v:fill opacity="32768f" type="solid"/>
            </v:shape>
            <v:shape style="position:absolute;left:4462;top:2137;width:904;height:904" coordorigin="4463,2137" coordsize="904,904" path="m4914,2137l4463,2589,4914,3041,5366,2589,4914,2137xe" filled="true" fillcolor="#c4cd71" stroked="false">
              <v:path arrowok="t"/>
              <v:fill opacity="32768f" type="solid"/>
            </v:shape>
            <v:shape style="position:absolute;left:3559;top:2137;width:904;height:904" coordorigin="3560,2137" coordsize="904,904" path="m4011,2137l3560,2589,4011,3041,4463,2589,4011,2137xe" filled="true" fillcolor="#783a79" stroked="false">
              <v:path arrowok="t"/>
              <v:fill opacity="32768f" type="solid"/>
            </v:shape>
            <v:shape style="position:absolute;left:3559;top:2137;width:452;height:452" coordorigin="3560,2137" coordsize="452,452" path="m4011,2137l3560,2589,4011,2137xe" filled="true" fillcolor="#753972" stroked="false">
              <v:path arrowok="t"/>
              <v:fill opacity="32768f" type="solid"/>
            </v:shape>
            <w10:wrap type="none"/>
          </v:group>
        </w:pict>
      </w:r>
      <w:r>
        <w:rPr>
          <w:spacing w:val="-5"/>
        </w:rPr>
        <w:t>Typically,</w:t>
      </w:r>
      <w:r>
        <w:rPr>
          <w:spacing w:val="-30"/>
        </w:rPr>
        <w:t> </w:t>
      </w:r>
      <w:r>
        <w:rPr/>
        <w:t>the</w:t>
      </w:r>
      <w:r>
        <w:rPr>
          <w:spacing w:val="-29"/>
        </w:rPr>
        <w:t> </w:t>
      </w:r>
      <w:r>
        <w:rPr/>
        <w:t>applications</w:t>
      </w:r>
      <w:r>
        <w:rPr>
          <w:spacing w:val="-30"/>
        </w:rPr>
        <w:t> </w:t>
      </w:r>
      <w:r>
        <w:rPr/>
        <w:t>received</w:t>
      </w:r>
      <w:r>
        <w:rPr>
          <w:spacing w:val="-29"/>
        </w:rPr>
        <w:t> </w:t>
      </w:r>
      <w:r>
        <w:rPr/>
        <w:t>over</w:t>
      </w:r>
      <w:r>
        <w:rPr>
          <w:spacing w:val="-30"/>
        </w:rPr>
        <w:t> </w:t>
      </w:r>
      <w:r>
        <w:rPr>
          <w:spacing w:val="-6"/>
        </w:rPr>
        <w:t>the </w:t>
      </w:r>
      <w:r>
        <w:rPr/>
        <w:t>year sought to access documents of a non-personal</w:t>
      </w:r>
      <w:r>
        <w:rPr>
          <w:spacing w:val="-2"/>
        </w:rPr>
        <w:t> </w:t>
      </w:r>
      <w:r>
        <w:rPr/>
        <w:t>nature.</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6" w:after="1"/>
        <w:rPr>
          <w:sz w:val="10"/>
        </w:rPr>
      </w:pPr>
    </w:p>
    <w:tbl>
      <w:tblPr>
        <w:tblW w:w="0" w:type="auto"/>
        <w:jc w:val="left"/>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87"/>
        <w:gridCol w:w="1474"/>
        <w:gridCol w:w="1474"/>
      </w:tblGrid>
      <w:tr>
        <w:trPr>
          <w:trHeight w:val="305" w:hRule="atLeast"/>
        </w:trPr>
        <w:tc>
          <w:tcPr>
            <w:tcW w:w="10035" w:type="dxa"/>
            <w:gridSpan w:val="3"/>
            <w:tcBorders>
              <w:left w:val="single" w:sz="8" w:space="0" w:color="FFFFFF"/>
            </w:tcBorders>
            <w:shd w:val="clear" w:color="auto" w:fill="783A79"/>
          </w:tcPr>
          <w:p>
            <w:pPr>
              <w:pStyle w:val="TableParagraph"/>
              <w:tabs>
                <w:tab w:pos="7735" w:val="left" w:leader="none"/>
                <w:tab w:pos="9921" w:val="right" w:leader="none"/>
              </w:tabs>
              <w:spacing w:before="42"/>
              <w:ind w:left="113"/>
              <w:rPr>
                <w:b/>
                <w:sz w:val="19"/>
              </w:rPr>
            </w:pPr>
            <w:r>
              <w:rPr>
                <w:b/>
                <w:color w:val="FFFFFF"/>
                <w:sz w:val="19"/>
              </w:rPr>
              <w:t>Applications</w:t>
              <w:tab/>
              <w:t>2016-17</w:t>
              <w:tab/>
              <w:t>2015-16</w:t>
            </w:r>
          </w:p>
        </w:tc>
      </w:tr>
      <w:tr>
        <w:trPr>
          <w:trHeight w:val="317" w:hRule="atLeast"/>
        </w:trPr>
        <w:tc>
          <w:tcPr>
            <w:tcW w:w="7087" w:type="dxa"/>
            <w:tcBorders>
              <w:left w:val="single" w:sz="8" w:space="0" w:color="FFFFFF"/>
              <w:bottom w:val="single" w:sz="8" w:space="0" w:color="FFFFFF"/>
            </w:tcBorders>
            <w:shd w:val="clear" w:color="auto" w:fill="F4F4F4"/>
          </w:tcPr>
          <w:p>
            <w:pPr>
              <w:pStyle w:val="TableParagraph"/>
              <w:spacing w:before="42"/>
              <w:ind w:left="113"/>
              <w:rPr>
                <w:sz w:val="19"/>
              </w:rPr>
            </w:pPr>
            <w:r>
              <w:rPr>
                <w:sz w:val="19"/>
              </w:rPr>
              <w:t>New applications received during the year</w:t>
            </w:r>
          </w:p>
        </w:tc>
        <w:tc>
          <w:tcPr>
            <w:tcW w:w="1474" w:type="dxa"/>
            <w:vMerge w:val="restart"/>
            <w:shd w:val="clear" w:color="auto" w:fill="E1E4BB"/>
          </w:tcPr>
          <w:p>
            <w:pPr>
              <w:pStyle w:val="TableParagraph"/>
              <w:spacing w:before="42"/>
              <w:ind w:right="101"/>
              <w:jc w:val="right"/>
              <w:rPr>
                <w:sz w:val="19"/>
              </w:rPr>
            </w:pPr>
            <w:r>
              <w:rPr>
                <w:w w:val="95"/>
                <w:sz w:val="19"/>
              </w:rPr>
              <w:t>28</w:t>
            </w:r>
          </w:p>
          <w:p>
            <w:pPr>
              <w:pStyle w:val="TableParagraph"/>
              <w:spacing w:line="320" w:lineRule="atLeast" w:before="7"/>
              <w:ind w:left="1158" w:right="101" w:hanging="19"/>
              <w:jc w:val="right"/>
              <w:rPr>
                <w:sz w:val="19"/>
              </w:rPr>
            </w:pPr>
            <w:r>
              <w:rPr>
                <w:w w:val="95"/>
                <w:sz w:val="19"/>
              </w:rPr>
              <w:t>18</w:t>
            </w:r>
            <w:r>
              <w:rPr>
                <w:w w:val="95"/>
                <w:position w:val="8"/>
                <w:sz w:val="10"/>
              </w:rPr>
              <w:t>i </w:t>
            </w:r>
            <w:r>
              <w:rPr>
                <w:w w:val="95"/>
                <w:sz w:val="19"/>
              </w:rPr>
              <w:t>37</w:t>
            </w:r>
          </w:p>
        </w:tc>
        <w:tc>
          <w:tcPr>
            <w:tcW w:w="1474" w:type="dxa"/>
            <w:tcBorders>
              <w:bottom w:val="single" w:sz="8" w:space="0" w:color="FFFFFF"/>
              <w:right w:val="single" w:sz="8" w:space="0" w:color="FFFFFF"/>
            </w:tcBorders>
            <w:shd w:val="clear" w:color="auto" w:fill="F4F4F4"/>
          </w:tcPr>
          <w:p>
            <w:pPr>
              <w:pStyle w:val="TableParagraph"/>
              <w:spacing w:before="42"/>
              <w:ind w:right="91"/>
              <w:jc w:val="right"/>
              <w:rPr>
                <w:sz w:val="19"/>
              </w:rPr>
            </w:pPr>
            <w:r>
              <w:rPr>
                <w:w w:val="95"/>
                <w:sz w:val="19"/>
              </w:rPr>
              <w:t>31</w:t>
            </w:r>
          </w:p>
        </w:tc>
      </w:tr>
      <w:tr>
        <w:trPr>
          <w:trHeight w:val="307" w:hRule="atLeast"/>
        </w:trPr>
        <w:tc>
          <w:tcPr>
            <w:tcW w:w="7087"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Decisions made during the year</w:t>
            </w:r>
          </w:p>
        </w:tc>
        <w:tc>
          <w:tcPr>
            <w:tcW w:w="1474" w:type="dxa"/>
            <w:vMerge/>
            <w:tcBorders>
              <w:top w:val="nil"/>
            </w:tcBorders>
            <w:shd w:val="clear" w:color="auto" w:fill="E1E4BB"/>
          </w:tcPr>
          <w:p>
            <w:pPr>
              <w:rPr>
                <w:sz w:val="2"/>
                <w:szCs w:val="2"/>
              </w:rPr>
            </w:pPr>
          </w:p>
        </w:tc>
        <w:tc>
          <w:tcPr>
            <w:tcW w:w="147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95"/>
                <w:sz w:val="19"/>
              </w:rPr>
              <w:t>23</w:t>
            </w:r>
          </w:p>
        </w:tc>
      </w:tr>
      <w:tr>
        <w:trPr>
          <w:trHeight w:val="317" w:hRule="atLeast"/>
        </w:trPr>
        <w:tc>
          <w:tcPr>
            <w:tcW w:w="7087" w:type="dxa"/>
            <w:tcBorders>
              <w:top w:val="single" w:sz="8" w:space="0" w:color="FFFFFF"/>
              <w:left w:val="single" w:sz="8" w:space="0" w:color="FFFFFF"/>
            </w:tcBorders>
            <w:shd w:val="clear" w:color="auto" w:fill="F4F4F4"/>
          </w:tcPr>
          <w:p>
            <w:pPr>
              <w:pStyle w:val="TableParagraph"/>
              <w:ind w:left="113"/>
              <w:rPr>
                <w:sz w:val="19"/>
              </w:rPr>
            </w:pPr>
            <w:r>
              <w:rPr>
                <w:sz w:val="19"/>
              </w:rPr>
              <w:t>Average time to process (days)</w:t>
            </w:r>
          </w:p>
        </w:tc>
        <w:tc>
          <w:tcPr>
            <w:tcW w:w="1474" w:type="dxa"/>
            <w:vMerge/>
            <w:tcBorders>
              <w:top w:val="nil"/>
            </w:tcBorders>
            <w:shd w:val="clear" w:color="auto" w:fill="E1E4BB"/>
          </w:tcPr>
          <w:p>
            <w:pPr>
              <w:rPr>
                <w:sz w:val="2"/>
                <w:szCs w:val="2"/>
              </w:rPr>
            </w:pPr>
          </w:p>
        </w:tc>
        <w:tc>
          <w:tcPr>
            <w:tcW w:w="1474" w:type="dxa"/>
            <w:tcBorders>
              <w:top w:val="single" w:sz="8" w:space="0" w:color="FFFFFF"/>
              <w:right w:val="single" w:sz="8" w:space="0" w:color="FFFFFF"/>
            </w:tcBorders>
            <w:shd w:val="clear" w:color="auto" w:fill="F4F4F4"/>
          </w:tcPr>
          <w:p>
            <w:pPr>
              <w:pStyle w:val="TableParagraph"/>
              <w:ind w:right="91"/>
              <w:jc w:val="right"/>
              <w:rPr>
                <w:sz w:val="19"/>
              </w:rPr>
            </w:pPr>
            <w:r>
              <w:rPr>
                <w:w w:val="95"/>
                <w:sz w:val="19"/>
              </w:rPr>
              <w:t>43</w:t>
            </w:r>
          </w:p>
        </w:tc>
      </w:tr>
    </w:tbl>
    <w:p>
      <w:pPr>
        <w:pStyle w:val="BodyText"/>
        <w:spacing w:before="5"/>
        <w:rPr>
          <w:sz w:val="28"/>
        </w:rPr>
      </w:pPr>
    </w:p>
    <w:tbl>
      <w:tblPr>
        <w:tblW w:w="0" w:type="auto"/>
        <w:jc w:val="left"/>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87"/>
        <w:gridCol w:w="1474"/>
        <w:gridCol w:w="1474"/>
      </w:tblGrid>
      <w:tr>
        <w:trPr>
          <w:trHeight w:val="327" w:hRule="atLeast"/>
        </w:trPr>
        <w:tc>
          <w:tcPr>
            <w:tcW w:w="10035" w:type="dxa"/>
            <w:gridSpan w:val="3"/>
            <w:tcBorders>
              <w:left w:val="single" w:sz="8" w:space="0" w:color="FFFFFF"/>
              <w:right w:val="single" w:sz="8" w:space="0" w:color="FFFFFF"/>
            </w:tcBorders>
            <w:shd w:val="clear" w:color="auto" w:fill="783A79"/>
          </w:tcPr>
          <w:p>
            <w:pPr>
              <w:pStyle w:val="TableParagraph"/>
              <w:spacing w:before="42"/>
              <w:ind w:left="113"/>
              <w:rPr>
                <w:b/>
                <w:sz w:val="19"/>
              </w:rPr>
            </w:pPr>
            <w:r>
              <w:rPr>
                <w:b/>
                <w:color w:val="FFFFFF"/>
                <w:sz w:val="19"/>
              </w:rPr>
              <w:t>Outcomes</w:t>
            </w:r>
          </w:p>
        </w:tc>
      </w:tr>
      <w:tr>
        <w:trPr>
          <w:trHeight w:val="317" w:hRule="atLeast"/>
        </w:trPr>
        <w:tc>
          <w:tcPr>
            <w:tcW w:w="7087" w:type="dxa"/>
            <w:tcBorders>
              <w:left w:val="single" w:sz="8" w:space="0" w:color="FFFFFF"/>
              <w:bottom w:val="single" w:sz="8" w:space="0" w:color="FFFFFF"/>
            </w:tcBorders>
            <w:shd w:val="clear" w:color="auto" w:fill="F4F4F4"/>
          </w:tcPr>
          <w:p>
            <w:pPr>
              <w:pStyle w:val="TableParagraph"/>
              <w:spacing w:before="42"/>
              <w:ind w:left="113"/>
              <w:rPr>
                <w:sz w:val="19"/>
              </w:rPr>
            </w:pPr>
            <w:r>
              <w:rPr>
                <w:sz w:val="19"/>
              </w:rPr>
              <w:t>Full access</w:t>
            </w:r>
          </w:p>
        </w:tc>
        <w:tc>
          <w:tcPr>
            <w:tcW w:w="1474" w:type="dxa"/>
            <w:shd w:val="clear" w:color="auto" w:fill="E1E4BB"/>
          </w:tcPr>
          <w:p>
            <w:pPr>
              <w:pStyle w:val="TableParagraph"/>
              <w:spacing w:before="42"/>
              <w:ind w:right="101"/>
              <w:jc w:val="right"/>
              <w:rPr>
                <w:sz w:val="19"/>
              </w:rPr>
            </w:pPr>
            <w:r>
              <w:rPr>
                <w:w w:val="95"/>
                <w:sz w:val="19"/>
              </w:rPr>
              <w:t>13</w:t>
            </w:r>
          </w:p>
        </w:tc>
        <w:tc>
          <w:tcPr>
            <w:tcW w:w="1474" w:type="dxa"/>
            <w:tcBorders>
              <w:bottom w:val="single" w:sz="8" w:space="0" w:color="FFFFFF"/>
              <w:right w:val="single" w:sz="8" w:space="0" w:color="FFFFFF"/>
            </w:tcBorders>
            <w:shd w:val="clear" w:color="auto" w:fill="F4F4F4"/>
          </w:tcPr>
          <w:p>
            <w:pPr>
              <w:pStyle w:val="TableParagraph"/>
              <w:spacing w:before="42"/>
              <w:ind w:right="91"/>
              <w:jc w:val="right"/>
              <w:rPr>
                <w:sz w:val="19"/>
              </w:rPr>
            </w:pPr>
            <w:r>
              <w:rPr>
                <w:w w:val="95"/>
                <w:sz w:val="19"/>
              </w:rPr>
              <w:t>15</w:t>
            </w:r>
          </w:p>
        </w:tc>
      </w:tr>
      <w:tr>
        <w:trPr>
          <w:trHeight w:val="307" w:hRule="atLeast"/>
        </w:trPr>
        <w:tc>
          <w:tcPr>
            <w:tcW w:w="7087"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Edited access</w:t>
            </w:r>
          </w:p>
        </w:tc>
        <w:tc>
          <w:tcPr>
            <w:tcW w:w="1474" w:type="dxa"/>
            <w:shd w:val="clear" w:color="auto" w:fill="E1E4BB"/>
          </w:tcPr>
          <w:p>
            <w:pPr>
              <w:pStyle w:val="TableParagraph"/>
              <w:ind w:right="101"/>
              <w:jc w:val="right"/>
              <w:rPr>
                <w:sz w:val="19"/>
              </w:rPr>
            </w:pPr>
            <w:r>
              <w:rPr>
                <w:w w:val="99"/>
                <w:sz w:val="19"/>
              </w:rPr>
              <w:t>1</w:t>
            </w:r>
          </w:p>
        </w:tc>
        <w:tc>
          <w:tcPr>
            <w:tcW w:w="147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99"/>
                <w:sz w:val="19"/>
              </w:rPr>
              <w:t>3</w:t>
            </w:r>
          </w:p>
        </w:tc>
      </w:tr>
      <w:tr>
        <w:trPr>
          <w:trHeight w:val="307" w:hRule="atLeast"/>
        </w:trPr>
        <w:tc>
          <w:tcPr>
            <w:tcW w:w="7087"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Deferred access</w:t>
            </w:r>
          </w:p>
        </w:tc>
        <w:tc>
          <w:tcPr>
            <w:tcW w:w="1474" w:type="dxa"/>
            <w:shd w:val="clear" w:color="auto" w:fill="E1E4BB"/>
          </w:tcPr>
          <w:p>
            <w:pPr>
              <w:pStyle w:val="TableParagraph"/>
              <w:ind w:right="101"/>
              <w:jc w:val="right"/>
              <w:rPr>
                <w:sz w:val="19"/>
              </w:rPr>
            </w:pPr>
            <w:r>
              <w:rPr>
                <w:w w:val="99"/>
                <w:sz w:val="19"/>
              </w:rPr>
              <w:t>0</w:t>
            </w:r>
          </w:p>
        </w:tc>
        <w:tc>
          <w:tcPr>
            <w:tcW w:w="1474"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9"/>
                <w:sz w:val="19"/>
              </w:rPr>
              <w:t>0</w:t>
            </w:r>
          </w:p>
        </w:tc>
      </w:tr>
      <w:tr>
        <w:trPr>
          <w:trHeight w:val="307" w:hRule="atLeast"/>
        </w:trPr>
        <w:tc>
          <w:tcPr>
            <w:tcW w:w="7087"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Section 26 access</w:t>
            </w:r>
          </w:p>
        </w:tc>
        <w:tc>
          <w:tcPr>
            <w:tcW w:w="1474" w:type="dxa"/>
            <w:shd w:val="clear" w:color="auto" w:fill="E1E4BB"/>
          </w:tcPr>
          <w:p>
            <w:pPr>
              <w:pStyle w:val="TableParagraph"/>
              <w:ind w:right="101"/>
              <w:jc w:val="right"/>
              <w:rPr>
                <w:sz w:val="19"/>
              </w:rPr>
            </w:pPr>
            <w:r>
              <w:rPr>
                <w:w w:val="99"/>
                <w:sz w:val="19"/>
              </w:rPr>
              <w:t>0</w:t>
            </w:r>
          </w:p>
        </w:tc>
        <w:tc>
          <w:tcPr>
            <w:tcW w:w="147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99"/>
                <w:sz w:val="19"/>
              </w:rPr>
              <w:t>1</w:t>
            </w:r>
          </w:p>
        </w:tc>
      </w:tr>
      <w:tr>
        <w:trPr>
          <w:trHeight w:val="307" w:hRule="atLeast"/>
        </w:trPr>
        <w:tc>
          <w:tcPr>
            <w:tcW w:w="7087"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Section 28 access</w:t>
            </w:r>
          </w:p>
        </w:tc>
        <w:tc>
          <w:tcPr>
            <w:tcW w:w="1474" w:type="dxa"/>
            <w:shd w:val="clear" w:color="auto" w:fill="E1E4BB"/>
          </w:tcPr>
          <w:p>
            <w:pPr>
              <w:pStyle w:val="TableParagraph"/>
              <w:ind w:right="101"/>
              <w:jc w:val="right"/>
              <w:rPr>
                <w:sz w:val="19"/>
              </w:rPr>
            </w:pPr>
            <w:r>
              <w:rPr>
                <w:w w:val="99"/>
                <w:sz w:val="19"/>
              </w:rPr>
              <w:t>0</w:t>
            </w:r>
          </w:p>
        </w:tc>
        <w:tc>
          <w:tcPr>
            <w:tcW w:w="1474"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9"/>
                <w:sz w:val="19"/>
              </w:rPr>
              <w:t>0</w:t>
            </w:r>
          </w:p>
        </w:tc>
      </w:tr>
      <w:tr>
        <w:trPr>
          <w:trHeight w:val="307" w:hRule="atLeast"/>
        </w:trPr>
        <w:tc>
          <w:tcPr>
            <w:tcW w:w="7087"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Access refused</w:t>
            </w:r>
          </w:p>
        </w:tc>
        <w:tc>
          <w:tcPr>
            <w:tcW w:w="1474" w:type="dxa"/>
            <w:shd w:val="clear" w:color="auto" w:fill="E1E4BB"/>
          </w:tcPr>
          <w:p>
            <w:pPr>
              <w:pStyle w:val="TableParagraph"/>
              <w:ind w:right="101"/>
              <w:jc w:val="right"/>
              <w:rPr>
                <w:sz w:val="19"/>
              </w:rPr>
            </w:pPr>
            <w:r>
              <w:rPr>
                <w:w w:val="99"/>
                <w:sz w:val="19"/>
              </w:rPr>
              <w:t>4</w:t>
            </w:r>
          </w:p>
        </w:tc>
        <w:tc>
          <w:tcPr>
            <w:tcW w:w="147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99"/>
                <w:sz w:val="19"/>
              </w:rPr>
              <w:t>4</w:t>
            </w:r>
          </w:p>
        </w:tc>
      </w:tr>
      <w:tr>
        <w:trPr>
          <w:trHeight w:val="307" w:hRule="atLeast"/>
        </w:trPr>
        <w:tc>
          <w:tcPr>
            <w:tcW w:w="7087" w:type="dxa"/>
            <w:tcBorders>
              <w:top w:val="single" w:sz="8" w:space="0" w:color="FFFFFF"/>
              <w:left w:val="single" w:sz="8" w:space="0" w:color="FFFFFF"/>
              <w:bottom w:val="single" w:sz="8" w:space="0" w:color="FFFFFF"/>
            </w:tcBorders>
            <w:shd w:val="clear" w:color="auto" w:fill="F4F4F4"/>
          </w:tcPr>
          <w:p>
            <w:pPr>
              <w:pStyle w:val="TableParagraph"/>
              <w:ind w:left="113"/>
              <w:rPr>
                <w:b/>
                <w:sz w:val="19"/>
              </w:rPr>
            </w:pPr>
            <w:r>
              <w:rPr>
                <w:b/>
                <w:sz w:val="19"/>
              </w:rPr>
              <w:t>Total decisions</w:t>
            </w:r>
          </w:p>
        </w:tc>
        <w:tc>
          <w:tcPr>
            <w:tcW w:w="1474" w:type="dxa"/>
            <w:shd w:val="clear" w:color="auto" w:fill="E1E4BB"/>
          </w:tcPr>
          <w:p>
            <w:pPr>
              <w:pStyle w:val="TableParagraph"/>
              <w:ind w:right="101"/>
              <w:jc w:val="right"/>
              <w:rPr>
                <w:b/>
                <w:sz w:val="19"/>
              </w:rPr>
            </w:pPr>
            <w:r>
              <w:rPr>
                <w:b/>
                <w:w w:val="95"/>
                <w:sz w:val="19"/>
              </w:rPr>
              <w:t>18</w:t>
            </w:r>
          </w:p>
        </w:tc>
        <w:tc>
          <w:tcPr>
            <w:tcW w:w="1474" w:type="dxa"/>
            <w:tcBorders>
              <w:top w:val="single" w:sz="8" w:space="0" w:color="FFFFFF"/>
              <w:bottom w:val="single" w:sz="8" w:space="0" w:color="FFFFFF"/>
              <w:right w:val="single" w:sz="8" w:space="0" w:color="FFFFFF"/>
            </w:tcBorders>
            <w:shd w:val="clear" w:color="auto" w:fill="F4F4F4"/>
          </w:tcPr>
          <w:p>
            <w:pPr>
              <w:pStyle w:val="TableParagraph"/>
              <w:ind w:right="91"/>
              <w:jc w:val="right"/>
              <w:rPr>
                <w:b/>
                <w:sz w:val="19"/>
              </w:rPr>
            </w:pPr>
            <w:r>
              <w:rPr>
                <w:b/>
                <w:w w:val="95"/>
                <w:sz w:val="19"/>
              </w:rPr>
              <w:t>23</w:t>
            </w:r>
          </w:p>
        </w:tc>
      </w:tr>
      <w:tr>
        <w:trPr>
          <w:trHeight w:val="307" w:hRule="atLeast"/>
        </w:trPr>
        <w:tc>
          <w:tcPr>
            <w:tcW w:w="7087" w:type="dxa"/>
            <w:tcBorders>
              <w:top w:val="single" w:sz="8" w:space="0" w:color="FFFFFF"/>
              <w:left w:val="single" w:sz="8" w:space="0" w:color="FFFFFF"/>
              <w:bottom w:val="single" w:sz="8" w:space="0" w:color="FFFFFF"/>
            </w:tcBorders>
            <w:shd w:val="clear" w:color="auto" w:fill="FAF9F9"/>
          </w:tcPr>
          <w:p>
            <w:pPr>
              <w:pStyle w:val="TableParagraph"/>
              <w:ind w:left="113"/>
              <w:rPr>
                <w:sz w:val="19"/>
              </w:rPr>
            </w:pPr>
            <w:r>
              <w:rPr>
                <w:sz w:val="19"/>
              </w:rPr>
              <w:t>Transferred to other agencies</w:t>
            </w:r>
          </w:p>
        </w:tc>
        <w:tc>
          <w:tcPr>
            <w:tcW w:w="1474" w:type="dxa"/>
            <w:shd w:val="clear" w:color="auto" w:fill="E1E4BB"/>
          </w:tcPr>
          <w:p>
            <w:pPr>
              <w:pStyle w:val="TableParagraph"/>
              <w:ind w:right="101"/>
              <w:jc w:val="right"/>
              <w:rPr>
                <w:sz w:val="19"/>
              </w:rPr>
            </w:pPr>
            <w:r>
              <w:rPr>
                <w:w w:val="99"/>
                <w:sz w:val="19"/>
              </w:rPr>
              <w:t>1</w:t>
            </w:r>
          </w:p>
        </w:tc>
        <w:tc>
          <w:tcPr>
            <w:tcW w:w="147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9"/>
              </w:rPr>
            </w:pPr>
            <w:r>
              <w:rPr>
                <w:w w:val="99"/>
                <w:sz w:val="19"/>
              </w:rPr>
              <w:t>2</w:t>
            </w:r>
          </w:p>
        </w:tc>
      </w:tr>
      <w:tr>
        <w:trPr>
          <w:trHeight w:val="307" w:hRule="atLeast"/>
        </w:trPr>
        <w:tc>
          <w:tcPr>
            <w:tcW w:w="7087" w:type="dxa"/>
            <w:tcBorders>
              <w:top w:val="single" w:sz="8" w:space="0" w:color="FFFFFF"/>
              <w:left w:val="single" w:sz="8" w:space="0" w:color="FFFFFF"/>
              <w:bottom w:val="single" w:sz="8" w:space="0" w:color="FFFFFF"/>
            </w:tcBorders>
            <w:shd w:val="clear" w:color="auto" w:fill="F4F4F4"/>
          </w:tcPr>
          <w:p>
            <w:pPr>
              <w:pStyle w:val="TableParagraph"/>
              <w:ind w:left="113"/>
              <w:rPr>
                <w:sz w:val="19"/>
              </w:rPr>
            </w:pPr>
            <w:r>
              <w:rPr>
                <w:sz w:val="19"/>
              </w:rPr>
              <w:t>Withdrawn</w:t>
            </w:r>
          </w:p>
        </w:tc>
        <w:tc>
          <w:tcPr>
            <w:tcW w:w="1474" w:type="dxa"/>
            <w:shd w:val="clear" w:color="auto" w:fill="E1E4BB"/>
          </w:tcPr>
          <w:p>
            <w:pPr>
              <w:pStyle w:val="TableParagraph"/>
              <w:ind w:right="101"/>
              <w:jc w:val="right"/>
              <w:rPr>
                <w:sz w:val="19"/>
              </w:rPr>
            </w:pPr>
            <w:r>
              <w:rPr>
                <w:w w:val="99"/>
                <w:sz w:val="19"/>
              </w:rPr>
              <w:t>2</w:t>
            </w:r>
          </w:p>
        </w:tc>
        <w:tc>
          <w:tcPr>
            <w:tcW w:w="1474" w:type="dxa"/>
            <w:tcBorders>
              <w:top w:val="single" w:sz="8" w:space="0" w:color="FFFFFF"/>
              <w:bottom w:val="single" w:sz="8" w:space="0" w:color="FFFFFF"/>
              <w:right w:val="single" w:sz="8" w:space="0" w:color="FFFFFF"/>
            </w:tcBorders>
            <w:shd w:val="clear" w:color="auto" w:fill="F4F4F4"/>
          </w:tcPr>
          <w:p>
            <w:pPr>
              <w:pStyle w:val="TableParagraph"/>
              <w:ind w:right="91"/>
              <w:jc w:val="right"/>
              <w:rPr>
                <w:sz w:val="19"/>
              </w:rPr>
            </w:pPr>
            <w:r>
              <w:rPr>
                <w:w w:val="99"/>
                <w:sz w:val="19"/>
              </w:rPr>
              <w:t>7</w:t>
            </w:r>
          </w:p>
        </w:tc>
      </w:tr>
      <w:tr>
        <w:trPr>
          <w:trHeight w:val="317" w:hRule="atLeast"/>
        </w:trPr>
        <w:tc>
          <w:tcPr>
            <w:tcW w:w="7087" w:type="dxa"/>
            <w:tcBorders>
              <w:top w:val="single" w:sz="8" w:space="0" w:color="FFFFFF"/>
              <w:left w:val="single" w:sz="8" w:space="0" w:color="FFFFFF"/>
            </w:tcBorders>
            <w:shd w:val="clear" w:color="auto" w:fill="FAF9F9"/>
          </w:tcPr>
          <w:p>
            <w:pPr>
              <w:pStyle w:val="TableParagraph"/>
              <w:ind w:left="113"/>
              <w:rPr>
                <w:b/>
                <w:sz w:val="19"/>
              </w:rPr>
            </w:pPr>
            <w:r>
              <w:rPr>
                <w:b/>
                <w:sz w:val="19"/>
              </w:rPr>
              <w:t>Total applications finalised</w:t>
            </w:r>
          </w:p>
        </w:tc>
        <w:tc>
          <w:tcPr>
            <w:tcW w:w="1474" w:type="dxa"/>
            <w:shd w:val="clear" w:color="auto" w:fill="E1E4BB"/>
          </w:tcPr>
          <w:p>
            <w:pPr>
              <w:pStyle w:val="TableParagraph"/>
              <w:ind w:right="101"/>
              <w:jc w:val="right"/>
              <w:rPr>
                <w:b/>
                <w:sz w:val="19"/>
              </w:rPr>
            </w:pPr>
            <w:r>
              <w:rPr>
                <w:b/>
                <w:w w:val="95"/>
                <w:sz w:val="19"/>
              </w:rPr>
              <w:t>21</w:t>
            </w:r>
          </w:p>
        </w:tc>
        <w:tc>
          <w:tcPr>
            <w:tcW w:w="1474" w:type="dxa"/>
            <w:tcBorders>
              <w:top w:val="single" w:sz="8" w:space="0" w:color="FFFFFF"/>
              <w:right w:val="single" w:sz="8" w:space="0" w:color="FFFFFF"/>
            </w:tcBorders>
            <w:shd w:val="clear" w:color="auto" w:fill="FAF9F9"/>
          </w:tcPr>
          <w:p>
            <w:pPr>
              <w:pStyle w:val="TableParagraph"/>
              <w:ind w:right="91"/>
              <w:jc w:val="right"/>
              <w:rPr>
                <w:b/>
                <w:sz w:val="19"/>
              </w:rPr>
            </w:pPr>
            <w:r>
              <w:rPr>
                <w:b/>
                <w:w w:val="95"/>
                <w:sz w:val="19"/>
              </w:rPr>
              <w:t>32</w:t>
            </w:r>
          </w:p>
        </w:tc>
      </w:tr>
    </w:tbl>
    <w:p>
      <w:pPr>
        <w:pStyle w:val="BodyText"/>
        <w:spacing w:before="5"/>
        <w:rPr>
          <w:sz w:val="28"/>
        </w:rPr>
      </w:pPr>
    </w:p>
    <w:tbl>
      <w:tblPr>
        <w:tblW w:w="0" w:type="auto"/>
        <w:jc w:val="left"/>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87"/>
        <w:gridCol w:w="1474"/>
        <w:gridCol w:w="1474"/>
      </w:tblGrid>
      <w:tr>
        <w:trPr>
          <w:trHeight w:val="327" w:hRule="atLeast"/>
        </w:trPr>
        <w:tc>
          <w:tcPr>
            <w:tcW w:w="10035" w:type="dxa"/>
            <w:gridSpan w:val="3"/>
            <w:tcBorders>
              <w:left w:val="single" w:sz="8" w:space="0" w:color="FFFFFF"/>
              <w:right w:val="single" w:sz="8" w:space="0" w:color="FFFFFF"/>
            </w:tcBorders>
            <w:shd w:val="clear" w:color="auto" w:fill="783A79"/>
          </w:tcPr>
          <w:p>
            <w:pPr>
              <w:pStyle w:val="TableParagraph"/>
              <w:spacing w:before="43"/>
              <w:ind w:left="113"/>
              <w:rPr>
                <w:b/>
                <w:sz w:val="19"/>
              </w:rPr>
            </w:pPr>
            <w:r>
              <w:rPr>
                <w:b/>
                <w:color w:val="FFFFFF"/>
                <w:sz w:val="19"/>
              </w:rPr>
              <w:t>Reviews</w:t>
            </w:r>
          </w:p>
        </w:tc>
      </w:tr>
      <w:tr>
        <w:trPr>
          <w:trHeight w:val="317" w:hRule="atLeast"/>
        </w:trPr>
        <w:tc>
          <w:tcPr>
            <w:tcW w:w="7087" w:type="dxa"/>
            <w:tcBorders>
              <w:left w:val="single" w:sz="8" w:space="0" w:color="FFFFFF"/>
              <w:bottom w:val="single" w:sz="8" w:space="0" w:color="FFFFFF"/>
            </w:tcBorders>
            <w:shd w:val="clear" w:color="auto" w:fill="F4F4F4"/>
          </w:tcPr>
          <w:p>
            <w:pPr>
              <w:pStyle w:val="TableParagraph"/>
              <w:spacing w:before="43"/>
              <w:ind w:left="113"/>
              <w:rPr>
                <w:sz w:val="19"/>
              </w:rPr>
            </w:pPr>
            <w:r>
              <w:rPr>
                <w:sz w:val="19"/>
              </w:rPr>
              <w:t>Internal reviews</w:t>
            </w:r>
          </w:p>
        </w:tc>
        <w:tc>
          <w:tcPr>
            <w:tcW w:w="1474" w:type="dxa"/>
            <w:vMerge w:val="restart"/>
            <w:shd w:val="clear" w:color="auto" w:fill="E1E4BB"/>
          </w:tcPr>
          <w:p>
            <w:pPr>
              <w:pStyle w:val="TableParagraph"/>
              <w:spacing w:before="43"/>
              <w:ind w:right="101"/>
              <w:jc w:val="right"/>
              <w:rPr>
                <w:sz w:val="19"/>
              </w:rPr>
            </w:pPr>
            <w:r>
              <w:rPr>
                <w:w w:val="99"/>
                <w:sz w:val="19"/>
              </w:rPr>
              <w:t>2</w:t>
            </w:r>
          </w:p>
          <w:p>
            <w:pPr>
              <w:pStyle w:val="TableParagraph"/>
              <w:spacing w:before="108"/>
              <w:ind w:right="101"/>
              <w:jc w:val="right"/>
              <w:rPr>
                <w:sz w:val="19"/>
              </w:rPr>
            </w:pPr>
            <w:r>
              <w:rPr>
                <w:w w:val="99"/>
                <w:sz w:val="19"/>
              </w:rPr>
              <w:t>0</w:t>
            </w:r>
          </w:p>
        </w:tc>
        <w:tc>
          <w:tcPr>
            <w:tcW w:w="1474" w:type="dxa"/>
            <w:tcBorders>
              <w:bottom w:val="single" w:sz="8" w:space="0" w:color="FFFFFF"/>
              <w:right w:val="single" w:sz="8" w:space="0" w:color="FFFFFF"/>
            </w:tcBorders>
            <w:shd w:val="clear" w:color="auto" w:fill="F4F4F4"/>
          </w:tcPr>
          <w:p>
            <w:pPr>
              <w:pStyle w:val="TableParagraph"/>
              <w:spacing w:before="43"/>
              <w:ind w:right="91"/>
              <w:jc w:val="right"/>
              <w:rPr>
                <w:sz w:val="19"/>
              </w:rPr>
            </w:pPr>
            <w:r>
              <w:rPr>
                <w:w w:val="99"/>
                <w:sz w:val="19"/>
              </w:rPr>
              <w:t>4</w:t>
            </w:r>
          </w:p>
        </w:tc>
      </w:tr>
      <w:tr>
        <w:trPr>
          <w:trHeight w:val="307" w:hRule="atLeast"/>
        </w:trPr>
        <w:tc>
          <w:tcPr>
            <w:tcW w:w="7087" w:type="dxa"/>
            <w:tcBorders>
              <w:top w:val="single" w:sz="8" w:space="0" w:color="FFFFFF"/>
              <w:left w:val="single" w:sz="8" w:space="0" w:color="FFFFFF"/>
              <w:bottom w:val="single" w:sz="8" w:space="0" w:color="FFFFFF"/>
            </w:tcBorders>
            <w:shd w:val="clear" w:color="auto" w:fill="FAF9F9"/>
          </w:tcPr>
          <w:p>
            <w:pPr>
              <w:pStyle w:val="TableParagraph"/>
              <w:spacing w:before="33"/>
              <w:ind w:left="113"/>
              <w:rPr>
                <w:sz w:val="19"/>
              </w:rPr>
            </w:pPr>
            <w:r>
              <w:rPr>
                <w:sz w:val="19"/>
              </w:rPr>
              <w:t>External reviews – complaints</w:t>
            </w:r>
          </w:p>
        </w:tc>
        <w:tc>
          <w:tcPr>
            <w:tcW w:w="1474" w:type="dxa"/>
            <w:vMerge/>
            <w:tcBorders>
              <w:top w:val="nil"/>
            </w:tcBorders>
            <w:shd w:val="clear" w:color="auto" w:fill="E1E4BB"/>
          </w:tcPr>
          <w:p>
            <w:pPr>
              <w:rPr>
                <w:sz w:val="2"/>
                <w:szCs w:val="2"/>
              </w:rPr>
            </w:pPr>
          </w:p>
        </w:tc>
        <w:tc>
          <w:tcPr>
            <w:tcW w:w="1474" w:type="dxa"/>
            <w:tcBorders>
              <w:top w:val="single" w:sz="8" w:space="0" w:color="FFFFFF"/>
              <w:bottom w:val="single" w:sz="8" w:space="0" w:color="FFFFFF"/>
              <w:right w:val="single" w:sz="8" w:space="0" w:color="FFFFFF"/>
            </w:tcBorders>
            <w:shd w:val="clear" w:color="auto" w:fill="FAF9F9"/>
          </w:tcPr>
          <w:p>
            <w:pPr>
              <w:pStyle w:val="TableParagraph"/>
              <w:ind w:right="91"/>
              <w:jc w:val="right"/>
              <w:rPr>
                <w:sz w:val="10"/>
              </w:rPr>
            </w:pPr>
            <w:r>
              <w:rPr>
                <w:w w:val="95"/>
                <w:position w:val="-7"/>
                <w:sz w:val="19"/>
              </w:rPr>
              <w:t>3</w:t>
            </w:r>
            <w:r>
              <w:rPr>
                <w:w w:val="95"/>
                <w:sz w:val="10"/>
              </w:rPr>
              <w:t>ii</w:t>
            </w:r>
          </w:p>
        </w:tc>
      </w:tr>
    </w:tbl>
    <w:p>
      <w:pPr>
        <w:pStyle w:val="BodyText"/>
        <w:spacing w:before="3"/>
        <w:rPr>
          <w:sz w:val="19"/>
        </w:rPr>
      </w:pPr>
    </w:p>
    <w:p>
      <w:pPr>
        <w:spacing w:before="0"/>
        <w:ind w:left="424" w:right="0" w:firstLine="0"/>
        <w:jc w:val="left"/>
        <w:rPr>
          <w:sz w:val="15"/>
        </w:rPr>
      </w:pPr>
      <w:r>
        <w:rPr/>
        <w:pict>
          <v:group style="position:absolute;margin-left:513.729187pt;margin-top:4.612606pt;width:284.4pt;height:142pt;mso-position-horizontal-relative:page;mso-position-vertical-relative:paragraph;z-index:-774472" coordorigin="10275,92" coordsize="5688,2840">
            <v:shape style="position:absolute;left:12812;top:92;width:326;height:301" type="#_x0000_t75" stroked="false">
              <v:imagedata r:id="rId362" o:title=""/>
            </v:shape>
            <v:shape style="position:absolute;left:10274;top:287;width:2864;height:2645" coordorigin="10275,287" coordsize="2864,2645" path="m13138,2335l12104,2932,12129,2932,13138,2349,13138,2335m13138,2140l11767,2932,11792,2932,13138,2154,13138,2140m13138,1555l10753,2932,10778,2932,13138,1569,13138,1555m13138,1165l10539,2665,10505,2699,13138,1179,13138,1165m13138,1067l10770,2434,10736,2468,13138,1082,13138,1067m13138,2627l12611,2932,12636,2932,13138,2642,13138,2627m13138,2530l12442,2932,12467,2932,13138,2544,13138,2530m13138,2432l12273,2932,12298,2932,13138,2447,13138,2432m13138,2237l11935,2932,11960,2932,13138,2252,13138,2237m13138,2042l11598,2932,11623,2932,13138,2057,13138,2042m13138,1945l11429,2932,11454,2932,13138,1959,13138,1945m13138,1847l11260,2932,11285,2932,13138,1862,13138,1847m13138,1750l11091,2932,11116,2932,13138,1764,13138,1750m13138,1652l10922,2932,10947,2932,13138,1667,13138,1652m13138,1457l10584,2932,10609,2932,13138,1472,13138,1457m13138,1360l10416,2932,10441,2932,13138,1374,13138,1360m13138,1262l10309,2896,10275,2930,13138,1277,13138,1262m13138,970l11001,2204,10967,2238,13138,984,13138,970m13138,872l11231,1973,11197,2007,13138,887,13138,872m13138,775l11462,1742,11428,1776,13138,789,13138,775m13138,677l11693,1512,11659,1546,13138,692,13138,677m13138,580l11924,1281,11889,1315,13138,594,13138,580m13138,482l12154,1050,12120,1084,13138,497,13138,482m13138,385l12385,820,12351,854,13138,399,13138,385m13138,287l12616,589,12581,623,13138,302,13138,287e" filled="true" fillcolor="#d8dad9" stroked="false">
              <v:path arrowok="t"/>
              <v:fill opacity="32768f" type="solid"/>
            </v:shape>
            <v:shape style="position:absolute;left:12779;top:2724;width:359;height:207" type="#_x0000_t75" stroked="false">
              <v:imagedata r:id="rId363" o:title=""/>
            </v:shape>
            <v:shape style="position:absolute;left:13138;top:105;width:43;height:29" coordorigin="13138,105" coordsize="43,29" path="m13177,105l13138,128,13138,133,13181,109,13177,105xe" filled="true" fillcolor="#d8dad9" stroked="false">
              <v:path arrowok="t"/>
              <v:fill opacity="32768f" type="solid"/>
            </v:shape>
            <v:shape style="position:absolute;left:13138;top:167;width:352;height:454" type="#_x0000_t75" stroked="false">
              <v:imagedata r:id="rId364" o:title=""/>
            </v:shape>
            <v:shape style="position:absolute;left:13138;top:476;width:2639;height:2456" coordorigin="13138,476" coordsize="2639,2456" path="m13551,480l13548,476,13138,713,13138,718,13551,480m13613,542l13610,538,13138,810,13138,816,13613,542m13675,603l13671,600,13138,908,13138,913,13675,603m13737,665l13733,662,13138,1005,13138,1011,13737,665m13799,727l13795,723,13138,1103,13138,1108,13799,727m13861,789l13857,785,13138,1200,13138,1206,13861,789m13922,851l13919,847,13138,1298,13138,1303,13922,851m13984,912l13981,909,13138,1395,13138,1401,13984,912m14046,974l14042,971,13138,1493,13138,1498,14046,974m14108,1036l14104,1032,13138,1590,13138,1596,14108,1036m14170,1098l14166,1094,13138,1688,13138,1693,14170,1098m14231,1160l14228,1156,13138,1785,13138,1791,14231,1160m14293,1222l14290,1218,13138,1883,13138,1888,14293,1222m14355,1283l14351,1280,13138,1980,13138,1986,14355,1283m14417,1345l14413,1342,13138,2078,13138,2083,14417,1345m14479,1407l14475,1403,13138,2175,13138,2181,14479,1407m14541,1469l14537,1465,13138,2273,13138,2279,14541,1469m14602,1531l14599,1527,13138,2370,13138,2376,14602,1531m14664,1592l14661,1589,13138,2468,13138,2473,14664,1592m14726,1654l14722,1651,13138,2565,13138,2571,14726,1654m14788,1716l14784,1712,13138,2663,13138,2668,14788,1716m14850,1778l14846,1774,13138,2760,13138,2766,14850,1778m14911,1840l14908,1836,13138,2858,13138,2864,14911,1840m14973,1902l14970,1898,13179,2932,13189,2932,14973,1902m15035,1963l15031,1960,13348,2932,13358,2932,15035,1963m15097,2025l15093,2021,13517,2932,13527,2932,15097,2025m15159,2087l15155,2083,13686,2932,13696,2932,15159,2087m15221,2149l15217,2145,13855,2932,13865,2932,15221,2149m15282,2211l15279,2207,14024,2932,14033,2932,15282,2211m15344,2272l15340,2269,14192,2932,14202,2932,15344,2272m15406,2334l15402,2331,14361,2932,14371,2932,15406,2334m15468,2396l15464,2392,14530,2932,14540,2932,15468,2396m15530,2458l15526,2454,14699,2932,14709,2932,15530,2458m15591,2520l15588,2516,14868,2932,14878,2932,15591,2520m15653,2581l15650,2578,15037,2932,15047,2932,15653,2581m15715,2643l15711,2640,15206,2932,15216,2932,15715,2643m15777,2705l15773,2701,15375,2932,15385,2932,15777,2705e" filled="true" fillcolor="#d8dad9" stroked="false">
              <v:path arrowok="t"/>
              <v:fill opacity="32768f" type="solid"/>
            </v:shape>
            <v:shape style="position:absolute;left:15543;top:2763;width:419;height:169" type="#_x0000_t75" stroked="false">
              <v:imagedata r:id="rId365" o:title=""/>
            </v:shape>
            <w10:wrap type="none"/>
          </v:group>
        </w:pict>
      </w:r>
      <w:r>
        <w:rPr>
          <w:position w:val="4"/>
          <w:sz w:val="10"/>
        </w:rPr>
        <w:t>i </w:t>
      </w:r>
      <w:r>
        <w:rPr>
          <w:sz w:val="15"/>
        </w:rPr>
        <w:t>Includes applications carried over from 2015–16.</w:t>
      </w:r>
    </w:p>
    <w:p>
      <w:pPr>
        <w:spacing w:before="27"/>
        <w:ind w:left="424" w:right="0" w:firstLine="0"/>
        <w:jc w:val="left"/>
        <w:rPr>
          <w:sz w:val="15"/>
        </w:rPr>
      </w:pPr>
      <w:r>
        <w:rPr>
          <w:position w:val="4"/>
          <w:sz w:val="10"/>
        </w:rPr>
        <w:t>ii </w:t>
      </w:r>
      <w:r>
        <w:rPr>
          <w:sz w:val="15"/>
        </w:rPr>
        <w:t>Two external reviews were carried over from the 2014–15 financial year.</w:t>
      </w:r>
    </w:p>
    <w:p>
      <w:pPr>
        <w:spacing w:after="0"/>
        <w:jc w:val="left"/>
        <w:rPr>
          <w:sz w:val="15"/>
        </w:rPr>
        <w:sectPr>
          <w:type w:val="continuous"/>
          <w:pgSz w:w="16840" w:h="11910" w:orient="landscape"/>
          <w:pgMar w:top="0" w:bottom="0" w:left="0" w:right="0"/>
          <w:cols w:num="2" w:equalWidth="0">
            <w:col w:w="5546" w:space="40"/>
            <w:col w:w="11254"/>
          </w:cols>
        </w:sectPr>
      </w:pPr>
    </w:p>
    <w:p>
      <w:pPr>
        <w:pStyle w:val="BodyText"/>
        <w:rPr>
          <w:sz w:val="20"/>
        </w:rPr>
      </w:pPr>
      <w:r>
        <w:rPr/>
        <w:pict>
          <v:group style="position:absolute;margin-left:763.172119pt;margin-top:53.780003pt;width:61.1pt;height:45.2pt;mso-position-horizontal-relative:page;mso-position-vertical-relative:page;z-index:39136" coordorigin="15263,1076" coordsize="1222,904">
            <v:shape style="position:absolute;left:15424;top:1075;width:900;height:904" coordorigin="15424,1076" coordsize="900,904" path="m15874,1076l15424,1526,15424,1529,15874,1979,16324,1529,16324,1526,15874,1076xe" filled="true" fillcolor="#c4cd71" stroked="false">
              <v:path arrowok="t"/>
              <v:fill type="solid"/>
            </v:shape>
            <v:shape style="position:absolute;left:15422;top:1525;width:2;height:4" coordorigin="15423,1526" coordsize="2,4" path="m15424,1526l15423,1527,15424,1529,15424,1526xe" filled="true" fillcolor="#b9c369" stroked="false">
              <v:path arrowok="t"/>
              <v:fill type="solid"/>
            </v:shape>
            <v:shape style="position:absolute;left:16324;top:1525;width:2;height:4" coordorigin="16324,1526" coordsize="2,4" path="m16324,1526l16324,1529,16326,1527,16324,1526xe" filled="true" fillcolor="#bec29e" stroked="false">
              <v:path arrowok="t"/>
              <v:fill type="solid"/>
            </v:shape>
            <v:shape style="position:absolute;left:15263;top:1366;width:161;height:322" type="#_x0000_t75" stroked="false">
              <v:imagedata r:id="rId16" o:title=""/>
            </v:shape>
            <v:shape style="position:absolute;left:16324;top:1366;width:161;height:322" type="#_x0000_t75" stroked="false">
              <v:imagedata r:id="rId11" o:title=""/>
            </v:shape>
            <v:shape style="position:absolute;left:15263;top:1075;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p>
    <w:p>
      <w:pPr>
        <w:pStyle w:val="BodyText"/>
        <w:rPr>
          <w:sz w:val="20"/>
        </w:rPr>
      </w:pPr>
    </w:p>
    <w:p>
      <w:pPr>
        <w:pStyle w:val="BodyText"/>
        <w:spacing w:before="7" w:after="1"/>
        <w:rPr>
          <w:sz w:val="24"/>
        </w:rPr>
      </w:pPr>
    </w:p>
    <w:p>
      <w:pPr>
        <w:pStyle w:val="BodyText"/>
        <w:ind w:left="7290"/>
        <w:rPr>
          <w:sz w:val="20"/>
        </w:rPr>
      </w:pPr>
      <w:r>
        <w:rPr>
          <w:sz w:val="20"/>
        </w:rPr>
        <w:pict>
          <v:group style="width:90.25pt;height:45.2pt;mso-position-horizontal-relative:char;mso-position-vertical-relative:line" coordorigin="0,0" coordsize="1805,904">
            <v:shape style="position:absolute;left:0;top:0;width:904;height:904" coordorigin="0,0" coordsize="904,904" path="m452,0l0,452,452,903,903,452,452,0xe" filled="true" fillcolor="#c4cd71" stroked="false">
              <v:path arrowok="t"/>
              <v:fill opacity="16384f" type="solid"/>
            </v:shape>
            <v:shape style="position:absolute;left:901;top:0;width:904;height:904" coordorigin="902,0" coordsize="904,904" path="m1353,0l902,452,1353,903,1805,452,1353,0xe" filled="true" fillcolor="#d4d4d3" stroked="false">
              <v:path arrowok="t"/>
              <v:fill opacity="16384f" type="solid"/>
            </v:shape>
          </v:group>
        </w:pict>
      </w:r>
      <w:r>
        <w:rPr>
          <w:sz w:val="20"/>
        </w:rPr>
      </w:r>
    </w:p>
    <w:p>
      <w:pPr>
        <w:pStyle w:val="BodyText"/>
        <w:rPr>
          <w:sz w:val="11"/>
        </w:rPr>
      </w:pPr>
    </w:p>
    <w:p>
      <w:pPr>
        <w:tabs>
          <w:tab w:pos="4671" w:val="left" w:leader="none"/>
          <w:tab w:pos="16072" w:val="left" w:leader="none"/>
        </w:tabs>
        <w:spacing w:before="107"/>
        <w:ind w:left="765" w:right="0" w:firstLine="0"/>
        <w:jc w:val="left"/>
        <w:rPr>
          <w:sz w:val="16"/>
        </w:rPr>
      </w:pPr>
      <w:r>
        <w:rPr>
          <w:b/>
          <w:color w:val="6F2770"/>
          <w:sz w:val="16"/>
        </w:rPr>
        <w:t>112   </w:t>
      </w:r>
      <w:r>
        <w:rPr>
          <w:color w:val="939598"/>
          <w:sz w:val="16"/>
        </w:rPr>
        <w:t>Department of Finance Annual Report</w:t>
      </w:r>
      <w:r>
        <w:rPr>
          <w:color w:val="939598"/>
          <w:spacing w:val="-29"/>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1"/>
        <w:spacing w:before="93"/>
      </w:pPr>
      <w:r>
        <w:rPr/>
        <w:pict>
          <v:group style="position:absolute;margin-left:763.172119pt;margin-top:-13.544211pt;width:61.1pt;height:45.2pt;mso-position-horizontal-relative:page;mso-position-vertical-relative:paragraph;z-index:39376" coordorigin="15263,-271" coordsize="1222,904">
            <v:shape style="position:absolute;left:15424;top:-271;width:900;height:904" coordorigin="15424,-271" coordsize="900,904" path="m15874,-271l15424,179,15424,182,15874,632,16324,182,16324,179,15874,-271xe" filled="true" fillcolor="#c4cd71" stroked="false">
              <v:path arrowok="t"/>
              <v:fill type="solid"/>
            </v:shape>
            <v:shape style="position:absolute;left:15263;top:19;width:161;height:322" type="#_x0000_t75" stroked="false">
              <v:imagedata r:id="rId16" o:title=""/>
            </v:shape>
            <v:shape style="position:absolute;left:16324;top:19;width:161;height:322" type="#_x0000_t75" stroked="false">
              <v:imagedata r:id="rId11" o:title=""/>
            </v:shape>
            <v:shape style="position:absolute;left:15263;top:-271;width:1222;height:904" type="#_x0000_t202" filled="false" stroked="false">
              <v:textbox inset="0,0,0,0">
                <w:txbxContent>
                  <w:p>
                    <w:pPr>
                      <w:spacing w:line="240" w:lineRule="auto" w:before="8"/>
                      <w:rPr>
                        <w:b/>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pict>
          <v:group style="position:absolute;margin-left:0pt;margin-top:-67.324211pt;width:841.9pt;height:42.55pt;mso-position-horizontal-relative:page;mso-position-vertical-relative:paragraph;z-index:39616" coordorigin="0,-1346" coordsize="16838,851">
            <v:rect style="position:absolute;left:12026;top:-1347;width:2406;height:851" filled="true" fillcolor="#e6e7e8" stroked="false">
              <v:fill type="solid"/>
            </v:rect>
            <v:shape style="position:absolute;left:12026;top:-1347;width:583;height:583" type="#_x0000_t75" stroked="false">
              <v:imagedata r:id="rId272" o:title=""/>
            </v:shape>
            <v:shape style="position:absolute;left:14432;top:-1347;width:2406;height:851" type="#_x0000_t202" filled="true" fillcolor="#aebd37" stroked="false">
              <v:textbox inset="0,0,0,0">
                <w:txbxContent>
                  <w:p>
                    <w:pPr>
                      <w:spacing w:line="240" w:lineRule="auto" w:before="9"/>
                      <w:rPr>
                        <w:b/>
                        <w:sz w:val="26"/>
                      </w:rPr>
                    </w:pPr>
                  </w:p>
                  <w:p>
                    <w:pPr>
                      <w:spacing w:before="0"/>
                      <w:ind w:left="735" w:right="0" w:firstLine="0"/>
                      <w:jc w:val="left"/>
                      <w:rPr>
                        <w:sz w:val="20"/>
                      </w:rPr>
                    </w:pPr>
                    <w:hyperlink w:history="true" w:anchor="_bookmark73">
                      <w:r>
                        <w:rPr>
                          <w:color w:val="FFFFFF"/>
                          <w:sz w:val="20"/>
                        </w:rPr>
                        <w:t>APPENDIX</w:t>
                      </w:r>
                    </w:hyperlink>
                  </w:p>
                </w:txbxContent>
              </v:textbox>
              <v:fill type="solid"/>
              <w10:wrap type="none"/>
            </v:shape>
            <v:shape style="position:absolute;left:12026;top:-1347;width:2406;height:851" type="#_x0000_t202" filled="false" stroked="false">
              <v:textbox inset="0,0,0,0">
                <w:txbxContent>
                  <w:p>
                    <w:pPr>
                      <w:spacing w:line="240" w:lineRule="auto" w:before="9"/>
                      <w:rPr>
                        <w:b/>
                        <w:sz w:val="26"/>
                      </w:rPr>
                    </w:pPr>
                  </w:p>
                  <w:p>
                    <w:pPr>
                      <w:spacing w:before="0"/>
                      <w:ind w:left="530" w:right="0" w:firstLine="0"/>
                      <w:jc w:val="left"/>
                      <w:rPr>
                        <w:sz w:val="20"/>
                      </w:rPr>
                    </w:pPr>
                    <w:hyperlink w:history="true" w:anchor="_bookmark68">
                      <w:r>
                        <w:rPr>
                          <w:color w:val="6F2770"/>
                          <w:sz w:val="20"/>
                        </w:rPr>
                        <w:t>DISCLOSURES</w:t>
                      </w:r>
                    </w:hyperlink>
                  </w:p>
                </w:txbxContent>
              </v:textbox>
              <w10:wrap type="none"/>
            </v:shape>
            <v:shape style="position:absolute;left:9621;top:-1347;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v:shape style="position:absolute;left:7215;top:-1347;width:2406;height:851"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347;width:2414;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347;width:2398;height:851" type="#_x0000_t202" filled="true" fillcolor="#b6c247" stroked="false">
              <v:textbox inset="0,0,0,0">
                <w:txbxContent>
                  <w:p>
                    <w:pPr>
                      <w:spacing w:line="240" w:lineRule="auto" w:before="9"/>
                      <w:rPr>
                        <w:b/>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347;width:2406;height:851" type="#_x0000_t202" filled="true" fillcolor="#aebd37" stroked="false">
              <v:textbox inset="0,0,0,0">
                <w:txbxContent>
                  <w:p>
                    <w:pPr>
                      <w:spacing w:line="240" w:lineRule="auto" w:before="9"/>
                      <w:rPr>
                        <w:b/>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bookmarkStart w:name="_bookmark72" w:id="74"/>
      <w:bookmarkEnd w:id="74"/>
      <w:r>
        <w:rPr/>
      </w:r>
      <w:r>
        <w:rPr>
          <w:color w:val="6F2770"/>
        </w:rPr>
        <w:t>Government Policy Requirements</w:t>
      </w:r>
    </w:p>
    <w:p>
      <w:pPr>
        <w:pStyle w:val="Heading4"/>
        <w:spacing w:before="113"/>
      </w:pPr>
      <w:r>
        <w:rPr>
          <w:color w:val="A7BE39"/>
        </w:rPr>
        <w:t>Government Building and Training Policy</w:t>
      </w:r>
    </w:p>
    <w:p>
      <w:pPr>
        <w:pStyle w:val="BodyText"/>
        <w:spacing w:before="1"/>
        <w:rPr>
          <w:sz w:val="12"/>
        </w:rPr>
      </w:pPr>
    </w:p>
    <w:p>
      <w:pPr>
        <w:spacing w:after="0"/>
        <w:rPr>
          <w:sz w:val="12"/>
        </w:rPr>
        <w:sectPr>
          <w:footerReference w:type="default" r:id="rId366"/>
          <w:pgSz w:w="16840" w:h="11910" w:orient="landscape"/>
          <w:pgMar w:footer="0" w:header="0" w:top="0" w:bottom="0" w:left="0" w:right="0"/>
        </w:sectPr>
      </w:pPr>
    </w:p>
    <w:p>
      <w:pPr>
        <w:pStyle w:val="BodyText"/>
        <w:spacing w:line="249" w:lineRule="auto" w:before="106"/>
        <w:ind w:left="765" w:right="9"/>
      </w:pPr>
      <w:r>
        <w:rPr/>
        <w:t>The Government Building and </w:t>
      </w:r>
      <w:r>
        <w:rPr>
          <w:spacing w:val="-3"/>
        </w:rPr>
        <w:t>Training </w:t>
      </w:r>
      <w:r>
        <w:rPr/>
        <w:t>Policy aims</w:t>
      </w:r>
      <w:r>
        <w:rPr>
          <w:spacing w:val="-16"/>
        </w:rPr>
        <w:t> </w:t>
      </w:r>
      <w:r>
        <w:rPr/>
        <w:t>to</w:t>
      </w:r>
      <w:r>
        <w:rPr>
          <w:spacing w:val="-15"/>
        </w:rPr>
        <w:t> </w:t>
      </w:r>
      <w:r>
        <w:rPr/>
        <w:t>increase</w:t>
      </w:r>
      <w:r>
        <w:rPr>
          <w:spacing w:val="-15"/>
        </w:rPr>
        <w:t> </w:t>
      </w:r>
      <w:r>
        <w:rPr/>
        <w:t>the</w:t>
      </w:r>
      <w:r>
        <w:rPr>
          <w:spacing w:val="-15"/>
        </w:rPr>
        <w:t> </w:t>
      </w:r>
      <w:r>
        <w:rPr/>
        <w:t>number</w:t>
      </w:r>
      <w:r>
        <w:rPr>
          <w:spacing w:val="-15"/>
        </w:rPr>
        <w:t> </w:t>
      </w:r>
      <w:r>
        <w:rPr/>
        <w:t>of</w:t>
      </w:r>
      <w:r>
        <w:rPr>
          <w:spacing w:val="-15"/>
        </w:rPr>
        <w:t> </w:t>
      </w:r>
      <w:r>
        <w:rPr/>
        <w:t>apprentices</w:t>
      </w:r>
      <w:r>
        <w:rPr>
          <w:spacing w:val="-16"/>
        </w:rPr>
        <w:t> </w:t>
      </w:r>
      <w:r>
        <w:rPr/>
        <w:t>and trainees</w:t>
      </w:r>
      <w:r>
        <w:rPr>
          <w:spacing w:val="-20"/>
        </w:rPr>
        <w:t> </w:t>
      </w:r>
      <w:r>
        <w:rPr/>
        <w:t>in</w:t>
      </w:r>
      <w:r>
        <w:rPr>
          <w:spacing w:val="-20"/>
        </w:rPr>
        <w:t> </w:t>
      </w:r>
      <w:r>
        <w:rPr/>
        <w:t>the</w:t>
      </w:r>
      <w:r>
        <w:rPr>
          <w:spacing w:val="-20"/>
        </w:rPr>
        <w:t> </w:t>
      </w:r>
      <w:r>
        <w:rPr/>
        <w:t>building</w:t>
      </w:r>
      <w:r>
        <w:rPr>
          <w:spacing w:val="-20"/>
        </w:rPr>
        <w:t> </w:t>
      </w:r>
      <w:r>
        <w:rPr/>
        <w:t>and</w:t>
      </w:r>
      <w:r>
        <w:rPr>
          <w:spacing w:val="-20"/>
        </w:rPr>
        <w:t> </w:t>
      </w:r>
      <w:r>
        <w:rPr/>
        <w:t>construction</w:t>
      </w:r>
      <w:r>
        <w:rPr>
          <w:spacing w:val="-20"/>
        </w:rPr>
        <w:t> </w:t>
      </w:r>
      <w:r>
        <w:rPr>
          <w:spacing w:val="-5"/>
        </w:rPr>
        <w:t>industry. </w:t>
      </w:r>
      <w:r>
        <w:rPr/>
        <w:t>It is applied by requiring contractors awarded State Government building, construction and maintenance contracts to commit to</w:t>
      </w:r>
      <w:r>
        <w:rPr>
          <w:spacing w:val="-31"/>
        </w:rPr>
        <w:t> </w:t>
      </w:r>
      <w:r>
        <w:rPr/>
        <w:t>meeting</w:t>
      </w:r>
    </w:p>
    <w:p>
      <w:pPr>
        <w:pStyle w:val="BodyText"/>
        <w:spacing w:line="249" w:lineRule="auto" w:before="6"/>
        <w:ind w:left="765" w:right="840"/>
      </w:pPr>
      <w:r>
        <w:rPr/>
        <w:t>a</w:t>
      </w:r>
      <w:r>
        <w:rPr>
          <w:spacing w:val="-26"/>
        </w:rPr>
        <w:t> </w:t>
      </w:r>
      <w:r>
        <w:rPr/>
        <w:t>target</w:t>
      </w:r>
      <w:r>
        <w:rPr>
          <w:spacing w:val="-25"/>
        </w:rPr>
        <w:t> </w:t>
      </w:r>
      <w:r>
        <w:rPr/>
        <w:t>training</w:t>
      </w:r>
      <w:r>
        <w:rPr>
          <w:spacing w:val="-26"/>
        </w:rPr>
        <w:t> </w:t>
      </w:r>
      <w:r>
        <w:rPr/>
        <w:t>rate,</w:t>
      </w:r>
      <w:r>
        <w:rPr>
          <w:spacing w:val="-25"/>
        </w:rPr>
        <w:t> </w:t>
      </w:r>
      <w:r>
        <w:rPr/>
        <w:t>through</w:t>
      </w:r>
      <w:r>
        <w:rPr>
          <w:spacing w:val="-26"/>
        </w:rPr>
        <w:t> </w:t>
      </w:r>
      <w:r>
        <w:rPr/>
        <w:t>employing construction</w:t>
      </w:r>
      <w:r>
        <w:rPr>
          <w:spacing w:val="-17"/>
        </w:rPr>
        <w:t> </w:t>
      </w:r>
      <w:r>
        <w:rPr/>
        <w:t>apprentices</w:t>
      </w:r>
      <w:r>
        <w:rPr>
          <w:spacing w:val="-17"/>
        </w:rPr>
        <w:t> </w:t>
      </w:r>
      <w:r>
        <w:rPr/>
        <w:t>and</w:t>
      </w:r>
      <w:r>
        <w:rPr>
          <w:spacing w:val="-17"/>
        </w:rPr>
        <w:t> </w:t>
      </w:r>
      <w:r>
        <w:rPr/>
        <w:t>trainees.</w:t>
      </w:r>
    </w:p>
    <w:p>
      <w:pPr>
        <w:pStyle w:val="BodyText"/>
        <w:spacing w:before="1"/>
        <w:rPr>
          <w:sz w:val="23"/>
        </w:rPr>
      </w:pPr>
    </w:p>
    <w:p>
      <w:pPr>
        <w:pStyle w:val="BodyText"/>
        <w:spacing w:line="249" w:lineRule="auto"/>
        <w:ind w:left="765" w:right="390"/>
      </w:pPr>
      <w:r>
        <w:rPr/>
        <w:t>The</w:t>
      </w:r>
      <w:r>
        <w:rPr>
          <w:spacing w:val="-33"/>
        </w:rPr>
        <w:t> </w:t>
      </w:r>
      <w:r>
        <w:rPr/>
        <w:t>Government</w:t>
      </w:r>
      <w:r>
        <w:rPr>
          <w:spacing w:val="-32"/>
        </w:rPr>
        <w:t> </w:t>
      </w:r>
      <w:r>
        <w:rPr/>
        <w:t>Building</w:t>
      </w:r>
      <w:r>
        <w:rPr>
          <w:spacing w:val="-32"/>
        </w:rPr>
        <w:t> </w:t>
      </w:r>
      <w:r>
        <w:rPr/>
        <w:t>and</w:t>
      </w:r>
      <w:r>
        <w:rPr>
          <w:spacing w:val="-32"/>
        </w:rPr>
        <w:t> </w:t>
      </w:r>
      <w:r>
        <w:rPr>
          <w:spacing w:val="-3"/>
        </w:rPr>
        <w:t>Training</w:t>
      </w:r>
      <w:r>
        <w:rPr>
          <w:spacing w:val="-32"/>
        </w:rPr>
        <w:t> </w:t>
      </w:r>
      <w:r>
        <w:rPr>
          <w:spacing w:val="-3"/>
        </w:rPr>
        <w:t>Policy </w:t>
      </w:r>
      <w:r>
        <w:rPr/>
        <w:t>applies</w:t>
      </w:r>
      <w:r>
        <w:rPr>
          <w:spacing w:val="-1"/>
        </w:rPr>
        <w:t> </w:t>
      </w:r>
      <w:r>
        <w:rPr/>
        <w:t>to:</w:t>
      </w:r>
    </w:p>
    <w:p>
      <w:pPr>
        <w:pStyle w:val="BodyText"/>
        <w:spacing w:before="1"/>
        <w:rPr>
          <w:sz w:val="23"/>
        </w:rPr>
      </w:pPr>
    </w:p>
    <w:p>
      <w:pPr>
        <w:pStyle w:val="ListParagraph"/>
        <w:numPr>
          <w:ilvl w:val="1"/>
          <w:numId w:val="3"/>
        </w:numPr>
        <w:tabs>
          <w:tab w:pos="937" w:val="left" w:leader="none"/>
        </w:tabs>
        <w:spacing w:line="249" w:lineRule="auto" w:before="0" w:after="0"/>
        <w:ind w:left="948" w:right="0" w:hanging="183"/>
        <w:jc w:val="left"/>
        <w:rPr>
          <w:sz w:val="22"/>
        </w:rPr>
      </w:pPr>
      <w:r>
        <w:rPr>
          <w:sz w:val="22"/>
        </w:rPr>
        <w:t>All</w:t>
      </w:r>
      <w:r>
        <w:rPr>
          <w:spacing w:val="-23"/>
          <w:sz w:val="22"/>
        </w:rPr>
        <w:t> </w:t>
      </w:r>
      <w:r>
        <w:rPr>
          <w:sz w:val="22"/>
        </w:rPr>
        <w:t>State</w:t>
      </w:r>
      <w:r>
        <w:rPr>
          <w:spacing w:val="-22"/>
          <w:sz w:val="22"/>
        </w:rPr>
        <w:t> </w:t>
      </w:r>
      <w:r>
        <w:rPr>
          <w:sz w:val="22"/>
        </w:rPr>
        <w:t>Government</w:t>
      </w:r>
      <w:r>
        <w:rPr>
          <w:spacing w:val="-23"/>
          <w:sz w:val="22"/>
        </w:rPr>
        <w:t> </w:t>
      </w:r>
      <w:r>
        <w:rPr>
          <w:sz w:val="22"/>
        </w:rPr>
        <w:t>building</w:t>
      </w:r>
      <w:r>
        <w:rPr>
          <w:spacing w:val="-22"/>
          <w:sz w:val="22"/>
        </w:rPr>
        <w:t> </w:t>
      </w:r>
      <w:r>
        <w:rPr>
          <w:sz w:val="22"/>
        </w:rPr>
        <w:t>and</w:t>
      </w:r>
      <w:r>
        <w:rPr>
          <w:spacing w:val="-22"/>
          <w:sz w:val="22"/>
        </w:rPr>
        <w:t> </w:t>
      </w:r>
      <w:r>
        <w:rPr>
          <w:spacing w:val="-2"/>
          <w:sz w:val="22"/>
        </w:rPr>
        <w:t>construction </w:t>
      </w:r>
      <w:r>
        <w:rPr>
          <w:sz w:val="22"/>
        </w:rPr>
        <w:t>contracts, including civil and engineering contracts,</w:t>
      </w:r>
      <w:r>
        <w:rPr>
          <w:spacing w:val="-10"/>
          <w:sz w:val="22"/>
        </w:rPr>
        <w:t> </w:t>
      </w:r>
      <w:r>
        <w:rPr>
          <w:sz w:val="22"/>
        </w:rPr>
        <w:t>with</w:t>
      </w:r>
      <w:r>
        <w:rPr>
          <w:spacing w:val="-9"/>
          <w:sz w:val="22"/>
        </w:rPr>
        <w:t> </w:t>
      </w:r>
      <w:r>
        <w:rPr>
          <w:sz w:val="22"/>
        </w:rPr>
        <w:t>an</w:t>
      </w:r>
      <w:r>
        <w:rPr>
          <w:spacing w:val="-10"/>
          <w:sz w:val="22"/>
        </w:rPr>
        <w:t> </w:t>
      </w:r>
      <w:r>
        <w:rPr>
          <w:sz w:val="22"/>
        </w:rPr>
        <w:t>estimated</w:t>
      </w:r>
      <w:r>
        <w:rPr>
          <w:spacing w:val="-9"/>
          <w:sz w:val="22"/>
        </w:rPr>
        <w:t> </w:t>
      </w:r>
      <w:r>
        <w:rPr>
          <w:sz w:val="22"/>
        </w:rPr>
        <w:t>labour</w:t>
      </w:r>
      <w:r>
        <w:rPr>
          <w:spacing w:val="-10"/>
          <w:sz w:val="22"/>
        </w:rPr>
        <w:t> </w:t>
      </w:r>
      <w:r>
        <w:rPr>
          <w:sz w:val="22"/>
        </w:rPr>
        <w:t>value</w:t>
      </w:r>
      <w:r>
        <w:rPr>
          <w:spacing w:val="-9"/>
          <w:sz w:val="22"/>
        </w:rPr>
        <w:t> </w:t>
      </w:r>
      <w:r>
        <w:rPr>
          <w:sz w:val="22"/>
        </w:rPr>
        <w:t>of</w:t>
      </w:r>
    </w:p>
    <w:p>
      <w:pPr>
        <w:pStyle w:val="BodyText"/>
        <w:spacing w:line="249" w:lineRule="auto" w:before="3"/>
        <w:ind w:left="948" w:right="676"/>
      </w:pPr>
      <w:r>
        <w:rPr/>
        <w:t>$2 million and over for the </w:t>
      </w:r>
      <w:r>
        <w:rPr>
          <w:spacing w:val="-2"/>
        </w:rPr>
        <w:t>construction </w:t>
      </w:r>
      <w:r>
        <w:rPr/>
        <w:t>component of the contract.</w:t>
      </w:r>
    </w:p>
    <w:p>
      <w:pPr>
        <w:pStyle w:val="BodyText"/>
        <w:spacing w:before="1"/>
        <w:rPr>
          <w:sz w:val="23"/>
        </w:rPr>
      </w:pPr>
    </w:p>
    <w:p>
      <w:pPr>
        <w:pStyle w:val="ListParagraph"/>
        <w:numPr>
          <w:ilvl w:val="1"/>
          <w:numId w:val="3"/>
        </w:numPr>
        <w:tabs>
          <w:tab w:pos="937" w:val="left" w:leader="none"/>
        </w:tabs>
        <w:spacing w:line="249" w:lineRule="auto" w:before="0" w:after="0"/>
        <w:ind w:left="948" w:right="221" w:hanging="183"/>
        <w:jc w:val="left"/>
        <w:rPr>
          <w:sz w:val="22"/>
        </w:rPr>
      </w:pPr>
      <w:r>
        <w:rPr>
          <w:sz w:val="22"/>
        </w:rPr>
        <w:t>All</w:t>
      </w:r>
      <w:r>
        <w:rPr>
          <w:spacing w:val="-34"/>
          <w:sz w:val="22"/>
        </w:rPr>
        <w:t> </w:t>
      </w:r>
      <w:r>
        <w:rPr>
          <w:sz w:val="22"/>
        </w:rPr>
        <w:t>State</w:t>
      </w:r>
      <w:r>
        <w:rPr>
          <w:spacing w:val="-33"/>
          <w:sz w:val="22"/>
        </w:rPr>
        <w:t> </w:t>
      </w:r>
      <w:r>
        <w:rPr>
          <w:sz w:val="22"/>
        </w:rPr>
        <w:t>Government</w:t>
      </w:r>
      <w:r>
        <w:rPr>
          <w:spacing w:val="-33"/>
          <w:sz w:val="22"/>
        </w:rPr>
        <w:t> </w:t>
      </w:r>
      <w:r>
        <w:rPr>
          <w:sz w:val="22"/>
        </w:rPr>
        <w:t>maintenance</w:t>
      </w:r>
      <w:r>
        <w:rPr>
          <w:spacing w:val="-33"/>
          <w:sz w:val="22"/>
        </w:rPr>
        <w:t> </w:t>
      </w:r>
      <w:r>
        <w:rPr>
          <w:sz w:val="22"/>
        </w:rPr>
        <w:t>contracts with an estimated labour component</w:t>
      </w:r>
      <w:r>
        <w:rPr>
          <w:spacing w:val="-27"/>
          <w:sz w:val="22"/>
        </w:rPr>
        <w:t> </w:t>
      </w:r>
      <w:r>
        <w:rPr>
          <w:sz w:val="22"/>
        </w:rPr>
        <w:t>of</w:t>
      </w:r>
    </w:p>
    <w:p>
      <w:pPr>
        <w:pStyle w:val="BodyText"/>
        <w:spacing w:before="2"/>
        <w:ind w:left="948"/>
      </w:pPr>
      <w:r>
        <w:rPr/>
        <w:t>$2 million and over for the total contract.</w:t>
      </w:r>
    </w:p>
    <w:p>
      <w:pPr>
        <w:pStyle w:val="BodyText"/>
        <w:spacing w:before="10"/>
        <w:rPr>
          <w:sz w:val="23"/>
        </w:rPr>
      </w:pPr>
    </w:p>
    <w:p>
      <w:pPr>
        <w:pStyle w:val="ListParagraph"/>
        <w:numPr>
          <w:ilvl w:val="1"/>
          <w:numId w:val="3"/>
        </w:numPr>
        <w:tabs>
          <w:tab w:pos="937" w:val="left" w:leader="none"/>
        </w:tabs>
        <w:spacing w:line="240" w:lineRule="auto" w:before="1" w:after="0"/>
        <w:ind w:left="936" w:right="0" w:hanging="171"/>
        <w:jc w:val="left"/>
        <w:rPr>
          <w:sz w:val="22"/>
        </w:rPr>
      </w:pPr>
      <w:r>
        <w:rPr>
          <w:sz w:val="22"/>
        </w:rPr>
        <w:t>All</w:t>
      </w:r>
      <w:r>
        <w:rPr>
          <w:spacing w:val="-14"/>
          <w:sz w:val="22"/>
        </w:rPr>
        <w:t> </w:t>
      </w:r>
      <w:r>
        <w:rPr>
          <w:sz w:val="22"/>
        </w:rPr>
        <w:t>State</w:t>
      </w:r>
      <w:r>
        <w:rPr>
          <w:spacing w:val="-14"/>
          <w:sz w:val="22"/>
        </w:rPr>
        <w:t> </w:t>
      </w:r>
      <w:r>
        <w:rPr>
          <w:sz w:val="22"/>
        </w:rPr>
        <w:t>Government</w:t>
      </w:r>
      <w:r>
        <w:rPr>
          <w:spacing w:val="-14"/>
          <w:sz w:val="22"/>
        </w:rPr>
        <w:t> </w:t>
      </w:r>
      <w:r>
        <w:rPr>
          <w:sz w:val="22"/>
        </w:rPr>
        <w:t>agencies</w:t>
      </w:r>
      <w:r>
        <w:rPr>
          <w:spacing w:val="-14"/>
          <w:sz w:val="22"/>
        </w:rPr>
        <w:t> </w:t>
      </w:r>
      <w:r>
        <w:rPr>
          <w:sz w:val="22"/>
        </w:rPr>
        <w:t>(as</w:t>
      </w:r>
      <w:r>
        <w:rPr>
          <w:spacing w:val="-14"/>
          <w:sz w:val="22"/>
        </w:rPr>
        <w:t> </w:t>
      </w:r>
      <w:r>
        <w:rPr>
          <w:sz w:val="22"/>
        </w:rPr>
        <w:t>defined</w:t>
      </w:r>
    </w:p>
    <w:p>
      <w:pPr>
        <w:spacing w:line="249" w:lineRule="auto" w:before="11"/>
        <w:ind w:left="948" w:right="122" w:firstLine="0"/>
        <w:jc w:val="left"/>
        <w:rPr>
          <w:sz w:val="22"/>
        </w:rPr>
      </w:pPr>
      <w:r>
        <w:rPr>
          <w:sz w:val="22"/>
        </w:rPr>
        <w:t>in</w:t>
      </w:r>
      <w:r>
        <w:rPr>
          <w:spacing w:val="-17"/>
          <w:sz w:val="22"/>
        </w:rPr>
        <w:t> </w:t>
      </w:r>
      <w:r>
        <w:rPr>
          <w:sz w:val="22"/>
        </w:rPr>
        <w:t>section</w:t>
      </w:r>
      <w:r>
        <w:rPr>
          <w:spacing w:val="-17"/>
          <w:sz w:val="22"/>
        </w:rPr>
        <w:t> </w:t>
      </w:r>
      <w:r>
        <w:rPr>
          <w:sz w:val="22"/>
        </w:rPr>
        <w:t>3</w:t>
      </w:r>
      <w:r>
        <w:rPr>
          <w:spacing w:val="-17"/>
          <w:sz w:val="22"/>
        </w:rPr>
        <w:t> </w:t>
      </w:r>
      <w:r>
        <w:rPr>
          <w:sz w:val="22"/>
        </w:rPr>
        <w:t>of</w:t>
      </w:r>
      <w:r>
        <w:rPr>
          <w:spacing w:val="-17"/>
          <w:sz w:val="22"/>
        </w:rPr>
        <w:t> </w:t>
      </w:r>
      <w:r>
        <w:rPr>
          <w:sz w:val="22"/>
        </w:rPr>
        <w:t>the</w:t>
      </w:r>
      <w:r>
        <w:rPr>
          <w:spacing w:val="-17"/>
          <w:sz w:val="22"/>
        </w:rPr>
        <w:t> </w:t>
      </w:r>
      <w:r>
        <w:rPr>
          <w:i/>
          <w:sz w:val="22"/>
        </w:rPr>
        <w:t>Public</w:t>
      </w:r>
      <w:r>
        <w:rPr>
          <w:i/>
          <w:spacing w:val="-17"/>
          <w:sz w:val="22"/>
        </w:rPr>
        <w:t> </w:t>
      </w:r>
      <w:r>
        <w:rPr>
          <w:i/>
          <w:sz w:val="22"/>
        </w:rPr>
        <w:t>Sector</w:t>
      </w:r>
      <w:r>
        <w:rPr>
          <w:i/>
          <w:spacing w:val="-16"/>
          <w:sz w:val="22"/>
        </w:rPr>
        <w:t> </w:t>
      </w:r>
      <w:r>
        <w:rPr>
          <w:i/>
          <w:sz w:val="22"/>
        </w:rPr>
        <w:t>Management </w:t>
      </w:r>
      <w:r>
        <w:rPr>
          <w:i/>
          <w:sz w:val="22"/>
        </w:rPr>
        <w:t>Act 1994</w:t>
      </w:r>
      <w:r>
        <w:rPr>
          <w:sz w:val="22"/>
        </w:rPr>
        <w:t>) that enter into these</w:t>
      </w:r>
      <w:r>
        <w:rPr>
          <w:spacing w:val="-36"/>
          <w:sz w:val="22"/>
        </w:rPr>
        <w:t> </w:t>
      </w:r>
      <w:r>
        <w:rPr>
          <w:sz w:val="22"/>
        </w:rPr>
        <w:t>contracts.</w:t>
      </w:r>
    </w:p>
    <w:p>
      <w:pPr>
        <w:pStyle w:val="BodyText"/>
        <w:spacing w:line="249" w:lineRule="auto" w:before="106"/>
        <w:ind w:left="571" w:right="777"/>
      </w:pPr>
      <w:r>
        <w:rPr/>
        <w:br w:type="column"/>
      </w:r>
      <w:r>
        <w:rPr/>
        <w:t>In 2016-17, five contractors failed to meet the target training rate across six contracts. No contractors requested</w:t>
      </w:r>
      <w:r>
        <w:rPr>
          <w:spacing w:val="-24"/>
        </w:rPr>
        <w:t> </w:t>
      </w:r>
      <w:r>
        <w:rPr/>
        <w:t>a</w:t>
      </w:r>
      <w:r>
        <w:rPr>
          <w:spacing w:val="-24"/>
        </w:rPr>
        <w:t> </w:t>
      </w:r>
      <w:r>
        <w:rPr/>
        <w:t>variation</w:t>
      </w:r>
      <w:r>
        <w:rPr>
          <w:spacing w:val="-24"/>
        </w:rPr>
        <w:t> </w:t>
      </w:r>
      <w:r>
        <w:rPr/>
        <w:t>to</w:t>
      </w:r>
      <w:r>
        <w:rPr>
          <w:spacing w:val="-23"/>
        </w:rPr>
        <w:t> </w:t>
      </w:r>
      <w:r>
        <w:rPr/>
        <w:t>the</w:t>
      </w:r>
      <w:r>
        <w:rPr>
          <w:spacing w:val="-24"/>
        </w:rPr>
        <w:t> </w:t>
      </w:r>
      <w:r>
        <w:rPr/>
        <w:t>target</w:t>
      </w:r>
      <w:r>
        <w:rPr>
          <w:spacing w:val="-24"/>
        </w:rPr>
        <w:t> </w:t>
      </w:r>
      <w:r>
        <w:rPr/>
        <w:t>training</w:t>
      </w:r>
      <w:r>
        <w:rPr>
          <w:spacing w:val="-23"/>
        </w:rPr>
        <w:t> </w:t>
      </w:r>
      <w:r>
        <w:rPr/>
        <w:t>rate.</w:t>
      </w:r>
      <w:r>
        <w:rPr>
          <w:spacing w:val="-24"/>
        </w:rPr>
        <w:t> </w:t>
      </w:r>
      <w:r>
        <w:rPr/>
        <w:t>The</w:t>
      </w:r>
      <w:r>
        <w:rPr>
          <w:spacing w:val="-24"/>
        </w:rPr>
        <w:t> </w:t>
      </w:r>
      <w:r>
        <w:rPr/>
        <w:t>Department</w:t>
      </w:r>
      <w:r>
        <w:rPr>
          <w:spacing w:val="-24"/>
        </w:rPr>
        <w:t> </w:t>
      </w:r>
      <w:r>
        <w:rPr/>
        <w:t>is</w:t>
      </w:r>
      <w:r>
        <w:rPr>
          <w:spacing w:val="-23"/>
        </w:rPr>
        <w:t> </w:t>
      </w:r>
      <w:r>
        <w:rPr/>
        <w:t>currently</w:t>
      </w:r>
      <w:r>
        <w:rPr>
          <w:spacing w:val="-24"/>
        </w:rPr>
        <w:t> </w:t>
      </w:r>
      <w:r>
        <w:rPr/>
        <w:t>investigating</w:t>
      </w:r>
      <w:r>
        <w:rPr>
          <w:spacing w:val="-24"/>
        </w:rPr>
        <w:t> </w:t>
      </w:r>
      <w:r>
        <w:rPr/>
        <w:t>whether</w:t>
      </w:r>
      <w:r>
        <w:rPr>
          <w:spacing w:val="-23"/>
        </w:rPr>
        <w:t> </w:t>
      </w:r>
      <w:r>
        <w:rPr/>
        <w:t>there</w:t>
      </w:r>
      <w:r>
        <w:rPr>
          <w:spacing w:val="-24"/>
        </w:rPr>
        <w:t> </w:t>
      </w:r>
      <w:r>
        <w:rPr>
          <w:spacing w:val="-10"/>
        </w:rPr>
        <w:t>are </w:t>
      </w:r>
      <w:r>
        <w:rPr/>
        <w:t>any extenuating circumstances that would lead the Department to not apply demerits to the contractors that failed to meet the target training</w:t>
      </w:r>
      <w:r>
        <w:rPr>
          <w:spacing w:val="-8"/>
        </w:rPr>
        <w:t> </w:t>
      </w:r>
      <w:r>
        <w:rPr/>
        <w:t>rate.</w:t>
      </w:r>
    </w:p>
    <w:p>
      <w:pPr>
        <w:pStyle w:val="BodyText"/>
        <w:spacing w:before="3"/>
        <w:rPr>
          <w:sz w:val="23"/>
        </w:rPr>
      </w:pPr>
    </w:p>
    <w:p>
      <w:pPr>
        <w:pStyle w:val="BodyText"/>
        <w:ind w:left="571"/>
      </w:pPr>
      <w:r>
        <w:rPr/>
        <w:t>No maintenance contracts were awarded during the reporting period that fell within scope.</w:t>
      </w:r>
    </w:p>
    <w:p>
      <w:pPr>
        <w:pStyle w:val="BodyText"/>
        <w:spacing w:before="3"/>
        <w:rPr>
          <w:sz w:val="26"/>
        </w:rPr>
      </w:pPr>
    </w:p>
    <w:tbl>
      <w:tblPr>
        <w:tblW w:w="0" w:type="auto"/>
        <w:jc w:val="left"/>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17"/>
        <w:gridCol w:w="1417"/>
      </w:tblGrid>
      <w:tr>
        <w:trPr>
          <w:trHeight w:val="533" w:hRule="atLeast"/>
        </w:trPr>
        <w:tc>
          <w:tcPr>
            <w:tcW w:w="8617" w:type="dxa"/>
            <w:shd w:val="clear" w:color="auto" w:fill="783A79"/>
          </w:tcPr>
          <w:p>
            <w:pPr>
              <w:pStyle w:val="TableParagraph"/>
              <w:spacing w:before="42"/>
              <w:ind w:left="123"/>
              <w:rPr>
                <w:b/>
                <w:sz w:val="19"/>
              </w:rPr>
            </w:pPr>
            <w:r>
              <w:rPr>
                <w:b/>
                <w:color w:val="FFFFFF"/>
                <w:sz w:val="19"/>
              </w:rPr>
              <w:t>Measure – Building and construction projects</w:t>
            </w:r>
          </w:p>
        </w:tc>
        <w:tc>
          <w:tcPr>
            <w:tcW w:w="1417" w:type="dxa"/>
            <w:shd w:val="clear" w:color="auto" w:fill="783A79"/>
          </w:tcPr>
          <w:p>
            <w:pPr>
              <w:pStyle w:val="TableParagraph"/>
              <w:spacing w:line="249" w:lineRule="auto" w:before="42"/>
              <w:ind w:left="448" w:right="91" w:hanging="92"/>
              <w:rPr>
                <w:b/>
                <w:sz w:val="19"/>
              </w:rPr>
            </w:pPr>
            <w:r>
              <w:rPr>
                <w:b/>
                <w:color w:val="FFFFFF"/>
                <w:sz w:val="19"/>
              </w:rPr>
              <w:t>Number of contracts</w:t>
            </w:r>
          </w:p>
        </w:tc>
      </w:tr>
      <w:tr>
        <w:trPr>
          <w:trHeight w:val="317" w:hRule="atLeast"/>
        </w:trPr>
        <w:tc>
          <w:tcPr>
            <w:tcW w:w="8617" w:type="dxa"/>
            <w:tcBorders>
              <w:left w:val="single" w:sz="8" w:space="0" w:color="FFFFFF"/>
              <w:bottom w:val="single" w:sz="8" w:space="0" w:color="FFFFFF"/>
            </w:tcBorders>
            <w:shd w:val="clear" w:color="auto" w:fill="F4F4F4"/>
          </w:tcPr>
          <w:p>
            <w:pPr>
              <w:pStyle w:val="TableParagraph"/>
              <w:spacing w:before="42"/>
              <w:ind w:left="113"/>
              <w:rPr>
                <w:b/>
                <w:sz w:val="19"/>
              </w:rPr>
            </w:pPr>
            <w:r>
              <w:rPr>
                <w:b/>
                <w:sz w:val="19"/>
              </w:rPr>
              <w:t>Awarded</w:t>
            </w:r>
          </w:p>
        </w:tc>
        <w:tc>
          <w:tcPr>
            <w:tcW w:w="1417" w:type="dxa"/>
            <w:shd w:val="clear" w:color="auto" w:fill="E1E4BB"/>
          </w:tcPr>
          <w:p>
            <w:pPr>
              <w:pStyle w:val="TableParagraph"/>
              <w:spacing w:before="42"/>
              <w:ind w:right="100"/>
              <w:jc w:val="right"/>
              <w:rPr>
                <w:sz w:val="19"/>
              </w:rPr>
            </w:pPr>
            <w:r>
              <w:rPr>
                <w:w w:val="95"/>
                <w:sz w:val="19"/>
              </w:rPr>
              <w:t>26</w:t>
            </w:r>
          </w:p>
        </w:tc>
      </w:tr>
      <w:tr>
        <w:trPr>
          <w:trHeight w:val="253" w:hRule="atLeast"/>
        </w:trPr>
        <w:tc>
          <w:tcPr>
            <w:tcW w:w="8617" w:type="dxa"/>
            <w:tcBorders>
              <w:top w:val="single" w:sz="8" w:space="0" w:color="FFFFFF"/>
              <w:left w:val="single" w:sz="8" w:space="0" w:color="FFFFFF"/>
            </w:tcBorders>
            <w:shd w:val="clear" w:color="auto" w:fill="FAF9F9"/>
          </w:tcPr>
          <w:p>
            <w:pPr>
              <w:pStyle w:val="TableParagraph"/>
              <w:spacing w:line="201" w:lineRule="exact"/>
              <w:ind w:left="113"/>
              <w:rPr>
                <w:b/>
                <w:sz w:val="19"/>
              </w:rPr>
            </w:pPr>
            <w:r>
              <w:rPr>
                <w:b/>
                <w:sz w:val="19"/>
              </w:rPr>
              <w:t>Reported</w:t>
            </w:r>
          </w:p>
        </w:tc>
        <w:tc>
          <w:tcPr>
            <w:tcW w:w="1417" w:type="dxa"/>
            <w:shd w:val="clear" w:color="auto" w:fill="E1E4BB"/>
          </w:tcPr>
          <w:p>
            <w:pPr>
              <w:pStyle w:val="TableParagraph"/>
              <w:spacing w:before="0"/>
              <w:rPr>
                <w:rFonts w:ascii="Times New Roman"/>
                <w:sz w:val="18"/>
              </w:rPr>
            </w:pPr>
          </w:p>
        </w:tc>
      </w:tr>
      <w:tr>
        <w:trPr>
          <w:trHeight w:val="227" w:hRule="atLeast"/>
        </w:trPr>
        <w:tc>
          <w:tcPr>
            <w:tcW w:w="8617" w:type="dxa"/>
            <w:tcBorders>
              <w:left w:val="single" w:sz="8" w:space="0" w:color="FFFFFF"/>
            </w:tcBorders>
            <w:shd w:val="clear" w:color="auto" w:fill="FAF9F9"/>
          </w:tcPr>
          <w:p>
            <w:pPr>
              <w:pStyle w:val="TableParagraph"/>
              <w:spacing w:line="201" w:lineRule="exact" w:before="7"/>
              <w:ind w:left="113"/>
              <w:rPr>
                <w:sz w:val="19"/>
              </w:rPr>
            </w:pPr>
            <w:r>
              <w:rPr>
                <w:sz w:val="19"/>
              </w:rPr>
              <w:t>Commenced reporting</w:t>
            </w:r>
          </w:p>
        </w:tc>
        <w:tc>
          <w:tcPr>
            <w:tcW w:w="1417" w:type="dxa"/>
            <w:shd w:val="clear" w:color="auto" w:fill="E1E4BB"/>
          </w:tcPr>
          <w:p>
            <w:pPr>
              <w:pStyle w:val="TableParagraph"/>
              <w:spacing w:line="201" w:lineRule="exact" w:before="7"/>
              <w:ind w:right="100"/>
              <w:jc w:val="right"/>
              <w:rPr>
                <w:sz w:val="19"/>
              </w:rPr>
            </w:pPr>
            <w:r>
              <w:rPr>
                <w:w w:val="95"/>
                <w:sz w:val="19"/>
              </w:rPr>
              <w:t>18</w:t>
            </w:r>
          </w:p>
        </w:tc>
      </w:tr>
      <w:tr>
        <w:trPr>
          <w:trHeight w:val="260" w:hRule="atLeast"/>
        </w:trPr>
        <w:tc>
          <w:tcPr>
            <w:tcW w:w="8617" w:type="dxa"/>
            <w:tcBorders>
              <w:left w:val="single" w:sz="8" w:space="0" w:color="FFFFFF"/>
              <w:bottom w:val="single" w:sz="8" w:space="0" w:color="FFFFFF"/>
            </w:tcBorders>
            <w:shd w:val="clear" w:color="auto" w:fill="FAF9F9"/>
          </w:tcPr>
          <w:p>
            <w:pPr>
              <w:pStyle w:val="TableParagraph"/>
              <w:spacing w:before="7"/>
              <w:ind w:left="113"/>
              <w:rPr>
                <w:sz w:val="19"/>
              </w:rPr>
            </w:pPr>
            <w:r>
              <w:rPr>
                <w:sz w:val="19"/>
              </w:rPr>
              <w:t>Continued reporting from previous financial year</w:t>
            </w:r>
          </w:p>
        </w:tc>
        <w:tc>
          <w:tcPr>
            <w:tcW w:w="1417" w:type="dxa"/>
            <w:shd w:val="clear" w:color="auto" w:fill="E1E4BB"/>
          </w:tcPr>
          <w:p>
            <w:pPr>
              <w:pStyle w:val="TableParagraph"/>
              <w:spacing w:before="7"/>
              <w:ind w:right="100"/>
              <w:jc w:val="right"/>
              <w:rPr>
                <w:sz w:val="19"/>
              </w:rPr>
            </w:pPr>
            <w:r>
              <w:rPr>
                <w:w w:val="99"/>
                <w:sz w:val="19"/>
              </w:rPr>
              <w:t>8</w:t>
            </w:r>
          </w:p>
        </w:tc>
      </w:tr>
      <w:tr>
        <w:trPr>
          <w:trHeight w:val="253" w:hRule="atLeast"/>
        </w:trPr>
        <w:tc>
          <w:tcPr>
            <w:tcW w:w="8617" w:type="dxa"/>
            <w:tcBorders>
              <w:top w:val="single" w:sz="8" w:space="0" w:color="FFFFFF"/>
              <w:left w:val="single" w:sz="8" w:space="0" w:color="FFFFFF"/>
            </w:tcBorders>
            <w:shd w:val="clear" w:color="auto" w:fill="F4F4F4"/>
          </w:tcPr>
          <w:p>
            <w:pPr>
              <w:pStyle w:val="TableParagraph"/>
              <w:spacing w:line="201" w:lineRule="exact"/>
              <w:ind w:left="113"/>
              <w:rPr>
                <w:b/>
                <w:sz w:val="19"/>
              </w:rPr>
            </w:pPr>
            <w:r>
              <w:rPr>
                <w:b/>
                <w:sz w:val="19"/>
              </w:rPr>
              <w:t>Target training rate</w:t>
            </w:r>
          </w:p>
        </w:tc>
        <w:tc>
          <w:tcPr>
            <w:tcW w:w="1417" w:type="dxa"/>
            <w:shd w:val="clear" w:color="auto" w:fill="E1E4BB"/>
          </w:tcPr>
          <w:p>
            <w:pPr>
              <w:pStyle w:val="TableParagraph"/>
              <w:spacing w:before="0"/>
              <w:rPr>
                <w:rFonts w:ascii="Times New Roman"/>
                <w:sz w:val="18"/>
              </w:rPr>
            </w:pPr>
          </w:p>
        </w:tc>
      </w:tr>
      <w:tr>
        <w:trPr>
          <w:trHeight w:val="227" w:hRule="atLeast"/>
        </w:trPr>
        <w:tc>
          <w:tcPr>
            <w:tcW w:w="8617" w:type="dxa"/>
            <w:tcBorders>
              <w:left w:val="single" w:sz="8" w:space="0" w:color="FFFFFF"/>
            </w:tcBorders>
            <w:shd w:val="clear" w:color="auto" w:fill="F4F4F4"/>
          </w:tcPr>
          <w:p>
            <w:pPr>
              <w:pStyle w:val="TableParagraph"/>
              <w:spacing w:line="201" w:lineRule="exact" w:before="7"/>
              <w:ind w:left="113"/>
              <w:rPr>
                <w:sz w:val="19"/>
              </w:rPr>
            </w:pPr>
            <w:r>
              <w:rPr>
                <w:sz w:val="19"/>
              </w:rPr>
              <w:t>Met or exceeded</w:t>
            </w:r>
          </w:p>
        </w:tc>
        <w:tc>
          <w:tcPr>
            <w:tcW w:w="1417" w:type="dxa"/>
            <w:shd w:val="clear" w:color="auto" w:fill="E1E4BB"/>
          </w:tcPr>
          <w:p>
            <w:pPr>
              <w:pStyle w:val="TableParagraph"/>
              <w:spacing w:line="201" w:lineRule="exact" w:before="7"/>
              <w:ind w:right="100"/>
              <w:jc w:val="right"/>
              <w:rPr>
                <w:sz w:val="19"/>
              </w:rPr>
            </w:pPr>
            <w:r>
              <w:rPr>
                <w:w w:val="95"/>
                <w:sz w:val="19"/>
              </w:rPr>
              <w:t>20</w:t>
            </w:r>
          </w:p>
        </w:tc>
      </w:tr>
      <w:tr>
        <w:trPr>
          <w:trHeight w:val="227" w:hRule="atLeast"/>
        </w:trPr>
        <w:tc>
          <w:tcPr>
            <w:tcW w:w="8617" w:type="dxa"/>
            <w:tcBorders>
              <w:left w:val="single" w:sz="8" w:space="0" w:color="FFFFFF"/>
            </w:tcBorders>
            <w:shd w:val="clear" w:color="auto" w:fill="F4F4F4"/>
          </w:tcPr>
          <w:p>
            <w:pPr>
              <w:pStyle w:val="TableParagraph"/>
              <w:spacing w:line="201" w:lineRule="exact" w:before="7"/>
              <w:ind w:left="113"/>
              <w:rPr>
                <w:sz w:val="19"/>
              </w:rPr>
            </w:pPr>
            <w:r>
              <w:rPr>
                <w:sz w:val="19"/>
              </w:rPr>
              <w:t>Did not meet</w:t>
            </w:r>
          </w:p>
        </w:tc>
        <w:tc>
          <w:tcPr>
            <w:tcW w:w="1417" w:type="dxa"/>
            <w:shd w:val="clear" w:color="auto" w:fill="E1E4BB"/>
          </w:tcPr>
          <w:p>
            <w:pPr>
              <w:pStyle w:val="TableParagraph"/>
              <w:spacing w:line="201" w:lineRule="exact" w:before="7"/>
              <w:ind w:right="100"/>
              <w:jc w:val="right"/>
              <w:rPr>
                <w:sz w:val="19"/>
              </w:rPr>
            </w:pPr>
            <w:r>
              <w:rPr>
                <w:w w:val="99"/>
                <w:sz w:val="19"/>
              </w:rPr>
              <w:t>6</w:t>
            </w:r>
          </w:p>
        </w:tc>
      </w:tr>
      <w:tr>
        <w:trPr>
          <w:trHeight w:val="260" w:hRule="atLeast"/>
        </w:trPr>
        <w:tc>
          <w:tcPr>
            <w:tcW w:w="8617" w:type="dxa"/>
            <w:tcBorders>
              <w:left w:val="single" w:sz="8" w:space="0" w:color="FFFFFF"/>
              <w:bottom w:val="single" w:sz="8" w:space="0" w:color="FFFFFF"/>
            </w:tcBorders>
            <w:shd w:val="clear" w:color="auto" w:fill="F4F4F4"/>
          </w:tcPr>
          <w:p>
            <w:pPr>
              <w:pStyle w:val="TableParagraph"/>
              <w:spacing w:before="7"/>
              <w:ind w:left="113"/>
              <w:rPr>
                <w:sz w:val="19"/>
              </w:rPr>
            </w:pPr>
            <w:r>
              <w:rPr>
                <w:sz w:val="19"/>
              </w:rPr>
              <w:t>Granted a variation</w:t>
            </w:r>
          </w:p>
        </w:tc>
        <w:tc>
          <w:tcPr>
            <w:tcW w:w="1417" w:type="dxa"/>
            <w:shd w:val="clear" w:color="auto" w:fill="E1E4BB"/>
          </w:tcPr>
          <w:p>
            <w:pPr>
              <w:pStyle w:val="TableParagraph"/>
              <w:spacing w:before="7"/>
              <w:ind w:right="100"/>
              <w:jc w:val="right"/>
              <w:rPr>
                <w:sz w:val="19"/>
              </w:rPr>
            </w:pPr>
            <w:r>
              <w:rPr>
                <w:w w:val="99"/>
                <w:sz w:val="19"/>
              </w:rPr>
              <w:t>0</w:t>
            </w:r>
          </w:p>
        </w:tc>
      </w:tr>
    </w:tbl>
    <w:p>
      <w:pPr>
        <w:spacing w:after="0"/>
        <w:jc w:val="right"/>
        <w:rPr>
          <w:sz w:val="19"/>
        </w:rPr>
        <w:sectPr>
          <w:type w:val="continuous"/>
          <w:pgSz w:w="16840" w:h="11910" w:orient="landscape"/>
          <w:pgMar w:top="0" w:bottom="0" w:left="0" w:right="0"/>
          <w:cols w:num="2" w:equalWidth="0">
            <w:col w:w="5399" w:space="40"/>
            <w:col w:w="114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tabs>
          <w:tab w:pos="12166" w:val="left" w:leader="none"/>
          <w:tab w:pos="12373" w:val="left" w:leader="none"/>
        </w:tabs>
        <w:spacing w:before="0"/>
        <w:ind w:left="765" w:right="0" w:firstLine="0"/>
        <w:jc w:val="left"/>
        <w:rPr>
          <w:b/>
          <w:sz w:val="16"/>
        </w:rPr>
      </w:pPr>
      <w:r>
        <w:rPr/>
        <w:pict>
          <v:group style="position:absolute;margin-left:429.8013pt;margin-top:-158.806396pt;width:412.1pt;height:190.95pt;mso-position-horizontal-relative:page;mso-position-vertical-relative:paragraph;z-index:-774304" coordorigin="8596,-3176" coordsize="8242,3819">
            <v:shape style="position:absolute;left:11095;top:-1620;width:5743;height:2262" coordorigin="11096,-1619" coordsize="5743,2262" path="m14209,-62l14209,-62,14209,642,14209,642,14209,-62xm12652,-1619l11096,-63,11096,-62,16838,-62,16838,-63,14209,-63,12652,-1619xm15766,-1619l14209,-63,16838,-63,16838,-547,15766,-1619xe" filled="true" fillcolor="#aebd37" stroked="false">
              <v:path arrowok="t"/>
              <v:fill type="solid"/>
            </v:shape>
            <v:shape style="position:absolute;left:10390;top:-63;width:705;height:705" coordorigin="10391,-62" coordsize="705,705" path="m11096,-62l10391,642,11096,642,11096,-62xe" filled="true" fillcolor="#5d883c" stroked="false">
              <v:path arrowok="t"/>
              <v:fill type="solid"/>
            </v:shape>
            <v:shape style="position:absolute;left:11095;top:-63;width:705;height:705" coordorigin="11096,-62" coordsize="705,705" path="m11096,-62l11800,642,11096,-62xe" filled="true" fillcolor="#aebd37" stroked="false">
              <v:path arrowok="t"/>
              <v:fill type="solid"/>
            </v:shape>
            <v:shape style="position:absolute;left:11095;top:-63;width:3114;height:705" coordorigin="11096,-62" coordsize="3114,705" path="m14209,-62l11096,-62,11801,642,14209,642,14209,-62xe" filled="true" fillcolor="#7aa142" stroked="false">
              <v:path arrowok="t"/>
              <v:fill type="solid"/>
            </v:shape>
            <v:shape style="position:absolute;left:11095;top:-63;width:705;height:705" coordorigin="11096,-62" coordsize="705,705" path="m11096,-62l11096,642,11800,642,11096,-62xe" filled="true" fillcolor="#41793d" stroked="false">
              <v:path arrowok="t"/>
              <v:fill type="solid"/>
            </v:shape>
            <v:shape style="position:absolute;left:16617;top:422;width:221;height:221" coordorigin="16618,422" coordsize="221,221" path="m16838,422l16618,642,16838,422xe" filled="true" fillcolor="#6f2770" stroked="false">
              <v:path arrowok="t"/>
              <v:fill type="solid"/>
            </v:shape>
            <v:shape style="position:absolute;left:14209;top:-63;width:2629;height:705" coordorigin="14209,-62" coordsize="2629,705" path="m16838,-62l14209,-62,14209,642,16618,642,16838,422,16838,-62xe" filled="true" fillcolor="#5b2e31" stroked="false">
              <v:path arrowok="t"/>
              <v:fill type="solid"/>
            </v:shape>
            <v:shape style="position:absolute;left:16617;top:422;width:221;height:221" coordorigin="16618,422" coordsize="221,221" path="m16838,422l16618,642,16838,642,16838,422xe" filled="true" fillcolor="#42285e" stroked="false">
              <v:path arrowok="t"/>
              <v:fill type="solid"/>
            </v:shape>
            <v:shape style="position:absolute;left:12652;top:-3177;width:3114;height:3114" coordorigin="12652,-3176" coordsize="3114,3114" path="m14209,-3176l12652,-1619,14209,-63,15766,-1619,14209,-3176xe" filled="true" fillcolor="#89993e" stroked="false">
              <v:path arrowok="t"/>
              <v:fill type="solid"/>
            </v:shape>
            <v:shape style="position:absolute;left:10852;top:-2715;width:5986;height:3357" coordorigin="10853,-2714" coordsize="5986,3357" path="m14209,-2714l10853,642,16838,642,16838,-85,14209,-2714xe" filled="true" fillcolor="#ffffff" stroked="false">
              <v:path arrowok="t"/>
              <v:fill type="solid"/>
            </v:shape>
            <v:shape style="position:absolute;left:8596;top:-2822;width:1751;height:3107" coordorigin="8596,-2822" coordsize="1751,3107" path="m10347,28l9921,274,9932,285,10347,46,10347,28m10347,-67l9861,214,9872,225,10347,-49,10347,-67m10347,-257l9740,93,9751,104,10347,-239,10347,-257m10347,-447l9620,-27,9631,-16,10347,-429,10347,-447m10347,-637l9499,-147,9510,-136,10347,-619,10347,-637m10347,-827l9379,-268,9390,-257,10347,-809,10347,-827m10347,-922l9319,-328,9330,-317,10347,-904,10347,-922m10347,-1112l9198,-449,9209,-438,10347,-1094,10347,-1112m10347,-1302l9078,-569,9089,-558,10347,-1284,10347,-1302m10347,-1492l8957,-689,8968,-678,10347,-1474,10347,-1492m10347,-1587l8897,-750,8908,-739,10347,-1569,10347,-1587m10347,-2157l8767,-1245,8726,-1204,10347,-2139,10347,-2157m10347,-2442l9442,-1919,9400,-1878,10347,-2424,10347,-2442m10347,-2632l9891,-2368,9850,-2327,10347,-2614,10347,-2632m10347,-162l9800,154,9811,165,10347,-144,10347,-162m10347,-352l9680,33,9691,44,10347,-334,10347,-352m10347,-542l9560,-87,9571,-76,10347,-524,10347,-542m10347,-732l9439,-208,9450,-197,10347,-714,10347,-732m10347,-1017l9258,-388,9270,-377,10347,-999,10347,-1017m10347,-1207l9138,-509,9149,-498,10347,-1189,10347,-1207m10347,-1397l9018,-629,9029,-618,10347,-1379,10347,-1397m10347,-1682l8837,-810,8848,-799,10347,-1664,10347,-1682m10347,-1777l8777,-870,8788,-859,10347,-1759,10347,-1777m10347,-1872l8716,-930,8727,-919,10347,-1854,10347,-1872m10347,-1967l8656,-991,8667,-980,10347,-1949,10347,-1967m10347,-2062l8596,-1051,8607,-1040,10347,-2044,10347,-2062m10347,-2252l8992,-1469,8951,-1428,10347,-2234,10347,-2252m10347,-2347l9217,-1694,9176,-1653,10347,-2329,10347,-2347m10347,-2537l9666,-2144,9625,-2103,10347,-2519,10347,-2537m10347,-2727l10116,-2593,10075,-2552,10347,-2709,10347,-2727m10347,-2822l10341,-2818,10299,-2777,10347,-2804,10347,-2822e" filled="true" fillcolor="#cdcccd" stroked="false">
              <v:path arrowok="t"/>
              <v:fill opacity="32768f" type="solid"/>
            </v:shape>
            <v:shape style="position:absolute;left:9981;top:123;width:366;height:520" type="#_x0000_t75" stroked="false">
              <v:imagedata r:id="rId367" o:title=""/>
            </v:shape>
            <v:shape style="position:absolute;left:10347;top:-2801;width:29;height:21" coordorigin="10347,-2800" coordsize="29,21" path="m10371,-2800l10347,-2786,10347,-2779,10376,-2796,10371,-2800xe" filled="true" fillcolor="#cdcccd" stroked="false">
              <v:path arrowok="t"/>
              <v:fill opacity="32768f" type="solid"/>
            </v:shape>
            <v:shape style="position:absolute;left:10347;top:-2740;width:391;height:531" type="#_x0000_t75" stroked="false">
              <v:imagedata r:id="rId368" o:title=""/>
            </v:shape>
            <v:shape style="position:absolute;left:10346;top:-2379;width:1731;height:2830" coordorigin="10347,-2378" coordsize="1731,2830" path="m10797,-2374l10793,-2378,10347,-2121,10347,-2114,10797,-2374m10857,-2314l10853,-2318,10347,-2026,10347,-2019,10857,-2314m10918,-2254l10913,-2258,10347,-1931,10347,-1924,10918,-2254m10954,93l10347,444,10347,451,10937,110,10954,93m10978,-2193l10974,-2198,10347,-1836,10347,-1829,10978,-2193m11038,-2133l11034,-2138,10347,-1741,10347,-1734,11038,-2133m11098,-2073l11094,-2077,10347,-1646,10347,-1639,11098,-2073m11159,-2013l11154,-2017,10347,-1551,10347,-1544,11159,-2013m11179,-131l10347,349,10347,356,11162,-115,11179,-131m11219,-1953l11214,-1957,10347,-1456,10347,-1449,11219,-1953m11279,-1892l11275,-1897,10347,-1361,10347,-1354,11279,-1892m11339,-1832l11335,-1836,10347,-1266,10347,-1259,11339,-1832m11399,-1772l11395,-1776,10347,-1171,10347,-1164,11399,-1772m11403,-356l10347,254,10347,261,11387,-340,11403,-356m11460,-1712l11455,-1716,10347,-1076,10347,-1069,11460,-1712m11520,-1651l11516,-1656,10347,-981,10347,-974,11520,-1651m11580,-1591l11576,-1596,10347,-886,10347,-879,11580,-1591m11628,-581l10347,159,10347,166,11612,-564,11628,-581m11640,-1531l11636,-1535,10347,-791,10347,-784,11640,-1531m11701,-1471l11696,-1475,10347,-696,10347,-689,11701,-1471m11761,-1411l11756,-1415,10347,-601,10347,-594,11761,-1411m11821,-1350l11817,-1355,10347,-506,10347,-499,11821,-1350m11853,-806l10347,64,10347,71,11836,-789,11853,-806m11881,-1290l11877,-1294,10347,-411,10347,-404,11881,-1290m11942,-1230l11937,-1234,10347,-316,10347,-309,11942,-1230m12002,-1170l11997,-1174,10347,-221,10347,-214,12002,-1170m12062,-1109l12058,-1114,10347,-126,10347,-119,12062,-1109m12078,-1030l10347,-31,10347,-24,12061,-1014,12078,-1030e" filled="true" fillcolor="#cdcccd" stroked="false">
              <v:path arrowok="t"/>
              <v:fill opacity="32768f" type="solid"/>
            </v:shape>
            <v:shape style="position:absolute;left:10347;top:318;width:383;height:323" type="#_x0000_t75" stroked="false">
              <v:imagedata r:id="rId369" o:title=""/>
            </v:shape>
            <w10:wrap type="none"/>
          </v:group>
        </w:pict>
      </w:r>
      <w:r>
        <w:rPr/>
        <w:pict>
          <v:group style="position:absolute;margin-left:217.979095pt;margin-top:-35.311295pt;width:134.9pt;height:67.45pt;mso-position-horizontal-relative:page;mso-position-vertical-relative:paragraph;z-index:-774232" coordorigin="4360,-706" coordsize="2698,1349">
            <v:shape style="position:absolute;left:4359;top:-707;width:1801;height:1349" coordorigin="4360,-706" coordsize="1801,1349" path="m6160,-255l5708,-706,5257,-255,5708,197,5257,-255,4805,197,4360,642,5251,642,5263,642,6154,642,5708,197,6160,-255e" filled="true" fillcolor="#ffffff" stroked="false">
              <v:path arrowok="t"/>
              <v:fill type="solid"/>
            </v:shape>
            <v:shape style="position:absolute;left:5256;top:-707;width:904;height:904" coordorigin="5257,-706" coordsize="904,904" path="m5708,-706l5257,-255,5708,197,6160,-255,5708,-706xe" filled="true" fillcolor="#efeeed" stroked="false">
              <v:path arrowok="t"/>
              <v:fill type="solid"/>
            </v:shape>
            <v:shape style="position:absolute;left:6165;top:196;width:891;height:446" coordorigin="6166,197" coordsize="891,446" path="m6611,197l6166,642,7057,642,6611,197xe" filled="true" fillcolor="#efeeeb" stroked="false">
              <v:path arrowok="t"/>
              <v:fill type="solid"/>
            </v:shape>
            <v:shape style="position:absolute;left:4805;top:-255;width:904;height:898" coordorigin="4805,-255" coordsize="904,898" path="m5257,-255l4805,197,5251,642,5263,642,5708,197,5257,-255xe" filled="true" fillcolor="#cdbbcf" stroked="false">
              <v:path arrowok="t"/>
              <v:fill type="solid"/>
            </v:shape>
            <v:shape style="position:absolute;left:4359;top:196;width:891;height:446" coordorigin="4360,197" coordsize="891,446" path="m4805,197l4360,642,5251,642,4805,197xe" filled="true" fillcolor="#d5dcc7" stroked="false">
              <v:path arrowok="t"/>
              <v:fill type="solid"/>
            </v:shape>
            <v:shape style="position:absolute;left:5262;top:196;width:892;height:446" coordorigin="5263,197" coordsize="892,446" path="m5708,197l5263,642,6154,642,5708,197xe" filled="true" fillcolor="#e8e9c9" stroked="false">
              <v:path arrowok="t"/>
              <v:fill type="solid"/>
            </v:shape>
            <v:shape style="position:absolute;left:5407;top:196;width:302;height:302" coordorigin="5407,197" coordsize="302,302" path="m5708,197l5407,498,5708,197xe" filled="true" fillcolor="#dbd8bf" stroked="false">
              <v:path arrowok="t"/>
              <v:fill type="solid"/>
            </v:shape>
            <w10:wrap type="none"/>
          </v:group>
        </w:pict>
      </w:r>
      <w:r>
        <w:rPr/>
        <w:pict>
          <v:group style="position:absolute;margin-left:37.344601pt;margin-top:-12.731295pt;width:134.9pt;height:44.9pt;mso-position-horizontal-relative:page;mso-position-vertical-relative:paragraph;z-index:-774208" coordorigin="747,-255" coordsize="2698,898">
            <v:shape style="position:absolute;left:1650;top:-255;width:1795;height:898" coordorigin="1650,-255" coordsize="1795,898" path="m2999,197l2547,-255,2096,197,2096,197,1650,642,2541,642,2553,642,2999,197m3444,642l2999,197,2553,642,3444,642e" filled="true" fillcolor="#ffffff" stroked="false">
              <v:path arrowok="t"/>
              <v:fill type="solid"/>
            </v:shape>
            <v:shape style="position:absolute;left:2095;top:-255;width:904;height:898" coordorigin="2096,-255" coordsize="904,898" path="m2547,-255l2096,197,2541,642,2553,642,2999,197,2547,-255xe" filled="true" fillcolor="#e8e9c9" stroked="false">
              <v:path arrowok="t"/>
              <v:fill type="solid"/>
            </v:shape>
            <v:shape style="position:absolute;left:746;top:196;width:2698;height:446" coordorigin="747,197" coordsize="2698,446" path="m1638,642l1192,197,747,642,1638,642m3444,642l2999,197,2553,642,3444,642e" filled="true" fillcolor="#efeeeb" stroked="false">
              <v:path arrowok="t"/>
              <v:fill type="solid"/>
            </v:shape>
            <v:shape style="position:absolute;left:1650;top:196;width:891;height:446" coordorigin="1650,197" coordsize="891,446" path="m2096,197l1650,642,2541,642,2096,197xe" filled="true" fillcolor="#c0aac2" stroked="false">
              <v:path arrowok="t"/>
              <v:fill type="solid"/>
            </v:shape>
            <w10:wrap type="none"/>
          </v:group>
        </w:pict>
      </w:r>
      <w:r>
        <w:rPr>
          <w:color w:val="939598"/>
          <w:w w:val="100"/>
          <w:sz w:val="16"/>
          <w:u w:val="single" w:color="939598"/>
        </w:rPr>
        <w:t> </w:t>
      </w:r>
      <w:r>
        <w:rPr>
          <w:color w:val="939598"/>
          <w:sz w:val="16"/>
          <w:u w:val="single" w:color="939598"/>
        </w:rPr>
        <w:tab/>
      </w:r>
      <w:r>
        <w:rPr>
          <w:color w:val="939598"/>
          <w:sz w:val="16"/>
        </w:rPr>
        <w:tab/>
        <w:t>Department of Finance Annual Report 2016-17</w:t>
      </w:r>
      <w:r>
        <w:rPr>
          <w:color w:val="939598"/>
          <w:spacing w:val="29"/>
          <w:sz w:val="16"/>
        </w:rPr>
        <w:t> </w:t>
      </w:r>
      <w:r>
        <w:rPr>
          <w:b/>
          <w:color w:val="6F2770"/>
          <w:sz w:val="16"/>
        </w:rPr>
        <w:t>113</w:t>
      </w:r>
    </w:p>
    <w:p>
      <w:pPr>
        <w:spacing w:after="0"/>
        <w:jc w:val="left"/>
        <w:rPr>
          <w:sz w:val="16"/>
        </w:rPr>
        <w:sectPr>
          <w:type w:val="continuous"/>
          <w:pgSz w:w="16840" w:h="11910" w:orient="landscape"/>
          <w:pgMar w:top="0" w:bottom="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rPr>
      </w:pPr>
    </w:p>
    <w:p>
      <w:pPr>
        <w:spacing w:after="0"/>
        <w:sectPr>
          <w:footerReference w:type="default" r:id="rId370"/>
          <w:pgSz w:w="16840" w:h="11910" w:orient="landscape"/>
          <w:pgMar w:footer="0" w:header="0" w:top="0" w:bottom="280" w:left="0" w:right="0"/>
        </w:sectPr>
      </w:pPr>
    </w:p>
    <w:p>
      <w:pPr>
        <w:pStyle w:val="Heading4"/>
        <w:spacing w:before="110"/>
      </w:pPr>
      <w:r>
        <w:rPr/>
        <w:pict>
          <v:group style="position:absolute;margin-left:0pt;margin-top:-70.506226pt;width:841.9pt;height:42.55pt;mso-position-horizontal-relative:page;mso-position-vertical-relative:paragraph;z-index:39880" coordorigin="0,-1410" coordsize="16838,851">
            <v:rect style="position:absolute;left:12026;top:-1411;width:2406;height:851" filled="true" fillcolor="#e6e7e8" stroked="false">
              <v:fill type="solid"/>
            </v:rect>
            <v:shape style="position:absolute;left:12026;top:-1411;width:583;height:583" type="#_x0000_t75" stroked="false">
              <v:imagedata r:id="rId272" o:title=""/>
            </v:shape>
            <v:shape style="position:absolute;left:14432;top:-1411;width:2406;height:851" type="#_x0000_t202" filled="true" fillcolor="#aebd37"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FFFFFF"/>
                          <w:sz w:val="20"/>
                        </w:rPr>
                        <w:t>APPENDIX</w:t>
                      </w:r>
                    </w:hyperlink>
                  </w:p>
                </w:txbxContent>
              </v:textbox>
              <v:fill type="solid"/>
              <w10:wrap type="none"/>
            </v:shape>
            <v:shape style="position:absolute;left:12026;top:-1411;width:2406;height:851" type="#_x0000_t202" filled="false"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6F2770"/>
                          <w:sz w:val="20"/>
                        </w:rPr>
                        <w:t>DISCLOSURES</w:t>
                      </w:r>
                    </w:hyperlink>
                  </w:p>
                </w:txbxContent>
              </v:textbox>
              <w10:wrap type="none"/>
            </v:shape>
            <v:shape style="position:absolute;left:9621;top:-1411;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v:shape style="position:absolute;left:7215;top:-1411;width:2406;height:851"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411;width:2414;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411;width:2398;height:851" type="#_x0000_t202" filled="true" fillcolor="#b6c247" stroked="false">
              <v:textbox inset="0,0,0,0">
                <w:txbxContent>
                  <w:p>
                    <w:pPr>
                      <w:spacing w:line="240" w:lineRule="auto" w:before="9"/>
                      <w:rPr>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411;width:2406;height:851" type="#_x0000_t202" filled="true" fillcolor="#aebd37"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r>
        <w:rPr>
          <w:color w:val="A7BE39"/>
        </w:rPr>
        <w:t>Substantive equality</w:t>
      </w:r>
    </w:p>
    <w:p>
      <w:pPr>
        <w:pStyle w:val="BodyText"/>
        <w:spacing w:line="249" w:lineRule="auto" w:before="246"/>
        <w:ind w:left="765" w:right="371"/>
      </w:pPr>
      <w:r>
        <w:rPr/>
        <w:t>The </w:t>
      </w:r>
      <w:r>
        <w:rPr>
          <w:spacing w:val="-3"/>
        </w:rPr>
        <w:t>Department </w:t>
      </w:r>
      <w:r>
        <w:rPr/>
        <w:t>of </w:t>
      </w:r>
      <w:r>
        <w:rPr>
          <w:spacing w:val="-3"/>
        </w:rPr>
        <w:t>Finance supports the </w:t>
      </w:r>
      <w:r>
        <w:rPr>
          <w:spacing w:val="-4"/>
        </w:rPr>
        <w:t>provision </w:t>
      </w:r>
      <w:r>
        <w:rPr/>
        <w:t>of </w:t>
      </w:r>
      <w:r>
        <w:rPr>
          <w:spacing w:val="-3"/>
        </w:rPr>
        <w:t>services that </w:t>
      </w:r>
      <w:r>
        <w:rPr>
          <w:spacing w:val="-4"/>
        </w:rPr>
        <w:t>address </w:t>
      </w:r>
      <w:r>
        <w:rPr/>
        <w:t>the </w:t>
      </w:r>
      <w:r>
        <w:rPr>
          <w:spacing w:val="-4"/>
        </w:rPr>
        <w:t>different </w:t>
      </w:r>
      <w:r>
        <w:rPr>
          <w:spacing w:val="-3"/>
        </w:rPr>
        <w:t>needs</w:t>
      </w:r>
      <w:r>
        <w:rPr>
          <w:spacing w:val="-31"/>
        </w:rPr>
        <w:t> </w:t>
      </w:r>
      <w:r>
        <w:rPr/>
        <w:t>of</w:t>
      </w:r>
      <w:r>
        <w:rPr>
          <w:spacing w:val="-31"/>
        </w:rPr>
        <w:t> </w:t>
      </w:r>
      <w:r>
        <w:rPr>
          <w:spacing w:val="-3"/>
        </w:rPr>
        <w:t>Western</w:t>
      </w:r>
      <w:r>
        <w:rPr>
          <w:spacing w:val="-31"/>
        </w:rPr>
        <w:t> </w:t>
      </w:r>
      <w:r>
        <w:rPr>
          <w:spacing w:val="-5"/>
        </w:rPr>
        <w:t>Australia’s</w:t>
      </w:r>
      <w:r>
        <w:rPr>
          <w:spacing w:val="-31"/>
        </w:rPr>
        <w:t> </w:t>
      </w:r>
      <w:r>
        <w:rPr>
          <w:spacing w:val="-3"/>
        </w:rPr>
        <w:t>diverse</w:t>
      </w:r>
      <w:r>
        <w:rPr>
          <w:spacing w:val="-31"/>
        </w:rPr>
        <w:t> </w:t>
      </w:r>
      <w:r>
        <w:rPr>
          <w:spacing w:val="-3"/>
        </w:rPr>
        <w:t>community</w:t>
      </w:r>
    </w:p>
    <w:p>
      <w:pPr>
        <w:pStyle w:val="BodyText"/>
        <w:spacing w:line="249" w:lineRule="auto" w:before="2"/>
        <w:ind w:left="765" w:right="-9"/>
      </w:pPr>
      <w:r>
        <w:rPr/>
        <w:t>and</w:t>
      </w:r>
      <w:r>
        <w:rPr>
          <w:spacing w:val="-21"/>
        </w:rPr>
        <w:t> </w:t>
      </w:r>
      <w:r>
        <w:rPr>
          <w:spacing w:val="-3"/>
        </w:rPr>
        <w:t>supports</w:t>
      </w:r>
      <w:r>
        <w:rPr>
          <w:spacing w:val="-21"/>
        </w:rPr>
        <w:t> </w:t>
      </w:r>
      <w:r>
        <w:rPr/>
        <w:t>the</w:t>
      </w:r>
      <w:r>
        <w:rPr>
          <w:spacing w:val="-20"/>
        </w:rPr>
        <w:t> </w:t>
      </w:r>
      <w:r>
        <w:rPr>
          <w:spacing w:val="-3"/>
        </w:rPr>
        <w:t>Equal</w:t>
      </w:r>
      <w:r>
        <w:rPr>
          <w:spacing w:val="-21"/>
        </w:rPr>
        <w:t> </w:t>
      </w:r>
      <w:r>
        <w:rPr>
          <w:spacing w:val="-3"/>
        </w:rPr>
        <w:t>Opportunity</w:t>
      </w:r>
      <w:r>
        <w:rPr>
          <w:spacing w:val="-20"/>
        </w:rPr>
        <w:t> </w:t>
      </w:r>
      <w:r>
        <w:rPr>
          <w:spacing w:val="-3"/>
        </w:rPr>
        <w:t>Commission</w:t>
      </w:r>
      <w:r>
        <w:rPr>
          <w:spacing w:val="-21"/>
        </w:rPr>
        <w:t> </w:t>
      </w:r>
      <w:r>
        <w:rPr>
          <w:spacing w:val="-3"/>
        </w:rPr>
        <w:t>to eliminate</w:t>
      </w:r>
      <w:r>
        <w:rPr>
          <w:spacing w:val="-22"/>
        </w:rPr>
        <w:t> </w:t>
      </w:r>
      <w:r>
        <w:rPr>
          <w:spacing w:val="-3"/>
        </w:rPr>
        <w:t>systemic</w:t>
      </w:r>
      <w:r>
        <w:rPr>
          <w:spacing w:val="-22"/>
        </w:rPr>
        <w:t> </w:t>
      </w:r>
      <w:r>
        <w:rPr>
          <w:spacing w:val="-3"/>
        </w:rPr>
        <w:t>racism</w:t>
      </w:r>
      <w:r>
        <w:rPr>
          <w:spacing w:val="-22"/>
        </w:rPr>
        <w:t> </w:t>
      </w:r>
      <w:r>
        <w:rPr/>
        <w:t>by</w:t>
      </w:r>
      <w:r>
        <w:rPr>
          <w:spacing w:val="-21"/>
        </w:rPr>
        <w:t> </w:t>
      </w:r>
      <w:r>
        <w:rPr>
          <w:spacing w:val="-4"/>
        </w:rPr>
        <w:t>creating</w:t>
      </w:r>
      <w:r>
        <w:rPr>
          <w:spacing w:val="-22"/>
        </w:rPr>
        <w:t> </w:t>
      </w:r>
      <w:r>
        <w:rPr/>
        <w:t>a</w:t>
      </w:r>
      <w:r>
        <w:rPr>
          <w:spacing w:val="-22"/>
        </w:rPr>
        <w:t> </w:t>
      </w:r>
      <w:r>
        <w:rPr>
          <w:spacing w:val="-3"/>
        </w:rPr>
        <w:t>community based </w:t>
      </w:r>
      <w:r>
        <w:rPr/>
        <w:t>on </w:t>
      </w:r>
      <w:r>
        <w:rPr>
          <w:spacing w:val="-3"/>
        </w:rPr>
        <w:t>equality </w:t>
      </w:r>
      <w:r>
        <w:rPr/>
        <w:t>for </w:t>
      </w:r>
      <w:r>
        <w:rPr>
          <w:spacing w:val="-3"/>
        </w:rPr>
        <w:t>everyone. </w:t>
      </w:r>
      <w:r>
        <w:rPr/>
        <w:t>In </w:t>
      </w:r>
      <w:r>
        <w:rPr>
          <w:spacing w:val="-3"/>
        </w:rPr>
        <w:t>achieving this objective</w:t>
      </w:r>
      <w:r>
        <w:rPr>
          <w:spacing w:val="-28"/>
        </w:rPr>
        <w:t> </w:t>
      </w:r>
      <w:r>
        <w:rPr/>
        <w:t>our</w:t>
      </w:r>
      <w:r>
        <w:rPr>
          <w:spacing w:val="-28"/>
        </w:rPr>
        <w:t> </w:t>
      </w:r>
      <w:r>
        <w:rPr>
          <w:spacing w:val="-3"/>
        </w:rPr>
        <w:t>policies</w:t>
      </w:r>
      <w:r>
        <w:rPr>
          <w:spacing w:val="-28"/>
        </w:rPr>
        <w:t> </w:t>
      </w:r>
      <w:r>
        <w:rPr/>
        <w:t>and</w:t>
      </w:r>
      <w:r>
        <w:rPr>
          <w:spacing w:val="-27"/>
        </w:rPr>
        <w:t> </w:t>
      </w:r>
      <w:r>
        <w:rPr>
          <w:spacing w:val="-3"/>
        </w:rPr>
        <w:t>services</w:t>
      </w:r>
      <w:r>
        <w:rPr>
          <w:spacing w:val="-28"/>
        </w:rPr>
        <w:t> </w:t>
      </w:r>
      <w:r>
        <w:rPr>
          <w:spacing w:val="-3"/>
        </w:rPr>
        <w:t>consider</w:t>
      </w:r>
      <w:r>
        <w:rPr>
          <w:spacing w:val="-28"/>
        </w:rPr>
        <w:t> </w:t>
      </w:r>
      <w:r>
        <w:rPr>
          <w:spacing w:val="-3"/>
        </w:rPr>
        <w:t>access, participation</w:t>
      </w:r>
      <w:r>
        <w:rPr>
          <w:spacing w:val="-12"/>
        </w:rPr>
        <w:t> </w:t>
      </w:r>
      <w:r>
        <w:rPr/>
        <w:t>and</w:t>
      </w:r>
      <w:r>
        <w:rPr>
          <w:spacing w:val="-11"/>
        </w:rPr>
        <w:t> </w:t>
      </w:r>
      <w:r>
        <w:rPr>
          <w:spacing w:val="-3"/>
        </w:rPr>
        <w:t>equity</w:t>
      </w:r>
      <w:r>
        <w:rPr>
          <w:spacing w:val="-12"/>
        </w:rPr>
        <w:t> </w:t>
      </w:r>
      <w:r>
        <w:rPr>
          <w:spacing w:val="-3"/>
        </w:rPr>
        <w:t>needs</w:t>
      </w:r>
      <w:r>
        <w:rPr>
          <w:spacing w:val="-11"/>
        </w:rPr>
        <w:t> </w:t>
      </w:r>
      <w:r>
        <w:rPr/>
        <w:t>of</w:t>
      </w:r>
      <w:r>
        <w:rPr>
          <w:spacing w:val="-12"/>
        </w:rPr>
        <w:t> </w:t>
      </w:r>
      <w:r>
        <w:rPr/>
        <w:t>all</w:t>
      </w:r>
      <w:r>
        <w:rPr>
          <w:spacing w:val="-11"/>
        </w:rPr>
        <w:t> </w:t>
      </w:r>
      <w:r>
        <w:rPr>
          <w:spacing w:val="-3"/>
        </w:rPr>
        <w:t>people.</w:t>
      </w:r>
    </w:p>
    <w:p>
      <w:pPr>
        <w:pStyle w:val="BodyText"/>
        <w:spacing w:before="4"/>
        <w:rPr>
          <w:sz w:val="23"/>
        </w:rPr>
      </w:pPr>
    </w:p>
    <w:p>
      <w:pPr>
        <w:pStyle w:val="BodyText"/>
        <w:spacing w:line="249" w:lineRule="auto" w:before="1"/>
        <w:ind w:left="765" w:right="399"/>
        <w:jc w:val="both"/>
      </w:pPr>
      <w:r>
        <w:rPr/>
        <w:t>For</w:t>
      </w:r>
      <w:r>
        <w:rPr>
          <w:spacing w:val="-29"/>
        </w:rPr>
        <w:t> </w:t>
      </w:r>
      <w:r>
        <w:rPr>
          <w:spacing w:val="-3"/>
        </w:rPr>
        <w:t>example,</w:t>
      </w:r>
      <w:r>
        <w:rPr>
          <w:spacing w:val="-29"/>
        </w:rPr>
        <w:t> </w:t>
      </w:r>
      <w:r>
        <w:rPr>
          <w:spacing w:val="-3"/>
        </w:rPr>
        <w:t>State</w:t>
      </w:r>
      <w:r>
        <w:rPr>
          <w:spacing w:val="-29"/>
        </w:rPr>
        <w:t> </w:t>
      </w:r>
      <w:r>
        <w:rPr>
          <w:spacing w:val="-3"/>
        </w:rPr>
        <w:t>Revenue</w:t>
      </w:r>
      <w:r>
        <w:rPr>
          <w:spacing w:val="-29"/>
        </w:rPr>
        <w:t> </w:t>
      </w:r>
      <w:r>
        <w:rPr>
          <w:spacing w:val="-3"/>
        </w:rPr>
        <w:t>continues</w:t>
      </w:r>
      <w:r>
        <w:rPr>
          <w:spacing w:val="-29"/>
        </w:rPr>
        <w:t> </w:t>
      </w:r>
      <w:r>
        <w:rPr/>
        <w:t>to</w:t>
      </w:r>
      <w:r>
        <w:rPr>
          <w:spacing w:val="-29"/>
        </w:rPr>
        <w:t> </w:t>
      </w:r>
      <w:r>
        <w:rPr>
          <w:spacing w:val="-3"/>
        </w:rPr>
        <w:t>make available</w:t>
      </w:r>
      <w:r>
        <w:rPr>
          <w:spacing w:val="-28"/>
        </w:rPr>
        <w:t> </w:t>
      </w:r>
      <w:r>
        <w:rPr/>
        <w:t>10</w:t>
      </w:r>
      <w:r>
        <w:rPr>
          <w:spacing w:val="-27"/>
        </w:rPr>
        <w:t> </w:t>
      </w:r>
      <w:r>
        <w:rPr>
          <w:spacing w:val="-3"/>
        </w:rPr>
        <w:t>publications</w:t>
      </w:r>
      <w:r>
        <w:rPr>
          <w:spacing w:val="-27"/>
        </w:rPr>
        <w:t> </w:t>
      </w:r>
      <w:r>
        <w:rPr>
          <w:spacing w:val="-4"/>
        </w:rPr>
        <w:t>regarding</w:t>
      </w:r>
      <w:r>
        <w:rPr>
          <w:spacing w:val="-27"/>
        </w:rPr>
        <w:t> </w:t>
      </w:r>
      <w:r>
        <w:rPr>
          <w:spacing w:val="-3"/>
        </w:rPr>
        <w:t>land</w:t>
      </w:r>
      <w:r>
        <w:rPr>
          <w:spacing w:val="-28"/>
        </w:rPr>
        <w:t> </w:t>
      </w:r>
      <w:r>
        <w:rPr/>
        <w:t>tax</w:t>
      </w:r>
      <w:r>
        <w:rPr>
          <w:spacing w:val="-27"/>
        </w:rPr>
        <w:t> </w:t>
      </w:r>
      <w:r>
        <w:rPr>
          <w:spacing w:val="-3"/>
        </w:rPr>
        <w:t>and duties</w:t>
      </w:r>
      <w:r>
        <w:rPr>
          <w:spacing w:val="-28"/>
        </w:rPr>
        <w:t> </w:t>
      </w:r>
      <w:r>
        <w:rPr/>
        <w:t>in</w:t>
      </w:r>
      <w:r>
        <w:rPr>
          <w:spacing w:val="-28"/>
        </w:rPr>
        <w:t> </w:t>
      </w:r>
      <w:r>
        <w:rPr>
          <w:spacing w:val="-3"/>
        </w:rPr>
        <w:t>Malay</w:t>
      </w:r>
      <w:r>
        <w:rPr>
          <w:spacing w:val="-28"/>
        </w:rPr>
        <w:t> </w:t>
      </w:r>
      <w:r>
        <w:rPr/>
        <w:t>and</w:t>
      </w:r>
      <w:r>
        <w:rPr>
          <w:spacing w:val="-28"/>
        </w:rPr>
        <w:t> </w:t>
      </w:r>
      <w:r>
        <w:rPr>
          <w:spacing w:val="-3"/>
        </w:rPr>
        <w:t>Chinese.</w:t>
      </w:r>
      <w:r>
        <w:rPr>
          <w:spacing w:val="-28"/>
        </w:rPr>
        <w:t> </w:t>
      </w:r>
      <w:r>
        <w:rPr>
          <w:spacing w:val="-3"/>
        </w:rPr>
        <w:t>These</w:t>
      </w:r>
      <w:r>
        <w:rPr>
          <w:spacing w:val="-27"/>
        </w:rPr>
        <w:t> </w:t>
      </w:r>
      <w:r>
        <w:rPr>
          <w:spacing w:val="-3"/>
        </w:rPr>
        <w:t>documents </w:t>
      </w:r>
      <w:r>
        <w:rPr>
          <w:spacing w:val="-4"/>
        </w:rPr>
        <w:t>are</w:t>
      </w:r>
      <w:r>
        <w:rPr>
          <w:spacing w:val="-14"/>
        </w:rPr>
        <w:t> </w:t>
      </w:r>
      <w:r>
        <w:rPr>
          <w:spacing w:val="-3"/>
        </w:rPr>
        <w:t>available</w:t>
      </w:r>
      <w:r>
        <w:rPr>
          <w:spacing w:val="-13"/>
        </w:rPr>
        <w:t> </w:t>
      </w:r>
      <w:r>
        <w:rPr/>
        <w:t>in</w:t>
      </w:r>
      <w:r>
        <w:rPr>
          <w:spacing w:val="-14"/>
        </w:rPr>
        <w:t> </w:t>
      </w:r>
      <w:r>
        <w:rPr>
          <w:spacing w:val="-3"/>
        </w:rPr>
        <w:t>both</w:t>
      </w:r>
      <w:r>
        <w:rPr>
          <w:spacing w:val="-13"/>
        </w:rPr>
        <w:t> </w:t>
      </w:r>
      <w:r>
        <w:rPr>
          <w:spacing w:val="-4"/>
        </w:rPr>
        <w:t>hard</w:t>
      </w:r>
      <w:r>
        <w:rPr>
          <w:spacing w:val="-14"/>
        </w:rPr>
        <w:t> </w:t>
      </w:r>
      <w:r>
        <w:rPr>
          <w:spacing w:val="-3"/>
        </w:rPr>
        <w:t>copy</w:t>
      </w:r>
      <w:r>
        <w:rPr>
          <w:spacing w:val="-13"/>
        </w:rPr>
        <w:t> </w:t>
      </w:r>
      <w:r>
        <w:rPr/>
        <w:t>and</w:t>
      </w:r>
      <w:r>
        <w:rPr>
          <w:spacing w:val="-14"/>
        </w:rPr>
        <w:t> </w:t>
      </w:r>
      <w:r>
        <w:rPr>
          <w:spacing w:val="-3"/>
        </w:rPr>
        <w:t>online.</w:t>
      </w:r>
    </w:p>
    <w:p>
      <w:pPr>
        <w:pStyle w:val="BodyText"/>
        <w:spacing w:before="5"/>
        <w:rPr>
          <w:sz w:val="26"/>
        </w:rPr>
      </w:pPr>
    </w:p>
    <w:p>
      <w:pPr>
        <w:pStyle w:val="Heading4"/>
        <w:spacing w:line="249" w:lineRule="auto" w:before="0"/>
        <w:ind w:right="1208"/>
      </w:pPr>
      <w:r>
        <w:rPr>
          <w:color w:val="A7BE39"/>
          <w:w w:val="95"/>
        </w:rPr>
        <w:t>Occupational safety </w:t>
      </w:r>
      <w:r>
        <w:rPr>
          <w:color w:val="A7BE39"/>
        </w:rPr>
        <w:t>and health</w:t>
      </w:r>
    </w:p>
    <w:p>
      <w:pPr>
        <w:pStyle w:val="BodyText"/>
        <w:spacing w:line="249" w:lineRule="auto" w:before="230"/>
        <w:ind w:left="765" w:right="371"/>
      </w:pPr>
      <w:r>
        <w:rPr>
          <w:spacing w:val="-3"/>
        </w:rPr>
        <w:t>Finance</w:t>
      </w:r>
      <w:r>
        <w:rPr>
          <w:spacing w:val="-24"/>
        </w:rPr>
        <w:t> </w:t>
      </w:r>
      <w:r>
        <w:rPr/>
        <w:t>is</w:t>
      </w:r>
      <w:r>
        <w:rPr>
          <w:spacing w:val="-23"/>
        </w:rPr>
        <w:t> </w:t>
      </w:r>
      <w:r>
        <w:rPr>
          <w:spacing w:val="-3"/>
        </w:rPr>
        <w:t>committed</w:t>
      </w:r>
      <w:r>
        <w:rPr>
          <w:spacing w:val="-24"/>
        </w:rPr>
        <w:t> </w:t>
      </w:r>
      <w:r>
        <w:rPr/>
        <w:t>to</w:t>
      </w:r>
      <w:r>
        <w:rPr>
          <w:spacing w:val="-23"/>
        </w:rPr>
        <w:t> </w:t>
      </w:r>
      <w:r>
        <w:rPr>
          <w:spacing w:val="-3"/>
        </w:rPr>
        <w:t>integrating</w:t>
      </w:r>
      <w:r>
        <w:rPr>
          <w:spacing w:val="-24"/>
        </w:rPr>
        <w:t> </w:t>
      </w:r>
      <w:r>
        <w:rPr>
          <w:spacing w:val="-3"/>
        </w:rPr>
        <w:t>safety</w:t>
      </w:r>
      <w:r>
        <w:rPr>
          <w:spacing w:val="-23"/>
        </w:rPr>
        <w:t> </w:t>
      </w:r>
      <w:r>
        <w:rPr>
          <w:spacing w:val="-3"/>
        </w:rPr>
        <w:t>into </w:t>
      </w:r>
      <w:r>
        <w:rPr/>
        <w:t>all</w:t>
      </w:r>
      <w:r>
        <w:rPr>
          <w:spacing w:val="-20"/>
        </w:rPr>
        <w:t> </w:t>
      </w:r>
      <w:r>
        <w:rPr>
          <w:spacing w:val="-3"/>
        </w:rPr>
        <w:t>facets</w:t>
      </w:r>
      <w:r>
        <w:rPr>
          <w:spacing w:val="-19"/>
        </w:rPr>
        <w:t> </w:t>
      </w:r>
      <w:r>
        <w:rPr/>
        <w:t>of</w:t>
      </w:r>
      <w:r>
        <w:rPr>
          <w:spacing w:val="-20"/>
        </w:rPr>
        <w:t> </w:t>
      </w:r>
      <w:r>
        <w:rPr/>
        <w:t>the</w:t>
      </w:r>
      <w:r>
        <w:rPr>
          <w:spacing w:val="-19"/>
        </w:rPr>
        <w:t> </w:t>
      </w:r>
      <w:r>
        <w:rPr>
          <w:spacing w:val="-3"/>
        </w:rPr>
        <w:t>Department,</w:t>
      </w:r>
      <w:r>
        <w:rPr>
          <w:spacing w:val="-20"/>
        </w:rPr>
        <w:t> </w:t>
      </w:r>
      <w:r>
        <w:rPr>
          <w:spacing w:val="-4"/>
        </w:rPr>
        <w:t>providing</w:t>
      </w:r>
      <w:r>
        <w:rPr>
          <w:spacing w:val="-19"/>
        </w:rPr>
        <w:t> </w:t>
      </w:r>
      <w:r>
        <w:rPr/>
        <w:t>a</w:t>
      </w:r>
      <w:r>
        <w:rPr>
          <w:spacing w:val="-19"/>
        </w:rPr>
        <w:t> </w:t>
      </w:r>
      <w:r>
        <w:rPr>
          <w:spacing w:val="-3"/>
        </w:rPr>
        <w:t>safe </w:t>
      </w:r>
      <w:r>
        <w:rPr/>
        <w:t>and</w:t>
      </w:r>
      <w:r>
        <w:rPr>
          <w:spacing w:val="-27"/>
        </w:rPr>
        <w:t> </w:t>
      </w:r>
      <w:r>
        <w:rPr>
          <w:spacing w:val="-3"/>
        </w:rPr>
        <w:t>healthy</w:t>
      </w:r>
      <w:r>
        <w:rPr>
          <w:spacing w:val="-26"/>
        </w:rPr>
        <w:t> </w:t>
      </w:r>
      <w:r>
        <w:rPr>
          <w:spacing w:val="-3"/>
        </w:rPr>
        <w:t>work</w:t>
      </w:r>
      <w:r>
        <w:rPr>
          <w:spacing w:val="-26"/>
        </w:rPr>
        <w:t> </w:t>
      </w:r>
      <w:r>
        <w:rPr>
          <w:spacing w:val="-4"/>
        </w:rPr>
        <w:t>environment</w:t>
      </w:r>
      <w:r>
        <w:rPr>
          <w:spacing w:val="-27"/>
        </w:rPr>
        <w:t> </w:t>
      </w:r>
      <w:r>
        <w:rPr/>
        <w:t>for</w:t>
      </w:r>
      <w:r>
        <w:rPr>
          <w:spacing w:val="-26"/>
        </w:rPr>
        <w:t> </w:t>
      </w:r>
      <w:r>
        <w:rPr>
          <w:spacing w:val="-3"/>
        </w:rPr>
        <w:t>employees,</w:t>
      </w:r>
    </w:p>
    <w:p>
      <w:pPr>
        <w:pStyle w:val="BodyText"/>
        <w:spacing w:before="3"/>
        <w:ind w:left="765"/>
      </w:pPr>
      <w:r>
        <w:rPr>
          <w:spacing w:val="-3"/>
        </w:rPr>
        <w:t>contractors</w:t>
      </w:r>
      <w:r>
        <w:rPr>
          <w:spacing w:val="-18"/>
        </w:rPr>
        <w:t> </w:t>
      </w:r>
      <w:r>
        <w:rPr/>
        <w:t>and</w:t>
      </w:r>
      <w:r>
        <w:rPr>
          <w:spacing w:val="-18"/>
        </w:rPr>
        <w:t> </w:t>
      </w:r>
      <w:r>
        <w:rPr>
          <w:spacing w:val="-3"/>
        </w:rPr>
        <w:t>visitors</w:t>
      </w:r>
      <w:r>
        <w:rPr>
          <w:spacing w:val="-17"/>
        </w:rPr>
        <w:t> </w:t>
      </w:r>
      <w:r>
        <w:rPr/>
        <w:t>to</w:t>
      </w:r>
      <w:r>
        <w:rPr>
          <w:spacing w:val="-18"/>
        </w:rPr>
        <w:t> </w:t>
      </w:r>
      <w:r>
        <w:rPr/>
        <w:t>our</w:t>
      </w:r>
      <w:r>
        <w:rPr>
          <w:spacing w:val="-18"/>
        </w:rPr>
        <w:t> </w:t>
      </w:r>
      <w:r>
        <w:rPr>
          <w:spacing w:val="-3"/>
        </w:rPr>
        <w:t>workplace</w:t>
      </w:r>
      <w:r>
        <w:rPr>
          <w:spacing w:val="-17"/>
        </w:rPr>
        <w:t> </w:t>
      </w:r>
      <w:r>
        <w:rPr>
          <w:spacing w:val="-3"/>
        </w:rPr>
        <w:t>locations.</w:t>
      </w:r>
    </w:p>
    <w:p>
      <w:pPr>
        <w:pStyle w:val="BodyText"/>
        <w:spacing w:before="10"/>
        <w:rPr>
          <w:sz w:val="23"/>
        </w:rPr>
      </w:pPr>
    </w:p>
    <w:p>
      <w:pPr>
        <w:pStyle w:val="BodyText"/>
        <w:spacing w:line="249" w:lineRule="auto"/>
        <w:ind w:left="765" w:right="-9"/>
      </w:pPr>
      <w:r>
        <w:rPr>
          <w:spacing w:val="-3"/>
        </w:rPr>
        <w:t>Consultation </w:t>
      </w:r>
      <w:r>
        <w:rPr/>
        <w:t>and </w:t>
      </w:r>
      <w:r>
        <w:rPr>
          <w:spacing w:val="-3"/>
        </w:rPr>
        <w:t>communication with </w:t>
      </w:r>
      <w:r>
        <w:rPr>
          <w:spacing w:val="-4"/>
        </w:rPr>
        <w:t>staff </w:t>
      </w:r>
      <w:r>
        <w:rPr>
          <w:spacing w:val="-3"/>
        </w:rPr>
        <w:t>and contractors</w:t>
      </w:r>
      <w:r>
        <w:rPr>
          <w:spacing w:val="-23"/>
        </w:rPr>
        <w:t> </w:t>
      </w:r>
      <w:r>
        <w:rPr/>
        <w:t>has</w:t>
      </w:r>
      <w:r>
        <w:rPr>
          <w:spacing w:val="-22"/>
        </w:rPr>
        <w:t> </w:t>
      </w:r>
      <w:r>
        <w:rPr>
          <w:spacing w:val="-3"/>
        </w:rPr>
        <w:t>been</w:t>
      </w:r>
      <w:r>
        <w:rPr>
          <w:spacing w:val="-23"/>
        </w:rPr>
        <w:t> </w:t>
      </w:r>
      <w:r>
        <w:rPr/>
        <w:t>key</w:t>
      </w:r>
      <w:r>
        <w:rPr>
          <w:spacing w:val="-22"/>
        </w:rPr>
        <w:t> </w:t>
      </w:r>
      <w:r>
        <w:rPr/>
        <w:t>in</w:t>
      </w:r>
      <w:r>
        <w:rPr>
          <w:spacing w:val="-22"/>
        </w:rPr>
        <w:t> </w:t>
      </w:r>
      <w:r>
        <w:rPr>
          <w:spacing w:val="-3"/>
        </w:rPr>
        <w:t>building</w:t>
      </w:r>
      <w:r>
        <w:rPr>
          <w:spacing w:val="-23"/>
        </w:rPr>
        <w:t> </w:t>
      </w:r>
      <w:r>
        <w:rPr/>
        <w:t>a</w:t>
      </w:r>
      <w:r>
        <w:rPr>
          <w:spacing w:val="-22"/>
        </w:rPr>
        <w:t> </w:t>
      </w:r>
      <w:r>
        <w:rPr>
          <w:spacing w:val="-3"/>
        </w:rPr>
        <w:t>safety</w:t>
      </w:r>
      <w:r>
        <w:rPr>
          <w:spacing w:val="-22"/>
        </w:rPr>
        <w:t> </w:t>
      </w:r>
      <w:r>
        <w:rPr>
          <w:spacing w:val="-4"/>
        </w:rPr>
        <w:t>culture across </w:t>
      </w:r>
      <w:r>
        <w:rPr/>
        <w:t>the </w:t>
      </w:r>
      <w:r>
        <w:rPr>
          <w:spacing w:val="-3"/>
        </w:rPr>
        <w:t>Department </w:t>
      </w:r>
      <w:r>
        <w:rPr/>
        <w:t>of </w:t>
      </w:r>
      <w:r>
        <w:rPr>
          <w:spacing w:val="-3"/>
        </w:rPr>
        <w:t>Finance. </w:t>
      </w:r>
      <w:r>
        <w:rPr/>
        <w:t>In </w:t>
      </w:r>
      <w:r>
        <w:rPr>
          <w:spacing w:val="-4"/>
        </w:rPr>
        <w:t>order </w:t>
      </w:r>
      <w:r>
        <w:rPr>
          <w:spacing w:val="-3"/>
        </w:rPr>
        <w:t>to facilitate </w:t>
      </w:r>
      <w:r>
        <w:rPr/>
        <w:t>and </w:t>
      </w:r>
      <w:r>
        <w:rPr>
          <w:spacing w:val="-3"/>
        </w:rPr>
        <w:t>drive this </w:t>
      </w:r>
      <w:r>
        <w:rPr>
          <w:spacing w:val="-4"/>
        </w:rPr>
        <w:t>culture, </w:t>
      </w:r>
      <w:r>
        <w:rPr/>
        <w:t>the </w:t>
      </w:r>
      <w:r>
        <w:rPr>
          <w:spacing w:val="-3"/>
        </w:rPr>
        <w:t>Occupational Safety </w:t>
      </w:r>
      <w:r>
        <w:rPr/>
        <w:t>and </w:t>
      </w:r>
      <w:r>
        <w:rPr>
          <w:spacing w:val="-3"/>
        </w:rPr>
        <w:t>Health (OSH) Committee meets </w:t>
      </w:r>
      <w:r>
        <w:rPr>
          <w:spacing w:val="-5"/>
        </w:rPr>
        <w:t>quarterly,</w:t>
      </w:r>
      <w:r>
        <w:rPr>
          <w:spacing w:val="-11"/>
        </w:rPr>
        <w:t> </w:t>
      </w:r>
      <w:r>
        <w:rPr/>
        <w:t>to</w:t>
      </w:r>
      <w:r>
        <w:rPr>
          <w:spacing w:val="-11"/>
        </w:rPr>
        <w:t> </w:t>
      </w:r>
      <w:r>
        <w:rPr>
          <w:spacing w:val="-4"/>
        </w:rPr>
        <w:t>review</w:t>
      </w:r>
      <w:r>
        <w:rPr>
          <w:spacing w:val="-11"/>
        </w:rPr>
        <w:t> </w:t>
      </w:r>
      <w:r>
        <w:rPr/>
        <w:t>key</w:t>
      </w:r>
      <w:r>
        <w:rPr>
          <w:spacing w:val="-11"/>
        </w:rPr>
        <w:t> </w:t>
      </w:r>
      <w:r>
        <w:rPr>
          <w:spacing w:val="-3"/>
        </w:rPr>
        <w:t>safety</w:t>
      </w:r>
      <w:r>
        <w:rPr>
          <w:spacing w:val="-11"/>
        </w:rPr>
        <w:t> </w:t>
      </w:r>
      <w:r>
        <w:rPr/>
        <w:t>and</w:t>
      </w:r>
      <w:r>
        <w:rPr>
          <w:spacing w:val="-11"/>
        </w:rPr>
        <w:t> </w:t>
      </w:r>
      <w:r>
        <w:rPr>
          <w:spacing w:val="-3"/>
        </w:rPr>
        <w:t>health</w:t>
      </w:r>
    </w:p>
    <w:p>
      <w:pPr>
        <w:pStyle w:val="BodyText"/>
        <w:spacing w:line="249" w:lineRule="auto" w:before="142"/>
        <w:ind w:left="412" w:right="287"/>
      </w:pPr>
      <w:r>
        <w:rPr/>
        <w:br w:type="column"/>
      </w:r>
      <w:r>
        <w:rPr>
          <w:spacing w:val="-3"/>
        </w:rPr>
        <w:t>performance indicators, discuss opportunities </w:t>
      </w:r>
      <w:r>
        <w:rPr/>
        <w:t>to </w:t>
      </w:r>
      <w:r>
        <w:rPr>
          <w:spacing w:val="-3"/>
        </w:rPr>
        <w:t>lead </w:t>
      </w:r>
      <w:r>
        <w:rPr/>
        <w:t>OSH </w:t>
      </w:r>
      <w:r>
        <w:rPr>
          <w:spacing w:val="-4"/>
        </w:rPr>
        <w:t>awareness </w:t>
      </w:r>
      <w:r>
        <w:rPr>
          <w:spacing w:val="-3"/>
        </w:rPr>
        <w:t>amongst </w:t>
      </w:r>
      <w:r>
        <w:rPr>
          <w:spacing w:val="-4"/>
        </w:rPr>
        <w:t>staff,</w:t>
      </w:r>
    </w:p>
    <w:p>
      <w:pPr>
        <w:pStyle w:val="BodyText"/>
        <w:spacing w:line="249" w:lineRule="auto" w:before="2"/>
        <w:ind w:left="412" w:right="287"/>
      </w:pPr>
      <w:r>
        <w:rPr/>
        <w:t>and </w:t>
      </w:r>
      <w:r>
        <w:rPr>
          <w:spacing w:val="-3"/>
        </w:rPr>
        <w:t>consider information about </w:t>
      </w:r>
      <w:r>
        <w:rPr/>
        <w:t>all </w:t>
      </w:r>
      <w:r>
        <w:rPr>
          <w:spacing w:val="-4"/>
        </w:rPr>
        <w:t>reported hazards </w:t>
      </w:r>
      <w:r>
        <w:rPr/>
        <w:t>and </w:t>
      </w:r>
      <w:r>
        <w:rPr>
          <w:spacing w:val="-3"/>
        </w:rPr>
        <w:t>incidents </w:t>
      </w:r>
      <w:r>
        <w:rPr/>
        <w:t>to </w:t>
      </w:r>
      <w:r>
        <w:rPr>
          <w:spacing w:val="-4"/>
        </w:rPr>
        <w:t>ensure </w:t>
      </w:r>
      <w:r>
        <w:rPr/>
        <w:t>the </w:t>
      </w:r>
      <w:r>
        <w:rPr>
          <w:spacing w:val="-3"/>
        </w:rPr>
        <w:t>timely implementation</w:t>
      </w:r>
      <w:r>
        <w:rPr>
          <w:spacing w:val="-29"/>
        </w:rPr>
        <w:t> </w:t>
      </w:r>
      <w:r>
        <w:rPr/>
        <w:t>of</w:t>
      </w:r>
      <w:r>
        <w:rPr>
          <w:spacing w:val="-29"/>
        </w:rPr>
        <w:t> </w:t>
      </w:r>
      <w:r>
        <w:rPr>
          <w:spacing w:val="-3"/>
        </w:rPr>
        <w:t>adequate</w:t>
      </w:r>
      <w:r>
        <w:rPr>
          <w:spacing w:val="-29"/>
        </w:rPr>
        <w:t> </w:t>
      </w:r>
      <w:r>
        <w:rPr>
          <w:spacing w:val="-4"/>
        </w:rPr>
        <w:t>control</w:t>
      </w:r>
      <w:r>
        <w:rPr>
          <w:spacing w:val="-29"/>
        </w:rPr>
        <w:t> </w:t>
      </w:r>
      <w:r>
        <w:rPr>
          <w:spacing w:val="-4"/>
        </w:rPr>
        <w:t>measures.</w:t>
      </w:r>
    </w:p>
    <w:p>
      <w:pPr>
        <w:pStyle w:val="BodyText"/>
        <w:spacing w:before="2"/>
        <w:rPr>
          <w:sz w:val="23"/>
        </w:rPr>
      </w:pPr>
    </w:p>
    <w:p>
      <w:pPr>
        <w:pStyle w:val="BodyText"/>
        <w:spacing w:line="249" w:lineRule="auto"/>
        <w:ind w:left="412" w:right="348"/>
      </w:pPr>
      <w:r>
        <w:rPr/>
        <w:t>The </w:t>
      </w:r>
      <w:r>
        <w:rPr>
          <w:spacing w:val="-3"/>
        </w:rPr>
        <w:t>Department </w:t>
      </w:r>
      <w:r>
        <w:rPr/>
        <w:t>has </w:t>
      </w:r>
      <w:r>
        <w:rPr>
          <w:spacing w:val="-3"/>
        </w:rPr>
        <w:t>clear safety targets, with </w:t>
      </w:r>
      <w:r>
        <w:rPr/>
        <w:t>the </w:t>
      </w:r>
      <w:r>
        <w:rPr>
          <w:spacing w:val="-3"/>
        </w:rPr>
        <w:t>ultimate </w:t>
      </w:r>
      <w:r>
        <w:rPr/>
        <w:t>aim of no </w:t>
      </w:r>
      <w:r>
        <w:rPr>
          <w:spacing w:val="-3"/>
        </w:rPr>
        <w:t>injuries, harm or damage. </w:t>
      </w:r>
      <w:r>
        <w:rPr/>
        <w:t>All OSH </w:t>
      </w:r>
      <w:r>
        <w:rPr>
          <w:spacing w:val="-4"/>
        </w:rPr>
        <w:t>programs are delivered </w:t>
      </w:r>
      <w:r>
        <w:rPr>
          <w:spacing w:val="-3"/>
        </w:rPr>
        <w:t>in </w:t>
      </w:r>
      <w:r>
        <w:rPr>
          <w:spacing w:val="-4"/>
        </w:rPr>
        <w:t>accordance </w:t>
      </w:r>
      <w:r>
        <w:rPr>
          <w:spacing w:val="-3"/>
        </w:rPr>
        <w:t>with </w:t>
      </w:r>
      <w:r>
        <w:rPr>
          <w:spacing w:val="-4"/>
        </w:rPr>
        <w:t>requirements </w:t>
      </w:r>
      <w:r>
        <w:rPr>
          <w:spacing w:val="-3"/>
        </w:rPr>
        <w:t>outlined </w:t>
      </w:r>
      <w:r>
        <w:rPr/>
        <w:t>in </w:t>
      </w:r>
      <w:r>
        <w:rPr>
          <w:spacing w:val="-3"/>
        </w:rPr>
        <w:t>the</w:t>
      </w:r>
    </w:p>
    <w:p>
      <w:pPr>
        <w:spacing w:line="249" w:lineRule="auto" w:before="3"/>
        <w:ind w:left="412" w:right="0" w:firstLine="0"/>
        <w:jc w:val="left"/>
        <w:rPr>
          <w:sz w:val="22"/>
        </w:rPr>
      </w:pPr>
      <w:r>
        <w:rPr>
          <w:i/>
          <w:spacing w:val="-3"/>
          <w:sz w:val="22"/>
        </w:rPr>
        <w:t>Public Sector Commissioner Circular 2012-05: </w:t>
      </w:r>
      <w:r>
        <w:rPr>
          <w:i/>
          <w:spacing w:val="-3"/>
          <w:sz w:val="22"/>
        </w:rPr>
        <w:t>Code </w:t>
      </w:r>
      <w:r>
        <w:rPr>
          <w:i/>
          <w:sz w:val="22"/>
        </w:rPr>
        <w:t>of </w:t>
      </w:r>
      <w:r>
        <w:rPr>
          <w:i/>
          <w:spacing w:val="-3"/>
          <w:sz w:val="22"/>
        </w:rPr>
        <w:t>Practice: Occupational Safety and Health</w:t>
      </w:r>
      <w:r>
        <w:rPr>
          <w:i/>
          <w:spacing w:val="-23"/>
          <w:sz w:val="22"/>
        </w:rPr>
        <w:t> </w:t>
      </w:r>
      <w:r>
        <w:rPr>
          <w:i/>
          <w:sz w:val="22"/>
        </w:rPr>
        <w:t>in</w:t>
      </w:r>
      <w:r>
        <w:rPr>
          <w:i/>
          <w:spacing w:val="-23"/>
          <w:sz w:val="22"/>
        </w:rPr>
        <w:t> </w:t>
      </w:r>
      <w:r>
        <w:rPr>
          <w:i/>
          <w:sz w:val="22"/>
        </w:rPr>
        <w:t>the</w:t>
      </w:r>
      <w:r>
        <w:rPr>
          <w:i/>
          <w:spacing w:val="-22"/>
          <w:sz w:val="22"/>
        </w:rPr>
        <w:t> </w:t>
      </w:r>
      <w:r>
        <w:rPr>
          <w:i/>
          <w:spacing w:val="-4"/>
          <w:sz w:val="22"/>
        </w:rPr>
        <w:t>Western</w:t>
      </w:r>
      <w:r>
        <w:rPr>
          <w:i/>
          <w:spacing w:val="-23"/>
          <w:sz w:val="22"/>
        </w:rPr>
        <w:t> </w:t>
      </w:r>
      <w:r>
        <w:rPr>
          <w:i/>
          <w:spacing w:val="-3"/>
          <w:sz w:val="22"/>
        </w:rPr>
        <w:t>Australian</w:t>
      </w:r>
      <w:r>
        <w:rPr>
          <w:i/>
          <w:spacing w:val="-23"/>
          <w:sz w:val="22"/>
        </w:rPr>
        <w:t> </w:t>
      </w:r>
      <w:r>
        <w:rPr>
          <w:i/>
          <w:spacing w:val="-3"/>
          <w:sz w:val="22"/>
        </w:rPr>
        <w:t>Public</w:t>
      </w:r>
      <w:r>
        <w:rPr>
          <w:i/>
          <w:spacing w:val="-22"/>
          <w:sz w:val="22"/>
        </w:rPr>
        <w:t> </w:t>
      </w:r>
      <w:r>
        <w:rPr>
          <w:i/>
          <w:spacing w:val="-6"/>
          <w:sz w:val="22"/>
        </w:rPr>
        <w:t>Sector, </w:t>
      </w:r>
      <w:r>
        <w:rPr>
          <w:sz w:val="22"/>
        </w:rPr>
        <w:t>and </w:t>
      </w:r>
      <w:r>
        <w:rPr>
          <w:spacing w:val="-3"/>
          <w:sz w:val="22"/>
        </w:rPr>
        <w:t>support </w:t>
      </w:r>
      <w:r>
        <w:rPr>
          <w:sz w:val="22"/>
        </w:rPr>
        <w:t>the </w:t>
      </w:r>
      <w:r>
        <w:rPr>
          <w:spacing w:val="-5"/>
          <w:sz w:val="22"/>
        </w:rPr>
        <w:t>Government’s </w:t>
      </w:r>
      <w:r>
        <w:rPr>
          <w:spacing w:val="-3"/>
          <w:sz w:val="22"/>
        </w:rPr>
        <w:t>commitment to align</w:t>
      </w:r>
      <w:r>
        <w:rPr>
          <w:spacing w:val="-29"/>
          <w:sz w:val="22"/>
        </w:rPr>
        <w:t> </w:t>
      </w:r>
      <w:r>
        <w:rPr>
          <w:spacing w:val="-3"/>
          <w:sz w:val="22"/>
        </w:rPr>
        <w:t>with</w:t>
      </w:r>
      <w:r>
        <w:rPr>
          <w:spacing w:val="-29"/>
          <w:sz w:val="22"/>
        </w:rPr>
        <w:t> </w:t>
      </w:r>
      <w:r>
        <w:rPr>
          <w:sz w:val="22"/>
        </w:rPr>
        <w:t>the</w:t>
      </w:r>
      <w:r>
        <w:rPr>
          <w:spacing w:val="-29"/>
          <w:sz w:val="22"/>
        </w:rPr>
        <w:t> </w:t>
      </w:r>
      <w:r>
        <w:rPr>
          <w:i/>
          <w:spacing w:val="-3"/>
          <w:sz w:val="22"/>
        </w:rPr>
        <w:t>Australian</w:t>
      </w:r>
      <w:r>
        <w:rPr>
          <w:i/>
          <w:spacing w:val="-29"/>
          <w:sz w:val="22"/>
        </w:rPr>
        <w:t> </w:t>
      </w:r>
      <w:r>
        <w:rPr>
          <w:i/>
          <w:spacing w:val="-4"/>
          <w:sz w:val="22"/>
        </w:rPr>
        <w:t>Work</w:t>
      </w:r>
      <w:r>
        <w:rPr>
          <w:i/>
          <w:spacing w:val="-29"/>
          <w:sz w:val="22"/>
        </w:rPr>
        <w:t> </w:t>
      </w:r>
      <w:r>
        <w:rPr>
          <w:i/>
          <w:spacing w:val="-3"/>
          <w:sz w:val="22"/>
        </w:rPr>
        <w:t>Health</w:t>
      </w:r>
      <w:r>
        <w:rPr>
          <w:i/>
          <w:spacing w:val="-29"/>
          <w:sz w:val="22"/>
        </w:rPr>
        <w:t> </w:t>
      </w:r>
      <w:r>
        <w:rPr>
          <w:i/>
          <w:sz w:val="22"/>
        </w:rPr>
        <w:t>and</w:t>
      </w:r>
      <w:r>
        <w:rPr>
          <w:i/>
          <w:spacing w:val="-29"/>
          <w:sz w:val="22"/>
        </w:rPr>
        <w:t> </w:t>
      </w:r>
      <w:r>
        <w:rPr>
          <w:i/>
          <w:spacing w:val="-3"/>
          <w:sz w:val="22"/>
        </w:rPr>
        <w:t>Safety </w:t>
      </w:r>
      <w:r>
        <w:rPr>
          <w:i/>
          <w:spacing w:val="-3"/>
          <w:sz w:val="22"/>
        </w:rPr>
        <w:t>Strategy</w:t>
      </w:r>
      <w:r>
        <w:rPr>
          <w:i/>
          <w:spacing w:val="-6"/>
          <w:sz w:val="22"/>
        </w:rPr>
        <w:t> </w:t>
      </w:r>
      <w:r>
        <w:rPr>
          <w:i/>
          <w:spacing w:val="-3"/>
          <w:sz w:val="22"/>
        </w:rPr>
        <w:t>2012-2022</w:t>
      </w:r>
      <w:r>
        <w:rPr>
          <w:spacing w:val="-3"/>
          <w:sz w:val="22"/>
        </w:rPr>
        <w:t>.</w:t>
      </w:r>
    </w:p>
    <w:p>
      <w:pPr>
        <w:pStyle w:val="BodyText"/>
        <w:spacing w:before="5"/>
        <w:rPr>
          <w:sz w:val="23"/>
        </w:rPr>
      </w:pPr>
    </w:p>
    <w:p>
      <w:pPr>
        <w:pStyle w:val="BodyText"/>
        <w:spacing w:line="249" w:lineRule="auto"/>
        <w:ind w:left="412" w:right="446"/>
      </w:pPr>
      <w:r>
        <w:rPr/>
        <w:t>The</w:t>
      </w:r>
      <w:r>
        <w:rPr>
          <w:spacing w:val="-35"/>
        </w:rPr>
        <w:t> </w:t>
      </w:r>
      <w:r>
        <w:rPr>
          <w:spacing w:val="-5"/>
        </w:rPr>
        <w:t>Department’s</w:t>
      </w:r>
      <w:r>
        <w:rPr>
          <w:spacing w:val="-35"/>
        </w:rPr>
        <w:t> </w:t>
      </w:r>
      <w:r>
        <w:rPr>
          <w:spacing w:val="-3"/>
        </w:rPr>
        <w:t>Corporate</w:t>
      </w:r>
      <w:r>
        <w:rPr>
          <w:spacing w:val="-35"/>
        </w:rPr>
        <w:t> </w:t>
      </w:r>
      <w:r>
        <w:rPr>
          <w:spacing w:val="-3"/>
        </w:rPr>
        <w:t>Executive</w:t>
      </w:r>
      <w:r>
        <w:rPr>
          <w:spacing w:val="-35"/>
        </w:rPr>
        <w:t> </w:t>
      </w:r>
      <w:r>
        <w:rPr>
          <w:spacing w:val="-3"/>
        </w:rPr>
        <w:t>leads </w:t>
      </w:r>
      <w:r>
        <w:rPr/>
        <w:t>the </w:t>
      </w:r>
      <w:r>
        <w:rPr>
          <w:spacing w:val="-5"/>
        </w:rPr>
        <w:t>Department’s </w:t>
      </w:r>
      <w:r>
        <w:rPr>
          <w:spacing w:val="-3"/>
        </w:rPr>
        <w:t>safety </w:t>
      </w:r>
      <w:r>
        <w:rPr>
          <w:spacing w:val="-4"/>
        </w:rPr>
        <w:t>culture</w:t>
      </w:r>
      <w:r>
        <w:rPr>
          <w:spacing w:val="-39"/>
        </w:rPr>
        <w:t> </w:t>
      </w:r>
      <w:r>
        <w:rPr>
          <w:spacing w:val="-4"/>
        </w:rPr>
        <w:t>through:</w:t>
      </w:r>
    </w:p>
    <w:p>
      <w:pPr>
        <w:pStyle w:val="BodyText"/>
        <w:spacing w:before="1"/>
        <w:rPr>
          <w:sz w:val="23"/>
        </w:rPr>
      </w:pPr>
    </w:p>
    <w:p>
      <w:pPr>
        <w:pStyle w:val="ListParagraph"/>
        <w:numPr>
          <w:ilvl w:val="0"/>
          <w:numId w:val="3"/>
        </w:numPr>
        <w:tabs>
          <w:tab w:pos="579" w:val="left" w:leader="none"/>
        </w:tabs>
        <w:spacing w:line="249" w:lineRule="auto" w:before="1" w:after="0"/>
        <w:ind w:left="588" w:right="753" w:hanging="176"/>
        <w:jc w:val="left"/>
        <w:rPr>
          <w:sz w:val="22"/>
        </w:rPr>
      </w:pPr>
      <w:r>
        <w:rPr>
          <w:spacing w:val="-3"/>
          <w:sz w:val="22"/>
        </w:rPr>
        <w:t>Active consultation </w:t>
      </w:r>
      <w:r>
        <w:rPr>
          <w:spacing w:val="-4"/>
          <w:sz w:val="22"/>
        </w:rPr>
        <w:t>regarding </w:t>
      </w:r>
      <w:r>
        <w:rPr>
          <w:spacing w:val="-3"/>
          <w:sz w:val="22"/>
        </w:rPr>
        <w:t>OSH matters</w:t>
      </w:r>
      <w:r>
        <w:rPr>
          <w:spacing w:val="-29"/>
          <w:sz w:val="22"/>
        </w:rPr>
        <w:t> </w:t>
      </w:r>
      <w:r>
        <w:rPr>
          <w:spacing w:val="-3"/>
          <w:sz w:val="22"/>
        </w:rPr>
        <w:t>with</w:t>
      </w:r>
      <w:r>
        <w:rPr>
          <w:spacing w:val="-28"/>
          <w:sz w:val="22"/>
        </w:rPr>
        <w:t> </w:t>
      </w:r>
      <w:r>
        <w:rPr>
          <w:spacing w:val="-3"/>
          <w:sz w:val="22"/>
        </w:rPr>
        <w:t>managers</w:t>
      </w:r>
      <w:r>
        <w:rPr>
          <w:spacing w:val="-28"/>
          <w:sz w:val="22"/>
        </w:rPr>
        <w:t> </w:t>
      </w:r>
      <w:r>
        <w:rPr>
          <w:sz w:val="22"/>
        </w:rPr>
        <w:t>and</w:t>
      </w:r>
      <w:r>
        <w:rPr>
          <w:spacing w:val="-28"/>
          <w:sz w:val="22"/>
        </w:rPr>
        <w:t> </w:t>
      </w:r>
      <w:r>
        <w:rPr>
          <w:spacing w:val="-3"/>
          <w:sz w:val="22"/>
        </w:rPr>
        <w:t>employees.</w:t>
      </w:r>
    </w:p>
    <w:p>
      <w:pPr>
        <w:pStyle w:val="BodyText"/>
        <w:spacing w:before="1"/>
        <w:rPr>
          <w:sz w:val="23"/>
        </w:rPr>
      </w:pPr>
    </w:p>
    <w:p>
      <w:pPr>
        <w:pStyle w:val="ListParagraph"/>
        <w:numPr>
          <w:ilvl w:val="0"/>
          <w:numId w:val="3"/>
        </w:numPr>
        <w:tabs>
          <w:tab w:pos="579" w:val="left" w:leader="none"/>
        </w:tabs>
        <w:spacing w:line="249" w:lineRule="auto" w:before="0" w:after="0"/>
        <w:ind w:left="588" w:right="93" w:hanging="176"/>
        <w:jc w:val="left"/>
        <w:rPr>
          <w:sz w:val="22"/>
        </w:rPr>
      </w:pPr>
      <w:r>
        <w:rPr>
          <w:spacing w:val="-3"/>
          <w:sz w:val="22"/>
        </w:rPr>
        <w:t>Support</w:t>
      </w:r>
      <w:r>
        <w:rPr>
          <w:spacing w:val="-26"/>
          <w:sz w:val="22"/>
        </w:rPr>
        <w:t> </w:t>
      </w:r>
      <w:r>
        <w:rPr>
          <w:sz w:val="22"/>
        </w:rPr>
        <w:t>of</w:t>
      </w:r>
      <w:r>
        <w:rPr>
          <w:spacing w:val="-25"/>
          <w:sz w:val="22"/>
        </w:rPr>
        <w:t> </w:t>
      </w:r>
      <w:r>
        <w:rPr>
          <w:sz w:val="22"/>
        </w:rPr>
        <w:t>all</w:t>
      </w:r>
      <w:r>
        <w:rPr>
          <w:spacing w:val="-26"/>
          <w:sz w:val="22"/>
        </w:rPr>
        <w:t> </w:t>
      </w:r>
      <w:r>
        <w:rPr>
          <w:spacing w:val="-4"/>
          <w:sz w:val="22"/>
        </w:rPr>
        <w:t>staff</w:t>
      </w:r>
      <w:r>
        <w:rPr>
          <w:spacing w:val="-25"/>
          <w:sz w:val="22"/>
        </w:rPr>
        <w:t> </w:t>
      </w:r>
      <w:r>
        <w:rPr>
          <w:spacing w:val="-3"/>
          <w:sz w:val="22"/>
        </w:rPr>
        <w:t>completing</w:t>
      </w:r>
      <w:r>
        <w:rPr>
          <w:spacing w:val="-26"/>
          <w:sz w:val="22"/>
        </w:rPr>
        <w:t> </w:t>
      </w:r>
      <w:r>
        <w:rPr>
          <w:spacing w:val="-4"/>
          <w:sz w:val="22"/>
        </w:rPr>
        <w:t>relevant</w:t>
      </w:r>
      <w:r>
        <w:rPr>
          <w:spacing w:val="-25"/>
          <w:sz w:val="22"/>
        </w:rPr>
        <w:t> </w:t>
      </w:r>
      <w:r>
        <w:rPr>
          <w:spacing w:val="-3"/>
          <w:sz w:val="22"/>
        </w:rPr>
        <w:t>training, both</w:t>
      </w:r>
      <w:r>
        <w:rPr>
          <w:spacing w:val="-19"/>
          <w:sz w:val="22"/>
        </w:rPr>
        <w:t> </w:t>
      </w:r>
      <w:r>
        <w:rPr>
          <w:spacing w:val="-3"/>
          <w:sz w:val="22"/>
        </w:rPr>
        <w:t>online</w:t>
      </w:r>
      <w:r>
        <w:rPr>
          <w:spacing w:val="-18"/>
          <w:sz w:val="22"/>
        </w:rPr>
        <w:t> </w:t>
      </w:r>
      <w:r>
        <w:rPr>
          <w:sz w:val="22"/>
        </w:rPr>
        <w:t>and</w:t>
      </w:r>
      <w:r>
        <w:rPr>
          <w:spacing w:val="-19"/>
          <w:sz w:val="22"/>
        </w:rPr>
        <w:t> </w:t>
      </w:r>
      <w:r>
        <w:rPr>
          <w:spacing w:val="-3"/>
          <w:sz w:val="22"/>
        </w:rPr>
        <w:t>face-to-face,</w:t>
      </w:r>
      <w:r>
        <w:rPr>
          <w:spacing w:val="-18"/>
          <w:sz w:val="22"/>
        </w:rPr>
        <w:t> </w:t>
      </w:r>
      <w:r>
        <w:rPr>
          <w:sz w:val="22"/>
        </w:rPr>
        <w:t>and</w:t>
      </w:r>
      <w:r>
        <w:rPr>
          <w:spacing w:val="-18"/>
          <w:sz w:val="22"/>
        </w:rPr>
        <w:t> </w:t>
      </w:r>
      <w:r>
        <w:rPr>
          <w:spacing w:val="-4"/>
          <w:sz w:val="22"/>
        </w:rPr>
        <w:t>are</w:t>
      </w:r>
      <w:r>
        <w:rPr>
          <w:spacing w:val="-19"/>
          <w:sz w:val="22"/>
        </w:rPr>
        <w:t> </w:t>
      </w:r>
      <w:r>
        <w:rPr>
          <w:spacing w:val="-4"/>
          <w:sz w:val="22"/>
        </w:rPr>
        <w:t>provided </w:t>
      </w:r>
      <w:r>
        <w:rPr>
          <w:spacing w:val="-3"/>
          <w:sz w:val="22"/>
        </w:rPr>
        <w:t>with course completion rates </w:t>
      </w:r>
      <w:r>
        <w:rPr>
          <w:sz w:val="22"/>
        </w:rPr>
        <w:t>to aid </w:t>
      </w:r>
      <w:r>
        <w:rPr>
          <w:spacing w:val="-3"/>
          <w:sz w:val="22"/>
        </w:rPr>
        <w:t>in compliance.</w:t>
      </w:r>
    </w:p>
    <w:p>
      <w:pPr>
        <w:pStyle w:val="BodyText"/>
        <w:spacing w:before="3"/>
        <w:rPr>
          <w:sz w:val="23"/>
        </w:rPr>
      </w:pPr>
    </w:p>
    <w:p>
      <w:pPr>
        <w:pStyle w:val="ListParagraph"/>
        <w:numPr>
          <w:ilvl w:val="0"/>
          <w:numId w:val="3"/>
        </w:numPr>
        <w:tabs>
          <w:tab w:pos="579" w:val="left" w:leader="none"/>
        </w:tabs>
        <w:spacing w:line="249" w:lineRule="auto" w:before="0" w:after="0"/>
        <w:ind w:left="588" w:right="684" w:hanging="176"/>
        <w:jc w:val="left"/>
        <w:rPr>
          <w:sz w:val="22"/>
        </w:rPr>
      </w:pPr>
      <w:r>
        <w:rPr>
          <w:spacing w:val="-3"/>
          <w:sz w:val="22"/>
        </w:rPr>
        <w:t>Monitoring</w:t>
      </w:r>
      <w:r>
        <w:rPr>
          <w:spacing w:val="-26"/>
          <w:sz w:val="22"/>
        </w:rPr>
        <w:t> </w:t>
      </w:r>
      <w:r>
        <w:rPr>
          <w:sz w:val="22"/>
        </w:rPr>
        <w:t>of</w:t>
      </w:r>
      <w:r>
        <w:rPr>
          <w:spacing w:val="-26"/>
          <w:sz w:val="22"/>
        </w:rPr>
        <w:t> </w:t>
      </w:r>
      <w:r>
        <w:rPr>
          <w:sz w:val="22"/>
        </w:rPr>
        <w:t>OSH</w:t>
      </w:r>
      <w:r>
        <w:rPr>
          <w:spacing w:val="-26"/>
          <w:sz w:val="22"/>
        </w:rPr>
        <w:t> </w:t>
      </w:r>
      <w:r>
        <w:rPr>
          <w:spacing w:val="-3"/>
          <w:sz w:val="22"/>
        </w:rPr>
        <w:t>performance</w:t>
      </w:r>
      <w:r>
        <w:rPr>
          <w:spacing w:val="-26"/>
          <w:sz w:val="22"/>
        </w:rPr>
        <w:t> </w:t>
      </w:r>
      <w:r>
        <w:rPr>
          <w:spacing w:val="-4"/>
          <w:sz w:val="22"/>
        </w:rPr>
        <w:t>through </w:t>
      </w:r>
      <w:r>
        <w:rPr>
          <w:spacing w:val="-3"/>
          <w:sz w:val="22"/>
        </w:rPr>
        <w:t>quarterly</w:t>
      </w:r>
      <w:r>
        <w:rPr>
          <w:spacing w:val="-16"/>
          <w:sz w:val="22"/>
        </w:rPr>
        <w:t> </w:t>
      </w:r>
      <w:r>
        <w:rPr>
          <w:sz w:val="22"/>
        </w:rPr>
        <w:t>and</w:t>
      </w:r>
      <w:r>
        <w:rPr>
          <w:spacing w:val="-16"/>
          <w:sz w:val="22"/>
        </w:rPr>
        <w:t> </w:t>
      </w:r>
      <w:r>
        <w:rPr>
          <w:spacing w:val="-3"/>
          <w:sz w:val="22"/>
        </w:rPr>
        <w:t>annual</w:t>
      </w:r>
      <w:r>
        <w:rPr>
          <w:spacing w:val="-16"/>
          <w:sz w:val="22"/>
        </w:rPr>
        <w:t> </w:t>
      </w:r>
      <w:r>
        <w:rPr>
          <w:sz w:val="22"/>
        </w:rPr>
        <w:t>OSH</w:t>
      </w:r>
      <w:r>
        <w:rPr>
          <w:spacing w:val="-15"/>
          <w:sz w:val="22"/>
        </w:rPr>
        <w:t> </w:t>
      </w:r>
      <w:r>
        <w:rPr>
          <w:spacing w:val="-4"/>
          <w:sz w:val="22"/>
        </w:rPr>
        <w:t>reporting.</w:t>
      </w:r>
    </w:p>
    <w:p>
      <w:pPr>
        <w:pStyle w:val="BodyText"/>
        <w:spacing w:before="1"/>
        <w:rPr>
          <w:sz w:val="23"/>
        </w:rPr>
      </w:pPr>
    </w:p>
    <w:p>
      <w:pPr>
        <w:pStyle w:val="ListParagraph"/>
        <w:numPr>
          <w:ilvl w:val="0"/>
          <w:numId w:val="3"/>
        </w:numPr>
        <w:tabs>
          <w:tab w:pos="579" w:val="left" w:leader="none"/>
        </w:tabs>
        <w:spacing w:line="240" w:lineRule="auto" w:before="0" w:after="0"/>
        <w:ind w:left="578" w:right="0" w:hanging="166"/>
        <w:jc w:val="left"/>
        <w:rPr>
          <w:sz w:val="22"/>
        </w:rPr>
      </w:pPr>
      <w:r>
        <w:rPr>
          <w:spacing w:val="-3"/>
          <w:sz w:val="22"/>
        </w:rPr>
        <w:t>Active</w:t>
      </w:r>
      <w:r>
        <w:rPr>
          <w:spacing w:val="-33"/>
          <w:sz w:val="22"/>
        </w:rPr>
        <w:t> </w:t>
      </w:r>
      <w:r>
        <w:rPr>
          <w:spacing w:val="-3"/>
          <w:sz w:val="22"/>
        </w:rPr>
        <w:t>support</w:t>
      </w:r>
      <w:r>
        <w:rPr>
          <w:spacing w:val="-33"/>
          <w:sz w:val="22"/>
        </w:rPr>
        <w:t> </w:t>
      </w:r>
      <w:r>
        <w:rPr>
          <w:sz w:val="22"/>
        </w:rPr>
        <w:t>for</w:t>
      </w:r>
      <w:r>
        <w:rPr>
          <w:spacing w:val="-32"/>
          <w:sz w:val="22"/>
        </w:rPr>
        <w:t> </w:t>
      </w:r>
      <w:r>
        <w:rPr>
          <w:sz w:val="22"/>
        </w:rPr>
        <w:t>OSH</w:t>
      </w:r>
      <w:r>
        <w:rPr>
          <w:spacing w:val="-33"/>
          <w:sz w:val="22"/>
        </w:rPr>
        <w:t> </w:t>
      </w:r>
      <w:r>
        <w:rPr>
          <w:sz w:val="22"/>
        </w:rPr>
        <w:t>and</w:t>
      </w:r>
      <w:r>
        <w:rPr>
          <w:spacing w:val="-32"/>
          <w:sz w:val="22"/>
        </w:rPr>
        <w:t> </w:t>
      </w:r>
      <w:r>
        <w:rPr>
          <w:spacing w:val="-3"/>
          <w:sz w:val="22"/>
        </w:rPr>
        <w:t>wellbeing</w:t>
      </w:r>
      <w:r>
        <w:rPr>
          <w:spacing w:val="-33"/>
          <w:sz w:val="22"/>
        </w:rPr>
        <w:t> </w:t>
      </w:r>
      <w:r>
        <w:rPr>
          <w:spacing w:val="-3"/>
          <w:sz w:val="22"/>
        </w:rPr>
        <w:t>initiatives.</w:t>
      </w:r>
    </w:p>
    <w:p>
      <w:pPr>
        <w:pStyle w:val="BodyText"/>
        <w:spacing w:line="249" w:lineRule="auto" w:before="142"/>
        <w:ind w:left="618" w:right="1110"/>
      </w:pPr>
      <w:r>
        <w:rPr/>
        <w:br w:type="column"/>
      </w:r>
      <w:r>
        <w:rPr/>
        <w:t>The </w:t>
      </w:r>
      <w:r>
        <w:rPr>
          <w:spacing w:val="-3"/>
        </w:rPr>
        <w:t>Department </w:t>
      </w:r>
      <w:r>
        <w:rPr/>
        <w:t>of </w:t>
      </w:r>
      <w:r>
        <w:rPr>
          <w:spacing w:val="-3"/>
        </w:rPr>
        <w:t>Finance runs employee wellbeing </w:t>
      </w:r>
      <w:r>
        <w:rPr>
          <w:spacing w:val="-4"/>
        </w:rPr>
        <w:t>programs </w:t>
      </w:r>
      <w:r>
        <w:rPr>
          <w:spacing w:val="-3"/>
        </w:rPr>
        <w:t>that </w:t>
      </w:r>
      <w:r>
        <w:rPr/>
        <w:t>aim to </w:t>
      </w:r>
      <w:r>
        <w:rPr>
          <w:spacing w:val="-4"/>
        </w:rPr>
        <w:t>increase awareness </w:t>
      </w:r>
      <w:r>
        <w:rPr/>
        <w:t>of </w:t>
      </w:r>
      <w:r>
        <w:rPr>
          <w:spacing w:val="-3"/>
        </w:rPr>
        <w:t>healthy practices </w:t>
      </w:r>
      <w:r>
        <w:rPr/>
        <w:t>and </w:t>
      </w:r>
      <w:r>
        <w:rPr>
          <w:spacing w:val="-3"/>
        </w:rPr>
        <w:t>choices that</w:t>
      </w:r>
      <w:r>
        <w:rPr>
          <w:spacing w:val="-27"/>
        </w:rPr>
        <w:t> </w:t>
      </w:r>
      <w:r>
        <w:rPr>
          <w:spacing w:val="-3"/>
        </w:rPr>
        <w:t>support</w:t>
      </w:r>
      <w:r>
        <w:rPr>
          <w:spacing w:val="-26"/>
        </w:rPr>
        <w:t> </w:t>
      </w:r>
      <w:r>
        <w:rPr/>
        <w:t>a</w:t>
      </w:r>
      <w:r>
        <w:rPr>
          <w:spacing w:val="-26"/>
        </w:rPr>
        <w:t> </w:t>
      </w:r>
      <w:r>
        <w:rPr>
          <w:spacing w:val="-3"/>
        </w:rPr>
        <w:t>balanced</w:t>
      </w:r>
      <w:r>
        <w:rPr>
          <w:spacing w:val="-26"/>
        </w:rPr>
        <w:t> </w:t>
      </w:r>
      <w:r>
        <w:rPr>
          <w:spacing w:val="-3"/>
        </w:rPr>
        <w:t>lifestyle.</w:t>
      </w:r>
      <w:r>
        <w:rPr>
          <w:spacing w:val="-27"/>
        </w:rPr>
        <w:t> </w:t>
      </w:r>
      <w:r>
        <w:rPr>
          <w:spacing w:val="-3"/>
        </w:rPr>
        <w:t>Initiatives</w:t>
      </w:r>
      <w:r>
        <w:rPr>
          <w:spacing w:val="-26"/>
        </w:rPr>
        <w:t> </w:t>
      </w:r>
      <w:r>
        <w:rPr>
          <w:spacing w:val="-3"/>
        </w:rPr>
        <w:t>that</w:t>
      </w:r>
    </w:p>
    <w:p>
      <w:pPr>
        <w:pStyle w:val="BodyText"/>
        <w:spacing w:line="249" w:lineRule="auto" w:before="3"/>
        <w:ind w:left="618" w:right="777"/>
      </w:pPr>
      <w:r>
        <w:rPr/>
        <w:pict>
          <v:group style="position:absolute;margin-left:763.172119pt;margin-top:-76.440117pt;width:61.1pt;height:45.2pt;mso-position-horizontal-relative:page;mso-position-vertical-relative:paragraph;z-index:-773944" coordorigin="15263,-1529" coordsize="1222,904">
            <v:shape style="position:absolute;left:15424;top:-1529;width:900;height:904" coordorigin="15424,-1529" coordsize="900,904" path="m15874,-1529l15424,-1079,15424,-1076,15874,-626,16324,-1076,16324,-1079,15874,-1529xe" filled="true" fillcolor="#c4cd71" stroked="false">
              <v:path arrowok="t"/>
              <v:fill type="solid"/>
            </v:shape>
            <v:shape style="position:absolute;left:15422;top:-1079;width:2;height:4" coordorigin="15423,-1079" coordsize="2,4" path="m15424,-1079l15423,-1077,15424,-1076,15424,-1079xe" filled="true" fillcolor="#b9c369" stroked="false">
              <v:path arrowok="t"/>
              <v:fill type="solid"/>
            </v:shape>
            <v:shape style="position:absolute;left:16324;top:-1079;width:2;height:4" coordorigin="16324,-1079" coordsize="2,4" path="m16324,-1079l16324,-1076,16326,-1077,16324,-1079xe" filled="true" fillcolor="#bec29e" stroked="false">
              <v:path arrowok="t"/>
              <v:fill type="solid"/>
            </v:shape>
            <v:shape style="position:absolute;left:15263;top:-1238;width:161;height:322" type="#_x0000_t75" stroked="false">
              <v:imagedata r:id="rId16" o:title=""/>
            </v:shape>
            <v:shape style="position:absolute;left:16324;top:-1239;width:161;height:322" type="#_x0000_t75" stroked="false">
              <v:imagedata r:id="rId11" o:title=""/>
            </v:shape>
            <v:shape style="position:absolute;left:15263;top:-1529;width:1222;height:904" type="#_x0000_t202" filled="false" stroked="false">
              <v:textbox inset="0,0,0,0">
                <w:txbxContent>
                  <w:p>
                    <w:pPr>
                      <w:spacing w:line="240" w:lineRule="auto" w:before="8"/>
                      <w:rPr>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r>
        <w:rPr>
          <w:spacing w:val="-3"/>
        </w:rPr>
        <w:t>Department </w:t>
      </w:r>
      <w:r>
        <w:rPr/>
        <w:t>of </w:t>
      </w:r>
      <w:r>
        <w:rPr>
          <w:spacing w:val="-3"/>
        </w:rPr>
        <w:t>Finance </w:t>
      </w:r>
      <w:r>
        <w:rPr>
          <w:spacing w:val="-4"/>
        </w:rPr>
        <w:t>staff </w:t>
      </w:r>
      <w:r>
        <w:rPr>
          <w:spacing w:val="-3"/>
        </w:rPr>
        <w:t>have </w:t>
      </w:r>
      <w:r>
        <w:rPr/>
        <w:t>had the </w:t>
      </w:r>
      <w:r>
        <w:rPr>
          <w:spacing w:val="-3"/>
        </w:rPr>
        <w:t>chance </w:t>
      </w:r>
      <w:r>
        <w:rPr/>
        <w:t>to</w:t>
      </w:r>
      <w:r>
        <w:rPr>
          <w:spacing w:val="-25"/>
        </w:rPr>
        <w:t> </w:t>
      </w:r>
      <w:r>
        <w:rPr>
          <w:spacing w:val="-3"/>
        </w:rPr>
        <w:t>engage</w:t>
      </w:r>
      <w:r>
        <w:rPr>
          <w:spacing w:val="-24"/>
        </w:rPr>
        <w:t> </w:t>
      </w:r>
      <w:r>
        <w:rPr/>
        <w:t>in</w:t>
      </w:r>
      <w:r>
        <w:rPr>
          <w:spacing w:val="-24"/>
        </w:rPr>
        <w:t> </w:t>
      </w:r>
      <w:r>
        <w:rPr>
          <w:spacing w:val="-3"/>
        </w:rPr>
        <w:t>this</w:t>
      </w:r>
      <w:r>
        <w:rPr>
          <w:spacing w:val="-25"/>
        </w:rPr>
        <w:t> </w:t>
      </w:r>
      <w:r>
        <w:rPr>
          <w:spacing w:val="-3"/>
        </w:rPr>
        <w:t>year</w:t>
      </w:r>
      <w:r>
        <w:rPr>
          <w:spacing w:val="-24"/>
        </w:rPr>
        <w:t> </w:t>
      </w:r>
      <w:r>
        <w:rPr>
          <w:spacing w:val="-3"/>
        </w:rPr>
        <w:t>include</w:t>
      </w:r>
      <w:r>
        <w:rPr>
          <w:spacing w:val="-24"/>
        </w:rPr>
        <w:t> </w:t>
      </w:r>
      <w:r>
        <w:rPr/>
        <w:t>the</w:t>
      </w:r>
      <w:r>
        <w:rPr>
          <w:spacing w:val="-25"/>
        </w:rPr>
        <w:t> </w:t>
      </w:r>
      <w:r>
        <w:rPr>
          <w:spacing w:val="-5"/>
        </w:rPr>
        <w:t>Australia’s</w:t>
      </w:r>
      <w:r>
        <w:rPr>
          <w:spacing w:val="-24"/>
        </w:rPr>
        <w:t> </w:t>
      </w:r>
      <w:r>
        <w:rPr>
          <w:spacing w:val="-3"/>
        </w:rPr>
        <w:t>Biggest Mental</w:t>
      </w:r>
      <w:r>
        <w:rPr>
          <w:spacing w:val="-29"/>
        </w:rPr>
        <w:t> </w:t>
      </w:r>
      <w:r>
        <w:rPr>
          <w:spacing w:val="-3"/>
        </w:rPr>
        <w:t>Health</w:t>
      </w:r>
      <w:r>
        <w:rPr>
          <w:spacing w:val="-29"/>
        </w:rPr>
        <w:t> </w:t>
      </w:r>
      <w:r>
        <w:rPr>
          <w:spacing w:val="-3"/>
        </w:rPr>
        <w:t>Check</w:t>
      </w:r>
      <w:r>
        <w:rPr>
          <w:spacing w:val="-29"/>
        </w:rPr>
        <w:t> </w:t>
      </w:r>
      <w:r>
        <w:rPr>
          <w:spacing w:val="-3"/>
        </w:rPr>
        <w:t>initiative,</w:t>
      </w:r>
      <w:r>
        <w:rPr>
          <w:spacing w:val="-29"/>
        </w:rPr>
        <w:t> </w:t>
      </w:r>
      <w:r>
        <w:rPr>
          <w:spacing w:val="-3"/>
        </w:rPr>
        <w:t>nutritional</w:t>
      </w:r>
      <w:r>
        <w:rPr>
          <w:spacing w:val="-29"/>
        </w:rPr>
        <w:t> </w:t>
      </w:r>
      <w:r>
        <w:rPr>
          <w:spacing w:val="-3"/>
        </w:rPr>
        <w:t>seminars, </w:t>
      </w:r>
      <w:r>
        <w:rPr/>
        <w:t>tai</w:t>
      </w:r>
      <w:r>
        <w:rPr>
          <w:spacing w:val="-14"/>
        </w:rPr>
        <w:t> </w:t>
      </w:r>
      <w:r>
        <w:rPr>
          <w:spacing w:val="-3"/>
        </w:rPr>
        <w:t>chi,</w:t>
      </w:r>
      <w:r>
        <w:rPr>
          <w:spacing w:val="-13"/>
        </w:rPr>
        <w:t> </w:t>
      </w:r>
      <w:r>
        <w:rPr>
          <w:spacing w:val="-3"/>
        </w:rPr>
        <w:t>yoga,</w:t>
      </w:r>
      <w:r>
        <w:rPr>
          <w:spacing w:val="-14"/>
        </w:rPr>
        <w:t> </w:t>
      </w:r>
      <w:r>
        <w:rPr>
          <w:spacing w:val="-3"/>
        </w:rPr>
        <w:t>meditation</w:t>
      </w:r>
      <w:r>
        <w:rPr>
          <w:spacing w:val="-13"/>
        </w:rPr>
        <w:t> </w:t>
      </w:r>
      <w:r>
        <w:rPr/>
        <w:t>and</w:t>
      </w:r>
      <w:r>
        <w:rPr>
          <w:spacing w:val="-13"/>
        </w:rPr>
        <w:t> </w:t>
      </w:r>
      <w:r>
        <w:rPr>
          <w:spacing w:val="-4"/>
        </w:rPr>
        <w:t>exercise</w:t>
      </w:r>
      <w:r>
        <w:rPr>
          <w:spacing w:val="-14"/>
        </w:rPr>
        <w:t> </w:t>
      </w:r>
      <w:r>
        <w:rPr>
          <w:spacing w:val="-3"/>
        </w:rPr>
        <w:t>classes,</w:t>
      </w:r>
    </w:p>
    <w:p>
      <w:pPr>
        <w:pStyle w:val="BodyText"/>
        <w:spacing w:line="249" w:lineRule="auto" w:before="4"/>
        <w:ind w:left="618" w:right="777"/>
      </w:pPr>
      <w:r>
        <w:rPr>
          <w:spacing w:val="-3"/>
        </w:rPr>
        <w:t>bicycle</w:t>
      </w:r>
      <w:r>
        <w:rPr>
          <w:spacing w:val="-33"/>
        </w:rPr>
        <w:t> </w:t>
      </w:r>
      <w:r>
        <w:rPr>
          <w:spacing w:val="-3"/>
        </w:rPr>
        <w:t>maintenance</w:t>
      </w:r>
      <w:r>
        <w:rPr>
          <w:spacing w:val="-33"/>
        </w:rPr>
        <w:t> </w:t>
      </w:r>
      <w:r>
        <w:rPr>
          <w:spacing w:val="-3"/>
        </w:rPr>
        <w:t>classes,</w:t>
      </w:r>
      <w:r>
        <w:rPr>
          <w:spacing w:val="-32"/>
        </w:rPr>
        <w:t> </w:t>
      </w:r>
      <w:r>
        <w:rPr>
          <w:spacing w:val="-8"/>
        </w:rPr>
        <w:t>men’s</w:t>
      </w:r>
      <w:r>
        <w:rPr>
          <w:spacing w:val="-33"/>
        </w:rPr>
        <w:t> </w:t>
      </w:r>
      <w:r>
        <w:rPr>
          <w:spacing w:val="-3"/>
        </w:rPr>
        <w:t>health</w:t>
      </w:r>
      <w:r>
        <w:rPr>
          <w:spacing w:val="-32"/>
        </w:rPr>
        <w:t> </w:t>
      </w:r>
      <w:r>
        <w:rPr>
          <w:spacing w:val="-3"/>
        </w:rPr>
        <w:t>seminars </w:t>
      </w:r>
      <w:r>
        <w:rPr/>
        <w:t>and</w:t>
      </w:r>
      <w:r>
        <w:rPr>
          <w:spacing w:val="-12"/>
        </w:rPr>
        <w:t> </w:t>
      </w:r>
      <w:r>
        <w:rPr>
          <w:spacing w:val="-3"/>
        </w:rPr>
        <w:t>access</w:t>
      </w:r>
      <w:r>
        <w:rPr>
          <w:spacing w:val="-12"/>
        </w:rPr>
        <w:t> </w:t>
      </w:r>
      <w:r>
        <w:rPr/>
        <w:t>to</w:t>
      </w:r>
      <w:r>
        <w:rPr>
          <w:spacing w:val="-12"/>
        </w:rPr>
        <w:t> </w:t>
      </w:r>
      <w:r>
        <w:rPr>
          <w:spacing w:val="-3"/>
        </w:rPr>
        <w:t>online</w:t>
      </w:r>
      <w:r>
        <w:rPr>
          <w:spacing w:val="-11"/>
        </w:rPr>
        <w:t> </w:t>
      </w:r>
      <w:r>
        <w:rPr>
          <w:spacing w:val="-3"/>
        </w:rPr>
        <w:t>mental</w:t>
      </w:r>
      <w:r>
        <w:rPr>
          <w:spacing w:val="-12"/>
        </w:rPr>
        <w:t> </w:t>
      </w:r>
      <w:r>
        <w:rPr>
          <w:spacing w:val="-3"/>
        </w:rPr>
        <w:t>health</w:t>
      </w:r>
      <w:r>
        <w:rPr>
          <w:spacing w:val="-12"/>
        </w:rPr>
        <w:t> </w:t>
      </w:r>
      <w:r>
        <w:rPr>
          <w:spacing w:val="-3"/>
        </w:rPr>
        <w:t>modules.</w:t>
      </w:r>
    </w:p>
    <w:p>
      <w:pPr>
        <w:pStyle w:val="BodyText"/>
        <w:spacing w:before="1"/>
        <w:rPr>
          <w:sz w:val="23"/>
        </w:rPr>
      </w:pPr>
    </w:p>
    <w:p>
      <w:pPr>
        <w:pStyle w:val="BodyText"/>
        <w:ind w:left="618"/>
      </w:pPr>
      <w:r>
        <w:rPr/>
        <w:t>Raising</w:t>
      </w:r>
      <w:r>
        <w:rPr>
          <w:spacing w:val="-27"/>
        </w:rPr>
        <w:t> </w:t>
      </w:r>
      <w:r>
        <w:rPr/>
        <w:t>awareness</w:t>
      </w:r>
      <w:r>
        <w:rPr>
          <w:spacing w:val="-26"/>
        </w:rPr>
        <w:t> </w:t>
      </w:r>
      <w:r>
        <w:rPr/>
        <w:t>of</w:t>
      </w:r>
      <w:r>
        <w:rPr>
          <w:spacing w:val="-27"/>
        </w:rPr>
        <w:t> </w:t>
      </w:r>
      <w:r>
        <w:rPr/>
        <w:t>and</w:t>
      </w:r>
      <w:r>
        <w:rPr>
          <w:spacing w:val="-26"/>
        </w:rPr>
        <w:t> </w:t>
      </w:r>
      <w:r>
        <w:rPr/>
        <w:t>supporting</w:t>
      </w:r>
      <w:r>
        <w:rPr>
          <w:spacing w:val="-27"/>
        </w:rPr>
        <w:t> </w:t>
      </w:r>
      <w:r>
        <w:rPr/>
        <w:t>those</w:t>
      </w:r>
    </w:p>
    <w:p>
      <w:pPr>
        <w:pStyle w:val="BodyText"/>
        <w:spacing w:line="249" w:lineRule="auto" w:before="11"/>
        <w:ind w:left="618" w:right="1103"/>
      </w:pPr>
      <w:r>
        <w:rPr/>
        <w:pict>
          <v:group style="position:absolute;margin-left:548.677185pt;margin-top:55.556679pt;width:293.25pt;height:270.350pt;mso-position-horizontal-relative:page;mso-position-vertical-relative:paragraph;z-index:39640" coordorigin="10974,1111" coordsize="5865,5407">
            <v:shape style="position:absolute;left:11741;top:3049;width:1751;height:3107" coordorigin="11741,3050" coordsize="1751,3107" path="m13492,5899l13066,6145,13077,6156,13492,5917,13492,5899m13492,5804l13006,6085,13017,6096,13492,5822,13492,5804m13492,5709l12946,6025,12957,6036,13492,5727,13492,5709m13492,5614l12886,5965,12897,5976,13492,5632,13492,5614m13492,5519l12825,5904,12836,5915,13492,5537,13492,5519m13492,5424l12765,5844,12776,5855,13492,5442,13492,5424m13492,5234l12645,5724,12656,5735,13492,5252,13492,5234m13492,5139l12584,5664,12595,5675,13492,5157,13492,5139m13492,5044l12524,5603,12535,5614,13492,5062,13492,5044m13492,4854l12404,5483,12415,5494,13492,4872,13492,4854m13492,4759l12344,5423,12355,5434,13492,4777,13492,4759m13492,4664l12283,5362,12294,5373,13492,4682,13492,4664m13492,4569l12223,5302,12234,5313,13492,4587,13492,4569m13492,4379l12103,5182,12114,5193,13492,4397,13492,4379m13492,4190l11982,5061,11993,5072,13492,4207,13492,4190m13492,4095l11922,5001,11933,5012,13492,4112,13492,4095m13492,3905l11802,4881,11813,4892,13492,3922,13492,3905m13492,3715l11913,4627,11872,4668,13492,3732,13492,3715m13492,3620l12137,4402,12096,4443,13492,3637,13492,3620m13492,3430l12587,3952,12546,3993,13492,3447,13492,3430m13492,3335l12812,3728,12771,3769,13492,3352,13492,3335m13492,3145l13261,3278,13220,3319,13492,3162,13492,3145m13492,5329l12705,5784,12716,5795,13492,5347,13492,5329m13492,4949l12464,5543,12475,5554,13492,4967,13492,4949m13492,4474l12163,5242,12174,5253,13492,4492,13492,4474m13492,4285l12042,5122,12054,5133,13492,4302,13492,4285m13492,4000l11862,4941,11873,4952,13492,4017,13492,4000m13492,3810l11741,4820,11752,4831,13492,3827,13492,3810m13492,3525l12362,4177,12321,4218,13492,3542,13492,3525m13492,3240l13036,3503,12995,3544,13492,3257,13492,3240m13492,3050l13486,3053,13445,3094,13492,3067,13492,3050e" filled="true" fillcolor="#cdcccd" stroked="false">
              <v:path arrowok="t"/>
              <v:fill opacity="32768f" type="solid"/>
            </v:shape>
            <v:shape style="position:absolute;left:13126;top:5994;width:366;height:524" type="#_x0000_t75" stroked="false">
              <v:imagedata r:id="rId371" o:title=""/>
            </v:shape>
            <v:shape style="position:absolute;left:13492;top:3071;width:29;height:21" coordorigin="13492,3071" coordsize="29,21" path="m13517,3071l13492,3085,13492,3092,13521,3076,13517,3071xe" filled="true" fillcolor="#cdcccd" stroked="false">
              <v:path arrowok="t"/>
              <v:fill opacity="32768f" type="solid"/>
            </v:shape>
            <v:shape style="position:absolute;left:13492;top:3131;width:391;height:531" type="#_x0000_t75" stroked="false">
              <v:imagedata r:id="rId372" o:title=""/>
            </v:shape>
            <v:shape style="position:absolute;left:13492;top:3492;width:1731;height:2830" coordorigin="13492,3493" coordsize="1731,2830" path="m13943,3497l13938,3493,13492,3750,13492,3757,13943,3497m14003,3557l13998,3553,13492,3845,13492,3852,14003,3557m14063,3618l14059,3613,13492,3940,13492,3947,14063,3618m14099,5964l13492,6315,13492,6322,14083,5981,14099,5964m14123,3678l14119,3673,13492,4035,13492,4042,14123,3678m14184,3738l14179,3734,13492,4130,13492,4137,14184,3738m14244,3798l14239,3794,13492,4225,13492,4232,14244,3798m14304,3858l14300,3854,13492,4320,13492,4327,14304,3858m14324,5740l13492,6220,13492,6227,14308,5756,14324,5740m14364,3919l14360,3914,13492,4415,13492,4422,14364,3919m14424,3979l14420,3974,13492,4510,13492,4517,14424,3979m14485,4039l14480,4035,13492,4605,13492,4612,14485,4039m14545,4099l14540,4095,13492,4700,13492,4707,14545,4099m14549,5515l13492,6125,13492,6132,14532,5531,14549,5515m14605,4160l14601,4155,13492,4795,13492,4802,14605,4160m14665,4220l14661,4215,13492,4890,13492,4897,14665,4220m14726,4280l14721,4276,13492,4985,13492,4992,14726,4280m14773,5290l13492,6030,13492,6037,14757,5307,14773,5290m14786,4340l14781,4336,13492,5080,13492,5087,14786,4340m14846,4400l14842,4396,13492,5175,13492,5182,14846,4400m14906,4461l14902,4456,13492,5270,13492,5277,14906,4461m14966,4521l14962,4517,13492,5365,13492,5372,14966,4521m14998,5066l13492,5935,13492,5942,14982,5082,14998,5066m15027,4581l15022,4577,13492,5460,13492,5467,15027,4581m15087,4641l15082,4637,13492,5555,13492,5562,15087,4641m15147,4702l15143,4697,13492,5650,13492,5657,15147,4702m15207,4762l15203,4757,13492,5745,13492,5752,15207,4762m15223,4841l13492,5840,13492,5847,15207,4857,15223,4841e" filled="true" fillcolor="#cdcccd" stroked="false">
              <v:path arrowok="t"/>
              <v:fill opacity="32768f" type="solid"/>
            </v:shape>
            <v:shape style="position:absolute;left:13492;top:6189;width:383;height:323" type="#_x0000_t75" stroked="false">
              <v:imagedata r:id="rId373" o:title=""/>
            </v:shape>
            <v:shape style="position:absolute;left:13634;top:1111;width:3203;height:3529" coordorigin="13635,1111" coordsize="3203,3529" path="m15399,1111l13635,2875,15399,4640,16838,3201,16838,2550,15399,1111xe" filled="true" fillcolor="#ffffff" stroked="false">
              <v:path arrowok="t"/>
              <v:fill type="solid"/>
            </v:shape>
            <v:shape style="position:absolute;left:14516;top:1552;width:1765;height:442" coordorigin="14517,1552" coordsize="1765,442" path="m14958,1552l14517,1993,14517,1993,14958,1993,15178,1773,14958,1552xm15840,1552l15620,1773,15840,1993,16281,1993,16281,1993,15840,1552xe" filled="true" fillcolor="#aebd37" stroked="false">
              <v:path arrowok="t"/>
              <v:fill type="solid"/>
            </v:shape>
            <v:shape style="position:absolute;left:13634;top:1993;width:883;height:1765" coordorigin="13635,1993" coordsize="883,1765" path="m14296,3096l14076,3317,14076,3317,14517,3758,14517,3317,14296,3096xm13635,2875l13635,2875,14076,3317,14076,3317,13635,2875xm14517,1993l14076,2434,14296,2655,14517,2434,14517,1993xe" filled="true" fillcolor="#6f2770" stroked="false">
              <v:path arrowok="t"/>
              <v:fill type="solid"/>
            </v:shape>
            <v:shape style="position:absolute;left:16281;top:1993;width:442;height:1765" coordorigin="16281,1993" coordsize="442,1765" path="m16281,1993l16281,1993,16281,1993,16281,1993,16281,1993m16722,3316l16502,3096,16281,3317,16281,3758,16281,3758,16281,3758,16281,3758,16722,3316m16722,2434l16722,2434,16281,1993,16281,1993,16281,1993,16281,2434,16502,2655,16722,2434,16722,2434e" filled="true" fillcolor="#5d883c" stroked="false">
              <v:path arrowok="t"/>
              <v:fill type="solid"/>
            </v:shape>
            <v:shape style="position:absolute;left:14516;top:3757;width:1765;height:883" coordorigin="14517,3758" coordsize="1765,883" path="m14958,3758l14517,3758,14517,3758,15399,4640,14958,4199,15178,3978,14958,3758xm16281,3758l15840,3758,15620,3978,15840,4199,15399,4640,16281,3758,16281,3758xe" filled="true" fillcolor="#360e3f" stroked="false">
              <v:path arrowok="t"/>
              <v:fill type="solid"/>
            </v:shape>
            <v:shape style="position:absolute;left:15840;top:1993;width:441;height:221" coordorigin="15840,1993" coordsize="441,221" path="m16281,1993l15840,1993,16061,2214,16281,1993xe" filled="true" fillcolor="#7aa142" stroked="false">
              <v:path arrowok="t"/>
              <v:fill type="solid"/>
            </v:shape>
            <v:shape style="position:absolute;left:16060;top:1993;width:221;height:441" coordorigin="16061,1993" coordsize="221,441" path="m16281,1993l16061,2214,16281,2434,16281,1993xe" filled="true" fillcolor="#41793d" stroked="false">
              <v:path arrowok="t"/>
              <v:fill type="solid"/>
            </v:shape>
            <v:shape style="position:absolute;left:14516;top:1993;width:221;height:221" coordorigin="14517,1993" coordsize="221,221" path="m14517,1993l14737,2214,14517,1993xe" filled="true" fillcolor="#6f2770" stroked="false">
              <v:path arrowok="t"/>
              <v:fill type="solid"/>
            </v:shape>
            <v:shape style="position:absolute;left:14516;top:1993;width:441;height:221" coordorigin="14517,1993" coordsize="441,221" path="m14958,1993l14517,1993,14737,2214,14958,1993xe" filled="true" fillcolor="#5b2e31" stroked="false">
              <v:path arrowok="t"/>
              <v:fill type="solid"/>
            </v:shape>
            <v:shape style="position:absolute;left:14516;top:1993;width:221;height:441" coordorigin="14517,1993" coordsize="221,441" path="m14517,1993l14517,2434,14737,2214,14517,1993xe" filled="true" fillcolor="#42285e" stroked="false">
              <v:path arrowok="t"/>
              <v:fill type="solid"/>
            </v:shape>
            <v:shape style="position:absolute;left:16060;top:3537;width:221;height:221" coordorigin="16061,3537" coordsize="221,221" path="m16061,3537l16281,3758,16061,3537xe" filled="true" fillcolor="#5d883c" stroked="false">
              <v:path arrowok="t"/>
              <v:fill type="solid"/>
            </v:shape>
            <v:shape style="position:absolute;left:16060;top:3316;width:221;height:441" coordorigin="16061,3317" coordsize="221,441" path="m16281,3317l16061,3537,16281,3758,16281,3317xe" filled="true" fillcolor="#226237" stroked="false">
              <v:path arrowok="t"/>
              <v:fill type="solid"/>
            </v:shape>
            <v:shape style="position:absolute;left:15840;top:3537;width:441;height:221" coordorigin="15840,3537" coordsize="441,221" path="m16061,3537l15840,3758,16281,3758,16061,3537xe" filled="true" fillcolor="#1e0f13" stroked="false">
              <v:path arrowok="t"/>
              <v:fill type="solid"/>
            </v:shape>
            <v:shape style="position:absolute;left:14516;top:3537;width:221;height:221" coordorigin="14517,3537" coordsize="221,221" path="m14737,3537l14517,3758,14737,3537xe" filled="true" fillcolor="#360e3f" stroked="false">
              <v:path arrowok="t"/>
              <v:fill type="solid"/>
            </v:shape>
            <v:shape style="position:absolute;left:14516;top:3316;width:221;height:441" coordorigin="14517,3317" coordsize="221,441" path="m14517,3317l14517,3758,14737,3537,14517,3317xe" filled="true" fillcolor="#200d34" stroked="false">
              <v:path arrowok="t"/>
              <v:fill type="solid"/>
            </v:shape>
            <v:shape style="position:absolute;left:14517;top:3537;width:441;height:221" coordorigin="14517,3537" coordsize="441,221" path="m14737,3537l14517,3758,14958,3758,14737,3537xe" filled="true" fillcolor="#050019" stroked="false">
              <v:path arrowok="t"/>
              <v:fill type="solid"/>
            </v:shape>
            <v:shape style="position:absolute;left:14958;top:1111;width:883;height:662" coordorigin="14958,1111" coordsize="883,662" path="m15399,1111l14958,1552,15178,1773,15399,1552,15840,1552,15399,1111xm15840,1552l15399,1552,15620,1773,15840,1552,15840,1552xe" filled="true" fillcolor="#89993e" stroked="false">
              <v:path arrowok="t"/>
              <v:fill type="solid"/>
            </v:shape>
            <v:shape style="position:absolute;left:16501;top:2434;width:336;height:883" coordorigin="16502,2434" coordsize="336,883" path="m16722,2434l16502,2655,16723,2876,16502,3096,16722,3317,16838,3201,16838,2550,16722,2434xe" filled="true" fillcolor="#4f743b" stroked="false">
              <v:path arrowok="t"/>
              <v:fill type="solid"/>
            </v:shape>
            <v:shape style="position:absolute;left:14958;top:3978;width:883;height:662" coordorigin="14958,3978" coordsize="883,662" path="m15178,3978l14958,4199,15399,4640,15840,4199,15399,4199,15178,3978xm15620,3978l15399,4199,15840,4199,15840,4199,15620,3978xe" filled="true" fillcolor="#2f1038" stroked="false">
              <v:path arrowok="t"/>
              <v:fill type="solid"/>
            </v:shape>
            <v:shape style="position:absolute;left:13634;top:2434;width:662;height:883" coordorigin="13635,2434" coordsize="662,883" path="m14296,2655l14076,2434,13635,2875,14076,3316,14296,3096,14076,2875,14296,2655e" filled="true" fillcolor="#602a63" stroked="false">
              <v:path arrowok="t"/>
              <v:fill type="solid"/>
            </v:shape>
            <v:shape style="position:absolute;left:14957;top:1772;width:883;height:221" coordorigin="14958,1773" coordsize="883,221" path="m15620,1773l15399,1993,14958,1993,15840,1993,15399,1993,15178,1773,15620,1773xe" filled="true" fillcolor="#f8f7f0" stroked="false">
              <v:path arrowok="t"/>
              <v:fill type="solid"/>
            </v:shape>
            <v:shape style="position:absolute;left:15399;top:2875;width:2;height:2" coordorigin="15399,2875" coordsize="1,1" path="m15399,2875xe" filled="true" fillcolor="#ffffff" stroked="false">
              <v:path arrowok="t"/>
              <v:fill type="solid"/>
            </v:shape>
            <v:shape style="position:absolute;left:14296;top:2434;width:1103;height:883" coordorigin="14296,2434" coordsize="1103,883" path="m15399,2875l14517,2875,14296,3096,14517,3317,14517,2875,15399,2875,15399,2875xm14517,2434l14296,2655,14517,2875,14517,2875,14517,2434xe" filled="true" fillcolor="#f1edf3" stroked="false">
              <v:path arrowok="t"/>
              <v:fill type="solid"/>
            </v:shape>
            <v:shape style="position:absolute;left:16281;top:2434;width:221;height:883" coordorigin="16281,2434" coordsize="221,883" path="m16281,2434l16281,3317,16502,3096,16281,2875,16502,2655,16281,2434xe" filled="true" fillcolor="#f2f3ee" stroked="false">
              <v:path arrowok="t"/>
              <v:fill type="solid"/>
            </v:shape>
            <v:shape style="position:absolute;left:14957;top:3757;width:883;height:221" coordorigin="14958,3758" coordsize="883,221" path="m15840,3758l15399,3758,15399,3758,14958,3758,15178,3978,15399,3758,15840,3758,15840,3758xm15840,3758l15399,3758,15620,3978,15840,3758xe" filled="true" fillcolor="#ebe7ea" stroked="false">
              <v:path arrowok="t"/>
              <v:fill type="solid"/>
            </v:shape>
            <v:shape style="position:absolute;left:15399;top:1993;width:662;height:883" coordorigin="15399,1993" coordsize="662,883" path="m15840,1993l15399,1993,15399,2875,16061,2214,15840,1993xe" filled="true" fillcolor="#f5f6f0" stroked="false">
              <v:path arrowok="t"/>
              <v:fill type="solid"/>
            </v:shape>
            <v:shape style="position:absolute;left:15399;top:2213;width:883;height:662" coordorigin="15399,2214" coordsize="883,662" path="m16061,2214l15399,2875,16281,2875,16281,2434,16061,2214xe" filled="true" fillcolor="#f2f3ee" stroked="false">
              <v:path arrowok="t"/>
              <v:fill type="solid"/>
            </v:shape>
            <v:shape style="position:absolute;left:14737;top:1993;width:662;height:883" coordorigin="14737,1993" coordsize="662,883" path="m15399,1993l14958,1993,14737,2214,15399,2875,15399,1993xe" filled="true" fillcolor="#f1edea" stroked="false">
              <v:path arrowok="t"/>
              <v:fill type="solid"/>
            </v:shape>
            <v:shape style="position:absolute;left:14516;top:2213;width:883;height:662" coordorigin="14517,2214" coordsize="883,662" path="m14737,2214l14517,2434,14517,2875,15399,2875,14737,2214xe" filled="true" fillcolor="#ebe9ed" stroked="false">
              <v:path arrowok="t"/>
              <v:fill type="solid"/>
            </v:shape>
            <v:shape style="position:absolute;left:15399;top:2875;width:662;height:662" coordorigin="15399,2875" coordsize="662,662" path="m15399,2875l16061,3537,15399,2875xe" filled="true" fillcolor="#f2f3ee" stroked="false">
              <v:path arrowok="t"/>
              <v:fill type="solid"/>
            </v:shape>
            <v:shape style="position:absolute;left:15399;top:2875;width:883;height:662" coordorigin="15399,2875" coordsize="883,662" path="m16281,2875l15399,2875,16061,3537,16281,3317,16281,2875xe" filled="true" fillcolor="#eceeea" stroked="false">
              <v:path arrowok="t"/>
              <v:fill type="solid"/>
            </v:shape>
            <v:shape style="position:absolute;left:15399;top:2875;width:662;height:883" coordorigin="15399,2875" coordsize="662,883" path="m15399,2875l15399,3758,15840,3758,16061,3537,15399,2875xe" filled="true" fillcolor="#e6e3e2" stroked="false">
              <v:path arrowok="t"/>
              <v:fill type="solid"/>
            </v:shape>
            <v:shape style="position:absolute;left:14737;top:2875;width:662;height:662" coordorigin="14737,2875" coordsize="662,662" path="m15399,2875l14737,3537,15399,2875xe" filled="true" fillcolor="#ebe7ea" stroked="false">
              <v:path arrowok="t"/>
              <v:fill type="solid"/>
            </v:shape>
            <v:shape style="position:absolute;left:14516;top:2875;width:883;height:662" coordorigin="14517,2875" coordsize="883,662" path="m15399,2875l14517,2875,14517,3317,14737,3537,15399,2875xe" filled="true" fillcolor="#e6e4e6" stroked="false">
              <v:path arrowok="t"/>
              <v:fill type="solid"/>
            </v:shape>
            <v:shape style="position:absolute;left:14737;top:2875;width:662;height:883" coordorigin="14737,2875" coordsize="662,883" path="m15399,2875l14737,3537,14958,3758,15399,3758,15399,2875xe" filled="true" fillcolor="#e4e2e4" stroked="false">
              <v:path arrowok="t"/>
              <v:fill type="solid"/>
            </v:shape>
            <v:shape style="position:absolute;left:15178;top:1552;width:442;height:442" coordorigin="15178,1552" coordsize="442,442" path="m15399,1552l15178,1773,15399,1993,15620,1773,15399,1552xe" filled="true" fillcolor="#f5f4ee" stroked="false">
              <v:path arrowok="t"/>
              <v:fill type="solid"/>
            </v:shape>
            <v:shape style="position:absolute;left:16281;top:2654;width:442;height:442" coordorigin="16281,2655" coordsize="442,442" path="m16502,2655l16281,2875,16502,3096,16723,2875,16502,2655xe" filled="true" fillcolor="#f2f3ee" stroked="false">
              <v:path arrowok="t"/>
              <v:fill type="solid"/>
            </v:shape>
            <v:shape style="position:absolute;left:15178;top:3757;width:442;height:442" coordorigin="15178,3758" coordsize="442,442" path="m15399,3758l15178,3978,15399,4199,15620,3978,15399,3758xe" filled="true" fillcolor="#ebe7e8" stroked="false">
              <v:path arrowok="t"/>
              <v:fill type="solid"/>
            </v:shape>
            <v:shape style="position:absolute;left:14075;top:2654;width:442;height:442" coordorigin="14076,2655" coordsize="442,442" path="m14296,2655l14076,2875,14296,3096,14517,2875,14296,2655xe" filled="true" fillcolor="#f1edf0" stroked="false">
              <v:path arrowok="t"/>
              <v:fill type="solid"/>
            </v:shape>
            <v:shape style="position:absolute;left:10973;top:1777;width:1807;height:2710" coordorigin="10974,1778" coordsize="1807,2710" path="m11877,4036l11425,3584,10974,4036,11425,4487,11877,4036m11877,2229l11425,1778,10974,2229,11425,2681,11877,2229m12328,2681l11877,2229,11425,2681,10974,3133,11425,3584,11877,3133,12328,2681m12780,3133l12328,2681,11877,3133,12328,3584,12780,3133e" filled="true" fillcolor="#ffffff" stroked="false">
              <v:path arrowok="t"/>
              <v:fill opacity="32768f" type="solid"/>
            </v:shape>
            <v:shape style="position:absolute;left:11876;top:2681;width:904;height:904" coordorigin="11877,2681" coordsize="904,904" path="m12328,2681l11877,3133,12328,3584,12780,3133,12328,2681xe" filled="true" fillcolor="#96ac7a" stroked="false">
              <v:path arrowok="t"/>
              <v:fill opacity="32768f" type="solid"/>
            </v:shape>
            <v:shape style="position:absolute;left:11425;top:2229;width:904;height:904" coordorigin="11425,2229" coordsize="904,904" path="m11877,2229l11425,2681,11877,3133,12328,2681,11877,2229xe" filled="true" fillcolor="#c4cd71" stroked="false">
              <v:path arrowok="t"/>
              <v:fill opacity="32768f" type="solid"/>
            </v:shape>
            <v:shape style="position:absolute;left:10973;top:1777;width:904;height:2710" coordorigin="10974,1778" coordsize="904,2710" path="m11877,4036l11425,3584,10974,4036,11425,4487,11877,4036m11877,2229l11425,1778,10974,2229,11425,2681,11877,2229e" filled="true" fillcolor="#d4d2d2" stroked="false">
              <v:path arrowok="t"/>
              <v:fill opacity="32768f" type="solid"/>
            </v:shape>
            <v:shape style="position:absolute;left:10973;top:2681;width:904;height:904" coordorigin="10974,2681" coordsize="904,904" path="m11425,2681l10974,3133,11425,3584,11877,3133,11425,2681xe" filled="true" fillcolor="#783a7a" stroked="false">
              <v:path arrowok="t"/>
              <v:fill opacity="32768f" type="solid"/>
            </v:shape>
            <w10:wrap type="none"/>
          </v:group>
        </w:pict>
      </w:r>
      <w:r>
        <w:rPr/>
        <w:t>not</w:t>
      </w:r>
      <w:r>
        <w:rPr>
          <w:spacing w:val="-20"/>
        </w:rPr>
        <w:t> </w:t>
      </w:r>
      <w:r>
        <w:rPr/>
        <w:t>as</w:t>
      </w:r>
      <w:r>
        <w:rPr>
          <w:spacing w:val="-20"/>
        </w:rPr>
        <w:t> </w:t>
      </w:r>
      <w:r>
        <w:rPr/>
        <w:t>fortunate</w:t>
      </w:r>
      <w:r>
        <w:rPr>
          <w:spacing w:val="-20"/>
        </w:rPr>
        <w:t> </w:t>
      </w:r>
      <w:r>
        <w:rPr/>
        <w:t>is</w:t>
      </w:r>
      <w:r>
        <w:rPr>
          <w:spacing w:val="-20"/>
        </w:rPr>
        <w:t> </w:t>
      </w:r>
      <w:r>
        <w:rPr/>
        <w:t>another</w:t>
      </w:r>
      <w:r>
        <w:rPr>
          <w:spacing w:val="-20"/>
        </w:rPr>
        <w:t> </w:t>
      </w:r>
      <w:r>
        <w:rPr/>
        <w:t>element</w:t>
      </w:r>
      <w:r>
        <w:rPr>
          <w:spacing w:val="-20"/>
        </w:rPr>
        <w:t> </w:t>
      </w:r>
      <w:r>
        <w:rPr/>
        <w:t>of</w:t>
      </w:r>
      <w:r>
        <w:rPr>
          <w:spacing w:val="-20"/>
        </w:rPr>
        <w:t> </w:t>
      </w:r>
      <w:r>
        <w:rPr>
          <w:spacing w:val="-5"/>
        </w:rPr>
        <w:t>Finance’s </w:t>
      </w:r>
      <w:r>
        <w:rPr/>
        <w:t>wellness program, with fundraisers and collections run </w:t>
      </w:r>
      <w:r>
        <w:rPr>
          <w:spacing w:val="-4"/>
        </w:rPr>
        <w:t>semi-regularly </w:t>
      </w:r>
      <w:r>
        <w:rPr/>
        <w:t>in aid of </w:t>
      </w:r>
      <w:r>
        <w:rPr>
          <w:spacing w:val="-3"/>
        </w:rPr>
        <w:t>local charities.</w:t>
      </w:r>
    </w:p>
    <w:p>
      <w:pPr>
        <w:spacing w:after="0" w:line="249" w:lineRule="auto"/>
        <w:sectPr>
          <w:type w:val="continuous"/>
          <w:pgSz w:w="16840" w:h="11910" w:orient="landscape"/>
          <w:pgMar w:top="0" w:bottom="0" w:left="0" w:right="0"/>
          <w:cols w:num="3" w:equalWidth="0">
            <w:col w:w="5558" w:space="40"/>
            <w:col w:w="4999" w:space="39"/>
            <w:col w:w="620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tabs>
          <w:tab w:pos="4671" w:val="left" w:leader="none"/>
          <w:tab w:pos="16072" w:val="left" w:leader="none"/>
        </w:tabs>
        <w:spacing w:before="106"/>
        <w:ind w:left="765" w:right="0" w:firstLine="0"/>
        <w:jc w:val="left"/>
        <w:rPr>
          <w:sz w:val="16"/>
        </w:rPr>
      </w:pPr>
      <w:r>
        <w:rPr>
          <w:b/>
          <w:color w:val="6F2770"/>
          <w:sz w:val="16"/>
        </w:rPr>
        <w:t>114   </w:t>
      </w:r>
      <w:r>
        <w:rPr>
          <w:color w:val="939598"/>
          <w:sz w:val="16"/>
        </w:rPr>
        <w:t>Department of Finance Annual Report</w:t>
      </w:r>
      <w:r>
        <w:rPr>
          <w:color w:val="939598"/>
          <w:spacing w:val="-29"/>
          <w:sz w:val="16"/>
        </w:rPr>
        <w:t> </w:t>
      </w:r>
      <w:r>
        <w:rPr>
          <w:color w:val="939598"/>
          <w:sz w:val="16"/>
        </w:rPr>
        <w:t>2016-17</w:t>
        <w:tab/>
      </w:r>
      <w:r>
        <w:rPr>
          <w:color w:val="939598"/>
          <w:w w:val="100"/>
          <w:sz w:val="16"/>
          <w:u w:val="single" w:color="939598"/>
        </w:rPr>
        <w:t> </w:t>
      </w:r>
      <w:r>
        <w:rPr>
          <w:color w:val="939598"/>
          <w:sz w:val="16"/>
          <w:u w:val="single" w:color="939598"/>
        </w:rPr>
        <w:tab/>
      </w:r>
    </w:p>
    <w:p>
      <w:pPr>
        <w:spacing w:after="0"/>
        <w:jc w:val="left"/>
        <w:rPr>
          <w:sz w:val="16"/>
        </w:rPr>
        <w:sectPr>
          <w:type w:val="continuous"/>
          <w:pgSz w:w="16840" w:h="11910" w:orient="landscape"/>
          <w:pgMar w:top="0" w:bottom="0" w:left="0" w:right="0"/>
        </w:sectPr>
      </w:pPr>
    </w:p>
    <w:p>
      <w:pPr>
        <w:pStyle w:val="BodyText"/>
        <w:rPr>
          <w:sz w:val="20"/>
        </w:rPr>
      </w:pPr>
      <w:r>
        <w:rPr>
          <w:sz w:val="20"/>
        </w:rPr>
        <w:pict>
          <v:group style="width:240.15pt;height:42.55pt;mso-position-horizontal-relative:char;mso-position-vertical-relative:line" coordorigin="0,0" coordsize="4803,851">
            <v:rect style="position:absolute;left:0;top:0;width:2406;height:851" filled="true" fillcolor="#aebd37" stroked="false">
              <v:fill type="solid"/>
            </v:rect>
            <v:shape style="position:absolute;left:0;top:0;width:2406;height:851" type="#_x0000_t202" filled="false" stroked="false">
              <v:textbox inset="0,0,0,0">
                <w:txbxContent>
                  <w:p>
                    <w:pPr>
                      <w:spacing w:line="240" w:lineRule="auto" w:before="9"/>
                      <w:rPr>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shape style="position:absolute;left:2397;top:0;width:2406;height:851" type="#_x0000_t202" filled="true" fillcolor="#b6c247" stroked="false">
              <v:textbox inset="0,0,0,0">
                <w:txbxContent>
                  <w:p>
                    <w:pPr>
                      <w:spacing w:line="240" w:lineRule="auto" w:before="9"/>
                      <w:rPr>
                        <w:sz w:val="26"/>
                      </w:rPr>
                    </w:pPr>
                  </w:p>
                  <w:p>
                    <w:pPr>
                      <w:spacing w:before="0"/>
                      <w:ind w:left="719"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group>
        </w:pict>
      </w:r>
      <w:r>
        <w:rPr>
          <w:sz w:val="20"/>
        </w:rPr>
      </w:r>
    </w:p>
    <w:p>
      <w:pPr>
        <w:pStyle w:val="BodyText"/>
        <w:rPr>
          <w:sz w:val="20"/>
        </w:rPr>
      </w:pPr>
    </w:p>
    <w:p>
      <w:pPr>
        <w:pStyle w:val="BodyText"/>
        <w:spacing w:before="6"/>
        <w:rPr>
          <w:sz w:val="25"/>
        </w:rPr>
      </w:pPr>
    </w:p>
    <w:p>
      <w:pPr>
        <w:spacing w:after="0"/>
        <w:rPr>
          <w:sz w:val="25"/>
        </w:rPr>
        <w:sectPr>
          <w:footerReference w:type="default" r:id="rId374"/>
          <w:pgSz w:w="16840" w:h="11910" w:orient="landscape"/>
          <w:pgMar w:footer="0" w:header="0" w:top="0" w:bottom="0" w:left="0" w:right="0"/>
        </w:sectPr>
      </w:pPr>
    </w:p>
    <w:p>
      <w:pPr>
        <w:pStyle w:val="BodyText"/>
        <w:spacing w:line="249" w:lineRule="auto" w:before="142"/>
        <w:ind w:left="765"/>
      </w:pPr>
      <w:r>
        <w:rPr/>
        <w:pict>
          <v:group style="position:absolute;margin-left:240.123001pt;margin-top:-70.47422pt;width:601.8pt;height:42.55pt;mso-position-horizontal-relative:page;mso-position-vertical-relative:paragraph;z-index:40216" coordorigin="4802,-1409" coordsize="12036,851">
            <v:rect style="position:absolute;left:12026;top:-1410;width:2406;height:851" filled="true" fillcolor="#e6e7e8" stroked="false">
              <v:fill type="solid"/>
            </v:rect>
            <v:shape style="position:absolute;left:12026;top:-1410;width:583;height:583" type="#_x0000_t75" stroked="false">
              <v:imagedata r:id="rId272" o:title=""/>
            </v:shape>
            <v:rect style="position:absolute;left:14432;top:-1410;width:2406;height:851" filled="true" fillcolor="#aebd37" stroked="false">
              <v:fill type="solid"/>
            </v:rect>
            <v:shape style="position:absolute;left:12026;top:-1410;width:4811;height:851" type="#_x0000_t202" filled="false" stroked="false">
              <v:textbox inset="0,0,0,0">
                <w:txbxContent>
                  <w:p>
                    <w:pPr>
                      <w:spacing w:line="240" w:lineRule="auto" w:before="9"/>
                      <w:rPr>
                        <w:b/>
                        <w:sz w:val="26"/>
                      </w:rPr>
                    </w:pPr>
                  </w:p>
                  <w:p>
                    <w:pPr>
                      <w:spacing w:before="0"/>
                      <w:ind w:left="3141" w:right="0" w:firstLine="0"/>
                      <w:jc w:val="left"/>
                      <w:rPr>
                        <w:sz w:val="20"/>
                      </w:rPr>
                    </w:pPr>
                    <w:hyperlink w:history="true" w:anchor="_bookmark73">
                      <w:r>
                        <w:rPr>
                          <w:color w:val="FFFFFF"/>
                          <w:sz w:val="20"/>
                        </w:rPr>
                        <w:t>APPENDIX</w:t>
                      </w:r>
                    </w:hyperlink>
                  </w:p>
                </w:txbxContent>
              </v:textbox>
              <w10:wrap type="none"/>
            </v:shape>
            <v:shape style="position:absolute;left:12026;top:-1410;width:2406;height:851" type="#_x0000_t202" filled="false" stroked="false">
              <v:textbox inset="0,0,0,0">
                <w:txbxContent>
                  <w:p>
                    <w:pPr>
                      <w:spacing w:line="240" w:lineRule="auto" w:before="9"/>
                      <w:rPr>
                        <w:b/>
                        <w:sz w:val="26"/>
                      </w:rPr>
                    </w:pPr>
                  </w:p>
                  <w:p>
                    <w:pPr>
                      <w:spacing w:before="0"/>
                      <w:ind w:left="530" w:right="0" w:firstLine="0"/>
                      <w:jc w:val="left"/>
                      <w:rPr>
                        <w:sz w:val="20"/>
                      </w:rPr>
                    </w:pPr>
                    <w:hyperlink w:history="true" w:anchor="_bookmark68">
                      <w:r>
                        <w:rPr>
                          <w:color w:val="6F2770"/>
                          <w:sz w:val="20"/>
                        </w:rPr>
                        <w:t>DISCLOSURES</w:t>
                      </w:r>
                    </w:hyperlink>
                  </w:p>
                </w:txbxContent>
              </v:textbox>
              <w10:wrap type="none"/>
            </v:shape>
            <v:shape style="position:absolute;left:9621;top:-1410;width:2406;height:851" type="#_x0000_t202" filled="true" fillcolor="#bec85c"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v:fill type="solid"/>
              <w10:wrap type="none"/>
            </v:shape>
            <v:shape style="position:absolute;left:7215;top:-1410;width:2406;height:851"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410;width:2414;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w10:wrap type="none"/>
          </v:group>
        </w:pict>
      </w:r>
      <w:r>
        <w:rPr>
          <w:spacing w:val="-3"/>
        </w:rPr>
        <w:t>This year successful collections </w:t>
      </w:r>
      <w:r>
        <w:rPr/>
        <w:t>of </w:t>
      </w:r>
      <w:r>
        <w:rPr>
          <w:spacing w:val="-3"/>
        </w:rPr>
        <w:t>blankets, tinned food </w:t>
      </w:r>
      <w:r>
        <w:rPr/>
        <w:t>and </w:t>
      </w:r>
      <w:r>
        <w:rPr>
          <w:spacing w:val="-3"/>
        </w:rPr>
        <w:t>toiletries </w:t>
      </w:r>
      <w:r>
        <w:rPr/>
        <w:t>to </w:t>
      </w:r>
      <w:r>
        <w:rPr>
          <w:spacing w:val="-3"/>
        </w:rPr>
        <w:t>support </w:t>
      </w:r>
      <w:r>
        <w:rPr/>
        <w:t>the </w:t>
      </w:r>
      <w:r>
        <w:rPr>
          <w:spacing w:val="-3"/>
        </w:rPr>
        <w:t>Salvation Army Perth Doorways Community </w:t>
      </w:r>
      <w:r>
        <w:rPr>
          <w:spacing w:val="-4"/>
        </w:rPr>
        <w:t>Program </w:t>
      </w:r>
      <w:r>
        <w:rPr/>
        <w:t>was </w:t>
      </w:r>
      <w:r>
        <w:rPr>
          <w:spacing w:val="-4"/>
        </w:rPr>
        <w:t>greatly appreciated </w:t>
      </w:r>
      <w:r>
        <w:rPr/>
        <w:t>in </w:t>
      </w:r>
      <w:r>
        <w:rPr>
          <w:spacing w:val="-3"/>
        </w:rPr>
        <w:t>support </w:t>
      </w:r>
      <w:r>
        <w:rPr/>
        <w:t>of the </w:t>
      </w:r>
      <w:r>
        <w:rPr>
          <w:spacing w:val="-3"/>
        </w:rPr>
        <w:t>homeless, </w:t>
      </w:r>
      <w:r>
        <w:rPr/>
        <w:t>and </w:t>
      </w:r>
      <w:r>
        <w:rPr>
          <w:spacing w:val="-3"/>
        </w:rPr>
        <w:t>the twice</w:t>
      </w:r>
      <w:r>
        <w:rPr>
          <w:spacing w:val="-22"/>
        </w:rPr>
        <w:t> </w:t>
      </w:r>
      <w:r>
        <w:rPr>
          <w:spacing w:val="-3"/>
        </w:rPr>
        <w:t>yearly</w:t>
      </w:r>
      <w:r>
        <w:rPr>
          <w:spacing w:val="-21"/>
        </w:rPr>
        <w:t> </w:t>
      </w:r>
      <w:r>
        <w:rPr>
          <w:spacing w:val="-3"/>
        </w:rPr>
        <w:t>book</w:t>
      </w:r>
      <w:r>
        <w:rPr>
          <w:spacing w:val="-22"/>
        </w:rPr>
        <w:t> </w:t>
      </w:r>
      <w:r>
        <w:rPr>
          <w:spacing w:val="-3"/>
        </w:rPr>
        <w:t>sale</w:t>
      </w:r>
      <w:r>
        <w:rPr>
          <w:spacing w:val="-22"/>
        </w:rPr>
        <w:t> </w:t>
      </w:r>
      <w:r>
        <w:rPr>
          <w:spacing w:val="-3"/>
        </w:rPr>
        <w:t>event</w:t>
      </w:r>
      <w:r>
        <w:rPr>
          <w:spacing w:val="-21"/>
        </w:rPr>
        <w:t> </w:t>
      </w:r>
      <w:r>
        <w:rPr>
          <w:spacing w:val="-3"/>
        </w:rPr>
        <w:t>made</w:t>
      </w:r>
      <w:r>
        <w:rPr>
          <w:spacing w:val="-22"/>
        </w:rPr>
        <w:t> </w:t>
      </w:r>
      <w:r>
        <w:rPr/>
        <w:t>a</w:t>
      </w:r>
      <w:r>
        <w:rPr>
          <w:spacing w:val="-21"/>
        </w:rPr>
        <w:t> </w:t>
      </w:r>
      <w:r>
        <w:rPr>
          <w:spacing w:val="-4"/>
        </w:rPr>
        <w:t>strong</w:t>
      </w:r>
      <w:r>
        <w:rPr>
          <w:spacing w:val="-22"/>
        </w:rPr>
        <w:t> </w:t>
      </w:r>
      <w:r>
        <w:rPr>
          <w:spacing w:val="-3"/>
        </w:rPr>
        <w:t>financial contribution</w:t>
      </w:r>
      <w:r>
        <w:rPr>
          <w:spacing w:val="-21"/>
        </w:rPr>
        <w:t> </w:t>
      </w:r>
      <w:r>
        <w:rPr/>
        <w:t>to</w:t>
      </w:r>
      <w:r>
        <w:rPr>
          <w:spacing w:val="-21"/>
        </w:rPr>
        <w:t> </w:t>
      </w:r>
      <w:r>
        <w:rPr/>
        <w:t>the</w:t>
      </w:r>
      <w:r>
        <w:rPr>
          <w:spacing w:val="-21"/>
        </w:rPr>
        <w:t> </w:t>
      </w:r>
      <w:r>
        <w:rPr>
          <w:spacing w:val="-3"/>
        </w:rPr>
        <w:t>Save</w:t>
      </w:r>
      <w:r>
        <w:rPr>
          <w:spacing w:val="-21"/>
        </w:rPr>
        <w:t> </w:t>
      </w:r>
      <w:r>
        <w:rPr/>
        <w:t>the</w:t>
      </w:r>
      <w:r>
        <w:rPr>
          <w:spacing w:val="-20"/>
        </w:rPr>
        <w:t> </w:t>
      </w:r>
      <w:r>
        <w:rPr>
          <w:spacing w:val="-4"/>
        </w:rPr>
        <w:t>Children</w:t>
      </w:r>
      <w:r>
        <w:rPr>
          <w:spacing w:val="-21"/>
        </w:rPr>
        <w:t> </w:t>
      </w:r>
      <w:r>
        <w:rPr>
          <w:spacing w:val="-3"/>
        </w:rPr>
        <w:t>Fund</w:t>
      </w:r>
      <w:r>
        <w:rPr>
          <w:spacing w:val="-21"/>
        </w:rPr>
        <w:t> </w:t>
      </w:r>
      <w:r>
        <w:rPr>
          <w:spacing w:val="-4"/>
        </w:rPr>
        <w:t>from</w:t>
      </w:r>
      <w:r>
        <w:rPr>
          <w:spacing w:val="-21"/>
        </w:rPr>
        <w:t> </w:t>
      </w:r>
      <w:r>
        <w:rPr>
          <w:spacing w:val="-4"/>
        </w:rPr>
        <w:t>staff </w:t>
      </w:r>
      <w:r>
        <w:rPr>
          <w:spacing w:val="-3"/>
        </w:rPr>
        <w:t>book</w:t>
      </w:r>
      <w:r>
        <w:rPr>
          <w:spacing w:val="-6"/>
        </w:rPr>
        <w:t> </w:t>
      </w:r>
      <w:r>
        <w:rPr>
          <w:spacing w:val="-3"/>
        </w:rPr>
        <w:t>donations.</w:t>
      </w:r>
    </w:p>
    <w:p>
      <w:pPr>
        <w:pStyle w:val="BodyText"/>
        <w:spacing w:before="6"/>
        <w:rPr>
          <w:sz w:val="23"/>
        </w:rPr>
      </w:pPr>
    </w:p>
    <w:p>
      <w:pPr>
        <w:pStyle w:val="BodyText"/>
        <w:spacing w:line="249" w:lineRule="auto"/>
        <w:ind w:left="765"/>
      </w:pPr>
      <w:r>
        <w:rPr/>
        <w:t>The</w:t>
      </w:r>
      <w:r>
        <w:rPr>
          <w:spacing w:val="-25"/>
        </w:rPr>
        <w:t> </w:t>
      </w:r>
      <w:r>
        <w:rPr>
          <w:spacing w:val="-3"/>
        </w:rPr>
        <w:t>financial</w:t>
      </w:r>
      <w:r>
        <w:rPr>
          <w:spacing w:val="-24"/>
        </w:rPr>
        <w:t> </w:t>
      </w:r>
      <w:r>
        <w:rPr>
          <w:spacing w:val="-3"/>
        </w:rPr>
        <w:t>success</w:t>
      </w:r>
      <w:r>
        <w:rPr>
          <w:spacing w:val="-24"/>
        </w:rPr>
        <w:t> </w:t>
      </w:r>
      <w:r>
        <w:rPr/>
        <w:t>of</w:t>
      </w:r>
      <w:r>
        <w:rPr>
          <w:spacing w:val="-24"/>
        </w:rPr>
        <w:t> </w:t>
      </w:r>
      <w:r>
        <w:rPr/>
        <w:t>the</w:t>
      </w:r>
      <w:r>
        <w:rPr>
          <w:spacing w:val="-24"/>
        </w:rPr>
        <w:t> </w:t>
      </w:r>
      <w:r>
        <w:rPr>
          <w:spacing w:val="-3"/>
        </w:rPr>
        <w:t>wellness</w:t>
      </w:r>
      <w:r>
        <w:rPr>
          <w:spacing w:val="-24"/>
        </w:rPr>
        <w:t> </w:t>
      </w:r>
      <w:r>
        <w:rPr>
          <w:spacing w:val="-4"/>
        </w:rPr>
        <w:t>program</w:t>
      </w:r>
      <w:r>
        <w:rPr>
          <w:spacing w:val="-25"/>
        </w:rPr>
        <w:t> </w:t>
      </w:r>
      <w:r>
        <w:rPr>
          <w:spacing w:val="-3"/>
        </w:rPr>
        <w:t>has seen</w:t>
      </w:r>
      <w:r>
        <w:rPr>
          <w:spacing w:val="-17"/>
        </w:rPr>
        <w:t> </w:t>
      </w:r>
      <w:r>
        <w:rPr/>
        <w:t>it</w:t>
      </w:r>
      <w:r>
        <w:rPr>
          <w:spacing w:val="-17"/>
        </w:rPr>
        <w:t> </w:t>
      </w:r>
      <w:r>
        <w:rPr>
          <w:spacing w:val="-3"/>
        </w:rPr>
        <w:t>expand</w:t>
      </w:r>
      <w:r>
        <w:rPr>
          <w:spacing w:val="-16"/>
        </w:rPr>
        <w:t> </w:t>
      </w:r>
      <w:r>
        <w:rPr>
          <w:spacing w:val="-3"/>
        </w:rPr>
        <w:t>this</w:t>
      </w:r>
      <w:r>
        <w:rPr>
          <w:spacing w:val="-17"/>
        </w:rPr>
        <w:t> </w:t>
      </w:r>
      <w:r>
        <w:rPr>
          <w:spacing w:val="-3"/>
        </w:rPr>
        <w:t>year</w:t>
      </w:r>
      <w:r>
        <w:rPr>
          <w:spacing w:val="-16"/>
        </w:rPr>
        <w:t> </w:t>
      </w:r>
      <w:r>
        <w:rPr/>
        <w:t>at</w:t>
      </w:r>
      <w:r>
        <w:rPr>
          <w:spacing w:val="-17"/>
        </w:rPr>
        <w:t> </w:t>
      </w:r>
      <w:r>
        <w:rPr/>
        <w:t>no</w:t>
      </w:r>
      <w:r>
        <w:rPr>
          <w:spacing w:val="-16"/>
        </w:rPr>
        <w:t> </w:t>
      </w:r>
      <w:r>
        <w:rPr>
          <w:spacing w:val="-3"/>
        </w:rPr>
        <w:t>additional</w:t>
      </w:r>
      <w:r>
        <w:rPr>
          <w:spacing w:val="-17"/>
        </w:rPr>
        <w:t> </w:t>
      </w:r>
      <w:r>
        <w:rPr>
          <w:spacing w:val="-3"/>
        </w:rPr>
        <w:t>cost</w:t>
      </w:r>
      <w:r>
        <w:rPr>
          <w:spacing w:val="-16"/>
        </w:rPr>
        <w:t> </w:t>
      </w:r>
      <w:r>
        <w:rPr/>
        <w:t>to</w:t>
      </w:r>
      <w:r>
        <w:rPr>
          <w:spacing w:val="-17"/>
        </w:rPr>
        <w:t> </w:t>
      </w:r>
      <w:r>
        <w:rPr>
          <w:spacing w:val="-3"/>
        </w:rPr>
        <w:t>the Department </w:t>
      </w:r>
      <w:r>
        <w:rPr/>
        <w:t>of </w:t>
      </w:r>
      <w:r>
        <w:rPr>
          <w:spacing w:val="-6"/>
        </w:rPr>
        <w:t>Finance’s </w:t>
      </w:r>
      <w:r>
        <w:rPr>
          <w:spacing w:val="-3"/>
        </w:rPr>
        <w:t>Kalgoorlie </w:t>
      </w:r>
      <w:r>
        <w:rPr/>
        <w:t>and </w:t>
      </w:r>
      <w:r>
        <w:rPr>
          <w:spacing w:val="-3"/>
        </w:rPr>
        <w:t>Bunbury </w:t>
      </w:r>
      <w:r>
        <w:rPr>
          <w:spacing w:val="-4"/>
        </w:rPr>
        <w:t>regional</w:t>
      </w:r>
      <w:r>
        <w:rPr>
          <w:spacing w:val="-6"/>
        </w:rPr>
        <w:t> </w:t>
      </w:r>
      <w:r>
        <w:rPr>
          <w:spacing w:val="-4"/>
        </w:rPr>
        <w:t>offices.</w:t>
      </w:r>
    </w:p>
    <w:p>
      <w:pPr>
        <w:pStyle w:val="BodyText"/>
        <w:spacing w:before="5"/>
        <w:rPr>
          <w:sz w:val="26"/>
        </w:rPr>
      </w:pPr>
    </w:p>
    <w:p>
      <w:pPr>
        <w:pStyle w:val="Heading4"/>
        <w:spacing w:before="0"/>
      </w:pPr>
      <w:r>
        <w:rPr>
          <w:color w:val="A7BE39"/>
        </w:rPr>
        <w:t>Injury management</w:t>
      </w:r>
    </w:p>
    <w:p>
      <w:pPr>
        <w:pStyle w:val="BodyText"/>
        <w:spacing w:line="249" w:lineRule="auto" w:before="246"/>
        <w:ind w:left="765" w:right="-15"/>
      </w:pPr>
      <w:r>
        <w:rPr/>
        <w:pict>
          <v:group style="position:absolute;margin-left:0pt;margin-top:91.23806pt;width:16.3pt;height:32.6pt;mso-position-horizontal-relative:page;mso-position-vertical-relative:paragraph;z-index:39976" coordorigin="0,1825" coordsize="326,652">
            <v:shape style="position:absolute;left:196;top:1854;width:129;height:297" type="#_x0000_t75" stroked="false">
              <v:imagedata r:id="rId375" o:title=""/>
            </v:shape>
            <v:shape style="position:absolute;left:0;top:1824;width:326;height:652" coordorigin="0,1825" coordsize="326,652" path="m0,1825l0,2476,326,2150,0,1825xe" filled="true" fillcolor="#4f743b" stroked="false">
              <v:path arrowok="t"/>
              <v:fill type="solid"/>
            </v:shape>
            <w10:wrap type="none"/>
          </v:group>
        </w:pict>
      </w:r>
      <w:r>
        <w:rPr>
          <w:spacing w:val="-3"/>
        </w:rPr>
        <w:t>Injury management assistance </w:t>
      </w:r>
      <w:r>
        <w:rPr/>
        <w:t>was </w:t>
      </w:r>
      <w:r>
        <w:rPr>
          <w:spacing w:val="-4"/>
        </w:rPr>
        <w:t>provided </w:t>
      </w:r>
      <w:r>
        <w:rPr/>
        <w:t>to </w:t>
      </w:r>
      <w:r>
        <w:rPr>
          <w:spacing w:val="-3"/>
        </w:rPr>
        <w:t>two </w:t>
      </w:r>
      <w:r>
        <w:rPr>
          <w:spacing w:val="-4"/>
        </w:rPr>
        <w:t>injured</w:t>
      </w:r>
      <w:r>
        <w:rPr>
          <w:spacing w:val="-22"/>
        </w:rPr>
        <w:t> </w:t>
      </w:r>
      <w:r>
        <w:rPr>
          <w:spacing w:val="-4"/>
        </w:rPr>
        <w:t>staff</w:t>
      </w:r>
      <w:r>
        <w:rPr>
          <w:spacing w:val="-22"/>
        </w:rPr>
        <w:t> </w:t>
      </w:r>
      <w:r>
        <w:rPr>
          <w:spacing w:val="-3"/>
        </w:rPr>
        <w:t>members</w:t>
      </w:r>
      <w:r>
        <w:rPr>
          <w:spacing w:val="-21"/>
        </w:rPr>
        <w:t> </w:t>
      </w:r>
      <w:r>
        <w:rPr/>
        <w:t>who</w:t>
      </w:r>
      <w:r>
        <w:rPr>
          <w:spacing w:val="-22"/>
        </w:rPr>
        <w:t> </w:t>
      </w:r>
      <w:r>
        <w:rPr>
          <w:spacing w:val="-4"/>
        </w:rPr>
        <w:t>were</w:t>
      </w:r>
      <w:r>
        <w:rPr>
          <w:spacing w:val="-21"/>
        </w:rPr>
        <w:t> </w:t>
      </w:r>
      <w:r>
        <w:rPr>
          <w:spacing w:val="-3"/>
        </w:rPr>
        <w:t>either</w:t>
      </w:r>
      <w:r>
        <w:rPr>
          <w:spacing w:val="-22"/>
        </w:rPr>
        <w:t> </w:t>
      </w:r>
      <w:r>
        <w:rPr>
          <w:spacing w:val="-3"/>
        </w:rPr>
        <w:t>certified</w:t>
      </w:r>
      <w:r>
        <w:rPr>
          <w:spacing w:val="-21"/>
        </w:rPr>
        <w:t> </w:t>
      </w:r>
      <w:r>
        <w:rPr>
          <w:spacing w:val="-3"/>
        </w:rPr>
        <w:t>‘unfit’ </w:t>
      </w:r>
      <w:r>
        <w:rPr/>
        <w:t>or </w:t>
      </w:r>
      <w:r>
        <w:rPr>
          <w:spacing w:val="-3"/>
        </w:rPr>
        <w:t>‘fit </w:t>
      </w:r>
      <w:r>
        <w:rPr/>
        <w:t>for </w:t>
      </w:r>
      <w:r>
        <w:rPr>
          <w:spacing w:val="-3"/>
        </w:rPr>
        <w:t>work with </w:t>
      </w:r>
      <w:r>
        <w:rPr>
          <w:spacing w:val="-4"/>
        </w:rPr>
        <w:t>restrictions’. </w:t>
      </w:r>
      <w:r>
        <w:rPr>
          <w:spacing w:val="-3"/>
        </w:rPr>
        <w:t>Assistance included </w:t>
      </w:r>
      <w:r>
        <w:rPr/>
        <w:t>the </w:t>
      </w:r>
      <w:r>
        <w:rPr>
          <w:spacing w:val="-3"/>
        </w:rPr>
        <w:t>development </w:t>
      </w:r>
      <w:r>
        <w:rPr/>
        <w:t>of </w:t>
      </w:r>
      <w:r>
        <w:rPr>
          <w:spacing w:val="-3"/>
        </w:rPr>
        <w:t>return-to-work </w:t>
      </w:r>
      <w:r>
        <w:rPr>
          <w:spacing w:val="-4"/>
        </w:rPr>
        <w:t>programs </w:t>
      </w:r>
      <w:r>
        <w:rPr>
          <w:spacing w:val="-3"/>
        </w:rPr>
        <w:t>and </w:t>
      </w:r>
      <w:r>
        <w:rPr/>
        <w:t>the </w:t>
      </w:r>
      <w:r>
        <w:rPr>
          <w:spacing w:val="-3"/>
        </w:rPr>
        <w:t>outlining </w:t>
      </w:r>
      <w:r>
        <w:rPr/>
        <w:t>of </w:t>
      </w:r>
      <w:r>
        <w:rPr>
          <w:spacing w:val="-3"/>
        </w:rPr>
        <w:t>suitable duties, </w:t>
      </w:r>
      <w:r>
        <w:rPr/>
        <w:t>in </w:t>
      </w:r>
      <w:r>
        <w:rPr>
          <w:spacing w:val="-3"/>
        </w:rPr>
        <w:t>collaboration with </w:t>
      </w:r>
      <w:r>
        <w:rPr/>
        <w:t>the</w:t>
      </w:r>
      <w:r>
        <w:rPr>
          <w:spacing w:val="-22"/>
        </w:rPr>
        <w:t> </w:t>
      </w:r>
      <w:r>
        <w:rPr>
          <w:spacing w:val="-3"/>
        </w:rPr>
        <w:t>employee</w:t>
      </w:r>
      <w:r>
        <w:rPr>
          <w:spacing w:val="-22"/>
        </w:rPr>
        <w:t> </w:t>
      </w:r>
      <w:r>
        <w:rPr/>
        <w:t>and</w:t>
      </w:r>
      <w:r>
        <w:rPr>
          <w:spacing w:val="-22"/>
        </w:rPr>
        <w:t> </w:t>
      </w:r>
      <w:r>
        <w:rPr>
          <w:spacing w:val="-3"/>
        </w:rPr>
        <w:t>their</w:t>
      </w:r>
      <w:r>
        <w:rPr>
          <w:spacing w:val="-22"/>
        </w:rPr>
        <w:t> </w:t>
      </w:r>
      <w:r>
        <w:rPr>
          <w:spacing w:val="-4"/>
        </w:rPr>
        <w:t>treating</w:t>
      </w:r>
      <w:r>
        <w:rPr>
          <w:spacing w:val="-22"/>
        </w:rPr>
        <w:t> </w:t>
      </w:r>
      <w:r>
        <w:rPr>
          <w:spacing w:val="-3"/>
        </w:rPr>
        <w:t>medical</w:t>
      </w:r>
      <w:r>
        <w:rPr>
          <w:spacing w:val="-22"/>
        </w:rPr>
        <w:t> </w:t>
      </w:r>
      <w:r>
        <w:rPr>
          <w:spacing w:val="-5"/>
        </w:rPr>
        <w:t>practitioner. </w:t>
      </w:r>
      <w:r>
        <w:rPr>
          <w:spacing w:val="-3"/>
        </w:rPr>
        <w:t>Such initiatives seek </w:t>
      </w:r>
      <w:r>
        <w:rPr/>
        <w:t>to </w:t>
      </w:r>
      <w:r>
        <w:rPr>
          <w:spacing w:val="-4"/>
        </w:rPr>
        <w:t>provide </w:t>
      </w:r>
      <w:r>
        <w:rPr>
          <w:spacing w:val="-3"/>
        </w:rPr>
        <w:t>opportunities for </w:t>
      </w:r>
      <w:r>
        <w:rPr>
          <w:spacing w:val="-4"/>
        </w:rPr>
        <w:t>injured</w:t>
      </w:r>
      <w:r>
        <w:rPr>
          <w:spacing w:val="-20"/>
        </w:rPr>
        <w:t> </w:t>
      </w:r>
      <w:r>
        <w:rPr>
          <w:spacing w:val="-3"/>
        </w:rPr>
        <w:t>employees</w:t>
      </w:r>
      <w:r>
        <w:rPr>
          <w:spacing w:val="-20"/>
        </w:rPr>
        <w:t> </w:t>
      </w:r>
      <w:r>
        <w:rPr/>
        <w:t>to</w:t>
      </w:r>
      <w:r>
        <w:rPr>
          <w:spacing w:val="-19"/>
        </w:rPr>
        <w:t> </w:t>
      </w:r>
      <w:r>
        <w:rPr>
          <w:spacing w:val="-3"/>
        </w:rPr>
        <w:t>engage</w:t>
      </w:r>
      <w:r>
        <w:rPr>
          <w:spacing w:val="-20"/>
        </w:rPr>
        <w:t> </w:t>
      </w:r>
      <w:r>
        <w:rPr/>
        <w:t>in</w:t>
      </w:r>
      <w:r>
        <w:rPr>
          <w:spacing w:val="-19"/>
        </w:rPr>
        <w:t> </w:t>
      </w:r>
      <w:r>
        <w:rPr>
          <w:spacing w:val="-3"/>
        </w:rPr>
        <w:t>meaningful</w:t>
      </w:r>
      <w:r>
        <w:rPr>
          <w:spacing w:val="-20"/>
        </w:rPr>
        <w:t> </w:t>
      </w:r>
      <w:r>
        <w:rPr>
          <w:spacing w:val="-3"/>
        </w:rPr>
        <w:t>work</w:t>
      </w:r>
      <w:r>
        <w:rPr>
          <w:spacing w:val="-20"/>
        </w:rPr>
        <w:t> </w:t>
      </w:r>
      <w:r>
        <w:rPr>
          <w:spacing w:val="-3"/>
        </w:rPr>
        <w:t>in</w:t>
      </w:r>
    </w:p>
    <w:p>
      <w:pPr>
        <w:pStyle w:val="BodyText"/>
        <w:spacing w:line="249" w:lineRule="auto" w:before="7"/>
        <w:ind w:left="765" w:right="75"/>
      </w:pPr>
      <w:r>
        <w:rPr/>
        <w:t>a</w:t>
      </w:r>
      <w:r>
        <w:rPr>
          <w:spacing w:val="-17"/>
        </w:rPr>
        <w:t> </w:t>
      </w:r>
      <w:r>
        <w:rPr>
          <w:spacing w:val="-3"/>
        </w:rPr>
        <w:t>sustained</w:t>
      </w:r>
      <w:r>
        <w:rPr>
          <w:spacing w:val="-16"/>
        </w:rPr>
        <w:t> </w:t>
      </w:r>
      <w:r>
        <w:rPr>
          <w:spacing w:val="-6"/>
        </w:rPr>
        <w:t>manner,</w:t>
      </w:r>
      <w:r>
        <w:rPr>
          <w:spacing w:val="-16"/>
        </w:rPr>
        <w:t> </w:t>
      </w:r>
      <w:r>
        <w:rPr/>
        <w:t>at</w:t>
      </w:r>
      <w:r>
        <w:rPr>
          <w:spacing w:val="-16"/>
        </w:rPr>
        <w:t> </w:t>
      </w:r>
      <w:r>
        <w:rPr/>
        <w:t>a</w:t>
      </w:r>
      <w:r>
        <w:rPr>
          <w:spacing w:val="-17"/>
        </w:rPr>
        <w:t> </w:t>
      </w:r>
      <w:r>
        <w:rPr>
          <w:spacing w:val="-3"/>
        </w:rPr>
        <w:t>pace</w:t>
      </w:r>
      <w:r>
        <w:rPr>
          <w:spacing w:val="-16"/>
        </w:rPr>
        <w:t> </w:t>
      </w:r>
      <w:r>
        <w:rPr>
          <w:spacing w:val="-3"/>
        </w:rPr>
        <w:t>that</w:t>
      </w:r>
      <w:r>
        <w:rPr>
          <w:spacing w:val="-16"/>
        </w:rPr>
        <w:t> </w:t>
      </w:r>
      <w:r>
        <w:rPr>
          <w:spacing w:val="-3"/>
        </w:rPr>
        <w:t>aligns</w:t>
      </w:r>
      <w:r>
        <w:rPr>
          <w:spacing w:val="-16"/>
        </w:rPr>
        <w:t> </w:t>
      </w:r>
      <w:r>
        <w:rPr>
          <w:spacing w:val="-3"/>
        </w:rPr>
        <w:t>with</w:t>
      </w:r>
      <w:r>
        <w:rPr>
          <w:spacing w:val="-17"/>
        </w:rPr>
        <w:t> </w:t>
      </w:r>
      <w:r>
        <w:rPr>
          <w:spacing w:val="-3"/>
        </w:rPr>
        <w:t>the </w:t>
      </w:r>
      <w:r>
        <w:rPr>
          <w:spacing w:val="-4"/>
        </w:rPr>
        <w:t>nature</w:t>
      </w:r>
      <w:r>
        <w:rPr>
          <w:spacing w:val="-26"/>
        </w:rPr>
        <w:t> </w:t>
      </w:r>
      <w:r>
        <w:rPr/>
        <w:t>of</w:t>
      </w:r>
      <w:r>
        <w:rPr>
          <w:spacing w:val="-26"/>
        </w:rPr>
        <w:t> </w:t>
      </w:r>
      <w:r>
        <w:rPr>
          <w:spacing w:val="-3"/>
        </w:rPr>
        <w:t>their</w:t>
      </w:r>
      <w:r>
        <w:rPr>
          <w:spacing w:val="-26"/>
        </w:rPr>
        <w:t> </w:t>
      </w:r>
      <w:r>
        <w:rPr>
          <w:spacing w:val="-6"/>
        </w:rPr>
        <w:t>injury.</w:t>
      </w:r>
      <w:r>
        <w:rPr>
          <w:spacing w:val="-26"/>
        </w:rPr>
        <w:t> </w:t>
      </w:r>
      <w:r>
        <w:rPr>
          <w:spacing w:val="-3"/>
        </w:rPr>
        <w:t>These</w:t>
      </w:r>
      <w:r>
        <w:rPr>
          <w:spacing w:val="-26"/>
        </w:rPr>
        <w:t> </w:t>
      </w:r>
      <w:r>
        <w:rPr>
          <w:spacing w:val="-4"/>
        </w:rPr>
        <w:t>programs</w:t>
      </w:r>
      <w:r>
        <w:rPr>
          <w:spacing w:val="-25"/>
        </w:rPr>
        <w:t> </w:t>
      </w:r>
      <w:r>
        <w:rPr>
          <w:spacing w:val="-4"/>
        </w:rPr>
        <w:t>are</w:t>
      </w:r>
      <w:r>
        <w:rPr>
          <w:spacing w:val="-26"/>
        </w:rPr>
        <w:t> </w:t>
      </w:r>
      <w:r>
        <w:rPr>
          <w:spacing w:val="-4"/>
        </w:rPr>
        <w:t>prepared </w:t>
      </w:r>
      <w:r>
        <w:rPr/>
        <w:t>in</w:t>
      </w:r>
      <w:r>
        <w:rPr>
          <w:spacing w:val="-28"/>
        </w:rPr>
        <w:t> </w:t>
      </w:r>
      <w:r>
        <w:rPr>
          <w:spacing w:val="-4"/>
        </w:rPr>
        <w:t>accordance</w:t>
      </w:r>
      <w:r>
        <w:rPr>
          <w:spacing w:val="-28"/>
        </w:rPr>
        <w:t> </w:t>
      </w:r>
      <w:r>
        <w:rPr>
          <w:spacing w:val="-3"/>
        </w:rPr>
        <w:t>with</w:t>
      </w:r>
      <w:r>
        <w:rPr>
          <w:spacing w:val="-27"/>
        </w:rPr>
        <w:t> </w:t>
      </w:r>
      <w:r>
        <w:rPr>
          <w:spacing w:val="-4"/>
        </w:rPr>
        <w:t>relevant</w:t>
      </w:r>
      <w:r>
        <w:rPr>
          <w:spacing w:val="-28"/>
        </w:rPr>
        <w:t> </w:t>
      </w:r>
      <w:r>
        <w:rPr>
          <w:spacing w:val="-3"/>
        </w:rPr>
        <w:t>guidelines</w:t>
      </w:r>
      <w:r>
        <w:rPr>
          <w:spacing w:val="-28"/>
        </w:rPr>
        <w:t> </w:t>
      </w:r>
      <w:r>
        <w:rPr/>
        <w:t>and</w:t>
      </w:r>
      <w:r>
        <w:rPr>
          <w:spacing w:val="-28"/>
        </w:rPr>
        <w:t> </w:t>
      </w:r>
      <w:r>
        <w:rPr>
          <w:spacing w:val="-3"/>
        </w:rPr>
        <w:t>policies within</w:t>
      </w:r>
      <w:r>
        <w:rPr>
          <w:spacing w:val="-20"/>
        </w:rPr>
        <w:t> </w:t>
      </w:r>
      <w:r>
        <w:rPr/>
        <w:t>the</w:t>
      </w:r>
      <w:r>
        <w:rPr>
          <w:spacing w:val="-19"/>
        </w:rPr>
        <w:t> </w:t>
      </w:r>
      <w:r>
        <w:rPr>
          <w:spacing w:val="-3"/>
        </w:rPr>
        <w:t>Department</w:t>
      </w:r>
      <w:r>
        <w:rPr>
          <w:spacing w:val="-20"/>
        </w:rPr>
        <w:t> </w:t>
      </w:r>
      <w:r>
        <w:rPr/>
        <w:t>of</w:t>
      </w:r>
      <w:r>
        <w:rPr>
          <w:spacing w:val="-19"/>
        </w:rPr>
        <w:t> </w:t>
      </w:r>
      <w:r>
        <w:rPr>
          <w:spacing w:val="-3"/>
        </w:rPr>
        <w:t>Finance,</w:t>
      </w:r>
      <w:r>
        <w:rPr>
          <w:spacing w:val="-19"/>
        </w:rPr>
        <w:t> </w:t>
      </w:r>
      <w:r>
        <w:rPr>
          <w:spacing w:val="-3"/>
        </w:rPr>
        <w:t>which</w:t>
      </w:r>
      <w:r>
        <w:rPr>
          <w:spacing w:val="-20"/>
        </w:rPr>
        <w:t> </w:t>
      </w:r>
      <w:r>
        <w:rPr>
          <w:spacing w:val="-3"/>
        </w:rPr>
        <w:t>meet</w:t>
      </w:r>
      <w:r>
        <w:rPr>
          <w:spacing w:val="-19"/>
        </w:rPr>
        <w:t> </w:t>
      </w:r>
      <w:r>
        <w:rPr>
          <w:spacing w:val="-3"/>
        </w:rPr>
        <w:t>the </w:t>
      </w:r>
      <w:r>
        <w:rPr>
          <w:spacing w:val="-4"/>
        </w:rPr>
        <w:t>requirements </w:t>
      </w:r>
      <w:r>
        <w:rPr/>
        <w:t>of the </w:t>
      </w:r>
      <w:r>
        <w:rPr>
          <w:i/>
          <w:spacing w:val="-4"/>
        </w:rPr>
        <w:t>Workers’ </w:t>
      </w:r>
      <w:r>
        <w:rPr>
          <w:i/>
          <w:spacing w:val="-3"/>
        </w:rPr>
        <w:t>Compensation and </w:t>
      </w:r>
      <w:r>
        <w:rPr>
          <w:i/>
        </w:rPr>
        <w:t>Injury </w:t>
      </w:r>
      <w:r>
        <w:rPr>
          <w:i/>
          <w:spacing w:val="-3"/>
        </w:rPr>
        <w:t>Management </w:t>
      </w:r>
      <w:r>
        <w:rPr>
          <w:i/>
        </w:rPr>
        <w:t>Act</w:t>
      </w:r>
      <w:r>
        <w:rPr>
          <w:i/>
          <w:spacing w:val="-19"/>
        </w:rPr>
        <w:t> </w:t>
      </w:r>
      <w:r>
        <w:rPr>
          <w:i/>
          <w:spacing w:val="-3"/>
        </w:rPr>
        <w:t>1981</w:t>
      </w:r>
      <w:r>
        <w:rPr>
          <w:spacing w:val="-3"/>
        </w:rPr>
        <w:t>.</w:t>
      </w:r>
    </w:p>
    <w:p>
      <w:pPr>
        <w:pStyle w:val="BodyText"/>
        <w:spacing w:before="5"/>
        <w:rPr>
          <w:sz w:val="23"/>
        </w:rPr>
      </w:pPr>
    </w:p>
    <w:p>
      <w:pPr>
        <w:pStyle w:val="BodyText"/>
        <w:spacing w:line="249" w:lineRule="auto"/>
        <w:ind w:left="765"/>
      </w:pPr>
      <w:r>
        <w:rPr>
          <w:spacing w:val="-4"/>
        </w:rPr>
        <w:t>Through </w:t>
      </w:r>
      <w:r>
        <w:rPr/>
        <w:t>its </w:t>
      </w:r>
      <w:r>
        <w:rPr>
          <w:spacing w:val="-3"/>
        </w:rPr>
        <w:t>support </w:t>
      </w:r>
      <w:r>
        <w:rPr/>
        <w:t>for </w:t>
      </w:r>
      <w:r>
        <w:rPr>
          <w:spacing w:val="-4"/>
        </w:rPr>
        <w:t>staff </w:t>
      </w:r>
      <w:r>
        <w:rPr>
          <w:spacing w:val="-3"/>
        </w:rPr>
        <w:t>wellbeing, the Department</w:t>
      </w:r>
      <w:r>
        <w:rPr>
          <w:spacing w:val="-25"/>
        </w:rPr>
        <w:t> </w:t>
      </w:r>
      <w:r>
        <w:rPr>
          <w:spacing w:val="-3"/>
        </w:rPr>
        <w:t>also</w:t>
      </w:r>
      <w:r>
        <w:rPr>
          <w:spacing w:val="-25"/>
        </w:rPr>
        <w:t> </w:t>
      </w:r>
      <w:r>
        <w:rPr>
          <w:spacing w:val="-3"/>
        </w:rPr>
        <w:t>assisted</w:t>
      </w:r>
      <w:r>
        <w:rPr>
          <w:spacing w:val="-25"/>
        </w:rPr>
        <w:t> </w:t>
      </w:r>
      <w:r>
        <w:rPr/>
        <w:t>21</w:t>
      </w:r>
      <w:r>
        <w:rPr>
          <w:spacing w:val="-25"/>
        </w:rPr>
        <w:t> </w:t>
      </w:r>
      <w:r>
        <w:rPr>
          <w:spacing w:val="-4"/>
        </w:rPr>
        <w:t>staff</w:t>
      </w:r>
      <w:r>
        <w:rPr>
          <w:spacing w:val="-25"/>
        </w:rPr>
        <w:t> </w:t>
      </w:r>
      <w:r>
        <w:rPr/>
        <w:t>who</w:t>
      </w:r>
      <w:r>
        <w:rPr>
          <w:spacing w:val="-25"/>
        </w:rPr>
        <w:t> </w:t>
      </w:r>
      <w:r>
        <w:rPr>
          <w:spacing w:val="-3"/>
        </w:rPr>
        <w:t>experienced </w:t>
      </w:r>
      <w:r>
        <w:rPr>
          <w:spacing w:val="-4"/>
        </w:rPr>
        <w:t>difficulties remaining </w:t>
      </w:r>
      <w:r>
        <w:rPr/>
        <w:t>at </w:t>
      </w:r>
      <w:r>
        <w:rPr>
          <w:spacing w:val="-3"/>
        </w:rPr>
        <w:t>work </w:t>
      </w:r>
      <w:r>
        <w:rPr/>
        <w:t>or </w:t>
      </w:r>
      <w:r>
        <w:rPr>
          <w:spacing w:val="-3"/>
        </w:rPr>
        <w:t>returning </w:t>
      </w:r>
      <w:r>
        <w:rPr/>
        <w:t>to </w:t>
      </w:r>
      <w:r>
        <w:rPr>
          <w:spacing w:val="-3"/>
        </w:rPr>
        <w:t>work </w:t>
      </w:r>
      <w:r>
        <w:rPr/>
        <w:t>due</w:t>
      </w:r>
      <w:r>
        <w:rPr>
          <w:spacing w:val="-10"/>
        </w:rPr>
        <w:t> </w:t>
      </w:r>
      <w:r>
        <w:rPr/>
        <w:t>to</w:t>
      </w:r>
      <w:r>
        <w:rPr>
          <w:spacing w:val="-10"/>
        </w:rPr>
        <w:t> </w:t>
      </w:r>
      <w:r>
        <w:rPr>
          <w:spacing w:val="-3"/>
        </w:rPr>
        <w:t>non-work</w:t>
      </w:r>
      <w:r>
        <w:rPr>
          <w:spacing w:val="-9"/>
        </w:rPr>
        <w:t> </w:t>
      </w:r>
      <w:r>
        <w:rPr>
          <w:spacing w:val="-4"/>
        </w:rPr>
        <w:t>related</w:t>
      </w:r>
      <w:r>
        <w:rPr>
          <w:spacing w:val="-10"/>
        </w:rPr>
        <w:t> </w:t>
      </w:r>
      <w:r>
        <w:rPr>
          <w:spacing w:val="-3"/>
        </w:rPr>
        <w:t>injury</w:t>
      </w:r>
      <w:r>
        <w:rPr>
          <w:spacing w:val="-10"/>
        </w:rPr>
        <w:t> </w:t>
      </w:r>
      <w:r>
        <w:rPr/>
        <w:t>or</w:t>
      </w:r>
      <w:r>
        <w:rPr>
          <w:spacing w:val="-10"/>
        </w:rPr>
        <w:t> </w:t>
      </w:r>
      <w:r>
        <w:rPr>
          <w:spacing w:val="-3"/>
        </w:rPr>
        <w:t>illness.</w:t>
      </w:r>
    </w:p>
    <w:p>
      <w:pPr>
        <w:pStyle w:val="Heading4"/>
        <w:spacing w:line="249" w:lineRule="auto" w:before="111"/>
        <w:ind w:left="342" w:right="2365"/>
      </w:pPr>
      <w:r>
        <w:rPr/>
        <w:br w:type="column"/>
      </w:r>
      <w:r>
        <w:rPr>
          <w:color w:val="A7BE39"/>
        </w:rPr>
        <w:t>Public</w:t>
      </w:r>
      <w:r>
        <w:rPr>
          <w:color w:val="A7BE39"/>
          <w:spacing w:val="-52"/>
        </w:rPr>
        <w:t> </w:t>
      </w:r>
      <w:r>
        <w:rPr>
          <w:color w:val="A7BE39"/>
        </w:rPr>
        <w:t>Sector</w:t>
      </w:r>
      <w:r>
        <w:rPr>
          <w:color w:val="A7BE39"/>
          <w:spacing w:val="-52"/>
        </w:rPr>
        <w:t> </w:t>
      </w:r>
      <w:r>
        <w:rPr>
          <w:color w:val="A7BE39"/>
          <w:spacing w:val="-3"/>
        </w:rPr>
        <w:t>Commissioner’s </w:t>
      </w:r>
      <w:r>
        <w:rPr>
          <w:color w:val="A7BE39"/>
        </w:rPr>
        <w:t>Occupational</w:t>
      </w:r>
      <w:r>
        <w:rPr>
          <w:color w:val="A7BE39"/>
          <w:spacing w:val="-52"/>
        </w:rPr>
        <w:t> </w:t>
      </w:r>
      <w:r>
        <w:rPr>
          <w:color w:val="A7BE39"/>
          <w:spacing w:val="-3"/>
        </w:rPr>
        <w:t>Safety </w:t>
      </w:r>
      <w:r>
        <w:rPr>
          <w:color w:val="A7BE39"/>
        </w:rPr>
        <w:t>and Health performance requirements 2016-17</w:t>
      </w:r>
    </w:p>
    <w:p>
      <w:pPr>
        <w:pStyle w:val="BodyText"/>
        <w:spacing w:before="2"/>
        <w:rPr>
          <w:sz w:val="23"/>
        </w:rPr>
      </w:pPr>
    </w:p>
    <w:tbl>
      <w:tblPr>
        <w:tblW w:w="0" w:type="auto"/>
        <w:jc w:val="left"/>
        <w:tblInd w:w="3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608"/>
        <w:gridCol w:w="964"/>
        <w:gridCol w:w="964"/>
        <w:gridCol w:w="964"/>
        <w:gridCol w:w="1984"/>
        <w:gridCol w:w="2551"/>
      </w:tblGrid>
      <w:tr>
        <w:trPr>
          <w:trHeight w:val="305" w:hRule="atLeast"/>
        </w:trPr>
        <w:tc>
          <w:tcPr>
            <w:tcW w:w="10035" w:type="dxa"/>
            <w:gridSpan w:val="6"/>
            <w:tcBorders>
              <w:top w:val="nil"/>
              <w:bottom w:val="nil"/>
              <w:right w:val="nil"/>
            </w:tcBorders>
            <w:shd w:val="clear" w:color="auto" w:fill="783A79"/>
          </w:tcPr>
          <w:p>
            <w:pPr>
              <w:pStyle w:val="TableParagraph"/>
              <w:tabs>
                <w:tab w:pos="2747" w:val="left" w:leader="none"/>
                <w:tab w:pos="3710" w:val="left" w:leader="none"/>
                <w:tab w:pos="4674" w:val="left" w:leader="none"/>
                <w:tab w:pos="5612" w:val="left" w:leader="none"/>
                <w:tab w:pos="7597" w:val="left" w:leader="none"/>
              </w:tabs>
              <w:spacing w:before="42"/>
              <w:ind w:left="113"/>
              <w:rPr>
                <w:b/>
                <w:sz w:val="19"/>
              </w:rPr>
            </w:pPr>
            <w:r>
              <w:rPr>
                <w:b/>
                <w:color w:val="FFFFFF"/>
                <w:sz w:val="19"/>
              </w:rPr>
              <w:t>Indicator</w:t>
              <w:tab/>
              <w:t>2014-15</w:t>
              <w:tab/>
              <w:t>2015-16</w:t>
              <w:tab/>
              <w:t>2016-17</w:t>
              <w:tab/>
            </w:r>
            <w:r>
              <w:rPr>
                <w:b/>
                <w:color w:val="FFFFFF"/>
                <w:spacing w:val="-4"/>
                <w:sz w:val="19"/>
              </w:rPr>
              <w:t>Target</w:t>
              <w:tab/>
            </w:r>
            <w:r>
              <w:rPr>
                <w:b/>
                <w:color w:val="FFFFFF"/>
                <w:sz w:val="19"/>
              </w:rPr>
              <w:t>Comment on result</w:t>
            </w:r>
          </w:p>
        </w:tc>
      </w:tr>
      <w:tr>
        <w:trPr>
          <w:trHeight w:val="1078" w:hRule="atLeast"/>
        </w:trPr>
        <w:tc>
          <w:tcPr>
            <w:tcW w:w="2608" w:type="dxa"/>
            <w:tcBorders>
              <w:top w:val="nil"/>
            </w:tcBorders>
            <w:shd w:val="clear" w:color="auto" w:fill="FAF9F9"/>
          </w:tcPr>
          <w:p>
            <w:pPr>
              <w:pStyle w:val="TableParagraph"/>
              <w:spacing w:before="42"/>
              <w:ind w:left="113"/>
              <w:rPr>
                <w:sz w:val="19"/>
              </w:rPr>
            </w:pPr>
            <w:r>
              <w:rPr>
                <w:sz w:val="19"/>
              </w:rPr>
              <w:t>Number of fatalities</w:t>
            </w:r>
          </w:p>
          <w:p>
            <w:pPr>
              <w:pStyle w:val="TableParagraph"/>
              <w:spacing w:line="249" w:lineRule="auto" w:before="109"/>
              <w:ind w:left="113" w:right="564"/>
              <w:rPr>
                <w:sz w:val="19"/>
              </w:rPr>
            </w:pPr>
            <w:r>
              <w:rPr>
                <w:sz w:val="19"/>
              </w:rPr>
              <w:t>Lost time injury and/or disease incidence rate</w:t>
            </w:r>
          </w:p>
        </w:tc>
        <w:tc>
          <w:tcPr>
            <w:tcW w:w="964" w:type="dxa"/>
            <w:tcBorders>
              <w:top w:val="nil"/>
            </w:tcBorders>
            <w:shd w:val="clear" w:color="auto" w:fill="FAF9F9"/>
          </w:tcPr>
          <w:p>
            <w:pPr>
              <w:pStyle w:val="TableParagraph"/>
              <w:spacing w:before="42"/>
              <w:ind w:right="91"/>
              <w:jc w:val="right"/>
              <w:rPr>
                <w:sz w:val="19"/>
              </w:rPr>
            </w:pPr>
            <w:r>
              <w:rPr>
                <w:w w:val="99"/>
                <w:sz w:val="19"/>
              </w:rPr>
              <w:t>0</w:t>
            </w:r>
          </w:p>
          <w:p>
            <w:pPr>
              <w:pStyle w:val="TableParagraph"/>
              <w:spacing w:before="109"/>
              <w:ind w:right="91"/>
              <w:jc w:val="right"/>
              <w:rPr>
                <w:sz w:val="19"/>
              </w:rPr>
            </w:pPr>
            <w:r>
              <w:rPr>
                <w:w w:val="95"/>
                <w:sz w:val="19"/>
              </w:rPr>
              <w:t>0.16</w:t>
            </w:r>
          </w:p>
        </w:tc>
        <w:tc>
          <w:tcPr>
            <w:tcW w:w="964" w:type="dxa"/>
            <w:tcBorders>
              <w:top w:val="nil"/>
              <w:right w:val="nil"/>
            </w:tcBorders>
            <w:shd w:val="clear" w:color="auto" w:fill="FAF9F9"/>
          </w:tcPr>
          <w:p>
            <w:pPr>
              <w:pStyle w:val="TableParagraph"/>
              <w:spacing w:before="42"/>
              <w:ind w:right="101"/>
              <w:jc w:val="right"/>
              <w:rPr>
                <w:sz w:val="19"/>
              </w:rPr>
            </w:pPr>
            <w:r>
              <w:rPr>
                <w:w w:val="99"/>
                <w:sz w:val="19"/>
              </w:rPr>
              <w:t>0</w:t>
            </w:r>
          </w:p>
          <w:p>
            <w:pPr>
              <w:pStyle w:val="TableParagraph"/>
              <w:spacing w:before="109"/>
              <w:ind w:right="101"/>
              <w:jc w:val="right"/>
              <w:rPr>
                <w:sz w:val="19"/>
              </w:rPr>
            </w:pPr>
            <w:r>
              <w:rPr>
                <w:w w:val="95"/>
                <w:sz w:val="19"/>
              </w:rPr>
              <w:t>0.28</w:t>
            </w:r>
          </w:p>
        </w:tc>
        <w:tc>
          <w:tcPr>
            <w:tcW w:w="964" w:type="dxa"/>
            <w:vMerge w:val="restart"/>
            <w:tcBorders>
              <w:top w:val="nil"/>
              <w:left w:val="nil"/>
              <w:bottom w:val="nil"/>
              <w:right w:val="nil"/>
            </w:tcBorders>
            <w:shd w:val="clear" w:color="auto" w:fill="DFE1B8"/>
          </w:tcPr>
          <w:p>
            <w:pPr>
              <w:pStyle w:val="TableParagraph"/>
              <w:spacing w:before="42"/>
              <w:ind w:right="101"/>
              <w:jc w:val="right"/>
              <w:rPr>
                <w:sz w:val="19"/>
              </w:rPr>
            </w:pPr>
            <w:r>
              <w:rPr>
                <w:w w:val="99"/>
                <w:sz w:val="19"/>
              </w:rPr>
              <w:t>0</w:t>
            </w:r>
          </w:p>
          <w:p>
            <w:pPr>
              <w:pStyle w:val="TableParagraph"/>
              <w:spacing w:before="109"/>
              <w:ind w:right="101"/>
              <w:jc w:val="right"/>
              <w:rPr>
                <w:sz w:val="19"/>
              </w:rPr>
            </w:pPr>
            <w:r>
              <w:rPr>
                <w:spacing w:val="-1"/>
                <w:sz w:val="19"/>
              </w:rPr>
              <w:t>0.2</w:t>
            </w:r>
          </w:p>
          <w:p>
            <w:pPr>
              <w:pStyle w:val="TableParagraph"/>
              <w:spacing w:before="0"/>
              <w:rPr>
                <w:sz w:val="22"/>
              </w:rPr>
            </w:pPr>
          </w:p>
          <w:p>
            <w:pPr>
              <w:pStyle w:val="TableParagraph"/>
              <w:spacing w:before="2"/>
              <w:rPr>
                <w:sz w:val="25"/>
              </w:rPr>
            </w:pPr>
          </w:p>
          <w:p>
            <w:pPr>
              <w:pStyle w:val="TableParagraph"/>
              <w:spacing w:before="1"/>
              <w:ind w:right="101"/>
              <w:jc w:val="right"/>
              <w:rPr>
                <w:sz w:val="19"/>
              </w:rPr>
            </w:pPr>
            <w:r>
              <w:rPr>
                <w:w w:val="95"/>
                <w:sz w:val="19"/>
              </w:rPr>
              <w:t>0%</w:t>
            </w:r>
          </w:p>
          <w:p>
            <w:pPr>
              <w:pStyle w:val="TableParagraph"/>
              <w:spacing w:before="0"/>
              <w:rPr>
                <w:sz w:val="22"/>
              </w:rPr>
            </w:pPr>
          </w:p>
          <w:p>
            <w:pPr>
              <w:pStyle w:val="TableParagraph"/>
              <w:spacing w:before="0"/>
              <w:rPr>
                <w:sz w:val="22"/>
              </w:rPr>
            </w:pPr>
          </w:p>
          <w:p>
            <w:pPr>
              <w:pStyle w:val="TableParagraph"/>
              <w:spacing w:before="0"/>
              <w:rPr>
                <w:sz w:val="22"/>
              </w:rPr>
            </w:pPr>
          </w:p>
          <w:p>
            <w:pPr>
              <w:pStyle w:val="TableParagraph"/>
              <w:spacing w:before="10"/>
              <w:rPr>
                <w:sz w:val="20"/>
              </w:rPr>
            </w:pPr>
          </w:p>
          <w:p>
            <w:pPr>
              <w:pStyle w:val="TableParagraph"/>
              <w:spacing w:before="0"/>
              <w:ind w:left="375"/>
              <w:rPr>
                <w:sz w:val="19"/>
              </w:rPr>
            </w:pPr>
            <w:r>
              <w:rPr>
                <w:sz w:val="19"/>
              </w:rPr>
              <w:t>100%</w:t>
            </w:r>
          </w:p>
          <w:p>
            <w:pPr>
              <w:pStyle w:val="TableParagraph"/>
              <w:spacing w:before="0"/>
              <w:rPr>
                <w:sz w:val="22"/>
              </w:rPr>
            </w:pPr>
          </w:p>
          <w:p>
            <w:pPr>
              <w:pStyle w:val="TableParagraph"/>
              <w:spacing w:before="3"/>
              <w:rPr>
                <w:sz w:val="25"/>
              </w:rPr>
            </w:pPr>
          </w:p>
          <w:p>
            <w:pPr>
              <w:pStyle w:val="TableParagraph"/>
              <w:spacing w:before="0"/>
              <w:ind w:left="375"/>
              <w:rPr>
                <w:sz w:val="19"/>
              </w:rPr>
            </w:pPr>
            <w:r>
              <w:rPr>
                <w:sz w:val="19"/>
              </w:rPr>
              <w:t>100%</w:t>
            </w:r>
          </w:p>
          <w:p>
            <w:pPr>
              <w:pStyle w:val="TableParagraph"/>
              <w:spacing w:before="0"/>
              <w:rPr>
                <w:sz w:val="22"/>
              </w:rPr>
            </w:pPr>
          </w:p>
          <w:p>
            <w:pPr>
              <w:pStyle w:val="TableParagraph"/>
              <w:spacing w:before="2"/>
              <w:rPr>
                <w:sz w:val="25"/>
              </w:rPr>
            </w:pPr>
          </w:p>
          <w:p>
            <w:pPr>
              <w:pStyle w:val="TableParagraph"/>
              <w:spacing w:before="0"/>
              <w:ind w:left="322"/>
              <w:rPr>
                <w:sz w:val="19"/>
              </w:rPr>
            </w:pPr>
            <w:r>
              <w:rPr>
                <w:sz w:val="19"/>
              </w:rPr>
              <w:t>38.3%</w:t>
            </w:r>
          </w:p>
        </w:tc>
        <w:tc>
          <w:tcPr>
            <w:tcW w:w="1984" w:type="dxa"/>
            <w:tcBorders>
              <w:top w:val="nil"/>
              <w:left w:val="nil"/>
            </w:tcBorders>
            <w:shd w:val="clear" w:color="auto" w:fill="FAF9F9"/>
          </w:tcPr>
          <w:p>
            <w:pPr>
              <w:pStyle w:val="TableParagraph"/>
              <w:spacing w:before="42"/>
              <w:ind w:left="123"/>
              <w:rPr>
                <w:sz w:val="19"/>
              </w:rPr>
            </w:pPr>
            <w:r>
              <w:rPr>
                <w:w w:val="99"/>
                <w:sz w:val="19"/>
              </w:rPr>
              <w:t>0</w:t>
            </w:r>
          </w:p>
          <w:p>
            <w:pPr>
              <w:pStyle w:val="TableParagraph"/>
              <w:spacing w:line="249" w:lineRule="auto" w:before="109"/>
              <w:ind w:left="123" w:right="23"/>
              <w:rPr>
                <w:sz w:val="19"/>
              </w:rPr>
            </w:pPr>
            <w:r>
              <w:rPr>
                <w:sz w:val="19"/>
              </w:rPr>
              <w:t>At least 0 or 10% improvement on the previous two years.</w:t>
            </w:r>
          </w:p>
        </w:tc>
        <w:tc>
          <w:tcPr>
            <w:tcW w:w="2551" w:type="dxa"/>
            <w:tcBorders>
              <w:top w:val="nil"/>
            </w:tcBorders>
            <w:shd w:val="clear" w:color="auto" w:fill="FAF9F9"/>
          </w:tcPr>
          <w:p>
            <w:pPr>
              <w:pStyle w:val="TableParagraph"/>
              <w:spacing w:line="360" w:lineRule="auto" w:before="42"/>
              <w:ind w:left="113" w:right="1655" w:hanging="1"/>
              <w:rPr>
                <w:sz w:val="19"/>
              </w:rPr>
            </w:pPr>
            <w:r>
              <w:rPr>
                <w:w w:val="95"/>
                <w:sz w:val="19"/>
              </w:rPr>
              <w:t>Achieved Achieved</w:t>
            </w:r>
          </w:p>
        </w:tc>
      </w:tr>
      <w:tr>
        <w:trPr>
          <w:trHeight w:val="1197" w:hRule="atLeast"/>
        </w:trPr>
        <w:tc>
          <w:tcPr>
            <w:tcW w:w="2608" w:type="dxa"/>
            <w:shd w:val="clear" w:color="auto" w:fill="F4F4F4"/>
          </w:tcPr>
          <w:p>
            <w:pPr>
              <w:pStyle w:val="TableParagraph"/>
              <w:spacing w:line="249" w:lineRule="auto"/>
              <w:ind w:left="113" w:right="585"/>
              <w:rPr>
                <w:sz w:val="19"/>
              </w:rPr>
            </w:pPr>
            <w:r>
              <w:rPr>
                <w:sz w:val="19"/>
              </w:rPr>
              <w:t>Lost time injury and/or disease severity rate</w:t>
            </w:r>
          </w:p>
        </w:tc>
        <w:tc>
          <w:tcPr>
            <w:tcW w:w="964" w:type="dxa"/>
            <w:shd w:val="clear" w:color="auto" w:fill="F4F4F4"/>
          </w:tcPr>
          <w:p>
            <w:pPr>
              <w:pStyle w:val="TableParagraph"/>
              <w:ind w:right="91"/>
              <w:jc w:val="right"/>
              <w:rPr>
                <w:sz w:val="19"/>
              </w:rPr>
            </w:pPr>
            <w:r>
              <w:rPr>
                <w:w w:val="95"/>
                <w:sz w:val="19"/>
              </w:rPr>
              <w:t>100%</w:t>
            </w:r>
          </w:p>
        </w:tc>
        <w:tc>
          <w:tcPr>
            <w:tcW w:w="964" w:type="dxa"/>
            <w:tcBorders>
              <w:right w:val="nil"/>
            </w:tcBorders>
            <w:shd w:val="clear" w:color="auto" w:fill="F4F4F4"/>
          </w:tcPr>
          <w:p>
            <w:pPr>
              <w:pStyle w:val="TableParagraph"/>
              <w:ind w:right="101"/>
              <w:jc w:val="right"/>
              <w:rPr>
                <w:sz w:val="19"/>
              </w:rPr>
            </w:pPr>
            <w:r>
              <w:rPr>
                <w:w w:val="95"/>
                <w:sz w:val="19"/>
              </w:rPr>
              <w:t>33%</w:t>
            </w:r>
          </w:p>
        </w:tc>
        <w:tc>
          <w:tcPr>
            <w:tcW w:w="964" w:type="dxa"/>
            <w:vMerge/>
            <w:tcBorders>
              <w:top w:val="nil"/>
              <w:left w:val="nil"/>
              <w:bottom w:val="nil"/>
              <w:right w:val="nil"/>
            </w:tcBorders>
            <w:shd w:val="clear" w:color="auto" w:fill="DFE1B8"/>
          </w:tcPr>
          <w:p>
            <w:pPr>
              <w:rPr>
                <w:sz w:val="2"/>
                <w:szCs w:val="2"/>
              </w:rPr>
            </w:pPr>
          </w:p>
        </w:tc>
        <w:tc>
          <w:tcPr>
            <w:tcW w:w="1984" w:type="dxa"/>
            <w:tcBorders>
              <w:left w:val="nil"/>
            </w:tcBorders>
            <w:shd w:val="clear" w:color="auto" w:fill="F4F4F4"/>
          </w:tcPr>
          <w:p>
            <w:pPr>
              <w:pStyle w:val="TableParagraph"/>
              <w:spacing w:line="249" w:lineRule="auto"/>
              <w:ind w:left="123" w:right="23"/>
              <w:rPr>
                <w:sz w:val="19"/>
              </w:rPr>
            </w:pPr>
            <w:r>
              <w:rPr>
                <w:sz w:val="19"/>
              </w:rPr>
              <w:t>At least 0 or 10% improvement on the previous two years.</w:t>
            </w:r>
          </w:p>
        </w:tc>
        <w:tc>
          <w:tcPr>
            <w:tcW w:w="2551" w:type="dxa"/>
            <w:shd w:val="clear" w:color="auto" w:fill="F4F4F4"/>
          </w:tcPr>
          <w:p>
            <w:pPr>
              <w:pStyle w:val="TableParagraph"/>
              <w:spacing w:line="249" w:lineRule="auto"/>
              <w:ind w:left="113" w:right="118"/>
              <w:rPr>
                <w:sz w:val="19"/>
              </w:rPr>
            </w:pPr>
            <w:r>
              <w:rPr>
                <w:sz w:val="19"/>
              </w:rPr>
              <w:t>Early intervention with return to work programs has</w:t>
            </w:r>
            <w:r>
              <w:rPr>
                <w:spacing w:val="-25"/>
                <w:sz w:val="19"/>
              </w:rPr>
              <w:t> </w:t>
            </w:r>
            <w:r>
              <w:rPr>
                <w:sz w:val="19"/>
              </w:rPr>
              <w:t>resulted</w:t>
            </w:r>
            <w:r>
              <w:rPr>
                <w:spacing w:val="-24"/>
                <w:sz w:val="19"/>
              </w:rPr>
              <w:t> </w:t>
            </w:r>
            <w:r>
              <w:rPr>
                <w:sz w:val="19"/>
              </w:rPr>
              <w:t>in</w:t>
            </w:r>
            <w:r>
              <w:rPr>
                <w:spacing w:val="-24"/>
                <w:sz w:val="19"/>
              </w:rPr>
              <w:t> </w:t>
            </w:r>
            <w:r>
              <w:rPr>
                <w:sz w:val="19"/>
              </w:rPr>
              <w:t>no</w:t>
            </w:r>
            <w:r>
              <w:rPr>
                <w:spacing w:val="-24"/>
                <w:sz w:val="19"/>
              </w:rPr>
              <w:t> </w:t>
            </w:r>
            <w:r>
              <w:rPr>
                <w:sz w:val="19"/>
              </w:rPr>
              <w:t>employee time lost over injury and/or disease.</w:t>
            </w:r>
          </w:p>
        </w:tc>
      </w:tr>
      <w:tr>
        <w:trPr>
          <w:trHeight w:val="741" w:hRule="atLeast"/>
        </w:trPr>
        <w:tc>
          <w:tcPr>
            <w:tcW w:w="4536" w:type="dxa"/>
            <w:gridSpan w:val="3"/>
            <w:tcBorders>
              <w:left w:val="nil"/>
              <w:right w:val="nil"/>
            </w:tcBorders>
            <w:shd w:val="clear" w:color="auto" w:fill="FAF9F9"/>
          </w:tcPr>
          <w:p>
            <w:pPr>
              <w:pStyle w:val="TableParagraph"/>
              <w:tabs>
                <w:tab w:pos="3088" w:val="left" w:leader="none"/>
                <w:tab w:pos="4052" w:val="left" w:leader="none"/>
              </w:tabs>
              <w:spacing w:line="249" w:lineRule="auto"/>
              <w:ind w:left="124" w:right="101"/>
              <w:rPr>
                <w:sz w:val="19"/>
              </w:rPr>
            </w:pPr>
            <w:r>
              <w:rPr>
                <w:sz w:val="19"/>
              </w:rPr>
              <w:t>Percentage</w:t>
            </w:r>
            <w:r>
              <w:rPr>
                <w:spacing w:val="-19"/>
                <w:sz w:val="19"/>
              </w:rPr>
              <w:t> </w:t>
            </w:r>
            <w:r>
              <w:rPr>
                <w:sz w:val="19"/>
              </w:rPr>
              <w:t>of</w:t>
            </w:r>
            <w:r>
              <w:rPr>
                <w:spacing w:val="-19"/>
                <w:sz w:val="19"/>
              </w:rPr>
              <w:t> </w:t>
            </w:r>
            <w:r>
              <w:rPr>
                <w:sz w:val="19"/>
              </w:rPr>
              <w:t>injured</w:t>
              <w:tab/>
              <w:t>50%</w:t>
              <w:tab/>
            </w:r>
            <w:r>
              <w:rPr>
                <w:spacing w:val="-6"/>
                <w:sz w:val="19"/>
              </w:rPr>
              <w:t>67% </w:t>
            </w:r>
            <w:r>
              <w:rPr>
                <w:sz w:val="19"/>
              </w:rPr>
              <w:t>workers returned to</w:t>
            </w:r>
            <w:r>
              <w:rPr>
                <w:spacing w:val="-3"/>
                <w:sz w:val="19"/>
              </w:rPr>
              <w:t> </w:t>
            </w:r>
            <w:r>
              <w:rPr>
                <w:sz w:val="19"/>
              </w:rPr>
              <w:t>work</w:t>
            </w:r>
          </w:p>
          <w:p>
            <w:pPr>
              <w:pStyle w:val="TableParagraph"/>
              <w:spacing w:before="2"/>
              <w:ind w:left="124"/>
              <w:rPr>
                <w:sz w:val="19"/>
              </w:rPr>
            </w:pPr>
            <w:r>
              <w:rPr>
                <w:sz w:val="19"/>
              </w:rPr>
              <w:t>within 13 weeks</w:t>
            </w:r>
          </w:p>
        </w:tc>
        <w:tc>
          <w:tcPr>
            <w:tcW w:w="964" w:type="dxa"/>
            <w:vMerge/>
            <w:tcBorders>
              <w:top w:val="nil"/>
              <w:left w:val="nil"/>
              <w:bottom w:val="nil"/>
              <w:right w:val="nil"/>
            </w:tcBorders>
            <w:shd w:val="clear" w:color="auto" w:fill="DFE1B8"/>
          </w:tcPr>
          <w:p>
            <w:pPr>
              <w:rPr>
                <w:sz w:val="2"/>
                <w:szCs w:val="2"/>
              </w:rPr>
            </w:pPr>
          </w:p>
        </w:tc>
        <w:tc>
          <w:tcPr>
            <w:tcW w:w="1984" w:type="dxa"/>
            <w:tcBorders>
              <w:left w:val="nil"/>
              <w:right w:val="nil"/>
            </w:tcBorders>
            <w:shd w:val="clear" w:color="auto" w:fill="FAF9F9"/>
          </w:tcPr>
          <w:p>
            <w:pPr>
              <w:pStyle w:val="TableParagraph"/>
              <w:spacing w:line="249" w:lineRule="auto"/>
              <w:ind w:left="123" w:right="404"/>
              <w:rPr>
                <w:sz w:val="19"/>
              </w:rPr>
            </w:pPr>
            <w:r>
              <w:rPr>
                <w:sz w:val="19"/>
              </w:rPr>
              <w:t>Actual result was 100%</w:t>
            </w:r>
          </w:p>
        </w:tc>
        <w:tc>
          <w:tcPr>
            <w:tcW w:w="2551" w:type="dxa"/>
            <w:vMerge w:val="restart"/>
            <w:tcBorders>
              <w:left w:val="nil"/>
            </w:tcBorders>
            <w:shd w:val="clear" w:color="auto" w:fill="FAF9F9"/>
          </w:tcPr>
          <w:p>
            <w:pPr>
              <w:pStyle w:val="TableParagraph"/>
              <w:spacing w:line="249" w:lineRule="auto"/>
              <w:ind w:left="123" w:right="285"/>
              <w:rPr>
                <w:sz w:val="19"/>
              </w:rPr>
            </w:pPr>
            <w:r>
              <w:rPr>
                <w:sz w:val="19"/>
              </w:rPr>
              <w:t>The two employees have returned to work within</w:t>
            </w:r>
          </w:p>
          <w:p>
            <w:pPr>
              <w:pStyle w:val="TableParagraph"/>
              <w:spacing w:line="249" w:lineRule="auto" w:before="2"/>
              <w:ind w:left="123" w:right="53"/>
              <w:rPr>
                <w:sz w:val="19"/>
              </w:rPr>
            </w:pPr>
            <w:r>
              <w:rPr>
                <w:sz w:val="19"/>
              </w:rPr>
              <w:t>13 weeks with one incurring lost time due to visiting a doctor.</w:t>
            </w:r>
          </w:p>
        </w:tc>
      </w:tr>
      <w:tr>
        <w:trPr>
          <w:trHeight w:val="731" w:hRule="atLeast"/>
        </w:trPr>
        <w:tc>
          <w:tcPr>
            <w:tcW w:w="2608" w:type="dxa"/>
            <w:tcBorders>
              <w:bottom w:val="nil"/>
            </w:tcBorders>
            <w:shd w:val="clear" w:color="auto" w:fill="F4F4F4"/>
          </w:tcPr>
          <w:p>
            <w:pPr>
              <w:pStyle w:val="TableParagraph"/>
              <w:spacing w:line="220" w:lineRule="atLeast" w:before="31"/>
              <w:ind w:left="114" w:right="22"/>
              <w:rPr>
                <w:sz w:val="19"/>
              </w:rPr>
            </w:pPr>
            <w:r>
              <w:rPr>
                <w:sz w:val="19"/>
              </w:rPr>
              <w:t>Percentage of injured workers returned to work within 26 weeks</w:t>
            </w:r>
          </w:p>
        </w:tc>
        <w:tc>
          <w:tcPr>
            <w:tcW w:w="964" w:type="dxa"/>
            <w:tcBorders>
              <w:bottom w:val="nil"/>
            </w:tcBorders>
            <w:shd w:val="clear" w:color="auto" w:fill="F4F4F4"/>
          </w:tcPr>
          <w:p>
            <w:pPr>
              <w:pStyle w:val="TableParagraph"/>
              <w:ind w:right="90"/>
              <w:jc w:val="right"/>
              <w:rPr>
                <w:sz w:val="19"/>
              </w:rPr>
            </w:pPr>
            <w:r>
              <w:rPr>
                <w:w w:val="95"/>
                <w:sz w:val="19"/>
              </w:rPr>
              <w:t>100%</w:t>
            </w:r>
          </w:p>
        </w:tc>
        <w:tc>
          <w:tcPr>
            <w:tcW w:w="964" w:type="dxa"/>
            <w:tcBorders>
              <w:bottom w:val="nil"/>
              <w:right w:val="nil"/>
            </w:tcBorders>
            <w:shd w:val="clear" w:color="auto" w:fill="F4F4F4"/>
          </w:tcPr>
          <w:p>
            <w:pPr>
              <w:pStyle w:val="TableParagraph"/>
              <w:ind w:right="100"/>
              <w:jc w:val="right"/>
              <w:rPr>
                <w:sz w:val="19"/>
              </w:rPr>
            </w:pPr>
            <w:r>
              <w:rPr>
                <w:w w:val="95"/>
                <w:sz w:val="19"/>
              </w:rPr>
              <w:t>67%</w:t>
            </w:r>
          </w:p>
        </w:tc>
        <w:tc>
          <w:tcPr>
            <w:tcW w:w="964" w:type="dxa"/>
            <w:vMerge/>
            <w:tcBorders>
              <w:top w:val="nil"/>
              <w:left w:val="nil"/>
              <w:bottom w:val="nil"/>
              <w:right w:val="nil"/>
            </w:tcBorders>
            <w:shd w:val="clear" w:color="auto" w:fill="DFE1B8"/>
          </w:tcPr>
          <w:p>
            <w:pPr>
              <w:rPr>
                <w:sz w:val="2"/>
                <w:szCs w:val="2"/>
              </w:rPr>
            </w:pPr>
          </w:p>
        </w:tc>
        <w:tc>
          <w:tcPr>
            <w:tcW w:w="1984" w:type="dxa"/>
            <w:tcBorders>
              <w:left w:val="nil"/>
              <w:right w:val="nil"/>
            </w:tcBorders>
            <w:shd w:val="clear" w:color="auto" w:fill="F4F4F4"/>
          </w:tcPr>
          <w:p>
            <w:pPr>
              <w:pStyle w:val="TableParagraph"/>
              <w:spacing w:line="249" w:lineRule="auto"/>
              <w:ind w:left="123" w:right="34"/>
              <w:rPr>
                <w:sz w:val="19"/>
              </w:rPr>
            </w:pPr>
            <w:r>
              <w:rPr>
                <w:sz w:val="19"/>
              </w:rPr>
              <w:t>Greater than or equal to 80%</w:t>
            </w:r>
          </w:p>
        </w:tc>
        <w:tc>
          <w:tcPr>
            <w:tcW w:w="2551" w:type="dxa"/>
            <w:vMerge/>
            <w:tcBorders>
              <w:top w:val="nil"/>
              <w:left w:val="nil"/>
            </w:tcBorders>
            <w:shd w:val="clear" w:color="auto" w:fill="FAF9F9"/>
          </w:tcPr>
          <w:p>
            <w:pPr>
              <w:rPr>
                <w:sz w:val="2"/>
                <w:szCs w:val="2"/>
              </w:rPr>
            </w:pPr>
          </w:p>
        </w:tc>
      </w:tr>
      <w:tr>
        <w:trPr>
          <w:trHeight w:val="3021" w:hRule="atLeast"/>
        </w:trPr>
        <w:tc>
          <w:tcPr>
            <w:tcW w:w="4536" w:type="dxa"/>
            <w:gridSpan w:val="3"/>
            <w:tcBorders>
              <w:top w:val="nil"/>
              <w:left w:val="nil"/>
              <w:right w:val="nil"/>
            </w:tcBorders>
            <w:shd w:val="clear" w:color="auto" w:fill="FAF9F9"/>
          </w:tcPr>
          <w:p>
            <w:pPr>
              <w:pStyle w:val="TableParagraph"/>
              <w:tabs>
                <w:tab w:pos="3089" w:val="left" w:leader="none"/>
                <w:tab w:pos="4053" w:val="left" w:leader="none"/>
              </w:tabs>
              <w:spacing w:line="249" w:lineRule="auto" w:before="42"/>
              <w:ind w:left="124" w:right="100"/>
              <w:rPr>
                <w:sz w:val="19"/>
              </w:rPr>
            </w:pPr>
            <w:r>
              <w:rPr>
                <w:sz w:val="19"/>
              </w:rPr>
              <w:t>Percentage</w:t>
            </w:r>
            <w:r>
              <w:rPr>
                <w:spacing w:val="-19"/>
                <w:sz w:val="19"/>
              </w:rPr>
              <w:t> </w:t>
            </w:r>
            <w:r>
              <w:rPr>
                <w:sz w:val="19"/>
              </w:rPr>
              <w:t>of</w:t>
            </w:r>
            <w:r>
              <w:rPr>
                <w:spacing w:val="-18"/>
                <w:sz w:val="19"/>
              </w:rPr>
              <w:t> </w:t>
            </w:r>
            <w:r>
              <w:rPr>
                <w:sz w:val="19"/>
              </w:rPr>
              <w:t>managers</w:t>
              <w:tab/>
              <w:t>39%</w:t>
              <w:tab/>
            </w:r>
            <w:r>
              <w:rPr>
                <w:spacing w:val="-6"/>
                <w:sz w:val="19"/>
              </w:rPr>
              <w:t>64% </w:t>
            </w:r>
            <w:r>
              <w:rPr>
                <w:sz w:val="19"/>
              </w:rPr>
              <w:t>trained in</w:t>
            </w:r>
            <w:r>
              <w:rPr>
                <w:spacing w:val="-3"/>
                <w:sz w:val="19"/>
              </w:rPr>
              <w:t> </w:t>
            </w:r>
            <w:r>
              <w:rPr>
                <w:sz w:val="19"/>
              </w:rPr>
              <w:t>occupational</w:t>
            </w:r>
          </w:p>
          <w:p>
            <w:pPr>
              <w:pStyle w:val="TableParagraph"/>
              <w:spacing w:line="249" w:lineRule="auto" w:before="2"/>
              <w:ind w:left="124" w:right="1371"/>
              <w:rPr>
                <w:sz w:val="19"/>
              </w:rPr>
            </w:pPr>
            <w:r>
              <w:rPr>
                <w:sz w:val="19"/>
              </w:rPr>
              <w:t>safety, health and injury </w:t>
            </w:r>
            <w:r>
              <w:rPr>
                <w:w w:val="95"/>
                <w:sz w:val="19"/>
              </w:rPr>
              <w:t>management responsibilities</w:t>
            </w:r>
          </w:p>
        </w:tc>
        <w:tc>
          <w:tcPr>
            <w:tcW w:w="964" w:type="dxa"/>
            <w:vMerge/>
            <w:tcBorders>
              <w:top w:val="nil"/>
              <w:left w:val="nil"/>
              <w:bottom w:val="nil"/>
              <w:right w:val="nil"/>
            </w:tcBorders>
            <w:shd w:val="clear" w:color="auto" w:fill="DFE1B8"/>
          </w:tcPr>
          <w:p>
            <w:pPr>
              <w:rPr>
                <w:sz w:val="2"/>
                <w:szCs w:val="2"/>
              </w:rPr>
            </w:pPr>
          </w:p>
        </w:tc>
        <w:tc>
          <w:tcPr>
            <w:tcW w:w="1984" w:type="dxa"/>
            <w:tcBorders>
              <w:left w:val="nil"/>
            </w:tcBorders>
            <w:shd w:val="clear" w:color="auto" w:fill="FAF9F9"/>
          </w:tcPr>
          <w:p>
            <w:pPr>
              <w:pStyle w:val="TableParagraph"/>
              <w:spacing w:line="249" w:lineRule="auto"/>
              <w:ind w:left="124" w:right="23"/>
              <w:rPr>
                <w:sz w:val="19"/>
              </w:rPr>
            </w:pPr>
            <w:r>
              <w:rPr>
                <w:sz w:val="19"/>
              </w:rPr>
              <w:t>Greater than or equal to 80%</w:t>
            </w:r>
          </w:p>
        </w:tc>
        <w:tc>
          <w:tcPr>
            <w:tcW w:w="2551" w:type="dxa"/>
            <w:shd w:val="clear" w:color="auto" w:fill="FAF9F9"/>
          </w:tcPr>
          <w:p>
            <w:pPr>
              <w:pStyle w:val="TableParagraph"/>
              <w:spacing w:line="249" w:lineRule="auto"/>
              <w:ind w:left="114"/>
              <w:rPr>
                <w:sz w:val="19"/>
              </w:rPr>
            </w:pPr>
            <w:r>
              <w:rPr>
                <w:sz w:val="19"/>
              </w:rPr>
              <w:t>The decline in trained </w:t>
            </w:r>
            <w:r>
              <w:rPr>
                <w:w w:val="95"/>
                <w:sz w:val="19"/>
              </w:rPr>
              <w:t>managers has accelerated </w:t>
            </w:r>
            <w:r>
              <w:rPr>
                <w:sz w:val="19"/>
              </w:rPr>
              <w:t>with the recent voluntary separation offers.</w:t>
            </w:r>
          </w:p>
          <w:p>
            <w:pPr>
              <w:pStyle w:val="TableParagraph"/>
              <w:spacing w:line="249" w:lineRule="auto" w:before="3"/>
              <w:ind w:left="114"/>
              <w:rPr>
                <w:sz w:val="19"/>
              </w:rPr>
            </w:pPr>
            <w:r>
              <w:rPr>
                <w:w w:val="95"/>
                <w:sz w:val="19"/>
              </w:rPr>
              <w:t>Alternative training initiatives </w:t>
            </w:r>
            <w:r>
              <w:rPr>
                <w:sz w:val="19"/>
              </w:rPr>
              <w:t>have been implemented, including the streamlining</w:t>
            </w:r>
          </w:p>
          <w:p>
            <w:pPr>
              <w:pStyle w:val="TableParagraph"/>
              <w:spacing w:line="249" w:lineRule="auto" w:before="3"/>
              <w:ind w:left="114" w:right="468"/>
              <w:jc w:val="both"/>
              <w:rPr>
                <w:sz w:val="19"/>
              </w:rPr>
            </w:pPr>
            <w:r>
              <w:rPr>
                <w:sz w:val="19"/>
              </w:rPr>
              <w:t>of</w:t>
            </w:r>
            <w:r>
              <w:rPr>
                <w:spacing w:val="-15"/>
                <w:sz w:val="19"/>
              </w:rPr>
              <w:t> </w:t>
            </w:r>
            <w:r>
              <w:rPr>
                <w:sz w:val="19"/>
              </w:rPr>
              <w:t>mandatory</w:t>
            </w:r>
            <w:r>
              <w:rPr>
                <w:spacing w:val="-15"/>
                <w:sz w:val="19"/>
              </w:rPr>
              <w:t> </w:t>
            </w:r>
            <w:r>
              <w:rPr>
                <w:sz w:val="19"/>
              </w:rPr>
              <w:t>training</w:t>
            </w:r>
            <w:r>
              <w:rPr>
                <w:spacing w:val="-14"/>
                <w:sz w:val="19"/>
              </w:rPr>
              <w:t> </w:t>
            </w:r>
            <w:r>
              <w:rPr>
                <w:spacing w:val="-9"/>
                <w:sz w:val="19"/>
              </w:rPr>
              <w:t>to </w:t>
            </w:r>
            <w:r>
              <w:rPr>
                <w:sz w:val="19"/>
              </w:rPr>
              <w:t>ensure</w:t>
            </w:r>
            <w:r>
              <w:rPr>
                <w:spacing w:val="-16"/>
                <w:sz w:val="19"/>
              </w:rPr>
              <w:t> </w:t>
            </w:r>
            <w:r>
              <w:rPr>
                <w:sz w:val="19"/>
              </w:rPr>
              <w:t>that</w:t>
            </w:r>
            <w:r>
              <w:rPr>
                <w:spacing w:val="-15"/>
                <w:sz w:val="19"/>
              </w:rPr>
              <w:t> </w:t>
            </w:r>
            <w:r>
              <w:rPr>
                <w:sz w:val="19"/>
              </w:rPr>
              <w:t>the</w:t>
            </w:r>
            <w:r>
              <w:rPr>
                <w:spacing w:val="-15"/>
                <w:sz w:val="19"/>
              </w:rPr>
              <w:t> </w:t>
            </w:r>
            <w:r>
              <w:rPr>
                <w:sz w:val="19"/>
              </w:rPr>
              <w:t>number of managers trained</w:t>
            </w:r>
            <w:r>
              <w:rPr>
                <w:spacing w:val="-38"/>
                <w:sz w:val="19"/>
              </w:rPr>
              <w:t> </w:t>
            </w:r>
            <w:r>
              <w:rPr>
                <w:sz w:val="19"/>
              </w:rPr>
              <w:t>in</w:t>
            </w:r>
          </w:p>
          <w:p>
            <w:pPr>
              <w:pStyle w:val="TableParagraph"/>
              <w:spacing w:line="249" w:lineRule="auto" w:before="2"/>
              <w:ind w:left="114" w:right="28"/>
              <w:rPr>
                <w:sz w:val="19"/>
              </w:rPr>
            </w:pPr>
            <w:r>
              <w:rPr>
                <w:sz w:val="19"/>
              </w:rPr>
              <w:t>occupational </w:t>
            </w:r>
            <w:r>
              <w:rPr>
                <w:spacing w:val="-3"/>
                <w:sz w:val="19"/>
              </w:rPr>
              <w:t>safety, </w:t>
            </w:r>
            <w:r>
              <w:rPr>
                <w:sz w:val="19"/>
              </w:rPr>
              <w:t>health and injury management is </w:t>
            </w:r>
            <w:r>
              <w:rPr>
                <w:spacing w:val="-9"/>
                <w:sz w:val="19"/>
              </w:rPr>
              <w:t>at </w:t>
            </w:r>
            <w:r>
              <w:rPr>
                <w:sz w:val="19"/>
              </w:rPr>
              <w:t>appropriate levels.</w:t>
            </w:r>
          </w:p>
        </w:tc>
      </w:tr>
    </w:tbl>
    <w:p>
      <w:pPr>
        <w:spacing w:after="0" w:line="249" w:lineRule="auto"/>
        <w:rPr>
          <w:sz w:val="19"/>
        </w:rPr>
        <w:sectPr>
          <w:type w:val="continuous"/>
          <w:pgSz w:w="16840" w:h="11910" w:orient="landscape"/>
          <w:pgMar w:top="0" w:bottom="0" w:left="0" w:right="0"/>
          <w:cols w:num="2" w:equalWidth="0">
            <w:col w:w="5628" w:space="40"/>
            <w:col w:w="11172"/>
          </w:cols>
        </w:sectPr>
      </w:pPr>
    </w:p>
    <w:p>
      <w:pPr>
        <w:pStyle w:val="BodyText"/>
        <w:rPr>
          <w:sz w:val="20"/>
        </w:rPr>
      </w:pPr>
      <w:r>
        <w:rPr/>
        <w:pict>
          <v:group style="position:absolute;margin-left:763.172119pt;margin-top:53.780003pt;width:61.1pt;height:45.2pt;mso-position-horizontal-relative:page;mso-position-vertical-relative:page;z-index:40024" coordorigin="15263,1076" coordsize="1222,904">
            <v:shape style="position:absolute;left:15424;top:1075;width:900;height:904" coordorigin="15424,1076" coordsize="900,904" path="m15874,1076l15424,1526,15424,1529,15874,1979,16324,1529,16324,1526,15874,1076xe" filled="true" fillcolor="#c4cd71" stroked="false">
              <v:path arrowok="t"/>
              <v:fill type="solid"/>
            </v:shape>
            <v:shape style="position:absolute;left:15263;top:1366;width:161;height:322" type="#_x0000_t75" stroked="false">
              <v:imagedata r:id="rId16" o:title=""/>
            </v:shape>
            <v:shape style="position:absolute;left:16324;top:1366;width:161;height:322" type="#_x0000_t75" stroked="false">
              <v:imagedata r:id="rId11" o:title=""/>
            </v:shape>
            <v:shape style="position:absolute;left:15263;top:1075;width:1222;height:904" type="#_x0000_t202" filled="false" stroked="false">
              <v:textbox inset="0,0,0,0">
                <w:txbxContent>
                  <w:p>
                    <w:pPr>
                      <w:spacing w:line="240" w:lineRule="auto" w:before="8"/>
                      <w:rPr>
                        <w:b/>
                        <w:sz w:val="25"/>
                      </w:rPr>
                    </w:pPr>
                  </w:p>
                  <w:p>
                    <w:pPr>
                      <w:spacing w:line="208" w:lineRule="auto" w:before="0"/>
                      <w:ind w:left="458" w:right="306" w:hanging="137"/>
                      <w:jc w:val="left"/>
                      <w:rPr>
                        <w:sz w:val="16"/>
                      </w:rPr>
                    </w:pPr>
                    <w:r>
                      <w:rPr>
                        <w:color w:val="FFFFFF"/>
                        <w:w w:val="95"/>
                        <w:sz w:val="16"/>
                      </w:rPr>
                      <w:t>previous </w:t>
                    </w:r>
                    <w:r>
                      <w:rPr>
                        <w:color w:val="FFFFFF"/>
                        <w:sz w:val="16"/>
                      </w:rPr>
                      <w:t>view</w:t>
                    </w:r>
                  </w:p>
                </w:txbxContent>
              </v:textbox>
              <w10:wrap type="none"/>
            </v:shape>
            <w10:wrap type="none"/>
          </v:group>
        </w:pict>
      </w:r>
    </w:p>
    <w:p>
      <w:pPr>
        <w:pStyle w:val="BodyText"/>
        <w:spacing w:before="5"/>
        <w:rPr>
          <w:sz w:val="20"/>
        </w:rPr>
      </w:pPr>
    </w:p>
    <w:p>
      <w:pPr>
        <w:tabs>
          <w:tab w:pos="12166" w:val="left" w:leader="none"/>
          <w:tab w:pos="12373" w:val="left" w:leader="none"/>
        </w:tabs>
        <w:spacing w:before="106"/>
        <w:ind w:left="765" w:right="0" w:firstLine="0"/>
        <w:jc w:val="left"/>
        <w:rPr>
          <w:b/>
          <w:sz w:val="16"/>
        </w:rPr>
      </w:pPr>
      <w:r>
        <w:rPr/>
        <w:pict>
          <v:group style="position:absolute;margin-left:647.715881pt;margin-top:-54.894695pt;width:90.25pt;height:45.2pt;mso-position-horizontal-relative:page;mso-position-vertical-relative:paragraph;z-index:40048" coordorigin="12954,-1098" coordsize="1805,904">
            <v:shape style="position:absolute;left:12954;top:-1098;width:904;height:904" coordorigin="12954,-1098" coordsize="904,904" path="m13406,-1098l12954,-646,13406,-195,13857,-646,13406,-1098xe" filled="true" fillcolor="#d4d4d3" stroked="false">
              <v:path arrowok="t"/>
              <v:fill opacity="16384f" type="solid"/>
            </v:shape>
            <v:shape style="position:absolute;left:13855;top:-1098;width:904;height:904" coordorigin="13856,-1098" coordsize="904,904" path="m14307,-1098l13856,-646,14307,-195,14759,-646,14307,-1098xe" filled="true" fillcolor="#c4cd71" stroked="false">
              <v:path arrowok="t"/>
              <v:fill opacity="16384f" type="solid"/>
            </v:shape>
            <w10:wrap type="none"/>
          </v:group>
        </w:pict>
      </w:r>
      <w:r>
        <w:rPr/>
        <w:pict>
          <v:group style="position:absolute;margin-left:318.844788pt;margin-top:-54.894695pt;width:225.8pt;height:90.35pt;mso-position-horizontal-relative:page;mso-position-vertical-relative:paragraph;z-index:-773560" coordorigin="6377,-1098" coordsize="4516,1807">
            <v:shape style="position:absolute;left:6376;top:-195;width:4516;height:904" coordorigin="6377,-195" coordsize="4516,904" path="m7280,257l6828,-195,6377,257,6828,708,7280,257m8183,257l7732,-195,7280,257,7732,708,8183,257m9086,257l8635,-195,8635,-195,8183,257,8635,708,9086,257m9990,257l9538,-195,9086,257,9538,708,9990,257m10893,257l10441,-195,9990,257,10441,708,10893,257e" filled="true" fillcolor="#ffffff" stroked="false">
              <v:path arrowok="t"/>
              <v:fill type="solid"/>
            </v:shape>
            <v:shape style="position:absolute;left:8183;top:-1098;width:904;height:904" coordorigin="8183,-1098" coordsize="904,904" path="m8635,-1098l8183,-646,8635,-195,9086,-646,8635,-1098xe" filled="true" fillcolor="#96ac7a" stroked="false">
              <v:path arrowok="t"/>
              <v:fill opacity="32768f" type="solid"/>
            </v:shape>
            <v:shape style="position:absolute;left:6376;top:-195;width:904;height:904" coordorigin="6377,-195" coordsize="904,904" path="m6828,-195l6377,257,6828,708,7280,257,6828,-195xe" filled="true" fillcolor="#513457" stroked="false">
              <v:path arrowok="t"/>
              <v:fill opacity="32768f" type="solid"/>
            </v:shape>
            <v:shape style="position:absolute;left:7731;top:-647;width:904;height:904" coordorigin="7732,-646" coordsize="904,904" path="m8183,-646l7732,-195,8183,257,8635,-195,8183,-646xe" filled="true" fillcolor="#c4cd71" stroked="false">
              <v:path arrowok="t"/>
              <v:fill opacity="32768f" type="solid"/>
            </v:shape>
            <v:shape style="position:absolute;left:7280;top:-195;width:904;height:904" coordorigin="7280,-195" coordsize="904,904" path="m7732,-195l7280,257,7732,708,8183,257,7732,-195xe" filled="true" fillcolor="#d4d4d3" stroked="false">
              <v:path arrowok="t"/>
              <v:fill opacity="32768f" type="solid"/>
            </v:shape>
            <v:shape style="position:absolute;left:9989;top:-195;width:904;height:904" coordorigin="9990,-195" coordsize="904,904" path="m10441,-195l9990,257,10441,708,10893,257,10441,-195xe" filled="true" fillcolor="#c4cd71" stroked="false">
              <v:path arrowok="t"/>
              <v:fill opacity="32768f" type="solid"/>
            </v:shape>
            <v:shape style="position:absolute;left:9086;top:-195;width:904;height:904" coordorigin="9086,-195" coordsize="904,904" path="m9538,-195l9086,257,9538,708,9990,257,9538,-195xe" filled="true" fillcolor="#d4d4d3" stroked="false">
              <v:path arrowok="t"/>
              <v:fill opacity="32768f" type="solid"/>
            </v:shape>
            <v:shape style="position:absolute;left:8183;top:-195;width:904;height:904" coordorigin="8183,-195" coordsize="904,904" path="m8635,-195l8183,257,8635,708,9086,257,8635,-195xe" filled="true" fillcolor="#783a79" stroked="false">
              <v:path arrowok="t"/>
              <v:fill opacity="32768f" type="solid"/>
            </v:shape>
            <v:shape style="position:absolute;left:8183;top:-195;width:452;height:452" coordorigin="8183,-195" coordsize="452,452" path="m8635,-195l8183,257,8635,-195xe" filled="true" fillcolor="#753972" stroked="false">
              <v:path arrowok="t"/>
              <v:fill opacity="32768f" type="solid"/>
            </v:shape>
            <w10:wrap type="none"/>
          </v:group>
        </w:pict>
      </w:r>
      <w:r>
        <w:rPr>
          <w:color w:val="939598"/>
          <w:w w:val="100"/>
          <w:sz w:val="16"/>
          <w:u w:val="single" w:color="939598"/>
        </w:rPr>
        <w:t> </w:t>
      </w:r>
      <w:r>
        <w:rPr>
          <w:color w:val="939598"/>
          <w:sz w:val="16"/>
          <w:u w:val="single" w:color="939598"/>
        </w:rPr>
        <w:tab/>
      </w:r>
      <w:r>
        <w:rPr>
          <w:color w:val="939598"/>
          <w:sz w:val="16"/>
        </w:rPr>
        <w:tab/>
        <w:t>Department of Finance Annual Report 2016-17</w:t>
      </w:r>
      <w:r>
        <w:rPr>
          <w:color w:val="939598"/>
          <w:spacing w:val="29"/>
          <w:sz w:val="16"/>
        </w:rPr>
        <w:t> </w:t>
      </w:r>
      <w:r>
        <w:rPr>
          <w:b/>
          <w:color w:val="6F2770"/>
          <w:sz w:val="16"/>
        </w:rPr>
        <w:t>115</w:t>
      </w:r>
    </w:p>
    <w:p>
      <w:pPr>
        <w:spacing w:after="0"/>
        <w:jc w:val="left"/>
        <w:rPr>
          <w:sz w:val="16"/>
        </w:rPr>
        <w:sectPr>
          <w:type w:val="continuous"/>
          <w:pgSz w:w="16840" w:h="11910" w:orient="landscape"/>
          <w:pgMar w:top="0" w:bottom="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6"/>
        </w:rPr>
      </w:pPr>
    </w:p>
    <w:p>
      <w:pPr>
        <w:pStyle w:val="Heading1"/>
        <w:spacing w:before="93"/>
      </w:pPr>
      <w:r>
        <w:rPr/>
        <w:pict>
          <v:group style="position:absolute;margin-left:0pt;margin-top:-67.324211pt;width:841.9pt;height:108.95pt;mso-position-horizontal-relative:page;mso-position-vertical-relative:paragraph;z-index:-773200" coordorigin="0,-1346" coordsize="16838,2179">
            <v:shape style="position:absolute;left:14419;top:-1347;width:1455;height:1745" coordorigin="14419,-1346" coordsize="1455,1745" path="m15219,-1346l15194,-1346,14935,-1197,14901,-1163,15219,-1346m15356,-1346l15331,-1346,14748,-1010,14714,-976,15356,-1346m15492,-1346l15467,-1346,14562,-824,14527,-789,15492,-1346m15629,-1346l15604,-1346,14419,-662,14428,-653,15629,-1346m15766,-1346l15741,-1346,14469,-612,14478,-603,15766,-1346m15874,155l15470,388,15479,398,15874,170,15874,155m15874,76l15420,338,15429,348,15874,91,15874,76m15874,-3l15370,288,15379,297,15874,12,15874,-3m15874,-82l15320,238,15329,247,15874,-67,15874,-82m15874,-161l15270,188,15279,197,15874,-146,15874,-161m15874,-240l15220,138,15229,147,15874,-225,15874,-240m15874,-318l15170,88,15179,97,15874,-304,15874,-318m15874,-397l15120,38,15129,47,15874,-383,15874,-397m15874,-476l15070,-12,15079,-3,15874,-462,15874,-476m15874,-555l15020,-62,15029,-53,15874,-541,15874,-555m15874,-713l14920,-162,14929,-153,15874,-699,15874,-713m15874,-792l14870,-212,14879,-203,15874,-778,15874,-792m15874,-871l14819,-262,14829,-253,15874,-856,15874,-871m15874,-950l14769,-312,14779,-303,15874,-935,15874,-950m15874,-1029l14719,-362,14729,-353,15874,-1014,15874,-1029m15874,-1108l14669,-412,14679,-403,15874,-1093,15874,-1108m15874,-1187l14619,-462,14628,-453,15874,-1172,15874,-1187m15874,-1345l14519,-562,14528,-553,15874,-1330,15874,-1345m15874,-634l14970,-112,14979,-103,15874,-620,15874,-634m15874,-1266l14569,-512,14578,-503,15874,-1251,15874,-1266e" filled="true" fillcolor="#cdcccd" stroked="false">
              <v:path arrowok="t"/>
              <v:fill type="solid"/>
            </v:shape>
            <v:shape style="position:absolute;left:15520;top:234;width:354;height:514" type="#_x0000_t75" stroked="false">
              <v:imagedata r:id="rId283" o:title=""/>
            </v:shape>
            <v:shape style="position:absolute;left:15874;top:-1347;width:338;height:196" type="#_x0000_t75" stroked="false">
              <v:imagedata r:id="rId20" o:title=""/>
            </v:shape>
            <v:shape style="position:absolute;left:15874;top:-1347;width:964;height:1932" coordorigin="15874,-1346" coordsize="964,1932" path="m16349,-1346l16339,-1346,15874,-1078,15874,-1072,16349,-1346m16378,288l15874,579,15874,585,16365,302,16378,288m16486,-1346l16476,-1346,15874,-999,15874,-993,16486,-1346m16565,101l15874,500,15874,506,16551,115,16565,101m16622,-1346l16612,-1346,15874,-920,15874,-915,16622,-1346m16699,-1312l16695,-1315,15874,-841,15874,-836,16699,-1312m16749,-1262l16745,-1265,15874,-762,15874,-757,16749,-1262m16752,-85l15874,421,15874,427,16738,-72,16752,-85m16799,-1212l16795,-1215,15874,-684,15874,-678,16799,-1212m16838,-214l15874,343,15874,348,16838,-208,16838,-214m16838,-293l15874,264,15874,269,16838,-287,16838,-293m16838,-372l15874,185,15874,190,16838,-366,16838,-372m16838,-451l15874,106,15874,112,16838,-445,16838,-451m16838,-530l15874,27,15874,33,16838,-524,16838,-530m16838,-608l15874,-52,15874,-46,16838,-603,16838,-608m16838,-687l15874,-131,15874,-125,16838,-682,16838,-687m16838,-766l15874,-210,15874,-204,16838,-761,16838,-766m16838,-845l15874,-289,15874,-283,16838,-839,16838,-845m16838,-924l15874,-368,15874,-362,16838,-918,16838,-924m16838,-1003l15874,-447,15874,-441,16838,-997,16838,-1003m16838,-1082l15874,-526,15874,-520,16838,-1076,16838,-1082m16838,-1161l15874,-605,15874,-599,16838,-1155,16838,-1161e" filled="true" fillcolor="#cdcccd" stroked="false">
              <v:path arrowok="t"/>
              <v:fill type="solid"/>
            </v:shape>
            <v:shape style="position:absolute;left:15874;top:474;width:318;height:269" type="#_x0000_t75" stroked="false">
              <v:imagedata r:id="rId158" o:title=""/>
            </v:shape>
            <v:shape style="position:absolute;left:13676;top:-975;width:904;height:904" coordorigin="13677,-974" coordsize="904,904" path="m14128,-974l13677,-522,14128,-71,14580,-522,14128,-974xe" filled="true" fillcolor="#ffffff" stroked="false">
              <v:path arrowok="t"/>
              <v:fill type="solid"/>
            </v:shape>
            <v:shape style="position:absolute;left:13225;top:-523;width:904;height:904" coordorigin="13225,-522" coordsize="904,904" path="m13677,-522l13225,-71,13677,381,14128,-71,13677,-522xe" filled="true" fillcolor="#e8e9c9" stroked="false">
              <v:path arrowok="t"/>
              <v:fill type="solid"/>
            </v:shape>
            <v:shape style="position:absolute;left:12773;top:-71;width:904;height:904" coordorigin="12774,-71" coordsize="904,904" path="m13225,-71l12774,381,13225,832,13677,381,13225,-71xe" filled="true" fillcolor="#d5dac6" stroked="false">
              <v:path arrowok="t"/>
              <v:fill type="solid"/>
            </v:shape>
            <v:shape style="position:absolute;left:11870;top:-975;width:2710;height:904" coordorigin="11870,-974" coordsize="2710,904" path="m12774,-522l12322,-974,11870,-522,12322,-71,12774,-522m14580,-522l14128,-974,13677,-522,14128,-71,14580,-522e" filled="true" fillcolor="#efeeeb" stroked="false">
              <v:path arrowok="t"/>
              <v:fill type="solid"/>
            </v:shape>
            <v:shape style="position:absolute;left:12773;top:-975;width:904;height:904" coordorigin="12774,-974" coordsize="904,904" path="m13225,-974l12774,-522,13225,-71,13677,-522,13225,-974xe" filled="true" fillcolor="#c0aac2" stroked="false">
              <v:path arrowok="t"/>
              <v:fill type="solid"/>
            </v:shape>
            <v:shape style="position:absolute;left:15424;top:-271;width:900;height:904" coordorigin="15424,-271" coordsize="900,904" path="m15874,-271l15424,179,15424,182,15874,632,16324,182,16324,179,15874,-271xe" filled="true" fillcolor="#c4cd71" stroked="false">
              <v:path arrowok="t"/>
              <v:fill type="solid"/>
            </v:shape>
            <v:shape style="position:absolute;left:15422;top:179;width:2;height:4" coordorigin="15423,179" coordsize="2,4" path="m15424,179l15423,181,15424,182,15424,179xe" filled="true" fillcolor="#b9c369" stroked="false">
              <v:path arrowok="t"/>
              <v:fill type="solid"/>
            </v:shape>
            <v:shape style="position:absolute;left:16324;top:179;width:2;height:4" coordorigin="16324,179" coordsize="2,4" path="m16324,179l16324,182,16326,181,16324,179xe" filled="true" fillcolor="#bec29e" stroked="false">
              <v:path arrowok="t"/>
              <v:fill type="solid"/>
            </v:shape>
            <v:rect style="position:absolute;left:12026;top:-1347;width:2406;height:851" filled="true" fillcolor="#b6c247" stroked="false">
              <v:fill type="solid"/>
            </v:rect>
            <v:rect style="position:absolute;left:9621;top:-1347;width:2406;height:851" filled="true" fillcolor="#bec85c" stroked="false">
              <v:fill type="solid"/>
            </v:rect>
            <v:rect style="position:absolute;left:14432;top:-1347;width:2406;height:851" filled="true" fillcolor="#e6e7e8" stroked="false">
              <v:fill type="solid"/>
            </v:rect>
            <v:shape style="position:absolute;left:14432;top:-1347;width:583;height:583" type="#_x0000_t75" stroked="false">
              <v:imagedata r:id="rId377" o:title=""/>
            </v:shape>
            <v:line style="position:absolute" from="16838,-1346" to="16838,-496" stroked="true" strokeweight=".001pt" strokecolor="#aebd37">
              <v:stroke dashstyle="solid"/>
            </v:line>
            <v:shape style="position:absolute;left:15263;top:19;width:161;height:322" type="#_x0000_t75" stroked="false">
              <v:imagedata r:id="rId16" o:title=""/>
            </v:shape>
            <v:shape style="position:absolute;left:16324;top:19;width:161;height:322" type="#_x0000_t75" stroked="false">
              <v:imagedata r:id="rId11" o:title=""/>
            </v:shape>
            <v:shape style="position:absolute;left:15585;top:0;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4432;top:-1347;width:2406;height:851" type="#_x0000_t202" filled="false" stroked="false">
              <v:textbox inset="0,0,0,0">
                <w:txbxContent>
                  <w:p>
                    <w:pPr>
                      <w:spacing w:line="240" w:lineRule="auto" w:before="9"/>
                      <w:rPr>
                        <w:i/>
                        <w:sz w:val="26"/>
                      </w:rPr>
                    </w:pPr>
                  </w:p>
                  <w:p>
                    <w:pPr>
                      <w:spacing w:before="0"/>
                      <w:ind w:left="735" w:right="0" w:firstLine="0"/>
                      <w:jc w:val="left"/>
                      <w:rPr>
                        <w:sz w:val="20"/>
                      </w:rPr>
                    </w:pPr>
                    <w:hyperlink w:history="true" w:anchor="_bookmark73">
                      <w:r>
                        <w:rPr>
                          <w:color w:val="6F2770"/>
                          <w:sz w:val="20"/>
                        </w:rPr>
                        <w:t>APPENDIX</w:t>
                      </w:r>
                    </w:hyperlink>
                  </w:p>
                </w:txbxContent>
              </v:textbox>
              <w10:wrap type="none"/>
            </v:shape>
            <v:shape style="position:absolute;left:12026;top:-1347;width:2406;height:851" type="#_x0000_t202" filled="false" stroked="false">
              <v:textbox inset="0,0,0,0">
                <w:txbxContent>
                  <w:p>
                    <w:pPr>
                      <w:spacing w:line="240" w:lineRule="auto" w:before="9"/>
                      <w:rPr>
                        <w:i/>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1347;width:2406;height:851"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v:shape style="position:absolute;left:7216;top:-1347;width:2406;height:851"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347;width:2414;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v:shape style="position:absolute;left:2405;top:-1347;width:2398;height:851" type="#_x0000_t202" filled="true" fillcolor="#b6c247" stroked="false">
              <v:textbox inset="0,0,0,0">
                <w:txbxContent>
                  <w:p>
                    <w:pPr>
                      <w:spacing w:line="240" w:lineRule="auto" w:before="9"/>
                      <w:rPr>
                        <w:i/>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1347;width:2406;height:851" type="#_x0000_t202" filled="true" fillcolor="#aebd37" stroked="false">
              <v:textbox inset="0,0,0,0">
                <w:txbxContent>
                  <w:p>
                    <w:pPr>
                      <w:spacing w:line="240" w:lineRule="auto" w:before="9"/>
                      <w:rPr>
                        <w:i/>
                        <w:sz w:val="26"/>
                      </w:rPr>
                    </w:pPr>
                  </w:p>
                  <w:p>
                    <w:pPr>
                      <w:spacing w:before="0"/>
                      <w:ind w:left="683" w:right="0" w:firstLine="0"/>
                      <w:jc w:val="left"/>
                      <w:rPr>
                        <w:sz w:val="20"/>
                      </w:rPr>
                    </w:pPr>
                    <w:hyperlink w:history="true" w:anchor="_bookmark0">
                      <w:r>
                        <w:rPr>
                          <w:color w:val="FFFFFF"/>
                          <w:sz w:val="20"/>
                        </w:rPr>
                        <w:t>CONTENTS</w:t>
                      </w:r>
                    </w:hyperlink>
                  </w:p>
                </w:txbxContent>
              </v:textbox>
              <v:fill type="solid"/>
              <w10:wrap type="none"/>
            </v:shape>
            <w10:wrap type="none"/>
          </v:group>
        </w:pict>
      </w:r>
      <w:bookmarkStart w:name="_bookmark73" w:id="75"/>
      <w:bookmarkEnd w:id="75"/>
      <w:r>
        <w:rPr/>
      </w:r>
      <w:r>
        <w:rPr>
          <w:color w:val="6F2770"/>
        </w:rPr>
        <w:t>Legislation Administered</w:t>
      </w:r>
    </w:p>
    <w:p>
      <w:pPr>
        <w:pStyle w:val="BodyText"/>
        <w:spacing w:before="4"/>
        <w:rPr>
          <w:sz w:val="29"/>
        </w:rPr>
      </w:pPr>
    </w:p>
    <w:p>
      <w:pPr>
        <w:spacing w:after="0"/>
        <w:rPr>
          <w:sz w:val="29"/>
        </w:rPr>
        <w:sectPr>
          <w:footerReference w:type="default" r:id="rId376"/>
          <w:pgSz w:w="16840" w:h="11910" w:orient="landscape"/>
          <w:pgMar w:footer="448" w:header="0" w:top="0" w:bottom="640" w:left="0" w:right="0"/>
        </w:sectPr>
      </w:pPr>
    </w:p>
    <w:p>
      <w:pPr>
        <w:pStyle w:val="Heading3"/>
        <w:spacing w:before="114"/>
      </w:pPr>
      <w:r>
        <w:rPr>
          <w:color w:val="360F41"/>
        </w:rPr>
        <w:t>MINISTER FOR FINANCE</w:t>
      </w:r>
    </w:p>
    <w:p>
      <w:pPr>
        <w:pStyle w:val="Heading4"/>
        <w:spacing w:before="186"/>
      </w:pPr>
      <w:r>
        <w:rPr>
          <w:color w:val="6F2770"/>
        </w:rPr>
        <w:t>State Revenue</w:t>
      </w:r>
    </w:p>
    <w:p>
      <w:pPr>
        <w:spacing w:line="304" w:lineRule="auto" w:before="37"/>
        <w:ind w:left="765" w:right="29" w:firstLine="0"/>
        <w:jc w:val="left"/>
        <w:rPr>
          <w:i/>
          <w:sz w:val="22"/>
        </w:rPr>
      </w:pPr>
      <w:hyperlink r:id="rId378">
        <w:r>
          <w:rPr>
            <w:i/>
            <w:color w:val="A7BE39"/>
            <w:sz w:val="22"/>
            <w:u w:val="single" w:color="A7BE39"/>
          </w:rPr>
          <w:t>Commonwealth</w:t>
        </w:r>
        <w:r>
          <w:rPr>
            <w:i/>
            <w:color w:val="A7BE39"/>
            <w:spacing w:val="-30"/>
            <w:sz w:val="22"/>
            <w:u w:val="single" w:color="A7BE39"/>
          </w:rPr>
          <w:t> </w:t>
        </w:r>
        <w:r>
          <w:rPr>
            <w:i/>
            <w:color w:val="A7BE39"/>
            <w:sz w:val="22"/>
            <w:u w:val="single" w:color="A7BE39"/>
          </w:rPr>
          <w:t>Places</w:t>
        </w:r>
        <w:r>
          <w:rPr>
            <w:i/>
            <w:color w:val="A7BE39"/>
            <w:spacing w:val="-30"/>
            <w:sz w:val="22"/>
            <w:u w:val="single" w:color="A7BE39"/>
          </w:rPr>
          <w:t> </w:t>
        </w:r>
        <w:r>
          <w:rPr>
            <w:i/>
            <w:color w:val="A7BE39"/>
            <w:sz w:val="22"/>
            <w:u w:val="single" w:color="A7BE39"/>
          </w:rPr>
          <w:t>(Mirror</w:t>
        </w:r>
        <w:r>
          <w:rPr>
            <w:i/>
            <w:color w:val="A7BE39"/>
            <w:spacing w:val="-30"/>
            <w:sz w:val="22"/>
            <w:u w:val="single" w:color="A7BE39"/>
          </w:rPr>
          <w:t> </w:t>
        </w:r>
        <w:r>
          <w:rPr>
            <w:i/>
            <w:color w:val="A7BE39"/>
            <w:spacing w:val="-5"/>
            <w:sz w:val="22"/>
            <w:u w:val="single" w:color="A7BE39"/>
          </w:rPr>
          <w:t>Taxes</w:t>
        </w:r>
        <w:r>
          <w:rPr>
            <w:i/>
            <w:color w:val="A7BE39"/>
            <w:spacing w:val="-30"/>
            <w:sz w:val="22"/>
            <w:u w:val="single" w:color="A7BE39"/>
          </w:rPr>
          <w:t> </w:t>
        </w:r>
        <w:r>
          <w:rPr>
            <w:i/>
            <w:color w:val="A7BE39"/>
            <w:sz w:val="22"/>
            <w:u w:val="single" w:color="A7BE39"/>
          </w:rPr>
          <w:t>Administration)</w:t>
        </w:r>
        <w:r>
          <w:rPr>
            <w:i/>
            <w:color w:val="A7BE39"/>
            <w:spacing w:val="-30"/>
            <w:sz w:val="22"/>
            <w:u w:val="single" w:color="A7BE39"/>
          </w:rPr>
          <w:t> </w:t>
        </w:r>
        <w:r>
          <w:rPr>
            <w:i/>
            <w:color w:val="A7BE39"/>
            <w:sz w:val="22"/>
            <w:u w:val="single" w:color="A7BE39"/>
          </w:rPr>
          <w:t>Act</w:t>
        </w:r>
        <w:r>
          <w:rPr>
            <w:i/>
            <w:color w:val="A7BE39"/>
            <w:spacing w:val="-30"/>
            <w:sz w:val="22"/>
            <w:u w:val="single" w:color="A7BE39"/>
          </w:rPr>
          <w:t> </w:t>
        </w:r>
        <w:r>
          <w:rPr>
            <w:i/>
            <w:color w:val="A7BE39"/>
            <w:spacing w:val="-5"/>
            <w:sz w:val="22"/>
            <w:u w:val="single" w:color="A7BE39"/>
          </w:rPr>
          <w:t>1999</w:t>
        </w:r>
      </w:hyperlink>
      <w:r>
        <w:rPr>
          <w:i/>
          <w:color w:val="A7BE39"/>
          <w:spacing w:val="-5"/>
          <w:sz w:val="22"/>
        </w:rPr>
        <w:t> </w:t>
      </w:r>
      <w:hyperlink r:id="rId379">
        <w:r>
          <w:rPr>
            <w:i/>
            <w:color w:val="A7BE39"/>
            <w:sz w:val="22"/>
            <w:u w:val="single" w:color="A7BE39"/>
          </w:rPr>
          <w:t>Duties Act</w:t>
        </w:r>
        <w:r>
          <w:rPr>
            <w:i/>
            <w:color w:val="A7BE39"/>
            <w:spacing w:val="-1"/>
            <w:sz w:val="22"/>
            <w:u w:val="single" w:color="A7BE39"/>
          </w:rPr>
          <w:t> </w:t>
        </w:r>
        <w:r>
          <w:rPr>
            <w:i/>
            <w:color w:val="A7BE39"/>
            <w:sz w:val="22"/>
            <w:u w:val="single" w:color="A7BE39"/>
          </w:rPr>
          <w:t>2008</w:t>
        </w:r>
      </w:hyperlink>
    </w:p>
    <w:p>
      <w:pPr>
        <w:spacing w:line="251" w:lineRule="exact" w:before="0"/>
        <w:ind w:left="765" w:right="0" w:firstLine="0"/>
        <w:jc w:val="left"/>
        <w:rPr>
          <w:i/>
          <w:sz w:val="22"/>
        </w:rPr>
      </w:pPr>
      <w:hyperlink r:id="rId380">
        <w:r>
          <w:rPr>
            <w:i/>
            <w:color w:val="A7BE39"/>
            <w:sz w:val="22"/>
            <w:u w:val="single" w:color="A7BE39"/>
          </w:rPr>
          <w:t>First Home Owner Grant Act 2000</w:t>
        </w:r>
      </w:hyperlink>
    </w:p>
    <w:p>
      <w:pPr>
        <w:spacing w:line="304" w:lineRule="auto" w:before="67"/>
        <w:ind w:left="765" w:right="1426" w:firstLine="0"/>
        <w:jc w:val="left"/>
        <w:rPr>
          <w:i/>
          <w:sz w:val="22"/>
        </w:rPr>
      </w:pPr>
      <w:hyperlink r:id="rId381">
        <w:r>
          <w:rPr>
            <w:i/>
            <w:color w:val="A7BE39"/>
            <w:sz w:val="22"/>
            <w:u w:val="single" w:color="A7BE39"/>
          </w:rPr>
          <w:t>First</w:t>
        </w:r>
        <w:r>
          <w:rPr>
            <w:i/>
            <w:color w:val="A7BE39"/>
            <w:spacing w:val="-17"/>
            <w:sz w:val="22"/>
            <w:u w:val="single" w:color="A7BE39"/>
          </w:rPr>
          <w:t> </w:t>
        </w:r>
        <w:r>
          <w:rPr>
            <w:i/>
            <w:color w:val="A7BE39"/>
            <w:sz w:val="22"/>
            <w:u w:val="single" w:color="A7BE39"/>
          </w:rPr>
          <w:t>Home</w:t>
        </w:r>
        <w:r>
          <w:rPr>
            <w:i/>
            <w:color w:val="A7BE39"/>
            <w:spacing w:val="-16"/>
            <w:sz w:val="22"/>
            <w:u w:val="single" w:color="A7BE39"/>
          </w:rPr>
          <w:t> </w:t>
        </w:r>
        <w:r>
          <w:rPr>
            <w:i/>
            <w:color w:val="A7BE39"/>
            <w:sz w:val="22"/>
            <w:u w:val="single" w:color="A7BE39"/>
          </w:rPr>
          <w:t>Owner</w:t>
        </w:r>
        <w:r>
          <w:rPr>
            <w:i/>
            <w:color w:val="A7BE39"/>
            <w:spacing w:val="-16"/>
            <w:sz w:val="22"/>
            <w:u w:val="single" w:color="A7BE39"/>
          </w:rPr>
          <w:t> </w:t>
        </w:r>
        <w:r>
          <w:rPr>
            <w:i/>
            <w:color w:val="A7BE39"/>
            <w:sz w:val="22"/>
            <w:u w:val="single" w:color="A7BE39"/>
          </w:rPr>
          <w:t>Grant</w:t>
        </w:r>
        <w:r>
          <w:rPr>
            <w:i/>
            <w:color w:val="A7BE39"/>
            <w:spacing w:val="-17"/>
            <w:sz w:val="22"/>
            <w:u w:val="single" w:color="A7BE39"/>
          </w:rPr>
          <w:t> </w:t>
        </w:r>
        <w:r>
          <w:rPr>
            <w:i/>
            <w:color w:val="A7BE39"/>
            <w:sz w:val="22"/>
            <w:u w:val="single" w:color="A7BE39"/>
          </w:rPr>
          <w:t>Amendment</w:t>
        </w:r>
        <w:r>
          <w:rPr>
            <w:i/>
            <w:color w:val="A7BE39"/>
            <w:spacing w:val="-16"/>
            <w:sz w:val="22"/>
            <w:u w:val="single" w:color="A7BE39"/>
          </w:rPr>
          <w:t> </w:t>
        </w:r>
        <w:r>
          <w:rPr>
            <w:i/>
            <w:color w:val="A7BE39"/>
            <w:sz w:val="22"/>
            <w:u w:val="single" w:color="A7BE39"/>
          </w:rPr>
          <w:t>Act</w:t>
        </w:r>
        <w:r>
          <w:rPr>
            <w:i/>
            <w:color w:val="A7BE39"/>
            <w:spacing w:val="-16"/>
            <w:sz w:val="22"/>
            <w:u w:val="single" w:color="A7BE39"/>
          </w:rPr>
          <w:t> </w:t>
        </w:r>
        <w:r>
          <w:rPr>
            <w:i/>
            <w:color w:val="A7BE39"/>
            <w:spacing w:val="-5"/>
            <w:sz w:val="22"/>
            <w:u w:val="single" w:color="A7BE39"/>
          </w:rPr>
          <w:t>2003</w:t>
        </w:r>
      </w:hyperlink>
      <w:r>
        <w:rPr>
          <w:i/>
          <w:color w:val="A7BE39"/>
          <w:spacing w:val="-5"/>
          <w:sz w:val="22"/>
        </w:rPr>
        <w:t> </w:t>
      </w:r>
      <w:hyperlink r:id="rId382">
        <w:r>
          <w:rPr>
            <w:i/>
            <w:color w:val="A7BE39"/>
            <w:sz w:val="22"/>
            <w:u w:val="single" w:color="A7BE39"/>
          </w:rPr>
          <w:t>Land </w:t>
        </w:r>
        <w:r>
          <w:rPr>
            <w:i/>
            <w:color w:val="A7BE39"/>
            <w:spacing w:val="-7"/>
            <w:sz w:val="22"/>
            <w:u w:val="single" w:color="A7BE39"/>
          </w:rPr>
          <w:t>Tax </w:t>
        </w:r>
        <w:r>
          <w:rPr>
            <w:i/>
            <w:color w:val="A7BE39"/>
            <w:sz w:val="22"/>
            <w:u w:val="single" w:color="A7BE39"/>
          </w:rPr>
          <w:t>Act</w:t>
        </w:r>
        <w:r>
          <w:rPr>
            <w:i/>
            <w:color w:val="A7BE39"/>
            <w:spacing w:val="4"/>
            <w:sz w:val="22"/>
            <w:u w:val="single" w:color="A7BE39"/>
          </w:rPr>
          <w:t> </w:t>
        </w:r>
        <w:r>
          <w:rPr>
            <w:i/>
            <w:color w:val="A7BE39"/>
            <w:sz w:val="22"/>
            <w:u w:val="single" w:color="A7BE39"/>
          </w:rPr>
          <w:t>2002</w:t>
        </w:r>
      </w:hyperlink>
    </w:p>
    <w:p>
      <w:pPr>
        <w:spacing w:line="304" w:lineRule="auto" w:before="0"/>
        <w:ind w:left="765" w:right="2828" w:firstLine="0"/>
        <w:jc w:val="left"/>
        <w:rPr>
          <w:i/>
          <w:sz w:val="22"/>
        </w:rPr>
      </w:pPr>
      <w:hyperlink r:id="rId383">
        <w:r>
          <w:rPr>
            <w:i/>
            <w:color w:val="A7BE39"/>
            <w:sz w:val="22"/>
            <w:u w:val="single" w:color="A7BE39"/>
          </w:rPr>
          <w:t>Land </w:t>
        </w:r>
        <w:r>
          <w:rPr>
            <w:i/>
            <w:color w:val="A7BE39"/>
            <w:spacing w:val="-7"/>
            <w:sz w:val="22"/>
            <w:u w:val="single" w:color="A7BE39"/>
          </w:rPr>
          <w:t>Tax </w:t>
        </w:r>
        <w:r>
          <w:rPr>
            <w:i/>
            <w:color w:val="A7BE39"/>
            <w:sz w:val="22"/>
            <w:u w:val="single" w:color="A7BE39"/>
          </w:rPr>
          <w:t>Assessment Act </w:t>
        </w:r>
        <w:r>
          <w:rPr>
            <w:i/>
            <w:color w:val="A7BE39"/>
            <w:spacing w:val="-5"/>
            <w:sz w:val="22"/>
            <w:u w:val="single" w:color="A7BE39"/>
          </w:rPr>
          <w:t>2002</w:t>
        </w:r>
      </w:hyperlink>
      <w:r>
        <w:rPr>
          <w:i/>
          <w:color w:val="A7BE39"/>
          <w:spacing w:val="-5"/>
          <w:sz w:val="22"/>
        </w:rPr>
        <w:t> </w:t>
      </w:r>
      <w:hyperlink r:id="rId384">
        <w:r>
          <w:rPr>
            <w:i/>
            <w:color w:val="A7BE39"/>
            <w:sz w:val="22"/>
            <w:u w:val="single" w:color="A7BE39"/>
          </w:rPr>
          <w:t>Pay-roll </w:t>
        </w:r>
        <w:r>
          <w:rPr>
            <w:i/>
            <w:color w:val="A7BE39"/>
            <w:spacing w:val="-7"/>
            <w:sz w:val="22"/>
            <w:u w:val="single" w:color="A7BE39"/>
          </w:rPr>
          <w:t>Tax </w:t>
        </w:r>
        <w:r>
          <w:rPr>
            <w:i/>
            <w:color w:val="A7BE39"/>
            <w:sz w:val="22"/>
            <w:u w:val="single" w:color="A7BE39"/>
          </w:rPr>
          <w:t>Act 2002</w:t>
        </w:r>
      </w:hyperlink>
    </w:p>
    <w:p>
      <w:pPr>
        <w:spacing w:line="304" w:lineRule="auto" w:before="0"/>
        <w:ind w:left="765" w:right="2662" w:firstLine="0"/>
        <w:jc w:val="left"/>
        <w:rPr>
          <w:i/>
          <w:sz w:val="22"/>
        </w:rPr>
      </w:pPr>
      <w:hyperlink r:id="rId385">
        <w:r>
          <w:rPr>
            <w:i/>
            <w:color w:val="A7BE39"/>
            <w:sz w:val="22"/>
            <w:u w:val="single" w:color="A7BE39"/>
          </w:rPr>
          <w:t>Pay-roll</w:t>
        </w:r>
        <w:r>
          <w:rPr>
            <w:i/>
            <w:color w:val="A7BE39"/>
            <w:spacing w:val="-24"/>
            <w:sz w:val="22"/>
            <w:u w:val="single" w:color="A7BE39"/>
          </w:rPr>
          <w:t> </w:t>
        </w:r>
        <w:r>
          <w:rPr>
            <w:i/>
            <w:color w:val="A7BE39"/>
            <w:spacing w:val="-7"/>
            <w:sz w:val="22"/>
            <w:u w:val="single" w:color="A7BE39"/>
          </w:rPr>
          <w:t>Tax</w:t>
        </w:r>
        <w:r>
          <w:rPr>
            <w:i/>
            <w:color w:val="A7BE39"/>
            <w:spacing w:val="-24"/>
            <w:sz w:val="22"/>
            <w:u w:val="single" w:color="A7BE39"/>
          </w:rPr>
          <w:t> </w:t>
        </w:r>
        <w:r>
          <w:rPr>
            <w:i/>
            <w:color w:val="A7BE39"/>
            <w:sz w:val="22"/>
            <w:u w:val="single" w:color="A7BE39"/>
          </w:rPr>
          <w:t>Assessment</w:t>
        </w:r>
        <w:r>
          <w:rPr>
            <w:i/>
            <w:color w:val="A7BE39"/>
            <w:spacing w:val="-24"/>
            <w:sz w:val="22"/>
            <w:u w:val="single" w:color="A7BE39"/>
          </w:rPr>
          <w:t> </w:t>
        </w:r>
        <w:r>
          <w:rPr>
            <w:i/>
            <w:color w:val="A7BE39"/>
            <w:sz w:val="22"/>
            <w:u w:val="single" w:color="A7BE39"/>
          </w:rPr>
          <w:t>Act</w:t>
        </w:r>
        <w:r>
          <w:rPr>
            <w:i/>
            <w:color w:val="A7BE39"/>
            <w:spacing w:val="-23"/>
            <w:sz w:val="22"/>
            <w:u w:val="single" w:color="A7BE39"/>
          </w:rPr>
          <w:t> </w:t>
        </w:r>
        <w:r>
          <w:rPr>
            <w:i/>
            <w:color w:val="A7BE39"/>
            <w:spacing w:val="-5"/>
            <w:sz w:val="22"/>
            <w:u w:val="single" w:color="A7BE39"/>
          </w:rPr>
          <w:t>2002</w:t>
        </w:r>
      </w:hyperlink>
      <w:r>
        <w:rPr>
          <w:i/>
          <w:color w:val="A7BE39"/>
          <w:spacing w:val="-5"/>
          <w:sz w:val="22"/>
        </w:rPr>
        <w:t> </w:t>
      </w:r>
      <w:hyperlink r:id="rId386">
        <w:r>
          <w:rPr>
            <w:i/>
            <w:color w:val="A7BE39"/>
            <w:sz w:val="22"/>
            <w:u w:val="single" w:color="A7BE39"/>
          </w:rPr>
          <w:t>Pay-roll </w:t>
        </w:r>
        <w:r>
          <w:rPr>
            <w:i/>
            <w:color w:val="A7BE39"/>
            <w:spacing w:val="-7"/>
            <w:sz w:val="22"/>
            <w:u w:val="single" w:color="A7BE39"/>
          </w:rPr>
          <w:t>Tax </w:t>
        </w:r>
        <w:r>
          <w:rPr>
            <w:i/>
            <w:color w:val="A7BE39"/>
            <w:sz w:val="22"/>
            <w:u w:val="single" w:color="A7BE39"/>
          </w:rPr>
          <w:t>Rebate Act</w:t>
        </w:r>
        <w:r>
          <w:rPr>
            <w:i/>
            <w:color w:val="A7BE39"/>
            <w:spacing w:val="-26"/>
            <w:sz w:val="22"/>
            <w:u w:val="single" w:color="A7BE39"/>
          </w:rPr>
          <w:t> </w:t>
        </w:r>
        <w:r>
          <w:rPr>
            <w:i/>
            <w:color w:val="A7BE39"/>
            <w:sz w:val="22"/>
            <w:u w:val="single" w:color="A7BE39"/>
          </w:rPr>
          <w:t>2010</w:t>
        </w:r>
      </w:hyperlink>
    </w:p>
    <w:p>
      <w:pPr>
        <w:spacing w:line="304" w:lineRule="auto" w:before="0"/>
        <w:ind w:left="765" w:right="1219" w:firstLine="0"/>
        <w:jc w:val="left"/>
        <w:rPr>
          <w:i/>
          <w:sz w:val="22"/>
        </w:rPr>
      </w:pPr>
      <w:hyperlink r:id="rId387">
        <w:r>
          <w:rPr>
            <w:i/>
            <w:color w:val="A7BE39"/>
            <w:sz w:val="22"/>
            <w:u w:val="single" w:color="A7BE39"/>
          </w:rPr>
          <w:t>Pay-roll</w:t>
        </w:r>
        <w:r>
          <w:rPr>
            <w:i/>
            <w:color w:val="A7BE39"/>
            <w:spacing w:val="-32"/>
            <w:sz w:val="22"/>
            <w:u w:val="single" w:color="A7BE39"/>
          </w:rPr>
          <w:t> </w:t>
        </w:r>
        <w:r>
          <w:rPr>
            <w:i/>
            <w:color w:val="A7BE39"/>
            <w:spacing w:val="-7"/>
            <w:sz w:val="22"/>
            <w:u w:val="single" w:color="A7BE39"/>
          </w:rPr>
          <w:t>Tax</w:t>
        </w:r>
        <w:r>
          <w:rPr>
            <w:i/>
            <w:color w:val="A7BE39"/>
            <w:spacing w:val="-32"/>
            <w:sz w:val="22"/>
            <w:u w:val="single" w:color="A7BE39"/>
          </w:rPr>
          <w:t> </w:t>
        </w:r>
        <w:r>
          <w:rPr>
            <w:i/>
            <w:color w:val="A7BE39"/>
            <w:sz w:val="22"/>
            <w:u w:val="single" w:color="A7BE39"/>
          </w:rPr>
          <w:t>(Indigenous</w:t>
        </w:r>
        <w:r>
          <w:rPr>
            <w:i/>
            <w:color w:val="A7BE39"/>
            <w:spacing w:val="-32"/>
            <w:sz w:val="22"/>
            <w:u w:val="single" w:color="A7BE39"/>
          </w:rPr>
          <w:t> </w:t>
        </w:r>
        <w:r>
          <w:rPr>
            <w:i/>
            <w:color w:val="A7BE39"/>
            <w:sz w:val="22"/>
            <w:u w:val="single" w:color="A7BE39"/>
          </w:rPr>
          <w:t>Wages)</w:t>
        </w:r>
        <w:r>
          <w:rPr>
            <w:i/>
            <w:color w:val="A7BE39"/>
            <w:spacing w:val="-31"/>
            <w:sz w:val="22"/>
            <w:u w:val="single" w:color="A7BE39"/>
          </w:rPr>
          <w:t> </w:t>
        </w:r>
        <w:r>
          <w:rPr>
            <w:i/>
            <w:color w:val="A7BE39"/>
            <w:sz w:val="22"/>
            <w:u w:val="single" w:color="A7BE39"/>
          </w:rPr>
          <w:t>Rebate</w:t>
        </w:r>
        <w:r>
          <w:rPr>
            <w:i/>
            <w:color w:val="A7BE39"/>
            <w:spacing w:val="-32"/>
            <w:sz w:val="22"/>
            <w:u w:val="single" w:color="A7BE39"/>
          </w:rPr>
          <w:t> </w:t>
        </w:r>
        <w:r>
          <w:rPr>
            <w:i/>
            <w:color w:val="A7BE39"/>
            <w:sz w:val="22"/>
            <w:u w:val="single" w:color="A7BE39"/>
          </w:rPr>
          <w:t>Act</w:t>
        </w:r>
        <w:r>
          <w:rPr>
            <w:i/>
            <w:color w:val="A7BE39"/>
            <w:spacing w:val="-32"/>
            <w:sz w:val="22"/>
            <w:u w:val="single" w:color="A7BE39"/>
          </w:rPr>
          <w:t> </w:t>
        </w:r>
        <w:r>
          <w:rPr>
            <w:i/>
            <w:color w:val="A7BE39"/>
            <w:spacing w:val="-5"/>
            <w:sz w:val="22"/>
            <w:u w:val="single" w:color="A7BE39"/>
          </w:rPr>
          <w:t>2012</w:t>
        </w:r>
      </w:hyperlink>
      <w:r>
        <w:rPr>
          <w:i/>
          <w:color w:val="A7BE39"/>
          <w:spacing w:val="-5"/>
          <w:sz w:val="22"/>
        </w:rPr>
        <w:t> </w:t>
      </w:r>
      <w:hyperlink r:id="rId388">
        <w:r>
          <w:rPr>
            <w:i/>
            <w:color w:val="A7BE39"/>
            <w:sz w:val="22"/>
            <w:u w:val="single" w:color="A7BE39"/>
          </w:rPr>
          <w:t>Pay-roll </w:t>
        </w:r>
        <w:r>
          <w:rPr>
            <w:i/>
            <w:color w:val="A7BE39"/>
            <w:spacing w:val="-7"/>
            <w:sz w:val="22"/>
            <w:u w:val="single" w:color="A7BE39"/>
          </w:rPr>
          <w:t>Tax </w:t>
        </w:r>
        <w:r>
          <w:rPr>
            <w:i/>
            <w:color w:val="A7BE39"/>
            <w:sz w:val="22"/>
            <w:u w:val="single" w:color="A7BE39"/>
          </w:rPr>
          <w:t>Rebate Act</w:t>
        </w:r>
        <w:r>
          <w:rPr>
            <w:i/>
            <w:color w:val="A7BE39"/>
            <w:spacing w:val="-5"/>
            <w:sz w:val="22"/>
            <w:u w:val="single" w:color="A7BE39"/>
          </w:rPr>
          <w:t> </w:t>
        </w:r>
        <w:r>
          <w:rPr>
            <w:i/>
            <w:color w:val="A7BE39"/>
            <w:sz w:val="22"/>
            <w:u w:val="single" w:color="A7BE39"/>
          </w:rPr>
          <w:t>2012</w:t>
        </w:r>
      </w:hyperlink>
    </w:p>
    <w:p>
      <w:pPr>
        <w:spacing w:line="304" w:lineRule="auto" w:before="0"/>
        <w:ind w:left="765" w:right="608" w:firstLine="0"/>
        <w:jc w:val="left"/>
        <w:rPr>
          <w:i/>
          <w:sz w:val="22"/>
        </w:rPr>
      </w:pPr>
      <w:hyperlink r:id="rId389">
        <w:r>
          <w:rPr>
            <w:i/>
            <w:color w:val="A7BE39"/>
            <w:sz w:val="22"/>
            <w:u w:val="single" w:color="A7BE39"/>
          </w:rPr>
          <w:t>Rates</w:t>
        </w:r>
        <w:r>
          <w:rPr>
            <w:i/>
            <w:color w:val="A7BE39"/>
            <w:spacing w:val="-27"/>
            <w:sz w:val="22"/>
            <w:u w:val="single" w:color="A7BE39"/>
          </w:rPr>
          <w:t> </w:t>
        </w:r>
        <w:r>
          <w:rPr>
            <w:i/>
            <w:color w:val="A7BE39"/>
            <w:sz w:val="22"/>
            <w:u w:val="single" w:color="A7BE39"/>
          </w:rPr>
          <w:t>and</w:t>
        </w:r>
        <w:r>
          <w:rPr>
            <w:i/>
            <w:color w:val="A7BE39"/>
            <w:spacing w:val="-26"/>
            <w:sz w:val="22"/>
            <w:u w:val="single" w:color="A7BE39"/>
          </w:rPr>
          <w:t> </w:t>
        </w:r>
        <w:r>
          <w:rPr>
            <w:i/>
            <w:color w:val="A7BE39"/>
            <w:sz w:val="22"/>
            <w:u w:val="single" w:color="A7BE39"/>
          </w:rPr>
          <w:t>Charges</w:t>
        </w:r>
        <w:r>
          <w:rPr>
            <w:i/>
            <w:color w:val="A7BE39"/>
            <w:spacing w:val="-27"/>
            <w:sz w:val="22"/>
            <w:u w:val="single" w:color="A7BE39"/>
          </w:rPr>
          <w:t> </w:t>
        </w:r>
        <w:r>
          <w:rPr>
            <w:i/>
            <w:color w:val="A7BE39"/>
            <w:sz w:val="22"/>
            <w:u w:val="single" w:color="A7BE39"/>
          </w:rPr>
          <w:t>(Rebates</w:t>
        </w:r>
        <w:r>
          <w:rPr>
            <w:i/>
            <w:color w:val="A7BE39"/>
            <w:spacing w:val="-26"/>
            <w:sz w:val="22"/>
            <w:u w:val="single" w:color="A7BE39"/>
          </w:rPr>
          <w:t> </w:t>
        </w:r>
        <w:r>
          <w:rPr>
            <w:i/>
            <w:color w:val="A7BE39"/>
            <w:sz w:val="22"/>
            <w:u w:val="single" w:color="A7BE39"/>
          </w:rPr>
          <w:t>and</w:t>
        </w:r>
        <w:r>
          <w:rPr>
            <w:i/>
            <w:color w:val="A7BE39"/>
            <w:spacing w:val="-27"/>
            <w:sz w:val="22"/>
            <w:u w:val="single" w:color="A7BE39"/>
          </w:rPr>
          <w:t> </w:t>
        </w:r>
        <w:r>
          <w:rPr>
            <w:i/>
            <w:color w:val="A7BE39"/>
            <w:sz w:val="22"/>
            <w:u w:val="single" w:color="A7BE39"/>
          </w:rPr>
          <w:t>Deferments)</w:t>
        </w:r>
        <w:r>
          <w:rPr>
            <w:i/>
            <w:color w:val="A7BE39"/>
            <w:spacing w:val="-26"/>
            <w:sz w:val="22"/>
            <w:u w:val="single" w:color="A7BE39"/>
          </w:rPr>
          <w:t> </w:t>
        </w:r>
        <w:r>
          <w:rPr>
            <w:i/>
            <w:color w:val="A7BE39"/>
            <w:sz w:val="22"/>
            <w:u w:val="single" w:color="A7BE39"/>
          </w:rPr>
          <w:t>Act</w:t>
        </w:r>
        <w:r>
          <w:rPr>
            <w:i/>
            <w:color w:val="A7BE39"/>
            <w:spacing w:val="-27"/>
            <w:sz w:val="22"/>
            <w:u w:val="single" w:color="A7BE39"/>
          </w:rPr>
          <w:t> </w:t>
        </w:r>
        <w:r>
          <w:rPr>
            <w:i/>
            <w:color w:val="A7BE39"/>
            <w:spacing w:val="-5"/>
            <w:sz w:val="22"/>
            <w:u w:val="single" w:color="A7BE39"/>
          </w:rPr>
          <w:t>1992</w:t>
        </w:r>
      </w:hyperlink>
      <w:r>
        <w:rPr>
          <w:i/>
          <w:color w:val="A7BE39"/>
          <w:spacing w:val="-5"/>
          <w:sz w:val="22"/>
        </w:rPr>
        <w:t> </w:t>
      </w:r>
      <w:hyperlink r:id="rId390">
        <w:r>
          <w:rPr>
            <w:i/>
            <w:color w:val="A7BE39"/>
            <w:sz w:val="22"/>
            <w:u w:val="single" w:color="A7BE39"/>
          </w:rPr>
          <w:t>Stamp Act</w:t>
        </w:r>
        <w:r>
          <w:rPr>
            <w:i/>
            <w:color w:val="A7BE39"/>
            <w:spacing w:val="-1"/>
            <w:sz w:val="22"/>
            <w:u w:val="single" w:color="A7BE39"/>
          </w:rPr>
          <w:t> </w:t>
        </w:r>
        <w:r>
          <w:rPr>
            <w:i/>
            <w:color w:val="A7BE39"/>
            <w:sz w:val="22"/>
            <w:u w:val="single" w:color="A7BE39"/>
          </w:rPr>
          <w:t>1921</w:t>
        </w:r>
      </w:hyperlink>
    </w:p>
    <w:p>
      <w:pPr>
        <w:spacing w:line="304" w:lineRule="auto" w:before="0"/>
        <w:ind w:left="765" w:right="1778" w:firstLine="0"/>
        <w:jc w:val="left"/>
        <w:rPr>
          <w:i/>
          <w:sz w:val="22"/>
        </w:rPr>
      </w:pPr>
      <w:hyperlink r:id="rId391">
        <w:r>
          <w:rPr>
            <w:i/>
            <w:color w:val="A7BE39"/>
            <w:sz w:val="22"/>
            <w:u w:val="single" w:color="A7BE39"/>
          </w:rPr>
          <w:t>Stamp</w:t>
        </w:r>
        <w:r>
          <w:rPr>
            <w:i/>
            <w:color w:val="A7BE39"/>
            <w:spacing w:val="-24"/>
            <w:sz w:val="22"/>
            <w:u w:val="single" w:color="A7BE39"/>
          </w:rPr>
          <w:t> </w:t>
        </w:r>
        <w:r>
          <w:rPr>
            <w:i/>
            <w:color w:val="A7BE39"/>
            <w:sz w:val="22"/>
            <w:u w:val="single" w:color="A7BE39"/>
          </w:rPr>
          <w:t>Amendment</w:t>
        </w:r>
        <w:r>
          <w:rPr>
            <w:i/>
            <w:color w:val="A7BE39"/>
            <w:spacing w:val="-24"/>
            <w:sz w:val="22"/>
            <w:u w:val="single" w:color="A7BE39"/>
          </w:rPr>
          <w:t> </w:t>
        </w:r>
        <w:r>
          <w:rPr>
            <w:i/>
            <w:color w:val="A7BE39"/>
            <w:sz w:val="22"/>
            <w:u w:val="single" w:color="A7BE39"/>
          </w:rPr>
          <w:t>(Assessment)</w:t>
        </w:r>
        <w:r>
          <w:rPr>
            <w:i/>
            <w:color w:val="A7BE39"/>
            <w:spacing w:val="-24"/>
            <w:sz w:val="22"/>
            <w:u w:val="single" w:color="A7BE39"/>
          </w:rPr>
          <w:t> </w:t>
        </w:r>
        <w:r>
          <w:rPr>
            <w:i/>
            <w:color w:val="A7BE39"/>
            <w:sz w:val="22"/>
            <w:u w:val="single" w:color="A7BE39"/>
          </w:rPr>
          <w:t>Act</w:t>
        </w:r>
        <w:r>
          <w:rPr>
            <w:i/>
            <w:color w:val="A7BE39"/>
            <w:spacing w:val="-24"/>
            <w:sz w:val="22"/>
            <w:u w:val="single" w:color="A7BE39"/>
          </w:rPr>
          <w:t> </w:t>
        </w:r>
        <w:r>
          <w:rPr>
            <w:i/>
            <w:color w:val="A7BE39"/>
            <w:spacing w:val="-5"/>
            <w:sz w:val="22"/>
            <w:u w:val="single" w:color="A7BE39"/>
          </w:rPr>
          <w:t>2005</w:t>
        </w:r>
      </w:hyperlink>
      <w:r>
        <w:rPr>
          <w:i/>
          <w:color w:val="A7BE39"/>
          <w:spacing w:val="-5"/>
          <w:sz w:val="22"/>
        </w:rPr>
        <w:t> </w:t>
      </w:r>
      <w:hyperlink r:id="rId392">
        <w:r>
          <w:rPr>
            <w:i/>
            <w:color w:val="A7BE39"/>
            <w:sz w:val="22"/>
            <w:u w:val="single" w:color="A7BE39"/>
          </w:rPr>
          <w:t>Stamp Amendment (Budget) Act</w:t>
        </w:r>
        <w:r>
          <w:rPr>
            <w:i/>
            <w:color w:val="A7BE39"/>
            <w:spacing w:val="-25"/>
            <w:sz w:val="22"/>
            <w:u w:val="single" w:color="A7BE39"/>
          </w:rPr>
          <w:t> </w:t>
        </w:r>
        <w:r>
          <w:rPr>
            <w:i/>
            <w:color w:val="A7BE39"/>
            <w:sz w:val="22"/>
            <w:u w:val="single" w:color="A7BE39"/>
          </w:rPr>
          <w:t>2002</w:t>
        </w:r>
      </w:hyperlink>
    </w:p>
    <w:p>
      <w:pPr>
        <w:spacing w:line="304" w:lineRule="auto" w:before="0"/>
        <w:ind w:left="765" w:right="0" w:firstLine="0"/>
        <w:jc w:val="left"/>
        <w:rPr>
          <w:i/>
          <w:sz w:val="22"/>
        </w:rPr>
      </w:pPr>
      <w:hyperlink r:id="rId393">
        <w:r>
          <w:rPr>
            <w:i/>
            <w:color w:val="A7BE39"/>
            <w:w w:val="95"/>
            <w:sz w:val="22"/>
            <w:u w:val="single" w:color="A7BE39"/>
          </w:rPr>
          <w:t>Taxation Administration (Consequential Provisions) Act 2002</w:t>
        </w:r>
      </w:hyperlink>
      <w:r>
        <w:rPr>
          <w:i/>
          <w:color w:val="A7BE39"/>
          <w:w w:val="95"/>
          <w:sz w:val="22"/>
        </w:rPr>
        <w:t> </w:t>
      </w:r>
      <w:hyperlink r:id="rId394">
        <w:r>
          <w:rPr>
            <w:i/>
            <w:color w:val="A7BE39"/>
            <w:sz w:val="22"/>
            <w:u w:val="single" w:color="A7BE39"/>
          </w:rPr>
          <w:t>Taxation Administration Act 2003</w:t>
        </w:r>
      </w:hyperlink>
    </w:p>
    <w:p>
      <w:pPr>
        <w:pStyle w:val="BodyText"/>
        <w:spacing w:before="7"/>
        <w:rPr>
          <w:i/>
          <w:sz w:val="24"/>
        </w:rPr>
      </w:pPr>
    </w:p>
    <w:p>
      <w:pPr>
        <w:pStyle w:val="Heading4"/>
        <w:spacing w:before="0"/>
      </w:pPr>
      <w:r>
        <w:rPr>
          <w:color w:val="6F2770"/>
        </w:rPr>
        <w:t>Government Procurement</w:t>
      </w:r>
    </w:p>
    <w:p>
      <w:pPr>
        <w:spacing w:before="37"/>
        <w:ind w:left="765" w:right="0" w:firstLine="0"/>
        <w:jc w:val="left"/>
        <w:rPr>
          <w:i/>
          <w:sz w:val="22"/>
        </w:rPr>
      </w:pPr>
      <w:hyperlink r:id="rId395">
        <w:r>
          <w:rPr>
            <w:i/>
            <w:color w:val="A7BE39"/>
            <w:sz w:val="22"/>
            <w:u w:val="single" w:color="A7BE39"/>
          </w:rPr>
          <w:t>State Supply Commission Act 1991</w:t>
        </w:r>
      </w:hyperlink>
    </w:p>
    <w:p>
      <w:pPr>
        <w:pStyle w:val="BodyText"/>
        <w:spacing w:before="1"/>
        <w:rPr>
          <w:i/>
          <w:sz w:val="62"/>
        </w:rPr>
      </w:pPr>
      <w:r>
        <w:rPr/>
        <w:br w:type="column"/>
      </w:r>
      <w:r>
        <w:rPr>
          <w:i/>
          <w:sz w:val="62"/>
        </w:rPr>
      </w:r>
    </w:p>
    <w:p>
      <w:pPr>
        <w:pStyle w:val="Heading4"/>
        <w:spacing w:before="0"/>
      </w:pPr>
      <w:r>
        <w:rPr>
          <w:color w:val="6F2770"/>
        </w:rPr>
        <w:t>Building Management and Works</w:t>
      </w:r>
    </w:p>
    <w:p>
      <w:pPr>
        <w:spacing w:before="37"/>
        <w:ind w:left="765" w:right="0" w:firstLine="0"/>
        <w:jc w:val="left"/>
        <w:rPr>
          <w:i/>
          <w:sz w:val="22"/>
        </w:rPr>
      </w:pPr>
      <w:hyperlink r:id="rId396">
        <w:r>
          <w:rPr>
            <w:i/>
            <w:color w:val="A7BE39"/>
            <w:sz w:val="22"/>
            <w:u w:val="single" w:color="A7BE39"/>
          </w:rPr>
          <w:t>Public Works Act 1902</w:t>
        </w:r>
      </w:hyperlink>
    </w:p>
    <w:p>
      <w:pPr>
        <w:spacing w:before="67"/>
        <w:ind w:left="765" w:right="0" w:firstLine="0"/>
        <w:jc w:val="left"/>
        <w:rPr>
          <w:i/>
          <w:sz w:val="22"/>
        </w:rPr>
      </w:pPr>
      <w:hyperlink r:id="rId397">
        <w:r>
          <w:rPr>
            <w:i/>
            <w:color w:val="A7BE39"/>
            <w:sz w:val="22"/>
            <w:u w:val="single" w:color="A7BE39"/>
          </w:rPr>
          <w:t>Sunset Reserve Transformation Act 2014</w:t>
        </w:r>
      </w:hyperlink>
    </w:p>
    <w:p>
      <w:pPr>
        <w:pStyle w:val="BodyText"/>
        <w:rPr>
          <w:i/>
          <w:sz w:val="32"/>
        </w:rPr>
      </w:pPr>
    </w:p>
    <w:p>
      <w:pPr>
        <w:pStyle w:val="Heading3"/>
      </w:pPr>
      <w:r>
        <w:rPr>
          <w:color w:val="360F41"/>
        </w:rPr>
        <w:t>MINISTER FOR ENERGY</w:t>
      </w:r>
    </w:p>
    <w:p>
      <w:pPr>
        <w:pStyle w:val="Heading4"/>
        <w:spacing w:before="186"/>
      </w:pPr>
      <w:r>
        <w:rPr>
          <w:color w:val="6F2770"/>
          <w:w w:val="95"/>
        </w:rPr>
        <w:t>Public Utilities</w:t>
      </w:r>
      <w:r>
        <w:rPr>
          <w:color w:val="6F2770"/>
          <w:spacing w:val="2"/>
          <w:w w:val="95"/>
        </w:rPr>
        <w:t> </w:t>
      </w:r>
      <w:r>
        <w:rPr>
          <w:color w:val="6F2770"/>
          <w:w w:val="95"/>
        </w:rPr>
        <w:t>Office</w:t>
      </w:r>
    </w:p>
    <w:p>
      <w:pPr>
        <w:spacing w:line="304" w:lineRule="auto" w:before="37"/>
        <w:ind w:left="765" w:right="4565" w:firstLine="0"/>
        <w:jc w:val="left"/>
        <w:rPr>
          <w:i/>
          <w:sz w:val="22"/>
        </w:rPr>
      </w:pPr>
      <w:hyperlink r:id="rId398">
        <w:r>
          <w:rPr>
            <w:i/>
            <w:color w:val="A7BE39"/>
            <w:sz w:val="22"/>
            <w:u w:val="single" w:color="A7BE39"/>
          </w:rPr>
          <w:t>Dampier</w:t>
        </w:r>
        <w:r>
          <w:rPr>
            <w:i/>
            <w:color w:val="A7BE39"/>
            <w:spacing w:val="-18"/>
            <w:sz w:val="22"/>
            <w:u w:val="single" w:color="A7BE39"/>
          </w:rPr>
          <w:t> </w:t>
        </w:r>
        <w:r>
          <w:rPr>
            <w:i/>
            <w:color w:val="A7BE39"/>
            <w:sz w:val="22"/>
            <w:u w:val="single" w:color="A7BE39"/>
          </w:rPr>
          <w:t>to</w:t>
        </w:r>
        <w:r>
          <w:rPr>
            <w:i/>
            <w:color w:val="A7BE39"/>
            <w:spacing w:val="-17"/>
            <w:sz w:val="22"/>
            <w:u w:val="single" w:color="A7BE39"/>
          </w:rPr>
          <w:t> </w:t>
        </w:r>
        <w:r>
          <w:rPr>
            <w:i/>
            <w:color w:val="A7BE39"/>
            <w:sz w:val="22"/>
            <w:u w:val="single" w:color="A7BE39"/>
          </w:rPr>
          <w:t>Bunbury</w:t>
        </w:r>
        <w:r>
          <w:rPr>
            <w:i/>
            <w:color w:val="A7BE39"/>
            <w:spacing w:val="-17"/>
            <w:sz w:val="22"/>
            <w:u w:val="single" w:color="A7BE39"/>
          </w:rPr>
          <w:t> </w:t>
        </w:r>
        <w:r>
          <w:rPr>
            <w:i/>
            <w:color w:val="A7BE39"/>
            <w:sz w:val="22"/>
            <w:u w:val="single" w:color="A7BE39"/>
          </w:rPr>
          <w:t>Pipeline</w:t>
        </w:r>
        <w:r>
          <w:rPr>
            <w:i/>
            <w:color w:val="A7BE39"/>
            <w:spacing w:val="-17"/>
            <w:sz w:val="22"/>
            <w:u w:val="single" w:color="A7BE39"/>
          </w:rPr>
          <w:t> </w:t>
        </w:r>
        <w:r>
          <w:rPr>
            <w:i/>
            <w:color w:val="A7BE39"/>
            <w:sz w:val="22"/>
            <w:u w:val="single" w:color="A7BE39"/>
          </w:rPr>
          <w:t>Act</w:t>
        </w:r>
        <w:r>
          <w:rPr>
            <w:i/>
            <w:color w:val="A7BE39"/>
            <w:spacing w:val="-17"/>
            <w:sz w:val="22"/>
            <w:u w:val="single" w:color="A7BE39"/>
          </w:rPr>
          <w:t> </w:t>
        </w:r>
        <w:r>
          <w:rPr>
            <w:i/>
            <w:color w:val="A7BE39"/>
            <w:spacing w:val="-5"/>
            <w:sz w:val="22"/>
            <w:u w:val="single" w:color="A7BE39"/>
          </w:rPr>
          <w:t>1997</w:t>
        </w:r>
      </w:hyperlink>
      <w:r>
        <w:rPr>
          <w:i/>
          <w:color w:val="A7BE39"/>
          <w:spacing w:val="-5"/>
          <w:sz w:val="22"/>
        </w:rPr>
        <w:t> </w:t>
      </w:r>
      <w:hyperlink r:id="rId399">
        <w:r>
          <w:rPr>
            <w:i/>
            <w:color w:val="A7BE39"/>
            <w:sz w:val="22"/>
            <w:u w:val="single" w:color="A7BE39"/>
          </w:rPr>
          <w:t>Electricity Corporations Act</w:t>
        </w:r>
        <w:r>
          <w:rPr>
            <w:i/>
            <w:color w:val="A7BE39"/>
            <w:spacing w:val="-21"/>
            <w:sz w:val="22"/>
            <w:u w:val="single" w:color="A7BE39"/>
          </w:rPr>
          <w:t> </w:t>
        </w:r>
        <w:r>
          <w:rPr>
            <w:i/>
            <w:color w:val="A7BE39"/>
            <w:sz w:val="22"/>
            <w:u w:val="single" w:color="A7BE39"/>
          </w:rPr>
          <w:t>2005</w:t>
        </w:r>
      </w:hyperlink>
    </w:p>
    <w:p>
      <w:pPr>
        <w:spacing w:line="251" w:lineRule="exact" w:before="0"/>
        <w:ind w:left="765" w:right="0" w:firstLine="0"/>
        <w:jc w:val="left"/>
        <w:rPr>
          <w:i/>
          <w:sz w:val="22"/>
        </w:rPr>
      </w:pPr>
      <w:hyperlink r:id="rId400">
        <w:r>
          <w:rPr>
            <w:i/>
            <w:color w:val="A7BE39"/>
            <w:sz w:val="22"/>
            <w:u w:val="single" w:color="A7BE39"/>
          </w:rPr>
          <w:t>Electricity Industry Act 2004 (except Part 9A)</w:t>
        </w:r>
      </w:hyperlink>
    </w:p>
    <w:p>
      <w:pPr>
        <w:spacing w:line="304" w:lineRule="auto" w:before="67"/>
        <w:ind w:left="765" w:right="1796" w:firstLine="0"/>
        <w:jc w:val="left"/>
        <w:rPr>
          <w:i/>
          <w:sz w:val="22"/>
        </w:rPr>
      </w:pPr>
      <w:hyperlink r:id="rId401">
        <w:r>
          <w:rPr>
            <w:i/>
            <w:color w:val="A7BE39"/>
            <w:sz w:val="22"/>
            <w:u w:val="single" w:color="A7BE39"/>
          </w:rPr>
          <w:t>Electricity</w:t>
        </w:r>
        <w:r>
          <w:rPr>
            <w:i/>
            <w:color w:val="A7BE39"/>
            <w:spacing w:val="-35"/>
            <w:sz w:val="22"/>
            <w:u w:val="single" w:color="A7BE39"/>
          </w:rPr>
          <w:t> </w:t>
        </w:r>
        <w:r>
          <w:rPr>
            <w:i/>
            <w:color w:val="A7BE39"/>
            <w:sz w:val="22"/>
            <w:u w:val="single" w:color="A7BE39"/>
          </w:rPr>
          <w:t>Transmission</w:t>
        </w:r>
        <w:r>
          <w:rPr>
            <w:i/>
            <w:color w:val="A7BE39"/>
            <w:spacing w:val="-34"/>
            <w:sz w:val="22"/>
            <w:u w:val="single" w:color="A7BE39"/>
          </w:rPr>
          <w:t> </w:t>
        </w:r>
        <w:r>
          <w:rPr>
            <w:i/>
            <w:color w:val="A7BE39"/>
            <w:sz w:val="22"/>
            <w:u w:val="single" w:color="A7BE39"/>
          </w:rPr>
          <w:t>and</w:t>
        </w:r>
        <w:r>
          <w:rPr>
            <w:i/>
            <w:color w:val="A7BE39"/>
            <w:spacing w:val="-34"/>
            <w:sz w:val="22"/>
            <w:u w:val="single" w:color="A7BE39"/>
          </w:rPr>
          <w:t> </w:t>
        </w:r>
        <w:r>
          <w:rPr>
            <w:i/>
            <w:color w:val="A7BE39"/>
            <w:sz w:val="22"/>
            <w:u w:val="single" w:color="A7BE39"/>
          </w:rPr>
          <w:t>Distribution</w:t>
        </w:r>
        <w:r>
          <w:rPr>
            <w:i/>
            <w:color w:val="A7BE39"/>
            <w:spacing w:val="-34"/>
            <w:sz w:val="22"/>
            <w:u w:val="single" w:color="A7BE39"/>
          </w:rPr>
          <w:t> </w:t>
        </w:r>
        <w:r>
          <w:rPr>
            <w:i/>
            <w:color w:val="A7BE39"/>
            <w:sz w:val="22"/>
            <w:u w:val="single" w:color="A7BE39"/>
          </w:rPr>
          <w:t>Systems</w:t>
        </w:r>
        <w:r>
          <w:rPr>
            <w:i/>
            <w:color w:val="A7BE39"/>
            <w:spacing w:val="-34"/>
            <w:sz w:val="22"/>
            <w:u w:val="single" w:color="A7BE39"/>
          </w:rPr>
          <w:t> </w:t>
        </w:r>
        <w:r>
          <w:rPr>
            <w:i/>
            <w:color w:val="A7BE39"/>
            <w:sz w:val="22"/>
            <w:u w:val="single" w:color="A7BE39"/>
          </w:rPr>
          <w:t>(Access)</w:t>
        </w:r>
        <w:r>
          <w:rPr>
            <w:i/>
            <w:color w:val="A7BE39"/>
            <w:spacing w:val="-34"/>
            <w:sz w:val="22"/>
            <w:u w:val="single" w:color="A7BE39"/>
          </w:rPr>
          <w:t> </w:t>
        </w:r>
        <w:r>
          <w:rPr>
            <w:i/>
            <w:color w:val="A7BE39"/>
            <w:sz w:val="22"/>
            <w:u w:val="single" w:color="A7BE39"/>
          </w:rPr>
          <w:t>Act</w:t>
        </w:r>
        <w:r>
          <w:rPr>
            <w:i/>
            <w:color w:val="A7BE39"/>
            <w:spacing w:val="-34"/>
            <w:sz w:val="22"/>
            <w:u w:val="single" w:color="A7BE39"/>
          </w:rPr>
          <w:t> </w:t>
        </w:r>
        <w:r>
          <w:rPr>
            <w:i/>
            <w:color w:val="A7BE39"/>
            <w:spacing w:val="-5"/>
            <w:sz w:val="22"/>
            <w:u w:val="single" w:color="A7BE39"/>
          </w:rPr>
          <w:t>1994</w:t>
        </w:r>
      </w:hyperlink>
      <w:r>
        <w:rPr>
          <w:i/>
          <w:color w:val="A7BE39"/>
          <w:spacing w:val="-5"/>
          <w:sz w:val="22"/>
        </w:rPr>
        <w:t> </w:t>
      </w:r>
      <w:hyperlink r:id="rId402">
        <w:r>
          <w:rPr>
            <w:i/>
            <w:color w:val="A7BE39"/>
            <w:sz w:val="22"/>
            <w:u w:val="single" w:color="A7BE39"/>
          </w:rPr>
          <w:t>Energy Arbitration and Review Act</w:t>
        </w:r>
        <w:r>
          <w:rPr>
            <w:i/>
            <w:color w:val="A7BE39"/>
            <w:spacing w:val="-14"/>
            <w:sz w:val="22"/>
            <w:u w:val="single" w:color="A7BE39"/>
          </w:rPr>
          <w:t> </w:t>
        </w:r>
        <w:r>
          <w:rPr>
            <w:i/>
            <w:color w:val="A7BE39"/>
            <w:sz w:val="22"/>
            <w:u w:val="single" w:color="A7BE39"/>
          </w:rPr>
          <w:t>1998</w:t>
        </w:r>
      </w:hyperlink>
    </w:p>
    <w:p>
      <w:pPr>
        <w:spacing w:line="251" w:lineRule="exact" w:before="0"/>
        <w:ind w:left="765" w:right="0" w:firstLine="0"/>
        <w:jc w:val="left"/>
        <w:rPr>
          <w:i/>
          <w:sz w:val="22"/>
        </w:rPr>
      </w:pPr>
      <w:hyperlink r:id="rId403">
        <w:r>
          <w:rPr>
            <w:i/>
            <w:color w:val="A7BE39"/>
            <w:sz w:val="22"/>
            <w:u w:val="single" w:color="A7BE39"/>
          </w:rPr>
          <w:t>Energy Coordination Act 1994 (except Parts 2 and 3)</w:t>
        </w:r>
      </w:hyperlink>
    </w:p>
    <w:p>
      <w:pPr>
        <w:spacing w:line="304" w:lineRule="auto" w:before="68"/>
        <w:ind w:left="765" w:right="942" w:firstLine="0"/>
        <w:jc w:val="left"/>
        <w:rPr>
          <w:i/>
          <w:sz w:val="22"/>
        </w:rPr>
      </w:pPr>
      <w:hyperlink r:id="rId404">
        <w:r>
          <w:rPr>
            <w:i/>
            <w:color w:val="A7BE39"/>
            <w:w w:val="95"/>
            <w:sz w:val="22"/>
            <w:u w:val="single" w:color="A7BE39"/>
          </w:rPr>
          <w:t>Energy Corporations (Transitional and Consequential Provisions) Act 1994</w:t>
        </w:r>
      </w:hyperlink>
      <w:r>
        <w:rPr>
          <w:i/>
          <w:color w:val="A7BE39"/>
          <w:w w:val="95"/>
          <w:sz w:val="22"/>
        </w:rPr>
        <w:t> </w:t>
      </w:r>
      <w:hyperlink r:id="rId405">
        <w:r>
          <w:rPr>
            <w:i/>
            <w:color w:val="A7BE39"/>
            <w:sz w:val="22"/>
            <w:u w:val="single" w:color="A7BE39"/>
          </w:rPr>
          <w:t>Energy Operators (Powers) Act 1979</w:t>
        </w:r>
      </w:hyperlink>
    </w:p>
    <w:p>
      <w:pPr>
        <w:spacing w:line="304" w:lineRule="auto" w:before="0"/>
        <w:ind w:left="765" w:right="3799" w:firstLine="0"/>
        <w:jc w:val="left"/>
        <w:rPr>
          <w:i/>
          <w:sz w:val="22"/>
        </w:rPr>
      </w:pPr>
      <w:hyperlink r:id="rId406">
        <w:r>
          <w:rPr>
            <w:i/>
            <w:color w:val="A7BE39"/>
            <w:sz w:val="22"/>
            <w:u w:val="single" w:color="A7BE39"/>
          </w:rPr>
          <w:t>Fuel,</w:t>
        </w:r>
        <w:r>
          <w:rPr>
            <w:i/>
            <w:color w:val="A7BE39"/>
            <w:spacing w:val="-18"/>
            <w:sz w:val="22"/>
            <w:u w:val="single" w:color="A7BE39"/>
          </w:rPr>
          <w:t> </w:t>
        </w:r>
        <w:r>
          <w:rPr>
            <w:i/>
            <w:color w:val="A7BE39"/>
            <w:sz w:val="22"/>
            <w:u w:val="single" w:color="A7BE39"/>
          </w:rPr>
          <w:t>Energy</w:t>
        </w:r>
        <w:r>
          <w:rPr>
            <w:i/>
            <w:color w:val="A7BE39"/>
            <w:spacing w:val="-18"/>
            <w:sz w:val="22"/>
            <w:u w:val="single" w:color="A7BE39"/>
          </w:rPr>
          <w:t> </w:t>
        </w:r>
        <w:r>
          <w:rPr>
            <w:i/>
            <w:color w:val="A7BE39"/>
            <w:sz w:val="22"/>
            <w:u w:val="single" w:color="A7BE39"/>
          </w:rPr>
          <w:t>and</w:t>
        </w:r>
        <w:r>
          <w:rPr>
            <w:i/>
            <w:color w:val="A7BE39"/>
            <w:spacing w:val="-18"/>
            <w:sz w:val="22"/>
            <w:u w:val="single" w:color="A7BE39"/>
          </w:rPr>
          <w:t> </w:t>
        </w:r>
        <w:r>
          <w:rPr>
            <w:i/>
            <w:color w:val="A7BE39"/>
            <w:sz w:val="22"/>
            <w:u w:val="single" w:color="A7BE39"/>
          </w:rPr>
          <w:t>Power</w:t>
        </w:r>
        <w:r>
          <w:rPr>
            <w:i/>
            <w:color w:val="A7BE39"/>
            <w:spacing w:val="-18"/>
            <w:sz w:val="22"/>
            <w:u w:val="single" w:color="A7BE39"/>
          </w:rPr>
          <w:t> </w:t>
        </w:r>
        <w:r>
          <w:rPr>
            <w:i/>
            <w:color w:val="A7BE39"/>
            <w:sz w:val="22"/>
            <w:u w:val="single" w:color="A7BE39"/>
          </w:rPr>
          <w:t>Resources</w:t>
        </w:r>
        <w:r>
          <w:rPr>
            <w:i/>
            <w:color w:val="A7BE39"/>
            <w:spacing w:val="-18"/>
            <w:sz w:val="22"/>
            <w:u w:val="single" w:color="A7BE39"/>
          </w:rPr>
          <w:t> </w:t>
        </w:r>
        <w:r>
          <w:rPr>
            <w:i/>
            <w:color w:val="A7BE39"/>
            <w:sz w:val="22"/>
            <w:u w:val="single" w:color="A7BE39"/>
          </w:rPr>
          <w:t>Act</w:t>
        </w:r>
        <w:r>
          <w:rPr>
            <w:i/>
            <w:color w:val="A7BE39"/>
            <w:spacing w:val="-18"/>
            <w:sz w:val="22"/>
            <w:u w:val="single" w:color="A7BE39"/>
          </w:rPr>
          <w:t> </w:t>
        </w:r>
        <w:r>
          <w:rPr>
            <w:i/>
            <w:color w:val="A7BE39"/>
            <w:sz w:val="22"/>
            <w:u w:val="single" w:color="A7BE39"/>
          </w:rPr>
          <w:t>1972</w:t>
        </w:r>
      </w:hyperlink>
      <w:r>
        <w:rPr>
          <w:i/>
          <w:color w:val="A7BE39"/>
          <w:sz w:val="22"/>
        </w:rPr>
        <w:t> </w:t>
      </w:r>
      <w:hyperlink r:id="rId407">
        <w:r>
          <w:rPr>
            <w:i/>
            <w:color w:val="A7BE39"/>
            <w:sz w:val="22"/>
            <w:u w:val="single" w:color="A7BE39"/>
          </w:rPr>
          <w:t>Gas</w:t>
        </w:r>
        <w:r>
          <w:rPr>
            <w:i/>
            <w:color w:val="A7BE39"/>
            <w:spacing w:val="-28"/>
            <w:sz w:val="22"/>
            <w:u w:val="single" w:color="A7BE39"/>
          </w:rPr>
          <w:t> </w:t>
        </w:r>
        <w:r>
          <w:rPr>
            <w:i/>
            <w:color w:val="A7BE39"/>
            <w:sz w:val="22"/>
            <w:u w:val="single" w:color="A7BE39"/>
          </w:rPr>
          <w:t>Corporation</w:t>
        </w:r>
        <w:r>
          <w:rPr>
            <w:i/>
            <w:color w:val="A7BE39"/>
            <w:spacing w:val="-28"/>
            <w:sz w:val="22"/>
            <w:u w:val="single" w:color="A7BE39"/>
          </w:rPr>
          <w:t> </w:t>
        </w:r>
        <w:r>
          <w:rPr>
            <w:i/>
            <w:color w:val="A7BE39"/>
            <w:sz w:val="22"/>
            <w:u w:val="single" w:color="A7BE39"/>
          </w:rPr>
          <w:t>(Business</w:t>
        </w:r>
        <w:r>
          <w:rPr>
            <w:i/>
            <w:color w:val="A7BE39"/>
            <w:spacing w:val="-28"/>
            <w:sz w:val="22"/>
            <w:u w:val="single" w:color="A7BE39"/>
          </w:rPr>
          <w:t> </w:t>
        </w:r>
        <w:r>
          <w:rPr>
            <w:i/>
            <w:color w:val="A7BE39"/>
            <w:sz w:val="22"/>
            <w:u w:val="single" w:color="A7BE39"/>
          </w:rPr>
          <w:t>Disposal)</w:t>
        </w:r>
        <w:r>
          <w:rPr>
            <w:i/>
            <w:color w:val="A7BE39"/>
            <w:spacing w:val="-28"/>
            <w:sz w:val="22"/>
            <w:u w:val="single" w:color="A7BE39"/>
          </w:rPr>
          <w:t> </w:t>
        </w:r>
        <w:r>
          <w:rPr>
            <w:i/>
            <w:color w:val="A7BE39"/>
            <w:sz w:val="22"/>
            <w:u w:val="single" w:color="A7BE39"/>
          </w:rPr>
          <w:t>Act</w:t>
        </w:r>
        <w:r>
          <w:rPr>
            <w:i/>
            <w:color w:val="A7BE39"/>
            <w:spacing w:val="-27"/>
            <w:sz w:val="22"/>
            <w:u w:val="single" w:color="A7BE39"/>
          </w:rPr>
          <w:t> </w:t>
        </w:r>
        <w:r>
          <w:rPr>
            <w:i/>
            <w:color w:val="A7BE39"/>
            <w:spacing w:val="-5"/>
            <w:sz w:val="22"/>
            <w:u w:val="single" w:color="A7BE39"/>
          </w:rPr>
          <w:t>1999</w:t>
        </w:r>
      </w:hyperlink>
      <w:r>
        <w:rPr>
          <w:i/>
          <w:color w:val="A7BE39"/>
          <w:spacing w:val="-5"/>
          <w:sz w:val="22"/>
        </w:rPr>
        <w:t> </w:t>
      </w:r>
      <w:hyperlink r:id="rId408">
        <w:r>
          <w:rPr>
            <w:i/>
            <w:color w:val="A7BE39"/>
            <w:sz w:val="22"/>
            <w:u w:val="single" w:color="A7BE39"/>
          </w:rPr>
          <w:t>Gas Services Information Act</w:t>
        </w:r>
        <w:r>
          <w:rPr>
            <w:i/>
            <w:color w:val="A7BE39"/>
            <w:spacing w:val="-19"/>
            <w:sz w:val="22"/>
            <w:u w:val="single" w:color="A7BE39"/>
          </w:rPr>
          <w:t> </w:t>
        </w:r>
        <w:r>
          <w:rPr>
            <w:i/>
            <w:color w:val="A7BE39"/>
            <w:sz w:val="22"/>
            <w:u w:val="single" w:color="A7BE39"/>
          </w:rPr>
          <w:t>2012</w:t>
        </w:r>
      </w:hyperlink>
    </w:p>
    <w:p>
      <w:pPr>
        <w:spacing w:line="304" w:lineRule="auto" w:before="0"/>
        <w:ind w:left="765" w:right="1066" w:firstLine="0"/>
        <w:jc w:val="left"/>
        <w:rPr>
          <w:i/>
          <w:sz w:val="22"/>
        </w:rPr>
      </w:pPr>
      <w:hyperlink r:id="rId409">
        <w:r>
          <w:rPr>
            <w:i/>
            <w:color w:val="A7BE39"/>
            <w:sz w:val="22"/>
            <w:u w:val="single" w:color="A7BE39"/>
          </w:rPr>
          <w:t>Gas</w:t>
        </w:r>
        <w:r>
          <w:rPr>
            <w:i/>
            <w:color w:val="A7BE39"/>
            <w:spacing w:val="-26"/>
            <w:sz w:val="22"/>
            <w:u w:val="single" w:color="A7BE39"/>
          </w:rPr>
          <w:t> </w:t>
        </w:r>
        <w:r>
          <w:rPr>
            <w:i/>
            <w:color w:val="A7BE39"/>
            <w:sz w:val="22"/>
            <w:u w:val="single" w:color="A7BE39"/>
          </w:rPr>
          <w:t>Supply</w:t>
        </w:r>
        <w:r>
          <w:rPr>
            <w:i/>
            <w:color w:val="A7BE39"/>
            <w:spacing w:val="-26"/>
            <w:sz w:val="22"/>
            <w:u w:val="single" w:color="A7BE39"/>
          </w:rPr>
          <w:t> </w:t>
        </w:r>
        <w:r>
          <w:rPr>
            <w:i/>
            <w:color w:val="A7BE39"/>
            <w:sz w:val="22"/>
            <w:u w:val="single" w:color="A7BE39"/>
          </w:rPr>
          <w:t>(Gas</w:t>
        </w:r>
        <w:r>
          <w:rPr>
            <w:i/>
            <w:color w:val="A7BE39"/>
            <w:spacing w:val="-25"/>
            <w:sz w:val="22"/>
            <w:u w:val="single" w:color="A7BE39"/>
          </w:rPr>
          <w:t> </w:t>
        </w:r>
        <w:r>
          <w:rPr>
            <w:i/>
            <w:color w:val="A7BE39"/>
            <w:sz w:val="22"/>
            <w:u w:val="single" w:color="A7BE39"/>
          </w:rPr>
          <w:t>Quality</w:t>
        </w:r>
        <w:r>
          <w:rPr>
            <w:i/>
            <w:color w:val="A7BE39"/>
            <w:spacing w:val="-26"/>
            <w:sz w:val="22"/>
            <w:u w:val="single" w:color="A7BE39"/>
          </w:rPr>
          <w:t> </w:t>
        </w:r>
        <w:r>
          <w:rPr>
            <w:i/>
            <w:color w:val="A7BE39"/>
            <w:sz w:val="22"/>
            <w:u w:val="single" w:color="A7BE39"/>
          </w:rPr>
          <w:t>Specifications)</w:t>
        </w:r>
        <w:r>
          <w:rPr>
            <w:i/>
            <w:color w:val="A7BE39"/>
            <w:spacing w:val="-25"/>
            <w:sz w:val="22"/>
            <w:u w:val="single" w:color="A7BE39"/>
          </w:rPr>
          <w:t> </w:t>
        </w:r>
        <w:r>
          <w:rPr>
            <w:i/>
            <w:color w:val="A7BE39"/>
            <w:sz w:val="22"/>
            <w:u w:val="single" w:color="A7BE39"/>
          </w:rPr>
          <w:t>Act</w:t>
        </w:r>
        <w:r>
          <w:rPr>
            <w:i/>
            <w:color w:val="A7BE39"/>
            <w:spacing w:val="-26"/>
            <w:sz w:val="22"/>
            <w:u w:val="single" w:color="A7BE39"/>
          </w:rPr>
          <w:t> </w:t>
        </w:r>
        <w:r>
          <w:rPr>
            <w:i/>
            <w:color w:val="A7BE39"/>
            <w:sz w:val="22"/>
            <w:u w:val="single" w:color="A7BE39"/>
          </w:rPr>
          <w:t>2009</w:t>
        </w:r>
        <w:r>
          <w:rPr>
            <w:i/>
            <w:color w:val="A7BE39"/>
            <w:spacing w:val="-25"/>
            <w:sz w:val="22"/>
            <w:u w:val="single" w:color="A7BE39"/>
          </w:rPr>
          <w:t> </w:t>
        </w:r>
        <w:r>
          <w:rPr>
            <w:i/>
            <w:color w:val="A7BE39"/>
            <w:sz w:val="22"/>
            <w:u w:val="single" w:color="A7BE39"/>
          </w:rPr>
          <w:t>(except</w:t>
        </w:r>
        <w:r>
          <w:rPr>
            <w:i/>
            <w:color w:val="A7BE39"/>
            <w:spacing w:val="-26"/>
            <w:sz w:val="22"/>
            <w:u w:val="single" w:color="A7BE39"/>
          </w:rPr>
          <w:t> </w:t>
        </w:r>
        <w:r>
          <w:rPr>
            <w:i/>
            <w:color w:val="A7BE39"/>
            <w:sz w:val="22"/>
            <w:u w:val="single" w:color="A7BE39"/>
          </w:rPr>
          <w:t>Part</w:t>
        </w:r>
        <w:r>
          <w:rPr>
            <w:i/>
            <w:color w:val="A7BE39"/>
            <w:spacing w:val="-25"/>
            <w:sz w:val="22"/>
            <w:u w:val="single" w:color="A7BE39"/>
          </w:rPr>
          <w:t> </w:t>
        </w:r>
        <w:r>
          <w:rPr>
            <w:i/>
            <w:color w:val="A7BE39"/>
            <w:sz w:val="22"/>
            <w:u w:val="single" w:color="A7BE39"/>
          </w:rPr>
          <w:t>5,</w:t>
        </w:r>
        <w:r>
          <w:rPr>
            <w:i/>
            <w:color w:val="A7BE39"/>
            <w:spacing w:val="-26"/>
            <w:sz w:val="22"/>
            <w:u w:val="single" w:color="A7BE39"/>
          </w:rPr>
          <w:t> </w:t>
        </w:r>
        <w:r>
          <w:rPr>
            <w:i/>
            <w:color w:val="A7BE39"/>
            <w:sz w:val="22"/>
            <w:u w:val="single" w:color="A7BE39"/>
          </w:rPr>
          <w:t>Division</w:t>
        </w:r>
        <w:r>
          <w:rPr>
            <w:i/>
            <w:color w:val="A7BE39"/>
            <w:spacing w:val="-26"/>
            <w:sz w:val="22"/>
            <w:u w:val="single" w:color="A7BE39"/>
          </w:rPr>
          <w:t> </w:t>
        </w:r>
        <w:r>
          <w:rPr>
            <w:i/>
            <w:color w:val="A7BE39"/>
            <w:spacing w:val="-9"/>
            <w:sz w:val="22"/>
            <w:u w:val="single" w:color="A7BE39"/>
          </w:rPr>
          <w:t>2)</w:t>
        </w:r>
      </w:hyperlink>
      <w:r>
        <w:rPr>
          <w:i/>
          <w:color w:val="A7BE39"/>
          <w:spacing w:val="-9"/>
          <w:sz w:val="22"/>
        </w:rPr>
        <w:t> </w:t>
      </w:r>
      <w:hyperlink r:id="rId410">
        <w:r>
          <w:rPr>
            <w:i/>
            <w:color w:val="A7BE39"/>
            <w:sz w:val="22"/>
            <w:u w:val="single" w:color="A7BE39"/>
          </w:rPr>
          <w:t>National Gas Access (WA) Act</w:t>
        </w:r>
        <w:r>
          <w:rPr>
            <w:i/>
            <w:color w:val="A7BE39"/>
            <w:spacing w:val="-10"/>
            <w:sz w:val="22"/>
            <w:u w:val="single" w:color="A7BE39"/>
          </w:rPr>
          <w:t> </w:t>
        </w:r>
        <w:r>
          <w:rPr>
            <w:i/>
            <w:color w:val="A7BE39"/>
            <w:sz w:val="22"/>
            <w:u w:val="single" w:color="A7BE39"/>
          </w:rPr>
          <w:t>2009</w:t>
        </w:r>
      </w:hyperlink>
    </w:p>
    <w:p>
      <w:pPr>
        <w:spacing w:line="251" w:lineRule="exact" w:before="0"/>
        <w:ind w:left="765" w:right="0" w:firstLine="0"/>
        <w:jc w:val="left"/>
        <w:rPr>
          <w:i/>
          <w:sz w:val="22"/>
        </w:rPr>
      </w:pPr>
      <w:hyperlink r:id="rId411">
        <w:r>
          <w:rPr>
            <w:i/>
            <w:color w:val="A7BE39"/>
            <w:sz w:val="22"/>
            <w:u w:val="single" w:color="A7BE39"/>
          </w:rPr>
          <w:t>State Energy Commission (Validation) Act 1978</w:t>
        </w:r>
      </w:hyperlink>
    </w:p>
    <w:p>
      <w:pPr>
        <w:spacing w:after="0" w:line="251" w:lineRule="exact"/>
        <w:jc w:val="left"/>
        <w:rPr>
          <w:sz w:val="22"/>
        </w:rPr>
        <w:sectPr>
          <w:type w:val="continuous"/>
          <w:pgSz w:w="16840" w:h="11910" w:orient="landscape"/>
          <w:pgMar w:top="0" w:bottom="0" w:left="0" w:right="0"/>
          <w:cols w:num="2" w:equalWidth="0">
            <w:col w:w="6666" w:space="1200"/>
            <w:col w:w="8974"/>
          </w:cols>
        </w:sectPr>
      </w:pPr>
    </w:p>
    <w:p>
      <w:pPr>
        <w:pStyle w:val="BodyText"/>
        <w:ind w:left="-10"/>
        <w:rPr>
          <w:sz w:val="20"/>
        </w:rPr>
      </w:pPr>
      <w:bookmarkStart w:name="_bookmark74" w:id="76"/>
      <w:bookmarkEnd w:id="76"/>
      <w:r>
        <w:rPr/>
      </w:r>
      <w:r>
        <w:rPr>
          <w:sz w:val="20"/>
        </w:rPr>
        <w:pict>
          <v:group style="width:240.15pt;height:56.95pt;mso-position-horizontal-relative:char;mso-position-vertical-relative:line" coordorigin="0,0" coordsize="4803,1139">
            <v:shape style="position:absolute;left:0;top:181;width:11;height:10" coordorigin="0,181" coordsize="11,10" path="m7,181l0,186,0,191,11,185,7,181xe" filled="true" fillcolor="#cdcccd" stroked="false">
              <v:path arrowok="t"/>
              <v:fill type="solid"/>
            </v:shape>
            <v:shape style="position:absolute;left:0;top:231;width:362;height:513" type="#_x0000_t75" stroked="false">
              <v:imagedata r:id="rId27" o:title=""/>
            </v:shape>
            <v:shape style="position:absolute;left:0;top:581;width:412;height:242" coordorigin="0,582" coordsize="412,242" path="m408,582l0,817,0,823,411,585,408,582xe" filled="true" fillcolor="#cdcccd" stroked="false">
              <v:path arrowok="t"/>
              <v:fill type="solid"/>
            </v:shape>
            <v:shape style="position:absolute;left:0;top:631;width:462;height:270" coordorigin="0,632" coordsize="462,270" path="m458,632l0,896,0,902,461,635,458,632xe" filled="true" fillcolor="#cdcccd" stroked="false">
              <v:path arrowok="t"/>
              <v:fill type="solid"/>
            </v:shape>
            <v:shape style="position:absolute;left:0;top:701;width:475;height:280" coordorigin="0,701" coordsize="475,280" path="m474,701l0,975,0,981,461,715,474,701xe" filled="true" fillcolor="#cdcccd" stroked="false">
              <v:path arrowok="t"/>
              <v:fill type="solid"/>
            </v:shape>
            <v:shape style="position:absolute;left:0;top:887;width:288;height:251" type="#_x0000_t75" stroked="false">
              <v:imagedata r:id="rId28" o:title=""/>
            </v:shape>
            <v:rect style="position:absolute;left:0;top:0;width:2406;height:851" filled="true" fillcolor="#aebd37" stroked="false">
              <v:fill type="solid"/>
            </v:rect>
            <v:shape style="position:absolute;left:2405;top:0;width:2398;height:851" type="#_x0000_t202" filled="true" fillcolor="#b6c247" stroked="false">
              <v:textbox inset="0,0,0,0">
                <w:txbxContent>
                  <w:p>
                    <w:pPr>
                      <w:spacing w:line="240" w:lineRule="auto" w:before="9"/>
                      <w:rPr>
                        <w:i/>
                        <w:sz w:val="26"/>
                      </w:rPr>
                    </w:pPr>
                  </w:p>
                  <w:p>
                    <w:pPr>
                      <w:spacing w:before="0"/>
                      <w:ind w:left="711" w:right="0" w:firstLine="0"/>
                      <w:jc w:val="left"/>
                      <w:rPr>
                        <w:sz w:val="20"/>
                      </w:rPr>
                    </w:pPr>
                    <w:hyperlink w:history="true" w:anchor="_bookmark1">
                      <w:r>
                        <w:rPr>
                          <w:color w:val="FFFFFF"/>
                          <w:sz w:val="20"/>
                        </w:rPr>
                        <w:t>OVER</w:t>
                      </w:r>
                    </w:hyperlink>
                    <w:hyperlink w:history="true" w:anchor="_bookmark1">
                      <w:r>
                        <w:rPr>
                          <w:color w:val="FFFFFF"/>
                          <w:sz w:val="20"/>
                        </w:rPr>
                        <w:t>VIEW</w:t>
                      </w:r>
                    </w:hyperlink>
                  </w:p>
                </w:txbxContent>
              </v:textbox>
              <v:fill type="solid"/>
              <w10:wrap type="none"/>
            </v:shape>
            <v:shape style="position:absolute;left:0;top:0;width:2406;height:851" type="#_x0000_t202" filled="false" stroked="false">
              <v:textbox inset="0,0,0,0">
                <w:txbxContent>
                  <w:p>
                    <w:pPr>
                      <w:spacing w:line="240" w:lineRule="auto" w:before="9"/>
                      <w:rPr>
                        <w:i/>
                        <w:sz w:val="26"/>
                      </w:rPr>
                    </w:pPr>
                  </w:p>
                  <w:p>
                    <w:pPr>
                      <w:spacing w:before="0"/>
                      <w:ind w:left="683" w:right="0" w:firstLine="0"/>
                      <w:jc w:val="left"/>
                      <w:rPr>
                        <w:sz w:val="20"/>
                      </w:rPr>
                    </w:pPr>
                    <w:hyperlink w:history="true" w:anchor="_bookmark0">
                      <w:r>
                        <w:rPr>
                          <w:color w:val="FFFFFF"/>
                          <w:sz w:val="20"/>
                        </w:rPr>
                        <w:t>CONTENTS</w:t>
                      </w:r>
                    </w:hyperlink>
                  </w:p>
                </w:txbxContent>
              </v:textbox>
              <w10:wrap type="none"/>
            </v:shape>
          </v:group>
        </w:pict>
      </w:r>
      <w:r>
        <w:rPr>
          <w:sz w:val="20"/>
        </w:rPr>
      </w:r>
    </w:p>
    <w:p>
      <w:pPr>
        <w:pStyle w:val="BodyText"/>
        <w:rPr>
          <w:i/>
          <w:sz w:val="14"/>
        </w:rPr>
      </w:pPr>
    </w:p>
    <w:p>
      <w:pPr>
        <w:pStyle w:val="Heading1"/>
        <w:spacing w:before="93"/>
      </w:pPr>
      <w:r>
        <w:rPr/>
        <w:pict>
          <v:group style="position:absolute;margin-left:240.123001pt;margin-top:-67.324211pt;width:601.8pt;height:149.4pt;mso-position-horizontal-relative:page;mso-position-vertical-relative:paragraph;z-index:-772936" coordorigin="4802,-1346" coordsize="12036,2988">
            <v:shape style="position:absolute;left:12866;top:-1347;width:31;height:13" coordorigin="12866,-1346" coordsize="31,13" path="m12897,-1346l12872,-1346,12866,-1343,12876,-1334,12897,-1346xe" filled="true" fillcolor="#d8dad9" stroked="false">
              <v:path arrowok="t"/>
              <v:fill type="solid"/>
            </v:shape>
            <v:shape style="position:absolute;left:12928;top:-1347;width:476;height:198" type="#_x0000_t75" stroked="false">
              <v:imagedata r:id="rId413" o:title=""/>
            </v:shape>
            <v:shape style="position:absolute;left:13113;top:-1347;width:2762;height:2609" coordorigin="13114,-1346" coordsize="2762,2609" path="m13573,-1346l13548,-1346,13114,-1096,13123,-1087,13573,-1346m13726,-572l13670,-540,13679,-530,13692,-538,13726,-572m13742,-1346l13717,-1346,13176,-1034,13185,-1025,13742,-1346m13911,-1346l13886,-1346,13237,-972,13246,-963,13911,-1346m13957,-803l13608,-601,13617,-592,13923,-769,13957,-803m14079,-1346l14054,-1346,13299,-910,13308,-901,14079,-1346m14248,-1346l14223,-1346,13361,-849,13370,-839,14248,-1346m14417,-1346l14392,-1346,13423,-787,13432,-778,14417,-1346m14586,-1346l14561,-1346,13485,-725,13494,-716,14586,-1346m14755,-1346l14730,-1346,13546,-663,13556,-654,14755,-1346m14924,-1346l14899,-1346,14174,-928,14183,-919,14924,-1346m15093,-1346l15068,-1346,14236,-866,14245,-857,15093,-1346m15262,-1346l15237,-1346,14298,-804,14307,-795,15262,-1346m15431,-1346l15405,-1346,14360,-743,14369,-734,15431,-1346m15599,-1346l15574,-1346,14422,-681,14431,-672,15599,-1346m15768,-1346l15743,-1346,14483,-619,14492,-610,15768,-1346m15875,1015l15463,1253,15472,1262,15875,1029,15875,1015m15875,917l15401,1191,15410,1200,15875,932,15875,917m15875,820l15339,1129,15348,1139,15875,834,15875,820m15875,625l15215,1006,15224,1015,15875,639,15875,625m15875,527l15154,944,15163,953,15875,542,15875,527m15875,430l15092,882,15101,891,15875,444,15875,430m15875,137l14906,697,14915,706,15875,152,15875,137m15875,40l14844,635,14854,644,15875,54,15875,40m15875,-155l14721,511,14730,520,15875,-141,15875,-155m15875,-253l14659,450,14668,459,15875,-238,15875,-253m15875,-350l14597,388,14606,397,15875,-336,15875,-350m15875,-448l14535,326,14545,335,15875,-433,15875,-448m15875,-643l14412,202,14421,211,15875,-628,15875,-643m15875,-838l14288,79,14297,88,15875,-823,15875,-838m15875,-935l14226,17,14235,26,15875,-921,15875,-935m15875,-1033l14165,-45,14174,-36,15875,-1018,15875,-1033m15875,-1130l14248,-191,14214,-157,15875,-1116,15875,-1130m15875,-1228l14479,-422,14445,-387,15875,-1213,15875,-1228m15875,-1325l14545,-557,14554,-548,15875,-1311,15875,-1325m15875,723l15277,1068,15286,1077,15875,737,15875,723m15875,332l15030,820,15039,830,15875,347,15875,332m15875,235l14968,759,14977,768,15875,249,15875,235m15875,-57l14783,573,14792,582,15875,-43,15875,-57m15875,-545l14474,264,14483,273,15875,-531,15875,-545m15875,-740l14350,140,14359,150,15875,-726,15875,-740e" filled="true" fillcolor="#d8dad9" stroked="false">
              <v:path arrowok="t"/>
              <v:fill type="solid"/>
            </v:shape>
            <v:shape style="position:absolute;left:15524;top:1112;width:351;height:521" type="#_x0000_t75" stroked="false">
              <v:imagedata r:id="rId414" o:title=""/>
            </v:shape>
            <v:shape style="position:absolute;left:15875;top:-1347;width:278;height:161" type="#_x0000_t75" stroked="false">
              <v:imagedata r:id="rId415" o:title=""/>
            </v:shape>
            <v:shape style="position:absolute;left:15875;top:-1347;width:963;height:2988" coordorigin="15875,-1346" coordsize="963,2988" path="m15946,1595l15875,1636,15875,1641,15932,1608,15946,1595m16177,1364l15875,1538,15875,1544,16163,1377,16177,1364m16321,-1346l16311,-1346,15875,-1095,15875,-1089,16321,-1346m16407,1133l15875,1441,15875,1446,16394,1147,16407,1133m16490,-1346l16480,-1346,15875,-997,15875,-991,16490,-1346m16638,903l15875,1343,15875,1349,16624,916,16638,903m16659,-1346l16649,-1346,15875,-900,15875,-894,16659,-1346m16828,-1346l16818,-1346,15875,-802,15875,-796,16828,-1346m16838,690l15875,1246,15875,1251,16838,695,16838,690m16838,592l15875,1148,15875,1154,16838,598,16838,592m16838,495l15875,1051,15875,1056,16838,500,16838,495m16838,397l15875,953,15875,959,16838,403,16838,397m16838,300l15875,856,15875,861,16838,305,16838,300m16838,202l15875,758,15875,764,16838,208,16838,202m16838,105l15875,660,15875,666,16838,110,16838,105m16838,7l15875,563,15875,569,16838,13,16838,7m16838,-90l15875,466,15875,471,16838,-85,16838,-90m16838,-188l15875,368,15875,374,16838,-182,16838,-188m16838,-285l15875,270,15875,276,16838,-280,16838,-285m16838,-383l15875,173,15875,179,16838,-377,16838,-383m16838,-480l15875,75,15875,81,16838,-475,16838,-480m16838,-578l15875,-22,15875,-16,16838,-572,16838,-578m16838,-675l15875,-119,15875,-114,16838,-670,16838,-675m16838,-773l15875,-217,15875,-211,16838,-767,16838,-773m16838,-870l15875,-315,15875,-309,16838,-865,16838,-870m16838,-968l15875,-412,15875,-406,16838,-962,16838,-968m16838,-1065l15875,-510,15875,-504,16838,-1060,16838,-1065m16838,-1163l15875,-607,15875,-601,16838,-1157,16838,-1163m16838,-1260l15875,-705,15875,-699,16838,-1255,16838,-1260e" filled="true" fillcolor="#d8dad9" stroked="false">
              <v:path arrowok="t"/>
              <v:fill type="solid"/>
            </v:shape>
            <v:shape style="position:absolute;left:12773;top:-975;width:1807;height:904" coordorigin="12774,-974" coordsize="1807,904" path="m13677,-522l13225,-974,12774,-522,13225,-71,13677,-522m14580,-522l14128,-974,13677,-522,14128,-71,14580,-522e" filled="true" fillcolor="#ffffff" stroked="false">
              <v:path arrowok="t"/>
              <v:fill type="solid"/>
            </v:shape>
            <v:shape style="position:absolute;left:13225;top:-523;width:904;height:904" coordorigin="13225,-522" coordsize="904,904" path="m13677,-522l13225,-71,13677,381,14128,-71,13677,-522xe" filled="true" fillcolor="#e8e9c9" stroked="false">
              <v:path arrowok="t"/>
              <v:fill type="solid"/>
            </v:shape>
            <v:shape style="position:absolute;left:12773;top:-71;width:904;height:904" coordorigin="12774,-71" coordsize="904,904" path="m13225,-71l12774,381,13225,832,13677,381,13225,-71xe" filled="true" fillcolor="#d5dac6" stroked="false">
              <v:path arrowok="t"/>
              <v:fill type="solid"/>
            </v:shape>
            <v:shape style="position:absolute;left:11870;top:-975;width:2710;height:904" coordorigin="11870,-974" coordsize="2710,904" path="m12774,-522l12322,-974,11870,-522,12322,-71,12774,-522m14580,-522l14128,-974,13677,-522,14128,-71,14580,-522e" filled="true" fillcolor="#efeeeb" stroked="false">
              <v:path arrowok="t"/>
              <v:fill type="solid"/>
            </v:shape>
            <v:shape style="position:absolute;left:12773;top:-975;width:904;height:904" coordorigin="12774,-974" coordsize="904,904" path="m13225,-974l12774,-522,13225,-71,13677,-522,13225,-974xe" filled="true" fillcolor="#c0aac2" stroked="false">
              <v:path arrowok="t"/>
              <v:fill type="solid"/>
            </v:shape>
            <v:shape style="position:absolute;left:15424;top:-271;width:900;height:904" coordorigin="15424,-271" coordsize="900,904" path="m15874,-271l15424,179,15424,182,15874,632,16324,182,16324,179,15874,-271xe" filled="true" fillcolor="#c4cd71" stroked="false">
              <v:path arrowok="t"/>
              <v:fill type="solid"/>
            </v:shape>
            <v:rect style="position:absolute;left:12026;top:-1347;width:2406;height:851" filled="true" fillcolor="#b6c247" stroked="false">
              <v:fill type="solid"/>
            </v:rect>
            <v:rect style="position:absolute;left:9621;top:-1347;width:2406;height:851" filled="true" fillcolor="#bec85c" stroked="false">
              <v:fill type="solid"/>
            </v:rect>
            <v:rect style="position:absolute;left:14432;top:-1347;width:2406;height:851" filled="true" fillcolor="#e6e7e8" stroked="false">
              <v:fill type="solid"/>
            </v:rect>
            <v:shape style="position:absolute;left:14432;top:-1347;width:583;height:583" type="#_x0000_t75" stroked="false">
              <v:imagedata r:id="rId377" o:title=""/>
            </v:shape>
            <v:shape style="position:absolute;left:15263;top:19;width:161;height:322" type="#_x0000_t75" stroked="false">
              <v:imagedata r:id="rId16" o:title=""/>
            </v:shape>
            <v:shape style="position:absolute;left:16324;top:19;width:161;height:322" type="#_x0000_t75" stroked="false">
              <v:imagedata r:id="rId11" o:title=""/>
            </v:shape>
            <v:shape style="position:absolute;left:15585;top:0;width:598;height:349" type="#_x0000_t202" filled="false" stroked="false">
              <v:textbox inset="0,0,0,0">
                <w:txbxContent>
                  <w:p>
                    <w:pPr>
                      <w:spacing w:line="208" w:lineRule="auto" w:before="24"/>
                      <w:ind w:left="136" w:right="4" w:hanging="137"/>
                      <w:jc w:val="left"/>
                      <w:rPr>
                        <w:sz w:val="16"/>
                      </w:rPr>
                    </w:pPr>
                    <w:r>
                      <w:rPr>
                        <w:color w:val="FFFFFF"/>
                        <w:w w:val="95"/>
                        <w:sz w:val="16"/>
                      </w:rPr>
                      <w:t>previous </w:t>
                    </w:r>
                    <w:r>
                      <w:rPr>
                        <w:color w:val="FFFFFF"/>
                        <w:sz w:val="16"/>
                      </w:rPr>
                      <w:t>view</w:t>
                    </w:r>
                  </w:p>
                </w:txbxContent>
              </v:textbox>
              <w10:wrap type="none"/>
            </v:shape>
            <v:shape style="position:absolute;left:14432;top:-1347;width:2406;height:851" type="#_x0000_t202" filled="false" stroked="false">
              <v:textbox inset="0,0,0,0">
                <w:txbxContent>
                  <w:p>
                    <w:pPr>
                      <w:spacing w:line="240" w:lineRule="auto" w:before="9"/>
                      <w:rPr>
                        <w:sz w:val="26"/>
                      </w:rPr>
                    </w:pPr>
                  </w:p>
                  <w:p>
                    <w:pPr>
                      <w:spacing w:before="0"/>
                      <w:ind w:left="735" w:right="0" w:firstLine="0"/>
                      <w:jc w:val="left"/>
                      <w:rPr>
                        <w:sz w:val="20"/>
                      </w:rPr>
                    </w:pPr>
                    <w:hyperlink w:history="true" w:anchor="_bookmark73">
                      <w:r>
                        <w:rPr>
                          <w:color w:val="6F2770"/>
                          <w:sz w:val="20"/>
                        </w:rPr>
                        <w:t>APPENDIX</w:t>
                      </w:r>
                    </w:hyperlink>
                  </w:p>
                </w:txbxContent>
              </v:textbox>
              <w10:wrap type="none"/>
            </v:shape>
            <v:shape style="position:absolute;left:12026;top:-1347;width:2406;height:851" type="#_x0000_t202" filled="false" stroked="false">
              <v:textbox inset="0,0,0,0">
                <w:txbxContent>
                  <w:p>
                    <w:pPr>
                      <w:spacing w:line="240" w:lineRule="auto" w:before="9"/>
                      <w:rPr>
                        <w:sz w:val="26"/>
                      </w:rPr>
                    </w:pPr>
                  </w:p>
                  <w:p>
                    <w:pPr>
                      <w:spacing w:before="0"/>
                      <w:ind w:left="530" w:right="0" w:firstLine="0"/>
                      <w:jc w:val="left"/>
                      <w:rPr>
                        <w:sz w:val="20"/>
                      </w:rPr>
                    </w:pPr>
                    <w:hyperlink w:history="true" w:anchor="_bookmark68">
                      <w:r>
                        <w:rPr>
                          <w:color w:val="FFFFFF"/>
                          <w:sz w:val="20"/>
                        </w:rPr>
                        <w:t>DISCLOSURES</w:t>
                      </w:r>
                    </w:hyperlink>
                  </w:p>
                </w:txbxContent>
              </v:textbox>
              <w10:wrap type="none"/>
            </v:shape>
            <v:shape style="position:absolute;left:9621;top:-1347;width:2406;height:851" type="#_x0000_t202" filled="false" stroked="false">
              <v:textbox inset="0,0,0,0">
                <w:txbxContent>
                  <w:p>
                    <w:pPr>
                      <w:spacing w:line="249" w:lineRule="auto" w:before="182"/>
                      <w:ind w:left="633" w:right="0" w:hanging="374"/>
                      <w:jc w:val="left"/>
                      <w:rPr>
                        <w:sz w:val="20"/>
                      </w:rPr>
                    </w:pPr>
                    <w:hyperlink w:history="true" w:anchor="_bookmark58">
                      <w:r>
                        <w:rPr>
                          <w:color w:val="FFFFFF"/>
                          <w:w w:val="95"/>
                          <w:sz w:val="20"/>
                        </w:rPr>
                        <w:t>KEY </w:t>
                      </w:r>
                    </w:hyperlink>
                    <w:hyperlink w:history="true" w:anchor="_bookmark58">
                      <w:r>
                        <w:rPr>
                          <w:color w:val="FFFFFF"/>
                          <w:w w:val="95"/>
                          <w:sz w:val="20"/>
                        </w:rPr>
                        <w:t>PERFORMANCE </w:t>
                      </w:r>
                      <w:r>
                        <w:rPr>
                          <w:color w:val="FFFFFF"/>
                          <w:sz w:val="20"/>
                        </w:rPr>
                        <w:t>INDICATORS</w:t>
                      </w:r>
                    </w:hyperlink>
                  </w:p>
                </w:txbxContent>
              </v:textbox>
              <w10:wrap type="none"/>
            </v:shape>
            <v:shape style="position:absolute;left:7216;top:-1347;width:2406;height:851" type="#_x0000_t202" filled="true" fillcolor="#c4cd71" stroked="false">
              <v:textbox inset="0,0,0,0">
                <w:txbxContent>
                  <w:p>
                    <w:pPr>
                      <w:spacing w:line="249" w:lineRule="auto" w:before="182"/>
                      <w:ind w:left="588" w:right="0" w:firstLine="125"/>
                      <w:jc w:val="left"/>
                      <w:rPr>
                        <w:sz w:val="20"/>
                      </w:rPr>
                    </w:pPr>
                    <w:hyperlink w:history="true" w:anchor="_bookmark19">
                      <w:r>
                        <w:rPr>
                          <w:color w:val="FFFFFF"/>
                          <w:sz w:val="20"/>
                        </w:rPr>
                        <w:t>FINANCIAL</w:t>
                      </w:r>
                    </w:hyperlink>
                    <w:r>
                      <w:rPr>
                        <w:color w:val="FFFFFF"/>
                        <w:sz w:val="20"/>
                      </w:rPr>
                      <w:t> </w:t>
                    </w:r>
                    <w:hyperlink w:history="true" w:anchor="_bookmark19">
                      <w:r>
                        <w:rPr>
                          <w:color w:val="FFFFFF"/>
                          <w:w w:val="90"/>
                          <w:sz w:val="20"/>
                        </w:rPr>
                        <w:t>STATEMENTS</w:t>
                      </w:r>
                    </w:hyperlink>
                  </w:p>
                </w:txbxContent>
              </v:textbox>
              <v:fill type="solid"/>
              <w10:wrap type="none"/>
            </v:shape>
            <v:shape style="position:absolute;left:4802;top:-1347;width:2414;height:851" type="#_x0000_t202" filled="true" fillcolor="#bec85c" stroked="false">
              <v:textbox inset="0,0,0,0">
                <w:txbxContent>
                  <w:p>
                    <w:pPr>
                      <w:spacing w:line="249" w:lineRule="auto" w:before="182"/>
                      <w:ind w:left="481" w:right="0" w:firstLine="331"/>
                      <w:jc w:val="left"/>
                      <w:rPr>
                        <w:sz w:val="20"/>
                      </w:rPr>
                    </w:pPr>
                    <w:hyperlink w:history="true" w:anchor="_bookmark5">
                      <w:r>
                        <w:rPr>
                          <w:color w:val="FFFFFF"/>
                          <w:sz w:val="20"/>
                        </w:rPr>
                        <w:t>AGENCY</w:t>
                      </w:r>
                    </w:hyperlink>
                    <w:r>
                      <w:rPr>
                        <w:color w:val="FFFFFF"/>
                        <w:sz w:val="20"/>
                      </w:rPr>
                      <w:t> </w:t>
                    </w:r>
                    <w:hyperlink w:history="true" w:anchor="_bookmark5">
                      <w:r>
                        <w:rPr>
                          <w:color w:val="FFFFFF"/>
                          <w:w w:val="90"/>
                          <w:sz w:val="20"/>
                        </w:rPr>
                        <w:t>PERFORMANCE</w:t>
                      </w:r>
                    </w:hyperlink>
                  </w:p>
                </w:txbxContent>
              </v:textbox>
              <v:fill type="solid"/>
              <w10:wrap type="none"/>
            </v:shape>
            <w10:wrap type="none"/>
          </v:group>
        </w:pict>
      </w:r>
      <w:r>
        <w:rPr>
          <w:color w:val="6F2770"/>
        </w:rPr>
        <w:t>General Contacts</w:t>
      </w:r>
    </w:p>
    <w:p>
      <w:pPr>
        <w:spacing w:after="0"/>
        <w:sectPr>
          <w:footerReference w:type="default" r:id="rId412"/>
          <w:pgSz w:w="16840" w:h="11910" w:orient="landscape"/>
          <w:pgMar w:footer="448" w:header="0" w:top="0" w:bottom="640" w:left="0" w:right="0"/>
        </w:sectPr>
      </w:pPr>
    </w:p>
    <w:p>
      <w:pPr>
        <w:pStyle w:val="Heading6"/>
        <w:spacing w:before="162"/>
      </w:pPr>
      <w:r>
        <w:rPr/>
        <w:t>Postal address:</w:t>
      </w:r>
    </w:p>
    <w:p>
      <w:pPr>
        <w:pStyle w:val="BodyText"/>
        <w:spacing w:before="12"/>
        <w:ind w:left="765"/>
      </w:pPr>
      <w:r>
        <w:rPr/>
        <w:t>Locked Bag 11</w:t>
      </w:r>
    </w:p>
    <w:p>
      <w:pPr>
        <w:pStyle w:val="BodyText"/>
        <w:spacing w:before="11"/>
        <w:ind w:left="765"/>
      </w:pPr>
      <w:r>
        <w:rPr/>
        <w:t>Cloisters Square WA 6850</w:t>
      </w:r>
    </w:p>
    <w:p>
      <w:pPr>
        <w:pStyle w:val="BodyText"/>
        <w:rPr>
          <w:sz w:val="26"/>
        </w:rPr>
      </w:pPr>
    </w:p>
    <w:p>
      <w:pPr>
        <w:pStyle w:val="Heading1"/>
        <w:spacing w:before="213"/>
      </w:pPr>
      <w:r>
        <w:rPr>
          <w:color w:val="6F2770"/>
          <w:w w:val="95"/>
        </w:rPr>
        <w:t>Business Units</w:t>
      </w:r>
    </w:p>
    <w:p>
      <w:pPr>
        <w:spacing w:before="170"/>
        <w:ind w:left="765" w:right="0" w:firstLine="0"/>
        <w:jc w:val="left"/>
        <w:rPr>
          <w:sz w:val="32"/>
        </w:rPr>
      </w:pPr>
      <w:r>
        <w:rPr>
          <w:color w:val="A7BE39"/>
          <w:sz w:val="32"/>
        </w:rPr>
        <w:t>Building</w:t>
      </w:r>
      <w:r>
        <w:rPr>
          <w:color w:val="A7BE39"/>
          <w:spacing w:val="-40"/>
          <w:sz w:val="32"/>
        </w:rPr>
        <w:t> </w:t>
      </w:r>
      <w:r>
        <w:rPr>
          <w:color w:val="A7BE39"/>
          <w:sz w:val="32"/>
        </w:rPr>
        <w:t>Management</w:t>
      </w:r>
      <w:r>
        <w:rPr>
          <w:color w:val="A7BE39"/>
          <w:spacing w:val="-39"/>
          <w:sz w:val="32"/>
        </w:rPr>
        <w:t> </w:t>
      </w:r>
      <w:r>
        <w:rPr>
          <w:color w:val="A7BE39"/>
          <w:sz w:val="32"/>
        </w:rPr>
        <w:t>and</w:t>
      </w:r>
      <w:r>
        <w:rPr>
          <w:color w:val="A7BE39"/>
          <w:spacing w:val="-40"/>
          <w:sz w:val="32"/>
        </w:rPr>
        <w:t> </w:t>
      </w:r>
      <w:r>
        <w:rPr>
          <w:color w:val="A7BE39"/>
          <w:spacing w:val="-6"/>
          <w:sz w:val="32"/>
        </w:rPr>
        <w:t>Works</w:t>
      </w:r>
    </w:p>
    <w:p>
      <w:pPr>
        <w:pStyle w:val="BodyText"/>
        <w:spacing w:before="254"/>
        <w:ind w:left="765"/>
      </w:pPr>
      <w:r>
        <w:rPr/>
        <w:t>Optima Centre</w:t>
      </w:r>
    </w:p>
    <w:p>
      <w:pPr>
        <w:pStyle w:val="BodyText"/>
        <w:spacing w:line="249" w:lineRule="auto" w:before="11"/>
        <w:ind w:left="765" w:right="2233"/>
      </w:pPr>
      <w:r>
        <w:rPr/>
        <w:t>16 Parkland Road Osborne Park WA 6017</w:t>
      </w:r>
    </w:p>
    <w:p>
      <w:pPr>
        <w:pStyle w:val="Heading6"/>
        <w:spacing w:before="97"/>
      </w:pPr>
      <w:r>
        <w:rPr/>
        <w:t>Postal address:</w:t>
      </w:r>
    </w:p>
    <w:p>
      <w:pPr>
        <w:pStyle w:val="BodyText"/>
        <w:spacing w:before="11"/>
        <w:ind w:left="765"/>
      </w:pPr>
      <w:r>
        <w:rPr/>
        <w:t>Locked Bag 44</w:t>
      </w:r>
    </w:p>
    <w:p>
      <w:pPr>
        <w:pStyle w:val="BodyText"/>
        <w:spacing w:before="11"/>
        <w:ind w:left="765"/>
      </w:pPr>
      <w:r>
        <w:rPr/>
        <w:t>Cloisters Square WA 6850</w:t>
      </w:r>
    </w:p>
    <w:p>
      <w:pPr>
        <w:spacing w:before="107"/>
        <w:ind w:left="765" w:right="0" w:firstLine="0"/>
        <w:jc w:val="left"/>
        <w:rPr>
          <w:sz w:val="22"/>
        </w:rPr>
      </w:pPr>
      <w:r>
        <w:rPr>
          <w:b/>
          <w:sz w:val="22"/>
        </w:rPr>
        <w:t>Phone: </w:t>
      </w:r>
      <w:r>
        <w:rPr>
          <w:sz w:val="22"/>
        </w:rPr>
        <w:t>08 6551 1600</w:t>
      </w:r>
    </w:p>
    <w:p>
      <w:pPr>
        <w:pStyle w:val="BodyText"/>
        <w:spacing w:before="3"/>
        <w:rPr>
          <w:sz w:val="26"/>
        </w:rPr>
      </w:pPr>
    </w:p>
    <w:p>
      <w:pPr>
        <w:spacing w:before="0"/>
        <w:ind w:left="765" w:right="0" w:firstLine="0"/>
        <w:jc w:val="left"/>
        <w:rPr>
          <w:sz w:val="32"/>
        </w:rPr>
      </w:pPr>
      <w:r>
        <w:rPr>
          <w:color w:val="A7BE39"/>
          <w:sz w:val="32"/>
        </w:rPr>
        <w:t>Government Procurement</w:t>
      </w:r>
    </w:p>
    <w:p>
      <w:pPr>
        <w:pStyle w:val="BodyText"/>
        <w:spacing w:before="254"/>
        <w:ind w:left="765"/>
      </w:pPr>
      <w:r>
        <w:rPr/>
        <w:t>Optima Centre</w:t>
      </w:r>
    </w:p>
    <w:p>
      <w:pPr>
        <w:pStyle w:val="BodyText"/>
        <w:spacing w:line="249" w:lineRule="auto" w:before="11"/>
        <w:ind w:left="765" w:right="2233"/>
      </w:pPr>
      <w:r>
        <w:rPr/>
        <w:t>16 Parkland Road Osborne Park WA 6017</w:t>
      </w:r>
    </w:p>
    <w:p>
      <w:pPr>
        <w:pStyle w:val="Heading6"/>
        <w:spacing w:before="97"/>
      </w:pPr>
      <w:r>
        <w:rPr/>
        <w:t>Postal address:</w:t>
      </w:r>
    </w:p>
    <w:p>
      <w:pPr>
        <w:pStyle w:val="BodyText"/>
        <w:spacing w:before="11"/>
        <w:ind w:left="765"/>
      </w:pPr>
      <w:r>
        <w:rPr/>
        <w:t>Locked Bag 11</w:t>
      </w:r>
    </w:p>
    <w:p>
      <w:pPr>
        <w:pStyle w:val="BodyText"/>
        <w:spacing w:before="11"/>
        <w:ind w:left="765"/>
      </w:pPr>
      <w:r>
        <w:rPr/>
        <w:t>Cloisters Square WA 6850</w:t>
      </w:r>
    </w:p>
    <w:p>
      <w:pPr>
        <w:spacing w:before="107"/>
        <w:ind w:left="765" w:right="0" w:firstLine="0"/>
        <w:jc w:val="left"/>
        <w:rPr>
          <w:sz w:val="22"/>
        </w:rPr>
      </w:pPr>
      <w:r>
        <w:rPr>
          <w:b/>
          <w:sz w:val="22"/>
        </w:rPr>
        <w:t>Phone: </w:t>
      </w:r>
      <w:r>
        <w:rPr>
          <w:sz w:val="22"/>
        </w:rPr>
        <w:t>08 6551 1555</w:t>
      </w:r>
    </w:p>
    <w:p>
      <w:pPr>
        <w:spacing w:before="162"/>
        <w:ind w:left="628" w:right="0" w:firstLine="0"/>
        <w:jc w:val="left"/>
        <w:rPr>
          <w:sz w:val="22"/>
        </w:rPr>
      </w:pPr>
      <w:r>
        <w:rPr/>
        <w:br w:type="column"/>
      </w:r>
      <w:r>
        <w:rPr>
          <w:b/>
          <w:sz w:val="22"/>
        </w:rPr>
        <w:t>Main switchboard: </w:t>
      </w:r>
      <w:r>
        <w:rPr>
          <w:sz w:val="22"/>
        </w:rPr>
        <w:t>08 6551 1000</w:t>
      </w:r>
    </w:p>
    <w:p>
      <w:pPr>
        <w:spacing w:before="11"/>
        <w:ind w:left="628" w:right="0" w:firstLine="0"/>
        <w:jc w:val="left"/>
        <w:rPr>
          <w:sz w:val="22"/>
        </w:rPr>
      </w:pPr>
      <w:r>
        <w:rPr>
          <w:b/>
          <w:sz w:val="22"/>
        </w:rPr>
        <w:t>Main fax: </w:t>
      </w:r>
      <w:r>
        <w:rPr>
          <w:sz w:val="22"/>
        </w:rPr>
        <w:t>08 6551 1111</w:t>
      </w:r>
    </w:p>
    <w:p>
      <w:pPr>
        <w:spacing w:before="11"/>
        <w:ind w:left="628" w:right="0" w:firstLine="0"/>
        <w:jc w:val="left"/>
        <w:rPr>
          <w:sz w:val="22"/>
        </w:rPr>
      </w:pPr>
      <w:r>
        <w:rPr>
          <w:b/>
          <w:sz w:val="22"/>
        </w:rPr>
        <w:t>Internet: </w:t>
      </w:r>
      <w:hyperlink r:id="rId416">
        <w:r>
          <w:rPr>
            <w:sz w:val="22"/>
          </w:rPr>
          <w:t>www.finance.wa.gov.au</w:t>
        </w:r>
      </w:hyperlink>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4"/>
        </w:rPr>
      </w:pPr>
    </w:p>
    <w:p>
      <w:pPr>
        <w:spacing w:before="0"/>
        <w:ind w:left="628" w:right="0" w:firstLine="0"/>
        <w:jc w:val="left"/>
        <w:rPr>
          <w:sz w:val="32"/>
        </w:rPr>
      </w:pPr>
      <w:r>
        <w:rPr>
          <w:color w:val="A7BE39"/>
          <w:sz w:val="32"/>
        </w:rPr>
        <w:t>Economic Reform</w:t>
      </w:r>
    </w:p>
    <w:p>
      <w:pPr>
        <w:pStyle w:val="BodyText"/>
        <w:spacing w:line="249" w:lineRule="auto" w:before="254"/>
        <w:ind w:left="628" w:right="1430"/>
      </w:pPr>
      <w:r>
        <w:rPr/>
        <w:t>Albert Facey House 469 Wellington Street</w:t>
      </w:r>
    </w:p>
    <w:p>
      <w:pPr>
        <w:pStyle w:val="BodyText"/>
        <w:spacing w:before="2"/>
        <w:ind w:left="628"/>
      </w:pPr>
      <w:r>
        <w:rPr/>
        <w:t>Perth WA 6000</w:t>
      </w:r>
    </w:p>
    <w:p>
      <w:pPr>
        <w:pStyle w:val="Heading6"/>
        <w:spacing w:before="107"/>
        <w:ind w:left="628"/>
      </w:pPr>
      <w:r>
        <w:rPr/>
        <w:t>Postal address:</w:t>
      </w:r>
    </w:p>
    <w:p>
      <w:pPr>
        <w:pStyle w:val="BodyText"/>
        <w:spacing w:before="11"/>
        <w:ind w:left="628"/>
      </w:pPr>
      <w:r>
        <w:rPr/>
        <w:t>Locked Bag 11</w:t>
      </w:r>
    </w:p>
    <w:p>
      <w:pPr>
        <w:pStyle w:val="BodyText"/>
        <w:spacing w:before="11"/>
        <w:ind w:left="628"/>
      </w:pPr>
      <w:r>
        <w:rPr/>
        <w:t>Cloisters Square WA 6850</w:t>
      </w:r>
    </w:p>
    <w:p>
      <w:pPr>
        <w:spacing w:before="107"/>
        <w:ind w:left="628" w:right="0" w:firstLine="0"/>
        <w:jc w:val="left"/>
        <w:rPr>
          <w:sz w:val="22"/>
        </w:rPr>
      </w:pPr>
      <w:r>
        <w:rPr>
          <w:b/>
          <w:sz w:val="22"/>
        </w:rPr>
        <w:t>Phone: </w:t>
      </w:r>
      <w:r>
        <w:rPr>
          <w:sz w:val="22"/>
        </w:rPr>
        <w:t>08 6551 1000</w:t>
      </w:r>
    </w:p>
    <w:p>
      <w:pPr>
        <w:pStyle w:val="BodyText"/>
        <w:spacing w:before="2"/>
        <w:rPr>
          <w:sz w:val="26"/>
        </w:rPr>
      </w:pPr>
    </w:p>
    <w:p>
      <w:pPr>
        <w:spacing w:before="0"/>
        <w:ind w:left="628" w:right="0" w:firstLine="0"/>
        <w:jc w:val="left"/>
        <w:rPr>
          <w:sz w:val="32"/>
        </w:rPr>
      </w:pPr>
      <w:r>
        <w:rPr>
          <w:color w:val="A7BE39"/>
          <w:sz w:val="32"/>
        </w:rPr>
        <w:t>State Revenue</w:t>
      </w:r>
    </w:p>
    <w:p>
      <w:pPr>
        <w:pStyle w:val="BodyText"/>
        <w:spacing w:before="254"/>
        <w:ind w:left="628"/>
      </w:pPr>
      <w:r>
        <w:rPr/>
        <w:t>QBE House</w:t>
      </w:r>
    </w:p>
    <w:p>
      <w:pPr>
        <w:pStyle w:val="BodyText"/>
        <w:spacing w:line="249" w:lineRule="auto" w:before="11"/>
        <w:ind w:left="628" w:right="1222"/>
      </w:pPr>
      <w:r>
        <w:rPr/>
        <w:t>200 St Georges </w:t>
      </w:r>
      <w:r>
        <w:rPr>
          <w:spacing w:val="-7"/>
        </w:rPr>
        <w:t>Terrace </w:t>
      </w:r>
      <w:r>
        <w:rPr/>
        <w:t>Perth WA 6000</w:t>
      </w:r>
    </w:p>
    <w:p>
      <w:pPr>
        <w:pStyle w:val="Heading6"/>
        <w:spacing w:before="98"/>
        <w:ind w:left="628"/>
      </w:pPr>
      <w:r>
        <w:rPr/>
        <w:t>Postal address:</w:t>
      </w:r>
    </w:p>
    <w:p>
      <w:pPr>
        <w:pStyle w:val="BodyText"/>
        <w:spacing w:before="11"/>
        <w:ind w:left="628"/>
      </w:pPr>
      <w:r>
        <w:rPr/>
        <w:t>GPO Box T1600</w:t>
      </w:r>
    </w:p>
    <w:p>
      <w:pPr>
        <w:pStyle w:val="BodyText"/>
        <w:spacing w:before="11"/>
        <w:ind w:left="628"/>
      </w:pPr>
      <w:r>
        <w:rPr/>
        <w:t>Perth WA 6845</w:t>
      </w:r>
    </w:p>
    <w:p>
      <w:pPr>
        <w:spacing w:before="107"/>
        <w:ind w:left="628" w:right="0" w:firstLine="0"/>
        <w:jc w:val="left"/>
        <w:rPr>
          <w:sz w:val="22"/>
        </w:rPr>
      </w:pPr>
      <w:r>
        <w:rPr>
          <w:b/>
          <w:sz w:val="22"/>
        </w:rPr>
        <w:t>Switch: </w:t>
      </w:r>
      <w:r>
        <w:rPr>
          <w:sz w:val="22"/>
        </w:rPr>
        <w:t>08 9262 1400</w:t>
      </w:r>
    </w:p>
    <w:p>
      <w:pPr>
        <w:spacing w:before="107"/>
        <w:ind w:left="628" w:right="0" w:firstLine="0"/>
        <w:jc w:val="left"/>
        <w:rPr>
          <w:sz w:val="22"/>
        </w:rPr>
      </w:pPr>
      <w:r>
        <w:rPr>
          <w:b/>
          <w:sz w:val="22"/>
        </w:rPr>
        <w:t>WA Country Callers: </w:t>
      </w:r>
      <w:r>
        <w:rPr>
          <w:sz w:val="22"/>
        </w:rPr>
        <w:t>1300 368 364</w:t>
      </w:r>
    </w:p>
    <w:p>
      <w:pPr>
        <w:pStyle w:val="BodyText"/>
        <w:rPr>
          <w:sz w:val="38"/>
        </w:rPr>
      </w:pPr>
      <w:r>
        <w:rPr/>
        <w:br w:type="column"/>
      </w:r>
      <w:r>
        <w:rPr>
          <w:sz w:val="38"/>
        </w:rPr>
      </w:r>
    </w:p>
    <w:p>
      <w:pPr>
        <w:pStyle w:val="BodyText"/>
        <w:rPr>
          <w:sz w:val="38"/>
        </w:rPr>
      </w:pPr>
    </w:p>
    <w:p>
      <w:pPr>
        <w:pStyle w:val="BodyText"/>
        <w:rPr>
          <w:sz w:val="38"/>
        </w:rPr>
      </w:pPr>
    </w:p>
    <w:p>
      <w:pPr>
        <w:pStyle w:val="BodyText"/>
        <w:rPr>
          <w:sz w:val="38"/>
        </w:rPr>
      </w:pPr>
    </w:p>
    <w:p>
      <w:pPr>
        <w:pStyle w:val="BodyText"/>
        <w:rPr>
          <w:sz w:val="38"/>
        </w:rPr>
      </w:pPr>
    </w:p>
    <w:p>
      <w:pPr>
        <w:spacing w:before="240"/>
        <w:ind w:left="765" w:right="0" w:firstLine="0"/>
        <w:jc w:val="left"/>
        <w:rPr>
          <w:sz w:val="32"/>
        </w:rPr>
      </w:pPr>
      <w:r>
        <w:rPr>
          <w:color w:val="A7BE39"/>
          <w:sz w:val="32"/>
        </w:rPr>
        <w:t>Public Utilities Office</w:t>
      </w:r>
    </w:p>
    <w:p>
      <w:pPr>
        <w:pStyle w:val="BodyText"/>
        <w:spacing w:line="249" w:lineRule="auto" w:before="254"/>
        <w:ind w:left="765" w:right="3463"/>
      </w:pPr>
      <w:r>
        <w:rPr/>
        <w:pict>
          <v:group style="position:absolute;margin-left:796.725098pt;margin-top:-31.961435pt;width:45.2pt;height:112.9pt;mso-position-horizontal-relative:page;mso-position-vertical-relative:paragraph;z-index:40744" coordorigin="15935,-639" coordsize="904,2258">
            <v:shape style="position:absolute;left:15934;top:715;width:904;height:904" coordorigin="15935,715" coordsize="904,904" path="m16386,715l15935,1167,16386,1619,16838,1167,16386,715xe" filled="true" fillcolor="#c4cd71" stroked="false">
              <v:path arrowok="t"/>
              <v:fill opacity="32768f" type="solid"/>
            </v:shape>
            <v:shape style="position:absolute;left:16386;top:-640;width:452;height:904" coordorigin="16386,-639" coordsize="452,904" path="m16838,-639l16386,-188,16838,264,16838,-639xe" filled="true" fillcolor="#d4d4d3" stroked="false">
              <v:path arrowok="t"/>
              <v:fill opacity="32768f" type="solid"/>
            </v:shape>
            <v:shape style="position:absolute;left:16386;top:263;width:452;height:904" coordorigin="16386,264" coordsize="452,904" path="m16838,264l16386,715,16838,1167,16838,264xe" filled="true" fillcolor="#783a79" stroked="false">
              <v:path arrowok="t"/>
              <v:fill opacity="32768f" type="solid"/>
            </v:shape>
            <v:shape style="position:absolute;left:16386;top:715;width:452;height:452" coordorigin="16386,715" coordsize="452,452" path="m16386,715l16838,1167,16386,715xe" filled="true" fillcolor="#753972" stroked="false">
              <v:path arrowok="t"/>
              <v:fill opacity="32768f" type="solid"/>
            </v:shape>
            <v:shape style="position:absolute;left:15934;top:715;width:904;height:904" coordorigin="15935,715" coordsize="904,904" path="m16386,715l15935,1167,16386,1619,16838,1167,16386,715xe" filled="true" fillcolor="#c4cd71" stroked="false">
              <v:path arrowok="t"/>
              <v:fill opacity="32768f" type="solid"/>
            </v:shape>
            <v:shape style="position:absolute;left:16386;top:-640;width:452;height:904" coordorigin="16386,-639" coordsize="452,904" path="m16838,-639l16386,-188,16838,264,16838,-639xe" filled="true" fillcolor="#d4d4d3" stroked="false">
              <v:path arrowok="t"/>
              <v:fill opacity="32768f" type="solid"/>
            </v:shape>
            <v:shape style="position:absolute;left:16386;top:263;width:452;height:904" coordorigin="16386,264" coordsize="452,904" path="m16838,264l16386,715,16838,1167,16838,264xe" filled="true" fillcolor="#783a79" stroked="false">
              <v:path arrowok="t"/>
              <v:fill opacity="32768f" type="solid"/>
            </v:shape>
            <v:shape style="position:absolute;left:16386;top:715;width:452;height:452" coordorigin="16386,715" coordsize="452,452" path="m16386,715l16838,1167,16386,715xe" filled="true" fillcolor="#753972" stroked="false">
              <v:path arrowok="t"/>
              <v:fill opacity="32768f" type="solid"/>
            </v:shape>
            <w10:wrap type="none"/>
          </v:group>
        </w:pict>
      </w:r>
      <w:r>
        <w:rPr/>
        <w:t>Albert Facey House 469 Wellington Street</w:t>
      </w:r>
    </w:p>
    <w:p>
      <w:pPr>
        <w:pStyle w:val="BodyText"/>
        <w:spacing w:before="2"/>
        <w:ind w:left="765"/>
      </w:pPr>
      <w:r>
        <w:rPr/>
        <w:t>Perth WA 6000</w:t>
      </w:r>
    </w:p>
    <w:p>
      <w:pPr>
        <w:pStyle w:val="Heading6"/>
        <w:spacing w:before="107"/>
      </w:pPr>
      <w:r>
        <w:rPr/>
        <w:t>Postal address:</w:t>
      </w:r>
    </w:p>
    <w:p>
      <w:pPr>
        <w:pStyle w:val="BodyText"/>
        <w:spacing w:before="11"/>
        <w:ind w:left="765"/>
      </w:pPr>
      <w:r>
        <w:rPr/>
        <w:t>Locked Bag 11</w:t>
      </w:r>
    </w:p>
    <w:p>
      <w:pPr>
        <w:pStyle w:val="BodyText"/>
        <w:spacing w:before="11"/>
        <w:ind w:left="765"/>
      </w:pPr>
      <w:r>
        <w:rPr/>
        <w:t>Cloisters Square WA 6850</w:t>
      </w:r>
    </w:p>
    <w:p>
      <w:pPr>
        <w:spacing w:before="107"/>
        <w:ind w:left="765" w:right="0" w:firstLine="0"/>
        <w:jc w:val="left"/>
        <w:rPr>
          <w:sz w:val="22"/>
        </w:rPr>
      </w:pPr>
      <w:r>
        <w:rPr/>
        <w:pict>
          <v:group style="position:absolute;margin-left:728.985779pt;margin-top:7.371171pt;width:112.9pt;height:180.65pt;mso-position-horizontal-relative:page;mso-position-vertical-relative:paragraph;z-index:40720" coordorigin="14580,147" coordsize="2258,3613">
            <v:shape style="position:absolute;left:14579;top:1953;width:904;height:904" coordorigin="14580,1954" coordsize="904,904" path="m15031,1954l14580,2405,15031,2857,15483,2405,15031,1954xe" filled="true" fillcolor="#938096" stroked="false">
              <v:path arrowok="t"/>
              <v:fill opacity="32768f" type="solid"/>
            </v:shape>
            <v:shape style="position:absolute;left:15482;top:1953;width:904;height:904" coordorigin="15483,1954" coordsize="904,904" path="m15934,1954l15483,2405,15934,2857,16386,2405,15934,1954xe" filled="true" fillcolor="#d8dad9" stroked="false">
              <v:path arrowok="t"/>
              <v:fill opacity="32768f" type="solid"/>
            </v:shape>
            <v:shape style="position:absolute;left:14579;top:1050;width:904;height:904" coordorigin="14580,1051" coordsize="904,904" path="m15031,1051l14580,1502,15031,1954,15483,1502,15031,1051xe" filled="true" fillcolor="#c4cd71" stroked="false">
              <v:path arrowok="t"/>
              <v:fill opacity="32768f" type="solid"/>
            </v:shape>
            <v:shape style="position:absolute;left:15482;top:2856;width:904;height:904" coordorigin="15483,2857" coordsize="904,904" path="m15934,2857l15483,3309,15934,3760,16386,3309,15934,2857xe" filled="true" fillcolor="#8d5f8e" stroked="false">
              <v:path arrowok="t"/>
              <v:fill opacity="32768f" type="solid"/>
            </v:shape>
            <v:shape style="position:absolute;left:16386;top:147;width:452;height:904" coordorigin="16386,147" coordsize="452,904" path="m16838,147l16386,599,16838,1051,16838,147xe" filled="true" fillcolor="#513457" stroked="false">
              <v:path arrowok="t"/>
              <v:fill opacity="32768f" type="solid"/>
            </v:shape>
            <v:shape style="position:absolute;left:16386;top:1953;width:452;height:904" coordorigin="16386,1954" coordsize="452,904" path="m16838,1954l16386,2405,16838,2857,16838,1954xe" filled="true" fillcolor="#c4cd71" stroked="false">
              <v:path arrowok="t"/>
              <v:fill opacity="32768f" type="solid"/>
            </v:shape>
            <v:shape style="position:absolute;left:16386;top:147;width:452;height:904" coordorigin="16386,147" coordsize="452,904" path="m16838,147l16386,599,16838,1051,16838,147xe" filled="true" fillcolor="#513457" stroked="false">
              <v:path arrowok="t"/>
              <v:fill opacity="32768f" type="solid"/>
            </v:shape>
            <v:shape style="position:absolute;left:16386;top:1953;width:452;height:904" coordorigin="16386,1954" coordsize="452,904" path="m16838,1954l16386,2405,16838,2857,16838,1954xe" filled="true" fillcolor="#c4cd71" stroked="false">
              <v:path arrowok="t"/>
              <v:fill opacity="32768f" type="solid"/>
            </v:shape>
            <w10:wrap type="none"/>
          </v:group>
        </w:pict>
      </w:r>
      <w:r>
        <w:rPr>
          <w:b/>
          <w:sz w:val="22"/>
        </w:rPr>
        <w:t>Phone: </w:t>
      </w:r>
      <w:r>
        <w:rPr>
          <w:sz w:val="22"/>
        </w:rPr>
        <w:t>08 6551 1000</w:t>
      </w:r>
    </w:p>
    <w:p>
      <w:pPr>
        <w:spacing w:before="107"/>
        <w:ind w:left="765" w:right="0" w:firstLine="0"/>
        <w:jc w:val="left"/>
        <w:rPr>
          <w:sz w:val="22"/>
        </w:rPr>
      </w:pPr>
      <w:r>
        <w:rPr>
          <w:b/>
          <w:sz w:val="22"/>
        </w:rPr>
        <w:t>Fax: </w:t>
      </w:r>
      <w:r>
        <w:rPr>
          <w:sz w:val="22"/>
        </w:rPr>
        <w:t>08 6551 4765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r>
        <w:rPr/>
        <w:pict>
          <v:shape style="position:absolute;margin-left:592.020020pt;margin-top:15.698525pt;width:45.2pt;height:45.2pt;mso-position-horizontal-relative:page;mso-position-vertical-relative:paragraph;z-index:38480;mso-wrap-distance-left:0;mso-wrap-distance-right:0" coordorigin="11840,314" coordsize="904,904" path="m12292,314l11840,766,12292,1217,12744,766,12292,314xe" filled="true" fillcolor="#96ac7a" stroked="false">
            <v:path arrowok="t"/>
            <v:fill opacity="32768f" type="solid"/>
            <w10:wrap type="topAndBottom"/>
          </v:shape>
        </w:pict>
      </w:r>
    </w:p>
    <w:p>
      <w:pPr>
        <w:spacing w:after="0"/>
        <w:rPr>
          <w:sz w:val="23"/>
        </w:rPr>
        <w:sectPr>
          <w:type w:val="continuous"/>
          <w:pgSz w:w="16840" w:h="11910" w:orient="landscape"/>
          <w:pgMar w:top="0" w:bottom="0" w:left="0" w:right="0"/>
          <w:cols w:num="3" w:equalWidth="0">
            <w:col w:w="5342" w:space="40"/>
            <w:col w:w="4182" w:space="924"/>
            <w:col w:w="6352"/>
          </w:cols>
        </w:sectPr>
      </w:pPr>
    </w:p>
    <w:p>
      <w:pPr>
        <w:pStyle w:val="BodyText"/>
        <w:rPr>
          <w:rFonts w:ascii="Times New Roman"/>
          <w:sz w:val="20"/>
        </w:rPr>
      </w:pPr>
      <w:r>
        <w:rPr/>
        <w:pict>
          <v:shape style="position:absolute;margin-left:829.589478pt;margin-top:.000701pt;width:12.3pt;height:12.3pt;mso-position-horizontal-relative:page;mso-position-vertical-relative:page;z-index:40816" coordorigin="16592,0" coordsize="246,246" path="m16838,0l16592,0,16838,246,16838,0xe" filled="true" fillcolor="#5d883c" stroked="false">
            <v:path arrowok="t"/>
            <v:fill type="solid"/>
            <w10:wrap type="none"/>
          </v:shape>
        </w:pict>
      </w:r>
      <w:r>
        <w:rPr/>
        <w:pict>
          <v:group style="position:absolute;margin-left:5.0004pt;margin-top:.000701pt;width:753.8pt;height:595.3pt;mso-position-horizontal-relative:page;mso-position-vertical-relative:page;z-index:40840" coordorigin="100,0" coordsize="15076,11906">
            <v:shape style="position:absolute;left:8999;top:1774;width:337;height:302" type="#_x0000_t75" stroked="false">
              <v:imagedata r:id="rId418" o:title=""/>
            </v:shape>
            <v:shape style="position:absolute;left:6525;top:1959;width:2811;height:5056" coordorigin="6526,1959" coordsize="2811,5056" path="m9336,6772l8931,7006,8941,7015,9336,6787,9336,6772m9336,6680l8873,6947,8882,6956,9336,6694,9336,6680m9336,6587l8814,6889,8823,6898,9336,6602,9336,6587m9336,6495l8755,6830,8765,6839,9336,6509,9336,6495m9336,6402l8697,6771,8706,6780,9336,6417,9336,6402m9336,6310l8638,6713,8647,6722,9336,6324,9336,6310m9336,6217l8579,6654,8589,6663,9336,6232,9336,6217m9336,6125l8521,6595,8530,6604,9336,6139,9336,6125m9336,6032l8462,6537,8471,6546,9336,6046,9336,6032m9336,5939l8403,6478,8412,6487,9336,5954,9336,5939m9336,5847l8345,6419,8354,6428,9336,5861,9336,5847m9336,5754l8286,6360,8295,6370,9336,5769,9336,5754m9336,5662l8227,6302,8236,6311,9336,5676,9336,5662m9336,5569l8169,6243,8178,6252,9336,5584,9336,5569m9336,5477l8110,6184,8119,6194,9336,5491,9336,5477m9336,5384l8051,6126,8060,6135,9336,5398,9336,5384m9336,5291l7993,6067,8002,6076,9336,5306,9336,5291m9336,5199l7934,6008,7943,6018,9336,5213,9336,5199m9336,5106l7875,5950,7884,5959,9336,5121,9336,5106m9336,5014l7817,5891,7826,5900,9336,5028,9336,5014m9336,4921l7758,5832,7767,5842,9336,4936,9336,4921m9336,4829l7699,5774,7708,5783,9336,4843,9336,4829m9336,4736l7640,5715,7650,5724,9336,4751,9336,4736m9336,4644l7582,5656,7591,5665,9336,4658,9336,4644m9336,4551l7523,5598,7532,5607,9336,4565,9336,4551m9336,4458l7464,5539,7474,5548,9336,4473,9336,4458m9336,4273l7347,5422,7356,5431,9336,4288,9336,4273m9336,4181l7288,5363,7298,5372,9336,4195,9336,4181m9336,3996l7171,5246,7180,5255,9336,4010,9336,3996m9336,3903l7112,5187,7121,5196,9336,3917,9336,3903m9336,3718l6995,5069,7004,5079,9336,3732,9336,3718m9336,3625l6936,5011,6945,5020,9336,3640,9336,3625m9336,3533l6878,4952,6887,4961,9336,3547,9336,3533m9336,3440l6819,4893,6828,4903,9336,3455,9336,3440m9336,3348l6760,4835,6769,4844,9336,3362,9336,3348m9336,3255l6702,4776,6711,4785,9336,3270,9336,3255m9336,3163l6643,4717,6652,4727,9336,3177,9336,3163m9336,3070l6584,4659,6593,4668,9336,3084,9336,3070m9336,2977l6526,4600,6535,4609,9336,2992,9336,2977m9336,2885l6624,4450,6590,4485,9336,2899,9336,2885m9336,2792l6843,4231,6809,4266,9336,2807,9336,2792m9336,2700l7062,4012,7028,4047,9336,2714,9336,2700m9336,2607l7281,3793,7247,3827,9336,2622,9336,2607m9336,2422l7719,3355,7685,3390,9336,2437,9336,2422m9336,2330l7938,3136,7904,3171,9336,2344,9336,2330m9336,2237l8157,2917,8123,2952,9336,2251,9336,2237m9336,2144l8376,2698,8342,2732,9336,2159,9336,2144m9336,2052l8595,2479,8561,2514,9336,2066,9336,2052m9336,1959l8814,2260,8780,2295,9336,1974,9336,1959m9336,4366l7406,5480,7415,5489,9336,4380,9336,4366m9336,4088l7230,5304,7239,5313,9336,4103,9336,4088m9336,3810l7054,5128,7063,5137,9336,3825,9336,3810m9336,2515l7500,3574,7466,3609,9336,2529,9336,2515e" filled="true" fillcolor="#cdcccd" stroked="false">
              <v:path arrowok="t"/>
              <v:fill type="solid"/>
            </v:shape>
            <v:shape style="position:absolute;left:8990;top:6865;width:346;height:503" type="#_x0000_t75" stroked="false">
              <v:imagedata r:id="rId419" o:title=""/>
            </v:shape>
            <v:shape style="position:absolute;left:9336;top:1782;width:400;height:587" type="#_x0000_t75" stroked="false">
              <v:imagedata r:id="rId420" o:title=""/>
            </v:shape>
            <v:shape style="position:absolute;left:9336;top:2193;width:2806;height:4989" coordorigin="9336,2193" coordsize="2806,4989" path="m9794,2197l9791,2193,9336,2456,9336,2462,9794,2197m9853,2256l9849,2252,9336,2548,9336,2554,9853,2256m9890,6857l9336,7177,9336,7182,9876,6871,9890,6857m9912,2314l9908,2311,9336,2641,9336,2647,9912,2314m9970,2373l9967,2369,9336,2734,9336,2739,9970,2373m10029,2432l10025,2428,9336,2826,9336,2832,10029,2432m10088,2491l10084,2487,9336,2919,9336,2925,10088,2491m10109,6638l9336,7084,9336,7090,10095,6652,10109,6638m10146,2549l10143,2546,9336,3011,9336,3017,10146,2549m10205,2608l10202,2604,9336,3104,9336,3110,10205,2608m10264,2667l10260,2663,9336,3196,9336,3202,10264,2667m10323,2725l10319,2722,9336,3289,9336,3295,10323,2725m10328,6419l9336,6992,9336,6997,10314,6433,10328,6419m10381,2784l10378,2780,9336,3382,9336,3387,10381,2784m10440,2843l10436,2839,9336,3474,9336,3480,10440,2843m10499,2901l10495,2898,9336,3567,9336,3572,10499,2901m10546,6200l9336,6899,9336,6905,10533,6214,10546,6200m10557,2960l10554,2956,9336,3659,9336,3665,10557,2960m10616,3019l10612,3015,9336,3752,9336,3758,10616,3019m10675,3077l10671,3074,9336,3844,9336,3850,10675,3077m10733,3136l10730,3132,9336,3937,9336,3943,10733,3136m10766,5981l9336,6806,9336,6812,10752,5995,10766,5981m10792,3195l10788,3191,9336,4029,9336,4035,10792,3195m10851,3253l10847,3250,9336,4122,9336,4128,10851,3253m10909,3312l10906,3308,9336,4215,9336,4220,10909,3312m10968,3371l10964,3367,9336,4307,9336,4313,10968,3371m10984,5762l9336,6714,9336,6720,10971,5776,10984,5762m11027,3429l11023,3426,9336,4400,9336,4406,11027,3429m11085,3488l11082,3484,9336,4492,9336,4498,11085,3488m11144,3547l11140,3543,9336,4585,9336,4591,11144,3547m11203,3605l11199,3602,9336,4677,9336,4683,11203,3605m11203,5543l9336,6621,9336,6627,11190,5557,11203,5543m11261,3664l11258,3660,9336,4770,9336,4776,11261,3664m11320,3723l11316,3719,9336,4863,9336,4868,11320,3723m11379,3782l11375,3778,9336,4955,9336,4961,11379,3782m11422,5324l9336,6529,9336,6534,11409,5338,11422,5324m11438,3840l11434,3837,9336,5048,9336,5053,11438,3840m11496,3899l11493,3895,9336,5140,9336,5146,11496,3899m11555,3958l11551,3954,9336,5233,9336,5239,11555,3958m11614,4016l11610,4013,9336,5325,9336,5331,11614,4016m11641,5105l9336,6436,9336,6442,11628,5119,11641,5105m11672,4075l11669,4071,9336,5418,9336,5424,11672,4075m11731,4134l11727,4130,9336,5510,9336,5516,11731,4134m11790,4192l11786,4189,9336,5603,9336,5609,11790,4192m11848,4251l11845,4247,9336,5696,9336,5701,11848,4251m11860,4886l9336,6344,9336,6349,11847,4900,11860,4886m11907,4310l11903,4306,9336,5788,9336,5794,11907,4310m11966,4368l11962,4365,9336,5881,9336,5887,11966,4368m12024,4427l12021,4423,9336,5973,9336,5979,12024,4427m12079,4667l9336,6251,9336,6257,12066,4681,12079,4667m12083,4486l12079,4482,9336,6066,9336,6072,12083,4486m12142,4544l12138,4541,9336,6158,9336,6164,12142,4544e" filled="true" fillcolor="#cdcccd" stroked="false">
              <v:path arrowok="t"/>
              <v:fill type="solid"/>
            </v:shape>
            <v:shape style="position:absolute;left:9336;top:7076;width:335;height:292" type="#_x0000_t75" stroked="false">
              <v:imagedata r:id="rId421" o:title=""/>
            </v:shape>
            <v:shape style="position:absolute;left:9503;top:117;width:1419;height:2836" coordorigin="9504,118" coordsize="1419,2836" path="m10434,2024l10213,2245,10922,2954,10922,2512,10434,2024xm10922,118l9504,1536,10213,827,10654,827,10922,560,10922,118xm10654,827l10213,827,10434,1048,10654,827xe" filled="true" fillcolor="#aebd37" stroked="false">
              <v:path arrowok="t"/>
              <v:fill type="solid"/>
            </v:shape>
            <v:shape style="position:absolute;left:10921;top:0;width:2836;height:118" coordorigin="10922,0" coordsize="2836,118" path="m13640,0l13198,0,13316,118,13758,118,13640,0xm11481,0l11040,0,10922,118,10922,118,11363,118,11481,0xe" filled="true" fillcolor="#6f2770" stroked="false">
              <v:path arrowok="t"/>
              <v:fill type="solid"/>
            </v:shape>
            <v:shape style="position:absolute;left:10921;top:2953;width:2836;height:710" coordorigin="10922,2954" coordsize="2836,710" path="m11363,2954l10922,2954,10922,2954,11631,3663,11852,3442,11363,2954xm10922,2954l10922,2954,10922,2954,10922,2954xm13758,2954l13316,2954,12828,3442,13049,3663,13758,2954,13758,2954xm13758,2954l13758,2954,13758,2954,13758,2954xe" filled="true" fillcolor="#5d883c" stroked="false">
              <v:path arrowok="t"/>
              <v:fill type="solid"/>
            </v:shape>
            <v:shape style="position:absolute;left:13757;top:117;width:1419;height:2836" coordorigin="13758,118" coordsize="1419,2836" path="m14246,2024l13758,2512,13758,2954,14467,2245,14246,2024xm14467,827l14467,827,15176,1536,14467,827xm13758,118l13758,560,14246,1048,14467,827,14467,827,13758,118xe" filled="true" fillcolor="#360e3f" stroked="false">
              <v:path arrowok="t"/>
              <v:fill type="solid"/>
            </v:shape>
            <v:shape style="position:absolute;left:10921;top:2732;width:221;height:221" coordorigin="10922,2733" coordsize="221,221" path="m11143,2733l10922,2954,11143,2733xe" filled="true" fillcolor="#aebd37" stroked="false">
              <v:path arrowok="t"/>
              <v:fill type="solid"/>
            </v:shape>
            <v:shape style="position:absolute;left:10921;top:2512;width:221;height:442" coordorigin="10922,2512" coordsize="221,442" path="m10922,2512l10922,2954,11143,2733,10922,2512xe" filled="true" fillcolor="#7aa142" stroked="false">
              <v:path arrowok="t"/>
              <v:fill type="solid"/>
            </v:shape>
            <v:shape style="position:absolute;left:10921;top:2732;width:442;height:221" coordorigin="10922,2733" coordsize="442,221" path="m11143,2733l10922,2954,11363,2954,11143,2733xe" filled="true" fillcolor="#41793d" stroked="false">
              <v:path arrowok="t"/>
              <v:fill type="solid"/>
            </v:shape>
            <v:shape style="position:absolute;left:10921;top:118;width:221;height:221" coordorigin="10922,118" coordsize="221,221" path="m10922,118l11143,339,10922,118xe" filled="true" fillcolor="#6f2770" stroked="false">
              <v:path arrowok="t"/>
              <v:fill type="solid"/>
            </v:shape>
            <v:shape style="position:absolute;left:10921;top:118;width:221;height:442" coordorigin="10922,118" coordsize="221,442" path="m10922,118l10922,560,11143,339,10922,118xe" filled="true" fillcolor="#5b2e31" stroked="false">
              <v:path arrowok="t"/>
              <v:fill type="solid"/>
            </v:shape>
            <v:shape style="position:absolute;left:10921;top:117;width:442;height:221" coordorigin="10922,118" coordsize="442,221" path="m11363,118l10922,118,11143,339,11363,118xe" filled="true" fillcolor="#42285e" stroked="false">
              <v:path arrowok="t"/>
              <v:fill type="solid"/>
            </v:shape>
            <v:shape style="position:absolute;left:13536;top:2732;width:148;height:148" coordorigin="13537,2733" coordsize="148,148" path="m13537,2733l13684,2880,13537,2733xe" filled="true" fillcolor="#5d883c" stroked="false">
              <v:path arrowok="t"/>
              <v:fill type="solid"/>
            </v:shape>
            <v:shape style="position:absolute;left:13315;top:2732;width:442;height:221" coordorigin="13316,2733" coordsize="442,221" path="m13537,2733l13316,2954,13758,2954,13537,2733xe" filled="true" fillcolor="#226237" stroked="false">
              <v:path arrowok="t"/>
              <v:fill type="solid"/>
            </v:shape>
            <v:shape style="position:absolute;left:13536;top:2512;width:221;height:442" coordorigin="13537,2512" coordsize="221,442" path="m13758,2512l13537,2733,13758,2954,13758,2512xe" filled="true" fillcolor="#1e0f13" stroked="false">
              <v:path arrowok="t"/>
              <v:fill type="solid"/>
            </v:shape>
            <v:shape style="position:absolute;left:13536;top:117;width:221;height:221" coordorigin="13537,118" coordsize="221,221" path="m13758,118l13537,339,13758,118xe" filled="true" fillcolor="#360e3f" stroked="false">
              <v:path arrowok="t"/>
              <v:fill type="solid"/>
            </v:shape>
            <v:shape style="position:absolute;left:13315;top:117;width:442;height:221" coordorigin="13316,118" coordsize="442,221" path="m13758,118l13316,118,13537,339,13758,118xm13758,118l13758,118,13758,118,13758,118xe" filled="true" fillcolor="#200d34" stroked="false">
              <v:path arrowok="t"/>
              <v:fill type="solid"/>
            </v:shape>
            <v:shape style="position:absolute;left:13536;top:118;width:221;height:442" coordorigin="13537,118" coordsize="221,442" path="m13758,118l13537,339,13758,560,13758,118xe" filled="true" fillcolor="#050019" stroked="false">
              <v:path arrowok="t"/>
              <v:fill type="solid"/>
            </v:shape>
            <v:shape style="position:absolute;left:9503;top:826;width:930;height:1418" coordorigin="9504,827" coordsize="930,1418" path="m10213,827l9504,1536,10213,2245,10434,2024,9946,1536,10434,1048,10213,827xe" filled="true" fillcolor="#89993e" stroked="false">
              <v:path arrowok="t"/>
              <v:fill type="solid"/>
            </v:shape>
            <v:shape style="position:absolute;left:12339;top:3662;width:709;height:709" coordorigin="12340,3663" coordsize="709,709" path="m13049,3663l12340,4372,13049,3663xe" filled="true" fillcolor="#bbbcbb" stroked="false">
              <v:path arrowok="t"/>
              <v:fill type="solid"/>
            </v:shape>
            <v:shape style="position:absolute;left:11630;top:3441;width:1418;height:930" coordorigin="11631,3442" coordsize="1418,930" path="m11852,3442l11631,3663,12340,4372,12781,3930,12340,3930,11852,3442xm12828,3442l12340,3930,12781,3930,13049,3663,12828,3442xe" filled="true" fillcolor="#4f743b" stroked="false">
              <v:path arrowok="t"/>
              <v:fill type="solid"/>
            </v:shape>
            <v:shape style="position:absolute;left:14245;top:826;width:930;height:1418" coordorigin="14246,827" coordsize="930,1418" path="m14467,827l14246,1048,14734,1536,14246,2024,14467,2245,15176,1536,14467,827xe" filled="true" fillcolor="#2f1038" stroked="false">
              <v:path arrowok="t"/>
              <v:fill type="solid"/>
            </v:shape>
            <v:shape style="position:absolute;left:10433;top:559;width:489;height:1953" coordorigin="10434,560" coordsize="489,1953" path="m10922,560l10434,1048,10922,1536,10434,2024,10922,2512,10922,560xe" filled="true" fillcolor="#f8f7f0" stroked="false">
              <v:path arrowok="t"/>
              <v:fill type="solid"/>
            </v:shape>
            <v:shape style="position:absolute;left:11363;top:0;width:1953;height:118" coordorigin="11363,0" coordsize="1953,118" path="m12222,0l11481,0,11363,118,13316,118,13316,118,12340,118,12222,0xm13198,0l12458,0,12340,118,13316,118,13198,0xe" filled="true" fillcolor="#f1edf3" stroked="false">
              <v:path arrowok="t"/>
              <v:fill type="solid"/>
            </v:shape>
            <v:shape style="position:absolute;left:11363;top:2953;width:1953;height:489" coordorigin="11363,2954" coordsize="1953,489" path="m13316,2954l12340,2954,12828,3442,13316,2954xm13316,2954l11363,2954,11852,3442,12340,2954,13316,2954,13316,2954xe" filled="true" fillcolor="#f2f3ee" stroked="false">
              <v:path arrowok="t"/>
              <v:fill type="solid"/>
            </v:shape>
            <v:shape style="position:absolute;left:12339;top:559;width:1907;height:1953" coordorigin="12340,560" coordsize="1907,1953" path="m13758,1536l12340,1536,12340,1536,13758,1536,13758,2512,14246,2024,13758,1536,13758,1536xm13758,560l13758,1536,13758,1536,14246,1048,13758,560xe" filled="true" fillcolor="#ebe7ea" stroked="false">
              <v:path arrowok="t"/>
              <v:fill type="solid"/>
            </v:shape>
            <v:shape style="position:absolute;left:10921;top:1535;width:1418;height:1198" coordorigin="10922,1536" coordsize="1418,1198" path="m12340,1536l10922,1536,10922,2512,11143,2733,12340,1536xe" filled="true" fillcolor="#f5f6f0" stroked="false">
              <v:path arrowok="t"/>
              <v:fill type="solid"/>
            </v:shape>
            <v:shape style="position:absolute;left:11142;top:1535;width:1198;height:1418" coordorigin="11143,1536" coordsize="1198,1418" path="m12340,1536l11143,2733,11363,2954,12340,2954,12340,1536xe" filled="true" fillcolor="#f2f3ee" stroked="false">
              <v:path arrowok="t"/>
              <v:fill type="solid"/>
            </v:shape>
            <v:shape style="position:absolute;left:11142;top:338;width:1198;height:1198" coordorigin="11143,339" coordsize="1198,1198" path="m11143,339l12340,1536,11143,339xe" filled="true" fillcolor="#f1edf3" stroked="false">
              <v:path arrowok="t"/>
              <v:fill type="solid"/>
            </v:shape>
            <v:shape style="position:absolute;left:10921;top:338;width:1418;height:1198" coordorigin="10922,339" coordsize="1418,1198" path="m11143,339l10922,560,10922,1536,12340,1536,11143,339xe" filled="true" fillcolor="#f1edea" stroked="false">
              <v:path arrowok="t"/>
              <v:fill type="solid"/>
            </v:shape>
            <v:shape style="position:absolute;left:11142;top:117;width:1198;height:1418" coordorigin="11143,118" coordsize="1198,1418" path="m12340,118l11363,118,11143,339,12340,1536,12340,118xe" filled="true" fillcolor="#ebe9ed" stroked="false">
              <v:path arrowok="t"/>
              <v:fill type="solid"/>
            </v:shape>
            <v:shape style="position:absolute;left:12339;top:1535;width:1198;height:1198" coordorigin="12340,1536" coordsize="1198,1198" path="m12340,1536l13537,2733,12340,1536xe" filled="true" fillcolor="#f2f3ee" stroked="false">
              <v:path arrowok="t"/>
              <v:fill type="solid"/>
            </v:shape>
            <v:shape style="position:absolute;left:12339;top:1535;width:1198;height:1418" coordorigin="12340,1536" coordsize="1198,1418" path="m12340,1536l12340,2954,13316,2954,13537,2733,12340,1536xe" filled="true" fillcolor="#eceeea" stroked="false">
              <v:path arrowok="t"/>
              <v:fill type="solid"/>
            </v:shape>
            <v:shape style="position:absolute;left:12339;top:1535;width:1418;height:1198" coordorigin="12340,1536" coordsize="1418,1198" path="m13758,1536l12340,1536,13537,2733,13758,2512,13758,1536xe" filled="true" fillcolor="#e6e3e2" stroked="false">
              <v:path arrowok="t"/>
              <v:fill type="solid"/>
            </v:shape>
            <v:shape style="position:absolute;left:12339;top:338;width:1198;height:1198" coordorigin="12340,339" coordsize="1198,1198" path="m13537,339l12340,1536,13537,339xe" filled="true" fillcolor="#ebe7ea" stroked="false">
              <v:path arrowok="t"/>
              <v:fill type="solid"/>
            </v:shape>
            <v:shape style="position:absolute;left:12339;top:117;width:1198;height:1418" coordorigin="12340,118" coordsize="1198,1418" path="m13316,118l12340,118,12340,1536,13537,339,13316,118xe" filled="true" fillcolor="#e6e4e6" stroked="false">
              <v:path arrowok="t"/>
              <v:fill type="solid"/>
            </v:shape>
            <v:shape style="position:absolute;left:12339;top:338;width:1418;height:1198" coordorigin="12340,339" coordsize="1418,1198" path="m13537,339l12340,1536,13758,1536,13758,560,13537,339xe" filled="true" fillcolor="#e4e2e4" stroked="false">
              <v:path arrowok="t"/>
              <v:fill type="solid"/>
            </v:shape>
            <v:shape style="position:absolute;left:9945;top:1047;width:977;height:977" coordorigin="9946,1048" coordsize="977,977" path="m10434,1048l9946,1536,10434,2024,10922,1536,10434,1048xe" filled="true" fillcolor="#f5f4ee" stroked="false">
              <v:path arrowok="t"/>
              <v:fill type="solid"/>
            </v:shape>
            <v:shape style="position:absolute;left:11851;top:2953;width:977;height:977" coordorigin="11852,2954" coordsize="977,977" path="m12340,2954l11852,3442,12340,3930,12828,3442,12340,2954xe" filled="true" fillcolor="#f2f3ee" stroked="false">
              <v:path arrowok="t"/>
              <v:fill type="solid"/>
            </v:shape>
            <v:shape style="position:absolute;left:13757;top:1047;width:977;height:977" coordorigin="13758,1048" coordsize="977,977" path="m14246,1048l13758,1536,14246,2024,14734,1536,14246,1048xe" filled="true" fillcolor="#ebe7e8" stroked="false">
              <v:path arrowok="t"/>
              <v:fill type="solid"/>
            </v:shape>
            <v:shape style="position:absolute;left:12221;top:0;width:236;height:118" coordorigin="12222,0" coordsize="236,118" path="m12458,0l12222,0,12340,118,12458,0xe" filled="true" fillcolor="#f1edf0" stroked="false">
              <v:path arrowok="t"/>
              <v:fill type="solid"/>
            </v:shape>
            <v:shape style="position:absolute;left:1656;top:7885;width:4671;height:4020" coordorigin="1657,7886" coordsize="4671,4020" path="m3214,7886l1657,9443,3214,10999,2307,11906,3214,11906,3214,10999,6327,10999,6327,10999,3214,10999,3214,7886xm6327,10999l3214,10999,6327,10999,6327,10999xe" filled="true" fillcolor="#aebd37" stroked="false">
              <v:path arrowok="t"/>
              <v:fill type="solid"/>
            </v:shape>
            <v:shape style="position:absolute;left:3213;top:4772;width:6228;height:6228" coordorigin="3214,4772" coordsize="6228,6228" path="m6327,4772l3214,7886,3214,7886,6327,7886,6327,10999,6327,7886,9441,7886,9441,7886,6327,7886,4770,6329,6327,4772xm6327,4772l7884,6329,6327,7886,9441,7886,6327,4772xe" filled="true" fillcolor="#6f2770" stroked="false">
              <v:path arrowok="t"/>
              <v:fill type="solid"/>
            </v:shape>
            <v:shape style="position:absolute;left:6327;top:10999;width:2;height:2" coordorigin="6327,10999" coordsize="0,1" path="m6327,10999l6327,10999,6327,10999xm6327,10999l6327,10999e" filled="true" fillcolor="#5d883c" stroked="false">
              <v:path arrowok="t"/>
              <v:fill type="solid"/>
            </v:shape>
            <v:shape style="position:absolute;left:6327;top:7885;width:4671;height:4020" coordorigin="6327,7886" coordsize="4671,4020" path="m9441,7886l9441,10999,6327,10999,9441,10999,9441,11906,10347,11906,9441,10999,10998,9443,9441,7886xe" filled="true" fillcolor="#360e3f" stroked="false">
              <v:path arrowok="t"/>
              <v:fill type="solid"/>
            </v:shape>
            <v:shape style="position:absolute;left:5635;top:10999;width:692;height:692" coordorigin="5635,10999" coordsize="692,692" path="m6327,10999l5635,11691,6327,10999xe" filled="true" fillcolor="#aebd37" stroked="false">
              <v:path arrowok="t"/>
              <v:fill type="solid"/>
            </v:shape>
            <v:shape style="position:absolute;left:3213;top:10999;width:3114;height:907" coordorigin="3214,10999" coordsize="3114,907" path="m6327,10999l3214,10999,3214,11906,5421,11906,6327,10999xe" filled="true" fillcolor="#7aa142" stroked="false">
              <v:path arrowok="t"/>
              <v:fill type="solid"/>
            </v:shape>
            <v:shape style="position:absolute;left:5421;top:10999;width:907;height:907" coordorigin="5421,10999" coordsize="907,907" path="m6327,10999l5421,11906,6327,11906,6327,10999xe" filled="true" fillcolor="#41793d" stroked="false">
              <v:path arrowok="t"/>
              <v:fill type="solid"/>
            </v:shape>
            <v:shape style="position:absolute;left:3213;top:7885;width:3114;height:3114" coordorigin="3214,7886" coordsize="3114,3114" path="m3214,7886l6327,10999,3214,7886xe" filled="true" fillcolor="#6f2770" stroked="false">
              <v:path arrowok="t"/>
              <v:fill type="solid"/>
            </v:shape>
            <v:shape style="position:absolute;left:3213;top:7886;width:3114;height:3114" coordorigin="3214,7886" coordsize="3114,3114" path="m3214,7886l3214,10999,6327,10999,3214,7886xe" filled="true" fillcolor="#5b2e31" stroked="false">
              <v:path arrowok="t"/>
              <v:fill type="solid"/>
            </v:shape>
            <v:shape style="position:absolute;left:3213;top:7885;width:3114;height:3114" coordorigin="3214,7886" coordsize="3114,3114" path="m6327,7886l3214,7886,6327,10999,6327,7886xe" filled="true" fillcolor="#42285e" stroked="false">
              <v:path arrowok="t"/>
              <v:fill type="solid"/>
            </v:shape>
            <v:shape style="position:absolute;left:6327;top:10999;width:907;height:907" coordorigin="6327,10999" coordsize="907,907" path="m6327,10999l6327,10999,7233,11906,7233,11906,6327,10999xm6327,10999l6327,10999,6327,10999,6327,10999xe" filled="true" fillcolor="#5d883c" stroked="false">
              <v:path arrowok="t"/>
              <v:fill type="solid"/>
            </v:shape>
            <v:shape style="position:absolute;left:6327;top:10999;width:907;height:907" coordorigin="6327,10999" coordsize="907,907" path="m6327,10999l6327,11906,7233,11906,6327,10999xe" filled="true" fillcolor="#226237" stroked="false">
              <v:path arrowok="t"/>
              <v:fill type="solid"/>
            </v:shape>
            <v:shape style="position:absolute;left:6327;top:10999;width:3114;height:907" coordorigin="6327,10999" coordsize="3114,907" path="m6327,10999l7233,11906,9441,11906,9441,10999,6327,10999xe" filled="true" fillcolor="#1e0f13" stroked="false">
              <v:path arrowok="t"/>
              <v:fill type="solid"/>
            </v:shape>
            <v:shape style="position:absolute;left:6327;top:10999;width:2;height:907" coordorigin="6327,10999" coordsize="0,907" path="m6327,11906l6327,11000,6327,11906xe" filled="true" fillcolor="#1d5b36" stroked="false">
              <v:path arrowok="t"/>
              <v:fill type="solid"/>
            </v:shape>
            <v:shape style="position:absolute;left:6327;top:7885;width:3114;height:3114" coordorigin="6327,7886" coordsize="3114,3114" path="m9441,7886l6327,10999,9441,7886xe" filled="true" fillcolor="#360e3f" stroked="false">
              <v:path arrowok="t"/>
              <v:fill type="solid"/>
            </v:shape>
            <v:shape style="position:absolute;left:6327;top:7885;width:3114;height:3114" coordorigin="6327,7886" coordsize="3114,3114" path="m9441,7886l6327,7886,6327,10999,9441,7886xe" filled="true" fillcolor="#200d34" stroked="false">
              <v:path arrowok="t"/>
              <v:fill type="solid"/>
            </v:shape>
            <v:shape style="position:absolute;left:6327;top:7886;width:3114;height:3114" coordorigin="6327,7886" coordsize="3114,3114" path="m9441,7886l6327,10999,9441,10999,9441,7886xe" filled="true" fillcolor="#050019" stroked="false">
              <v:path arrowok="t"/>
              <v:fill type="solid"/>
            </v:shape>
            <v:shape style="position:absolute;left:100;top:9442;width:3114;height:2463" coordorigin="100,9443" coordsize="3114,2463" path="m1657,9443l100,10999,1006,11906,2307,11906,3214,10999,1657,9443xe" filled="true" fillcolor="#89993e" stroked="false">
              <v:path arrowok="t"/>
              <v:fill type="solid"/>
            </v:shape>
            <v:shape style="position:absolute;left:9440;top:9442;width:3114;height:2463" coordorigin="9441,9443" coordsize="3114,2463" path="m10998,9443l9441,10999,10347,11906,11648,11906,12554,10999,10998,9443xe" filled="true" fillcolor="#2f1038" stroked="false">
              <v:path arrowok="t"/>
              <v:fill type="solid"/>
            </v:shape>
            <v:shape style="position:absolute;left:4770;top:4772;width:3114;height:3114" coordorigin="4770,4772" coordsize="3114,3114" path="m6327,4772l4770,6329,6327,7886,7884,6329,6327,4772xe" filled="true" fillcolor="#602a63" stroked="false">
              <v:path arrowok="t"/>
              <v:fill type="solid"/>
            </v:shape>
            <v:shape style="position:absolute;left:562;top:5234;width:11531;height:6672" coordorigin="562,5234" coordsize="11531,6672" path="m6327,5234l562,10999,1468,11906,11186,11906,12092,10999,6327,5234xe" filled="true" fillcolor="#ffffff" stroked="false">
              <v:path arrowok="t"/>
              <v:fill opacity="62259f" type="solid"/>
            </v:shape>
            <v:shape style="position:absolute;left:3524;top:3297;width:904;height:904" coordorigin="3525,3297" coordsize="904,904" path="m3976,3297l3525,3749,3976,4201,4428,3749,3976,3297xe" filled="true" fillcolor="#c0b5c1" stroked="false">
              <v:path arrowok="t"/>
              <v:fill type="solid"/>
            </v:shape>
            <v:shape style="position:absolute;left:3524;top:4200;width:904;height:904" coordorigin="3525,4201" coordsize="904,904" path="m3976,4201l3525,4652,3976,5104,4428,4652,3976,4201xe" filled="true" fillcolor="#c6cfb3" stroked="false">
              <v:path arrowok="t"/>
              <v:fill type="solid"/>
            </v:shape>
            <v:shape style="position:absolute;left:4427;top:3297;width:904;height:904" coordorigin="4428,3297" coordsize="904,904" path="m4880,3297l4428,3749,4880,4201,5331,3749,4880,3297xe" filled="true" fillcolor="#e8e7e5" stroked="false">
              <v:path arrowok="t"/>
              <v:fill type="solid"/>
            </v:shape>
            <v:shape style="position:absolute;left:2621;top:4200;width:904;height:904" coordorigin="2622,4201" coordsize="904,904" path="m3073,4201l2622,4652,3073,5104,3525,4652,3073,4201xe" filled="true" fillcolor="#bca1bc" stroked="false">
              <v:path arrowok="t"/>
              <v:fill type="solid"/>
            </v:shape>
            <v:shape style="position:absolute;left:4879;top:3748;width:904;height:904" coordorigin="4880,3749" coordsize="904,904" path="m5331,3749l4880,4201,5331,4652,5783,4201,5331,3749xe" filled="true" fillcolor="#dfe2b4" stroked="false">
              <v:path arrowok="t"/>
              <v:fill opacity="32768f" type="solid"/>
            </v:shape>
            <v:shape style="position:absolute;left:3524;top:5103;width:904;height:904" coordorigin="3525,5104" coordsize="904,904" path="m3976,5104l3525,5555,3976,6007,4428,5555,3976,5104xe" filled="true" fillcolor="#dfe2b4" stroked="false">
              <v:path arrowok="t"/>
              <v:fill type="solid"/>
            </v:shape>
            <v:shape style="position:absolute;left:1993;top:0;width:890;height:445" coordorigin="1994,0" coordsize="890,445" path="m2883,0l1994,0,2438,445,2883,0xe" filled="true" fillcolor="#a899ab" stroked="false">
              <v:path arrowok="t"/>
              <v:fill type="solid"/>
            </v:shape>
            <v:shape style="position:absolute;left:632;top:0;width:904;height:897" coordorigin="632,0" coordsize="904,897" path="m1091,0l1077,0,632,445,1084,896,1535,445,1091,0xe" filled="true" fillcolor="#efeeed" stroked="false">
              <v:path arrowok="t"/>
              <v:fill type="solid"/>
            </v:shape>
            <v:shape style="position:absolute;left:187;top:0;width:890;height:445" coordorigin="187,0" coordsize="890,445" path="m1077,0l187,0,632,445,1077,0xe" filled="true" fillcolor="#dfe2b4" stroked="false">
              <v:path arrowok="t"/>
              <v:fill type="solid"/>
            </v:shape>
            <v:shape style="position:absolute;left:13910;top:8360;width:904;height:904" coordorigin="13910,8360" coordsize="904,904" path="m14362,8360l13910,8812,14362,9263,14813,8812,14362,8360xe" filled="true" fillcolor="#96ac7a" stroked="false">
              <v:path arrowok="t"/>
              <v:fill opacity="45875f" type="solid"/>
            </v:shape>
            <v:shape style="position:absolute;left:13006;top:9263;width:904;height:904" coordorigin="13007,9263" coordsize="904,904" path="m13458,9263l13007,9715,13458,10166,13910,9715,13458,9263xe" filled="true" fillcolor="#d4d4d3" stroked="false">
              <v:path arrowok="t"/>
              <v:fill opacity="45875f" type="solid"/>
            </v:shape>
            <v:shape style="position:absolute;left:13910;top:9263;width:904;height:904" coordorigin="13910,9263" coordsize="904,904" path="m14362,9263l13910,9715,14362,10166,14813,9715,14362,9263xe" filled="true" fillcolor="#c4cd71" stroked="false">
              <v:path arrowok="t"/>
              <v:fill opacity="45875f" type="solid"/>
            </v:shape>
            <w10:wrap type="none"/>
          </v:group>
        </w:pict>
      </w:r>
      <w:r>
        <w:rPr/>
        <w:pict>
          <v:shape style="position:absolute;margin-left:818.88147pt;margin-top:440.77121pt;width:23.05pt;height:45.2pt;mso-position-horizontal-relative:page;mso-position-vertical-relative:page;z-index:40864" coordorigin="16378,8815" coordsize="461,904" path="m16829,8815l16553,9092,16378,9267,16829,9719,16838,9710,16838,8824,16829,8815xe" filled="true" fillcolor="#ad8cad" stroked="false">
            <v:path arrowok="t"/>
            <v:fill type="solid"/>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3"/>
        </w:rPr>
      </w:pPr>
    </w:p>
    <w:p>
      <w:pPr>
        <w:pStyle w:val="BodyText"/>
        <w:ind w:left="15263"/>
        <w:rPr>
          <w:rFonts w:ascii="Times New Roman"/>
          <w:sz w:val="20"/>
        </w:rPr>
      </w:pPr>
      <w:r>
        <w:rPr>
          <w:rFonts w:ascii="Times New Roman"/>
          <w:sz w:val="20"/>
        </w:rPr>
        <w:pict>
          <v:group style="width:53.15pt;height:45.2pt;mso-position-horizontal-relative:char;mso-position-vertical-relative:line" coordorigin="0,0" coordsize="1063,904">
            <v:shape style="position:absolute;left:160;top:0;width:900;height:904" coordorigin="161,0" coordsize="900,904" path="m611,0l161,450,161,453,611,903,1061,453,1061,450,611,0xe" filled="true" fillcolor="#c4cd71" stroked="false">
              <v:path arrowok="t"/>
              <v:fill type="solid"/>
            </v:shape>
            <v:shape style="position:absolute;left:159;top:449;width:2;height:4" coordorigin="159,450" coordsize="2,4" path="m161,450l159,452,161,453,161,450xe" filled="true" fillcolor="#b9c369" stroked="false">
              <v:path arrowok="t"/>
              <v:fill type="solid"/>
            </v:shape>
            <v:shape style="position:absolute;left:1060;top:450;width:2;height:4" coordorigin="1061,450" coordsize="2,4" path="m1061,450l1061,453,1062,452,1061,450xe" filled="true" fillcolor="#bec29e" stroked="false">
              <v:path arrowok="t"/>
              <v:fill type="solid"/>
            </v:shape>
            <v:shape style="position:absolute;left:0;top:290;width:161;height:322" coordorigin="0,291" coordsize="161,322" path="m161,291l0,452,161,612,161,453,159,452,161,450,161,291xe" filled="true" fillcolor="#acacad" stroked="false">
              <v:path arrowok="t"/>
              <v:fill type="solid"/>
            </v:shape>
            <v:shape style="position:absolute;left:0;top:0;width:1063;height:904" type="#_x0000_t202" filled="false" stroked="false">
              <v:textbox inset="0,0,0,0">
                <w:txbxContent>
                  <w:p>
                    <w:pPr>
                      <w:spacing w:line="240" w:lineRule="auto" w:before="8"/>
                      <w:rPr>
                        <w:rFonts w:ascii="Times New Roman"/>
                        <w:sz w:val="25"/>
                      </w:rPr>
                    </w:pPr>
                  </w:p>
                  <w:p>
                    <w:pPr>
                      <w:spacing w:line="208" w:lineRule="auto" w:before="0"/>
                      <w:ind w:left="458" w:right="147" w:hanging="137"/>
                      <w:jc w:val="left"/>
                      <w:rPr>
                        <w:sz w:val="16"/>
                      </w:rPr>
                    </w:pPr>
                    <w:r>
                      <w:rPr>
                        <w:color w:val="FFFFFF"/>
                        <w:w w:val="95"/>
                        <w:sz w:val="16"/>
                      </w:rPr>
                      <w:t>previous </w:t>
                    </w:r>
                    <w:r>
                      <w:rPr>
                        <w:color w:val="FFFFFF"/>
                        <w:sz w:val="16"/>
                      </w:rPr>
                      <w:t>view</w:t>
                    </w:r>
                  </w:p>
                </w:txbxContent>
              </v:textbox>
              <w10:wrap type="none"/>
            </v:shape>
          </v:group>
        </w:pict>
      </w:r>
      <w:r>
        <w:rPr>
          <w:rFonts w:ascii="Times New Roman"/>
          <w:sz w:val="20"/>
        </w:rPr>
      </w:r>
    </w:p>
    <w:sectPr>
      <w:footerReference w:type="default" r:id="rId417"/>
      <w:pgSz w:w="16840" w:h="11910" w:orient="landscape"/>
      <w:pgMar w:footer="0" w:header="0"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2">
    <w:altName w:val="Wingdings 2"/>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2608"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8.177429pt;margin-top:561.857178pt;width:6.45pt;height:11.55pt;mso-position-horizontal-relative:page;mso-position-vertical-relative:page;z-index:-812584" type="#_x0000_t202" filled="false" stroked="false">
          <v:textbox inset="0,0,0,0">
            <w:txbxContent>
              <w:p>
                <w:pPr>
                  <w:spacing w:before="26"/>
                  <w:ind w:left="20" w:right="0" w:firstLine="0"/>
                  <w:jc w:val="left"/>
                  <w:rPr>
                    <w:b/>
                    <w:sz w:val="16"/>
                  </w:rPr>
                </w:pPr>
                <w:r>
                  <w:rPr>
                    <w:b/>
                    <w:color w:val="6F2770"/>
                    <w:w w:val="99"/>
                    <w:sz w:val="16"/>
                  </w:rPr>
                  <w:t>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2416"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2392" type="#_x0000_t202" filled="false" stroked="false">
          <v:textbox inset="0,0,0,0">
            <w:txbxContent>
              <w:p>
                <w:pPr>
                  <w:spacing w:before="26"/>
                  <w:ind w:left="20" w:right="0" w:firstLine="0"/>
                  <w:jc w:val="left"/>
                  <w:rPr>
                    <w:b/>
                    <w:sz w:val="16"/>
                  </w:rPr>
                </w:pPr>
                <w:r>
                  <w:rPr>
                    <w:b/>
                    <w:color w:val="6F2770"/>
                    <w:sz w:val="16"/>
                  </w:rPr>
                  <w:t>11</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6201pt;margin-top:561.857178pt;width:767.4pt;height:11.55pt;mso-position-horizontal-relative:page;mso-position-vertical-relative:page;z-index:-809008" type="#_x0000_t202" filled="false" stroked="false">
          <v:textbox inset="0,0,0,0">
            <w:txbxContent>
              <w:p>
                <w:pPr>
                  <w:tabs>
                    <w:tab w:pos="3926" w:val="left" w:leader="none"/>
                    <w:tab w:pos="15327" w:val="left" w:leader="none"/>
                  </w:tabs>
                  <w:spacing w:before="26"/>
                  <w:ind w:left="20" w:right="0" w:firstLine="0"/>
                  <w:jc w:val="left"/>
                  <w:rPr>
                    <w:sz w:val="16"/>
                  </w:rPr>
                </w:pPr>
                <w:r>
                  <w:rPr>
                    <w:b/>
                    <w:color w:val="6F2770"/>
                    <w:sz w:val="16"/>
                  </w:rPr>
                  <w:t>116   </w:t>
                </w:r>
                <w:r>
                  <w:rPr>
                    <w:color w:val="939598"/>
                    <w:sz w:val="16"/>
                  </w:rPr>
                  <w:t>Department of Finance Annual Report</w:t>
                </w:r>
                <w:r>
                  <w:rPr>
                    <w:color w:val="939598"/>
                    <w:spacing w:val="-29"/>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767.4pt;height:11.55pt;mso-position-horizontal-relative:page;mso-position-vertical-relative:page;z-index:-808984" type="#_x0000_t202" filled="false" stroked="false">
          <v:textbox inset="0,0,0,0">
            <w:txbxContent>
              <w:p>
                <w:pPr>
                  <w:tabs>
                    <w:tab w:pos="11420" w:val="left" w:leader="none"/>
                    <w:tab w:pos="11628" w:val="left" w:leader="none"/>
                  </w:tabs>
                  <w:spacing w:before="26"/>
                  <w:ind w:left="20" w:right="0" w:firstLine="0"/>
                  <w:jc w:val="left"/>
                  <w:rPr>
                    <w:b/>
                    <w:sz w:val="16"/>
                  </w:rPr>
                </w:pPr>
                <w:r>
                  <w:rPr>
                    <w:color w:val="939598"/>
                    <w:w w:val="100"/>
                    <w:sz w:val="16"/>
                    <w:u w:val="single" w:color="939598"/>
                  </w:rPr>
                  <w:t> </w:t>
                </w:r>
                <w:r>
                  <w:rPr>
                    <w:color w:val="939598"/>
                    <w:sz w:val="16"/>
                    <w:u w:val="single" w:color="939598"/>
                  </w:rPr>
                  <w:tab/>
                </w:r>
                <w:r>
                  <w:rPr>
                    <w:color w:val="939598"/>
                    <w:sz w:val="16"/>
                  </w:rPr>
                  <w:tab/>
                  <w:t>Department of Finance Annual Report 2016-17</w:t>
                </w:r>
                <w:r>
                  <w:rPr>
                    <w:color w:val="939598"/>
                    <w:spacing w:val="20"/>
                    <w:sz w:val="16"/>
                  </w:rPr>
                  <w:t> </w:t>
                </w:r>
                <w:r>
                  <w:rPr>
                    <w:b/>
                    <w:color w:val="6F2770"/>
                    <w:sz w:val="16"/>
                  </w:rPr>
                  <w:t>117</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2368"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7722pt;margin-top:561.860718pt;width:10.9pt;height:11.55pt;mso-position-horizontal-relative:page;mso-position-vertical-relative:page;z-index:-812344" type="#_x0000_t202" filled="false" stroked="false">
          <v:textbox inset="0,0,0,0">
            <w:txbxContent>
              <w:p>
                <w:pPr>
                  <w:spacing w:before="26"/>
                  <w:ind w:left="20" w:right="0" w:firstLine="0"/>
                  <w:jc w:val="left"/>
                  <w:rPr>
                    <w:b/>
                    <w:sz w:val="16"/>
                  </w:rPr>
                </w:pPr>
                <w:r>
                  <w:rPr>
                    <w:b/>
                    <w:color w:val="6F2770"/>
                    <w:sz w:val="16"/>
                  </w:rPr>
                  <w:t>13</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2320"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2296" type="#_x0000_t202" filled="false" stroked="false">
          <v:textbox inset="0,0,0,0">
            <w:txbxContent>
              <w:p>
                <w:pPr>
                  <w:spacing w:before="26"/>
                  <w:ind w:left="20" w:right="0" w:firstLine="0"/>
                  <w:jc w:val="left"/>
                  <w:rPr>
                    <w:b/>
                    <w:sz w:val="16"/>
                  </w:rPr>
                </w:pPr>
                <w:r>
                  <w:rPr>
                    <w:b/>
                    <w:color w:val="6F2770"/>
                    <w:sz w:val="16"/>
                  </w:rPr>
                  <w:t>15</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2272"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2248" type="#_x0000_t202" filled="false" stroked="false">
          <v:textbox inset="0,0,0,0">
            <w:txbxContent>
              <w:p>
                <w:pPr>
                  <w:spacing w:before="26"/>
                  <w:ind w:left="20" w:right="0" w:firstLine="0"/>
                  <w:jc w:val="left"/>
                  <w:rPr>
                    <w:b/>
                    <w:sz w:val="16"/>
                  </w:rPr>
                </w:pPr>
                <w:r>
                  <w:rPr>
                    <w:b/>
                    <w:color w:val="6F2770"/>
                    <w:sz w:val="16"/>
                  </w:rPr>
                  <w:t>17</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2224" type="#_x0000_t202" filled="false" stroked="false">
          <v:textbox inset="0,0,0,0">
            <w:txbxContent>
              <w:p>
                <w:pPr>
                  <w:spacing w:before="26"/>
                  <w:ind w:left="20" w:right="0" w:firstLine="0"/>
                  <w:jc w:val="left"/>
                  <w:rPr>
                    <w:b/>
                    <w:sz w:val="16"/>
                  </w:rPr>
                </w:pPr>
                <w:r>
                  <w:rPr>
                    <w:b/>
                    <w:color w:val="6F2770"/>
                    <w:sz w:val="16"/>
                  </w:rPr>
                  <w:t>18</w:t>
                </w:r>
              </w:p>
            </w:txbxContent>
          </v:textbox>
          <w10:wrap type="none"/>
        </v:shape>
      </w:pict>
    </w:r>
    <w:r>
      <w:rPr/>
      <w:pict>
        <v:shape style="position:absolute;margin-left:60.362202pt;margin-top:561.921204pt;width:744.3pt;height:11.45pt;mso-position-horizontal-relative:page;mso-position-vertical-relative:page;z-index:-812200"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2176" type="#_x0000_t202" filled="false" stroked="false">
          <v:textbox inset="0,0,0,0">
            <w:txbxContent>
              <w:p>
                <w:pPr>
                  <w:spacing w:before="26"/>
                  <w:ind w:left="20" w:right="0" w:firstLine="0"/>
                  <w:jc w:val="left"/>
                  <w:rPr>
                    <w:b/>
                    <w:sz w:val="16"/>
                  </w:rPr>
                </w:pPr>
                <w:r>
                  <w:rPr>
                    <w:b/>
                    <w:color w:val="6F2770"/>
                    <w:sz w:val="16"/>
                  </w:rPr>
                  <w:t>26</w:t>
                </w:r>
              </w:p>
            </w:txbxContent>
          </v:textbox>
          <w10:wrap type="none"/>
        </v:shape>
      </w:pict>
    </w:r>
    <w:r>
      <w:rPr/>
      <w:pict>
        <v:shape style="position:absolute;margin-left:60.363701pt;margin-top:561.921204pt;width:744.3pt;height:11.45pt;mso-position-horizontal-relative:page;mso-position-vertical-relative:page;z-index:-812152"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2128"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2104" type="#_x0000_t202" filled="false" stroked="false">
          <v:textbox inset="0,0,0,0">
            <w:txbxContent>
              <w:p>
                <w:pPr>
                  <w:spacing w:before="26"/>
                  <w:ind w:left="20" w:right="0" w:firstLine="0"/>
                  <w:jc w:val="left"/>
                  <w:rPr>
                    <w:b/>
                    <w:sz w:val="16"/>
                  </w:rPr>
                </w:pPr>
                <w:r>
                  <w:rPr>
                    <w:b/>
                    <w:color w:val="6F2770"/>
                    <w:sz w:val="16"/>
                  </w:rPr>
                  <w:t>27</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2080" type="#_x0000_t202" filled="false" stroked="false">
          <v:textbox inset="0,0,0,0">
            <w:txbxContent>
              <w:p>
                <w:pPr>
                  <w:spacing w:before="26"/>
                  <w:ind w:left="20" w:right="0" w:firstLine="0"/>
                  <w:jc w:val="left"/>
                  <w:rPr>
                    <w:b/>
                    <w:sz w:val="16"/>
                  </w:rPr>
                </w:pPr>
                <w:r>
                  <w:rPr>
                    <w:b/>
                    <w:color w:val="6F2770"/>
                    <w:sz w:val="16"/>
                  </w:rPr>
                  <w:t>28</w:t>
                </w:r>
              </w:p>
            </w:txbxContent>
          </v:textbox>
          <w10:wrap type="none"/>
        </v:shape>
      </w:pict>
    </w:r>
    <w:r>
      <w:rPr/>
      <w:pict>
        <v:shape style="position:absolute;margin-left:60.363701pt;margin-top:561.921204pt;width:744.3pt;height:11.45pt;mso-position-horizontal-relative:page;mso-position-vertical-relative:page;z-index:-812056"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2032"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2008" type="#_x0000_t202" filled="false" stroked="false">
          <v:textbox inset="0,0,0,0">
            <w:txbxContent>
              <w:p>
                <w:pPr>
                  <w:spacing w:before="26"/>
                  <w:ind w:left="20" w:right="0" w:firstLine="0"/>
                  <w:jc w:val="left"/>
                  <w:rPr>
                    <w:b/>
                    <w:sz w:val="16"/>
                  </w:rPr>
                </w:pPr>
                <w:r>
                  <w:rPr>
                    <w:b/>
                    <w:color w:val="6F2770"/>
                    <w:sz w:val="16"/>
                  </w:rPr>
                  <w:t>29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2560"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8.174011pt;margin-top:561.857178pt;width:6.45pt;height:11.55pt;mso-position-horizontal-relative:page;mso-position-vertical-relative:page;z-index:-812536" type="#_x0000_t202" filled="false" stroked="false">
          <v:textbox inset="0,0,0,0">
            <w:txbxContent>
              <w:p>
                <w:pPr>
                  <w:spacing w:before="26"/>
                  <w:ind w:left="20" w:right="0" w:firstLine="0"/>
                  <w:jc w:val="left"/>
                  <w:rPr>
                    <w:b/>
                    <w:sz w:val="16"/>
                  </w:rPr>
                </w:pPr>
                <w:r>
                  <w:rPr>
                    <w:b/>
                    <w:color w:val="6F2770"/>
                    <w:w w:val="99"/>
                    <w:sz w:val="16"/>
                  </w:rPr>
                  <w:t>3</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1984"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1960" type="#_x0000_t202" filled="false" stroked="false">
          <v:textbox inset="0,0,0,0">
            <w:txbxContent>
              <w:p>
                <w:pPr>
                  <w:spacing w:before="26"/>
                  <w:ind w:left="20" w:right="0" w:firstLine="0"/>
                  <w:jc w:val="left"/>
                  <w:rPr>
                    <w:b/>
                    <w:sz w:val="16"/>
                  </w:rPr>
                </w:pPr>
                <w:r>
                  <w:rPr>
                    <w:b/>
                    <w:color w:val="6F2770"/>
                    <w:sz w:val="16"/>
                  </w:rPr>
                  <w:t>31</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1936" type="#_x0000_t202" filled="false" stroked="false">
          <v:textbox inset="0,0,0,0">
            <w:txbxContent>
              <w:p>
                <w:pPr>
                  <w:spacing w:before="26"/>
                  <w:ind w:left="20" w:right="0" w:firstLine="0"/>
                  <w:jc w:val="left"/>
                  <w:rPr>
                    <w:b/>
                    <w:sz w:val="16"/>
                  </w:rPr>
                </w:pPr>
                <w:r>
                  <w:rPr>
                    <w:b/>
                    <w:color w:val="6F2770"/>
                    <w:sz w:val="16"/>
                  </w:rPr>
                  <w:t>32</w:t>
                </w:r>
              </w:p>
            </w:txbxContent>
          </v:textbox>
          <w10:wrap type="none"/>
        </v:shape>
      </w:pict>
    </w:r>
    <w:r>
      <w:rPr/>
      <w:pict>
        <v:shape style="position:absolute;margin-left:60.363701pt;margin-top:561.921204pt;width:744.3pt;height:11.45pt;mso-position-horizontal-relative:page;mso-position-vertical-relative:page;z-index:-811912"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1888"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1864" type="#_x0000_t202" filled="false" stroked="false">
          <v:textbox inset="0,0,0,0">
            <w:txbxContent>
              <w:p>
                <w:pPr>
                  <w:spacing w:before="26"/>
                  <w:ind w:left="20" w:right="0" w:firstLine="0"/>
                  <w:jc w:val="left"/>
                  <w:rPr>
                    <w:b/>
                    <w:sz w:val="16"/>
                  </w:rPr>
                </w:pPr>
                <w:r>
                  <w:rPr>
                    <w:b/>
                    <w:color w:val="6F2770"/>
                    <w:sz w:val="16"/>
                  </w:rPr>
                  <w:t>33</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1840" type="#_x0000_t202" filled="false" stroked="false">
          <v:textbox inset="0,0,0,0">
            <w:txbxContent>
              <w:p>
                <w:pPr>
                  <w:spacing w:before="26"/>
                  <w:ind w:left="20" w:right="0" w:firstLine="0"/>
                  <w:jc w:val="left"/>
                  <w:rPr>
                    <w:b/>
                    <w:sz w:val="16"/>
                  </w:rPr>
                </w:pPr>
                <w:r>
                  <w:rPr>
                    <w:b/>
                    <w:color w:val="6F2770"/>
                    <w:sz w:val="16"/>
                  </w:rPr>
                  <w:t>34</w:t>
                </w:r>
              </w:p>
            </w:txbxContent>
          </v:textbox>
          <w10:wrap type="none"/>
        </v:shape>
      </w:pict>
    </w:r>
    <w:r>
      <w:rPr/>
      <w:pict>
        <v:shape style="position:absolute;margin-left:60.363701pt;margin-top:561.921204pt;width:744.3pt;height:11.45pt;mso-position-horizontal-relative:page;mso-position-vertical-relative:page;z-index:-811816"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1792"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1768" type="#_x0000_t202" filled="false" stroked="false">
          <v:textbox inset="0,0,0,0">
            <w:txbxContent>
              <w:p>
                <w:pPr>
                  <w:spacing w:before="26"/>
                  <w:ind w:left="20" w:right="0" w:firstLine="0"/>
                  <w:jc w:val="left"/>
                  <w:rPr>
                    <w:b/>
                    <w:sz w:val="16"/>
                  </w:rPr>
                </w:pPr>
                <w:r>
                  <w:rPr>
                    <w:b/>
                    <w:color w:val="6F2770"/>
                    <w:sz w:val="16"/>
                  </w:rPr>
                  <w:t>35</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1744"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1720" type="#_x0000_t202" filled="false" stroked="false">
          <v:textbox inset="0,0,0,0">
            <w:txbxContent>
              <w:p>
                <w:pPr>
                  <w:spacing w:before="26"/>
                  <w:ind w:left="20" w:right="0" w:firstLine="0"/>
                  <w:jc w:val="left"/>
                  <w:rPr>
                    <w:b/>
                    <w:sz w:val="16"/>
                  </w:rPr>
                </w:pPr>
                <w:r>
                  <w:rPr>
                    <w:b/>
                    <w:color w:val="6F2770"/>
                    <w:sz w:val="16"/>
                  </w:rPr>
                  <w:t>37</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1696" type="#_x0000_t202" filled="false" stroked="false">
          <v:textbox inset="0,0,0,0">
            <w:txbxContent>
              <w:p>
                <w:pPr>
                  <w:spacing w:before="26"/>
                  <w:ind w:left="20" w:right="0" w:firstLine="0"/>
                  <w:jc w:val="left"/>
                  <w:rPr>
                    <w:b/>
                    <w:sz w:val="16"/>
                  </w:rPr>
                </w:pPr>
                <w:r>
                  <w:rPr>
                    <w:b/>
                    <w:color w:val="6F2770"/>
                    <w:sz w:val="16"/>
                  </w:rPr>
                  <w:t>38</w:t>
                </w:r>
              </w:p>
            </w:txbxContent>
          </v:textbox>
          <w10:wrap type="none"/>
        </v:shape>
      </w:pict>
    </w:r>
    <w:r>
      <w:rPr/>
      <w:pict>
        <v:shape style="position:absolute;margin-left:60.363701pt;margin-top:561.921204pt;width:744.3pt;height:11.45pt;mso-position-horizontal-relative:page;mso-position-vertical-relative:page;z-index:-811672"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1648"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1624" type="#_x0000_t202" filled="false" stroked="false">
          <v:textbox inset="0,0,0,0">
            <w:txbxContent>
              <w:p>
                <w:pPr>
                  <w:spacing w:before="26"/>
                  <w:ind w:left="20" w:right="0" w:firstLine="0"/>
                  <w:jc w:val="left"/>
                  <w:rPr>
                    <w:b/>
                    <w:sz w:val="16"/>
                  </w:rPr>
                </w:pPr>
                <w:r>
                  <w:rPr>
                    <w:b/>
                    <w:color w:val="6F2770"/>
                    <w:sz w:val="16"/>
                  </w:rPr>
                  <w:t>39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6.45pt;height:11.55pt;mso-position-horizontal-relative:page;mso-position-vertical-relative:page;z-index:-812512" type="#_x0000_t202" filled="false" stroked="false">
          <v:textbox inset="0,0,0,0">
            <w:txbxContent>
              <w:p>
                <w:pPr>
                  <w:spacing w:before="26"/>
                  <w:ind w:left="20" w:right="0" w:firstLine="0"/>
                  <w:jc w:val="left"/>
                  <w:rPr>
                    <w:b/>
                    <w:sz w:val="16"/>
                  </w:rPr>
                </w:pPr>
                <w:r>
                  <w:rPr>
                    <w:b/>
                    <w:color w:val="6F2770"/>
                    <w:w w:val="99"/>
                    <w:sz w:val="16"/>
                  </w:rPr>
                  <w:t>4</w:t>
                </w:r>
              </w:p>
            </w:txbxContent>
          </v:textbox>
          <w10:wrap type="none"/>
        </v:shape>
      </w:pict>
    </w:r>
    <w:r>
      <w:rPr/>
      <w:pict>
        <v:shape style="position:absolute;margin-left:60.363701pt;margin-top:561.921204pt;width:744.3pt;height:11.45pt;mso-position-horizontal-relative:page;mso-position-vertical-relative:page;z-index:-812488"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1600"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1576" type="#_x0000_t202" filled="false" stroked="false">
          <v:textbox inset="0,0,0,0">
            <w:txbxContent>
              <w:p>
                <w:pPr>
                  <w:spacing w:before="26"/>
                  <w:ind w:left="20" w:right="0" w:firstLine="0"/>
                  <w:jc w:val="left"/>
                  <w:rPr>
                    <w:b/>
                    <w:sz w:val="16"/>
                  </w:rPr>
                </w:pPr>
                <w:r>
                  <w:rPr>
                    <w:b/>
                    <w:color w:val="6F2770"/>
                    <w:sz w:val="16"/>
                  </w:rPr>
                  <w:t>43</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1552" type="#_x0000_t202" filled="false" stroked="false">
          <v:textbox inset="0,0,0,0">
            <w:txbxContent>
              <w:p>
                <w:pPr>
                  <w:spacing w:before="26"/>
                  <w:ind w:left="20" w:right="0" w:firstLine="0"/>
                  <w:jc w:val="left"/>
                  <w:rPr>
                    <w:b/>
                    <w:sz w:val="16"/>
                  </w:rPr>
                </w:pPr>
                <w:r>
                  <w:rPr>
                    <w:b/>
                    <w:color w:val="6F2770"/>
                    <w:sz w:val="16"/>
                  </w:rPr>
                  <w:t>44</w:t>
                </w:r>
              </w:p>
            </w:txbxContent>
          </v:textbox>
          <w10:wrap type="none"/>
        </v:shape>
      </w:pict>
    </w:r>
    <w:r>
      <w:rPr/>
      <w:pict>
        <v:shape style="position:absolute;margin-left:60.363701pt;margin-top:561.921204pt;width:744.3pt;height:11.45pt;mso-position-horizontal-relative:page;mso-position-vertical-relative:page;z-index:-811528"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1504"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1480" type="#_x0000_t202" filled="false" stroked="false">
          <v:textbox inset="0,0,0,0">
            <w:txbxContent>
              <w:p>
                <w:pPr>
                  <w:spacing w:before="26"/>
                  <w:ind w:left="20" w:right="0" w:firstLine="0"/>
                  <w:jc w:val="left"/>
                  <w:rPr>
                    <w:b/>
                    <w:sz w:val="16"/>
                  </w:rPr>
                </w:pPr>
                <w:r>
                  <w:rPr>
                    <w:b/>
                    <w:color w:val="6F2770"/>
                    <w:sz w:val="16"/>
                  </w:rPr>
                  <w:t>45</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1456" type="#_x0000_t202" filled="false" stroked="false">
          <v:textbox inset="0,0,0,0">
            <w:txbxContent>
              <w:p>
                <w:pPr>
                  <w:spacing w:before="26"/>
                  <w:ind w:left="20" w:right="0" w:firstLine="0"/>
                  <w:jc w:val="left"/>
                  <w:rPr>
                    <w:b/>
                    <w:sz w:val="16"/>
                  </w:rPr>
                </w:pPr>
                <w:r>
                  <w:rPr>
                    <w:b/>
                    <w:color w:val="6F2770"/>
                    <w:sz w:val="16"/>
                  </w:rPr>
                  <w:t>46</w:t>
                </w:r>
              </w:p>
            </w:txbxContent>
          </v:textbox>
          <w10:wrap type="none"/>
        </v:shape>
      </w:pict>
    </w:r>
    <w:r>
      <w:rPr/>
      <w:pict>
        <v:shape style="position:absolute;margin-left:60.363701pt;margin-top:561.921204pt;width:744.3pt;height:11.45pt;mso-position-horizontal-relative:page;mso-position-vertical-relative:page;z-index:-811432"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1408"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1384" type="#_x0000_t202" filled="false" stroked="false">
          <v:textbox inset="0,0,0,0">
            <w:txbxContent>
              <w:p>
                <w:pPr>
                  <w:spacing w:before="26"/>
                  <w:ind w:left="20" w:right="0" w:firstLine="0"/>
                  <w:jc w:val="left"/>
                  <w:rPr>
                    <w:b/>
                    <w:sz w:val="16"/>
                  </w:rPr>
                </w:pPr>
                <w:r>
                  <w:rPr>
                    <w:b/>
                    <w:color w:val="6F2770"/>
                    <w:sz w:val="16"/>
                  </w:rPr>
                  <w:t>47</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1360" type="#_x0000_t202" filled="false" stroked="false">
          <v:textbox inset="0,0,0,0">
            <w:txbxContent>
              <w:p>
                <w:pPr>
                  <w:spacing w:before="26"/>
                  <w:ind w:left="20" w:right="0" w:firstLine="0"/>
                  <w:jc w:val="left"/>
                  <w:rPr>
                    <w:b/>
                    <w:sz w:val="16"/>
                  </w:rPr>
                </w:pPr>
                <w:r>
                  <w:rPr>
                    <w:b/>
                    <w:color w:val="6F2770"/>
                    <w:sz w:val="16"/>
                  </w:rPr>
                  <w:t>48</w:t>
                </w:r>
              </w:p>
            </w:txbxContent>
          </v:textbox>
          <w10:wrap type="none"/>
        </v:shape>
      </w:pict>
    </w:r>
    <w:r>
      <w:rPr/>
      <w:pict>
        <v:shape style="position:absolute;margin-left:60.363701pt;margin-top:561.921204pt;width:744.3pt;height:11.45pt;mso-position-horizontal-relative:page;mso-position-vertical-relative:page;z-index:-811336"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1312"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1288" type="#_x0000_t202" filled="false" stroked="false">
          <v:textbox inset="0,0,0,0">
            <w:txbxContent>
              <w:p>
                <w:pPr>
                  <w:spacing w:before="26"/>
                  <w:ind w:left="20" w:right="0" w:firstLine="0"/>
                  <w:jc w:val="left"/>
                  <w:rPr>
                    <w:b/>
                    <w:sz w:val="16"/>
                  </w:rPr>
                </w:pPr>
                <w:r>
                  <w:rPr>
                    <w:b/>
                    <w:color w:val="6F2770"/>
                    <w:sz w:val="16"/>
                  </w:rPr>
                  <w:t>49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1264" type="#_x0000_t202" filled="false" stroked="false">
          <v:textbox inset="0,0,0,0">
            <w:txbxContent>
              <w:p>
                <w:pPr>
                  <w:spacing w:before="26"/>
                  <w:ind w:left="20" w:right="0" w:firstLine="0"/>
                  <w:jc w:val="left"/>
                  <w:rPr>
                    <w:b/>
                    <w:sz w:val="16"/>
                  </w:rPr>
                </w:pPr>
                <w:r>
                  <w:rPr>
                    <w:b/>
                    <w:color w:val="6F2770"/>
                    <w:sz w:val="16"/>
                  </w:rPr>
                  <w:t>50</w:t>
                </w:r>
              </w:p>
            </w:txbxContent>
          </v:textbox>
          <w10:wrap type="none"/>
        </v:shape>
      </w:pict>
    </w:r>
    <w:r>
      <w:rPr/>
      <w:pict>
        <v:shape style="position:absolute;margin-left:60.363701pt;margin-top:561.921204pt;width:744.3pt;height:11.45pt;mso-position-horizontal-relative:page;mso-position-vertical-relative:page;z-index:-811240"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1216"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1192" type="#_x0000_t202" filled="false" stroked="false">
          <v:textbox inset="0,0,0,0">
            <w:txbxContent>
              <w:p>
                <w:pPr>
                  <w:spacing w:before="26"/>
                  <w:ind w:left="20" w:right="0" w:firstLine="0"/>
                  <w:jc w:val="left"/>
                  <w:rPr>
                    <w:b/>
                    <w:sz w:val="16"/>
                  </w:rPr>
                </w:pPr>
                <w:r>
                  <w:rPr>
                    <w:b/>
                    <w:color w:val="6F2770"/>
                    <w:sz w:val="16"/>
                  </w:rPr>
                  <w:t>51</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1168" type="#_x0000_t202" filled="false" stroked="false">
          <v:textbox inset="0,0,0,0">
            <w:txbxContent>
              <w:p>
                <w:pPr>
                  <w:spacing w:before="26"/>
                  <w:ind w:left="20" w:right="0" w:firstLine="0"/>
                  <w:jc w:val="left"/>
                  <w:rPr>
                    <w:b/>
                    <w:sz w:val="16"/>
                  </w:rPr>
                </w:pPr>
                <w:r>
                  <w:rPr>
                    <w:b/>
                    <w:color w:val="6F2770"/>
                    <w:sz w:val="16"/>
                  </w:rPr>
                  <w:t>52</w:t>
                </w:r>
              </w:p>
            </w:txbxContent>
          </v:textbox>
          <w10:wrap type="none"/>
        </v:shape>
      </w:pict>
    </w:r>
    <w:r>
      <w:rPr/>
      <w:pict>
        <v:shape style="position:absolute;margin-left:60.363701pt;margin-top:561.921204pt;width:744.3pt;height:11.45pt;mso-position-horizontal-relative:page;mso-position-vertical-relative:page;z-index:-811144"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1120"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1096" type="#_x0000_t202" filled="false" stroked="false">
          <v:textbox inset="0,0,0,0">
            <w:txbxContent>
              <w:p>
                <w:pPr>
                  <w:spacing w:before="26"/>
                  <w:ind w:left="20" w:right="0" w:firstLine="0"/>
                  <w:jc w:val="left"/>
                  <w:rPr>
                    <w:b/>
                    <w:sz w:val="16"/>
                  </w:rPr>
                </w:pPr>
                <w:r>
                  <w:rPr>
                    <w:b/>
                    <w:color w:val="6F2770"/>
                    <w:sz w:val="16"/>
                  </w:rPr>
                  <w:t>53</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1072" type="#_x0000_t202" filled="false" stroked="false">
          <v:textbox inset="0,0,0,0">
            <w:txbxContent>
              <w:p>
                <w:pPr>
                  <w:spacing w:before="26"/>
                  <w:ind w:left="20" w:right="0" w:firstLine="0"/>
                  <w:jc w:val="left"/>
                  <w:rPr>
                    <w:b/>
                    <w:sz w:val="16"/>
                  </w:rPr>
                </w:pPr>
                <w:r>
                  <w:rPr>
                    <w:b/>
                    <w:color w:val="6F2770"/>
                    <w:sz w:val="16"/>
                  </w:rPr>
                  <w:t>54</w:t>
                </w:r>
              </w:p>
            </w:txbxContent>
          </v:textbox>
          <w10:wrap type="none"/>
        </v:shape>
      </w:pict>
    </w:r>
    <w:r>
      <w:rPr/>
      <w:pict>
        <v:shape style="position:absolute;margin-left:60.363701pt;margin-top:561.921204pt;width:744.3pt;height:11.45pt;mso-position-horizontal-relative:page;mso-position-vertical-relative:page;z-index:-811048"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1024"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1000" type="#_x0000_t202" filled="false" stroked="false">
          <v:textbox inset="0,0,0,0">
            <w:txbxContent>
              <w:p>
                <w:pPr>
                  <w:spacing w:before="26"/>
                  <w:ind w:left="20" w:right="0" w:firstLine="0"/>
                  <w:jc w:val="left"/>
                  <w:rPr>
                    <w:b/>
                    <w:sz w:val="16"/>
                  </w:rPr>
                </w:pPr>
                <w:r>
                  <w:rPr>
                    <w:b/>
                    <w:color w:val="6F2770"/>
                    <w:sz w:val="16"/>
                  </w:rPr>
                  <w:t>55</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0976" type="#_x0000_t202" filled="false" stroked="false">
          <v:textbox inset="0,0,0,0">
            <w:txbxContent>
              <w:p>
                <w:pPr>
                  <w:spacing w:before="26"/>
                  <w:ind w:left="20" w:right="0" w:firstLine="0"/>
                  <w:jc w:val="left"/>
                  <w:rPr>
                    <w:b/>
                    <w:sz w:val="16"/>
                  </w:rPr>
                </w:pPr>
                <w:r>
                  <w:rPr>
                    <w:b/>
                    <w:color w:val="6F2770"/>
                    <w:sz w:val="16"/>
                  </w:rPr>
                  <w:t>56</w:t>
                </w:r>
              </w:p>
            </w:txbxContent>
          </v:textbox>
          <w10:wrap type="none"/>
        </v:shape>
      </w:pict>
    </w:r>
    <w:r>
      <w:rPr/>
      <w:pict>
        <v:shape style="position:absolute;margin-left:60.363701pt;margin-top:561.921204pt;width:744.3pt;height:11.45pt;mso-position-horizontal-relative:page;mso-position-vertical-relative:page;z-index:-810952"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0928" type="#_x0000_t202" filled="false" stroked="false">
          <v:textbox inset="0,0,0,0">
            <w:txbxContent>
              <w:p>
                <w:pPr>
                  <w:spacing w:before="26"/>
                  <w:ind w:left="20" w:right="0" w:firstLine="0"/>
                  <w:jc w:val="left"/>
                  <w:rPr>
                    <w:b/>
                    <w:sz w:val="16"/>
                  </w:rPr>
                </w:pPr>
                <w:r>
                  <w:rPr>
                    <w:b/>
                    <w:color w:val="6F2770"/>
                    <w:sz w:val="16"/>
                  </w:rPr>
                  <w:t>58</w:t>
                </w:r>
              </w:p>
            </w:txbxContent>
          </v:textbox>
          <w10:wrap type="none"/>
        </v:shape>
      </w:pict>
    </w:r>
    <w:r>
      <w:rPr/>
      <w:pict>
        <v:shape style="position:absolute;margin-left:60.363701pt;margin-top:561.921204pt;width:744.3pt;height:11.45pt;mso-position-horizontal-relative:page;mso-position-vertical-relative:page;z-index:-810904"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0880"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0856" type="#_x0000_t202" filled="false" stroked="false">
          <v:textbox inset="0,0,0,0">
            <w:txbxContent>
              <w:p>
                <w:pPr>
                  <w:spacing w:before="26"/>
                  <w:ind w:left="20" w:right="0" w:firstLine="0"/>
                  <w:jc w:val="left"/>
                  <w:rPr>
                    <w:b/>
                    <w:sz w:val="16"/>
                  </w:rPr>
                </w:pPr>
                <w:r>
                  <w:rPr>
                    <w:b/>
                    <w:color w:val="6F2770"/>
                    <w:sz w:val="16"/>
                  </w:rPr>
                  <w:t>59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6.45pt;height:11.55pt;mso-position-horizontal-relative:page;mso-position-vertical-relative:page;z-index:-812464" type="#_x0000_t202" filled="false" stroked="false">
          <v:textbox inset="0,0,0,0">
            <w:txbxContent>
              <w:p>
                <w:pPr>
                  <w:spacing w:before="26"/>
                  <w:ind w:left="20" w:right="0" w:firstLine="0"/>
                  <w:jc w:val="left"/>
                  <w:rPr>
                    <w:b/>
                    <w:sz w:val="16"/>
                  </w:rPr>
                </w:pPr>
                <w:r>
                  <w:rPr>
                    <w:b/>
                    <w:color w:val="6F2770"/>
                    <w:w w:val="99"/>
                    <w:sz w:val="16"/>
                  </w:rPr>
                  <w:t>6</w:t>
                </w:r>
              </w:p>
            </w:txbxContent>
          </v:textbox>
          <w10:wrap type="none"/>
        </v:shape>
      </w:pict>
    </w:r>
    <w:r>
      <w:rPr/>
      <w:pict>
        <v:shape style="position:absolute;margin-left:60.362202pt;margin-top:561.921204pt;width:744.3pt;height:11.45pt;mso-position-horizontal-relative:page;mso-position-vertical-relative:page;z-index:-812440"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0832" type="#_x0000_t202" filled="false" stroked="false">
          <v:textbox inset="0,0,0,0">
            <w:txbxContent>
              <w:p>
                <w:pPr>
                  <w:spacing w:before="26"/>
                  <w:ind w:left="20" w:right="0" w:firstLine="0"/>
                  <w:jc w:val="left"/>
                  <w:rPr>
                    <w:b/>
                    <w:sz w:val="16"/>
                  </w:rPr>
                </w:pPr>
                <w:r>
                  <w:rPr>
                    <w:b/>
                    <w:color w:val="6F2770"/>
                    <w:sz w:val="16"/>
                  </w:rPr>
                  <w:t>60</w:t>
                </w:r>
              </w:p>
            </w:txbxContent>
          </v:textbox>
          <w10:wrap type="none"/>
        </v:shape>
      </w:pict>
    </w:r>
    <w:r>
      <w:rPr/>
      <w:pict>
        <v:shape style="position:absolute;margin-left:60.363701pt;margin-top:561.921204pt;width:744.3pt;height:11.45pt;mso-position-horizontal-relative:page;mso-position-vertical-relative:page;z-index:-810808"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0784"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0760" type="#_x0000_t202" filled="false" stroked="false">
          <v:textbox inset="0,0,0,0">
            <w:txbxContent>
              <w:p>
                <w:pPr>
                  <w:spacing w:before="26"/>
                  <w:ind w:left="20" w:right="0" w:firstLine="0"/>
                  <w:jc w:val="left"/>
                  <w:rPr>
                    <w:b/>
                    <w:sz w:val="16"/>
                  </w:rPr>
                </w:pPr>
                <w:r>
                  <w:rPr>
                    <w:b/>
                    <w:color w:val="6F2770"/>
                    <w:sz w:val="16"/>
                  </w:rPr>
                  <w:t>61</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0736" type="#_x0000_t202" filled="false" stroked="false">
          <v:textbox inset="0,0,0,0">
            <w:txbxContent>
              <w:p>
                <w:pPr>
                  <w:spacing w:before="26"/>
                  <w:ind w:left="20" w:right="0" w:firstLine="0"/>
                  <w:jc w:val="left"/>
                  <w:rPr>
                    <w:b/>
                    <w:sz w:val="16"/>
                  </w:rPr>
                </w:pPr>
                <w:r>
                  <w:rPr>
                    <w:b/>
                    <w:color w:val="6F2770"/>
                    <w:sz w:val="16"/>
                  </w:rPr>
                  <w:t>62</w:t>
                </w:r>
              </w:p>
            </w:txbxContent>
          </v:textbox>
          <w10:wrap type="none"/>
        </v:shape>
      </w:pict>
    </w:r>
    <w:r>
      <w:rPr/>
      <w:pict>
        <v:shape style="position:absolute;margin-left:60.363701pt;margin-top:561.921204pt;width:744.3pt;height:11.45pt;mso-position-horizontal-relative:page;mso-position-vertical-relative:page;z-index:-810712"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88.610229pt;margin-top:546.379822pt;width:113.4pt;height:.550pt;mso-position-horizontal-relative:page;mso-position-vertical-relative:page;z-index:-810688" coordorigin="13772,10928" coordsize="2268,11">
          <v:line style="position:absolute" from="13772,10933" to="14906,10933" stroked="true" strokeweight=".501pt" strokecolor="#000000">
            <v:stroke dashstyle="solid"/>
          </v:line>
          <v:line style="position:absolute" from="14906,10933" to="16040,10933" stroked="true" strokeweight=".501pt" strokecolor="#000000">
            <v:stroke dashstyle="solid"/>
          </v:line>
          <w10:wrap type="none"/>
        </v:group>
      </w:pict>
    </w:r>
    <w:r>
      <w:rPr/>
      <w:pict>
        <v:shape style="position:absolute;margin-left:37.2677pt;margin-top:561.921204pt;width:744.3pt;height:11.45pt;mso-position-horizontal-relative:page;mso-position-vertical-relative:page;z-index:-810664"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0640" type="#_x0000_t202" filled="false" stroked="false">
          <v:textbox inset="0,0,0,0">
            <w:txbxContent>
              <w:p>
                <w:pPr>
                  <w:spacing w:before="26"/>
                  <w:ind w:left="20" w:right="0" w:firstLine="0"/>
                  <w:jc w:val="left"/>
                  <w:rPr>
                    <w:b/>
                    <w:sz w:val="16"/>
                  </w:rPr>
                </w:pPr>
                <w:r>
                  <w:rPr>
                    <w:b/>
                    <w:color w:val="6F2770"/>
                    <w:sz w:val="16"/>
                  </w:rPr>
                  <w:t>63</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88.610229pt;margin-top:543.108887pt;width:113.4pt;height:.550pt;mso-position-horizontal-relative:page;mso-position-vertical-relative:page;z-index:-810616" coordorigin="13772,10862" coordsize="2268,11">
          <v:line style="position:absolute" from="13772,10867" to="14906,10867" stroked="true" strokeweight=".501pt" strokecolor="#000000">
            <v:stroke dashstyle="solid"/>
          </v:line>
          <v:line style="position:absolute" from="14906,10867" to="16040,10867" stroked="true" strokeweight=".501pt" strokecolor="#000000">
            <v:stroke dashstyle="solid"/>
          </v:line>
          <w10:wrap type="none"/>
        </v:group>
      </w:pict>
    </w:r>
    <w:r>
      <w:rPr/>
      <w:pict>
        <v:shape style="position:absolute;margin-left:37.2677pt;margin-top:561.857178pt;width:10.9pt;height:11.55pt;mso-position-horizontal-relative:page;mso-position-vertical-relative:page;z-index:-810592" type="#_x0000_t202" filled="false" stroked="false">
          <v:textbox inset="0,0,0,0">
            <w:txbxContent>
              <w:p>
                <w:pPr>
                  <w:spacing w:before="26"/>
                  <w:ind w:left="20" w:right="0" w:firstLine="0"/>
                  <w:jc w:val="left"/>
                  <w:rPr>
                    <w:b/>
                    <w:sz w:val="16"/>
                  </w:rPr>
                </w:pPr>
                <w:r>
                  <w:rPr>
                    <w:b/>
                    <w:color w:val="6F2770"/>
                    <w:sz w:val="16"/>
                  </w:rPr>
                  <w:t>64</w:t>
                </w:r>
              </w:p>
            </w:txbxContent>
          </v:textbox>
          <w10:wrap type="none"/>
        </v:shape>
      </w:pict>
    </w:r>
    <w:r>
      <w:rPr/>
      <w:pict>
        <v:shape style="position:absolute;margin-left:60.363701pt;margin-top:561.921204pt;width:744.3pt;height:11.45pt;mso-position-horizontal-relative:page;mso-position-vertical-relative:page;z-index:-810568"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0544"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0520" type="#_x0000_t202" filled="false" stroked="false">
          <v:textbox inset="0,0,0,0">
            <w:txbxContent>
              <w:p>
                <w:pPr>
                  <w:spacing w:before="26"/>
                  <w:ind w:left="20" w:right="0" w:firstLine="0"/>
                  <w:jc w:val="left"/>
                  <w:rPr>
                    <w:b/>
                    <w:sz w:val="16"/>
                  </w:rPr>
                </w:pPr>
                <w:r>
                  <w:rPr>
                    <w:b/>
                    <w:color w:val="6F2770"/>
                    <w:sz w:val="16"/>
                  </w:rPr>
                  <w:t>65</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0496"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0472" type="#_x0000_t202" filled="false" stroked="false">
          <v:textbox inset="0,0,0,0">
            <w:txbxContent>
              <w:p>
                <w:pPr>
                  <w:spacing w:before="26"/>
                  <w:ind w:left="20" w:right="0" w:firstLine="0"/>
                  <w:jc w:val="left"/>
                  <w:rPr>
                    <w:b/>
                    <w:sz w:val="16"/>
                  </w:rPr>
                </w:pPr>
                <w:r>
                  <w:rPr>
                    <w:b/>
                    <w:color w:val="6F2770"/>
                    <w:sz w:val="16"/>
                  </w:rPr>
                  <w:t>67</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0448" type="#_x0000_t202" filled="false" stroked="false">
          <v:textbox inset="0,0,0,0">
            <w:txbxContent>
              <w:p>
                <w:pPr>
                  <w:spacing w:before="26"/>
                  <w:ind w:left="20" w:right="0" w:firstLine="0"/>
                  <w:jc w:val="left"/>
                  <w:rPr>
                    <w:b/>
                    <w:sz w:val="16"/>
                  </w:rPr>
                </w:pPr>
                <w:r>
                  <w:rPr>
                    <w:b/>
                    <w:color w:val="6F2770"/>
                    <w:sz w:val="16"/>
                  </w:rPr>
                  <w:t>68</w:t>
                </w:r>
              </w:p>
            </w:txbxContent>
          </v:textbox>
          <w10:wrap type="none"/>
        </v:shape>
      </w:pict>
    </w:r>
    <w:r>
      <w:rPr/>
      <w:pict>
        <v:shape style="position:absolute;margin-left:60.363701pt;margin-top:561.921204pt;width:744.3pt;height:11.45pt;mso-position-horizontal-relative:page;mso-position-vertical-relative:page;z-index:-810424"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0400"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0376" type="#_x0000_t202" filled="false" stroked="false">
          <v:textbox inset="0,0,0,0">
            <w:txbxContent>
              <w:p>
                <w:pPr>
                  <w:spacing w:before="26"/>
                  <w:ind w:left="20" w:right="0" w:firstLine="0"/>
                  <w:jc w:val="left"/>
                  <w:rPr>
                    <w:b/>
                    <w:sz w:val="16"/>
                  </w:rPr>
                </w:pPr>
                <w:r>
                  <w:rPr>
                    <w:b/>
                    <w:color w:val="6F2770"/>
                    <w:sz w:val="16"/>
                  </w:rPr>
                  <w:t>69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0352" type="#_x0000_t202" filled="false" stroked="false">
          <v:textbox inset="0,0,0,0">
            <w:txbxContent>
              <w:p>
                <w:pPr>
                  <w:spacing w:before="26"/>
                  <w:ind w:left="20" w:right="0" w:firstLine="0"/>
                  <w:jc w:val="left"/>
                  <w:rPr>
                    <w:b/>
                    <w:sz w:val="16"/>
                  </w:rPr>
                </w:pPr>
                <w:r>
                  <w:rPr>
                    <w:b/>
                    <w:color w:val="6F2770"/>
                    <w:sz w:val="16"/>
                  </w:rPr>
                  <w:t>70</w:t>
                </w:r>
              </w:p>
            </w:txbxContent>
          </v:textbox>
          <w10:wrap type="none"/>
        </v:shape>
      </w:pict>
    </w:r>
    <w:r>
      <w:rPr/>
      <w:pict>
        <v:shape style="position:absolute;margin-left:60.363701pt;margin-top:561.921204pt;width:744.3pt;height:11.45pt;mso-position-horizontal-relative:page;mso-position-vertical-relative:page;z-index:-810328"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0304"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0280" type="#_x0000_t202" filled="false" stroked="false">
          <v:textbox inset="0,0,0,0">
            <w:txbxContent>
              <w:p>
                <w:pPr>
                  <w:spacing w:before="26"/>
                  <w:ind w:left="20" w:right="0" w:firstLine="0"/>
                  <w:jc w:val="left"/>
                  <w:rPr>
                    <w:b/>
                    <w:sz w:val="16"/>
                  </w:rPr>
                </w:pPr>
                <w:r>
                  <w:rPr>
                    <w:b/>
                    <w:color w:val="6F2770"/>
                    <w:sz w:val="16"/>
                  </w:rPr>
                  <w:t>71</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0256" type="#_x0000_t202" filled="false" stroked="false">
          <v:textbox inset="0,0,0,0">
            <w:txbxContent>
              <w:p>
                <w:pPr>
                  <w:spacing w:before="26"/>
                  <w:ind w:left="20" w:right="0" w:firstLine="0"/>
                  <w:jc w:val="left"/>
                  <w:rPr>
                    <w:b/>
                    <w:sz w:val="16"/>
                  </w:rPr>
                </w:pPr>
                <w:r>
                  <w:rPr>
                    <w:b/>
                    <w:color w:val="6F2770"/>
                    <w:sz w:val="16"/>
                  </w:rPr>
                  <w:t>72</w:t>
                </w:r>
              </w:p>
            </w:txbxContent>
          </v:textbox>
          <w10:wrap type="none"/>
        </v:shape>
      </w:pict>
    </w:r>
    <w:r>
      <w:rPr/>
      <w:pict>
        <v:shape style="position:absolute;margin-left:60.363701pt;margin-top:561.921204pt;width:744.3pt;height:11.45pt;mso-position-horizontal-relative:page;mso-position-vertical-relative:page;z-index:-810232"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0208"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0184" type="#_x0000_t202" filled="false" stroked="false">
          <v:textbox inset="0,0,0,0">
            <w:txbxContent>
              <w:p>
                <w:pPr>
                  <w:spacing w:before="26"/>
                  <w:ind w:left="20" w:right="0" w:firstLine="0"/>
                  <w:jc w:val="left"/>
                  <w:rPr>
                    <w:b/>
                    <w:sz w:val="16"/>
                  </w:rPr>
                </w:pPr>
                <w:r>
                  <w:rPr>
                    <w:b/>
                    <w:color w:val="6F2770"/>
                    <w:sz w:val="16"/>
                  </w:rPr>
                  <w:t>73</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0160" type="#_x0000_t202" filled="false" stroked="false">
          <v:textbox inset="0,0,0,0">
            <w:txbxContent>
              <w:p>
                <w:pPr>
                  <w:spacing w:before="26"/>
                  <w:ind w:left="20" w:right="0" w:firstLine="0"/>
                  <w:jc w:val="left"/>
                  <w:rPr>
                    <w:b/>
                    <w:sz w:val="16"/>
                  </w:rPr>
                </w:pPr>
                <w:r>
                  <w:rPr>
                    <w:b/>
                    <w:color w:val="6F2770"/>
                    <w:sz w:val="16"/>
                  </w:rPr>
                  <w:t>74</w:t>
                </w:r>
              </w:p>
            </w:txbxContent>
          </v:textbox>
          <w10:wrap type="none"/>
        </v:shape>
      </w:pict>
    </w:r>
    <w:r>
      <w:rPr/>
      <w:pict>
        <v:shape style="position:absolute;margin-left:60.363701pt;margin-top:561.921204pt;width:744.3pt;height:11.45pt;mso-position-horizontal-relative:page;mso-position-vertical-relative:page;z-index:-810136"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0112"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10088" type="#_x0000_t202" filled="false" stroked="false">
          <v:textbox inset="0,0,0,0">
            <w:txbxContent>
              <w:p>
                <w:pPr>
                  <w:spacing w:before="26"/>
                  <w:ind w:left="20" w:right="0" w:firstLine="0"/>
                  <w:jc w:val="left"/>
                  <w:rPr>
                    <w:b/>
                    <w:sz w:val="16"/>
                  </w:rPr>
                </w:pPr>
                <w:r>
                  <w:rPr>
                    <w:b/>
                    <w:color w:val="6F2770"/>
                    <w:sz w:val="16"/>
                  </w:rPr>
                  <w:t>75</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10064" type="#_x0000_t202" filled="false" stroked="false">
          <v:textbox inset="0,0,0,0">
            <w:txbxContent>
              <w:p>
                <w:pPr>
                  <w:spacing w:before="26"/>
                  <w:ind w:left="20" w:right="0" w:firstLine="0"/>
                  <w:jc w:val="left"/>
                  <w:rPr>
                    <w:b/>
                    <w:sz w:val="16"/>
                  </w:rPr>
                </w:pPr>
                <w:r>
                  <w:rPr>
                    <w:b/>
                    <w:color w:val="6F2770"/>
                    <w:sz w:val="16"/>
                  </w:rPr>
                  <w:t>76</w:t>
                </w:r>
              </w:p>
            </w:txbxContent>
          </v:textbox>
          <w10:wrap type="none"/>
        </v:shape>
      </w:pict>
    </w:r>
    <w:r>
      <w:rPr/>
      <w:pict>
        <v:shape style="position:absolute;margin-left:60.363701pt;margin-top:561.921204pt;width:744.3pt;height:11.45pt;mso-position-horizontal-relative:page;mso-position-vertical-relative:page;z-index:-810040"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10016"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09992" type="#_x0000_t202" filled="false" stroked="false">
          <v:textbox inset="0,0,0,0">
            <w:txbxContent>
              <w:p>
                <w:pPr>
                  <w:spacing w:before="26"/>
                  <w:ind w:left="20" w:right="0" w:firstLine="0"/>
                  <w:jc w:val="left"/>
                  <w:rPr>
                    <w:b/>
                    <w:sz w:val="16"/>
                  </w:rPr>
                </w:pPr>
                <w:r>
                  <w:rPr>
                    <w:b/>
                    <w:color w:val="6F2770"/>
                    <w:sz w:val="16"/>
                  </w:rPr>
                  <w:t>77</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09968" type="#_x0000_t202" filled="false" stroked="false">
          <v:textbox inset="0,0,0,0">
            <w:txbxContent>
              <w:p>
                <w:pPr>
                  <w:spacing w:before="26"/>
                  <w:ind w:left="20" w:right="0" w:firstLine="0"/>
                  <w:jc w:val="left"/>
                  <w:rPr>
                    <w:b/>
                    <w:sz w:val="16"/>
                  </w:rPr>
                </w:pPr>
                <w:r>
                  <w:rPr>
                    <w:b/>
                    <w:color w:val="6F2770"/>
                    <w:sz w:val="16"/>
                  </w:rPr>
                  <w:t>78</w:t>
                </w:r>
              </w:p>
            </w:txbxContent>
          </v:textbox>
          <w10:wrap type="none"/>
        </v:shape>
      </w:pict>
    </w:r>
    <w:r>
      <w:rPr/>
      <w:pict>
        <v:shape style="position:absolute;margin-left:60.363701pt;margin-top:561.921204pt;width:744.3pt;height:11.45pt;mso-position-horizontal-relative:page;mso-position-vertical-relative:page;z-index:-809944"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09920"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09896" type="#_x0000_t202" filled="false" stroked="false">
          <v:textbox inset="0,0,0,0">
            <w:txbxContent>
              <w:p>
                <w:pPr>
                  <w:spacing w:before="26"/>
                  <w:ind w:left="20" w:right="0" w:firstLine="0"/>
                  <w:jc w:val="left"/>
                  <w:rPr>
                    <w:b/>
                    <w:sz w:val="16"/>
                  </w:rPr>
                </w:pPr>
                <w:r>
                  <w:rPr>
                    <w:b/>
                    <w:color w:val="6F2770"/>
                    <w:sz w:val="16"/>
                  </w:rPr>
                  <w:t>79</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09872" type="#_x0000_t202" filled="false" stroked="false">
          <v:textbox inset="0,0,0,0">
            <w:txbxContent>
              <w:p>
                <w:pPr>
                  <w:spacing w:before="26"/>
                  <w:ind w:left="20" w:right="0" w:firstLine="0"/>
                  <w:jc w:val="left"/>
                  <w:rPr>
                    <w:b/>
                    <w:sz w:val="16"/>
                  </w:rPr>
                </w:pPr>
                <w:r>
                  <w:rPr>
                    <w:b/>
                    <w:color w:val="6F2770"/>
                    <w:sz w:val="16"/>
                  </w:rPr>
                  <w:t>80</w:t>
                </w:r>
              </w:p>
            </w:txbxContent>
          </v:textbox>
          <w10:wrap type="none"/>
        </v:shape>
      </w:pict>
    </w:r>
    <w:r>
      <w:rPr/>
      <w:pict>
        <v:shape style="position:absolute;margin-left:60.363701pt;margin-top:561.921204pt;width:744.3pt;height:11.45pt;mso-position-horizontal-relative:page;mso-position-vertical-relative:page;z-index:-809848"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09824"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09800" type="#_x0000_t202" filled="false" stroked="false">
          <v:textbox inset="0,0,0,0">
            <w:txbxContent>
              <w:p>
                <w:pPr>
                  <w:spacing w:before="26"/>
                  <w:ind w:left="20" w:right="0" w:firstLine="0"/>
                  <w:jc w:val="left"/>
                  <w:rPr>
                    <w:b/>
                    <w:sz w:val="16"/>
                  </w:rPr>
                </w:pPr>
                <w:r>
                  <w:rPr>
                    <w:b/>
                    <w:color w:val="6F2770"/>
                    <w:sz w:val="16"/>
                  </w:rPr>
                  <w:t>81</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09776"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09752" type="#_x0000_t202" filled="false" stroked="false">
          <v:textbox inset="0,0,0,0">
            <w:txbxContent>
              <w:p>
                <w:pPr>
                  <w:spacing w:before="26"/>
                  <w:ind w:left="20" w:right="0" w:firstLine="0"/>
                  <w:jc w:val="left"/>
                  <w:rPr>
                    <w:b/>
                    <w:sz w:val="16"/>
                  </w:rPr>
                </w:pPr>
                <w:r>
                  <w:rPr>
                    <w:b/>
                    <w:color w:val="6F2770"/>
                    <w:sz w:val="16"/>
                  </w:rPr>
                  <w:t>83</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09728" type="#_x0000_t202" filled="false" stroked="false">
          <v:textbox inset="0,0,0,0">
            <w:txbxContent>
              <w:p>
                <w:pPr>
                  <w:spacing w:before="26"/>
                  <w:ind w:left="20" w:right="0" w:firstLine="0"/>
                  <w:jc w:val="left"/>
                  <w:rPr>
                    <w:b/>
                    <w:sz w:val="16"/>
                  </w:rPr>
                </w:pPr>
                <w:r>
                  <w:rPr>
                    <w:b/>
                    <w:color w:val="6F2770"/>
                    <w:sz w:val="16"/>
                  </w:rPr>
                  <w:t>84</w:t>
                </w:r>
              </w:p>
            </w:txbxContent>
          </v:textbox>
          <w10:wrap type="none"/>
        </v:shape>
      </w:pict>
    </w:r>
    <w:r>
      <w:rPr/>
      <w:pict>
        <v:shape style="position:absolute;margin-left:60.363701pt;margin-top:561.921204pt;width:744.3pt;height:11.45pt;mso-position-horizontal-relative:page;mso-position-vertical-relative:page;z-index:-809704"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09680"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09656" type="#_x0000_t202" filled="false" stroked="false">
          <v:textbox inset="0,0,0,0">
            <w:txbxContent>
              <w:p>
                <w:pPr>
                  <w:spacing w:before="26"/>
                  <w:ind w:left="20" w:right="0" w:firstLine="0"/>
                  <w:jc w:val="left"/>
                  <w:rPr>
                    <w:b/>
                    <w:sz w:val="16"/>
                  </w:rPr>
                </w:pPr>
                <w:r>
                  <w:rPr>
                    <w:b/>
                    <w:color w:val="6F2770"/>
                    <w:sz w:val="16"/>
                  </w:rPr>
                  <w:t>85</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09632" type="#_x0000_t202" filled="false" stroked="false">
          <v:textbox inset="0,0,0,0">
            <w:txbxContent>
              <w:p>
                <w:pPr>
                  <w:spacing w:before="26"/>
                  <w:ind w:left="20" w:right="0" w:firstLine="0"/>
                  <w:jc w:val="left"/>
                  <w:rPr>
                    <w:b/>
                    <w:sz w:val="16"/>
                  </w:rPr>
                </w:pPr>
                <w:r>
                  <w:rPr>
                    <w:b/>
                    <w:color w:val="6F2770"/>
                    <w:sz w:val="16"/>
                  </w:rPr>
                  <w:t>86</w:t>
                </w:r>
              </w:p>
            </w:txbxContent>
          </v:textbox>
          <w10:wrap type="none"/>
        </v:shape>
      </w:pict>
    </w:r>
    <w:r>
      <w:rPr/>
      <w:pict>
        <v:shape style="position:absolute;margin-left:60.363701pt;margin-top:561.921204pt;width:744.3pt;height:11.45pt;mso-position-horizontal-relative:page;mso-position-vertical-relative:page;z-index:-809608"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09584"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09560" type="#_x0000_t202" filled="false" stroked="false">
          <v:textbox inset="0,0,0,0">
            <w:txbxContent>
              <w:p>
                <w:pPr>
                  <w:spacing w:before="26"/>
                  <w:ind w:left="20" w:right="0" w:firstLine="0"/>
                  <w:jc w:val="left"/>
                  <w:rPr>
                    <w:b/>
                    <w:sz w:val="16"/>
                  </w:rPr>
                </w:pPr>
                <w:r>
                  <w:rPr>
                    <w:b/>
                    <w:color w:val="6F2770"/>
                    <w:sz w:val="16"/>
                  </w:rPr>
                  <w:t>87</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09536" type="#_x0000_t202" filled="false" stroked="false">
          <v:textbox inset="0,0,0,0">
            <w:txbxContent>
              <w:p>
                <w:pPr>
                  <w:spacing w:before="26"/>
                  <w:ind w:left="20" w:right="0" w:firstLine="0"/>
                  <w:jc w:val="left"/>
                  <w:rPr>
                    <w:b/>
                    <w:sz w:val="16"/>
                  </w:rPr>
                </w:pPr>
                <w:r>
                  <w:rPr>
                    <w:b/>
                    <w:color w:val="6F2770"/>
                    <w:sz w:val="16"/>
                  </w:rPr>
                  <w:t>88</w:t>
                </w:r>
              </w:p>
            </w:txbxContent>
          </v:textbox>
          <w10:wrap type="none"/>
        </v:shape>
      </w:pict>
    </w:r>
    <w:r>
      <w:rPr/>
      <w:pict>
        <v:shape style="position:absolute;margin-left:60.363701pt;margin-top:561.921204pt;width:744.3pt;height:11.45pt;mso-position-horizontal-relative:page;mso-position-vertical-relative:page;z-index:-809512"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09488"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09464" type="#_x0000_t202" filled="false" stroked="false">
          <v:textbox inset="0,0,0,0">
            <w:txbxContent>
              <w:p>
                <w:pPr>
                  <w:spacing w:before="26"/>
                  <w:ind w:left="20" w:right="0" w:firstLine="0"/>
                  <w:jc w:val="left"/>
                  <w:rPr>
                    <w:b/>
                    <w:sz w:val="16"/>
                  </w:rPr>
                </w:pPr>
                <w:r>
                  <w:rPr>
                    <w:b/>
                    <w:color w:val="6F2770"/>
                    <w:sz w:val="16"/>
                  </w:rPr>
                  <w:t>89</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09440" type="#_x0000_t202" filled="false" stroked="false">
          <v:textbox inset="0,0,0,0">
            <w:txbxContent>
              <w:p>
                <w:pPr>
                  <w:spacing w:before="26"/>
                  <w:ind w:left="20" w:right="0" w:firstLine="0"/>
                  <w:jc w:val="left"/>
                  <w:rPr>
                    <w:b/>
                    <w:sz w:val="16"/>
                  </w:rPr>
                </w:pPr>
                <w:r>
                  <w:rPr>
                    <w:b/>
                    <w:color w:val="6F2770"/>
                    <w:sz w:val="16"/>
                  </w:rPr>
                  <w:t>90</w:t>
                </w:r>
              </w:p>
            </w:txbxContent>
          </v:textbox>
          <w10:wrap type="none"/>
        </v:shape>
      </w:pict>
    </w:r>
    <w:r>
      <w:rPr/>
      <w:pict>
        <v:shape style="position:absolute;margin-left:60.363701pt;margin-top:561.921204pt;width:744.3pt;height:11.45pt;mso-position-horizontal-relative:page;mso-position-vertical-relative:page;z-index:-809416"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65.539398pt;margin-top:502.449097pt;width:142.25pt;height:.550pt;mso-position-horizontal-relative:page;mso-position-vertical-relative:page;z-index:-809392" coordorigin="5311,10049" coordsize="2845,11">
          <v:line style="position:absolute" from="5311,10054" to="6728,10054" stroked="true" strokeweight=".501pt" strokecolor="#000000">
            <v:stroke dashstyle="solid"/>
          </v:line>
          <v:line style="position:absolute" from="6728,10054" to="8155,10054" stroked="true" strokeweight=".501pt" strokecolor="#000000">
            <v:stroke dashstyle="solid"/>
          </v:line>
          <w10:wrap type="none"/>
        </v:group>
      </w:pict>
    </w:r>
    <w:r>
      <w:rPr/>
      <w:pict>
        <v:shape style="position:absolute;margin-left:37.2677pt;margin-top:561.921204pt;width:744.3pt;height:11.45pt;mso-position-horizontal-relative:page;mso-position-vertical-relative:page;z-index:-809368"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09344" type="#_x0000_t202" filled="false" stroked="false">
          <v:textbox inset="0,0,0,0">
            <w:txbxContent>
              <w:p>
                <w:pPr>
                  <w:spacing w:before="26"/>
                  <w:ind w:left="20" w:right="0" w:firstLine="0"/>
                  <w:jc w:val="left"/>
                  <w:rPr>
                    <w:b/>
                    <w:sz w:val="16"/>
                  </w:rPr>
                </w:pPr>
                <w:r>
                  <w:rPr>
                    <w:b/>
                    <w:color w:val="6F2770"/>
                    <w:sz w:val="16"/>
                  </w:rPr>
                  <w:t>91</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69.082611pt;margin-top:497.672394pt;width:142.25pt;height:.550pt;mso-position-horizontal-relative:page;mso-position-vertical-relative:page;z-index:-809320" coordorigin="5382,9953" coordsize="2845,11">
          <v:line style="position:absolute" from="5382,9958" to="6799,9958" stroked="true" strokeweight=".501pt" strokecolor="#000000">
            <v:stroke dashstyle="solid"/>
          </v:line>
          <v:line style="position:absolute" from="6799,9958" to="8226,9958" stroked="true" strokeweight=".501pt" strokecolor="#000000">
            <v:stroke dashstyle="solid"/>
          </v:line>
          <w10:wrap type="none"/>
        </v:group>
      </w:pict>
    </w:r>
    <w:r>
      <w:rPr/>
      <w:pict>
        <v:shape style="position:absolute;margin-left:37.2677pt;margin-top:561.857178pt;width:10.9pt;height:11.55pt;mso-position-horizontal-relative:page;mso-position-vertical-relative:page;z-index:-809296" type="#_x0000_t202" filled="false" stroked="false">
          <v:textbox inset="0,0,0,0">
            <w:txbxContent>
              <w:p>
                <w:pPr>
                  <w:spacing w:before="26"/>
                  <w:ind w:left="20" w:right="0" w:firstLine="0"/>
                  <w:jc w:val="left"/>
                  <w:rPr>
                    <w:b/>
                    <w:sz w:val="16"/>
                  </w:rPr>
                </w:pPr>
                <w:r>
                  <w:rPr>
                    <w:b/>
                    <w:color w:val="6F2770"/>
                    <w:sz w:val="16"/>
                  </w:rPr>
                  <w:t>92</w:t>
                </w:r>
              </w:p>
            </w:txbxContent>
          </v:textbox>
          <w10:wrap type="none"/>
        </v:shape>
      </w:pict>
    </w:r>
    <w:r>
      <w:rPr/>
      <w:pict>
        <v:shape style="position:absolute;margin-left:60.363701pt;margin-top:561.921204pt;width:744.3pt;height:11.45pt;mso-position-horizontal-relative:page;mso-position-vertical-relative:page;z-index:-809272"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09248"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09224" type="#_x0000_t202" filled="false" stroked="false">
          <v:textbox inset="0,0,0,0">
            <w:txbxContent>
              <w:p>
                <w:pPr>
                  <w:spacing w:before="26"/>
                  <w:ind w:left="20" w:right="0" w:firstLine="0"/>
                  <w:jc w:val="left"/>
                  <w:rPr>
                    <w:b/>
                    <w:sz w:val="16"/>
                  </w:rPr>
                </w:pPr>
                <w:r>
                  <w:rPr>
                    <w:b/>
                    <w:color w:val="6F2770"/>
                    <w:sz w:val="16"/>
                  </w:rPr>
                  <w:t>93</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09200"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6013pt;margin-top:561.857178pt;width:10.9pt;height:11.55pt;mso-position-horizontal-relative:page;mso-position-vertical-relative:page;z-index:-809176" type="#_x0000_t202" filled="false" stroked="false">
          <v:textbox inset="0,0,0,0">
            <w:txbxContent>
              <w:p>
                <w:pPr>
                  <w:spacing w:before="26"/>
                  <w:ind w:left="20" w:right="0" w:firstLine="0"/>
                  <w:jc w:val="left"/>
                  <w:rPr>
                    <w:b/>
                    <w:sz w:val="16"/>
                  </w:rPr>
                </w:pPr>
                <w:r>
                  <w:rPr>
                    <w:b/>
                    <w:color w:val="6F2770"/>
                    <w:sz w:val="16"/>
                  </w:rPr>
                  <w:t>95</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09152" type="#_x0000_t202" filled="false" stroked="false">
          <v:textbox inset="0,0,0,0">
            <w:txbxContent>
              <w:p>
                <w:pPr>
                  <w:spacing w:before="26"/>
                  <w:ind w:left="20" w:right="0" w:firstLine="0"/>
                  <w:jc w:val="left"/>
                  <w:rPr>
                    <w:b/>
                    <w:sz w:val="16"/>
                  </w:rPr>
                </w:pPr>
                <w:r>
                  <w:rPr>
                    <w:b/>
                    <w:color w:val="6F2770"/>
                    <w:sz w:val="16"/>
                  </w:rPr>
                  <w:t>96</w:t>
                </w:r>
              </w:p>
            </w:txbxContent>
          </v:textbox>
          <w10:wrap type="none"/>
        </v:shape>
      </w:pict>
    </w:r>
    <w:r>
      <w:rPr/>
      <w:pict>
        <v:shape style="position:absolute;margin-left:60.363701pt;margin-top:561.921204pt;width:744.3pt;height:11.45pt;mso-position-horizontal-relative:page;mso-position-vertical-relative:page;z-index:-809128"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921204pt;width:744.3pt;height:11.45pt;mso-position-horizontal-relative:page;mso-position-vertical-relative:page;z-index:-809104" type="#_x0000_t202" filled="false" stroked="false">
          <v:textbox inset="0,0,0,0">
            <w:txbxContent>
              <w:p>
                <w:pPr>
                  <w:tabs>
                    <w:tab w:pos="11420" w:val="left" w:leader="none"/>
                    <w:tab w:pos="11628" w:val="left" w:leader="none"/>
                  </w:tabs>
                  <w:spacing w:before="24"/>
                  <w:ind w:left="20" w:right="0" w:firstLine="0"/>
                  <w:jc w:val="left"/>
                  <w:rPr>
                    <w:sz w:val="16"/>
                  </w:rPr>
                </w:pPr>
                <w:r>
                  <w:rPr>
                    <w:color w:val="939598"/>
                    <w:w w:val="100"/>
                    <w:sz w:val="16"/>
                    <w:u w:val="single" w:color="939598"/>
                  </w:rPr>
                  <w:t> </w:t>
                </w:r>
                <w:r>
                  <w:rPr>
                    <w:color w:val="939598"/>
                    <w:sz w:val="16"/>
                    <w:u w:val="single" w:color="939598"/>
                  </w:rPr>
                  <w:tab/>
                </w:r>
                <w:r>
                  <w:rPr>
                    <w:color w:val="939598"/>
                    <w:sz w:val="16"/>
                  </w:rPr>
                  <w:tab/>
                  <w:t>Department</w:t>
                </w:r>
                <w:r>
                  <w:rPr>
                    <w:color w:val="939598"/>
                    <w:spacing w:val="-17"/>
                    <w:sz w:val="16"/>
                  </w:rPr>
                  <w:t> </w:t>
                </w:r>
                <w:r>
                  <w:rPr>
                    <w:color w:val="939598"/>
                    <w:sz w:val="16"/>
                  </w:rPr>
                  <w:t>of</w:t>
                </w:r>
                <w:r>
                  <w:rPr>
                    <w:color w:val="939598"/>
                    <w:spacing w:val="-16"/>
                    <w:sz w:val="16"/>
                  </w:rPr>
                  <w:t> </w:t>
                </w:r>
                <w:r>
                  <w:rPr>
                    <w:color w:val="939598"/>
                    <w:sz w:val="16"/>
                  </w:rPr>
                  <w:t>Finance</w:t>
                </w:r>
                <w:r>
                  <w:rPr>
                    <w:color w:val="939598"/>
                    <w:spacing w:val="-17"/>
                    <w:sz w:val="16"/>
                  </w:rPr>
                  <w:t> </w:t>
                </w:r>
                <w:r>
                  <w:rPr>
                    <w:color w:val="939598"/>
                    <w:sz w:val="16"/>
                  </w:rPr>
                  <w:t>Annual</w:t>
                </w:r>
                <w:r>
                  <w:rPr>
                    <w:color w:val="939598"/>
                    <w:spacing w:val="-16"/>
                    <w:sz w:val="16"/>
                  </w:rPr>
                  <w:t> </w:t>
                </w:r>
                <w:r>
                  <w:rPr>
                    <w:color w:val="939598"/>
                    <w:sz w:val="16"/>
                  </w:rPr>
                  <w:t>Report</w:t>
                </w:r>
                <w:r>
                  <w:rPr>
                    <w:color w:val="939598"/>
                    <w:spacing w:val="-17"/>
                    <w:sz w:val="16"/>
                  </w:rPr>
                  <w:t> </w:t>
                </w:r>
                <w:r>
                  <w:rPr>
                    <w:color w:val="939598"/>
                    <w:sz w:val="16"/>
                  </w:rPr>
                  <w:t>2016-17</w:t>
                </w:r>
              </w:p>
            </w:txbxContent>
          </v:textbox>
          <w10:wrap type="none"/>
        </v:shape>
      </w:pict>
    </w:r>
    <w:r>
      <w:rPr/>
      <w:pict>
        <v:shape style="position:absolute;margin-left:793.72937pt;margin-top:561.857178pt;width:10.9pt;height:11.55pt;mso-position-horizontal-relative:page;mso-position-vertical-relative:page;z-index:-809080" type="#_x0000_t202" filled="false" stroked="false">
          <v:textbox inset="0,0,0,0">
            <w:txbxContent>
              <w:p>
                <w:pPr>
                  <w:spacing w:before="26"/>
                  <w:ind w:left="20" w:right="0" w:firstLine="0"/>
                  <w:jc w:val="left"/>
                  <w:rPr>
                    <w:b/>
                    <w:sz w:val="16"/>
                  </w:rPr>
                </w:pPr>
                <w:r>
                  <w:rPr>
                    <w:b/>
                    <w:color w:val="6F2770"/>
                    <w:sz w:val="16"/>
                  </w:rPr>
                  <w:t>97</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2677pt;margin-top:561.857178pt;width:10.9pt;height:11.55pt;mso-position-horizontal-relative:page;mso-position-vertical-relative:page;z-index:-809056" type="#_x0000_t202" filled="false" stroked="false">
          <v:textbox inset="0,0,0,0">
            <w:txbxContent>
              <w:p>
                <w:pPr>
                  <w:spacing w:before="26"/>
                  <w:ind w:left="20" w:right="0" w:firstLine="0"/>
                  <w:jc w:val="left"/>
                  <w:rPr>
                    <w:b/>
                    <w:sz w:val="16"/>
                  </w:rPr>
                </w:pPr>
                <w:r>
                  <w:rPr>
                    <w:b/>
                    <w:color w:val="6F2770"/>
                    <w:sz w:val="16"/>
                  </w:rPr>
                  <w:t>98</w:t>
                </w:r>
              </w:p>
            </w:txbxContent>
          </v:textbox>
          <w10:wrap type="none"/>
        </v:shape>
      </w:pict>
    </w:r>
    <w:r>
      <w:rPr/>
      <w:pict>
        <v:shape style="position:absolute;margin-left:60.363701pt;margin-top:561.921204pt;width:744.3pt;height:11.45pt;mso-position-horizontal-relative:page;mso-position-vertical-relative:page;z-index:-809032" type="#_x0000_t202" filled="false" stroked="false">
          <v:textbox inset="0,0,0,0">
            <w:txbxContent>
              <w:p>
                <w:pPr>
                  <w:tabs>
                    <w:tab w:pos="3464" w:val="left" w:leader="none"/>
                    <w:tab w:pos="14865" w:val="left" w:leader="none"/>
                  </w:tabs>
                  <w:spacing w:before="24"/>
                  <w:ind w:left="20" w:right="0" w:firstLine="0"/>
                  <w:jc w:val="left"/>
                  <w:rPr>
                    <w:sz w:val="16"/>
                  </w:rPr>
                </w:pPr>
                <w:r>
                  <w:rPr>
                    <w:color w:val="939598"/>
                    <w:sz w:val="16"/>
                  </w:rPr>
                  <w:t>Department</w:t>
                </w:r>
                <w:r>
                  <w:rPr>
                    <w:color w:val="939598"/>
                    <w:spacing w:val="-18"/>
                    <w:sz w:val="16"/>
                  </w:rPr>
                  <w:t> </w:t>
                </w:r>
                <w:r>
                  <w:rPr>
                    <w:color w:val="939598"/>
                    <w:sz w:val="16"/>
                  </w:rPr>
                  <w:t>of</w:t>
                </w:r>
                <w:r>
                  <w:rPr>
                    <w:color w:val="939598"/>
                    <w:spacing w:val="-18"/>
                    <w:sz w:val="16"/>
                  </w:rPr>
                  <w:t> </w:t>
                </w:r>
                <w:r>
                  <w:rPr>
                    <w:color w:val="939598"/>
                    <w:sz w:val="16"/>
                  </w:rPr>
                  <w:t>Finance</w:t>
                </w:r>
                <w:r>
                  <w:rPr>
                    <w:color w:val="939598"/>
                    <w:spacing w:val="-18"/>
                    <w:sz w:val="16"/>
                  </w:rPr>
                  <w:t> </w:t>
                </w:r>
                <w:r>
                  <w:rPr>
                    <w:color w:val="939598"/>
                    <w:sz w:val="16"/>
                  </w:rPr>
                  <w:t>Annual</w:t>
                </w:r>
                <w:r>
                  <w:rPr>
                    <w:color w:val="939598"/>
                    <w:spacing w:val="-18"/>
                    <w:sz w:val="16"/>
                  </w:rPr>
                  <w:t> </w:t>
                </w:r>
                <w:r>
                  <w:rPr>
                    <w:color w:val="939598"/>
                    <w:sz w:val="16"/>
                  </w:rPr>
                  <w:t>Report</w:t>
                </w:r>
                <w:r>
                  <w:rPr>
                    <w:color w:val="939598"/>
                    <w:spacing w:val="-18"/>
                    <w:sz w:val="16"/>
                  </w:rPr>
                  <w:t> </w:t>
                </w:r>
                <w:r>
                  <w:rPr>
                    <w:color w:val="939598"/>
                    <w:sz w:val="16"/>
                  </w:rPr>
                  <w:t>2016-17</w:t>
                  <w:tab/>
                </w:r>
                <w:r>
                  <w:rPr>
                    <w:color w:val="939598"/>
                    <w:w w:val="100"/>
                    <w:sz w:val="16"/>
                    <w:u w:val="single" w:color="939598"/>
                  </w:rPr>
                  <w:t> </w:t>
                </w:r>
                <w:r>
                  <w:rPr>
                    <w:color w:val="939598"/>
                    <w:sz w:val="16"/>
                    <w:u w:val="single" w:color="939598"/>
                  </w:rPr>
                  <w:tab/>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1"/>
      <w:numFmt w:val="decimal"/>
      <w:lvlText w:val="%1."/>
      <w:lvlJc w:val="left"/>
      <w:pPr>
        <w:ind w:left="6315" w:hanging="281"/>
        <w:jc w:val="left"/>
      </w:pPr>
      <w:rPr>
        <w:rFonts w:hint="default" w:ascii="Arial" w:hAnsi="Arial" w:eastAsia="Arial" w:cs="Arial"/>
        <w:spacing w:val="-27"/>
        <w:w w:val="92"/>
        <w:sz w:val="22"/>
        <w:szCs w:val="22"/>
      </w:rPr>
    </w:lvl>
    <w:lvl w:ilvl="1">
      <w:start w:val="0"/>
      <w:numFmt w:val="bullet"/>
      <w:lvlText w:val="•"/>
      <w:lvlJc w:val="left"/>
      <w:pPr>
        <w:ind w:left="7371" w:hanging="281"/>
      </w:pPr>
      <w:rPr>
        <w:rFonts w:hint="default"/>
      </w:rPr>
    </w:lvl>
    <w:lvl w:ilvl="2">
      <w:start w:val="0"/>
      <w:numFmt w:val="bullet"/>
      <w:lvlText w:val="•"/>
      <w:lvlJc w:val="left"/>
      <w:pPr>
        <w:ind w:left="8423" w:hanging="281"/>
      </w:pPr>
      <w:rPr>
        <w:rFonts w:hint="default"/>
      </w:rPr>
    </w:lvl>
    <w:lvl w:ilvl="3">
      <w:start w:val="0"/>
      <w:numFmt w:val="bullet"/>
      <w:lvlText w:val="•"/>
      <w:lvlJc w:val="left"/>
      <w:pPr>
        <w:ind w:left="9475" w:hanging="281"/>
      </w:pPr>
      <w:rPr>
        <w:rFonts w:hint="default"/>
      </w:rPr>
    </w:lvl>
    <w:lvl w:ilvl="4">
      <w:start w:val="0"/>
      <w:numFmt w:val="bullet"/>
      <w:lvlText w:val="•"/>
      <w:lvlJc w:val="left"/>
      <w:pPr>
        <w:ind w:left="10527" w:hanging="281"/>
      </w:pPr>
      <w:rPr>
        <w:rFonts w:hint="default"/>
      </w:rPr>
    </w:lvl>
    <w:lvl w:ilvl="5">
      <w:start w:val="0"/>
      <w:numFmt w:val="bullet"/>
      <w:lvlText w:val="•"/>
      <w:lvlJc w:val="left"/>
      <w:pPr>
        <w:ind w:left="11578" w:hanging="281"/>
      </w:pPr>
      <w:rPr>
        <w:rFonts w:hint="default"/>
      </w:rPr>
    </w:lvl>
    <w:lvl w:ilvl="6">
      <w:start w:val="0"/>
      <w:numFmt w:val="bullet"/>
      <w:lvlText w:val="•"/>
      <w:lvlJc w:val="left"/>
      <w:pPr>
        <w:ind w:left="12630" w:hanging="281"/>
      </w:pPr>
      <w:rPr>
        <w:rFonts w:hint="default"/>
      </w:rPr>
    </w:lvl>
    <w:lvl w:ilvl="7">
      <w:start w:val="0"/>
      <w:numFmt w:val="bullet"/>
      <w:lvlText w:val="•"/>
      <w:lvlJc w:val="left"/>
      <w:pPr>
        <w:ind w:left="13682" w:hanging="281"/>
      </w:pPr>
      <w:rPr>
        <w:rFonts w:hint="default"/>
      </w:rPr>
    </w:lvl>
    <w:lvl w:ilvl="8">
      <w:start w:val="0"/>
      <w:numFmt w:val="bullet"/>
      <w:lvlText w:val="•"/>
      <w:lvlJc w:val="left"/>
      <w:pPr>
        <w:ind w:left="14734" w:hanging="281"/>
      </w:pPr>
      <w:rPr>
        <w:rFonts w:hint="default"/>
      </w:rPr>
    </w:lvl>
  </w:abstractNum>
  <w:abstractNum w:abstractNumId="0">
    <w:multiLevelType w:val="hybridMultilevel"/>
    <w:lvl w:ilvl="0">
      <w:start w:val="0"/>
      <w:numFmt w:val="bullet"/>
      <w:lvlText w:val="•"/>
      <w:lvlJc w:val="left"/>
      <w:pPr>
        <w:ind w:left="1112" w:hanging="167"/>
      </w:pPr>
      <w:rPr>
        <w:rFonts w:hint="default" w:ascii="Arial" w:hAnsi="Arial" w:eastAsia="Arial" w:cs="Arial"/>
        <w:w w:val="142"/>
        <w:sz w:val="22"/>
        <w:szCs w:val="22"/>
      </w:rPr>
    </w:lvl>
    <w:lvl w:ilvl="1">
      <w:start w:val="0"/>
      <w:numFmt w:val="bullet"/>
      <w:lvlText w:val="•"/>
      <w:lvlJc w:val="left"/>
      <w:pPr>
        <w:ind w:left="1577" w:hanging="167"/>
      </w:pPr>
      <w:rPr>
        <w:rFonts w:hint="default"/>
      </w:rPr>
    </w:lvl>
    <w:lvl w:ilvl="2">
      <w:start w:val="0"/>
      <w:numFmt w:val="bullet"/>
      <w:lvlText w:val="•"/>
      <w:lvlJc w:val="left"/>
      <w:pPr>
        <w:ind w:left="2034" w:hanging="167"/>
      </w:pPr>
      <w:rPr>
        <w:rFonts w:hint="default"/>
      </w:rPr>
    </w:lvl>
    <w:lvl w:ilvl="3">
      <w:start w:val="0"/>
      <w:numFmt w:val="bullet"/>
      <w:lvlText w:val="•"/>
      <w:lvlJc w:val="left"/>
      <w:pPr>
        <w:ind w:left="2491" w:hanging="167"/>
      </w:pPr>
      <w:rPr>
        <w:rFonts w:hint="default"/>
      </w:rPr>
    </w:lvl>
    <w:lvl w:ilvl="4">
      <w:start w:val="0"/>
      <w:numFmt w:val="bullet"/>
      <w:lvlText w:val="•"/>
      <w:lvlJc w:val="left"/>
      <w:pPr>
        <w:ind w:left="2948" w:hanging="167"/>
      </w:pPr>
      <w:rPr>
        <w:rFonts w:hint="default"/>
      </w:rPr>
    </w:lvl>
    <w:lvl w:ilvl="5">
      <w:start w:val="0"/>
      <w:numFmt w:val="bullet"/>
      <w:lvlText w:val="•"/>
      <w:lvlJc w:val="left"/>
      <w:pPr>
        <w:ind w:left="3406" w:hanging="167"/>
      </w:pPr>
      <w:rPr>
        <w:rFonts w:hint="default"/>
      </w:rPr>
    </w:lvl>
    <w:lvl w:ilvl="6">
      <w:start w:val="0"/>
      <w:numFmt w:val="bullet"/>
      <w:lvlText w:val="•"/>
      <w:lvlJc w:val="left"/>
      <w:pPr>
        <w:ind w:left="3863" w:hanging="167"/>
      </w:pPr>
      <w:rPr>
        <w:rFonts w:hint="default"/>
      </w:rPr>
    </w:lvl>
    <w:lvl w:ilvl="7">
      <w:start w:val="0"/>
      <w:numFmt w:val="bullet"/>
      <w:lvlText w:val="•"/>
      <w:lvlJc w:val="left"/>
      <w:pPr>
        <w:ind w:left="4320" w:hanging="167"/>
      </w:pPr>
      <w:rPr>
        <w:rFonts w:hint="default"/>
      </w:rPr>
    </w:lvl>
    <w:lvl w:ilvl="8">
      <w:start w:val="0"/>
      <w:numFmt w:val="bullet"/>
      <w:lvlText w:val="•"/>
      <w:lvlJc w:val="left"/>
      <w:pPr>
        <w:ind w:left="4777" w:hanging="167"/>
      </w:pPr>
      <w:rPr>
        <w:rFonts w:hint="default"/>
      </w:rPr>
    </w:lvl>
  </w:abstractNum>
  <w:abstractNum w:abstractNumId="37">
    <w:multiLevelType w:val="hybridMultilevel"/>
    <w:lvl w:ilvl="0">
      <w:start w:val="0"/>
      <w:numFmt w:val="bullet"/>
      <w:lvlText w:val="•"/>
      <w:lvlJc w:val="left"/>
      <w:pPr>
        <w:ind w:left="948" w:hanging="172"/>
      </w:pPr>
      <w:rPr>
        <w:rFonts w:hint="default" w:ascii="Arial" w:hAnsi="Arial" w:eastAsia="Arial" w:cs="Arial"/>
        <w:w w:val="142"/>
        <w:sz w:val="22"/>
        <w:szCs w:val="22"/>
      </w:rPr>
    </w:lvl>
    <w:lvl w:ilvl="1">
      <w:start w:val="0"/>
      <w:numFmt w:val="bullet"/>
      <w:lvlText w:val="•"/>
      <w:lvlJc w:val="left"/>
      <w:pPr>
        <w:ind w:left="1401" w:hanging="172"/>
      </w:pPr>
      <w:rPr>
        <w:rFonts w:hint="default"/>
      </w:rPr>
    </w:lvl>
    <w:lvl w:ilvl="2">
      <w:start w:val="0"/>
      <w:numFmt w:val="bullet"/>
      <w:lvlText w:val="•"/>
      <w:lvlJc w:val="left"/>
      <w:pPr>
        <w:ind w:left="1863" w:hanging="172"/>
      </w:pPr>
      <w:rPr>
        <w:rFonts w:hint="default"/>
      </w:rPr>
    </w:lvl>
    <w:lvl w:ilvl="3">
      <w:start w:val="0"/>
      <w:numFmt w:val="bullet"/>
      <w:lvlText w:val="•"/>
      <w:lvlJc w:val="left"/>
      <w:pPr>
        <w:ind w:left="2325" w:hanging="172"/>
      </w:pPr>
      <w:rPr>
        <w:rFonts w:hint="default"/>
      </w:rPr>
    </w:lvl>
    <w:lvl w:ilvl="4">
      <w:start w:val="0"/>
      <w:numFmt w:val="bullet"/>
      <w:lvlText w:val="•"/>
      <w:lvlJc w:val="left"/>
      <w:pPr>
        <w:ind w:left="2787" w:hanging="172"/>
      </w:pPr>
      <w:rPr>
        <w:rFonts w:hint="default"/>
      </w:rPr>
    </w:lvl>
    <w:lvl w:ilvl="5">
      <w:start w:val="0"/>
      <w:numFmt w:val="bullet"/>
      <w:lvlText w:val="•"/>
      <w:lvlJc w:val="left"/>
      <w:pPr>
        <w:ind w:left="3248" w:hanging="172"/>
      </w:pPr>
      <w:rPr>
        <w:rFonts w:hint="default"/>
      </w:rPr>
    </w:lvl>
    <w:lvl w:ilvl="6">
      <w:start w:val="0"/>
      <w:numFmt w:val="bullet"/>
      <w:lvlText w:val="•"/>
      <w:lvlJc w:val="left"/>
      <w:pPr>
        <w:ind w:left="3710" w:hanging="172"/>
      </w:pPr>
      <w:rPr>
        <w:rFonts w:hint="default"/>
      </w:rPr>
    </w:lvl>
    <w:lvl w:ilvl="7">
      <w:start w:val="0"/>
      <w:numFmt w:val="bullet"/>
      <w:lvlText w:val="•"/>
      <w:lvlJc w:val="left"/>
      <w:pPr>
        <w:ind w:left="4172" w:hanging="172"/>
      </w:pPr>
      <w:rPr>
        <w:rFonts w:hint="default"/>
      </w:rPr>
    </w:lvl>
    <w:lvl w:ilvl="8">
      <w:start w:val="0"/>
      <w:numFmt w:val="bullet"/>
      <w:lvlText w:val="•"/>
      <w:lvlJc w:val="left"/>
      <w:pPr>
        <w:ind w:left="4634" w:hanging="172"/>
      </w:pPr>
      <w:rPr>
        <w:rFonts w:hint="default"/>
      </w:rPr>
    </w:lvl>
  </w:abstractNum>
  <w:abstractNum w:abstractNumId="36">
    <w:multiLevelType w:val="hybridMultilevel"/>
    <w:lvl w:ilvl="0">
      <w:start w:val="0"/>
      <w:numFmt w:val="bullet"/>
      <w:lvlText w:val="-"/>
      <w:lvlJc w:val="left"/>
      <w:pPr>
        <w:ind w:left="890" w:hanging="98"/>
      </w:pPr>
      <w:rPr>
        <w:rFonts w:hint="default" w:ascii="Arial" w:hAnsi="Arial" w:eastAsia="Arial" w:cs="Arial"/>
        <w:i/>
        <w:w w:val="111"/>
        <w:sz w:val="15"/>
        <w:szCs w:val="15"/>
      </w:rPr>
    </w:lvl>
    <w:lvl w:ilvl="1">
      <w:start w:val="0"/>
      <w:numFmt w:val="bullet"/>
      <w:lvlText w:val="•"/>
      <w:lvlJc w:val="left"/>
      <w:pPr>
        <w:ind w:left="1367" w:hanging="98"/>
      </w:pPr>
      <w:rPr>
        <w:rFonts w:hint="default"/>
      </w:rPr>
    </w:lvl>
    <w:lvl w:ilvl="2">
      <w:start w:val="0"/>
      <w:numFmt w:val="bullet"/>
      <w:lvlText w:val="•"/>
      <w:lvlJc w:val="left"/>
      <w:pPr>
        <w:ind w:left="1835" w:hanging="98"/>
      </w:pPr>
      <w:rPr>
        <w:rFonts w:hint="default"/>
      </w:rPr>
    </w:lvl>
    <w:lvl w:ilvl="3">
      <w:start w:val="0"/>
      <w:numFmt w:val="bullet"/>
      <w:lvlText w:val="•"/>
      <w:lvlJc w:val="left"/>
      <w:pPr>
        <w:ind w:left="2303" w:hanging="98"/>
      </w:pPr>
      <w:rPr>
        <w:rFonts w:hint="default"/>
      </w:rPr>
    </w:lvl>
    <w:lvl w:ilvl="4">
      <w:start w:val="0"/>
      <w:numFmt w:val="bullet"/>
      <w:lvlText w:val="•"/>
      <w:lvlJc w:val="left"/>
      <w:pPr>
        <w:ind w:left="2771" w:hanging="98"/>
      </w:pPr>
      <w:rPr>
        <w:rFonts w:hint="default"/>
      </w:rPr>
    </w:lvl>
    <w:lvl w:ilvl="5">
      <w:start w:val="0"/>
      <w:numFmt w:val="bullet"/>
      <w:lvlText w:val="•"/>
      <w:lvlJc w:val="left"/>
      <w:pPr>
        <w:ind w:left="3239" w:hanging="98"/>
      </w:pPr>
      <w:rPr>
        <w:rFonts w:hint="default"/>
      </w:rPr>
    </w:lvl>
    <w:lvl w:ilvl="6">
      <w:start w:val="0"/>
      <w:numFmt w:val="bullet"/>
      <w:lvlText w:val="•"/>
      <w:lvlJc w:val="left"/>
      <w:pPr>
        <w:ind w:left="3707" w:hanging="98"/>
      </w:pPr>
      <w:rPr>
        <w:rFonts w:hint="default"/>
      </w:rPr>
    </w:lvl>
    <w:lvl w:ilvl="7">
      <w:start w:val="0"/>
      <w:numFmt w:val="bullet"/>
      <w:lvlText w:val="•"/>
      <w:lvlJc w:val="left"/>
      <w:pPr>
        <w:ind w:left="4174" w:hanging="98"/>
      </w:pPr>
      <w:rPr>
        <w:rFonts w:hint="default"/>
      </w:rPr>
    </w:lvl>
    <w:lvl w:ilvl="8">
      <w:start w:val="0"/>
      <w:numFmt w:val="bullet"/>
      <w:lvlText w:val="•"/>
      <w:lvlJc w:val="left"/>
      <w:pPr>
        <w:ind w:left="4642" w:hanging="98"/>
      </w:pPr>
      <w:rPr>
        <w:rFonts w:hint="default"/>
      </w:rPr>
    </w:lvl>
  </w:abstractNum>
  <w:abstractNum w:abstractNumId="35">
    <w:multiLevelType w:val="hybridMultilevel"/>
    <w:lvl w:ilvl="0">
      <w:start w:val="1"/>
      <w:numFmt w:val="lowerLetter"/>
      <w:lvlText w:val="(%1)"/>
      <w:lvlJc w:val="left"/>
      <w:pPr>
        <w:ind w:left="594" w:hanging="192"/>
        <w:jc w:val="left"/>
      </w:pPr>
      <w:rPr>
        <w:rFonts w:hint="default" w:ascii="Arial" w:hAnsi="Arial" w:eastAsia="Arial" w:cs="Arial"/>
        <w:w w:val="81"/>
        <w:sz w:val="15"/>
        <w:szCs w:val="15"/>
      </w:rPr>
    </w:lvl>
    <w:lvl w:ilvl="1">
      <w:start w:val="1"/>
      <w:numFmt w:val="decimal"/>
      <w:lvlText w:val="%2."/>
      <w:lvlJc w:val="left"/>
      <w:pPr>
        <w:ind w:left="6254" w:hanging="281"/>
        <w:jc w:val="left"/>
      </w:pPr>
      <w:rPr>
        <w:rFonts w:hint="default" w:ascii="Arial" w:hAnsi="Arial" w:eastAsia="Arial" w:cs="Arial"/>
        <w:spacing w:val="-26"/>
        <w:w w:val="92"/>
        <w:sz w:val="22"/>
        <w:szCs w:val="22"/>
      </w:rPr>
    </w:lvl>
    <w:lvl w:ilvl="2">
      <w:start w:val="0"/>
      <w:numFmt w:val="bullet"/>
      <w:lvlText w:val="•"/>
      <w:lvlJc w:val="left"/>
      <w:pPr>
        <w:ind w:left="6142" w:hanging="281"/>
      </w:pPr>
      <w:rPr>
        <w:rFonts w:hint="default"/>
      </w:rPr>
    </w:lvl>
    <w:lvl w:ilvl="3">
      <w:start w:val="0"/>
      <w:numFmt w:val="bullet"/>
      <w:lvlText w:val="•"/>
      <w:lvlJc w:val="left"/>
      <w:pPr>
        <w:ind w:left="6025" w:hanging="281"/>
      </w:pPr>
      <w:rPr>
        <w:rFonts w:hint="default"/>
      </w:rPr>
    </w:lvl>
    <w:lvl w:ilvl="4">
      <w:start w:val="0"/>
      <w:numFmt w:val="bullet"/>
      <w:lvlText w:val="•"/>
      <w:lvlJc w:val="left"/>
      <w:pPr>
        <w:ind w:left="5908" w:hanging="281"/>
      </w:pPr>
      <w:rPr>
        <w:rFonts w:hint="default"/>
      </w:rPr>
    </w:lvl>
    <w:lvl w:ilvl="5">
      <w:start w:val="0"/>
      <w:numFmt w:val="bullet"/>
      <w:lvlText w:val="•"/>
      <w:lvlJc w:val="left"/>
      <w:pPr>
        <w:ind w:left="5790" w:hanging="281"/>
      </w:pPr>
      <w:rPr>
        <w:rFonts w:hint="default"/>
      </w:rPr>
    </w:lvl>
    <w:lvl w:ilvl="6">
      <w:start w:val="0"/>
      <w:numFmt w:val="bullet"/>
      <w:lvlText w:val="•"/>
      <w:lvlJc w:val="left"/>
      <w:pPr>
        <w:ind w:left="5673" w:hanging="281"/>
      </w:pPr>
      <w:rPr>
        <w:rFonts w:hint="default"/>
      </w:rPr>
    </w:lvl>
    <w:lvl w:ilvl="7">
      <w:start w:val="0"/>
      <w:numFmt w:val="bullet"/>
      <w:lvlText w:val="•"/>
      <w:lvlJc w:val="left"/>
      <w:pPr>
        <w:ind w:left="5556" w:hanging="281"/>
      </w:pPr>
      <w:rPr>
        <w:rFonts w:hint="default"/>
      </w:rPr>
    </w:lvl>
    <w:lvl w:ilvl="8">
      <w:start w:val="0"/>
      <w:numFmt w:val="bullet"/>
      <w:lvlText w:val="•"/>
      <w:lvlJc w:val="left"/>
      <w:pPr>
        <w:ind w:left="5439" w:hanging="281"/>
      </w:pPr>
      <w:rPr>
        <w:rFonts w:hint="default"/>
      </w:rPr>
    </w:lvl>
  </w:abstractNum>
  <w:abstractNum w:abstractNumId="34">
    <w:multiLevelType w:val="hybridMultilevel"/>
    <w:lvl w:ilvl="0">
      <w:start w:val="1"/>
      <w:numFmt w:val="lowerLetter"/>
      <w:lvlText w:val="(%1)"/>
      <w:lvlJc w:val="left"/>
      <w:pPr>
        <w:ind w:left="973" w:hanging="192"/>
        <w:jc w:val="right"/>
      </w:pPr>
      <w:rPr>
        <w:rFonts w:hint="default" w:ascii="Arial" w:hAnsi="Arial" w:eastAsia="Arial" w:cs="Arial"/>
        <w:w w:val="81"/>
        <w:sz w:val="15"/>
        <w:szCs w:val="15"/>
      </w:rPr>
    </w:lvl>
    <w:lvl w:ilvl="1">
      <w:start w:val="1"/>
      <w:numFmt w:val="decimal"/>
      <w:lvlText w:val="%2."/>
      <w:lvlJc w:val="left"/>
      <w:pPr>
        <w:ind w:left="1045" w:hanging="281"/>
        <w:jc w:val="left"/>
      </w:pPr>
      <w:rPr>
        <w:rFonts w:hint="default" w:ascii="Arial" w:hAnsi="Arial" w:eastAsia="Arial" w:cs="Arial"/>
        <w:spacing w:val="-26"/>
        <w:w w:val="92"/>
        <w:sz w:val="22"/>
        <w:szCs w:val="22"/>
      </w:rPr>
    </w:lvl>
    <w:lvl w:ilvl="2">
      <w:start w:val="0"/>
      <w:numFmt w:val="bullet"/>
      <w:lvlText w:val="•"/>
      <w:lvlJc w:val="left"/>
      <w:pPr>
        <w:ind w:left="1542" w:hanging="281"/>
      </w:pPr>
      <w:rPr>
        <w:rFonts w:hint="default"/>
      </w:rPr>
    </w:lvl>
    <w:lvl w:ilvl="3">
      <w:start w:val="0"/>
      <w:numFmt w:val="bullet"/>
      <w:lvlText w:val="•"/>
      <w:lvlJc w:val="left"/>
      <w:pPr>
        <w:ind w:left="2044" w:hanging="281"/>
      </w:pPr>
      <w:rPr>
        <w:rFonts w:hint="default"/>
      </w:rPr>
    </w:lvl>
    <w:lvl w:ilvl="4">
      <w:start w:val="0"/>
      <w:numFmt w:val="bullet"/>
      <w:lvlText w:val="•"/>
      <w:lvlJc w:val="left"/>
      <w:pPr>
        <w:ind w:left="2547" w:hanging="281"/>
      </w:pPr>
      <w:rPr>
        <w:rFonts w:hint="default"/>
      </w:rPr>
    </w:lvl>
    <w:lvl w:ilvl="5">
      <w:start w:val="0"/>
      <w:numFmt w:val="bullet"/>
      <w:lvlText w:val="•"/>
      <w:lvlJc w:val="left"/>
      <w:pPr>
        <w:ind w:left="3049" w:hanging="281"/>
      </w:pPr>
      <w:rPr>
        <w:rFonts w:hint="default"/>
      </w:rPr>
    </w:lvl>
    <w:lvl w:ilvl="6">
      <w:start w:val="0"/>
      <w:numFmt w:val="bullet"/>
      <w:lvlText w:val="•"/>
      <w:lvlJc w:val="left"/>
      <w:pPr>
        <w:ind w:left="3552" w:hanging="281"/>
      </w:pPr>
      <w:rPr>
        <w:rFonts w:hint="default"/>
      </w:rPr>
    </w:lvl>
    <w:lvl w:ilvl="7">
      <w:start w:val="0"/>
      <w:numFmt w:val="bullet"/>
      <w:lvlText w:val="•"/>
      <w:lvlJc w:val="left"/>
      <w:pPr>
        <w:ind w:left="4054" w:hanging="281"/>
      </w:pPr>
      <w:rPr>
        <w:rFonts w:hint="default"/>
      </w:rPr>
    </w:lvl>
    <w:lvl w:ilvl="8">
      <w:start w:val="0"/>
      <w:numFmt w:val="bullet"/>
      <w:lvlText w:val="•"/>
      <w:lvlJc w:val="left"/>
      <w:pPr>
        <w:ind w:left="4556" w:hanging="281"/>
      </w:pPr>
      <w:rPr>
        <w:rFonts w:hint="default"/>
      </w:rPr>
    </w:lvl>
  </w:abstractNum>
  <w:abstractNum w:abstractNumId="33">
    <w:multiLevelType w:val="hybridMultilevel"/>
    <w:lvl w:ilvl="0">
      <w:start w:val="1"/>
      <w:numFmt w:val="lowerLetter"/>
      <w:lvlText w:val="(%1)"/>
      <w:lvlJc w:val="left"/>
      <w:pPr>
        <w:ind w:left="973" w:hanging="192"/>
        <w:jc w:val="right"/>
      </w:pPr>
      <w:rPr>
        <w:rFonts w:hint="default" w:ascii="Arial" w:hAnsi="Arial" w:eastAsia="Arial" w:cs="Arial"/>
        <w:w w:val="81"/>
        <w:sz w:val="15"/>
        <w:szCs w:val="15"/>
      </w:rPr>
    </w:lvl>
    <w:lvl w:ilvl="1">
      <w:start w:val="0"/>
      <w:numFmt w:val="bullet"/>
      <w:lvlText w:val="•"/>
      <w:lvlJc w:val="left"/>
      <w:pPr>
        <w:ind w:left="1421" w:hanging="192"/>
      </w:pPr>
      <w:rPr>
        <w:rFonts w:hint="default"/>
      </w:rPr>
    </w:lvl>
    <w:lvl w:ilvl="2">
      <w:start w:val="0"/>
      <w:numFmt w:val="bullet"/>
      <w:lvlText w:val="•"/>
      <w:lvlJc w:val="left"/>
      <w:pPr>
        <w:ind w:left="1863" w:hanging="192"/>
      </w:pPr>
      <w:rPr>
        <w:rFonts w:hint="default"/>
      </w:rPr>
    </w:lvl>
    <w:lvl w:ilvl="3">
      <w:start w:val="0"/>
      <w:numFmt w:val="bullet"/>
      <w:lvlText w:val="•"/>
      <w:lvlJc w:val="left"/>
      <w:pPr>
        <w:ind w:left="2305" w:hanging="192"/>
      </w:pPr>
      <w:rPr>
        <w:rFonts w:hint="default"/>
      </w:rPr>
    </w:lvl>
    <w:lvl w:ilvl="4">
      <w:start w:val="0"/>
      <w:numFmt w:val="bullet"/>
      <w:lvlText w:val="•"/>
      <w:lvlJc w:val="left"/>
      <w:pPr>
        <w:ind w:left="2747" w:hanging="192"/>
      </w:pPr>
      <w:rPr>
        <w:rFonts w:hint="default"/>
      </w:rPr>
    </w:lvl>
    <w:lvl w:ilvl="5">
      <w:start w:val="0"/>
      <w:numFmt w:val="bullet"/>
      <w:lvlText w:val="•"/>
      <w:lvlJc w:val="left"/>
      <w:pPr>
        <w:ind w:left="3189" w:hanging="192"/>
      </w:pPr>
      <w:rPr>
        <w:rFonts w:hint="default"/>
      </w:rPr>
    </w:lvl>
    <w:lvl w:ilvl="6">
      <w:start w:val="0"/>
      <w:numFmt w:val="bullet"/>
      <w:lvlText w:val="•"/>
      <w:lvlJc w:val="left"/>
      <w:pPr>
        <w:ind w:left="3631" w:hanging="192"/>
      </w:pPr>
      <w:rPr>
        <w:rFonts w:hint="default"/>
      </w:rPr>
    </w:lvl>
    <w:lvl w:ilvl="7">
      <w:start w:val="0"/>
      <w:numFmt w:val="bullet"/>
      <w:lvlText w:val="•"/>
      <w:lvlJc w:val="left"/>
      <w:pPr>
        <w:ind w:left="4073" w:hanging="192"/>
      </w:pPr>
      <w:rPr>
        <w:rFonts w:hint="default"/>
      </w:rPr>
    </w:lvl>
    <w:lvl w:ilvl="8">
      <w:start w:val="0"/>
      <w:numFmt w:val="bullet"/>
      <w:lvlText w:val="•"/>
      <w:lvlJc w:val="left"/>
      <w:pPr>
        <w:ind w:left="4515" w:hanging="192"/>
      </w:pPr>
      <w:rPr>
        <w:rFonts w:hint="default"/>
      </w:rPr>
    </w:lvl>
  </w:abstractNum>
  <w:abstractNum w:abstractNumId="31">
    <w:multiLevelType w:val="hybridMultilevel"/>
    <w:lvl w:ilvl="0">
      <w:start w:val="1"/>
      <w:numFmt w:val="lowerLetter"/>
      <w:lvlText w:val="(%1)"/>
      <w:lvlJc w:val="left"/>
      <w:pPr>
        <w:ind w:left="607" w:hanging="192"/>
        <w:jc w:val="left"/>
      </w:pPr>
      <w:rPr>
        <w:rFonts w:hint="default" w:ascii="Arial" w:hAnsi="Arial" w:eastAsia="Arial" w:cs="Arial"/>
        <w:w w:val="81"/>
        <w:sz w:val="15"/>
        <w:szCs w:val="15"/>
      </w:rPr>
    </w:lvl>
    <w:lvl w:ilvl="1">
      <w:start w:val="0"/>
      <w:numFmt w:val="bullet"/>
      <w:lvlText w:val="•"/>
      <w:lvlJc w:val="left"/>
      <w:pPr>
        <w:ind w:left="1060" w:hanging="192"/>
      </w:pPr>
      <w:rPr>
        <w:rFonts w:hint="default"/>
      </w:rPr>
    </w:lvl>
    <w:lvl w:ilvl="2">
      <w:start w:val="0"/>
      <w:numFmt w:val="bullet"/>
      <w:lvlText w:val="•"/>
      <w:lvlJc w:val="left"/>
      <w:pPr>
        <w:ind w:left="1521" w:hanging="192"/>
      </w:pPr>
      <w:rPr>
        <w:rFonts w:hint="default"/>
      </w:rPr>
    </w:lvl>
    <w:lvl w:ilvl="3">
      <w:start w:val="0"/>
      <w:numFmt w:val="bullet"/>
      <w:lvlText w:val="•"/>
      <w:lvlJc w:val="left"/>
      <w:pPr>
        <w:ind w:left="1982" w:hanging="192"/>
      </w:pPr>
      <w:rPr>
        <w:rFonts w:hint="default"/>
      </w:rPr>
    </w:lvl>
    <w:lvl w:ilvl="4">
      <w:start w:val="0"/>
      <w:numFmt w:val="bullet"/>
      <w:lvlText w:val="•"/>
      <w:lvlJc w:val="left"/>
      <w:pPr>
        <w:ind w:left="2443" w:hanging="192"/>
      </w:pPr>
      <w:rPr>
        <w:rFonts w:hint="default"/>
      </w:rPr>
    </w:lvl>
    <w:lvl w:ilvl="5">
      <w:start w:val="0"/>
      <w:numFmt w:val="bullet"/>
      <w:lvlText w:val="•"/>
      <w:lvlJc w:val="left"/>
      <w:pPr>
        <w:ind w:left="2903" w:hanging="192"/>
      </w:pPr>
      <w:rPr>
        <w:rFonts w:hint="default"/>
      </w:rPr>
    </w:lvl>
    <w:lvl w:ilvl="6">
      <w:start w:val="0"/>
      <w:numFmt w:val="bullet"/>
      <w:lvlText w:val="•"/>
      <w:lvlJc w:val="left"/>
      <w:pPr>
        <w:ind w:left="3364" w:hanging="192"/>
      </w:pPr>
      <w:rPr>
        <w:rFonts w:hint="default"/>
      </w:rPr>
    </w:lvl>
    <w:lvl w:ilvl="7">
      <w:start w:val="0"/>
      <w:numFmt w:val="bullet"/>
      <w:lvlText w:val="•"/>
      <w:lvlJc w:val="left"/>
      <w:pPr>
        <w:ind w:left="3825" w:hanging="192"/>
      </w:pPr>
      <w:rPr>
        <w:rFonts w:hint="default"/>
      </w:rPr>
    </w:lvl>
    <w:lvl w:ilvl="8">
      <w:start w:val="0"/>
      <w:numFmt w:val="bullet"/>
      <w:lvlText w:val="•"/>
      <w:lvlJc w:val="left"/>
      <w:pPr>
        <w:ind w:left="4286" w:hanging="192"/>
      </w:pPr>
      <w:rPr>
        <w:rFonts w:hint="default"/>
      </w:rPr>
    </w:lvl>
  </w:abstractNum>
  <w:abstractNum w:abstractNumId="30">
    <w:multiLevelType w:val="hybridMultilevel"/>
    <w:lvl w:ilvl="0">
      <w:start w:val="0"/>
      <w:numFmt w:val="bullet"/>
      <w:lvlText w:val="•"/>
      <w:lvlJc w:val="left"/>
      <w:pPr>
        <w:ind w:left="948" w:hanging="172"/>
      </w:pPr>
      <w:rPr>
        <w:rFonts w:hint="default" w:ascii="Arial" w:hAnsi="Arial" w:eastAsia="Arial" w:cs="Arial"/>
        <w:w w:val="142"/>
        <w:sz w:val="22"/>
        <w:szCs w:val="22"/>
      </w:rPr>
    </w:lvl>
    <w:lvl w:ilvl="1">
      <w:start w:val="0"/>
      <w:numFmt w:val="bullet"/>
      <w:lvlText w:val="•"/>
      <w:lvlJc w:val="left"/>
      <w:pPr>
        <w:ind w:left="1401" w:hanging="172"/>
      </w:pPr>
      <w:rPr>
        <w:rFonts w:hint="default"/>
      </w:rPr>
    </w:lvl>
    <w:lvl w:ilvl="2">
      <w:start w:val="0"/>
      <w:numFmt w:val="bullet"/>
      <w:lvlText w:val="•"/>
      <w:lvlJc w:val="left"/>
      <w:pPr>
        <w:ind w:left="1863" w:hanging="172"/>
      </w:pPr>
      <w:rPr>
        <w:rFonts w:hint="default"/>
      </w:rPr>
    </w:lvl>
    <w:lvl w:ilvl="3">
      <w:start w:val="0"/>
      <w:numFmt w:val="bullet"/>
      <w:lvlText w:val="•"/>
      <w:lvlJc w:val="left"/>
      <w:pPr>
        <w:ind w:left="2325" w:hanging="172"/>
      </w:pPr>
      <w:rPr>
        <w:rFonts w:hint="default"/>
      </w:rPr>
    </w:lvl>
    <w:lvl w:ilvl="4">
      <w:start w:val="0"/>
      <w:numFmt w:val="bullet"/>
      <w:lvlText w:val="•"/>
      <w:lvlJc w:val="left"/>
      <w:pPr>
        <w:ind w:left="2787" w:hanging="172"/>
      </w:pPr>
      <w:rPr>
        <w:rFonts w:hint="default"/>
      </w:rPr>
    </w:lvl>
    <w:lvl w:ilvl="5">
      <w:start w:val="0"/>
      <w:numFmt w:val="bullet"/>
      <w:lvlText w:val="•"/>
      <w:lvlJc w:val="left"/>
      <w:pPr>
        <w:ind w:left="3249" w:hanging="172"/>
      </w:pPr>
      <w:rPr>
        <w:rFonts w:hint="default"/>
      </w:rPr>
    </w:lvl>
    <w:lvl w:ilvl="6">
      <w:start w:val="0"/>
      <w:numFmt w:val="bullet"/>
      <w:lvlText w:val="•"/>
      <w:lvlJc w:val="left"/>
      <w:pPr>
        <w:ind w:left="3710" w:hanging="172"/>
      </w:pPr>
      <w:rPr>
        <w:rFonts w:hint="default"/>
      </w:rPr>
    </w:lvl>
    <w:lvl w:ilvl="7">
      <w:start w:val="0"/>
      <w:numFmt w:val="bullet"/>
      <w:lvlText w:val="•"/>
      <w:lvlJc w:val="left"/>
      <w:pPr>
        <w:ind w:left="4172" w:hanging="172"/>
      </w:pPr>
      <w:rPr>
        <w:rFonts w:hint="default"/>
      </w:rPr>
    </w:lvl>
    <w:lvl w:ilvl="8">
      <w:start w:val="0"/>
      <w:numFmt w:val="bullet"/>
      <w:lvlText w:val="•"/>
      <w:lvlJc w:val="left"/>
      <w:pPr>
        <w:ind w:left="4634" w:hanging="172"/>
      </w:pPr>
      <w:rPr>
        <w:rFonts w:hint="default"/>
      </w:rPr>
    </w:lvl>
  </w:abstractNum>
  <w:abstractNum w:abstractNumId="29">
    <w:multiLevelType w:val="hybridMultilevel"/>
    <w:lvl w:ilvl="0">
      <w:start w:val="1"/>
      <w:numFmt w:val="lowerLetter"/>
      <w:lvlText w:val="(%1)"/>
      <w:lvlJc w:val="left"/>
      <w:pPr>
        <w:ind w:left="599" w:hanging="192"/>
        <w:jc w:val="left"/>
      </w:pPr>
      <w:rPr>
        <w:rFonts w:hint="default" w:ascii="Arial" w:hAnsi="Arial" w:eastAsia="Arial" w:cs="Arial"/>
        <w:w w:val="81"/>
        <w:sz w:val="15"/>
        <w:szCs w:val="15"/>
      </w:rPr>
    </w:lvl>
    <w:lvl w:ilvl="1">
      <w:start w:val="1"/>
      <w:numFmt w:val="lowerLetter"/>
      <w:lvlText w:val="(%2)"/>
      <w:lvlJc w:val="left"/>
      <w:pPr>
        <w:ind w:left="963" w:hanging="192"/>
        <w:jc w:val="right"/>
      </w:pPr>
      <w:rPr>
        <w:rFonts w:hint="default" w:ascii="Arial" w:hAnsi="Arial" w:eastAsia="Arial" w:cs="Arial"/>
        <w:w w:val="81"/>
        <w:sz w:val="15"/>
        <w:szCs w:val="15"/>
      </w:rPr>
    </w:lvl>
    <w:lvl w:ilvl="2">
      <w:start w:val="1"/>
      <w:numFmt w:val="decimal"/>
      <w:lvlText w:val="%3."/>
      <w:lvlJc w:val="left"/>
      <w:pPr>
        <w:ind w:left="1061" w:hanging="281"/>
        <w:jc w:val="left"/>
      </w:pPr>
      <w:rPr>
        <w:rFonts w:hint="default" w:ascii="Arial" w:hAnsi="Arial" w:eastAsia="Arial" w:cs="Arial"/>
        <w:spacing w:val="-26"/>
        <w:w w:val="92"/>
        <w:sz w:val="22"/>
        <w:szCs w:val="22"/>
      </w:rPr>
    </w:lvl>
    <w:lvl w:ilvl="3">
      <w:start w:val="0"/>
      <w:numFmt w:val="bullet"/>
      <w:lvlText w:val="•"/>
      <w:lvlJc w:val="left"/>
      <w:pPr>
        <w:ind w:left="1568" w:hanging="281"/>
      </w:pPr>
      <w:rPr>
        <w:rFonts w:hint="default"/>
      </w:rPr>
    </w:lvl>
    <w:lvl w:ilvl="4">
      <w:start w:val="0"/>
      <w:numFmt w:val="bullet"/>
      <w:lvlText w:val="•"/>
      <w:lvlJc w:val="left"/>
      <w:pPr>
        <w:ind w:left="2076" w:hanging="281"/>
      </w:pPr>
      <w:rPr>
        <w:rFonts w:hint="default"/>
      </w:rPr>
    </w:lvl>
    <w:lvl w:ilvl="5">
      <w:start w:val="0"/>
      <w:numFmt w:val="bullet"/>
      <w:lvlText w:val="•"/>
      <w:lvlJc w:val="left"/>
      <w:pPr>
        <w:ind w:left="2584" w:hanging="281"/>
      </w:pPr>
      <w:rPr>
        <w:rFonts w:hint="default"/>
      </w:rPr>
    </w:lvl>
    <w:lvl w:ilvl="6">
      <w:start w:val="0"/>
      <w:numFmt w:val="bullet"/>
      <w:lvlText w:val="•"/>
      <w:lvlJc w:val="left"/>
      <w:pPr>
        <w:ind w:left="3092" w:hanging="281"/>
      </w:pPr>
      <w:rPr>
        <w:rFonts w:hint="default"/>
      </w:rPr>
    </w:lvl>
    <w:lvl w:ilvl="7">
      <w:start w:val="0"/>
      <w:numFmt w:val="bullet"/>
      <w:lvlText w:val="•"/>
      <w:lvlJc w:val="left"/>
      <w:pPr>
        <w:ind w:left="3600" w:hanging="281"/>
      </w:pPr>
      <w:rPr>
        <w:rFonts w:hint="default"/>
      </w:rPr>
    </w:lvl>
    <w:lvl w:ilvl="8">
      <w:start w:val="0"/>
      <w:numFmt w:val="bullet"/>
      <w:lvlText w:val="•"/>
      <w:lvlJc w:val="left"/>
      <w:pPr>
        <w:ind w:left="4108" w:hanging="281"/>
      </w:pPr>
      <w:rPr>
        <w:rFonts w:hint="default"/>
      </w:rPr>
    </w:lvl>
  </w:abstractNum>
  <w:abstractNum w:abstractNumId="28">
    <w:multiLevelType w:val="hybridMultilevel"/>
    <w:lvl w:ilvl="0">
      <w:start w:val="7"/>
      <w:numFmt w:val="decimal"/>
      <w:lvlText w:val="%1."/>
      <w:lvlJc w:val="left"/>
      <w:pPr>
        <w:ind w:left="800" w:hanging="245"/>
        <w:jc w:val="left"/>
      </w:pPr>
      <w:rPr>
        <w:rFonts w:hint="default" w:ascii="Arial" w:hAnsi="Arial" w:eastAsia="Arial" w:cs="Arial"/>
        <w:spacing w:val="-6"/>
        <w:w w:val="92"/>
        <w:sz w:val="22"/>
        <w:szCs w:val="22"/>
      </w:rPr>
    </w:lvl>
    <w:lvl w:ilvl="1">
      <w:start w:val="1"/>
      <w:numFmt w:val="lowerLetter"/>
      <w:lvlText w:val="(%2)"/>
      <w:lvlJc w:val="left"/>
      <w:pPr>
        <w:ind w:left="1083" w:hanging="318"/>
        <w:jc w:val="left"/>
      </w:pPr>
      <w:rPr>
        <w:rFonts w:hint="default" w:ascii="Arial" w:hAnsi="Arial" w:eastAsia="Arial" w:cs="Arial"/>
        <w:b/>
        <w:bCs/>
        <w:w w:val="95"/>
        <w:sz w:val="22"/>
        <w:szCs w:val="22"/>
      </w:rPr>
    </w:lvl>
    <w:lvl w:ilvl="2">
      <w:start w:val="0"/>
      <w:numFmt w:val="bullet"/>
      <w:lvlText w:val="•"/>
      <w:lvlJc w:val="left"/>
      <w:pPr>
        <w:ind w:left="905" w:hanging="318"/>
      </w:pPr>
      <w:rPr>
        <w:rFonts w:hint="default"/>
      </w:rPr>
    </w:lvl>
    <w:lvl w:ilvl="3">
      <w:start w:val="0"/>
      <w:numFmt w:val="bullet"/>
      <w:lvlText w:val="•"/>
      <w:lvlJc w:val="left"/>
      <w:pPr>
        <w:ind w:left="731" w:hanging="318"/>
      </w:pPr>
      <w:rPr>
        <w:rFonts w:hint="default"/>
      </w:rPr>
    </w:lvl>
    <w:lvl w:ilvl="4">
      <w:start w:val="0"/>
      <w:numFmt w:val="bullet"/>
      <w:lvlText w:val="•"/>
      <w:lvlJc w:val="left"/>
      <w:pPr>
        <w:ind w:left="556" w:hanging="318"/>
      </w:pPr>
      <w:rPr>
        <w:rFonts w:hint="default"/>
      </w:rPr>
    </w:lvl>
    <w:lvl w:ilvl="5">
      <w:start w:val="0"/>
      <w:numFmt w:val="bullet"/>
      <w:lvlText w:val="•"/>
      <w:lvlJc w:val="left"/>
      <w:pPr>
        <w:ind w:left="382" w:hanging="318"/>
      </w:pPr>
      <w:rPr>
        <w:rFonts w:hint="default"/>
      </w:rPr>
    </w:lvl>
    <w:lvl w:ilvl="6">
      <w:start w:val="0"/>
      <w:numFmt w:val="bullet"/>
      <w:lvlText w:val="•"/>
      <w:lvlJc w:val="left"/>
      <w:pPr>
        <w:ind w:left="208" w:hanging="318"/>
      </w:pPr>
      <w:rPr>
        <w:rFonts w:hint="default"/>
      </w:rPr>
    </w:lvl>
    <w:lvl w:ilvl="7">
      <w:start w:val="0"/>
      <w:numFmt w:val="bullet"/>
      <w:lvlText w:val="•"/>
      <w:lvlJc w:val="left"/>
      <w:pPr>
        <w:ind w:left="33" w:hanging="318"/>
      </w:pPr>
      <w:rPr>
        <w:rFonts w:hint="default"/>
      </w:rPr>
    </w:lvl>
    <w:lvl w:ilvl="8">
      <w:start w:val="0"/>
      <w:numFmt w:val="bullet"/>
      <w:lvlText w:val="•"/>
      <w:lvlJc w:val="left"/>
      <w:pPr>
        <w:ind w:left="-141" w:hanging="318"/>
      </w:pPr>
      <w:rPr>
        <w:rFonts w:hint="default"/>
      </w:rPr>
    </w:lvl>
  </w:abstractNum>
  <w:abstractNum w:abstractNumId="27">
    <w:multiLevelType w:val="hybridMultilevel"/>
    <w:lvl w:ilvl="0">
      <w:start w:val="1"/>
      <w:numFmt w:val="decimal"/>
      <w:lvlText w:val="%1."/>
      <w:lvlJc w:val="left"/>
      <w:pPr>
        <w:ind w:left="800" w:hanging="245"/>
        <w:jc w:val="left"/>
      </w:pPr>
      <w:rPr>
        <w:rFonts w:hint="default" w:ascii="Arial" w:hAnsi="Arial" w:eastAsia="Arial" w:cs="Arial"/>
        <w:spacing w:val="-9"/>
        <w:w w:val="88"/>
        <w:sz w:val="22"/>
        <w:szCs w:val="22"/>
      </w:rPr>
    </w:lvl>
    <w:lvl w:ilvl="1">
      <w:start w:val="0"/>
      <w:numFmt w:val="bullet"/>
      <w:lvlText w:val="•"/>
      <w:lvlJc w:val="left"/>
      <w:pPr>
        <w:ind w:left="1596" w:hanging="245"/>
      </w:pPr>
      <w:rPr>
        <w:rFonts w:hint="default"/>
      </w:rPr>
    </w:lvl>
    <w:lvl w:ilvl="2">
      <w:start w:val="0"/>
      <w:numFmt w:val="bullet"/>
      <w:lvlText w:val="•"/>
      <w:lvlJc w:val="left"/>
      <w:pPr>
        <w:ind w:left="2392" w:hanging="245"/>
      </w:pPr>
      <w:rPr>
        <w:rFonts w:hint="default"/>
      </w:rPr>
    </w:lvl>
    <w:lvl w:ilvl="3">
      <w:start w:val="0"/>
      <w:numFmt w:val="bullet"/>
      <w:lvlText w:val="•"/>
      <w:lvlJc w:val="left"/>
      <w:pPr>
        <w:ind w:left="3188" w:hanging="245"/>
      </w:pPr>
      <w:rPr>
        <w:rFonts w:hint="default"/>
      </w:rPr>
    </w:lvl>
    <w:lvl w:ilvl="4">
      <w:start w:val="0"/>
      <w:numFmt w:val="bullet"/>
      <w:lvlText w:val="•"/>
      <w:lvlJc w:val="left"/>
      <w:pPr>
        <w:ind w:left="3985" w:hanging="245"/>
      </w:pPr>
      <w:rPr>
        <w:rFonts w:hint="default"/>
      </w:rPr>
    </w:lvl>
    <w:lvl w:ilvl="5">
      <w:start w:val="0"/>
      <w:numFmt w:val="bullet"/>
      <w:lvlText w:val="•"/>
      <w:lvlJc w:val="left"/>
      <w:pPr>
        <w:ind w:left="4781" w:hanging="245"/>
      </w:pPr>
      <w:rPr>
        <w:rFonts w:hint="default"/>
      </w:rPr>
    </w:lvl>
    <w:lvl w:ilvl="6">
      <w:start w:val="0"/>
      <w:numFmt w:val="bullet"/>
      <w:lvlText w:val="•"/>
      <w:lvlJc w:val="left"/>
      <w:pPr>
        <w:ind w:left="5577" w:hanging="245"/>
      </w:pPr>
      <w:rPr>
        <w:rFonts w:hint="default"/>
      </w:rPr>
    </w:lvl>
    <w:lvl w:ilvl="7">
      <w:start w:val="0"/>
      <w:numFmt w:val="bullet"/>
      <w:lvlText w:val="•"/>
      <w:lvlJc w:val="left"/>
      <w:pPr>
        <w:ind w:left="6373" w:hanging="245"/>
      </w:pPr>
      <w:rPr>
        <w:rFonts w:hint="default"/>
      </w:rPr>
    </w:lvl>
    <w:lvl w:ilvl="8">
      <w:start w:val="0"/>
      <w:numFmt w:val="bullet"/>
      <w:lvlText w:val="•"/>
      <w:lvlJc w:val="left"/>
      <w:pPr>
        <w:ind w:left="7170" w:hanging="245"/>
      </w:pPr>
      <w:rPr>
        <w:rFonts w:hint="default"/>
      </w:rPr>
    </w:lvl>
  </w:abstractNum>
  <w:abstractNum w:abstractNumId="26">
    <w:multiLevelType w:val="hybridMultilevel"/>
    <w:lvl w:ilvl="0">
      <w:start w:val="6"/>
      <w:numFmt w:val="decimal"/>
      <w:lvlText w:val="%1."/>
      <w:lvlJc w:val="left"/>
      <w:pPr>
        <w:ind w:left="1010" w:hanging="245"/>
        <w:jc w:val="left"/>
      </w:pPr>
      <w:rPr>
        <w:rFonts w:hint="default" w:ascii="Arial" w:hAnsi="Arial" w:eastAsia="Arial" w:cs="Arial"/>
        <w:spacing w:val="-4"/>
        <w:w w:val="93"/>
        <w:sz w:val="22"/>
        <w:szCs w:val="22"/>
      </w:rPr>
    </w:lvl>
    <w:lvl w:ilvl="1">
      <w:start w:val="0"/>
      <w:numFmt w:val="bullet"/>
      <w:lvlText w:val="•"/>
      <w:lvlJc w:val="left"/>
      <w:pPr>
        <w:ind w:left="1703" w:hanging="245"/>
      </w:pPr>
      <w:rPr>
        <w:rFonts w:hint="default"/>
      </w:rPr>
    </w:lvl>
    <w:lvl w:ilvl="2">
      <w:start w:val="0"/>
      <w:numFmt w:val="bullet"/>
      <w:lvlText w:val="•"/>
      <w:lvlJc w:val="left"/>
      <w:pPr>
        <w:ind w:left="2407" w:hanging="245"/>
      </w:pPr>
      <w:rPr>
        <w:rFonts w:hint="default"/>
      </w:rPr>
    </w:lvl>
    <w:lvl w:ilvl="3">
      <w:start w:val="0"/>
      <w:numFmt w:val="bullet"/>
      <w:lvlText w:val="•"/>
      <w:lvlJc w:val="left"/>
      <w:pPr>
        <w:ind w:left="3110" w:hanging="245"/>
      </w:pPr>
      <w:rPr>
        <w:rFonts w:hint="default"/>
      </w:rPr>
    </w:lvl>
    <w:lvl w:ilvl="4">
      <w:start w:val="0"/>
      <w:numFmt w:val="bullet"/>
      <w:lvlText w:val="•"/>
      <w:lvlJc w:val="left"/>
      <w:pPr>
        <w:ind w:left="3814" w:hanging="245"/>
      </w:pPr>
      <w:rPr>
        <w:rFonts w:hint="default"/>
      </w:rPr>
    </w:lvl>
    <w:lvl w:ilvl="5">
      <w:start w:val="0"/>
      <w:numFmt w:val="bullet"/>
      <w:lvlText w:val="•"/>
      <w:lvlJc w:val="left"/>
      <w:pPr>
        <w:ind w:left="4517" w:hanging="245"/>
      </w:pPr>
      <w:rPr>
        <w:rFonts w:hint="default"/>
      </w:rPr>
    </w:lvl>
    <w:lvl w:ilvl="6">
      <w:start w:val="0"/>
      <w:numFmt w:val="bullet"/>
      <w:lvlText w:val="•"/>
      <w:lvlJc w:val="left"/>
      <w:pPr>
        <w:ind w:left="5221" w:hanging="245"/>
      </w:pPr>
      <w:rPr>
        <w:rFonts w:hint="default"/>
      </w:rPr>
    </w:lvl>
    <w:lvl w:ilvl="7">
      <w:start w:val="0"/>
      <w:numFmt w:val="bullet"/>
      <w:lvlText w:val="•"/>
      <w:lvlJc w:val="left"/>
      <w:pPr>
        <w:ind w:left="5924" w:hanging="245"/>
      </w:pPr>
      <w:rPr>
        <w:rFonts w:hint="default"/>
      </w:rPr>
    </w:lvl>
    <w:lvl w:ilvl="8">
      <w:start w:val="0"/>
      <w:numFmt w:val="bullet"/>
      <w:lvlText w:val="•"/>
      <w:lvlJc w:val="left"/>
      <w:pPr>
        <w:ind w:left="6628" w:hanging="245"/>
      </w:pPr>
      <w:rPr>
        <w:rFonts w:hint="default"/>
      </w:rPr>
    </w:lvl>
  </w:abstractNum>
  <w:abstractNum w:abstractNumId="25">
    <w:multiLevelType w:val="hybridMultilevel"/>
    <w:lvl w:ilvl="0">
      <w:start w:val="3"/>
      <w:numFmt w:val="decimal"/>
      <w:lvlText w:val="%1."/>
      <w:lvlJc w:val="left"/>
      <w:pPr>
        <w:ind w:left="1010" w:hanging="245"/>
        <w:jc w:val="left"/>
      </w:pPr>
      <w:rPr>
        <w:rFonts w:hint="default" w:ascii="Arial" w:hAnsi="Arial" w:eastAsia="Arial" w:cs="Arial"/>
        <w:spacing w:val="-4"/>
        <w:w w:val="92"/>
        <w:sz w:val="22"/>
        <w:szCs w:val="22"/>
      </w:rPr>
    </w:lvl>
    <w:lvl w:ilvl="1">
      <w:start w:val="0"/>
      <w:numFmt w:val="bullet"/>
      <w:lvlText w:val="•"/>
      <w:lvlJc w:val="left"/>
      <w:pPr>
        <w:ind w:left="1703" w:hanging="245"/>
      </w:pPr>
      <w:rPr>
        <w:rFonts w:hint="default"/>
      </w:rPr>
    </w:lvl>
    <w:lvl w:ilvl="2">
      <w:start w:val="0"/>
      <w:numFmt w:val="bullet"/>
      <w:lvlText w:val="•"/>
      <w:lvlJc w:val="left"/>
      <w:pPr>
        <w:ind w:left="2407" w:hanging="245"/>
      </w:pPr>
      <w:rPr>
        <w:rFonts w:hint="default"/>
      </w:rPr>
    </w:lvl>
    <w:lvl w:ilvl="3">
      <w:start w:val="0"/>
      <w:numFmt w:val="bullet"/>
      <w:lvlText w:val="•"/>
      <w:lvlJc w:val="left"/>
      <w:pPr>
        <w:ind w:left="3110" w:hanging="245"/>
      </w:pPr>
      <w:rPr>
        <w:rFonts w:hint="default"/>
      </w:rPr>
    </w:lvl>
    <w:lvl w:ilvl="4">
      <w:start w:val="0"/>
      <w:numFmt w:val="bullet"/>
      <w:lvlText w:val="•"/>
      <w:lvlJc w:val="left"/>
      <w:pPr>
        <w:ind w:left="3814" w:hanging="245"/>
      </w:pPr>
      <w:rPr>
        <w:rFonts w:hint="default"/>
      </w:rPr>
    </w:lvl>
    <w:lvl w:ilvl="5">
      <w:start w:val="0"/>
      <w:numFmt w:val="bullet"/>
      <w:lvlText w:val="•"/>
      <w:lvlJc w:val="left"/>
      <w:pPr>
        <w:ind w:left="4517" w:hanging="245"/>
      </w:pPr>
      <w:rPr>
        <w:rFonts w:hint="default"/>
      </w:rPr>
    </w:lvl>
    <w:lvl w:ilvl="6">
      <w:start w:val="0"/>
      <w:numFmt w:val="bullet"/>
      <w:lvlText w:val="•"/>
      <w:lvlJc w:val="left"/>
      <w:pPr>
        <w:ind w:left="5221" w:hanging="245"/>
      </w:pPr>
      <w:rPr>
        <w:rFonts w:hint="default"/>
      </w:rPr>
    </w:lvl>
    <w:lvl w:ilvl="7">
      <w:start w:val="0"/>
      <w:numFmt w:val="bullet"/>
      <w:lvlText w:val="•"/>
      <w:lvlJc w:val="left"/>
      <w:pPr>
        <w:ind w:left="5924" w:hanging="245"/>
      </w:pPr>
      <w:rPr>
        <w:rFonts w:hint="default"/>
      </w:rPr>
    </w:lvl>
    <w:lvl w:ilvl="8">
      <w:start w:val="0"/>
      <w:numFmt w:val="bullet"/>
      <w:lvlText w:val="•"/>
      <w:lvlJc w:val="left"/>
      <w:pPr>
        <w:ind w:left="6628" w:hanging="245"/>
      </w:pPr>
      <w:rPr>
        <w:rFonts w:hint="default"/>
      </w:rPr>
    </w:lvl>
  </w:abstractNum>
  <w:abstractNum w:abstractNumId="24">
    <w:multiLevelType w:val="hybridMultilevel"/>
    <w:lvl w:ilvl="0">
      <w:start w:val="4"/>
      <w:numFmt w:val="decimal"/>
      <w:lvlText w:val="%1."/>
      <w:lvlJc w:val="left"/>
      <w:pPr>
        <w:ind w:left="763" w:hanging="245"/>
        <w:jc w:val="left"/>
      </w:pPr>
      <w:rPr>
        <w:rFonts w:hint="default" w:ascii="Arial" w:hAnsi="Arial" w:eastAsia="Arial" w:cs="Arial"/>
        <w:spacing w:val="-4"/>
        <w:w w:val="92"/>
        <w:sz w:val="22"/>
        <w:szCs w:val="22"/>
      </w:rPr>
    </w:lvl>
    <w:lvl w:ilvl="1">
      <w:start w:val="1"/>
      <w:numFmt w:val="lowerLetter"/>
      <w:lvlText w:val="(%2)"/>
      <w:lvlJc w:val="left"/>
      <w:pPr>
        <w:ind w:left="957" w:hanging="192"/>
        <w:jc w:val="left"/>
      </w:pPr>
      <w:rPr>
        <w:rFonts w:hint="default" w:ascii="Arial" w:hAnsi="Arial" w:eastAsia="Arial" w:cs="Arial"/>
        <w:w w:val="81"/>
        <w:sz w:val="15"/>
        <w:szCs w:val="15"/>
      </w:rPr>
    </w:lvl>
    <w:lvl w:ilvl="2">
      <w:start w:val="0"/>
      <w:numFmt w:val="bullet"/>
      <w:lvlText w:val="•"/>
      <w:lvlJc w:val="left"/>
      <w:pPr>
        <w:ind w:left="1822" w:hanging="192"/>
      </w:pPr>
      <w:rPr>
        <w:rFonts w:hint="default"/>
      </w:rPr>
    </w:lvl>
    <w:lvl w:ilvl="3">
      <w:start w:val="0"/>
      <w:numFmt w:val="bullet"/>
      <w:lvlText w:val="•"/>
      <w:lvlJc w:val="left"/>
      <w:pPr>
        <w:ind w:left="2685" w:hanging="192"/>
      </w:pPr>
      <w:rPr>
        <w:rFonts w:hint="default"/>
      </w:rPr>
    </w:lvl>
    <w:lvl w:ilvl="4">
      <w:start w:val="0"/>
      <w:numFmt w:val="bullet"/>
      <w:lvlText w:val="•"/>
      <w:lvlJc w:val="left"/>
      <w:pPr>
        <w:ind w:left="3548" w:hanging="192"/>
      </w:pPr>
      <w:rPr>
        <w:rFonts w:hint="default"/>
      </w:rPr>
    </w:lvl>
    <w:lvl w:ilvl="5">
      <w:start w:val="0"/>
      <w:numFmt w:val="bullet"/>
      <w:lvlText w:val="•"/>
      <w:lvlJc w:val="left"/>
      <w:pPr>
        <w:ind w:left="4411" w:hanging="192"/>
      </w:pPr>
      <w:rPr>
        <w:rFonts w:hint="default"/>
      </w:rPr>
    </w:lvl>
    <w:lvl w:ilvl="6">
      <w:start w:val="0"/>
      <w:numFmt w:val="bullet"/>
      <w:lvlText w:val="•"/>
      <w:lvlJc w:val="left"/>
      <w:pPr>
        <w:ind w:left="5274" w:hanging="192"/>
      </w:pPr>
      <w:rPr>
        <w:rFonts w:hint="default"/>
      </w:rPr>
    </w:lvl>
    <w:lvl w:ilvl="7">
      <w:start w:val="0"/>
      <w:numFmt w:val="bullet"/>
      <w:lvlText w:val="•"/>
      <w:lvlJc w:val="left"/>
      <w:pPr>
        <w:ind w:left="6137" w:hanging="192"/>
      </w:pPr>
      <w:rPr>
        <w:rFonts w:hint="default"/>
      </w:rPr>
    </w:lvl>
    <w:lvl w:ilvl="8">
      <w:start w:val="0"/>
      <w:numFmt w:val="bullet"/>
      <w:lvlText w:val="•"/>
      <w:lvlJc w:val="left"/>
      <w:pPr>
        <w:ind w:left="6999" w:hanging="192"/>
      </w:pPr>
      <w:rPr>
        <w:rFonts w:hint="default"/>
      </w:rPr>
    </w:lvl>
  </w:abstractNum>
  <w:abstractNum w:abstractNumId="23">
    <w:multiLevelType w:val="hybridMultilevel"/>
    <w:lvl w:ilvl="0">
      <w:start w:val="1"/>
      <w:numFmt w:val="decimal"/>
      <w:lvlText w:val="%1."/>
      <w:lvlJc w:val="left"/>
      <w:pPr>
        <w:ind w:left="763" w:hanging="245"/>
        <w:jc w:val="left"/>
      </w:pPr>
      <w:rPr>
        <w:rFonts w:hint="default" w:ascii="Arial" w:hAnsi="Arial" w:eastAsia="Arial" w:cs="Arial"/>
        <w:spacing w:val="-13"/>
        <w:w w:val="93"/>
        <w:sz w:val="22"/>
        <w:szCs w:val="22"/>
      </w:rPr>
    </w:lvl>
    <w:lvl w:ilvl="1">
      <w:start w:val="0"/>
      <w:numFmt w:val="bullet"/>
      <w:lvlText w:val="•"/>
      <w:lvlJc w:val="left"/>
      <w:pPr>
        <w:ind w:left="1556" w:hanging="245"/>
      </w:pPr>
      <w:rPr>
        <w:rFonts w:hint="default"/>
      </w:rPr>
    </w:lvl>
    <w:lvl w:ilvl="2">
      <w:start w:val="0"/>
      <w:numFmt w:val="bullet"/>
      <w:lvlText w:val="•"/>
      <w:lvlJc w:val="left"/>
      <w:pPr>
        <w:ind w:left="2353" w:hanging="245"/>
      </w:pPr>
      <w:rPr>
        <w:rFonts w:hint="default"/>
      </w:rPr>
    </w:lvl>
    <w:lvl w:ilvl="3">
      <w:start w:val="0"/>
      <w:numFmt w:val="bullet"/>
      <w:lvlText w:val="•"/>
      <w:lvlJc w:val="left"/>
      <w:pPr>
        <w:ind w:left="3149" w:hanging="245"/>
      </w:pPr>
      <w:rPr>
        <w:rFonts w:hint="default"/>
      </w:rPr>
    </w:lvl>
    <w:lvl w:ilvl="4">
      <w:start w:val="0"/>
      <w:numFmt w:val="bullet"/>
      <w:lvlText w:val="•"/>
      <w:lvlJc w:val="left"/>
      <w:pPr>
        <w:ind w:left="3946" w:hanging="245"/>
      </w:pPr>
      <w:rPr>
        <w:rFonts w:hint="default"/>
      </w:rPr>
    </w:lvl>
    <w:lvl w:ilvl="5">
      <w:start w:val="0"/>
      <w:numFmt w:val="bullet"/>
      <w:lvlText w:val="•"/>
      <w:lvlJc w:val="left"/>
      <w:pPr>
        <w:ind w:left="4742" w:hanging="245"/>
      </w:pPr>
      <w:rPr>
        <w:rFonts w:hint="default"/>
      </w:rPr>
    </w:lvl>
    <w:lvl w:ilvl="6">
      <w:start w:val="0"/>
      <w:numFmt w:val="bullet"/>
      <w:lvlText w:val="•"/>
      <w:lvlJc w:val="left"/>
      <w:pPr>
        <w:ind w:left="5539" w:hanging="245"/>
      </w:pPr>
      <w:rPr>
        <w:rFonts w:hint="default"/>
      </w:rPr>
    </w:lvl>
    <w:lvl w:ilvl="7">
      <w:start w:val="0"/>
      <w:numFmt w:val="bullet"/>
      <w:lvlText w:val="•"/>
      <w:lvlJc w:val="left"/>
      <w:pPr>
        <w:ind w:left="6335" w:hanging="245"/>
      </w:pPr>
      <w:rPr>
        <w:rFonts w:hint="default"/>
      </w:rPr>
    </w:lvl>
    <w:lvl w:ilvl="8">
      <w:start w:val="0"/>
      <w:numFmt w:val="bullet"/>
      <w:lvlText w:val="•"/>
      <w:lvlJc w:val="left"/>
      <w:pPr>
        <w:ind w:left="7132" w:hanging="245"/>
      </w:pPr>
      <w:rPr>
        <w:rFonts w:hint="default"/>
      </w:rPr>
    </w:lvl>
  </w:abstractNum>
  <w:abstractNum w:abstractNumId="22">
    <w:multiLevelType w:val="hybridMultilevel"/>
    <w:lvl w:ilvl="0">
      <w:start w:val="1"/>
      <w:numFmt w:val="decimal"/>
      <w:lvlText w:val="%1."/>
      <w:lvlJc w:val="left"/>
      <w:pPr>
        <w:ind w:left="972" w:hanging="206"/>
        <w:jc w:val="left"/>
      </w:pPr>
      <w:rPr>
        <w:rFonts w:hint="default"/>
        <w:spacing w:val="-2"/>
        <w:w w:val="100"/>
      </w:rPr>
    </w:lvl>
    <w:lvl w:ilvl="1">
      <w:start w:val="0"/>
      <w:numFmt w:val="bullet"/>
      <w:lvlText w:val="•"/>
      <w:lvlJc w:val="left"/>
      <w:pPr>
        <w:ind w:left="2565" w:hanging="206"/>
      </w:pPr>
      <w:rPr>
        <w:rFonts w:hint="default"/>
      </w:rPr>
    </w:lvl>
    <w:lvl w:ilvl="2">
      <w:start w:val="0"/>
      <w:numFmt w:val="bullet"/>
      <w:lvlText w:val="•"/>
      <w:lvlJc w:val="left"/>
      <w:pPr>
        <w:ind w:left="4151" w:hanging="206"/>
      </w:pPr>
      <w:rPr>
        <w:rFonts w:hint="default"/>
      </w:rPr>
    </w:lvl>
    <w:lvl w:ilvl="3">
      <w:start w:val="0"/>
      <w:numFmt w:val="bullet"/>
      <w:lvlText w:val="•"/>
      <w:lvlJc w:val="left"/>
      <w:pPr>
        <w:ind w:left="5737" w:hanging="206"/>
      </w:pPr>
      <w:rPr>
        <w:rFonts w:hint="default"/>
      </w:rPr>
    </w:lvl>
    <w:lvl w:ilvl="4">
      <w:start w:val="0"/>
      <w:numFmt w:val="bullet"/>
      <w:lvlText w:val="•"/>
      <w:lvlJc w:val="left"/>
      <w:pPr>
        <w:ind w:left="7323" w:hanging="206"/>
      </w:pPr>
      <w:rPr>
        <w:rFonts w:hint="default"/>
      </w:rPr>
    </w:lvl>
    <w:lvl w:ilvl="5">
      <w:start w:val="0"/>
      <w:numFmt w:val="bullet"/>
      <w:lvlText w:val="•"/>
      <w:lvlJc w:val="left"/>
      <w:pPr>
        <w:ind w:left="8908" w:hanging="206"/>
      </w:pPr>
      <w:rPr>
        <w:rFonts w:hint="default"/>
      </w:rPr>
    </w:lvl>
    <w:lvl w:ilvl="6">
      <w:start w:val="0"/>
      <w:numFmt w:val="bullet"/>
      <w:lvlText w:val="•"/>
      <w:lvlJc w:val="left"/>
      <w:pPr>
        <w:ind w:left="10494" w:hanging="206"/>
      </w:pPr>
      <w:rPr>
        <w:rFonts w:hint="default"/>
      </w:rPr>
    </w:lvl>
    <w:lvl w:ilvl="7">
      <w:start w:val="0"/>
      <w:numFmt w:val="bullet"/>
      <w:lvlText w:val="•"/>
      <w:lvlJc w:val="left"/>
      <w:pPr>
        <w:ind w:left="12080" w:hanging="206"/>
      </w:pPr>
      <w:rPr>
        <w:rFonts w:hint="default"/>
      </w:rPr>
    </w:lvl>
    <w:lvl w:ilvl="8">
      <w:start w:val="0"/>
      <w:numFmt w:val="bullet"/>
      <w:lvlText w:val="•"/>
      <w:lvlJc w:val="left"/>
      <w:pPr>
        <w:ind w:left="13666" w:hanging="206"/>
      </w:pPr>
      <w:rPr>
        <w:rFonts w:hint="default"/>
      </w:rPr>
    </w:lvl>
  </w:abstractNum>
  <w:abstractNum w:abstractNumId="21">
    <w:multiLevelType w:val="hybridMultilevel"/>
    <w:lvl w:ilvl="0">
      <w:start w:val="2"/>
      <w:numFmt w:val="decimal"/>
      <w:lvlText w:val="%1."/>
      <w:lvlJc w:val="left"/>
      <w:pPr>
        <w:ind w:left="970" w:hanging="206"/>
        <w:jc w:val="left"/>
      </w:pPr>
      <w:rPr>
        <w:rFonts w:hint="default" w:ascii="Arial" w:hAnsi="Arial" w:eastAsia="Arial" w:cs="Arial"/>
        <w:spacing w:val="-2"/>
        <w:w w:val="100"/>
        <w:sz w:val="19"/>
        <w:szCs w:val="19"/>
      </w:rPr>
    </w:lvl>
    <w:lvl w:ilvl="1">
      <w:start w:val="0"/>
      <w:numFmt w:val="bullet"/>
      <w:lvlText w:val="•"/>
      <w:lvlJc w:val="left"/>
      <w:pPr>
        <w:ind w:left="2565" w:hanging="206"/>
      </w:pPr>
      <w:rPr>
        <w:rFonts w:hint="default"/>
      </w:rPr>
    </w:lvl>
    <w:lvl w:ilvl="2">
      <w:start w:val="0"/>
      <w:numFmt w:val="bullet"/>
      <w:lvlText w:val="•"/>
      <w:lvlJc w:val="left"/>
      <w:pPr>
        <w:ind w:left="4151" w:hanging="206"/>
      </w:pPr>
      <w:rPr>
        <w:rFonts w:hint="default"/>
      </w:rPr>
    </w:lvl>
    <w:lvl w:ilvl="3">
      <w:start w:val="0"/>
      <w:numFmt w:val="bullet"/>
      <w:lvlText w:val="•"/>
      <w:lvlJc w:val="left"/>
      <w:pPr>
        <w:ind w:left="5737" w:hanging="206"/>
      </w:pPr>
      <w:rPr>
        <w:rFonts w:hint="default"/>
      </w:rPr>
    </w:lvl>
    <w:lvl w:ilvl="4">
      <w:start w:val="0"/>
      <w:numFmt w:val="bullet"/>
      <w:lvlText w:val="•"/>
      <w:lvlJc w:val="left"/>
      <w:pPr>
        <w:ind w:left="7323" w:hanging="206"/>
      </w:pPr>
      <w:rPr>
        <w:rFonts w:hint="default"/>
      </w:rPr>
    </w:lvl>
    <w:lvl w:ilvl="5">
      <w:start w:val="0"/>
      <w:numFmt w:val="bullet"/>
      <w:lvlText w:val="•"/>
      <w:lvlJc w:val="left"/>
      <w:pPr>
        <w:ind w:left="8908" w:hanging="206"/>
      </w:pPr>
      <w:rPr>
        <w:rFonts w:hint="default"/>
      </w:rPr>
    </w:lvl>
    <w:lvl w:ilvl="6">
      <w:start w:val="0"/>
      <w:numFmt w:val="bullet"/>
      <w:lvlText w:val="•"/>
      <w:lvlJc w:val="left"/>
      <w:pPr>
        <w:ind w:left="10494" w:hanging="206"/>
      </w:pPr>
      <w:rPr>
        <w:rFonts w:hint="default"/>
      </w:rPr>
    </w:lvl>
    <w:lvl w:ilvl="7">
      <w:start w:val="0"/>
      <w:numFmt w:val="bullet"/>
      <w:lvlText w:val="•"/>
      <w:lvlJc w:val="left"/>
      <w:pPr>
        <w:ind w:left="12080" w:hanging="206"/>
      </w:pPr>
      <w:rPr>
        <w:rFonts w:hint="default"/>
      </w:rPr>
    </w:lvl>
    <w:lvl w:ilvl="8">
      <w:start w:val="0"/>
      <w:numFmt w:val="bullet"/>
      <w:lvlText w:val="•"/>
      <w:lvlJc w:val="left"/>
      <w:pPr>
        <w:ind w:left="13666" w:hanging="206"/>
      </w:pPr>
      <w:rPr>
        <w:rFonts w:hint="default"/>
      </w:rPr>
    </w:lvl>
  </w:abstractNum>
  <w:abstractNum w:abstractNumId="20">
    <w:multiLevelType w:val="hybridMultilevel"/>
    <w:lvl w:ilvl="0">
      <w:start w:val="1"/>
      <w:numFmt w:val="decimal"/>
      <w:lvlText w:val="%1."/>
      <w:lvlJc w:val="left"/>
      <w:pPr>
        <w:ind w:left="977" w:hanging="212"/>
        <w:jc w:val="left"/>
      </w:pPr>
      <w:rPr>
        <w:rFonts w:hint="default" w:ascii="Arial" w:hAnsi="Arial" w:eastAsia="Arial" w:cs="Arial"/>
        <w:spacing w:val="-4"/>
        <w:w w:val="91"/>
        <w:sz w:val="19"/>
        <w:szCs w:val="19"/>
      </w:rPr>
    </w:lvl>
    <w:lvl w:ilvl="1">
      <w:start w:val="0"/>
      <w:numFmt w:val="bullet"/>
      <w:lvlText w:val="•"/>
      <w:lvlJc w:val="left"/>
      <w:pPr>
        <w:ind w:left="2565" w:hanging="212"/>
      </w:pPr>
      <w:rPr>
        <w:rFonts w:hint="default"/>
      </w:rPr>
    </w:lvl>
    <w:lvl w:ilvl="2">
      <w:start w:val="0"/>
      <w:numFmt w:val="bullet"/>
      <w:lvlText w:val="•"/>
      <w:lvlJc w:val="left"/>
      <w:pPr>
        <w:ind w:left="4151" w:hanging="212"/>
      </w:pPr>
      <w:rPr>
        <w:rFonts w:hint="default"/>
      </w:rPr>
    </w:lvl>
    <w:lvl w:ilvl="3">
      <w:start w:val="0"/>
      <w:numFmt w:val="bullet"/>
      <w:lvlText w:val="•"/>
      <w:lvlJc w:val="left"/>
      <w:pPr>
        <w:ind w:left="5737" w:hanging="212"/>
      </w:pPr>
      <w:rPr>
        <w:rFonts w:hint="default"/>
      </w:rPr>
    </w:lvl>
    <w:lvl w:ilvl="4">
      <w:start w:val="0"/>
      <w:numFmt w:val="bullet"/>
      <w:lvlText w:val="•"/>
      <w:lvlJc w:val="left"/>
      <w:pPr>
        <w:ind w:left="7323" w:hanging="212"/>
      </w:pPr>
      <w:rPr>
        <w:rFonts w:hint="default"/>
      </w:rPr>
    </w:lvl>
    <w:lvl w:ilvl="5">
      <w:start w:val="0"/>
      <w:numFmt w:val="bullet"/>
      <w:lvlText w:val="•"/>
      <w:lvlJc w:val="left"/>
      <w:pPr>
        <w:ind w:left="8908" w:hanging="212"/>
      </w:pPr>
      <w:rPr>
        <w:rFonts w:hint="default"/>
      </w:rPr>
    </w:lvl>
    <w:lvl w:ilvl="6">
      <w:start w:val="0"/>
      <w:numFmt w:val="bullet"/>
      <w:lvlText w:val="•"/>
      <w:lvlJc w:val="left"/>
      <w:pPr>
        <w:ind w:left="10494" w:hanging="212"/>
      </w:pPr>
      <w:rPr>
        <w:rFonts w:hint="default"/>
      </w:rPr>
    </w:lvl>
    <w:lvl w:ilvl="7">
      <w:start w:val="0"/>
      <w:numFmt w:val="bullet"/>
      <w:lvlText w:val="•"/>
      <w:lvlJc w:val="left"/>
      <w:pPr>
        <w:ind w:left="12080" w:hanging="212"/>
      </w:pPr>
      <w:rPr>
        <w:rFonts w:hint="default"/>
      </w:rPr>
    </w:lvl>
    <w:lvl w:ilvl="8">
      <w:start w:val="0"/>
      <w:numFmt w:val="bullet"/>
      <w:lvlText w:val="•"/>
      <w:lvlJc w:val="left"/>
      <w:pPr>
        <w:ind w:left="13666" w:hanging="212"/>
      </w:pPr>
      <w:rPr>
        <w:rFonts w:hint="default"/>
      </w:rPr>
    </w:lvl>
  </w:abstractNum>
  <w:abstractNum w:abstractNumId="19">
    <w:multiLevelType w:val="hybridMultilevel"/>
    <w:lvl w:ilvl="0">
      <w:start w:val="0"/>
      <w:numFmt w:val="bullet"/>
      <w:lvlText w:val="•"/>
      <w:lvlJc w:val="left"/>
      <w:pPr>
        <w:ind w:left="948" w:hanging="172"/>
      </w:pPr>
      <w:rPr>
        <w:rFonts w:hint="default" w:ascii="Arial" w:hAnsi="Arial" w:eastAsia="Arial" w:cs="Arial"/>
        <w:w w:val="142"/>
        <w:sz w:val="22"/>
        <w:szCs w:val="22"/>
      </w:rPr>
    </w:lvl>
    <w:lvl w:ilvl="1">
      <w:start w:val="0"/>
      <w:numFmt w:val="bullet"/>
      <w:lvlText w:val="•"/>
      <w:lvlJc w:val="left"/>
      <w:pPr>
        <w:ind w:left="1665" w:hanging="172"/>
      </w:pPr>
      <w:rPr>
        <w:rFonts w:hint="default"/>
      </w:rPr>
    </w:lvl>
    <w:lvl w:ilvl="2">
      <w:start w:val="0"/>
      <w:numFmt w:val="bullet"/>
      <w:lvlText w:val="•"/>
      <w:lvlJc w:val="left"/>
      <w:pPr>
        <w:ind w:left="2391" w:hanging="172"/>
      </w:pPr>
      <w:rPr>
        <w:rFonts w:hint="default"/>
      </w:rPr>
    </w:lvl>
    <w:lvl w:ilvl="3">
      <w:start w:val="0"/>
      <w:numFmt w:val="bullet"/>
      <w:lvlText w:val="•"/>
      <w:lvlJc w:val="left"/>
      <w:pPr>
        <w:ind w:left="3116" w:hanging="172"/>
      </w:pPr>
      <w:rPr>
        <w:rFonts w:hint="default"/>
      </w:rPr>
    </w:lvl>
    <w:lvl w:ilvl="4">
      <w:start w:val="0"/>
      <w:numFmt w:val="bullet"/>
      <w:lvlText w:val="•"/>
      <w:lvlJc w:val="left"/>
      <w:pPr>
        <w:ind w:left="3842" w:hanging="172"/>
      </w:pPr>
      <w:rPr>
        <w:rFonts w:hint="default"/>
      </w:rPr>
    </w:lvl>
    <w:lvl w:ilvl="5">
      <w:start w:val="0"/>
      <w:numFmt w:val="bullet"/>
      <w:lvlText w:val="•"/>
      <w:lvlJc w:val="left"/>
      <w:pPr>
        <w:ind w:left="4567" w:hanging="172"/>
      </w:pPr>
      <w:rPr>
        <w:rFonts w:hint="default"/>
      </w:rPr>
    </w:lvl>
    <w:lvl w:ilvl="6">
      <w:start w:val="0"/>
      <w:numFmt w:val="bullet"/>
      <w:lvlText w:val="•"/>
      <w:lvlJc w:val="left"/>
      <w:pPr>
        <w:ind w:left="5293" w:hanging="172"/>
      </w:pPr>
      <w:rPr>
        <w:rFonts w:hint="default"/>
      </w:rPr>
    </w:lvl>
    <w:lvl w:ilvl="7">
      <w:start w:val="0"/>
      <w:numFmt w:val="bullet"/>
      <w:lvlText w:val="•"/>
      <w:lvlJc w:val="left"/>
      <w:pPr>
        <w:ind w:left="6018" w:hanging="172"/>
      </w:pPr>
      <w:rPr>
        <w:rFonts w:hint="default"/>
      </w:rPr>
    </w:lvl>
    <w:lvl w:ilvl="8">
      <w:start w:val="0"/>
      <w:numFmt w:val="bullet"/>
      <w:lvlText w:val="•"/>
      <w:lvlJc w:val="left"/>
      <w:pPr>
        <w:ind w:left="6744" w:hanging="172"/>
      </w:pPr>
      <w:rPr>
        <w:rFonts w:hint="default"/>
      </w:rPr>
    </w:lvl>
  </w:abstractNum>
  <w:abstractNum w:abstractNumId="18">
    <w:multiLevelType w:val="hybridMultilevel"/>
    <w:lvl w:ilvl="0">
      <w:start w:val="1"/>
      <w:numFmt w:val="lowerLetter"/>
      <w:lvlText w:val="(%1)"/>
      <w:lvlJc w:val="left"/>
      <w:pPr>
        <w:ind w:left="957" w:hanging="192"/>
        <w:jc w:val="left"/>
      </w:pPr>
      <w:rPr>
        <w:rFonts w:hint="default" w:ascii="Arial" w:hAnsi="Arial" w:eastAsia="Arial" w:cs="Arial"/>
        <w:w w:val="81"/>
        <w:sz w:val="15"/>
        <w:szCs w:val="15"/>
      </w:rPr>
    </w:lvl>
    <w:lvl w:ilvl="1">
      <w:start w:val="0"/>
      <w:numFmt w:val="bullet"/>
      <w:lvlText w:val="•"/>
      <w:lvlJc w:val="left"/>
      <w:pPr>
        <w:ind w:left="2547" w:hanging="192"/>
      </w:pPr>
      <w:rPr>
        <w:rFonts w:hint="default"/>
      </w:rPr>
    </w:lvl>
    <w:lvl w:ilvl="2">
      <w:start w:val="0"/>
      <w:numFmt w:val="bullet"/>
      <w:lvlText w:val="•"/>
      <w:lvlJc w:val="left"/>
      <w:pPr>
        <w:ind w:left="4135" w:hanging="192"/>
      </w:pPr>
      <w:rPr>
        <w:rFonts w:hint="default"/>
      </w:rPr>
    </w:lvl>
    <w:lvl w:ilvl="3">
      <w:start w:val="0"/>
      <w:numFmt w:val="bullet"/>
      <w:lvlText w:val="•"/>
      <w:lvlJc w:val="left"/>
      <w:pPr>
        <w:ind w:left="5723" w:hanging="192"/>
      </w:pPr>
      <w:rPr>
        <w:rFonts w:hint="default"/>
      </w:rPr>
    </w:lvl>
    <w:lvl w:ilvl="4">
      <w:start w:val="0"/>
      <w:numFmt w:val="bullet"/>
      <w:lvlText w:val="•"/>
      <w:lvlJc w:val="left"/>
      <w:pPr>
        <w:ind w:left="7311" w:hanging="192"/>
      </w:pPr>
      <w:rPr>
        <w:rFonts w:hint="default"/>
      </w:rPr>
    </w:lvl>
    <w:lvl w:ilvl="5">
      <w:start w:val="0"/>
      <w:numFmt w:val="bullet"/>
      <w:lvlText w:val="•"/>
      <w:lvlJc w:val="left"/>
      <w:pPr>
        <w:ind w:left="8898" w:hanging="192"/>
      </w:pPr>
      <w:rPr>
        <w:rFonts w:hint="default"/>
      </w:rPr>
    </w:lvl>
    <w:lvl w:ilvl="6">
      <w:start w:val="0"/>
      <w:numFmt w:val="bullet"/>
      <w:lvlText w:val="•"/>
      <w:lvlJc w:val="left"/>
      <w:pPr>
        <w:ind w:left="10486" w:hanging="192"/>
      </w:pPr>
      <w:rPr>
        <w:rFonts w:hint="default"/>
      </w:rPr>
    </w:lvl>
    <w:lvl w:ilvl="7">
      <w:start w:val="0"/>
      <w:numFmt w:val="bullet"/>
      <w:lvlText w:val="•"/>
      <w:lvlJc w:val="left"/>
      <w:pPr>
        <w:ind w:left="12074" w:hanging="192"/>
      </w:pPr>
      <w:rPr>
        <w:rFonts w:hint="default"/>
      </w:rPr>
    </w:lvl>
    <w:lvl w:ilvl="8">
      <w:start w:val="0"/>
      <w:numFmt w:val="bullet"/>
      <w:lvlText w:val="•"/>
      <w:lvlJc w:val="left"/>
      <w:pPr>
        <w:ind w:left="13662" w:hanging="192"/>
      </w:pPr>
      <w:rPr>
        <w:rFonts w:hint="default"/>
      </w:rPr>
    </w:lvl>
  </w:abstractNum>
  <w:abstractNum w:abstractNumId="17">
    <w:multiLevelType w:val="hybridMultilevel"/>
    <w:lvl w:ilvl="0">
      <w:start w:val="1"/>
      <w:numFmt w:val="lowerLetter"/>
      <w:lvlText w:val="(%1)"/>
      <w:lvlJc w:val="left"/>
      <w:pPr>
        <w:ind w:left="957" w:hanging="192"/>
        <w:jc w:val="left"/>
      </w:pPr>
      <w:rPr>
        <w:rFonts w:hint="default" w:ascii="Arial" w:hAnsi="Arial" w:eastAsia="Arial" w:cs="Arial"/>
        <w:w w:val="81"/>
        <w:sz w:val="15"/>
        <w:szCs w:val="15"/>
      </w:rPr>
    </w:lvl>
    <w:lvl w:ilvl="1">
      <w:start w:val="0"/>
      <w:numFmt w:val="bullet"/>
      <w:lvlText w:val="•"/>
      <w:lvlJc w:val="left"/>
      <w:pPr>
        <w:ind w:left="2547" w:hanging="192"/>
      </w:pPr>
      <w:rPr>
        <w:rFonts w:hint="default"/>
      </w:rPr>
    </w:lvl>
    <w:lvl w:ilvl="2">
      <w:start w:val="0"/>
      <w:numFmt w:val="bullet"/>
      <w:lvlText w:val="•"/>
      <w:lvlJc w:val="left"/>
      <w:pPr>
        <w:ind w:left="4135" w:hanging="192"/>
      </w:pPr>
      <w:rPr>
        <w:rFonts w:hint="default"/>
      </w:rPr>
    </w:lvl>
    <w:lvl w:ilvl="3">
      <w:start w:val="0"/>
      <w:numFmt w:val="bullet"/>
      <w:lvlText w:val="•"/>
      <w:lvlJc w:val="left"/>
      <w:pPr>
        <w:ind w:left="5723" w:hanging="192"/>
      </w:pPr>
      <w:rPr>
        <w:rFonts w:hint="default"/>
      </w:rPr>
    </w:lvl>
    <w:lvl w:ilvl="4">
      <w:start w:val="0"/>
      <w:numFmt w:val="bullet"/>
      <w:lvlText w:val="•"/>
      <w:lvlJc w:val="left"/>
      <w:pPr>
        <w:ind w:left="7311" w:hanging="192"/>
      </w:pPr>
      <w:rPr>
        <w:rFonts w:hint="default"/>
      </w:rPr>
    </w:lvl>
    <w:lvl w:ilvl="5">
      <w:start w:val="0"/>
      <w:numFmt w:val="bullet"/>
      <w:lvlText w:val="•"/>
      <w:lvlJc w:val="left"/>
      <w:pPr>
        <w:ind w:left="8898" w:hanging="192"/>
      </w:pPr>
      <w:rPr>
        <w:rFonts w:hint="default"/>
      </w:rPr>
    </w:lvl>
    <w:lvl w:ilvl="6">
      <w:start w:val="0"/>
      <w:numFmt w:val="bullet"/>
      <w:lvlText w:val="•"/>
      <w:lvlJc w:val="left"/>
      <w:pPr>
        <w:ind w:left="10486" w:hanging="192"/>
      </w:pPr>
      <w:rPr>
        <w:rFonts w:hint="default"/>
      </w:rPr>
    </w:lvl>
    <w:lvl w:ilvl="7">
      <w:start w:val="0"/>
      <w:numFmt w:val="bullet"/>
      <w:lvlText w:val="•"/>
      <w:lvlJc w:val="left"/>
      <w:pPr>
        <w:ind w:left="12074" w:hanging="192"/>
      </w:pPr>
      <w:rPr>
        <w:rFonts w:hint="default"/>
      </w:rPr>
    </w:lvl>
    <w:lvl w:ilvl="8">
      <w:start w:val="0"/>
      <w:numFmt w:val="bullet"/>
      <w:lvlText w:val="•"/>
      <w:lvlJc w:val="left"/>
      <w:pPr>
        <w:ind w:left="13662" w:hanging="192"/>
      </w:pPr>
      <w:rPr>
        <w:rFonts w:hint="default"/>
      </w:rPr>
    </w:lvl>
  </w:abstractNum>
  <w:abstractNum w:abstractNumId="16">
    <w:multiLevelType w:val="hybridMultilevel"/>
    <w:lvl w:ilvl="0">
      <w:start w:val="1"/>
      <w:numFmt w:val="lowerLetter"/>
      <w:lvlText w:val="(%1)"/>
      <w:lvlJc w:val="left"/>
      <w:pPr>
        <w:ind w:left="593" w:hanging="192"/>
        <w:jc w:val="right"/>
      </w:pPr>
      <w:rPr>
        <w:rFonts w:hint="default"/>
        <w:w w:val="81"/>
      </w:rPr>
    </w:lvl>
    <w:lvl w:ilvl="1">
      <w:start w:val="0"/>
      <w:numFmt w:val="bullet"/>
      <w:lvlText w:val="•"/>
      <w:lvlJc w:val="left"/>
      <w:pPr>
        <w:ind w:left="1400" w:hanging="192"/>
      </w:pPr>
      <w:rPr>
        <w:rFonts w:hint="default"/>
      </w:rPr>
    </w:lvl>
    <w:lvl w:ilvl="2">
      <w:start w:val="0"/>
      <w:numFmt w:val="bullet"/>
      <w:lvlText w:val="•"/>
      <w:lvlJc w:val="left"/>
      <w:pPr>
        <w:ind w:left="2201" w:hanging="192"/>
      </w:pPr>
      <w:rPr>
        <w:rFonts w:hint="default"/>
      </w:rPr>
    </w:lvl>
    <w:lvl w:ilvl="3">
      <w:start w:val="0"/>
      <w:numFmt w:val="bullet"/>
      <w:lvlText w:val="•"/>
      <w:lvlJc w:val="left"/>
      <w:pPr>
        <w:ind w:left="3002" w:hanging="192"/>
      </w:pPr>
      <w:rPr>
        <w:rFonts w:hint="default"/>
      </w:rPr>
    </w:lvl>
    <w:lvl w:ilvl="4">
      <w:start w:val="0"/>
      <w:numFmt w:val="bullet"/>
      <w:lvlText w:val="•"/>
      <w:lvlJc w:val="left"/>
      <w:pPr>
        <w:ind w:left="3803" w:hanging="192"/>
      </w:pPr>
      <w:rPr>
        <w:rFonts w:hint="default"/>
      </w:rPr>
    </w:lvl>
    <w:lvl w:ilvl="5">
      <w:start w:val="0"/>
      <w:numFmt w:val="bullet"/>
      <w:lvlText w:val="•"/>
      <w:lvlJc w:val="left"/>
      <w:pPr>
        <w:ind w:left="4603" w:hanging="192"/>
      </w:pPr>
      <w:rPr>
        <w:rFonts w:hint="default"/>
      </w:rPr>
    </w:lvl>
    <w:lvl w:ilvl="6">
      <w:start w:val="0"/>
      <w:numFmt w:val="bullet"/>
      <w:lvlText w:val="•"/>
      <w:lvlJc w:val="left"/>
      <w:pPr>
        <w:ind w:left="5404" w:hanging="192"/>
      </w:pPr>
      <w:rPr>
        <w:rFonts w:hint="default"/>
      </w:rPr>
    </w:lvl>
    <w:lvl w:ilvl="7">
      <w:start w:val="0"/>
      <w:numFmt w:val="bullet"/>
      <w:lvlText w:val="•"/>
      <w:lvlJc w:val="left"/>
      <w:pPr>
        <w:ind w:left="6205" w:hanging="192"/>
      </w:pPr>
      <w:rPr>
        <w:rFonts w:hint="default"/>
      </w:rPr>
    </w:lvl>
    <w:lvl w:ilvl="8">
      <w:start w:val="0"/>
      <w:numFmt w:val="bullet"/>
      <w:lvlText w:val="•"/>
      <w:lvlJc w:val="left"/>
      <w:pPr>
        <w:ind w:left="7006" w:hanging="192"/>
      </w:pPr>
      <w:rPr>
        <w:rFonts w:hint="default"/>
      </w:rPr>
    </w:lvl>
  </w:abstractNum>
  <w:abstractNum w:abstractNumId="15">
    <w:multiLevelType w:val="hybridMultilevel"/>
    <w:lvl w:ilvl="0">
      <w:start w:val="1"/>
      <w:numFmt w:val="lowerLetter"/>
      <w:lvlText w:val="(%1)"/>
      <w:lvlJc w:val="left"/>
      <w:pPr>
        <w:ind w:left="1083" w:hanging="318"/>
        <w:jc w:val="right"/>
      </w:pPr>
      <w:rPr>
        <w:rFonts w:hint="default" w:ascii="Arial" w:hAnsi="Arial" w:eastAsia="Arial" w:cs="Arial"/>
        <w:b/>
        <w:bCs/>
        <w:w w:val="95"/>
        <w:sz w:val="22"/>
        <w:szCs w:val="22"/>
      </w:rPr>
    </w:lvl>
    <w:lvl w:ilvl="1">
      <w:start w:val="0"/>
      <w:numFmt w:val="bullet"/>
      <w:lvlText w:val="•"/>
      <w:lvlJc w:val="left"/>
      <w:pPr>
        <w:ind w:left="1781" w:hanging="318"/>
      </w:pPr>
      <w:rPr>
        <w:rFonts w:hint="default"/>
      </w:rPr>
    </w:lvl>
    <w:lvl w:ilvl="2">
      <w:start w:val="0"/>
      <w:numFmt w:val="bullet"/>
      <w:lvlText w:val="•"/>
      <w:lvlJc w:val="left"/>
      <w:pPr>
        <w:ind w:left="2483" w:hanging="318"/>
      </w:pPr>
      <w:rPr>
        <w:rFonts w:hint="default"/>
      </w:rPr>
    </w:lvl>
    <w:lvl w:ilvl="3">
      <w:start w:val="0"/>
      <w:numFmt w:val="bullet"/>
      <w:lvlText w:val="•"/>
      <w:lvlJc w:val="left"/>
      <w:pPr>
        <w:ind w:left="3184" w:hanging="318"/>
      </w:pPr>
      <w:rPr>
        <w:rFonts w:hint="default"/>
      </w:rPr>
    </w:lvl>
    <w:lvl w:ilvl="4">
      <w:start w:val="0"/>
      <w:numFmt w:val="bullet"/>
      <w:lvlText w:val="•"/>
      <w:lvlJc w:val="left"/>
      <w:pPr>
        <w:ind w:left="3886" w:hanging="318"/>
      </w:pPr>
      <w:rPr>
        <w:rFonts w:hint="default"/>
      </w:rPr>
    </w:lvl>
    <w:lvl w:ilvl="5">
      <w:start w:val="0"/>
      <w:numFmt w:val="bullet"/>
      <w:lvlText w:val="•"/>
      <w:lvlJc w:val="left"/>
      <w:pPr>
        <w:ind w:left="4587" w:hanging="318"/>
      </w:pPr>
      <w:rPr>
        <w:rFonts w:hint="default"/>
      </w:rPr>
    </w:lvl>
    <w:lvl w:ilvl="6">
      <w:start w:val="0"/>
      <w:numFmt w:val="bullet"/>
      <w:lvlText w:val="•"/>
      <w:lvlJc w:val="left"/>
      <w:pPr>
        <w:ind w:left="5289" w:hanging="318"/>
      </w:pPr>
      <w:rPr>
        <w:rFonts w:hint="default"/>
      </w:rPr>
    </w:lvl>
    <w:lvl w:ilvl="7">
      <w:start w:val="0"/>
      <w:numFmt w:val="bullet"/>
      <w:lvlText w:val="•"/>
      <w:lvlJc w:val="left"/>
      <w:pPr>
        <w:ind w:left="5991" w:hanging="318"/>
      </w:pPr>
      <w:rPr>
        <w:rFonts w:hint="default"/>
      </w:rPr>
    </w:lvl>
    <w:lvl w:ilvl="8">
      <w:start w:val="0"/>
      <w:numFmt w:val="bullet"/>
      <w:lvlText w:val="•"/>
      <w:lvlJc w:val="left"/>
      <w:pPr>
        <w:ind w:left="6692" w:hanging="318"/>
      </w:pPr>
      <w:rPr>
        <w:rFonts w:hint="default"/>
      </w:rPr>
    </w:lvl>
  </w:abstractNum>
  <w:abstractNum w:abstractNumId="14">
    <w:multiLevelType w:val="hybridMultilevel"/>
    <w:lvl w:ilvl="0">
      <w:start w:val="1"/>
      <w:numFmt w:val="lowerLetter"/>
      <w:lvlText w:val="(%1)"/>
      <w:lvlJc w:val="left"/>
      <w:pPr>
        <w:ind w:left="619" w:hanging="192"/>
        <w:jc w:val="left"/>
      </w:pPr>
      <w:rPr>
        <w:rFonts w:hint="default" w:ascii="Arial" w:hAnsi="Arial" w:eastAsia="Arial" w:cs="Arial"/>
        <w:w w:val="81"/>
        <w:sz w:val="15"/>
        <w:szCs w:val="15"/>
      </w:rPr>
    </w:lvl>
    <w:lvl w:ilvl="1">
      <w:start w:val="1"/>
      <w:numFmt w:val="lowerLetter"/>
      <w:lvlText w:val="(%2)"/>
      <w:lvlJc w:val="left"/>
      <w:pPr>
        <w:ind w:left="973" w:hanging="192"/>
        <w:jc w:val="left"/>
      </w:pPr>
      <w:rPr>
        <w:rFonts w:hint="default" w:ascii="Arial" w:hAnsi="Arial" w:eastAsia="Arial" w:cs="Arial"/>
        <w:w w:val="81"/>
        <w:sz w:val="15"/>
        <w:szCs w:val="15"/>
      </w:rPr>
    </w:lvl>
    <w:lvl w:ilvl="2">
      <w:start w:val="0"/>
      <w:numFmt w:val="bullet"/>
      <w:lvlText w:val="•"/>
      <w:lvlJc w:val="left"/>
      <w:pPr>
        <w:ind w:left="868" w:hanging="192"/>
      </w:pPr>
      <w:rPr>
        <w:rFonts w:hint="default"/>
      </w:rPr>
    </w:lvl>
    <w:lvl w:ilvl="3">
      <w:start w:val="0"/>
      <w:numFmt w:val="bullet"/>
      <w:lvlText w:val="•"/>
      <w:lvlJc w:val="left"/>
      <w:pPr>
        <w:ind w:left="756" w:hanging="192"/>
      </w:pPr>
      <w:rPr>
        <w:rFonts w:hint="default"/>
      </w:rPr>
    </w:lvl>
    <w:lvl w:ilvl="4">
      <w:start w:val="0"/>
      <w:numFmt w:val="bullet"/>
      <w:lvlText w:val="•"/>
      <w:lvlJc w:val="left"/>
      <w:pPr>
        <w:ind w:left="644" w:hanging="192"/>
      </w:pPr>
      <w:rPr>
        <w:rFonts w:hint="default"/>
      </w:rPr>
    </w:lvl>
    <w:lvl w:ilvl="5">
      <w:start w:val="0"/>
      <w:numFmt w:val="bullet"/>
      <w:lvlText w:val="•"/>
      <w:lvlJc w:val="left"/>
      <w:pPr>
        <w:ind w:left="532" w:hanging="192"/>
      </w:pPr>
      <w:rPr>
        <w:rFonts w:hint="default"/>
      </w:rPr>
    </w:lvl>
    <w:lvl w:ilvl="6">
      <w:start w:val="0"/>
      <w:numFmt w:val="bullet"/>
      <w:lvlText w:val="•"/>
      <w:lvlJc w:val="left"/>
      <w:pPr>
        <w:ind w:left="420" w:hanging="192"/>
      </w:pPr>
      <w:rPr>
        <w:rFonts w:hint="default"/>
      </w:rPr>
    </w:lvl>
    <w:lvl w:ilvl="7">
      <w:start w:val="0"/>
      <w:numFmt w:val="bullet"/>
      <w:lvlText w:val="•"/>
      <w:lvlJc w:val="left"/>
      <w:pPr>
        <w:ind w:left="309" w:hanging="192"/>
      </w:pPr>
      <w:rPr>
        <w:rFonts w:hint="default"/>
      </w:rPr>
    </w:lvl>
    <w:lvl w:ilvl="8">
      <w:start w:val="0"/>
      <w:numFmt w:val="bullet"/>
      <w:lvlText w:val="•"/>
      <w:lvlJc w:val="left"/>
      <w:pPr>
        <w:ind w:left="197" w:hanging="192"/>
      </w:pPr>
      <w:rPr>
        <w:rFonts w:hint="default"/>
      </w:rPr>
    </w:lvl>
  </w:abstractNum>
  <w:abstractNum w:abstractNumId="13">
    <w:multiLevelType w:val="hybridMultilevel"/>
    <w:lvl w:ilvl="0">
      <w:start w:val="1"/>
      <w:numFmt w:val="lowerLetter"/>
      <w:lvlText w:val="(%1)"/>
      <w:lvlJc w:val="left"/>
      <w:pPr>
        <w:ind w:left="973" w:hanging="234"/>
        <w:jc w:val="left"/>
      </w:pPr>
      <w:rPr>
        <w:rFonts w:hint="default" w:ascii="Arial" w:hAnsi="Arial" w:eastAsia="Arial" w:cs="Arial"/>
        <w:w w:val="81"/>
        <w:sz w:val="15"/>
        <w:szCs w:val="15"/>
      </w:rPr>
    </w:lvl>
    <w:lvl w:ilvl="1">
      <w:start w:val="0"/>
      <w:numFmt w:val="bullet"/>
      <w:lvlText w:val="•"/>
      <w:lvlJc w:val="left"/>
      <w:pPr>
        <w:ind w:left="2565" w:hanging="234"/>
      </w:pPr>
      <w:rPr>
        <w:rFonts w:hint="default"/>
      </w:rPr>
    </w:lvl>
    <w:lvl w:ilvl="2">
      <w:start w:val="0"/>
      <w:numFmt w:val="bullet"/>
      <w:lvlText w:val="•"/>
      <w:lvlJc w:val="left"/>
      <w:pPr>
        <w:ind w:left="4151" w:hanging="234"/>
      </w:pPr>
      <w:rPr>
        <w:rFonts w:hint="default"/>
      </w:rPr>
    </w:lvl>
    <w:lvl w:ilvl="3">
      <w:start w:val="0"/>
      <w:numFmt w:val="bullet"/>
      <w:lvlText w:val="•"/>
      <w:lvlJc w:val="left"/>
      <w:pPr>
        <w:ind w:left="5737" w:hanging="234"/>
      </w:pPr>
      <w:rPr>
        <w:rFonts w:hint="default"/>
      </w:rPr>
    </w:lvl>
    <w:lvl w:ilvl="4">
      <w:start w:val="0"/>
      <w:numFmt w:val="bullet"/>
      <w:lvlText w:val="•"/>
      <w:lvlJc w:val="left"/>
      <w:pPr>
        <w:ind w:left="7323" w:hanging="234"/>
      </w:pPr>
      <w:rPr>
        <w:rFonts w:hint="default"/>
      </w:rPr>
    </w:lvl>
    <w:lvl w:ilvl="5">
      <w:start w:val="0"/>
      <w:numFmt w:val="bullet"/>
      <w:lvlText w:val="•"/>
      <w:lvlJc w:val="left"/>
      <w:pPr>
        <w:ind w:left="8908" w:hanging="234"/>
      </w:pPr>
      <w:rPr>
        <w:rFonts w:hint="default"/>
      </w:rPr>
    </w:lvl>
    <w:lvl w:ilvl="6">
      <w:start w:val="0"/>
      <w:numFmt w:val="bullet"/>
      <w:lvlText w:val="•"/>
      <w:lvlJc w:val="left"/>
      <w:pPr>
        <w:ind w:left="10494" w:hanging="234"/>
      </w:pPr>
      <w:rPr>
        <w:rFonts w:hint="default"/>
      </w:rPr>
    </w:lvl>
    <w:lvl w:ilvl="7">
      <w:start w:val="0"/>
      <w:numFmt w:val="bullet"/>
      <w:lvlText w:val="•"/>
      <w:lvlJc w:val="left"/>
      <w:pPr>
        <w:ind w:left="12080" w:hanging="234"/>
      </w:pPr>
      <w:rPr>
        <w:rFonts w:hint="default"/>
      </w:rPr>
    </w:lvl>
    <w:lvl w:ilvl="8">
      <w:start w:val="0"/>
      <w:numFmt w:val="bullet"/>
      <w:lvlText w:val="•"/>
      <w:lvlJc w:val="left"/>
      <w:pPr>
        <w:ind w:left="13666" w:hanging="234"/>
      </w:pPr>
      <w:rPr>
        <w:rFonts w:hint="default"/>
      </w:rPr>
    </w:lvl>
  </w:abstractNum>
  <w:abstractNum w:abstractNumId="12">
    <w:multiLevelType w:val="hybridMultilevel"/>
    <w:lvl w:ilvl="0">
      <w:start w:val="1"/>
      <w:numFmt w:val="lowerLetter"/>
      <w:lvlText w:val="(%1)"/>
      <w:lvlJc w:val="left"/>
      <w:pPr>
        <w:ind w:left="773" w:hanging="234"/>
        <w:jc w:val="left"/>
      </w:pPr>
      <w:rPr>
        <w:rFonts w:hint="default" w:ascii="Arial" w:hAnsi="Arial" w:eastAsia="Arial" w:cs="Arial"/>
        <w:w w:val="81"/>
        <w:sz w:val="15"/>
        <w:szCs w:val="15"/>
      </w:rPr>
    </w:lvl>
    <w:lvl w:ilvl="1">
      <w:start w:val="1"/>
      <w:numFmt w:val="lowerLetter"/>
      <w:lvlText w:val="(%2)"/>
      <w:lvlJc w:val="left"/>
      <w:pPr>
        <w:ind w:left="957" w:hanging="192"/>
        <w:jc w:val="left"/>
      </w:pPr>
      <w:rPr>
        <w:rFonts w:hint="default" w:ascii="Arial" w:hAnsi="Arial" w:eastAsia="Arial" w:cs="Arial"/>
        <w:w w:val="81"/>
        <w:sz w:val="15"/>
        <w:szCs w:val="15"/>
      </w:rPr>
    </w:lvl>
    <w:lvl w:ilvl="2">
      <w:start w:val="3"/>
      <w:numFmt w:val="lowerLetter"/>
      <w:lvlText w:val="(%3)"/>
      <w:lvlJc w:val="left"/>
      <w:pPr>
        <w:ind w:left="8840" w:hanging="192"/>
        <w:jc w:val="left"/>
      </w:pPr>
      <w:rPr>
        <w:rFonts w:hint="default" w:ascii="Arial" w:hAnsi="Arial" w:eastAsia="Arial" w:cs="Arial"/>
        <w:w w:val="85"/>
        <w:sz w:val="15"/>
        <w:szCs w:val="15"/>
      </w:rPr>
    </w:lvl>
    <w:lvl w:ilvl="3">
      <w:start w:val="0"/>
      <w:numFmt w:val="bullet"/>
      <w:lvlText w:val="•"/>
      <w:lvlJc w:val="left"/>
      <w:pPr>
        <w:ind w:left="8826" w:hanging="192"/>
      </w:pPr>
      <w:rPr>
        <w:rFonts w:hint="default"/>
      </w:rPr>
    </w:lvl>
    <w:lvl w:ilvl="4">
      <w:start w:val="0"/>
      <w:numFmt w:val="bullet"/>
      <w:lvlText w:val="•"/>
      <w:lvlJc w:val="left"/>
      <w:pPr>
        <w:ind w:left="8812" w:hanging="192"/>
      </w:pPr>
      <w:rPr>
        <w:rFonts w:hint="default"/>
      </w:rPr>
    </w:lvl>
    <w:lvl w:ilvl="5">
      <w:start w:val="0"/>
      <w:numFmt w:val="bullet"/>
      <w:lvlText w:val="•"/>
      <w:lvlJc w:val="left"/>
      <w:pPr>
        <w:ind w:left="8798" w:hanging="192"/>
      </w:pPr>
      <w:rPr>
        <w:rFonts w:hint="default"/>
      </w:rPr>
    </w:lvl>
    <w:lvl w:ilvl="6">
      <w:start w:val="0"/>
      <w:numFmt w:val="bullet"/>
      <w:lvlText w:val="•"/>
      <w:lvlJc w:val="left"/>
      <w:pPr>
        <w:ind w:left="8784" w:hanging="192"/>
      </w:pPr>
      <w:rPr>
        <w:rFonts w:hint="default"/>
      </w:rPr>
    </w:lvl>
    <w:lvl w:ilvl="7">
      <w:start w:val="0"/>
      <w:numFmt w:val="bullet"/>
      <w:lvlText w:val="•"/>
      <w:lvlJc w:val="left"/>
      <w:pPr>
        <w:ind w:left="8770" w:hanging="192"/>
      </w:pPr>
      <w:rPr>
        <w:rFonts w:hint="default"/>
      </w:rPr>
    </w:lvl>
    <w:lvl w:ilvl="8">
      <w:start w:val="0"/>
      <w:numFmt w:val="bullet"/>
      <w:lvlText w:val="•"/>
      <w:lvlJc w:val="left"/>
      <w:pPr>
        <w:ind w:left="8757" w:hanging="192"/>
      </w:pPr>
      <w:rPr>
        <w:rFonts w:hint="default"/>
      </w:rPr>
    </w:lvl>
  </w:abstractNum>
  <w:abstractNum w:abstractNumId="11">
    <w:multiLevelType w:val="hybridMultilevel"/>
    <w:lvl w:ilvl="0">
      <w:start w:val="1"/>
      <w:numFmt w:val="lowerLetter"/>
      <w:lvlText w:val="(%1)"/>
      <w:lvlJc w:val="left"/>
      <w:pPr>
        <w:ind w:left="508" w:hanging="122"/>
        <w:jc w:val="left"/>
      </w:pPr>
      <w:rPr>
        <w:rFonts w:hint="default" w:ascii="Arial" w:hAnsi="Arial" w:eastAsia="Arial" w:cs="Arial"/>
        <w:spacing w:val="-2"/>
        <w:w w:val="81"/>
        <w:sz w:val="10"/>
        <w:szCs w:val="10"/>
      </w:rPr>
    </w:lvl>
    <w:lvl w:ilvl="1">
      <w:start w:val="1"/>
      <w:numFmt w:val="lowerLetter"/>
      <w:lvlText w:val="(%2)"/>
      <w:lvlJc w:val="left"/>
      <w:pPr>
        <w:ind w:left="957" w:hanging="192"/>
        <w:jc w:val="left"/>
      </w:pPr>
      <w:rPr>
        <w:rFonts w:hint="default" w:ascii="Arial" w:hAnsi="Arial" w:eastAsia="Arial" w:cs="Arial"/>
        <w:w w:val="81"/>
        <w:sz w:val="15"/>
        <w:szCs w:val="15"/>
      </w:rPr>
    </w:lvl>
    <w:lvl w:ilvl="2">
      <w:start w:val="0"/>
      <w:numFmt w:val="bullet"/>
      <w:lvlText w:val="•"/>
      <w:lvlJc w:val="left"/>
      <w:pPr>
        <w:ind w:left="1518" w:hanging="192"/>
      </w:pPr>
      <w:rPr>
        <w:rFonts w:hint="default"/>
      </w:rPr>
    </w:lvl>
    <w:lvl w:ilvl="3">
      <w:start w:val="0"/>
      <w:numFmt w:val="bullet"/>
      <w:lvlText w:val="•"/>
      <w:lvlJc w:val="left"/>
      <w:pPr>
        <w:ind w:left="2077" w:hanging="192"/>
      </w:pPr>
      <w:rPr>
        <w:rFonts w:hint="default"/>
      </w:rPr>
    </w:lvl>
    <w:lvl w:ilvl="4">
      <w:start w:val="0"/>
      <w:numFmt w:val="bullet"/>
      <w:lvlText w:val="•"/>
      <w:lvlJc w:val="left"/>
      <w:pPr>
        <w:ind w:left="2635" w:hanging="192"/>
      </w:pPr>
      <w:rPr>
        <w:rFonts w:hint="default"/>
      </w:rPr>
    </w:lvl>
    <w:lvl w:ilvl="5">
      <w:start w:val="0"/>
      <w:numFmt w:val="bullet"/>
      <w:lvlText w:val="•"/>
      <w:lvlJc w:val="left"/>
      <w:pPr>
        <w:ind w:left="3194" w:hanging="192"/>
      </w:pPr>
      <w:rPr>
        <w:rFonts w:hint="default"/>
      </w:rPr>
    </w:lvl>
    <w:lvl w:ilvl="6">
      <w:start w:val="0"/>
      <w:numFmt w:val="bullet"/>
      <w:lvlText w:val="•"/>
      <w:lvlJc w:val="left"/>
      <w:pPr>
        <w:ind w:left="3753" w:hanging="192"/>
      </w:pPr>
      <w:rPr>
        <w:rFonts w:hint="default"/>
      </w:rPr>
    </w:lvl>
    <w:lvl w:ilvl="7">
      <w:start w:val="0"/>
      <w:numFmt w:val="bullet"/>
      <w:lvlText w:val="•"/>
      <w:lvlJc w:val="left"/>
      <w:pPr>
        <w:ind w:left="4311" w:hanging="192"/>
      </w:pPr>
      <w:rPr>
        <w:rFonts w:hint="default"/>
      </w:rPr>
    </w:lvl>
    <w:lvl w:ilvl="8">
      <w:start w:val="0"/>
      <w:numFmt w:val="bullet"/>
      <w:lvlText w:val="•"/>
      <w:lvlJc w:val="left"/>
      <w:pPr>
        <w:ind w:left="4870" w:hanging="192"/>
      </w:pPr>
      <w:rPr>
        <w:rFonts w:hint="default"/>
      </w:rPr>
    </w:lvl>
  </w:abstractNum>
  <w:abstractNum w:abstractNumId="10">
    <w:multiLevelType w:val="hybridMultilevel"/>
    <w:lvl w:ilvl="0">
      <w:start w:val="1"/>
      <w:numFmt w:val="lowerLetter"/>
      <w:lvlText w:val="(%1)"/>
      <w:lvlJc w:val="left"/>
      <w:pPr>
        <w:ind w:left="543" w:hanging="154"/>
        <w:jc w:val="left"/>
      </w:pPr>
      <w:rPr>
        <w:rFonts w:hint="default" w:ascii="Arial" w:hAnsi="Arial" w:eastAsia="Arial" w:cs="Arial"/>
        <w:w w:val="81"/>
        <w:sz w:val="12"/>
        <w:szCs w:val="12"/>
      </w:rPr>
    </w:lvl>
    <w:lvl w:ilvl="1">
      <w:start w:val="0"/>
      <w:numFmt w:val="bullet"/>
      <w:lvlText w:val="•"/>
      <w:lvlJc w:val="left"/>
      <w:pPr>
        <w:ind w:left="1607" w:hanging="154"/>
      </w:pPr>
      <w:rPr>
        <w:rFonts w:hint="default"/>
      </w:rPr>
    </w:lvl>
    <w:lvl w:ilvl="2">
      <w:start w:val="0"/>
      <w:numFmt w:val="bullet"/>
      <w:lvlText w:val="•"/>
      <w:lvlJc w:val="left"/>
      <w:pPr>
        <w:ind w:left="2675" w:hanging="154"/>
      </w:pPr>
      <w:rPr>
        <w:rFonts w:hint="default"/>
      </w:rPr>
    </w:lvl>
    <w:lvl w:ilvl="3">
      <w:start w:val="0"/>
      <w:numFmt w:val="bullet"/>
      <w:lvlText w:val="•"/>
      <w:lvlJc w:val="left"/>
      <w:pPr>
        <w:ind w:left="3743" w:hanging="154"/>
      </w:pPr>
      <w:rPr>
        <w:rFonts w:hint="default"/>
      </w:rPr>
    </w:lvl>
    <w:lvl w:ilvl="4">
      <w:start w:val="0"/>
      <w:numFmt w:val="bullet"/>
      <w:lvlText w:val="•"/>
      <w:lvlJc w:val="left"/>
      <w:pPr>
        <w:ind w:left="4811" w:hanging="154"/>
      </w:pPr>
      <w:rPr>
        <w:rFonts w:hint="default"/>
      </w:rPr>
    </w:lvl>
    <w:lvl w:ilvl="5">
      <w:start w:val="0"/>
      <w:numFmt w:val="bullet"/>
      <w:lvlText w:val="•"/>
      <w:lvlJc w:val="left"/>
      <w:pPr>
        <w:ind w:left="5879" w:hanging="154"/>
      </w:pPr>
      <w:rPr>
        <w:rFonts w:hint="default"/>
      </w:rPr>
    </w:lvl>
    <w:lvl w:ilvl="6">
      <w:start w:val="0"/>
      <w:numFmt w:val="bullet"/>
      <w:lvlText w:val="•"/>
      <w:lvlJc w:val="left"/>
      <w:pPr>
        <w:ind w:left="6946" w:hanging="154"/>
      </w:pPr>
      <w:rPr>
        <w:rFonts w:hint="default"/>
      </w:rPr>
    </w:lvl>
    <w:lvl w:ilvl="7">
      <w:start w:val="0"/>
      <w:numFmt w:val="bullet"/>
      <w:lvlText w:val="•"/>
      <w:lvlJc w:val="left"/>
      <w:pPr>
        <w:ind w:left="8014" w:hanging="154"/>
      </w:pPr>
      <w:rPr>
        <w:rFonts w:hint="default"/>
      </w:rPr>
    </w:lvl>
    <w:lvl w:ilvl="8">
      <w:start w:val="0"/>
      <w:numFmt w:val="bullet"/>
      <w:lvlText w:val="•"/>
      <w:lvlJc w:val="left"/>
      <w:pPr>
        <w:ind w:left="9082" w:hanging="154"/>
      </w:pPr>
      <w:rPr>
        <w:rFonts w:hint="default"/>
      </w:rPr>
    </w:lvl>
  </w:abstractNum>
  <w:abstractNum w:abstractNumId="9">
    <w:multiLevelType w:val="hybridMultilevel"/>
    <w:lvl w:ilvl="0">
      <w:start w:val="1"/>
      <w:numFmt w:val="lowerLetter"/>
      <w:lvlText w:val="(%1)"/>
      <w:lvlJc w:val="left"/>
      <w:pPr>
        <w:ind w:left="578" w:hanging="154"/>
        <w:jc w:val="left"/>
      </w:pPr>
      <w:rPr>
        <w:rFonts w:hint="default" w:ascii="Arial" w:hAnsi="Arial" w:eastAsia="Arial" w:cs="Arial"/>
        <w:w w:val="81"/>
        <w:sz w:val="12"/>
        <w:szCs w:val="12"/>
      </w:rPr>
    </w:lvl>
    <w:lvl w:ilvl="1">
      <w:start w:val="1"/>
      <w:numFmt w:val="lowerLetter"/>
      <w:lvlText w:val="(%2)"/>
      <w:lvlJc w:val="left"/>
      <w:pPr>
        <w:ind w:left="932" w:hanging="154"/>
        <w:jc w:val="left"/>
      </w:pPr>
      <w:rPr>
        <w:rFonts w:hint="default" w:ascii="Arial" w:hAnsi="Arial" w:eastAsia="Arial" w:cs="Arial"/>
        <w:w w:val="81"/>
        <w:sz w:val="12"/>
        <w:szCs w:val="12"/>
      </w:rPr>
    </w:lvl>
    <w:lvl w:ilvl="2">
      <w:start w:val="0"/>
      <w:numFmt w:val="bullet"/>
      <w:lvlText w:val="•"/>
      <w:lvlJc w:val="left"/>
      <w:pPr>
        <w:ind w:left="250" w:hanging="154"/>
      </w:pPr>
      <w:rPr>
        <w:rFonts w:hint="default"/>
      </w:rPr>
    </w:lvl>
    <w:lvl w:ilvl="3">
      <w:start w:val="0"/>
      <w:numFmt w:val="bullet"/>
      <w:lvlText w:val="•"/>
      <w:lvlJc w:val="left"/>
      <w:pPr>
        <w:ind w:left="-439" w:hanging="154"/>
      </w:pPr>
      <w:rPr>
        <w:rFonts w:hint="default"/>
      </w:rPr>
    </w:lvl>
    <w:lvl w:ilvl="4">
      <w:start w:val="0"/>
      <w:numFmt w:val="bullet"/>
      <w:lvlText w:val="•"/>
      <w:lvlJc w:val="left"/>
      <w:pPr>
        <w:ind w:left="-1128" w:hanging="154"/>
      </w:pPr>
      <w:rPr>
        <w:rFonts w:hint="default"/>
      </w:rPr>
    </w:lvl>
    <w:lvl w:ilvl="5">
      <w:start w:val="0"/>
      <w:numFmt w:val="bullet"/>
      <w:lvlText w:val="•"/>
      <w:lvlJc w:val="left"/>
      <w:pPr>
        <w:ind w:left="-1817" w:hanging="154"/>
      </w:pPr>
      <w:rPr>
        <w:rFonts w:hint="default"/>
      </w:rPr>
    </w:lvl>
    <w:lvl w:ilvl="6">
      <w:start w:val="0"/>
      <w:numFmt w:val="bullet"/>
      <w:lvlText w:val="•"/>
      <w:lvlJc w:val="left"/>
      <w:pPr>
        <w:ind w:left="-2506" w:hanging="154"/>
      </w:pPr>
      <w:rPr>
        <w:rFonts w:hint="default"/>
      </w:rPr>
    </w:lvl>
    <w:lvl w:ilvl="7">
      <w:start w:val="0"/>
      <w:numFmt w:val="bullet"/>
      <w:lvlText w:val="•"/>
      <w:lvlJc w:val="left"/>
      <w:pPr>
        <w:ind w:left="-3196" w:hanging="154"/>
      </w:pPr>
      <w:rPr>
        <w:rFonts w:hint="default"/>
      </w:rPr>
    </w:lvl>
    <w:lvl w:ilvl="8">
      <w:start w:val="0"/>
      <w:numFmt w:val="bullet"/>
      <w:lvlText w:val="•"/>
      <w:lvlJc w:val="left"/>
      <w:pPr>
        <w:ind w:left="-3885" w:hanging="154"/>
      </w:pPr>
      <w:rPr>
        <w:rFonts w:hint="default"/>
      </w:rPr>
    </w:lvl>
  </w:abstractNum>
  <w:abstractNum w:abstractNumId="8">
    <w:multiLevelType w:val="hybridMultilevel"/>
    <w:lvl w:ilvl="0">
      <w:start w:val="1"/>
      <w:numFmt w:val="lowerLetter"/>
      <w:lvlText w:val="(%1)"/>
      <w:lvlJc w:val="left"/>
      <w:pPr>
        <w:ind w:left="580" w:hanging="154"/>
        <w:jc w:val="left"/>
      </w:pPr>
      <w:rPr>
        <w:rFonts w:hint="default" w:ascii="Arial" w:hAnsi="Arial" w:eastAsia="Arial" w:cs="Arial"/>
        <w:w w:val="81"/>
        <w:sz w:val="12"/>
        <w:szCs w:val="12"/>
      </w:rPr>
    </w:lvl>
    <w:lvl w:ilvl="1">
      <w:start w:val="1"/>
      <w:numFmt w:val="lowerLetter"/>
      <w:lvlText w:val="(%2)"/>
      <w:lvlJc w:val="left"/>
      <w:pPr>
        <w:ind w:left="918" w:hanging="154"/>
        <w:jc w:val="left"/>
      </w:pPr>
      <w:rPr>
        <w:rFonts w:hint="default" w:ascii="Arial" w:hAnsi="Arial" w:eastAsia="Arial" w:cs="Arial"/>
        <w:w w:val="81"/>
        <w:sz w:val="12"/>
        <w:szCs w:val="12"/>
      </w:rPr>
    </w:lvl>
    <w:lvl w:ilvl="2">
      <w:start w:val="0"/>
      <w:numFmt w:val="bullet"/>
      <w:lvlText w:val="•"/>
      <w:lvlJc w:val="left"/>
      <w:pPr>
        <w:ind w:left="204" w:hanging="154"/>
      </w:pPr>
      <w:rPr>
        <w:rFonts w:hint="default"/>
      </w:rPr>
    </w:lvl>
    <w:lvl w:ilvl="3">
      <w:start w:val="0"/>
      <w:numFmt w:val="bullet"/>
      <w:lvlText w:val="•"/>
      <w:lvlJc w:val="left"/>
      <w:pPr>
        <w:ind w:left="-512" w:hanging="154"/>
      </w:pPr>
      <w:rPr>
        <w:rFonts w:hint="default"/>
      </w:rPr>
    </w:lvl>
    <w:lvl w:ilvl="4">
      <w:start w:val="0"/>
      <w:numFmt w:val="bullet"/>
      <w:lvlText w:val="•"/>
      <w:lvlJc w:val="left"/>
      <w:pPr>
        <w:ind w:left="-1228" w:hanging="154"/>
      </w:pPr>
      <w:rPr>
        <w:rFonts w:hint="default"/>
      </w:rPr>
    </w:lvl>
    <w:lvl w:ilvl="5">
      <w:start w:val="0"/>
      <w:numFmt w:val="bullet"/>
      <w:lvlText w:val="•"/>
      <w:lvlJc w:val="left"/>
      <w:pPr>
        <w:ind w:left="-1943" w:hanging="154"/>
      </w:pPr>
      <w:rPr>
        <w:rFonts w:hint="default"/>
      </w:rPr>
    </w:lvl>
    <w:lvl w:ilvl="6">
      <w:start w:val="0"/>
      <w:numFmt w:val="bullet"/>
      <w:lvlText w:val="•"/>
      <w:lvlJc w:val="left"/>
      <w:pPr>
        <w:ind w:left="-2659" w:hanging="154"/>
      </w:pPr>
      <w:rPr>
        <w:rFonts w:hint="default"/>
      </w:rPr>
    </w:lvl>
    <w:lvl w:ilvl="7">
      <w:start w:val="0"/>
      <w:numFmt w:val="bullet"/>
      <w:lvlText w:val="•"/>
      <w:lvlJc w:val="left"/>
      <w:pPr>
        <w:ind w:left="-3375" w:hanging="154"/>
      </w:pPr>
      <w:rPr>
        <w:rFonts w:hint="default"/>
      </w:rPr>
    </w:lvl>
    <w:lvl w:ilvl="8">
      <w:start w:val="0"/>
      <w:numFmt w:val="bullet"/>
      <w:lvlText w:val="•"/>
      <w:lvlJc w:val="left"/>
      <w:pPr>
        <w:ind w:left="-4090" w:hanging="154"/>
      </w:pPr>
      <w:rPr>
        <w:rFonts w:hint="default"/>
      </w:rPr>
    </w:lvl>
  </w:abstractNum>
  <w:abstractNum w:abstractNumId="7">
    <w:multiLevelType w:val="hybridMultilevel"/>
    <w:lvl w:ilvl="0">
      <w:start w:val="1"/>
      <w:numFmt w:val="lowerLetter"/>
      <w:lvlText w:val="(%1)"/>
      <w:lvlJc w:val="left"/>
      <w:pPr>
        <w:ind w:left="918" w:hanging="154"/>
        <w:jc w:val="left"/>
      </w:pPr>
      <w:rPr>
        <w:rFonts w:hint="default" w:ascii="Arial" w:hAnsi="Arial" w:eastAsia="Arial" w:cs="Arial"/>
        <w:w w:val="81"/>
        <w:sz w:val="12"/>
        <w:szCs w:val="12"/>
      </w:rPr>
    </w:lvl>
    <w:lvl w:ilvl="1">
      <w:start w:val="0"/>
      <w:numFmt w:val="bullet"/>
      <w:lvlText w:val="•"/>
      <w:lvlJc w:val="left"/>
      <w:pPr>
        <w:ind w:left="1383" w:hanging="154"/>
      </w:pPr>
      <w:rPr>
        <w:rFonts w:hint="default"/>
      </w:rPr>
    </w:lvl>
    <w:lvl w:ilvl="2">
      <w:start w:val="0"/>
      <w:numFmt w:val="bullet"/>
      <w:lvlText w:val="•"/>
      <w:lvlJc w:val="left"/>
      <w:pPr>
        <w:ind w:left="1847" w:hanging="154"/>
      </w:pPr>
      <w:rPr>
        <w:rFonts w:hint="default"/>
      </w:rPr>
    </w:lvl>
    <w:lvl w:ilvl="3">
      <w:start w:val="0"/>
      <w:numFmt w:val="bullet"/>
      <w:lvlText w:val="•"/>
      <w:lvlJc w:val="left"/>
      <w:pPr>
        <w:ind w:left="2310" w:hanging="154"/>
      </w:pPr>
      <w:rPr>
        <w:rFonts w:hint="default"/>
      </w:rPr>
    </w:lvl>
    <w:lvl w:ilvl="4">
      <w:start w:val="0"/>
      <w:numFmt w:val="bullet"/>
      <w:lvlText w:val="•"/>
      <w:lvlJc w:val="left"/>
      <w:pPr>
        <w:ind w:left="2774" w:hanging="154"/>
      </w:pPr>
      <w:rPr>
        <w:rFonts w:hint="default"/>
      </w:rPr>
    </w:lvl>
    <w:lvl w:ilvl="5">
      <w:start w:val="0"/>
      <w:numFmt w:val="bullet"/>
      <w:lvlText w:val="•"/>
      <w:lvlJc w:val="left"/>
      <w:pPr>
        <w:ind w:left="3237" w:hanging="154"/>
      </w:pPr>
      <w:rPr>
        <w:rFonts w:hint="default"/>
      </w:rPr>
    </w:lvl>
    <w:lvl w:ilvl="6">
      <w:start w:val="0"/>
      <w:numFmt w:val="bullet"/>
      <w:lvlText w:val="•"/>
      <w:lvlJc w:val="left"/>
      <w:pPr>
        <w:ind w:left="3701" w:hanging="154"/>
      </w:pPr>
      <w:rPr>
        <w:rFonts w:hint="default"/>
      </w:rPr>
    </w:lvl>
    <w:lvl w:ilvl="7">
      <w:start w:val="0"/>
      <w:numFmt w:val="bullet"/>
      <w:lvlText w:val="•"/>
      <w:lvlJc w:val="left"/>
      <w:pPr>
        <w:ind w:left="4165" w:hanging="154"/>
      </w:pPr>
      <w:rPr>
        <w:rFonts w:hint="default"/>
      </w:rPr>
    </w:lvl>
    <w:lvl w:ilvl="8">
      <w:start w:val="0"/>
      <w:numFmt w:val="bullet"/>
      <w:lvlText w:val="•"/>
      <w:lvlJc w:val="left"/>
      <w:pPr>
        <w:ind w:left="4628" w:hanging="154"/>
      </w:pPr>
      <w:rPr>
        <w:rFonts w:hint="default"/>
      </w:rPr>
    </w:lvl>
  </w:abstractNum>
  <w:abstractNum w:abstractNumId="6">
    <w:multiLevelType w:val="hybridMultilevel"/>
    <w:lvl w:ilvl="0">
      <w:start w:val="0"/>
      <w:numFmt w:val="bullet"/>
      <w:lvlText w:val="-"/>
      <w:lvlJc w:val="left"/>
      <w:pPr>
        <w:ind w:left="750" w:hanging="143"/>
      </w:pPr>
      <w:rPr>
        <w:rFonts w:hint="default" w:ascii="Arial" w:hAnsi="Arial" w:eastAsia="Arial" w:cs="Arial"/>
        <w:w w:val="111"/>
        <w:sz w:val="22"/>
        <w:szCs w:val="22"/>
      </w:rPr>
    </w:lvl>
    <w:lvl w:ilvl="1">
      <w:start w:val="0"/>
      <w:numFmt w:val="bullet"/>
      <w:lvlText w:val="•"/>
      <w:lvlJc w:val="left"/>
      <w:pPr>
        <w:ind w:left="936" w:hanging="172"/>
      </w:pPr>
      <w:rPr>
        <w:rFonts w:hint="default" w:ascii="Arial" w:hAnsi="Arial" w:eastAsia="Arial" w:cs="Arial"/>
        <w:w w:val="142"/>
        <w:sz w:val="22"/>
        <w:szCs w:val="22"/>
      </w:rPr>
    </w:lvl>
    <w:lvl w:ilvl="2">
      <w:start w:val="0"/>
      <w:numFmt w:val="bullet"/>
      <w:lvlText w:val="-"/>
      <w:lvlJc w:val="left"/>
      <w:pPr>
        <w:ind w:left="1071" w:hanging="143"/>
      </w:pPr>
      <w:rPr>
        <w:rFonts w:hint="default" w:ascii="Arial" w:hAnsi="Arial" w:eastAsia="Arial" w:cs="Arial"/>
        <w:w w:val="111"/>
        <w:sz w:val="22"/>
        <w:szCs w:val="22"/>
      </w:rPr>
    </w:lvl>
    <w:lvl w:ilvl="3">
      <w:start w:val="0"/>
      <w:numFmt w:val="bullet"/>
      <w:lvlText w:val="•"/>
      <w:lvlJc w:val="left"/>
      <w:pPr>
        <w:ind w:left="280" w:hanging="143"/>
      </w:pPr>
      <w:rPr>
        <w:rFonts w:hint="default"/>
      </w:rPr>
    </w:lvl>
    <w:lvl w:ilvl="4">
      <w:start w:val="0"/>
      <w:numFmt w:val="bullet"/>
      <w:lvlText w:val="•"/>
      <w:lvlJc w:val="left"/>
      <w:pPr>
        <w:ind w:left="-520" w:hanging="143"/>
      </w:pPr>
      <w:rPr>
        <w:rFonts w:hint="default"/>
      </w:rPr>
    </w:lvl>
    <w:lvl w:ilvl="5">
      <w:start w:val="0"/>
      <w:numFmt w:val="bullet"/>
      <w:lvlText w:val="•"/>
      <w:lvlJc w:val="left"/>
      <w:pPr>
        <w:ind w:left="-1319" w:hanging="143"/>
      </w:pPr>
      <w:rPr>
        <w:rFonts w:hint="default"/>
      </w:rPr>
    </w:lvl>
    <w:lvl w:ilvl="6">
      <w:start w:val="0"/>
      <w:numFmt w:val="bullet"/>
      <w:lvlText w:val="•"/>
      <w:lvlJc w:val="left"/>
      <w:pPr>
        <w:ind w:left="-2119" w:hanging="143"/>
      </w:pPr>
      <w:rPr>
        <w:rFonts w:hint="default"/>
      </w:rPr>
    </w:lvl>
    <w:lvl w:ilvl="7">
      <w:start w:val="0"/>
      <w:numFmt w:val="bullet"/>
      <w:lvlText w:val="•"/>
      <w:lvlJc w:val="left"/>
      <w:pPr>
        <w:ind w:left="-2918" w:hanging="143"/>
      </w:pPr>
      <w:rPr>
        <w:rFonts w:hint="default"/>
      </w:rPr>
    </w:lvl>
    <w:lvl w:ilvl="8">
      <w:start w:val="0"/>
      <w:numFmt w:val="bullet"/>
      <w:lvlText w:val="•"/>
      <w:lvlJc w:val="left"/>
      <w:pPr>
        <w:ind w:left="-3718" w:hanging="143"/>
      </w:pPr>
      <w:rPr>
        <w:rFonts w:hint="default"/>
      </w:rPr>
    </w:lvl>
  </w:abstractNum>
  <w:abstractNum w:abstractNumId="5">
    <w:multiLevelType w:val="hybridMultilevel"/>
    <w:lvl w:ilvl="0">
      <w:start w:val="10"/>
      <w:numFmt w:val="lowerLetter"/>
      <w:lvlText w:val="(%1)"/>
      <w:lvlJc w:val="left"/>
      <w:pPr>
        <w:ind w:left="423" w:hanging="253"/>
        <w:jc w:val="right"/>
      </w:pPr>
      <w:rPr>
        <w:rFonts w:hint="default" w:ascii="Arial" w:hAnsi="Arial" w:eastAsia="Arial" w:cs="Arial"/>
        <w:b/>
        <w:bCs/>
        <w:w w:val="92"/>
        <w:sz w:val="22"/>
        <w:szCs w:val="22"/>
      </w:rPr>
    </w:lvl>
    <w:lvl w:ilvl="1">
      <w:start w:val="1"/>
      <w:numFmt w:val="lowerLetter"/>
      <w:lvlText w:val="(%2)"/>
      <w:lvlJc w:val="left"/>
      <w:pPr>
        <w:ind w:left="918" w:hanging="154"/>
        <w:jc w:val="left"/>
      </w:pPr>
      <w:rPr>
        <w:rFonts w:hint="default" w:ascii="Arial" w:hAnsi="Arial" w:eastAsia="Arial" w:cs="Arial"/>
        <w:w w:val="81"/>
        <w:sz w:val="12"/>
        <w:szCs w:val="12"/>
      </w:rPr>
    </w:lvl>
    <w:lvl w:ilvl="2">
      <w:start w:val="0"/>
      <w:numFmt w:val="bullet"/>
      <w:lvlText w:val="•"/>
      <w:lvlJc w:val="left"/>
      <w:pPr>
        <w:ind w:left="814" w:hanging="154"/>
      </w:pPr>
      <w:rPr>
        <w:rFonts w:hint="default"/>
      </w:rPr>
    </w:lvl>
    <w:lvl w:ilvl="3">
      <w:start w:val="0"/>
      <w:numFmt w:val="bullet"/>
      <w:lvlText w:val="•"/>
      <w:lvlJc w:val="left"/>
      <w:pPr>
        <w:ind w:left="708" w:hanging="154"/>
      </w:pPr>
      <w:rPr>
        <w:rFonts w:hint="default"/>
      </w:rPr>
    </w:lvl>
    <w:lvl w:ilvl="4">
      <w:start w:val="0"/>
      <w:numFmt w:val="bullet"/>
      <w:lvlText w:val="•"/>
      <w:lvlJc w:val="left"/>
      <w:pPr>
        <w:ind w:left="603" w:hanging="154"/>
      </w:pPr>
      <w:rPr>
        <w:rFonts w:hint="default"/>
      </w:rPr>
    </w:lvl>
    <w:lvl w:ilvl="5">
      <w:start w:val="0"/>
      <w:numFmt w:val="bullet"/>
      <w:lvlText w:val="•"/>
      <w:lvlJc w:val="left"/>
      <w:pPr>
        <w:ind w:left="497" w:hanging="154"/>
      </w:pPr>
      <w:rPr>
        <w:rFonts w:hint="default"/>
      </w:rPr>
    </w:lvl>
    <w:lvl w:ilvl="6">
      <w:start w:val="0"/>
      <w:numFmt w:val="bullet"/>
      <w:lvlText w:val="•"/>
      <w:lvlJc w:val="left"/>
      <w:pPr>
        <w:ind w:left="392" w:hanging="154"/>
      </w:pPr>
      <w:rPr>
        <w:rFonts w:hint="default"/>
      </w:rPr>
    </w:lvl>
    <w:lvl w:ilvl="7">
      <w:start w:val="0"/>
      <w:numFmt w:val="bullet"/>
      <w:lvlText w:val="•"/>
      <w:lvlJc w:val="left"/>
      <w:pPr>
        <w:ind w:left="286" w:hanging="154"/>
      </w:pPr>
      <w:rPr>
        <w:rFonts w:hint="default"/>
      </w:rPr>
    </w:lvl>
    <w:lvl w:ilvl="8">
      <w:start w:val="0"/>
      <w:numFmt w:val="bullet"/>
      <w:lvlText w:val="•"/>
      <w:lvlJc w:val="left"/>
      <w:pPr>
        <w:ind w:left="181" w:hanging="154"/>
      </w:pPr>
      <w:rPr>
        <w:rFonts w:hint="default"/>
      </w:rPr>
    </w:lvl>
  </w:abstractNum>
  <w:abstractNum w:abstractNumId="4">
    <w:multiLevelType w:val="hybridMultilevel"/>
    <w:lvl w:ilvl="0">
      <w:start w:val="1"/>
      <w:numFmt w:val="lowerLetter"/>
      <w:lvlText w:val="(%1)"/>
      <w:lvlJc w:val="left"/>
      <w:pPr>
        <w:ind w:left="713" w:hanging="318"/>
        <w:jc w:val="right"/>
      </w:pPr>
      <w:rPr>
        <w:rFonts w:hint="default" w:ascii="Arial" w:hAnsi="Arial" w:eastAsia="Arial" w:cs="Arial"/>
        <w:b/>
        <w:bCs/>
        <w:w w:val="95"/>
        <w:sz w:val="22"/>
        <w:szCs w:val="22"/>
      </w:rPr>
    </w:lvl>
    <w:lvl w:ilvl="1">
      <w:start w:val="0"/>
      <w:numFmt w:val="bullet"/>
      <w:lvlText w:val="•"/>
      <w:lvlJc w:val="left"/>
      <w:pPr>
        <w:ind w:left="1165" w:hanging="318"/>
      </w:pPr>
      <w:rPr>
        <w:rFonts w:hint="default"/>
      </w:rPr>
    </w:lvl>
    <w:lvl w:ilvl="2">
      <w:start w:val="0"/>
      <w:numFmt w:val="bullet"/>
      <w:lvlText w:val="•"/>
      <w:lvlJc w:val="left"/>
      <w:pPr>
        <w:ind w:left="1611" w:hanging="318"/>
      </w:pPr>
      <w:rPr>
        <w:rFonts w:hint="default"/>
      </w:rPr>
    </w:lvl>
    <w:lvl w:ilvl="3">
      <w:start w:val="0"/>
      <w:numFmt w:val="bullet"/>
      <w:lvlText w:val="•"/>
      <w:lvlJc w:val="left"/>
      <w:pPr>
        <w:ind w:left="2057" w:hanging="318"/>
      </w:pPr>
      <w:rPr>
        <w:rFonts w:hint="default"/>
      </w:rPr>
    </w:lvl>
    <w:lvl w:ilvl="4">
      <w:start w:val="0"/>
      <w:numFmt w:val="bullet"/>
      <w:lvlText w:val="•"/>
      <w:lvlJc w:val="left"/>
      <w:pPr>
        <w:ind w:left="2503" w:hanging="318"/>
      </w:pPr>
      <w:rPr>
        <w:rFonts w:hint="default"/>
      </w:rPr>
    </w:lvl>
    <w:lvl w:ilvl="5">
      <w:start w:val="0"/>
      <w:numFmt w:val="bullet"/>
      <w:lvlText w:val="•"/>
      <w:lvlJc w:val="left"/>
      <w:pPr>
        <w:ind w:left="2949" w:hanging="318"/>
      </w:pPr>
      <w:rPr>
        <w:rFonts w:hint="default"/>
      </w:rPr>
    </w:lvl>
    <w:lvl w:ilvl="6">
      <w:start w:val="0"/>
      <w:numFmt w:val="bullet"/>
      <w:lvlText w:val="•"/>
      <w:lvlJc w:val="left"/>
      <w:pPr>
        <w:ind w:left="3395" w:hanging="318"/>
      </w:pPr>
      <w:rPr>
        <w:rFonts w:hint="default"/>
      </w:rPr>
    </w:lvl>
    <w:lvl w:ilvl="7">
      <w:start w:val="0"/>
      <w:numFmt w:val="bullet"/>
      <w:lvlText w:val="•"/>
      <w:lvlJc w:val="left"/>
      <w:pPr>
        <w:ind w:left="3841" w:hanging="318"/>
      </w:pPr>
      <w:rPr>
        <w:rFonts w:hint="default"/>
      </w:rPr>
    </w:lvl>
    <w:lvl w:ilvl="8">
      <w:start w:val="0"/>
      <w:numFmt w:val="bullet"/>
      <w:lvlText w:val="•"/>
      <w:lvlJc w:val="left"/>
      <w:pPr>
        <w:ind w:left="4287" w:hanging="318"/>
      </w:pPr>
      <w:rPr>
        <w:rFonts w:hint="default"/>
      </w:rPr>
    </w:lvl>
  </w:abstractNum>
  <w:abstractNum w:abstractNumId="3">
    <w:multiLevelType w:val="hybridMultilevel"/>
    <w:lvl w:ilvl="0">
      <w:start w:val="1"/>
      <w:numFmt w:val="lowerLetter"/>
      <w:lvlText w:val="(%1)"/>
      <w:lvlJc w:val="left"/>
      <w:pPr>
        <w:ind w:left="918" w:hanging="154"/>
        <w:jc w:val="left"/>
      </w:pPr>
      <w:rPr>
        <w:rFonts w:hint="default" w:ascii="Arial" w:hAnsi="Arial" w:eastAsia="Arial" w:cs="Arial"/>
        <w:w w:val="81"/>
        <w:sz w:val="12"/>
        <w:szCs w:val="12"/>
      </w:rPr>
    </w:lvl>
    <w:lvl w:ilvl="1">
      <w:start w:val="0"/>
      <w:numFmt w:val="bullet"/>
      <w:lvlText w:val="•"/>
      <w:lvlJc w:val="left"/>
      <w:pPr>
        <w:ind w:left="2511" w:hanging="154"/>
      </w:pPr>
      <w:rPr>
        <w:rFonts w:hint="default"/>
      </w:rPr>
    </w:lvl>
    <w:lvl w:ilvl="2">
      <w:start w:val="0"/>
      <w:numFmt w:val="bullet"/>
      <w:lvlText w:val="•"/>
      <w:lvlJc w:val="left"/>
      <w:pPr>
        <w:ind w:left="4103" w:hanging="154"/>
      </w:pPr>
      <w:rPr>
        <w:rFonts w:hint="default"/>
      </w:rPr>
    </w:lvl>
    <w:lvl w:ilvl="3">
      <w:start w:val="0"/>
      <w:numFmt w:val="bullet"/>
      <w:lvlText w:val="•"/>
      <w:lvlJc w:val="left"/>
      <w:pPr>
        <w:ind w:left="5695" w:hanging="154"/>
      </w:pPr>
      <w:rPr>
        <w:rFonts w:hint="default"/>
      </w:rPr>
    </w:lvl>
    <w:lvl w:ilvl="4">
      <w:start w:val="0"/>
      <w:numFmt w:val="bullet"/>
      <w:lvlText w:val="•"/>
      <w:lvlJc w:val="left"/>
      <w:pPr>
        <w:ind w:left="7287" w:hanging="154"/>
      </w:pPr>
      <w:rPr>
        <w:rFonts w:hint="default"/>
      </w:rPr>
    </w:lvl>
    <w:lvl w:ilvl="5">
      <w:start w:val="0"/>
      <w:numFmt w:val="bullet"/>
      <w:lvlText w:val="•"/>
      <w:lvlJc w:val="left"/>
      <w:pPr>
        <w:ind w:left="8878" w:hanging="154"/>
      </w:pPr>
      <w:rPr>
        <w:rFonts w:hint="default"/>
      </w:rPr>
    </w:lvl>
    <w:lvl w:ilvl="6">
      <w:start w:val="0"/>
      <w:numFmt w:val="bullet"/>
      <w:lvlText w:val="•"/>
      <w:lvlJc w:val="left"/>
      <w:pPr>
        <w:ind w:left="10470" w:hanging="154"/>
      </w:pPr>
      <w:rPr>
        <w:rFonts w:hint="default"/>
      </w:rPr>
    </w:lvl>
    <w:lvl w:ilvl="7">
      <w:start w:val="0"/>
      <w:numFmt w:val="bullet"/>
      <w:lvlText w:val="•"/>
      <w:lvlJc w:val="left"/>
      <w:pPr>
        <w:ind w:left="12062" w:hanging="154"/>
      </w:pPr>
      <w:rPr>
        <w:rFonts w:hint="default"/>
      </w:rPr>
    </w:lvl>
    <w:lvl w:ilvl="8">
      <w:start w:val="0"/>
      <w:numFmt w:val="bullet"/>
      <w:lvlText w:val="•"/>
      <w:lvlJc w:val="left"/>
      <w:pPr>
        <w:ind w:left="13654" w:hanging="154"/>
      </w:pPr>
      <w:rPr>
        <w:rFonts w:hint="default"/>
      </w:rPr>
    </w:lvl>
  </w:abstractNum>
  <w:abstractNum w:abstractNumId="2">
    <w:multiLevelType w:val="hybridMultilevel"/>
    <w:lvl w:ilvl="0">
      <w:start w:val="0"/>
      <w:numFmt w:val="bullet"/>
      <w:lvlText w:val="•"/>
      <w:lvlJc w:val="left"/>
      <w:pPr>
        <w:ind w:left="611" w:hanging="172"/>
      </w:pPr>
      <w:rPr>
        <w:rFonts w:hint="default" w:ascii="Arial" w:hAnsi="Arial" w:eastAsia="Arial" w:cs="Arial"/>
        <w:w w:val="142"/>
        <w:sz w:val="22"/>
        <w:szCs w:val="22"/>
      </w:rPr>
    </w:lvl>
    <w:lvl w:ilvl="1">
      <w:start w:val="0"/>
      <w:numFmt w:val="bullet"/>
      <w:lvlText w:val="•"/>
      <w:lvlJc w:val="left"/>
      <w:pPr>
        <w:ind w:left="948" w:hanging="172"/>
      </w:pPr>
      <w:rPr>
        <w:rFonts w:hint="default" w:ascii="Arial" w:hAnsi="Arial" w:eastAsia="Arial" w:cs="Arial"/>
        <w:w w:val="142"/>
        <w:sz w:val="22"/>
        <w:szCs w:val="22"/>
      </w:rPr>
    </w:lvl>
    <w:lvl w:ilvl="2">
      <w:start w:val="0"/>
      <w:numFmt w:val="bullet"/>
      <w:lvlText w:val="-"/>
      <w:lvlJc w:val="left"/>
      <w:pPr>
        <w:ind w:left="1254" w:hanging="143"/>
      </w:pPr>
      <w:rPr>
        <w:rFonts w:hint="default" w:ascii="Arial" w:hAnsi="Arial" w:eastAsia="Arial" w:cs="Arial"/>
        <w:w w:val="111"/>
        <w:sz w:val="22"/>
        <w:szCs w:val="22"/>
      </w:rPr>
    </w:lvl>
    <w:lvl w:ilvl="3">
      <w:start w:val="0"/>
      <w:numFmt w:val="bullet"/>
      <w:lvlText w:val="•"/>
      <w:lvlJc w:val="left"/>
      <w:pPr>
        <w:ind w:left="1280" w:hanging="143"/>
      </w:pPr>
      <w:rPr>
        <w:rFonts w:hint="default"/>
      </w:rPr>
    </w:lvl>
    <w:lvl w:ilvl="4">
      <w:start w:val="0"/>
      <w:numFmt w:val="bullet"/>
      <w:lvlText w:val="•"/>
      <w:lvlJc w:val="left"/>
      <w:pPr>
        <w:ind w:left="1960" w:hanging="143"/>
      </w:pPr>
      <w:rPr>
        <w:rFonts w:hint="default"/>
      </w:rPr>
    </w:lvl>
    <w:lvl w:ilvl="5">
      <w:start w:val="0"/>
      <w:numFmt w:val="bullet"/>
      <w:lvlText w:val="•"/>
      <w:lvlJc w:val="left"/>
      <w:pPr>
        <w:ind w:left="1602" w:hanging="143"/>
      </w:pPr>
      <w:rPr>
        <w:rFonts w:hint="default"/>
      </w:rPr>
    </w:lvl>
    <w:lvl w:ilvl="6">
      <w:start w:val="0"/>
      <w:numFmt w:val="bullet"/>
      <w:lvlText w:val="•"/>
      <w:lvlJc w:val="left"/>
      <w:pPr>
        <w:ind w:left="1245" w:hanging="143"/>
      </w:pPr>
      <w:rPr>
        <w:rFonts w:hint="default"/>
      </w:rPr>
    </w:lvl>
    <w:lvl w:ilvl="7">
      <w:start w:val="0"/>
      <w:numFmt w:val="bullet"/>
      <w:lvlText w:val="•"/>
      <w:lvlJc w:val="left"/>
      <w:pPr>
        <w:ind w:left="888" w:hanging="143"/>
      </w:pPr>
      <w:rPr>
        <w:rFonts w:hint="default"/>
      </w:rPr>
    </w:lvl>
    <w:lvl w:ilvl="8">
      <w:start w:val="0"/>
      <w:numFmt w:val="bullet"/>
      <w:lvlText w:val="•"/>
      <w:lvlJc w:val="left"/>
      <w:pPr>
        <w:ind w:left="531" w:hanging="143"/>
      </w:pPr>
      <w:rPr>
        <w:rFonts w:hint="default"/>
      </w:rPr>
    </w:lvl>
  </w:abstractNum>
  <w:abstractNum w:abstractNumId="1">
    <w:multiLevelType w:val="hybridMultilevel"/>
    <w:lvl w:ilvl="0">
      <w:start w:val="0"/>
      <w:numFmt w:val="bullet"/>
      <w:lvlText w:val="•"/>
      <w:lvlJc w:val="left"/>
      <w:pPr>
        <w:ind w:left="340" w:hanging="167"/>
      </w:pPr>
      <w:rPr>
        <w:rFonts w:hint="default" w:ascii="Arial" w:hAnsi="Arial" w:eastAsia="Arial" w:cs="Arial"/>
        <w:w w:val="142"/>
        <w:sz w:val="22"/>
        <w:szCs w:val="22"/>
      </w:rPr>
    </w:lvl>
    <w:lvl w:ilvl="1">
      <w:start w:val="0"/>
      <w:numFmt w:val="bullet"/>
      <w:lvlText w:val="•"/>
      <w:lvlJc w:val="left"/>
      <w:pPr>
        <w:ind w:left="948" w:hanging="172"/>
      </w:pPr>
      <w:rPr>
        <w:rFonts w:hint="default" w:ascii="Arial" w:hAnsi="Arial" w:eastAsia="Arial" w:cs="Arial"/>
        <w:w w:val="142"/>
        <w:sz w:val="22"/>
        <w:szCs w:val="22"/>
      </w:rPr>
    </w:lvl>
    <w:lvl w:ilvl="2">
      <w:start w:val="0"/>
      <w:numFmt w:val="bullet"/>
      <w:lvlText w:val="•"/>
      <w:lvlJc w:val="left"/>
      <w:pPr>
        <w:ind w:left="814" w:hanging="172"/>
      </w:pPr>
      <w:rPr>
        <w:rFonts w:hint="default"/>
      </w:rPr>
    </w:lvl>
    <w:lvl w:ilvl="3">
      <w:start w:val="0"/>
      <w:numFmt w:val="bullet"/>
      <w:lvlText w:val="•"/>
      <w:lvlJc w:val="left"/>
      <w:pPr>
        <w:ind w:left="688" w:hanging="172"/>
      </w:pPr>
      <w:rPr>
        <w:rFonts w:hint="default"/>
      </w:rPr>
    </w:lvl>
    <w:lvl w:ilvl="4">
      <w:start w:val="0"/>
      <w:numFmt w:val="bullet"/>
      <w:lvlText w:val="•"/>
      <w:lvlJc w:val="left"/>
      <w:pPr>
        <w:ind w:left="563" w:hanging="172"/>
      </w:pPr>
      <w:rPr>
        <w:rFonts w:hint="default"/>
      </w:rPr>
    </w:lvl>
    <w:lvl w:ilvl="5">
      <w:start w:val="0"/>
      <w:numFmt w:val="bullet"/>
      <w:lvlText w:val="•"/>
      <w:lvlJc w:val="left"/>
      <w:pPr>
        <w:ind w:left="437" w:hanging="172"/>
      </w:pPr>
      <w:rPr>
        <w:rFonts w:hint="default"/>
      </w:rPr>
    </w:lvl>
    <w:lvl w:ilvl="6">
      <w:start w:val="0"/>
      <w:numFmt w:val="bullet"/>
      <w:lvlText w:val="•"/>
      <w:lvlJc w:val="left"/>
      <w:pPr>
        <w:ind w:left="311" w:hanging="172"/>
      </w:pPr>
      <w:rPr>
        <w:rFonts w:hint="default"/>
      </w:rPr>
    </w:lvl>
    <w:lvl w:ilvl="7">
      <w:start w:val="0"/>
      <w:numFmt w:val="bullet"/>
      <w:lvlText w:val="•"/>
      <w:lvlJc w:val="left"/>
      <w:pPr>
        <w:ind w:left="186" w:hanging="172"/>
      </w:pPr>
      <w:rPr>
        <w:rFonts w:hint="default"/>
      </w:rPr>
    </w:lvl>
    <w:lvl w:ilvl="8">
      <w:start w:val="0"/>
      <w:numFmt w:val="bullet"/>
      <w:lvlText w:val="•"/>
      <w:lvlJc w:val="left"/>
      <w:pPr>
        <w:ind w:left="60" w:hanging="172"/>
      </w:pPr>
      <w:rPr>
        <w:rFonts w:hint="default"/>
      </w:rPr>
    </w:lvl>
  </w:abstractNum>
  <w:num w:numId="33">
    <w:abstractNumId w:val="32"/>
  </w:num>
  <w:num w:numId="1">
    <w:abstractNumId w:val="0"/>
  </w:num>
  <w:num w:numId="38">
    <w:abstractNumId w:val="37"/>
  </w:num>
  <w:num w:numId="37">
    <w:abstractNumId w:val="36"/>
  </w:num>
  <w:num w:numId="36">
    <w:abstractNumId w:val="35"/>
  </w:num>
  <w:num w:numId="35">
    <w:abstractNumId w:val="34"/>
  </w:num>
  <w:num w:numId="34">
    <w:abstractNumId w:val="33"/>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06"/>
      <w:ind w:left="597"/>
    </w:pPr>
    <w:rPr>
      <w:rFonts w:ascii="Arial" w:hAnsi="Arial" w:eastAsia="Arial" w:cs="Arial"/>
      <w:sz w:val="22"/>
      <w:szCs w:val="22"/>
    </w:rPr>
  </w:style>
  <w:style w:styleId="TOC2" w:type="paragraph">
    <w:name w:val="TOC 2"/>
    <w:basedOn w:val="Normal"/>
    <w:uiPriority w:val="1"/>
    <w:qFormat/>
    <w:pPr>
      <w:spacing w:before="431"/>
      <w:ind w:left="765"/>
    </w:pPr>
    <w:rPr>
      <w:rFonts w:ascii="Arial" w:hAnsi="Arial" w:eastAsia="Arial" w:cs="Arial"/>
      <w:sz w:val="22"/>
      <w:szCs w:val="22"/>
      <w:u w:val="single" w:color="000000"/>
    </w:rPr>
  </w:style>
  <w:style w:styleId="TOC3" w:type="paragraph">
    <w:name w:val="TOC 3"/>
    <w:basedOn w:val="Normal"/>
    <w:uiPriority w:val="1"/>
    <w:qFormat/>
    <w:pPr>
      <w:spacing w:before="167"/>
      <w:ind w:left="877"/>
    </w:pPr>
    <w:rPr>
      <w:rFonts w:ascii="Arial" w:hAnsi="Arial" w:eastAsia="Arial" w:cs="Arial"/>
      <w:sz w:val="22"/>
      <w:szCs w:val="22"/>
    </w:rPr>
  </w:style>
  <w:style w:styleId="TOC4" w:type="paragraph">
    <w:name w:val="TOC 4"/>
    <w:basedOn w:val="Normal"/>
    <w:uiPriority w:val="1"/>
    <w:qFormat/>
    <w:pPr>
      <w:spacing w:before="167"/>
      <w:ind w:left="1045"/>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92"/>
      <w:ind w:left="765"/>
      <w:outlineLvl w:val="1"/>
    </w:pPr>
    <w:rPr>
      <w:rFonts w:ascii="Arial" w:hAnsi="Arial" w:eastAsia="Arial" w:cs="Arial"/>
      <w:sz w:val="72"/>
      <w:szCs w:val="72"/>
    </w:rPr>
  </w:style>
  <w:style w:styleId="Heading2" w:type="paragraph">
    <w:name w:val="Heading 2"/>
    <w:basedOn w:val="Normal"/>
    <w:uiPriority w:val="1"/>
    <w:qFormat/>
    <w:pPr>
      <w:spacing w:before="94"/>
      <w:ind w:left="765"/>
      <w:outlineLvl w:val="2"/>
    </w:pPr>
    <w:rPr>
      <w:rFonts w:ascii="Arial" w:hAnsi="Arial" w:eastAsia="Arial" w:cs="Arial"/>
      <w:sz w:val="54"/>
      <w:szCs w:val="54"/>
    </w:rPr>
  </w:style>
  <w:style w:styleId="Heading3" w:type="paragraph">
    <w:name w:val="Heading 3"/>
    <w:basedOn w:val="Normal"/>
    <w:uiPriority w:val="1"/>
    <w:qFormat/>
    <w:pPr>
      <w:ind w:left="765"/>
      <w:outlineLvl w:val="3"/>
    </w:pPr>
    <w:rPr>
      <w:rFonts w:ascii="Arial" w:hAnsi="Arial" w:eastAsia="Arial" w:cs="Arial"/>
      <w:b/>
      <w:bCs/>
      <w:sz w:val="36"/>
      <w:szCs w:val="36"/>
    </w:rPr>
  </w:style>
  <w:style w:styleId="Heading4" w:type="paragraph">
    <w:name w:val="Heading 4"/>
    <w:basedOn w:val="Normal"/>
    <w:uiPriority w:val="1"/>
    <w:qFormat/>
    <w:pPr>
      <w:spacing w:before="30"/>
      <w:ind w:left="765"/>
      <w:outlineLvl w:val="4"/>
    </w:pPr>
    <w:rPr>
      <w:rFonts w:ascii="Arial" w:hAnsi="Arial" w:eastAsia="Arial" w:cs="Arial"/>
      <w:sz w:val="36"/>
      <w:szCs w:val="36"/>
    </w:rPr>
  </w:style>
  <w:style w:styleId="Heading5" w:type="paragraph">
    <w:name w:val="Heading 5"/>
    <w:basedOn w:val="Normal"/>
    <w:uiPriority w:val="1"/>
    <w:qFormat/>
    <w:pPr>
      <w:spacing w:before="109"/>
      <w:ind w:left="765"/>
      <w:outlineLvl w:val="5"/>
    </w:pPr>
    <w:rPr>
      <w:rFonts w:ascii="Arial" w:hAnsi="Arial" w:eastAsia="Arial" w:cs="Arial"/>
      <w:sz w:val="32"/>
      <w:szCs w:val="32"/>
    </w:rPr>
  </w:style>
  <w:style w:styleId="Heading6" w:type="paragraph">
    <w:name w:val="Heading 6"/>
    <w:basedOn w:val="Normal"/>
    <w:uiPriority w:val="1"/>
    <w:qFormat/>
    <w:pPr>
      <w:ind w:left="765"/>
      <w:outlineLvl w:val="6"/>
    </w:pPr>
    <w:rPr>
      <w:rFonts w:ascii="Arial" w:hAnsi="Arial" w:eastAsia="Arial" w:cs="Arial"/>
      <w:b/>
      <w:bCs/>
      <w:sz w:val="22"/>
      <w:szCs w:val="22"/>
    </w:rPr>
  </w:style>
  <w:style w:styleId="ListParagraph" w:type="paragraph">
    <w:name w:val="List Paragraph"/>
    <w:basedOn w:val="Normal"/>
    <w:uiPriority w:val="1"/>
    <w:qFormat/>
    <w:pPr>
      <w:ind w:left="948" w:hanging="183"/>
    </w:pPr>
    <w:rPr>
      <w:rFonts w:ascii="Arial" w:hAnsi="Arial" w:eastAsia="Arial" w:cs="Arial"/>
    </w:rPr>
  </w:style>
  <w:style w:styleId="TableParagraph" w:type="paragraph">
    <w:name w:val="Table Paragraph"/>
    <w:basedOn w:val="Normal"/>
    <w:uiPriority w:val="1"/>
    <w:qFormat/>
    <w:pPr>
      <w:spacing w:before="32"/>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mailto:Corporate.Communications@finance.wa.gov.au" TargetMode="External"/><Relationship Id="rId14" Type="http://schemas.openxmlformats.org/officeDocument/2006/relationships/footer" Target="footer1.xml"/><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oter" Target="footer2.xml"/><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footer" Target="footer3.xml"/><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footer" Target="footer4.xml"/><Relationship Id="rId35" Type="http://schemas.openxmlformats.org/officeDocument/2006/relationships/footer" Target="footer5.xml"/><Relationship Id="rId36" Type="http://schemas.openxmlformats.org/officeDocument/2006/relationships/image" Target="media/image26.png"/><Relationship Id="rId37" Type="http://schemas.openxmlformats.org/officeDocument/2006/relationships/hyperlink" Target="https://www.mediastatements.wa.gov.au/Pages/Barnett/2016/10/More-red-tape-cut-in-Repeal-Week-2016.aspx" TargetMode="External"/><Relationship Id="rId38" Type="http://schemas.openxmlformats.org/officeDocument/2006/relationships/hyperlink" Target="https://www.mediastatements.wa.gov.au/Pages/Barnett/2016/08/Greater-protection-measures-for-subcontractors.aspx" TargetMode="External"/><Relationship Id="rId39" Type="http://schemas.openxmlformats.org/officeDocument/2006/relationships/footer" Target="footer6.xml"/><Relationship Id="rId40" Type="http://schemas.openxmlformats.org/officeDocument/2006/relationships/image" Target="media/image27.png"/><Relationship Id="rId41" Type="http://schemas.openxmlformats.org/officeDocument/2006/relationships/footer" Target="footer7.xml"/><Relationship Id="rId42" Type="http://schemas.openxmlformats.org/officeDocument/2006/relationships/image" Target="media/image28.png"/><Relationship Id="rId43" Type="http://schemas.openxmlformats.org/officeDocument/2006/relationships/hyperlink" Target="http://www.finance.wa.gov.au/cms/uploadedFiles/_Home/About_us/Strategic-Directions-15-18.pdf" TargetMode="External"/><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footer" Target="footer8.xml"/><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footer" Target="footer9.xml"/><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hyperlink" Target="http://www.finance.wa.gov.au/cms/State_Supply_Commission/Procurement_Policy/Open_and_Effective_Competition.aspx" TargetMode="External"/><Relationship Id="rId58" Type="http://schemas.openxmlformats.org/officeDocument/2006/relationships/hyperlink" Target="http://www.abdwa.com.au/home.asp?cmd=register&amp;amp;CID" TargetMode="External"/><Relationship Id="rId59" Type="http://schemas.openxmlformats.org/officeDocument/2006/relationships/footer" Target="footer10.xml"/><Relationship Id="rId60" Type="http://schemas.openxmlformats.org/officeDocument/2006/relationships/hyperlink" Target="https://gcio.wa.gov.au/initiatives/digital-wa-state-ict-strategy/" TargetMode="External"/><Relationship Id="rId61" Type="http://schemas.openxmlformats.org/officeDocument/2006/relationships/image" Target="media/image40.png"/><Relationship Id="rId62" Type="http://schemas.openxmlformats.org/officeDocument/2006/relationships/image" Target="media/image41.png"/><Relationship Id="rId63" Type="http://schemas.openxmlformats.org/officeDocument/2006/relationships/image" Target="media/image42.png"/><Relationship Id="rId64" Type="http://schemas.openxmlformats.org/officeDocument/2006/relationships/image" Target="media/image43.png"/><Relationship Id="rId65" Type="http://schemas.openxmlformats.org/officeDocument/2006/relationships/hyperlink" Target="http://www.finance.wa.gov.au/cms/State_Revenue/Revenue_Online/Revenue_Online.aspx" TargetMode="External"/><Relationship Id="rId66" Type="http://schemas.openxmlformats.org/officeDocument/2006/relationships/image" Target="media/image44.png"/><Relationship Id="rId67" Type="http://schemas.openxmlformats.org/officeDocument/2006/relationships/image" Target="media/image45.png"/><Relationship Id="rId68" Type="http://schemas.openxmlformats.org/officeDocument/2006/relationships/image" Target="media/image46.png"/><Relationship Id="rId69" Type="http://schemas.openxmlformats.org/officeDocument/2006/relationships/image" Target="media/image47.png"/><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image" Target="media/image53.png"/><Relationship Id="rId76" Type="http://schemas.openxmlformats.org/officeDocument/2006/relationships/image" Target="media/image54.png"/><Relationship Id="rId77" Type="http://schemas.openxmlformats.org/officeDocument/2006/relationships/footer" Target="footer11.xml"/><Relationship Id="rId78" Type="http://schemas.openxmlformats.org/officeDocument/2006/relationships/hyperlink" Target="https://www.dpc.wa.gov.au/GuidelinesAndPolicies/PremiersCirculars/Pages/2016-05-Improving-the-Outcomes-of-Major-Projects-Through-Gateway-Reviews.aspx" TargetMode="External"/><Relationship Id="rId79" Type="http://schemas.openxmlformats.org/officeDocument/2006/relationships/image" Target="media/image55.png"/><Relationship Id="rId80" Type="http://schemas.openxmlformats.org/officeDocument/2006/relationships/image" Target="media/image56.png"/><Relationship Id="rId81" Type="http://schemas.openxmlformats.org/officeDocument/2006/relationships/image" Target="media/image57.png"/><Relationship Id="rId82" Type="http://schemas.openxmlformats.org/officeDocument/2006/relationships/image" Target="media/image58.png"/><Relationship Id="rId83" Type="http://schemas.openxmlformats.org/officeDocument/2006/relationships/image" Target="media/image59.png"/><Relationship Id="rId84" Type="http://schemas.openxmlformats.org/officeDocument/2006/relationships/image" Target="media/image60.png"/><Relationship Id="rId85" Type="http://schemas.openxmlformats.org/officeDocument/2006/relationships/image" Target="media/image61.png"/><Relationship Id="rId86" Type="http://schemas.openxmlformats.org/officeDocument/2006/relationships/image" Target="media/image62.png"/><Relationship Id="rId87" Type="http://schemas.openxmlformats.org/officeDocument/2006/relationships/image" Target="media/image63.png"/><Relationship Id="rId88" Type="http://schemas.openxmlformats.org/officeDocument/2006/relationships/image" Target="media/image64.png"/><Relationship Id="rId89" Type="http://schemas.openxmlformats.org/officeDocument/2006/relationships/image" Target="media/image65.png"/><Relationship Id="rId90" Type="http://schemas.openxmlformats.org/officeDocument/2006/relationships/image" Target="media/image66.png"/><Relationship Id="rId91" Type="http://schemas.openxmlformats.org/officeDocument/2006/relationships/image" Target="media/image67.png"/><Relationship Id="rId92" Type="http://schemas.openxmlformats.org/officeDocument/2006/relationships/image" Target="media/image68.png"/><Relationship Id="rId93" Type="http://schemas.openxmlformats.org/officeDocument/2006/relationships/image" Target="media/image69.png"/><Relationship Id="rId94" Type="http://schemas.openxmlformats.org/officeDocument/2006/relationships/image" Target="media/image70.png"/><Relationship Id="rId95" Type="http://schemas.openxmlformats.org/officeDocument/2006/relationships/image" Target="media/image71.png"/><Relationship Id="rId96" Type="http://schemas.openxmlformats.org/officeDocument/2006/relationships/image" Target="media/image72.png"/><Relationship Id="rId97" Type="http://schemas.openxmlformats.org/officeDocument/2006/relationships/image" Target="media/image73.png"/><Relationship Id="rId98" Type="http://schemas.openxmlformats.org/officeDocument/2006/relationships/image" Target="media/image74.png"/><Relationship Id="rId99" Type="http://schemas.openxmlformats.org/officeDocument/2006/relationships/image" Target="media/image75.png"/><Relationship Id="rId100" Type="http://schemas.openxmlformats.org/officeDocument/2006/relationships/footer" Target="footer12.xml"/><Relationship Id="rId101" Type="http://schemas.openxmlformats.org/officeDocument/2006/relationships/hyperlink" Target="https://www.planning.wa.gov.au/publications/826.aspx" TargetMode="External"/><Relationship Id="rId102" Type="http://schemas.openxmlformats.org/officeDocument/2006/relationships/footer" Target="footer13.xml"/><Relationship Id="rId103" Type="http://schemas.openxmlformats.org/officeDocument/2006/relationships/hyperlink" Target="http://www.fremantle.wa.gov.au/ksp" TargetMode="External"/><Relationship Id="rId104" Type="http://schemas.openxmlformats.org/officeDocument/2006/relationships/hyperlink" Target="https://www.mediastatements.wa.gov.au/Pages/Barnett/2016/07/New-public-sector-offices-for-Joondalup.aspx" TargetMode="External"/><Relationship Id="rId105" Type="http://schemas.openxmlformats.org/officeDocument/2006/relationships/hyperlink" Target="https://www.mediastatements.wa.gov.au/Pages/Barnett/2016/11/New-public-sector-offices-for-Fremantle.aspx" TargetMode="External"/><Relationship Id="rId106" Type="http://schemas.openxmlformats.org/officeDocument/2006/relationships/hyperlink" Target="https://www.mediastatements.wa.gov.au/Pages/Barnett/2017/01/Government-ICT-contracts-to-deliver-savings.aspx" TargetMode="External"/><Relationship Id="rId107" Type="http://schemas.openxmlformats.org/officeDocument/2006/relationships/footer" Target="footer14.xml"/><Relationship Id="rId108" Type="http://schemas.openxmlformats.org/officeDocument/2006/relationships/hyperlink" Target="http://www.finance.wa.gov.au/cms/uploadedFiles/Economic_Reform/90_Day_Projects/Aquaculture-90-day-summary-report.pdf" TargetMode="External"/><Relationship Id="rId109" Type="http://schemas.openxmlformats.org/officeDocument/2006/relationships/image" Target="media/image76.png"/><Relationship Id="rId110" Type="http://schemas.openxmlformats.org/officeDocument/2006/relationships/image" Target="media/image77.png"/><Relationship Id="rId111" Type="http://schemas.openxmlformats.org/officeDocument/2006/relationships/image" Target="media/image78.png"/><Relationship Id="rId112" Type="http://schemas.openxmlformats.org/officeDocument/2006/relationships/image" Target="media/image79.png"/><Relationship Id="rId113" Type="http://schemas.openxmlformats.org/officeDocument/2006/relationships/image" Target="media/image80.png"/><Relationship Id="rId114" Type="http://schemas.openxmlformats.org/officeDocument/2006/relationships/footer" Target="footer15.xml"/><Relationship Id="rId115" Type="http://schemas.openxmlformats.org/officeDocument/2006/relationships/hyperlink" Target="https://www.finance.wa.gov.au/cms/Government_Procurement/Policies/Delivering_Community_Services_in_Partnership.aspx" TargetMode="External"/><Relationship Id="rId116" Type="http://schemas.openxmlformats.org/officeDocument/2006/relationships/footer" Target="footer16.xml"/><Relationship Id="rId117" Type="http://schemas.openxmlformats.org/officeDocument/2006/relationships/hyperlink" Target="https://www.erawa.com.au/rule-change-panel/about-the-rule-change-panel" TargetMode="External"/><Relationship Id="rId118" Type="http://schemas.openxmlformats.org/officeDocument/2006/relationships/image" Target="media/image81.png"/><Relationship Id="rId119" Type="http://schemas.openxmlformats.org/officeDocument/2006/relationships/image" Target="media/image82.png"/><Relationship Id="rId120" Type="http://schemas.openxmlformats.org/officeDocument/2006/relationships/image" Target="media/image83.png"/><Relationship Id="rId121" Type="http://schemas.openxmlformats.org/officeDocument/2006/relationships/image" Target="media/image84.png"/><Relationship Id="rId122" Type="http://schemas.openxmlformats.org/officeDocument/2006/relationships/image" Target="media/image85.png"/><Relationship Id="rId123" Type="http://schemas.openxmlformats.org/officeDocument/2006/relationships/footer" Target="footer17.xml"/><Relationship Id="rId124" Type="http://schemas.openxmlformats.org/officeDocument/2006/relationships/image" Target="media/image86.png"/><Relationship Id="rId125" Type="http://schemas.openxmlformats.org/officeDocument/2006/relationships/hyperlink" Target="https://www.finance.wa.gov.au/cms/State_Revenue/Revenue_Online/Revenue_Online.aspx" TargetMode="External"/><Relationship Id="rId126" Type="http://schemas.openxmlformats.org/officeDocument/2006/relationships/hyperlink" Target="https://www.finance.wa.gov.au/cms/State_Revenue/I_am/Online_Services.aspx" TargetMode="External"/><Relationship Id="rId127" Type="http://schemas.openxmlformats.org/officeDocument/2006/relationships/footer" Target="footer18.xml"/><Relationship Id="rId128" Type="http://schemas.openxmlformats.org/officeDocument/2006/relationships/image" Target="media/image87.png"/><Relationship Id="rId129" Type="http://schemas.openxmlformats.org/officeDocument/2006/relationships/image" Target="media/image88.png"/><Relationship Id="rId130" Type="http://schemas.openxmlformats.org/officeDocument/2006/relationships/image" Target="media/image89.png"/><Relationship Id="rId131" Type="http://schemas.openxmlformats.org/officeDocument/2006/relationships/image" Target="media/image90.png"/><Relationship Id="rId132" Type="http://schemas.openxmlformats.org/officeDocument/2006/relationships/image" Target="media/image91.png"/><Relationship Id="rId133" Type="http://schemas.openxmlformats.org/officeDocument/2006/relationships/image" Target="media/image92.png"/><Relationship Id="rId134" Type="http://schemas.openxmlformats.org/officeDocument/2006/relationships/image" Target="media/image93.png"/><Relationship Id="rId135" Type="http://schemas.openxmlformats.org/officeDocument/2006/relationships/image" Target="media/image94.png"/><Relationship Id="rId136" Type="http://schemas.openxmlformats.org/officeDocument/2006/relationships/footer" Target="footer19.xml"/><Relationship Id="rId137" Type="http://schemas.openxmlformats.org/officeDocument/2006/relationships/image" Target="media/image95.png"/><Relationship Id="rId138" Type="http://schemas.openxmlformats.org/officeDocument/2006/relationships/image" Target="media/image96.png"/><Relationship Id="rId139" Type="http://schemas.openxmlformats.org/officeDocument/2006/relationships/image" Target="media/image97.png"/><Relationship Id="rId140" Type="http://schemas.openxmlformats.org/officeDocument/2006/relationships/image" Target="media/image98.png"/><Relationship Id="rId141" Type="http://schemas.openxmlformats.org/officeDocument/2006/relationships/hyperlink" Target="https://www.mediastatements.wa.gov.au/Pages/Barnett/2017/01/Underground-power-for-record-17-Perth-projects.aspx" TargetMode="External"/><Relationship Id="rId142" Type="http://schemas.openxmlformats.org/officeDocument/2006/relationships/footer" Target="footer20.xml"/><Relationship Id="rId143" Type="http://schemas.openxmlformats.org/officeDocument/2006/relationships/image" Target="media/image99.png"/><Relationship Id="rId144" Type="http://schemas.openxmlformats.org/officeDocument/2006/relationships/image" Target="media/image100.png"/><Relationship Id="rId145" Type="http://schemas.openxmlformats.org/officeDocument/2006/relationships/image" Target="media/image101.png"/><Relationship Id="rId146" Type="http://schemas.openxmlformats.org/officeDocument/2006/relationships/image" Target="media/image102.png"/><Relationship Id="rId147" Type="http://schemas.openxmlformats.org/officeDocument/2006/relationships/image" Target="media/image103.png"/><Relationship Id="rId148" Type="http://schemas.openxmlformats.org/officeDocument/2006/relationships/image" Target="media/image104.png"/><Relationship Id="rId149" Type="http://schemas.openxmlformats.org/officeDocument/2006/relationships/image" Target="media/image105.png"/><Relationship Id="rId150" Type="http://schemas.openxmlformats.org/officeDocument/2006/relationships/footer" Target="footer21.xml"/><Relationship Id="rId151" Type="http://schemas.openxmlformats.org/officeDocument/2006/relationships/image" Target="media/image106.png"/><Relationship Id="rId152" Type="http://schemas.openxmlformats.org/officeDocument/2006/relationships/image" Target="media/image107.png"/><Relationship Id="rId153" Type="http://schemas.openxmlformats.org/officeDocument/2006/relationships/image" Target="media/image108.png"/><Relationship Id="rId154" Type="http://schemas.openxmlformats.org/officeDocument/2006/relationships/image" Target="media/image109.png"/><Relationship Id="rId155" Type="http://schemas.openxmlformats.org/officeDocument/2006/relationships/image" Target="media/image110.png"/><Relationship Id="rId156" Type="http://schemas.openxmlformats.org/officeDocument/2006/relationships/image" Target="media/image111.png"/><Relationship Id="rId157" Type="http://schemas.openxmlformats.org/officeDocument/2006/relationships/footer" Target="footer22.xml"/><Relationship Id="rId158" Type="http://schemas.openxmlformats.org/officeDocument/2006/relationships/image" Target="media/image112.png"/><Relationship Id="rId159" Type="http://schemas.openxmlformats.org/officeDocument/2006/relationships/image" Target="media/image113.png"/><Relationship Id="rId160" Type="http://schemas.openxmlformats.org/officeDocument/2006/relationships/image" Target="media/image114.png"/><Relationship Id="rId161" Type="http://schemas.openxmlformats.org/officeDocument/2006/relationships/image" Target="media/image115.png"/><Relationship Id="rId162" Type="http://schemas.openxmlformats.org/officeDocument/2006/relationships/image" Target="media/image116.png"/><Relationship Id="rId163" Type="http://schemas.openxmlformats.org/officeDocument/2006/relationships/image" Target="media/image117.png"/><Relationship Id="rId164" Type="http://schemas.openxmlformats.org/officeDocument/2006/relationships/image" Target="media/image118.png"/><Relationship Id="rId165" Type="http://schemas.openxmlformats.org/officeDocument/2006/relationships/image" Target="media/image119.png"/><Relationship Id="rId166" Type="http://schemas.openxmlformats.org/officeDocument/2006/relationships/hyperlink" Target="https://www.mediastatements.wa.gov.au/Pages/McGowan/2017/04/Major-changes-introduced-to-create-a-more-efficient-public-sector.aspx" TargetMode="External"/><Relationship Id="rId167" Type="http://schemas.openxmlformats.org/officeDocument/2006/relationships/footer" Target="footer23.xml"/><Relationship Id="rId168" Type="http://schemas.openxmlformats.org/officeDocument/2006/relationships/image" Target="media/image120.png"/><Relationship Id="rId169" Type="http://schemas.openxmlformats.org/officeDocument/2006/relationships/image" Target="media/image121.png"/><Relationship Id="rId170" Type="http://schemas.openxmlformats.org/officeDocument/2006/relationships/footer" Target="footer24.xml"/><Relationship Id="rId171" Type="http://schemas.openxmlformats.org/officeDocument/2006/relationships/footer" Target="footer25.xml"/><Relationship Id="rId172" Type="http://schemas.openxmlformats.org/officeDocument/2006/relationships/footer" Target="footer26.xml"/><Relationship Id="rId173" Type="http://schemas.openxmlformats.org/officeDocument/2006/relationships/footer" Target="footer27.xml"/><Relationship Id="rId174" Type="http://schemas.openxmlformats.org/officeDocument/2006/relationships/image" Target="media/image122.png"/><Relationship Id="rId175" Type="http://schemas.openxmlformats.org/officeDocument/2006/relationships/image" Target="media/image123.png"/><Relationship Id="rId176" Type="http://schemas.openxmlformats.org/officeDocument/2006/relationships/image" Target="media/image124.jpeg"/><Relationship Id="rId177" Type="http://schemas.openxmlformats.org/officeDocument/2006/relationships/footer" Target="footer28.xml"/><Relationship Id="rId178" Type="http://schemas.openxmlformats.org/officeDocument/2006/relationships/image" Target="media/image125.jpeg"/><Relationship Id="rId179" Type="http://schemas.openxmlformats.org/officeDocument/2006/relationships/image" Target="media/image126.jpeg"/><Relationship Id="rId180" Type="http://schemas.openxmlformats.org/officeDocument/2006/relationships/image" Target="media/image127.jpeg"/><Relationship Id="rId181" Type="http://schemas.openxmlformats.org/officeDocument/2006/relationships/footer" Target="footer29.xml"/><Relationship Id="rId182" Type="http://schemas.openxmlformats.org/officeDocument/2006/relationships/footer" Target="footer30.xml"/><Relationship Id="rId183" Type="http://schemas.openxmlformats.org/officeDocument/2006/relationships/footer" Target="footer31.xml"/><Relationship Id="rId184" Type="http://schemas.openxmlformats.org/officeDocument/2006/relationships/footer" Target="footer32.xml"/><Relationship Id="rId185" Type="http://schemas.openxmlformats.org/officeDocument/2006/relationships/footer" Target="footer33.xml"/><Relationship Id="rId186" Type="http://schemas.openxmlformats.org/officeDocument/2006/relationships/footer" Target="footer34.xml"/><Relationship Id="rId187" Type="http://schemas.openxmlformats.org/officeDocument/2006/relationships/footer" Target="footer35.xml"/><Relationship Id="rId188" Type="http://schemas.openxmlformats.org/officeDocument/2006/relationships/footer" Target="footer36.xml"/><Relationship Id="rId189" Type="http://schemas.openxmlformats.org/officeDocument/2006/relationships/footer" Target="footer37.xml"/><Relationship Id="rId190" Type="http://schemas.openxmlformats.org/officeDocument/2006/relationships/footer" Target="footer38.xml"/><Relationship Id="rId191" Type="http://schemas.openxmlformats.org/officeDocument/2006/relationships/footer" Target="footer39.xml"/><Relationship Id="rId192" Type="http://schemas.openxmlformats.org/officeDocument/2006/relationships/footer" Target="footer40.xml"/><Relationship Id="rId193" Type="http://schemas.openxmlformats.org/officeDocument/2006/relationships/footer" Target="footer41.xml"/><Relationship Id="rId194" Type="http://schemas.openxmlformats.org/officeDocument/2006/relationships/footer" Target="footer42.xml"/><Relationship Id="rId195" Type="http://schemas.openxmlformats.org/officeDocument/2006/relationships/footer" Target="footer43.xml"/><Relationship Id="rId196" Type="http://schemas.openxmlformats.org/officeDocument/2006/relationships/footer" Target="footer44.xml"/><Relationship Id="rId197" Type="http://schemas.openxmlformats.org/officeDocument/2006/relationships/footer" Target="footer45.xml"/><Relationship Id="rId198" Type="http://schemas.openxmlformats.org/officeDocument/2006/relationships/footer" Target="footer46.xml"/><Relationship Id="rId199" Type="http://schemas.openxmlformats.org/officeDocument/2006/relationships/footer" Target="footer47.xml"/><Relationship Id="rId200" Type="http://schemas.openxmlformats.org/officeDocument/2006/relationships/footer" Target="footer48.xml"/><Relationship Id="rId201" Type="http://schemas.openxmlformats.org/officeDocument/2006/relationships/footer" Target="footer49.xml"/><Relationship Id="rId202" Type="http://schemas.openxmlformats.org/officeDocument/2006/relationships/footer" Target="footer50.xml"/><Relationship Id="rId203" Type="http://schemas.openxmlformats.org/officeDocument/2006/relationships/footer" Target="footer51.xml"/><Relationship Id="rId204" Type="http://schemas.openxmlformats.org/officeDocument/2006/relationships/footer" Target="footer52.xml"/><Relationship Id="rId205" Type="http://schemas.openxmlformats.org/officeDocument/2006/relationships/footer" Target="footer53.xml"/><Relationship Id="rId206" Type="http://schemas.openxmlformats.org/officeDocument/2006/relationships/footer" Target="footer54.xml"/><Relationship Id="rId207" Type="http://schemas.openxmlformats.org/officeDocument/2006/relationships/footer" Target="footer55.xml"/><Relationship Id="rId208" Type="http://schemas.openxmlformats.org/officeDocument/2006/relationships/footer" Target="footer56.xml"/><Relationship Id="rId209" Type="http://schemas.openxmlformats.org/officeDocument/2006/relationships/footer" Target="footer57.xml"/><Relationship Id="rId210" Type="http://schemas.openxmlformats.org/officeDocument/2006/relationships/footer" Target="footer58.xml"/><Relationship Id="rId211" Type="http://schemas.openxmlformats.org/officeDocument/2006/relationships/footer" Target="footer59.xml"/><Relationship Id="rId212" Type="http://schemas.openxmlformats.org/officeDocument/2006/relationships/footer" Target="footer60.xml"/><Relationship Id="rId213" Type="http://schemas.openxmlformats.org/officeDocument/2006/relationships/footer" Target="footer61.xml"/><Relationship Id="rId214" Type="http://schemas.openxmlformats.org/officeDocument/2006/relationships/footer" Target="footer62.xml"/><Relationship Id="rId215" Type="http://schemas.openxmlformats.org/officeDocument/2006/relationships/footer" Target="footer63.xml"/><Relationship Id="rId216" Type="http://schemas.openxmlformats.org/officeDocument/2006/relationships/footer" Target="footer64.xml"/><Relationship Id="rId217" Type="http://schemas.openxmlformats.org/officeDocument/2006/relationships/footer" Target="footer65.xml"/><Relationship Id="rId218" Type="http://schemas.openxmlformats.org/officeDocument/2006/relationships/footer" Target="footer66.xml"/><Relationship Id="rId219" Type="http://schemas.openxmlformats.org/officeDocument/2006/relationships/footer" Target="footer67.xml"/><Relationship Id="rId220" Type="http://schemas.openxmlformats.org/officeDocument/2006/relationships/footer" Target="footer68.xml"/><Relationship Id="rId221" Type="http://schemas.openxmlformats.org/officeDocument/2006/relationships/footer" Target="footer69.xml"/><Relationship Id="rId222" Type="http://schemas.openxmlformats.org/officeDocument/2006/relationships/footer" Target="footer70.xml"/><Relationship Id="rId223" Type="http://schemas.openxmlformats.org/officeDocument/2006/relationships/footer" Target="footer71.xml"/><Relationship Id="rId224" Type="http://schemas.openxmlformats.org/officeDocument/2006/relationships/footer" Target="footer72.xml"/><Relationship Id="rId225" Type="http://schemas.openxmlformats.org/officeDocument/2006/relationships/footer" Target="footer73.xml"/><Relationship Id="rId226" Type="http://schemas.openxmlformats.org/officeDocument/2006/relationships/footer" Target="footer74.xml"/><Relationship Id="rId227" Type="http://schemas.openxmlformats.org/officeDocument/2006/relationships/footer" Target="footer75.xml"/><Relationship Id="rId228" Type="http://schemas.openxmlformats.org/officeDocument/2006/relationships/footer" Target="footer76.xml"/><Relationship Id="rId229" Type="http://schemas.openxmlformats.org/officeDocument/2006/relationships/footer" Target="footer77.xml"/><Relationship Id="rId230" Type="http://schemas.openxmlformats.org/officeDocument/2006/relationships/footer" Target="footer78.xml"/><Relationship Id="rId231" Type="http://schemas.openxmlformats.org/officeDocument/2006/relationships/footer" Target="footer79.xml"/><Relationship Id="rId232" Type="http://schemas.openxmlformats.org/officeDocument/2006/relationships/footer" Target="footer80.xml"/><Relationship Id="rId233" Type="http://schemas.openxmlformats.org/officeDocument/2006/relationships/footer" Target="footer81.xml"/><Relationship Id="rId234" Type="http://schemas.openxmlformats.org/officeDocument/2006/relationships/footer" Target="footer82.xml"/><Relationship Id="rId235" Type="http://schemas.openxmlformats.org/officeDocument/2006/relationships/footer" Target="footer83.xml"/><Relationship Id="rId236" Type="http://schemas.openxmlformats.org/officeDocument/2006/relationships/footer" Target="footer84.xml"/><Relationship Id="rId237" Type="http://schemas.openxmlformats.org/officeDocument/2006/relationships/footer" Target="footer85.xml"/><Relationship Id="rId238" Type="http://schemas.openxmlformats.org/officeDocument/2006/relationships/footer" Target="footer86.xml"/><Relationship Id="rId239" Type="http://schemas.openxmlformats.org/officeDocument/2006/relationships/footer" Target="footer87.xml"/><Relationship Id="rId240" Type="http://schemas.openxmlformats.org/officeDocument/2006/relationships/footer" Target="footer88.xml"/><Relationship Id="rId241" Type="http://schemas.openxmlformats.org/officeDocument/2006/relationships/footer" Target="footer89.xml"/><Relationship Id="rId242" Type="http://schemas.openxmlformats.org/officeDocument/2006/relationships/footer" Target="footer90.xml"/><Relationship Id="rId243" Type="http://schemas.openxmlformats.org/officeDocument/2006/relationships/footer" Target="footer91.xml"/><Relationship Id="rId244" Type="http://schemas.openxmlformats.org/officeDocument/2006/relationships/footer" Target="footer92.xml"/><Relationship Id="rId245" Type="http://schemas.openxmlformats.org/officeDocument/2006/relationships/footer" Target="footer93.xml"/><Relationship Id="rId246" Type="http://schemas.openxmlformats.org/officeDocument/2006/relationships/footer" Target="footer94.xml"/><Relationship Id="rId247" Type="http://schemas.openxmlformats.org/officeDocument/2006/relationships/image" Target="media/image128.png"/><Relationship Id="rId248" Type="http://schemas.openxmlformats.org/officeDocument/2006/relationships/image" Target="media/image129.png"/><Relationship Id="rId249" Type="http://schemas.openxmlformats.org/officeDocument/2006/relationships/footer" Target="footer95.xml"/><Relationship Id="rId250" Type="http://schemas.openxmlformats.org/officeDocument/2006/relationships/image" Target="media/image130.png"/><Relationship Id="rId251" Type="http://schemas.openxmlformats.org/officeDocument/2006/relationships/image" Target="media/image131.png"/><Relationship Id="rId252" Type="http://schemas.openxmlformats.org/officeDocument/2006/relationships/footer" Target="footer96.xml"/><Relationship Id="rId253" Type="http://schemas.openxmlformats.org/officeDocument/2006/relationships/footer" Target="footer97.xml"/><Relationship Id="rId254" Type="http://schemas.openxmlformats.org/officeDocument/2006/relationships/image" Target="media/image132.png"/><Relationship Id="rId255" Type="http://schemas.openxmlformats.org/officeDocument/2006/relationships/image" Target="media/image133.png"/><Relationship Id="rId256" Type="http://schemas.openxmlformats.org/officeDocument/2006/relationships/footer" Target="footer98.xml"/><Relationship Id="rId257" Type="http://schemas.openxmlformats.org/officeDocument/2006/relationships/footer" Target="footer99.xml"/><Relationship Id="rId258" Type="http://schemas.openxmlformats.org/officeDocument/2006/relationships/footer" Target="footer100.xml"/><Relationship Id="rId259" Type="http://schemas.openxmlformats.org/officeDocument/2006/relationships/image" Target="media/image134.png"/><Relationship Id="rId260" Type="http://schemas.openxmlformats.org/officeDocument/2006/relationships/footer" Target="footer101.xml"/><Relationship Id="rId261" Type="http://schemas.openxmlformats.org/officeDocument/2006/relationships/footer" Target="footer102.xml"/><Relationship Id="rId262" Type="http://schemas.openxmlformats.org/officeDocument/2006/relationships/image" Target="media/image135.png"/><Relationship Id="rId263" Type="http://schemas.openxmlformats.org/officeDocument/2006/relationships/image" Target="media/image136.png"/><Relationship Id="rId264" Type="http://schemas.openxmlformats.org/officeDocument/2006/relationships/image" Target="media/image137.png"/><Relationship Id="rId265" Type="http://schemas.openxmlformats.org/officeDocument/2006/relationships/image" Target="media/image138.png"/><Relationship Id="rId266" Type="http://schemas.openxmlformats.org/officeDocument/2006/relationships/image" Target="media/image139.png"/><Relationship Id="rId267" Type="http://schemas.openxmlformats.org/officeDocument/2006/relationships/image" Target="media/image140.png"/><Relationship Id="rId268" Type="http://schemas.openxmlformats.org/officeDocument/2006/relationships/image" Target="media/image141.png"/><Relationship Id="rId269" Type="http://schemas.openxmlformats.org/officeDocument/2006/relationships/footer" Target="footer103.xml"/><Relationship Id="rId270" Type="http://schemas.openxmlformats.org/officeDocument/2006/relationships/image" Target="media/image142.png"/><Relationship Id="rId271" Type="http://schemas.openxmlformats.org/officeDocument/2006/relationships/footer" Target="footer104.xml"/><Relationship Id="rId272" Type="http://schemas.openxmlformats.org/officeDocument/2006/relationships/image" Target="media/image143.png"/><Relationship Id="rId273" Type="http://schemas.openxmlformats.org/officeDocument/2006/relationships/footer" Target="footer105.xml"/><Relationship Id="rId274" Type="http://schemas.openxmlformats.org/officeDocument/2006/relationships/footer" Target="footer106.xml"/><Relationship Id="rId275" Type="http://schemas.openxmlformats.org/officeDocument/2006/relationships/hyperlink" Target="https://publicsector.wa.gov.au/public-administration/public-sector-governance/good-governance-guide-public-sector-agencies" TargetMode="External"/><Relationship Id="rId276" Type="http://schemas.openxmlformats.org/officeDocument/2006/relationships/image" Target="media/image144.png"/><Relationship Id="rId277" Type="http://schemas.openxmlformats.org/officeDocument/2006/relationships/image" Target="media/image145.png"/><Relationship Id="rId278" Type="http://schemas.openxmlformats.org/officeDocument/2006/relationships/image" Target="media/image146.png"/><Relationship Id="rId279" Type="http://schemas.openxmlformats.org/officeDocument/2006/relationships/footer" Target="footer107.xml"/><Relationship Id="rId280" Type="http://schemas.openxmlformats.org/officeDocument/2006/relationships/image" Target="media/image147.png"/><Relationship Id="rId281" Type="http://schemas.openxmlformats.org/officeDocument/2006/relationships/image" Target="media/image148.png"/><Relationship Id="rId282" Type="http://schemas.openxmlformats.org/officeDocument/2006/relationships/image" Target="media/image149.png"/><Relationship Id="rId283" Type="http://schemas.openxmlformats.org/officeDocument/2006/relationships/image" Target="media/image150.png"/><Relationship Id="rId284" Type="http://schemas.openxmlformats.org/officeDocument/2006/relationships/footer" Target="footer108.xml"/><Relationship Id="rId285" Type="http://schemas.openxmlformats.org/officeDocument/2006/relationships/image" Target="media/image151.png"/><Relationship Id="rId286" Type="http://schemas.openxmlformats.org/officeDocument/2006/relationships/image" Target="media/image152.png"/><Relationship Id="rId287" Type="http://schemas.openxmlformats.org/officeDocument/2006/relationships/image" Target="media/image153.png"/><Relationship Id="rId288" Type="http://schemas.openxmlformats.org/officeDocument/2006/relationships/image" Target="media/image154.png"/><Relationship Id="rId289" Type="http://schemas.openxmlformats.org/officeDocument/2006/relationships/image" Target="media/image155.png"/><Relationship Id="rId290" Type="http://schemas.openxmlformats.org/officeDocument/2006/relationships/image" Target="media/image156.png"/><Relationship Id="rId291" Type="http://schemas.openxmlformats.org/officeDocument/2006/relationships/image" Target="media/image157.png"/><Relationship Id="rId292" Type="http://schemas.openxmlformats.org/officeDocument/2006/relationships/image" Target="media/image158.png"/><Relationship Id="rId293" Type="http://schemas.openxmlformats.org/officeDocument/2006/relationships/image" Target="media/image159.png"/><Relationship Id="rId294" Type="http://schemas.openxmlformats.org/officeDocument/2006/relationships/image" Target="media/image160.png"/><Relationship Id="rId295" Type="http://schemas.openxmlformats.org/officeDocument/2006/relationships/image" Target="media/image161.png"/><Relationship Id="rId296" Type="http://schemas.openxmlformats.org/officeDocument/2006/relationships/image" Target="media/image162.png"/><Relationship Id="rId297" Type="http://schemas.openxmlformats.org/officeDocument/2006/relationships/image" Target="media/image163.png"/><Relationship Id="rId298" Type="http://schemas.openxmlformats.org/officeDocument/2006/relationships/image" Target="media/image164.png"/><Relationship Id="rId299" Type="http://schemas.openxmlformats.org/officeDocument/2006/relationships/image" Target="media/image165.png"/><Relationship Id="rId300" Type="http://schemas.openxmlformats.org/officeDocument/2006/relationships/image" Target="media/image166.png"/><Relationship Id="rId301" Type="http://schemas.openxmlformats.org/officeDocument/2006/relationships/image" Target="media/image167.png"/><Relationship Id="rId302" Type="http://schemas.openxmlformats.org/officeDocument/2006/relationships/image" Target="media/image168.png"/><Relationship Id="rId303" Type="http://schemas.openxmlformats.org/officeDocument/2006/relationships/image" Target="media/image169.png"/><Relationship Id="rId304" Type="http://schemas.openxmlformats.org/officeDocument/2006/relationships/image" Target="media/image170.png"/><Relationship Id="rId305" Type="http://schemas.openxmlformats.org/officeDocument/2006/relationships/image" Target="media/image171.png"/><Relationship Id="rId306" Type="http://schemas.openxmlformats.org/officeDocument/2006/relationships/image" Target="media/image172.png"/><Relationship Id="rId307" Type="http://schemas.openxmlformats.org/officeDocument/2006/relationships/image" Target="media/image173.png"/><Relationship Id="rId308" Type="http://schemas.openxmlformats.org/officeDocument/2006/relationships/image" Target="media/image174.png"/><Relationship Id="rId309" Type="http://schemas.openxmlformats.org/officeDocument/2006/relationships/image" Target="media/image175.png"/><Relationship Id="rId310" Type="http://schemas.openxmlformats.org/officeDocument/2006/relationships/image" Target="media/image176.png"/><Relationship Id="rId311" Type="http://schemas.openxmlformats.org/officeDocument/2006/relationships/image" Target="media/image177.png"/><Relationship Id="rId312" Type="http://schemas.openxmlformats.org/officeDocument/2006/relationships/image" Target="media/image178.png"/><Relationship Id="rId313" Type="http://schemas.openxmlformats.org/officeDocument/2006/relationships/image" Target="media/image179.png"/><Relationship Id="rId314" Type="http://schemas.openxmlformats.org/officeDocument/2006/relationships/image" Target="media/image180.png"/><Relationship Id="rId315" Type="http://schemas.openxmlformats.org/officeDocument/2006/relationships/image" Target="media/image181.png"/><Relationship Id="rId316" Type="http://schemas.openxmlformats.org/officeDocument/2006/relationships/image" Target="media/image182.png"/><Relationship Id="rId317" Type="http://schemas.openxmlformats.org/officeDocument/2006/relationships/image" Target="media/image183.png"/><Relationship Id="rId318" Type="http://schemas.openxmlformats.org/officeDocument/2006/relationships/image" Target="media/image184.png"/><Relationship Id="rId319" Type="http://schemas.openxmlformats.org/officeDocument/2006/relationships/image" Target="media/image185.png"/><Relationship Id="rId320" Type="http://schemas.openxmlformats.org/officeDocument/2006/relationships/image" Target="media/image186.png"/><Relationship Id="rId321" Type="http://schemas.openxmlformats.org/officeDocument/2006/relationships/image" Target="media/image187.png"/><Relationship Id="rId322" Type="http://schemas.openxmlformats.org/officeDocument/2006/relationships/image" Target="media/image188.png"/><Relationship Id="rId323" Type="http://schemas.openxmlformats.org/officeDocument/2006/relationships/image" Target="media/image189.png"/><Relationship Id="rId324" Type="http://schemas.openxmlformats.org/officeDocument/2006/relationships/image" Target="media/image190.png"/><Relationship Id="rId325" Type="http://schemas.openxmlformats.org/officeDocument/2006/relationships/image" Target="media/image191.png"/><Relationship Id="rId326" Type="http://schemas.openxmlformats.org/officeDocument/2006/relationships/image" Target="media/image192.png"/><Relationship Id="rId327" Type="http://schemas.openxmlformats.org/officeDocument/2006/relationships/image" Target="media/image193.png"/><Relationship Id="rId328" Type="http://schemas.openxmlformats.org/officeDocument/2006/relationships/image" Target="media/image194.png"/><Relationship Id="rId329" Type="http://schemas.openxmlformats.org/officeDocument/2006/relationships/image" Target="media/image195.png"/><Relationship Id="rId330" Type="http://schemas.openxmlformats.org/officeDocument/2006/relationships/image" Target="media/image196.png"/><Relationship Id="rId331" Type="http://schemas.openxmlformats.org/officeDocument/2006/relationships/image" Target="media/image197.png"/><Relationship Id="rId332" Type="http://schemas.openxmlformats.org/officeDocument/2006/relationships/image" Target="media/image198.png"/><Relationship Id="rId333" Type="http://schemas.openxmlformats.org/officeDocument/2006/relationships/image" Target="media/image199.png"/><Relationship Id="rId334" Type="http://schemas.openxmlformats.org/officeDocument/2006/relationships/image" Target="media/image200.png"/><Relationship Id="rId335" Type="http://schemas.openxmlformats.org/officeDocument/2006/relationships/image" Target="media/image201.png"/><Relationship Id="rId336" Type="http://schemas.openxmlformats.org/officeDocument/2006/relationships/image" Target="media/image202.png"/><Relationship Id="rId337" Type="http://schemas.openxmlformats.org/officeDocument/2006/relationships/image" Target="media/image203.png"/><Relationship Id="rId338" Type="http://schemas.openxmlformats.org/officeDocument/2006/relationships/image" Target="media/image204.png"/><Relationship Id="rId339" Type="http://schemas.openxmlformats.org/officeDocument/2006/relationships/image" Target="media/image205.png"/><Relationship Id="rId340" Type="http://schemas.openxmlformats.org/officeDocument/2006/relationships/image" Target="media/image206.png"/><Relationship Id="rId341" Type="http://schemas.openxmlformats.org/officeDocument/2006/relationships/image" Target="media/image207.png"/><Relationship Id="rId342" Type="http://schemas.openxmlformats.org/officeDocument/2006/relationships/image" Target="media/image208.png"/><Relationship Id="rId343" Type="http://schemas.openxmlformats.org/officeDocument/2006/relationships/footer" Target="footer109.xml"/><Relationship Id="rId344" Type="http://schemas.openxmlformats.org/officeDocument/2006/relationships/footer" Target="footer110.xml"/><Relationship Id="rId345" Type="http://schemas.openxmlformats.org/officeDocument/2006/relationships/image" Target="media/image209.png"/><Relationship Id="rId346" Type="http://schemas.openxmlformats.org/officeDocument/2006/relationships/image" Target="media/image210.png"/><Relationship Id="rId347" Type="http://schemas.openxmlformats.org/officeDocument/2006/relationships/image" Target="media/image211.png"/><Relationship Id="rId348" Type="http://schemas.openxmlformats.org/officeDocument/2006/relationships/image" Target="media/image212.png"/><Relationship Id="rId349" Type="http://schemas.openxmlformats.org/officeDocument/2006/relationships/image" Target="media/image213.png"/><Relationship Id="rId350" Type="http://schemas.openxmlformats.org/officeDocument/2006/relationships/image" Target="media/image214.png"/><Relationship Id="rId351" Type="http://schemas.openxmlformats.org/officeDocument/2006/relationships/hyperlink" Target="https://bringingthemhomewa.com/sorry-day/sorry-day-2017/" TargetMode="External"/><Relationship Id="rId352" Type="http://schemas.openxmlformats.org/officeDocument/2006/relationships/hyperlink" Target="http://desertfeet.com/" TargetMode="External"/><Relationship Id="rId353" Type="http://schemas.openxmlformats.org/officeDocument/2006/relationships/image" Target="media/image215.png"/><Relationship Id="rId354" Type="http://schemas.openxmlformats.org/officeDocument/2006/relationships/image" Target="media/image216.png"/><Relationship Id="rId355" Type="http://schemas.openxmlformats.org/officeDocument/2006/relationships/image" Target="media/image217.png"/><Relationship Id="rId356" Type="http://schemas.openxmlformats.org/officeDocument/2006/relationships/footer" Target="footer111.xml"/><Relationship Id="rId357" Type="http://schemas.openxmlformats.org/officeDocument/2006/relationships/image" Target="media/image218.png"/><Relationship Id="rId358" Type="http://schemas.openxmlformats.org/officeDocument/2006/relationships/image" Target="media/image219.png"/><Relationship Id="rId359" Type="http://schemas.openxmlformats.org/officeDocument/2006/relationships/image" Target="media/image220.png"/><Relationship Id="rId360" Type="http://schemas.openxmlformats.org/officeDocument/2006/relationships/image" Target="media/image221.png"/><Relationship Id="rId361" Type="http://schemas.openxmlformats.org/officeDocument/2006/relationships/footer" Target="footer112.xml"/><Relationship Id="rId362" Type="http://schemas.openxmlformats.org/officeDocument/2006/relationships/image" Target="media/image222.png"/><Relationship Id="rId363" Type="http://schemas.openxmlformats.org/officeDocument/2006/relationships/image" Target="media/image223.png"/><Relationship Id="rId364" Type="http://schemas.openxmlformats.org/officeDocument/2006/relationships/image" Target="media/image224.png"/><Relationship Id="rId365" Type="http://schemas.openxmlformats.org/officeDocument/2006/relationships/image" Target="media/image225.png"/><Relationship Id="rId366" Type="http://schemas.openxmlformats.org/officeDocument/2006/relationships/footer" Target="footer113.xml"/><Relationship Id="rId367" Type="http://schemas.openxmlformats.org/officeDocument/2006/relationships/image" Target="media/image226.png"/><Relationship Id="rId368" Type="http://schemas.openxmlformats.org/officeDocument/2006/relationships/image" Target="media/image227.png"/><Relationship Id="rId369" Type="http://schemas.openxmlformats.org/officeDocument/2006/relationships/image" Target="media/image228.png"/><Relationship Id="rId370" Type="http://schemas.openxmlformats.org/officeDocument/2006/relationships/footer" Target="footer114.xml"/><Relationship Id="rId371" Type="http://schemas.openxmlformats.org/officeDocument/2006/relationships/image" Target="media/image229.png"/><Relationship Id="rId372" Type="http://schemas.openxmlformats.org/officeDocument/2006/relationships/image" Target="media/image230.png"/><Relationship Id="rId373" Type="http://schemas.openxmlformats.org/officeDocument/2006/relationships/image" Target="media/image231.png"/><Relationship Id="rId374" Type="http://schemas.openxmlformats.org/officeDocument/2006/relationships/footer" Target="footer115.xml"/><Relationship Id="rId375" Type="http://schemas.openxmlformats.org/officeDocument/2006/relationships/image" Target="media/image232.png"/><Relationship Id="rId376" Type="http://schemas.openxmlformats.org/officeDocument/2006/relationships/footer" Target="footer116.xml"/><Relationship Id="rId377" Type="http://schemas.openxmlformats.org/officeDocument/2006/relationships/image" Target="media/image233.png"/><Relationship Id="rId378" Type="http://schemas.openxmlformats.org/officeDocument/2006/relationships/hyperlink" Target="https://www.slp.wa.gov.au/legislation/statutes.nsf/main_mrtitle_182_homepage.html" TargetMode="External"/><Relationship Id="rId379" Type="http://schemas.openxmlformats.org/officeDocument/2006/relationships/hyperlink" Target="https://www.slp.wa.gov.au/legislation/statutes.nsf/main_mrtitle_2786_homepage.html" TargetMode="External"/><Relationship Id="rId380" Type="http://schemas.openxmlformats.org/officeDocument/2006/relationships/hyperlink" Target="https://www.slp.wa.gov.au/legislation/statutes.nsf/main_mrtitle_341_homepage.html" TargetMode="External"/><Relationship Id="rId381" Type="http://schemas.openxmlformats.org/officeDocument/2006/relationships/hyperlink" Target="https://www.slp.wa.gov.au/legislation/statutes.nsf/main_mrtitle_2411_homepage.html" TargetMode="External"/><Relationship Id="rId382" Type="http://schemas.openxmlformats.org/officeDocument/2006/relationships/hyperlink" Target="https://www.slp.wa.gov.au/legislation/statutes.nsf/main_mrtitle_515_homepage.html" TargetMode="External"/><Relationship Id="rId383" Type="http://schemas.openxmlformats.org/officeDocument/2006/relationships/hyperlink" Target="https://www.slp.wa.gov.au/legislation/statutes.nsf/main_mrtitle_517_homepage.html" TargetMode="External"/><Relationship Id="rId384" Type="http://schemas.openxmlformats.org/officeDocument/2006/relationships/hyperlink" Target="https://www.slp.wa.gov.au/legislation/statutes.nsf/main_mrtitle_683_homepage.html" TargetMode="External"/><Relationship Id="rId385" Type="http://schemas.openxmlformats.org/officeDocument/2006/relationships/hyperlink" Target="https://www.slp.wa.gov.au/legislation/statutes.nsf/main_mrtitle_685_homepage.html" TargetMode="External"/><Relationship Id="rId386" Type="http://schemas.openxmlformats.org/officeDocument/2006/relationships/hyperlink" Target="https://www.slp.wa.gov.au/legislation/statutes.nsf/main_mrtitle_11932_homepage.html" TargetMode="External"/><Relationship Id="rId387" Type="http://schemas.openxmlformats.org/officeDocument/2006/relationships/hyperlink" Target="https://www.slp.wa.gov.au/legislation/statutes.nsf/main_mrtitle_12967_homepage.html" TargetMode="External"/><Relationship Id="rId388" Type="http://schemas.openxmlformats.org/officeDocument/2006/relationships/hyperlink" Target="https://www.slp.wa.gov.au/legislation/statutes.nsf/main_mrtitle_12964_homepage.html" TargetMode="External"/><Relationship Id="rId389" Type="http://schemas.openxmlformats.org/officeDocument/2006/relationships/hyperlink" Target="https://www.slp.wa.gov.au/legislation/statutes.nsf/main_mrtitle_809_homepage.html" TargetMode="External"/><Relationship Id="rId390" Type="http://schemas.openxmlformats.org/officeDocument/2006/relationships/hyperlink" Target="https://www.slp.wa.gov.au/legislation/statutes.nsf/main_mrtitle_914_homepage.html" TargetMode="External"/><Relationship Id="rId391" Type="http://schemas.openxmlformats.org/officeDocument/2006/relationships/hyperlink" Target="https://www.slp.wa.gov.au/legislation/statutes.nsf/main_mrtitle_2619_homepage.html" TargetMode="External"/><Relationship Id="rId392" Type="http://schemas.openxmlformats.org/officeDocument/2006/relationships/hyperlink" Target="https://www.slp.wa.gov.au/legislation/statutes.nsf/main_mrtitle_2620_homepage.html" TargetMode="External"/><Relationship Id="rId393" Type="http://schemas.openxmlformats.org/officeDocument/2006/relationships/hyperlink" Target="https://www.slp.wa.gov.au/legislation/statutes.nsf/main_mrtitle_2642_homepage.html" TargetMode="External"/><Relationship Id="rId394" Type="http://schemas.openxmlformats.org/officeDocument/2006/relationships/hyperlink" Target="https://www.slp.wa.gov.au/legislation/statutes.nsf/main_mrtitle_955_homepage.html" TargetMode="External"/><Relationship Id="rId395" Type="http://schemas.openxmlformats.org/officeDocument/2006/relationships/hyperlink" Target="https://www.slp.wa.gov.au/legislation/statutes.nsf/main_mrtitle_926_homepage.html" TargetMode="External"/><Relationship Id="rId396" Type="http://schemas.openxmlformats.org/officeDocument/2006/relationships/hyperlink" Target="https://www.slp.wa.gov.au/legislation/statutes.nsf/main_mrtitle_775_homepage.html" TargetMode="External"/><Relationship Id="rId397" Type="http://schemas.openxmlformats.org/officeDocument/2006/relationships/hyperlink" Target="https://www.slp.wa.gov.au/legislation/statutes.nsf/main_mrtitle_13154_homepage.html" TargetMode="External"/><Relationship Id="rId398" Type="http://schemas.openxmlformats.org/officeDocument/2006/relationships/hyperlink" Target="https://www.slp.wa.gov.au/legislation/statutes.nsf/main_mrtitle_241_homepage.html" TargetMode="External"/><Relationship Id="rId399" Type="http://schemas.openxmlformats.org/officeDocument/2006/relationships/hyperlink" Target="https://www.slp.wa.gov.au/legislation/statutes.nsf/main_mrtitle_286_homepage.html" TargetMode="External"/><Relationship Id="rId400" Type="http://schemas.openxmlformats.org/officeDocument/2006/relationships/hyperlink" Target="https://www.slp.wa.gov.au/legislation/statutes.nsf/main_mrtitle_287_homepage.html" TargetMode="External"/><Relationship Id="rId401" Type="http://schemas.openxmlformats.org/officeDocument/2006/relationships/hyperlink" Target="https://www.slp.wa.gov.au/legislation/statutes.nsf/main_mrtitle_288_homepage.html" TargetMode="External"/><Relationship Id="rId402" Type="http://schemas.openxmlformats.org/officeDocument/2006/relationships/hyperlink" Target="https://www.slp.wa.gov.au/legislation/statutes.nsf/main_mrtitle_377_homepage.html" TargetMode="External"/><Relationship Id="rId403" Type="http://schemas.openxmlformats.org/officeDocument/2006/relationships/hyperlink" Target="https://www.slp.wa.gov.au/legislation/statutes.nsf/main_mrtitle_299_homepage.html" TargetMode="External"/><Relationship Id="rId404" Type="http://schemas.openxmlformats.org/officeDocument/2006/relationships/hyperlink" Target="https://www.slp.wa.gov.au/legislation/statutes.nsf/main_mrtitle_3240_homepage.html" TargetMode="External"/><Relationship Id="rId405" Type="http://schemas.openxmlformats.org/officeDocument/2006/relationships/hyperlink" Target="https://www.slp.wa.gov.au/legislation/statutes.nsf/main_mrtitle_300_homepage.html" TargetMode="External"/><Relationship Id="rId406" Type="http://schemas.openxmlformats.org/officeDocument/2006/relationships/hyperlink" Target="https://www.slp.wa.gov.au/legislation/statutes.nsf/main_mrtitle_369_homepage.html" TargetMode="External"/><Relationship Id="rId407" Type="http://schemas.openxmlformats.org/officeDocument/2006/relationships/hyperlink" Target="https://www.slp.wa.gov.au/legislation/statutes.nsf/main_mrtitle_376_homepage.html" TargetMode="External"/><Relationship Id="rId408" Type="http://schemas.openxmlformats.org/officeDocument/2006/relationships/hyperlink" Target="https://www.slp.wa.gov.au/legislation/statutes.nsf/main_mrtitle_12910_homepage.html" TargetMode="External"/><Relationship Id="rId409" Type="http://schemas.openxmlformats.org/officeDocument/2006/relationships/hyperlink" Target="https://www.slp.wa.gov.au/legislation/statutes.nsf/main_mrtitle_11249_homepage.html" TargetMode="External"/><Relationship Id="rId410" Type="http://schemas.openxmlformats.org/officeDocument/2006/relationships/hyperlink" Target="https://www.slp.wa.gov.au/legislation/statutes.nsf/main_mrtitle_11219_homepage.html" TargetMode="External"/><Relationship Id="rId411" Type="http://schemas.openxmlformats.org/officeDocument/2006/relationships/hyperlink" Target="https://www.slp.wa.gov.au/legislation/statutes.nsf/main_mrtitle_920_homepage.html" TargetMode="External"/><Relationship Id="rId412" Type="http://schemas.openxmlformats.org/officeDocument/2006/relationships/footer" Target="footer117.xml"/><Relationship Id="rId413" Type="http://schemas.openxmlformats.org/officeDocument/2006/relationships/image" Target="media/image234.png"/><Relationship Id="rId414" Type="http://schemas.openxmlformats.org/officeDocument/2006/relationships/image" Target="media/image235.png"/><Relationship Id="rId415" Type="http://schemas.openxmlformats.org/officeDocument/2006/relationships/image" Target="media/image236.png"/><Relationship Id="rId416" Type="http://schemas.openxmlformats.org/officeDocument/2006/relationships/hyperlink" Target="http://www.finance.wa.gov.au/" TargetMode="External"/><Relationship Id="rId417" Type="http://schemas.openxmlformats.org/officeDocument/2006/relationships/footer" Target="footer118.xml"/><Relationship Id="rId418" Type="http://schemas.openxmlformats.org/officeDocument/2006/relationships/image" Target="media/image237.png"/><Relationship Id="rId419" Type="http://schemas.openxmlformats.org/officeDocument/2006/relationships/image" Target="media/image238.png"/><Relationship Id="rId420" Type="http://schemas.openxmlformats.org/officeDocument/2006/relationships/image" Target="media/image239.png"/><Relationship Id="rId421" Type="http://schemas.openxmlformats.org/officeDocument/2006/relationships/image" Target="media/image240.png"/><Relationship Id="rId4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2019-07-26T03:15:48Z</dcterms:created>
  <dcterms:modified xsi:type="dcterms:W3CDTF">2019-07-26T03:15:48Z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2017-09-01T00:00:00Z</vt:filetime>
  </property>
  <property fmtid="{D5CDD505-2E9C-101B-9397-08002B2CF9AE}" pid="3" name="Creator">
    <vt:lpwstr>Adobe InDesign CS6 (Macintosh)</vt:lpwstr>
  </property>
  <property fmtid="{D5CDD505-2E9C-101B-9397-08002B2CF9AE}" pid="4" name="LastSaved">
    <vt:filetime>2019-07-26T00:00:00Z</vt:filetime>
  </property>
</Properties>
</file>